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5E5C1">
      <w:pPr>
        <w:jc w:val="right"/>
        <w:rPr>
          <w:rFonts w:hint="eastAsia" w:ascii="宋体" w:hAnsi="宋体" w:eastAsia="宋体" w:cs="宋体"/>
          <w:b/>
          <w:color w:val="000000" w:themeColor="text1"/>
          <w:sz w:val="36"/>
          <w:highlight w:val="none"/>
          <w14:textFill>
            <w14:solidFill>
              <w14:schemeClr w14:val="tx1"/>
            </w14:solidFill>
          </w14:textFill>
        </w:rPr>
      </w:pPr>
    </w:p>
    <w:p w14:paraId="395F663A">
      <w:pPr>
        <w:jc w:val="right"/>
        <w:rPr>
          <w:rFonts w:hint="eastAsia" w:ascii="宋体" w:hAnsi="宋体" w:eastAsia="宋体" w:cs="宋体"/>
          <w:b/>
          <w:color w:val="000000" w:themeColor="text1"/>
          <w:sz w:val="36"/>
          <w:highlight w:val="none"/>
          <w14:textFill>
            <w14:solidFill>
              <w14:schemeClr w14:val="tx1"/>
            </w14:solidFill>
          </w14:textFill>
        </w:rPr>
      </w:pPr>
    </w:p>
    <w:p w14:paraId="0F34664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color w:val="000000" w:themeColor="text1"/>
          <w:kern w:val="2"/>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2"/>
          <w:sz w:val="44"/>
          <w:szCs w:val="44"/>
          <w:highlight w:val="none"/>
          <w:lang w:val="zh-CN"/>
          <w14:textFill>
            <w14:solidFill>
              <w14:schemeClr w14:val="tx1"/>
            </w14:solidFill>
          </w14:textFill>
        </w:rPr>
        <w:t>东莞市众源环境投资有限公司</w:t>
      </w:r>
      <w:r>
        <w:rPr>
          <w:rFonts w:hint="eastAsia" w:ascii="宋体" w:hAnsi="宋体" w:eastAsia="宋体" w:cs="宋体"/>
          <w:b/>
          <w:bCs/>
          <w:color w:val="000000" w:themeColor="text1"/>
          <w:kern w:val="2"/>
          <w:sz w:val="44"/>
          <w:szCs w:val="44"/>
          <w:highlight w:val="none"/>
          <w:lang w:val="en-US" w:eastAsia="zh-CN"/>
          <w14:textFill>
            <w14:solidFill>
              <w14:schemeClr w14:val="tx1"/>
            </w14:solidFill>
          </w14:textFill>
        </w:rPr>
        <w:t>12家等供水厂</w:t>
      </w:r>
    </w:p>
    <w:p w14:paraId="631338B7">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color w:val="000000" w:themeColor="text1"/>
          <w:kern w:val="2"/>
          <w:sz w:val="44"/>
          <w:szCs w:val="44"/>
          <w:highlight w:val="none"/>
          <w:lang w:val="zh-CN"/>
          <w14:textFill>
            <w14:solidFill>
              <w14:schemeClr w14:val="tx1"/>
            </w14:solidFill>
          </w14:textFill>
        </w:rPr>
      </w:pPr>
      <w:r>
        <w:rPr>
          <w:rFonts w:hint="eastAsia" w:ascii="宋体" w:hAnsi="宋体" w:eastAsia="宋体" w:cs="宋体"/>
          <w:b/>
          <w:bCs/>
          <w:color w:val="000000" w:themeColor="text1"/>
          <w:kern w:val="2"/>
          <w:sz w:val="44"/>
          <w:szCs w:val="44"/>
          <w:highlight w:val="none"/>
          <w:lang w:val="en-US" w:eastAsia="zh-CN"/>
          <w14:textFill>
            <w14:solidFill>
              <w14:schemeClr w14:val="tx1"/>
            </w14:solidFill>
          </w14:textFill>
        </w:rPr>
        <w:t>余泥外运处置</w:t>
      </w:r>
      <w:r>
        <w:rPr>
          <w:rFonts w:hint="eastAsia" w:ascii="宋体" w:hAnsi="宋体" w:eastAsia="宋体" w:cs="宋体"/>
          <w:b/>
          <w:bCs/>
          <w:color w:val="000000" w:themeColor="text1"/>
          <w:kern w:val="2"/>
          <w:sz w:val="44"/>
          <w:szCs w:val="44"/>
          <w:highlight w:val="none"/>
          <w:lang w:val="zh-CN"/>
          <w14:textFill>
            <w14:solidFill>
              <w14:schemeClr w14:val="tx1"/>
            </w14:solidFill>
          </w14:textFill>
        </w:rPr>
        <w:t>项目</w:t>
      </w:r>
    </w:p>
    <w:p w14:paraId="09ECBCBA">
      <w:pPr>
        <w:pStyle w:val="2"/>
        <w:rPr>
          <w:rFonts w:hint="eastAsia" w:ascii="宋体" w:hAnsi="宋体" w:eastAsia="宋体" w:cs="宋体"/>
          <w:color w:val="000000" w:themeColor="text1"/>
          <w:highlight w:val="none"/>
          <w14:textFill>
            <w14:solidFill>
              <w14:schemeClr w14:val="tx1"/>
            </w14:solidFill>
          </w14:textFill>
        </w:rPr>
      </w:pPr>
    </w:p>
    <w:p w14:paraId="5F1DFB1C">
      <w:pPr>
        <w:spacing w:line="360" w:lineRule="auto"/>
        <w:ind w:right="-28"/>
        <w:jc w:val="center"/>
        <w:rPr>
          <w:rFonts w:hint="eastAsia" w:ascii="宋体" w:hAnsi="宋体" w:eastAsia="宋体" w:cs="宋体"/>
          <w:b/>
          <w:bCs/>
          <w:color w:val="000000" w:themeColor="text1"/>
          <w:kern w:val="2"/>
          <w:sz w:val="48"/>
          <w:szCs w:val="48"/>
          <w:highlight w:val="none"/>
          <w:lang w:val="zh-CN"/>
          <w14:textFill>
            <w14:solidFill>
              <w14:schemeClr w14:val="tx1"/>
            </w14:solidFill>
          </w14:textFill>
        </w:rPr>
      </w:pPr>
      <w:r>
        <w:rPr>
          <w:rFonts w:hint="eastAsia" w:ascii="宋体" w:hAnsi="宋体" w:eastAsia="宋体" w:cs="宋体"/>
          <w:b/>
          <w:bCs/>
          <w:color w:val="000000" w:themeColor="text1"/>
          <w:kern w:val="2"/>
          <w:sz w:val="48"/>
          <w:szCs w:val="48"/>
          <w:highlight w:val="none"/>
          <w:lang w:val="zh-CN"/>
          <w14:textFill>
            <w14:solidFill>
              <w14:schemeClr w14:val="tx1"/>
            </w14:solidFill>
          </w14:textFill>
        </w:rPr>
        <w:t>单项项目分配方案</w:t>
      </w:r>
    </w:p>
    <w:p w14:paraId="12A25B2A">
      <w:pPr>
        <w:ind w:right="-26"/>
        <w:jc w:val="center"/>
        <w:rPr>
          <w:rFonts w:hint="eastAsia" w:ascii="宋体" w:hAnsi="宋体" w:eastAsia="宋体" w:cs="宋体"/>
          <w:b/>
          <w:bCs/>
          <w:color w:val="000000" w:themeColor="text1"/>
          <w:kern w:val="2"/>
          <w:sz w:val="44"/>
          <w:szCs w:val="44"/>
          <w:highlight w:val="none"/>
          <w:lang w:val="zh-CN"/>
          <w14:textFill>
            <w14:solidFill>
              <w14:schemeClr w14:val="tx1"/>
            </w14:solidFill>
          </w14:textFill>
        </w:rPr>
      </w:pPr>
      <w:r>
        <w:rPr>
          <w:rFonts w:hint="eastAsia" w:ascii="宋体" w:hAnsi="宋体" w:eastAsia="宋体" w:cs="宋体"/>
          <w:b/>
          <w:color w:val="000000" w:themeColor="text1"/>
          <w:kern w:val="2"/>
          <w:sz w:val="44"/>
          <w:szCs w:val="44"/>
          <w:highlight w:val="none"/>
          <w14:textFill>
            <w14:solidFill>
              <w14:schemeClr w14:val="tx1"/>
            </w14:solidFill>
          </w14:textFill>
        </w:rPr>
        <w:t xml:space="preserve"> </w:t>
      </w:r>
    </w:p>
    <w:p w14:paraId="2FDBC9A9">
      <w:pPr>
        <w:ind w:right="-26"/>
        <w:jc w:val="both"/>
        <w:rPr>
          <w:rFonts w:hint="eastAsia" w:ascii="宋体" w:hAnsi="宋体" w:eastAsia="宋体" w:cs="宋体"/>
          <w:b/>
          <w:bCs/>
          <w:color w:val="000000" w:themeColor="text1"/>
          <w:kern w:val="2"/>
          <w:sz w:val="44"/>
          <w:szCs w:val="44"/>
          <w:highlight w:val="none"/>
          <w:lang w:val="zh-CN"/>
          <w14:textFill>
            <w14:solidFill>
              <w14:schemeClr w14:val="tx1"/>
            </w14:solidFill>
          </w14:textFill>
        </w:rPr>
      </w:pPr>
    </w:p>
    <w:p w14:paraId="4AEBC58A">
      <w:pPr>
        <w:ind w:right="-26"/>
        <w:jc w:val="both"/>
        <w:rPr>
          <w:rFonts w:hint="eastAsia" w:ascii="宋体" w:hAnsi="宋体" w:eastAsia="宋体" w:cs="宋体"/>
          <w:b/>
          <w:bCs/>
          <w:color w:val="000000" w:themeColor="text1"/>
          <w:kern w:val="2"/>
          <w:sz w:val="44"/>
          <w:szCs w:val="44"/>
          <w:highlight w:val="none"/>
          <w:lang w:val="zh-CN"/>
          <w14:textFill>
            <w14:solidFill>
              <w14:schemeClr w14:val="tx1"/>
            </w14:solidFill>
          </w14:textFill>
        </w:rPr>
      </w:pPr>
    </w:p>
    <w:p w14:paraId="1D9CDC37">
      <w:pPr>
        <w:ind w:right="-26"/>
        <w:jc w:val="both"/>
        <w:rPr>
          <w:rFonts w:hint="eastAsia" w:ascii="宋体" w:hAnsi="宋体" w:eastAsia="宋体" w:cs="宋体"/>
          <w:b/>
          <w:bCs/>
          <w:color w:val="000000" w:themeColor="text1"/>
          <w:kern w:val="2"/>
          <w:sz w:val="44"/>
          <w:szCs w:val="44"/>
          <w:highlight w:val="none"/>
          <w:lang w:val="zh-CN"/>
          <w14:textFill>
            <w14:solidFill>
              <w14:schemeClr w14:val="tx1"/>
            </w14:solidFill>
          </w14:textFill>
        </w:rPr>
      </w:pPr>
    </w:p>
    <w:p w14:paraId="6763E55D">
      <w:pPr>
        <w:ind w:right="-26"/>
        <w:jc w:val="both"/>
        <w:rPr>
          <w:rFonts w:hint="eastAsia" w:ascii="宋体" w:hAnsi="宋体" w:eastAsia="宋体" w:cs="宋体"/>
          <w:b/>
          <w:bCs/>
          <w:color w:val="000000" w:themeColor="text1"/>
          <w:kern w:val="2"/>
          <w:sz w:val="44"/>
          <w:szCs w:val="44"/>
          <w:highlight w:val="none"/>
          <w:lang w:val="zh-CN"/>
          <w14:textFill>
            <w14:solidFill>
              <w14:schemeClr w14:val="tx1"/>
            </w14:solidFill>
          </w14:textFill>
        </w:rPr>
      </w:pPr>
    </w:p>
    <w:p w14:paraId="6F446134">
      <w:pPr>
        <w:pStyle w:val="2"/>
        <w:jc w:val="both"/>
        <w:rPr>
          <w:rFonts w:hint="eastAsia" w:ascii="宋体" w:hAnsi="宋体" w:eastAsia="宋体" w:cs="宋体"/>
          <w:color w:val="000000" w:themeColor="text1"/>
          <w:highlight w:val="none"/>
          <w14:textFill>
            <w14:solidFill>
              <w14:schemeClr w14:val="tx1"/>
            </w14:solidFill>
          </w14:textFill>
        </w:rPr>
      </w:pPr>
    </w:p>
    <w:p w14:paraId="53B8A833">
      <w:pPr>
        <w:pStyle w:val="3"/>
        <w:ind w:left="0" w:leftChars="0" w:firstLine="0" w:firstLineChars="0"/>
        <w:jc w:val="both"/>
        <w:rPr>
          <w:rFonts w:hint="eastAsia" w:ascii="宋体" w:hAnsi="宋体" w:eastAsia="宋体" w:cs="宋体"/>
          <w:color w:val="000000" w:themeColor="text1"/>
          <w:highlight w:val="none"/>
          <w14:textFill>
            <w14:solidFill>
              <w14:schemeClr w14:val="tx1"/>
            </w14:solidFill>
          </w14:textFill>
        </w:rPr>
      </w:pPr>
    </w:p>
    <w:p w14:paraId="236835D5">
      <w:pPr>
        <w:pStyle w:val="3"/>
        <w:ind w:left="0" w:leftChars="0" w:firstLine="0" w:firstLineChars="0"/>
        <w:jc w:val="both"/>
        <w:rPr>
          <w:rFonts w:hint="eastAsia" w:ascii="宋体" w:hAnsi="宋体" w:eastAsia="宋体" w:cs="宋体"/>
          <w:color w:val="000000" w:themeColor="text1"/>
          <w:highlight w:val="none"/>
          <w14:textFill>
            <w14:solidFill>
              <w14:schemeClr w14:val="tx1"/>
            </w14:solidFill>
          </w14:textFill>
        </w:rPr>
      </w:pPr>
    </w:p>
    <w:p w14:paraId="7F10F029">
      <w:pPr>
        <w:snapToGrid w:val="0"/>
        <w:spacing w:line="360" w:lineRule="auto"/>
        <w:ind w:firstLine="96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32"/>
          <w:szCs w:val="32"/>
          <w:highlight w:val="none"/>
          <w:lang w:val="en-US" w:eastAsia="zh-CN"/>
          <w14:textFill>
            <w14:solidFill>
              <w14:schemeClr w14:val="tx1"/>
            </w14:solidFill>
          </w14:textFill>
        </w:rPr>
        <w:t>委托</w:t>
      </w:r>
      <w:r>
        <w:rPr>
          <w:rFonts w:hint="eastAsia" w:ascii="宋体" w:hAnsi="宋体" w:eastAsia="宋体" w:cs="宋体"/>
          <w:bCs/>
          <w:color w:val="000000" w:themeColor="text1"/>
          <w:sz w:val="32"/>
          <w:szCs w:val="32"/>
          <w:highlight w:val="none"/>
          <w14:textFill>
            <w14:solidFill>
              <w14:schemeClr w14:val="tx1"/>
            </w14:solidFill>
          </w14:textFill>
        </w:rPr>
        <w:t>人：东莞市众源环境投资有限公司</w:t>
      </w:r>
    </w:p>
    <w:p w14:paraId="669D3F4C">
      <w:pPr>
        <w:snapToGrid w:val="0"/>
        <w:spacing w:line="360" w:lineRule="auto"/>
        <w:ind w:right="-26" w:firstLine="2880" w:firstLineChars="900"/>
        <w:jc w:val="both"/>
        <w:rPr>
          <w:rFonts w:hint="eastAsia" w:ascii="宋体" w:hAnsi="宋体" w:eastAsia="宋体" w:cs="宋体"/>
          <w:bCs/>
          <w:color w:val="000000" w:themeColor="text1"/>
          <w:sz w:val="32"/>
          <w:szCs w:val="32"/>
          <w:highlight w:val="none"/>
          <w:lang w:val="zh-CN"/>
          <w14:textFill>
            <w14:solidFill>
              <w14:schemeClr w14:val="tx1"/>
            </w14:solidFill>
          </w14:textFill>
        </w:rPr>
      </w:pPr>
      <w:r>
        <w:rPr>
          <w:rFonts w:hint="eastAsia" w:ascii="宋体" w:hAnsi="宋体" w:eastAsia="宋体" w:cs="宋体"/>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Cs/>
          <w:color w:val="000000" w:themeColor="text1"/>
          <w:sz w:val="32"/>
          <w:szCs w:val="32"/>
          <w:highlight w:val="none"/>
          <w:lang w:val="zh-CN"/>
          <w14:textFill>
            <w14:solidFill>
              <w14:schemeClr w14:val="tx1"/>
            </w14:solidFill>
          </w14:textFill>
        </w:rPr>
        <w:t>年</w:t>
      </w:r>
      <w:r>
        <w:rPr>
          <w:rFonts w:hint="eastAsia" w:hAnsi="宋体" w:cs="宋体"/>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Cs/>
          <w:color w:val="000000" w:themeColor="text1"/>
          <w:sz w:val="32"/>
          <w:szCs w:val="32"/>
          <w:highlight w:val="none"/>
          <w:lang w:val="zh-CN"/>
          <w14:textFill>
            <w14:solidFill>
              <w14:schemeClr w14:val="tx1"/>
            </w14:solidFill>
          </w14:textFill>
        </w:rPr>
        <w:t>月</w:t>
      </w:r>
      <w:r>
        <w:rPr>
          <w:rFonts w:hint="eastAsia" w:hAnsi="宋体" w:cs="宋体"/>
          <w:bCs/>
          <w:color w:val="000000" w:themeColor="text1"/>
          <w:sz w:val="32"/>
          <w:szCs w:val="32"/>
          <w:highlight w:val="none"/>
          <w:lang w:val="en-US" w:eastAsia="zh-CN"/>
          <w14:textFill>
            <w14:solidFill>
              <w14:schemeClr w14:val="tx1"/>
            </w14:solidFill>
          </w14:textFill>
        </w:rPr>
        <w:t>20</w:t>
      </w:r>
      <w:r>
        <w:rPr>
          <w:rFonts w:hint="eastAsia" w:ascii="宋体" w:hAnsi="宋体" w:eastAsia="宋体" w:cs="宋体"/>
          <w:bCs/>
          <w:color w:val="000000" w:themeColor="text1"/>
          <w:sz w:val="32"/>
          <w:szCs w:val="32"/>
          <w:highlight w:val="none"/>
          <w:lang w:val="zh-CN"/>
          <w14:textFill>
            <w14:solidFill>
              <w14:schemeClr w14:val="tx1"/>
            </w14:solidFill>
          </w14:textFill>
        </w:rPr>
        <w:t>日</w:t>
      </w:r>
    </w:p>
    <w:p w14:paraId="18E095D4">
      <w:pPr>
        <w:spacing w:line="360" w:lineRule="auto"/>
        <w:ind w:right="-26"/>
        <w:jc w:val="center"/>
        <w:rPr>
          <w:rFonts w:hint="eastAsia" w:ascii="宋体" w:hAnsi="宋体" w:eastAsia="宋体" w:cs="宋体"/>
          <w:b/>
          <w:bCs/>
          <w:color w:val="000000" w:themeColor="text1"/>
          <w:sz w:val="32"/>
          <w:szCs w:val="32"/>
          <w:highlight w:val="none"/>
          <w:lang w:val="zh-CN"/>
          <w14:textFill>
            <w14:solidFill>
              <w14:schemeClr w14:val="tx1"/>
            </w14:solidFill>
          </w14:textFill>
        </w:rPr>
        <w:sectPr>
          <w:headerReference r:id="rId4" w:type="first"/>
          <w:headerReference r:id="rId3" w:type="default"/>
          <w:footerReference r:id="rId5" w:type="default"/>
          <w:pgSz w:w="11907" w:h="16840"/>
          <w:pgMar w:top="1701" w:right="1701" w:bottom="851" w:left="1701" w:header="1134" w:footer="720" w:gutter="0"/>
          <w:pgNumType w:fmt="decimal"/>
          <w:cols w:space="720" w:num="1"/>
          <w:titlePg/>
          <w:docGrid w:linePitch="326" w:charSpace="0"/>
        </w:sectPr>
      </w:pPr>
    </w:p>
    <w:p w14:paraId="718926DD">
      <w:pPr>
        <w:spacing w:line="360" w:lineRule="auto"/>
        <w:ind w:right="-26"/>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目 录</w:t>
      </w:r>
    </w:p>
    <w:p w14:paraId="030E24FA">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fldChar w:fldCharType="begin"/>
      </w:r>
      <w:r>
        <w:rPr>
          <w:rFonts w:hint="eastAsia" w:ascii="宋体" w:hAnsi="宋体" w:eastAsia="宋体" w:cs="宋体"/>
          <w:b w:val="0"/>
          <w:color w:val="000000" w:themeColor="text1"/>
          <w:sz w:val="21"/>
          <w:szCs w:val="21"/>
          <w:highlight w:val="none"/>
          <w14:textFill>
            <w14:solidFill>
              <w14:schemeClr w14:val="tx1"/>
            </w14:solidFill>
          </w14:textFill>
        </w:rPr>
        <w:instrText xml:space="preserve"> TOC \o "1-3" \h \z \u </w:instrText>
      </w:r>
      <w:r>
        <w:rPr>
          <w:rFonts w:hint="eastAsia" w:ascii="宋体" w:hAnsi="宋体" w:eastAsia="宋体" w:cs="宋体"/>
          <w:b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_Toc9759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第一章 邀请书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_Toc9759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E72246F">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_Toc26714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1 项目范围、最高限价及服务期：</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_Toc26714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1E02A98">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_Toc31716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2 获取分配资料的时间、方式：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_Toc31716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76CCD63">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_Toc17541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3 申请文件递交的截止时间</w:t>
      </w:r>
      <w:r>
        <w:rPr>
          <w:rFonts w:hint="eastAsia" w:ascii="宋体" w:hAnsi="宋体" w:eastAsia="宋体" w:cs="宋体"/>
          <w:color w:val="000000" w:themeColor="text1"/>
          <w:szCs w:val="21"/>
          <w:highlight w:val="none"/>
          <w14:textFill>
            <w14:solidFill>
              <w14:schemeClr w14:val="tx1"/>
            </w14:solidFill>
          </w14:textFill>
        </w:rPr>
        <w:t>（北京时间）</w:t>
      </w:r>
      <w:r>
        <w:rPr>
          <w:rFonts w:hint="eastAsia" w:ascii="宋体" w:hAnsi="宋体" w:eastAsia="宋体" w:cs="宋体"/>
          <w:color w:val="000000" w:themeColor="text1"/>
          <w:szCs w:val="21"/>
          <w:highlight w:val="none"/>
          <w:lang w:val="en-US" w:eastAsia="zh-CN"/>
          <w14:textFill>
            <w14:solidFill>
              <w14:schemeClr w14:val="tx1"/>
            </w14:solidFill>
          </w14:textFill>
        </w:rPr>
        <w:t>及地点：</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_Toc17541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8B46B12">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_Toc27419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4 其它要求：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_Toc27419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2B004B7">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_Toc5980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5 委托人联系方式：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_Toc5980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223268A">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_Toc3646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第二章</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_Toc3646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D041B49">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_Toc25492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21"/>
          <w:highlight w:val="none"/>
          <w:lang w:val="zh-CN"/>
          <w14:textFill>
            <w14:solidFill>
              <w14:schemeClr w14:val="tx1"/>
            </w14:solidFill>
          </w14:textFill>
        </w:rPr>
        <w:t>一、总则</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_Toc25492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A8215F4">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_Toc28366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资金来源</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：企业自筹资金。</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_Toc28366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17F71656">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_Toc16353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保密约定</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_Toc16353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5BB4E96D">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_Toc30485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2"/>
          <w:szCs w:val="21"/>
          <w:highlight w:val="none"/>
          <w:lang w:val="zh-CN"/>
          <w14:textFill>
            <w14:solidFill>
              <w14:schemeClr w14:val="tx1"/>
            </w14:solidFill>
          </w14:textFill>
        </w:rPr>
        <w:t>3</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风险特别约定</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_Toc30485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6713ED3">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_Toc2592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4</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其它说明</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_Toc2592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3DDFE86">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_Toc16183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21"/>
          <w:highlight w:val="none"/>
          <w:lang w:val="zh-CN"/>
          <w14:textFill>
            <w14:solidFill>
              <w14:schemeClr w14:val="tx1"/>
            </w14:solidFill>
          </w14:textFill>
        </w:rPr>
        <w:t>二、单项项目分配方案</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_Toc16183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CD300C5">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_Toc19644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5</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单项项目分配方案的构成</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_Toc19644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5242FA7">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_Toc30591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6</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单项项目分配方案的澄清及修改</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_Toc30591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2BCC403">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_Toc578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21"/>
          <w:highlight w:val="none"/>
          <w:lang w:val="zh-CN"/>
          <w14:textFill>
            <w14:solidFill>
              <w14:schemeClr w14:val="tx1"/>
            </w14:solidFill>
          </w14:textFill>
        </w:rPr>
        <w:t>三、申请文件的编制</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_Toc578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F414E3F">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_Toc25083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7</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申请文件的组成</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_Toc25083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160593E">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_Toc25333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2"/>
          <w:szCs w:val="21"/>
          <w:highlight w:val="none"/>
          <w:lang w:val="zh-CN"/>
          <w14:textFill>
            <w14:solidFill>
              <w14:schemeClr w14:val="tx1"/>
            </w14:solidFill>
          </w14:textFill>
        </w:rPr>
        <w:t>8</w:t>
      </w:r>
      <w:r>
        <w:rPr>
          <w:rFonts w:hint="eastAsia" w:ascii="宋体" w:hAnsi="宋体" w:eastAsia="宋体" w:cs="宋体"/>
          <w:bCs/>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bCs/>
          <w:i w:val="0"/>
          <w:iCs w:val="0"/>
          <w:color w:val="000000" w:themeColor="text1"/>
          <w:kern w:val="2"/>
          <w:szCs w:val="21"/>
          <w:highlight w:val="none"/>
          <w:lang w:val="zh-CN"/>
          <w14:textFill>
            <w14:solidFill>
              <w14:schemeClr w14:val="tx1"/>
            </w14:solidFill>
          </w14:textFill>
        </w:rPr>
        <w:t>报价</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_Toc25333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8</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312D1829">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_Toc922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9</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申请文件有效期</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_Toc922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8</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24836695">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_Toc877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10</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申请文件的式样和签署</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_Toc877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8</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8B4C8F1">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_Toc30303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21"/>
          <w:highlight w:val="none"/>
          <w:lang w:val="zh-CN"/>
          <w14:textFill>
            <w14:solidFill>
              <w14:schemeClr w14:val="tx1"/>
            </w14:solidFill>
          </w14:textFill>
        </w:rPr>
        <w:t>四、申请文件的递交</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_Toc30303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21B669A">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_Toc16186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11</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申请文件的密封和标记</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_Toc16186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845A8C0">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_Toc21695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12</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递交申请文件的截止日期</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_Toc21695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36C4E154">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_Toc1121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13</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迟交的申请文件</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_Toc1121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3FC927DC">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_Toc9115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14</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申请文件的修改和撤回</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_Toc9115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5140354">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_Toc32637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15</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开封报价</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_Toc32637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163073E">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_Toc13144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16</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分配</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小组</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_Toc13144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10</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61EDCF6">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_Toc9393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17</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申请文件</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评审</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_Toc9393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10</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7258F40">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_Toc16281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1</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8</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评定成交的标准</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_Toc16281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11</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D310218">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_Toc8439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 xml:space="preserve">9  </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 xml:space="preserve"> 申请文件</w:t>
      </w:r>
      <w:r>
        <w:rPr>
          <w:rFonts w:hint="eastAsia" w:ascii="宋体" w:hAnsi="宋体" w:eastAsia="宋体" w:cs="宋体"/>
          <w:i w:val="0"/>
          <w:iCs w:val="0"/>
          <w:color w:val="000000" w:themeColor="text1"/>
          <w:kern w:val="2"/>
          <w:szCs w:val="21"/>
          <w:highlight w:val="none"/>
          <w:lang w:val="en-US"/>
          <w14:textFill>
            <w14:solidFill>
              <w14:schemeClr w14:val="tx1"/>
            </w14:solidFill>
          </w14:textFill>
        </w:rPr>
        <w:t>出现</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下列情况之一的，</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将</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被认定为无效</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申请</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_Toc8439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11</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ED77322">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_Toc10698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20</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分配结果通知</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_Toc10698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11</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01C9B75">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_Toc32511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21</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委托人接受或拒绝任何申请文件或所有申请文件的权利</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_Toc32511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12</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56801723">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_Toc3330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21"/>
          <w:highlight w:val="none"/>
          <w:lang w:val="en-US" w:eastAsia="zh-CN"/>
          <w14:textFill>
            <w14:solidFill>
              <w14:schemeClr w14:val="tx1"/>
            </w14:solidFill>
          </w14:textFill>
        </w:rPr>
        <w:t>五</w:t>
      </w:r>
      <w:r>
        <w:rPr>
          <w:rFonts w:hint="eastAsia" w:ascii="宋体" w:hAnsi="宋体" w:eastAsia="宋体" w:cs="宋体"/>
          <w:bCs/>
          <w:i w:val="0"/>
          <w:iCs w:val="0"/>
          <w:color w:val="000000" w:themeColor="text1"/>
          <w:kern w:val="44"/>
          <w:szCs w:val="21"/>
          <w:highlight w:val="none"/>
          <w:lang w:val="zh-CN"/>
          <w14:textFill>
            <w14:solidFill>
              <w14:schemeClr w14:val="tx1"/>
            </w14:solidFill>
          </w14:textFill>
        </w:rPr>
        <w:t>、授予合同</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_Toc3330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12</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1C11D50">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_Toc25605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授予合同的准则</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_Toc25605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12</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124D220C">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_Toc7689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签署合同</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_Toc7689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13</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63BBAB4A">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_Toc11327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 xml:space="preserve">4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履约担保</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_Toc11327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13</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4B03F52D">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_Toc8331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在合同履行中变更服务范围的权利</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_Toc8331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14</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B982E8C">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_Toc11217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6</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发票</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_Toc11217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14</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3420685">
      <w:pPr>
        <w:pStyle w:val="17"/>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_Toc17071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2</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7</w:t>
      </w:r>
      <w:r>
        <w:rPr>
          <w:rFonts w:hint="eastAsia" w:ascii="宋体" w:hAnsi="宋体" w:eastAsia="宋体" w:cs="宋体"/>
          <w:i w:val="0"/>
          <w:iCs w:val="0"/>
          <w:color w:val="000000" w:themeColor="text1"/>
          <w:kern w:val="2"/>
          <w:szCs w:val="21"/>
          <w:highlight w:val="none"/>
          <w14:textFill>
            <w14:solidFill>
              <w14:schemeClr w14:val="tx1"/>
            </w14:solidFill>
          </w14:textFill>
        </w:rPr>
        <w:t xml:space="preserve">   </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本次</w:t>
      </w:r>
      <w:r>
        <w:rPr>
          <w:rFonts w:hint="eastAsia" w:ascii="宋体" w:hAnsi="宋体" w:eastAsia="宋体" w:cs="宋体"/>
          <w:i w:val="0"/>
          <w:iCs w:val="0"/>
          <w:color w:val="000000" w:themeColor="text1"/>
          <w:kern w:val="2"/>
          <w:szCs w:val="21"/>
          <w:highlight w:val="none"/>
          <w:lang w:val="en-US" w:eastAsia="zh-CN"/>
          <w14:textFill>
            <w14:solidFill>
              <w14:schemeClr w14:val="tx1"/>
            </w14:solidFill>
          </w14:textFill>
        </w:rPr>
        <w:t>分配</w:t>
      </w:r>
      <w:r>
        <w:rPr>
          <w:rFonts w:hint="eastAsia" w:ascii="宋体" w:hAnsi="宋体" w:eastAsia="宋体" w:cs="宋体"/>
          <w:i w:val="0"/>
          <w:iCs w:val="0"/>
          <w:color w:val="000000" w:themeColor="text1"/>
          <w:kern w:val="2"/>
          <w:szCs w:val="21"/>
          <w:highlight w:val="none"/>
          <w:lang w:val="zh-CN"/>
          <w14:textFill>
            <w14:solidFill>
              <w14:schemeClr w14:val="tx1"/>
            </w14:solidFill>
          </w14:textFill>
        </w:rPr>
        <w:t>活动的最终解释权归委托人所有</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_Toc17071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15</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2846C0B1">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_Toc16501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32"/>
          <w:highlight w:val="none"/>
          <w:lang w:val="en-US" w:eastAsia="zh-CN"/>
          <w14:textFill>
            <w14:solidFill>
              <w14:schemeClr w14:val="tx1"/>
            </w14:solidFill>
          </w14:textFill>
        </w:rPr>
        <w:t xml:space="preserve">第三章 </w:t>
      </w:r>
      <w:r>
        <w:rPr>
          <w:rFonts w:hint="eastAsia" w:ascii="宋体" w:hAnsi="宋体" w:eastAsia="宋体" w:cs="宋体"/>
          <w:bCs/>
          <w:i w:val="0"/>
          <w:iCs w:val="0"/>
          <w:color w:val="000000" w:themeColor="text1"/>
          <w:kern w:val="44"/>
          <w:szCs w:val="32"/>
          <w:highlight w:val="none"/>
          <w:lang w:val="zh-CN"/>
          <w14:textFill>
            <w14:solidFill>
              <w14:schemeClr w14:val="tx1"/>
            </w14:solidFill>
          </w14:textFill>
        </w:rPr>
        <w:t>用户需求书</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_Toc16501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250F854A">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_Toc31412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32"/>
          <w:highlight w:val="none"/>
          <w:lang w:val="zh-CN"/>
          <w14:textFill>
            <w14:solidFill>
              <w14:schemeClr w14:val="tx1"/>
            </w14:solidFill>
          </w14:textFill>
        </w:rPr>
        <w:t>第</w:t>
      </w:r>
      <w:r>
        <w:rPr>
          <w:rFonts w:hint="eastAsia" w:ascii="宋体" w:hAnsi="宋体" w:eastAsia="宋体" w:cs="宋体"/>
          <w:bCs/>
          <w:i w:val="0"/>
          <w:iCs w:val="0"/>
          <w:color w:val="000000" w:themeColor="text1"/>
          <w:kern w:val="44"/>
          <w:szCs w:val="32"/>
          <w:highlight w:val="none"/>
          <w:lang w:val="en-US" w:eastAsia="zh-CN"/>
          <w14:textFill>
            <w14:solidFill>
              <w14:schemeClr w14:val="tx1"/>
            </w14:solidFill>
          </w14:textFill>
        </w:rPr>
        <w:t>四</w:t>
      </w:r>
      <w:r>
        <w:rPr>
          <w:rFonts w:hint="eastAsia" w:ascii="宋体" w:hAnsi="宋体" w:eastAsia="宋体" w:cs="宋体"/>
          <w:bCs/>
          <w:i w:val="0"/>
          <w:iCs w:val="0"/>
          <w:color w:val="000000" w:themeColor="text1"/>
          <w:kern w:val="44"/>
          <w:szCs w:val="32"/>
          <w:highlight w:val="none"/>
          <w:lang w:val="zh-CN"/>
          <w14:textFill>
            <w14:solidFill>
              <w14:schemeClr w14:val="tx1"/>
            </w14:solidFill>
          </w14:textFill>
        </w:rPr>
        <w:t>章 合同条款格式</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_Toc31412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16</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59838B6">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_Toc303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_Toc303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21</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9D2E342">
      <w:pPr>
        <w:pStyle w:val="25"/>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_Toc7755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bCs/>
          <w:i w:val="0"/>
          <w:iCs w:val="0"/>
          <w:color w:val="000000" w:themeColor="text1"/>
          <w:kern w:val="44"/>
          <w:szCs w:val="32"/>
          <w:highlight w:val="none"/>
          <w:lang w:val="zh-CN"/>
          <w14:textFill>
            <w14:solidFill>
              <w14:schemeClr w14:val="tx1"/>
            </w14:solidFill>
          </w14:textFill>
        </w:rPr>
        <w:t>第</w:t>
      </w:r>
      <w:r>
        <w:rPr>
          <w:rFonts w:hint="eastAsia" w:ascii="宋体" w:hAnsi="宋体" w:eastAsia="宋体" w:cs="宋体"/>
          <w:bCs/>
          <w:i w:val="0"/>
          <w:iCs w:val="0"/>
          <w:color w:val="000000" w:themeColor="text1"/>
          <w:kern w:val="44"/>
          <w:szCs w:val="32"/>
          <w:highlight w:val="none"/>
          <w:lang w:val="en-US" w:eastAsia="zh-CN"/>
          <w14:textFill>
            <w14:solidFill>
              <w14:schemeClr w14:val="tx1"/>
            </w14:solidFill>
          </w14:textFill>
        </w:rPr>
        <w:t>六</w:t>
      </w:r>
      <w:r>
        <w:rPr>
          <w:rFonts w:hint="eastAsia" w:ascii="宋体" w:hAnsi="宋体" w:eastAsia="宋体" w:cs="宋体"/>
          <w:bCs/>
          <w:i w:val="0"/>
          <w:iCs w:val="0"/>
          <w:color w:val="000000" w:themeColor="text1"/>
          <w:kern w:val="44"/>
          <w:szCs w:val="32"/>
          <w:highlight w:val="none"/>
          <w:lang w:val="zh-CN"/>
          <w14:textFill>
            <w14:solidFill>
              <w14:schemeClr w14:val="tx1"/>
            </w14:solidFill>
          </w14:textFill>
        </w:rPr>
        <w:t>章 申请文件格式</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_Toc7755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48</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38EF3AC">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_Toc1216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Cs w:val="30"/>
          <w:highlight w:val="none"/>
          <w14:textFill>
            <w14:solidFill>
              <w14:schemeClr w14:val="tx1"/>
            </w14:solidFill>
          </w14:textFill>
        </w:rPr>
        <w:t>目 录</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_Toc1216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49</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08929E02">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_Toc27061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0"/>
          <w:szCs w:val="30"/>
          <w:highlight w:val="none"/>
          <w:lang w:val="en-US" w:eastAsia="zh-CN" w:bidi="ar-SA"/>
          <w14:textFill>
            <w14:solidFill>
              <w14:schemeClr w14:val="tx1"/>
            </w14:solidFill>
          </w14:textFill>
        </w:rPr>
        <w:t>一、报价表</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_Toc27061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50</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959682A">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_Toc15557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0"/>
          <w:szCs w:val="30"/>
          <w:highlight w:val="none"/>
          <w:lang w:val="en-US" w:eastAsia="zh-CN" w:bidi="ar-SA"/>
          <w14:textFill>
            <w14:solidFill>
              <w14:schemeClr w14:val="tx1"/>
            </w14:solidFill>
          </w14:textFill>
        </w:rPr>
        <w:t>二、用户需求响应情况</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_Toc15557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52</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56664891">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_Toc7419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0"/>
          <w:szCs w:val="30"/>
          <w:highlight w:val="none"/>
          <w:lang w:val="en-US" w:eastAsia="zh-CN" w:bidi="ar-SA"/>
          <w14:textFill>
            <w14:solidFill>
              <w14:schemeClr w14:val="tx1"/>
            </w14:solidFill>
          </w14:textFill>
        </w:rPr>
        <w:t>三、合同条款响应情况</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_Toc7419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57</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7142BA2E">
      <w:pPr>
        <w:pStyle w:val="30"/>
        <w:keepNext w:val="0"/>
        <w:keepLines w:val="0"/>
        <w:pageBreakBefore w:val="0"/>
        <w:widowControl w:val="0"/>
        <w:tabs>
          <w:tab w:val="right" w:leader="dot" w:pos="10154"/>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themeColor="text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Cs w:val="21"/>
          <w:highlight w:val="none"/>
          <w14:textFill>
            <w14:solidFill>
              <w14:schemeClr w14:val="tx1"/>
            </w14:solidFill>
          </w14:textFill>
        </w:rPr>
        <w:instrText xml:space="preserve"> HYPERLINK \l _Toc4760 </w:instrText>
      </w:r>
      <w:r>
        <w:rPr>
          <w:rFonts w:hint="eastAsia" w:ascii="宋体" w:hAnsi="宋体" w:eastAsia="宋体" w:cs="宋体"/>
          <w:i w:val="0"/>
          <w:iCs w:val="0"/>
          <w:color w:val="000000" w:themeColor="text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kern w:val="0"/>
          <w:szCs w:val="30"/>
          <w:highlight w:val="none"/>
          <w:lang w:val="en-US" w:eastAsia="zh-CN" w:bidi="ar-SA"/>
          <w14:textFill>
            <w14:solidFill>
              <w14:schemeClr w14:val="tx1"/>
            </w14:solidFill>
          </w14:textFill>
        </w:rPr>
        <w:t>四、申请人承诺书</w:t>
      </w:r>
      <w:r>
        <w:rPr>
          <w:rFonts w:hint="eastAsia" w:ascii="宋体" w:hAnsi="宋体" w:eastAsia="宋体" w:cs="宋体"/>
          <w:i w:val="0"/>
          <w:iCs w:val="0"/>
          <w:color w:val="000000" w:themeColor="text1"/>
          <w14:textFill>
            <w14:solidFill>
              <w14:schemeClr w14:val="tx1"/>
            </w14:solidFill>
          </w14:textFill>
        </w:rPr>
        <w:tab/>
      </w:r>
      <w:r>
        <w:rPr>
          <w:rFonts w:hint="eastAsia" w:ascii="宋体" w:hAnsi="宋体" w:eastAsia="宋体" w:cs="宋体"/>
          <w:i w:val="0"/>
          <w:iCs w:val="0"/>
          <w:color w:val="000000" w:themeColor="text1"/>
          <w14:textFill>
            <w14:solidFill>
              <w14:schemeClr w14:val="tx1"/>
            </w14:solidFill>
          </w14:textFill>
        </w:rPr>
        <w:fldChar w:fldCharType="begin"/>
      </w:r>
      <w:r>
        <w:rPr>
          <w:rFonts w:hint="eastAsia" w:ascii="宋体" w:hAnsi="宋体" w:eastAsia="宋体" w:cs="宋体"/>
          <w:i w:val="0"/>
          <w:iCs w:val="0"/>
          <w:color w:val="000000" w:themeColor="text1"/>
          <w14:textFill>
            <w14:solidFill>
              <w14:schemeClr w14:val="tx1"/>
            </w14:solidFill>
          </w14:textFill>
        </w:rPr>
        <w:instrText xml:space="preserve"> PAGEREF _Toc4760 \h </w:instrText>
      </w:r>
      <w:r>
        <w:rPr>
          <w:rFonts w:hint="eastAsia" w:ascii="宋体" w:hAnsi="宋体" w:eastAsia="宋体" w:cs="宋体"/>
          <w:i w:val="0"/>
          <w:iCs w:val="0"/>
          <w:color w:val="000000" w:themeColor="text1"/>
          <w14:textFill>
            <w14:solidFill>
              <w14:schemeClr w14:val="tx1"/>
            </w14:solidFill>
          </w14:textFill>
        </w:rPr>
        <w:fldChar w:fldCharType="separate"/>
      </w:r>
      <w:r>
        <w:rPr>
          <w:rFonts w:hint="eastAsia" w:ascii="宋体" w:hAnsi="宋体" w:eastAsia="宋体" w:cs="宋体"/>
          <w:i w:val="0"/>
          <w:iCs w:val="0"/>
          <w:color w:val="000000" w:themeColor="text1"/>
          <w14:textFill>
            <w14:solidFill>
              <w14:schemeClr w14:val="tx1"/>
            </w14:solidFill>
          </w14:textFill>
        </w:rPr>
        <w:t>58</w:t>
      </w:r>
      <w:r>
        <w:rPr>
          <w:rFonts w:hint="eastAsia" w:ascii="宋体" w:hAnsi="宋体" w:eastAsia="宋体" w:cs="宋体"/>
          <w:i w:val="0"/>
          <w:iCs w:val="0"/>
          <w:color w:val="000000" w:themeColor="text1"/>
          <w14:textFill>
            <w14:solidFill>
              <w14:schemeClr w14:val="tx1"/>
            </w14:solidFill>
          </w14:textFill>
        </w:rPr>
        <w:fldChar w:fldCharType="end"/>
      </w:r>
      <w:r>
        <w:rPr>
          <w:rFonts w:hint="eastAsia" w:ascii="宋体" w:hAnsi="宋体" w:eastAsia="宋体" w:cs="宋体"/>
          <w:i w:val="0"/>
          <w:iCs w:val="0"/>
          <w:color w:val="000000" w:themeColor="text1"/>
          <w:szCs w:val="21"/>
          <w:highlight w:val="none"/>
          <w14:textFill>
            <w14:solidFill>
              <w14:schemeClr w14:val="tx1"/>
            </w14:solidFill>
          </w14:textFill>
        </w:rPr>
        <w:fldChar w:fldCharType="end"/>
      </w:r>
    </w:p>
    <w:p w14:paraId="2447AD2B">
      <w:pPr>
        <w:pStyle w:val="25"/>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adjustRightInd w:val="0"/>
        <w:snapToGrid/>
        <w:spacing w:before="0" w:after="0" w:line="360" w:lineRule="auto"/>
        <w:ind w:right="-50" w:rightChars="-21"/>
        <w:jc w:val="distribute"/>
        <w:textAlignment w:val="auto"/>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p w14:paraId="677DFF90">
      <w:pPr>
        <w:pStyle w:val="4"/>
        <w:keepNext/>
        <w:keepLines/>
        <w:pageBreakBefore/>
        <w:tabs>
          <w:tab w:val="left" w:pos="1080"/>
        </w:tabs>
        <w:spacing w:line="360" w:lineRule="auto"/>
        <w:ind w:left="567" w:hanging="567"/>
        <w:jc w:val="center"/>
        <w:rPr>
          <w:rFonts w:hint="eastAsia" w:ascii="宋体" w:hAnsi="宋体" w:eastAsia="宋体" w:cs="宋体"/>
          <w:b/>
          <w:bCs/>
          <w:color w:val="000000" w:themeColor="text1"/>
          <w:kern w:val="44"/>
          <w:sz w:val="44"/>
          <w:szCs w:val="44"/>
          <w:highlight w:val="none"/>
          <w:lang w:val="zh-CN"/>
          <w14:textFill>
            <w14:solidFill>
              <w14:schemeClr w14:val="tx1"/>
            </w14:solidFill>
          </w14:textFill>
        </w:rPr>
      </w:pPr>
      <w:bookmarkStart w:id="0" w:name="_Toc14481"/>
      <w:bookmarkStart w:id="1" w:name="_Toc46985590"/>
      <w:bookmarkStart w:id="2" w:name="_Toc8054"/>
      <w:bookmarkStart w:id="3" w:name="_Toc17915"/>
      <w:bookmarkStart w:id="4" w:name="_Toc2212"/>
      <w:bookmarkStart w:id="5" w:name="_Toc15317"/>
      <w:bookmarkStart w:id="6" w:name="_Toc15749"/>
      <w:bookmarkStart w:id="7" w:name="_Toc450662846"/>
      <w:bookmarkStart w:id="8" w:name="_Toc47514334"/>
      <w:bookmarkStart w:id="9" w:name="_Toc4720"/>
      <w:bookmarkStart w:id="10" w:name="_Toc15415"/>
      <w:bookmarkStart w:id="11" w:name="_Toc9759"/>
      <w:bookmarkStart w:id="12" w:name="_Toc521918064"/>
      <w:bookmarkStart w:id="13" w:name="_Toc25717"/>
      <w:bookmarkStart w:id="14" w:name="_Toc21290"/>
      <w:bookmarkStart w:id="15" w:name="_Toc4476"/>
      <w:bookmarkStart w:id="16" w:name="_Toc1728"/>
      <w:bookmarkStart w:id="17" w:name="_Toc47013120"/>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第一章 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65625CC">
      <w:pPr>
        <w:keepNext w:val="0"/>
        <w:keepLines w:val="0"/>
        <w:pageBreakBefore w:val="0"/>
        <w:widowControl/>
        <w:kinsoku/>
        <w:wordWrap/>
        <w:overflowPunct/>
        <w:topLinePunct w:val="0"/>
        <w:autoSpaceDE/>
        <w:autoSpaceDN/>
        <w:bidi w:val="0"/>
        <w:adjustRightInd/>
        <w:snapToGrid/>
        <w:spacing w:before="0" w:beforeLines="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根据《</w:t>
      </w:r>
      <w:r>
        <w:rPr>
          <w:rFonts w:hint="eastAsia" w:ascii="宋体" w:hAnsi="宋体" w:eastAsia="宋体" w:cs="宋体"/>
          <w:color w:val="000000" w:themeColor="text1"/>
          <w:kern w:val="0"/>
          <w:sz w:val="21"/>
          <w:szCs w:val="21"/>
          <w:highlight w:val="none"/>
          <w:lang w:bidi="ar"/>
          <w14:textFill>
            <w14:solidFill>
              <w14:schemeClr w14:val="tx1"/>
            </w14:solidFill>
          </w14:textFill>
        </w:rPr>
        <w:t>东莞市众源环境投资有限公司半干化泥粉外运资源化处置服务供应商库2023年第一期扩增供应商项目</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东莞市众源环境投资有限公司半干化泥粉外运资源化处置服务供应商库2023年第</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二</w:t>
      </w:r>
      <w:r>
        <w:rPr>
          <w:rFonts w:hint="eastAsia" w:ascii="宋体" w:hAnsi="宋体" w:eastAsia="宋体" w:cs="宋体"/>
          <w:color w:val="000000" w:themeColor="text1"/>
          <w:kern w:val="0"/>
          <w:sz w:val="21"/>
          <w:szCs w:val="21"/>
          <w:highlight w:val="none"/>
          <w:lang w:bidi="ar"/>
          <w14:textFill>
            <w14:solidFill>
              <w14:schemeClr w14:val="tx1"/>
            </w14:solidFill>
          </w14:textFill>
        </w:rPr>
        <w:t>期扩增供应商项目</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》、《东莞市众源环境投资有限公司半干化泥粉外运资源化处置服务供应商库2024年扩增供应商项目》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公开征集文件及入库合同约定，</w:t>
      </w:r>
      <w:r>
        <w:rPr>
          <w:rFonts w:hint="eastAsia" w:ascii="宋体" w:hAnsi="宋体" w:eastAsia="宋体" w:cs="宋体"/>
          <w:color w:val="000000" w:themeColor="text1"/>
          <w:kern w:val="0"/>
          <w:sz w:val="21"/>
          <w:szCs w:val="21"/>
          <w:highlight w:val="none"/>
          <w:lang w:bidi="ar"/>
          <w14:textFill>
            <w14:solidFill>
              <w14:schemeClr w14:val="tx1"/>
            </w14:solidFill>
          </w14:textFill>
        </w:rPr>
        <w:t>东莞市众源环境投资有限公司</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后称“众源公司”或委托人</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现就“</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12家等供水厂余泥外运处置项目</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进行</w:t>
      </w:r>
      <w:r>
        <w:rPr>
          <w:rFonts w:hint="eastAsia" w:ascii="宋体" w:hAnsi="宋体" w:eastAsia="宋体" w:cs="宋体"/>
          <w:color w:val="000000" w:themeColor="text1"/>
          <w:kern w:val="0"/>
          <w:sz w:val="21"/>
          <w:szCs w:val="21"/>
          <w:highlight w:val="none"/>
          <w:lang w:bidi="ar"/>
          <w14:textFill>
            <w14:solidFill>
              <w14:schemeClr w14:val="tx1"/>
            </w14:solidFill>
          </w14:textFill>
        </w:rPr>
        <w:t>库内分配，</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邀请</w:t>
      </w: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处置场所在东莞市行政区域内的库内处置服务单位报价</w:t>
      </w: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有意愿参与的请按要求递交申请文件。</w:t>
      </w:r>
    </w:p>
    <w:p w14:paraId="5DB745E2">
      <w:pPr>
        <w:keepNext w:val="0"/>
        <w:keepLines w:val="0"/>
        <w:pageBreakBefore w:val="0"/>
        <w:widowControl/>
        <w:kinsoku/>
        <w:wordWrap/>
        <w:overflowPunct/>
        <w:topLinePunct w:val="0"/>
        <w:autoSpaceDE/>
        <w:autoSpaceDN/>
        <w:bidi w:val="0"/>
        <w:adjustRightInd/>
        <w:snapToGrid/>
        <w:spacing w:before="0" w:beforeLines="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委托人将12家等供水厂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（第四水厂、第五水厂、塘厦凤凰水厂、谢岗第二水厂、樟木头簕竹排水厂、松山湖水厂、芦花坑水厂、东城水厂、万江水厂、高埗水厂、企石水厂、桥头第三水厂</w:t>
      </w:r>
      <w:r>
        <w:rPr>
          <w:rFonts w:hint="eastAsia" w:hAnsi="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的排泥水余泥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外运处置服务权</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通过库内竞价方式（提交一次报价），按照报价由低到高的顺序推荐成交候选人，顺序第一名的申请人推荐为</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候选常态化处置单位，</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由其负责开展</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外运处置工作；其余顺序的申请人为候选应急处置单位</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在常态化处置的</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成交人</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无法满足外运处置需求期间，协助开展</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应急外运处置工作。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（具体内容详见：第三章 用户需求书）</w:t>
      </w:r>
    </w:p>
    <w:p w14:paraId="48380AD7">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8" w:name="_Toc11765"/>
      <w:bookmarkStart w:id="19" w:name="_Toc12341"/>
      <w:bookmarkStart w:id="20" w:name="_Toc26714"/>
      <w:bookmarkStart w:id="21" w:name="_Toc26654"/>
      <w:r>
        <w:rPr>
          <w:rFonts w:hint="eastAsia" w:ascii="宋体" w:hAnsi="宋体" w:eastAsia="宋体" w:cs="宋体"/>
          <w:b/>
          <w:color w:val="000000" w:themeColor="text1"/>
          <w:sz w:val="21"/>
          <w:szCs w:val="21"/>
          <w:highlight w:val="none"/>
          <w:lang w:val="en-US" w:eastAsia="zh-CN"/>
          <w14:textFill>
            <w14:solidFill>
              <w14:schemeClr w14:val="tx1"/>
            </w14:solidFill>
          </w14:textFill>
        </w:rPr>
        <w:t>1 项目范围、最高限价及服务期：</w:t>
      </w:r>
      <w:bookmarkEnd w:id="18"/>
      <w:bookmarkEnd w:id="19"/>
      <w:bookmarkEnd w:id="20"/>
      <w:bookmarkEnd w:id="21"/>
    </w:p>
    <w:p w14:paraId="52A4221F">
      <w:pPr>
        <w:keepNext w:val="0"/>
        <w:keepLines w:val="0"/>
        <w:pageBreakBefore w:val="0"/>
        <w:widowControl/>
        <w:kinsoku/>
        <w:wordWrap/>
        <w:overflowPunct/>
        <w:topLinePunct w:val="0"/>
        <w:autoSpaceDE/>
        <w:autoSpaceDN/>
        <w:bidi w:val="0"/>
        <w:adjustRightInd/>
        <w:snapToGrid/>
        <w:spacing w:before="0" w:beforeLines="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邀请符合资格的库内供应商就下列范围内所有运输及处置服务内容提交密封申请文件：</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2995"/>
        <w:gridCol w:w="2999"/>
        <w:gridCol w:w="1589"/>
      </w:tblGrid>
      <w:tr w14:paraId="2A5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42" w:type="pct"/>
            <w:noWrap w:val="0"/>
            <w:vAlign w:val="center"/>
          </w:tcPr>
          <w:p w14:paraId="2C4C4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供水厂</w:t>
            </w:r>
          </w:p>
        </w:tc>
        <w:tc>
          <w:tcPr>
            <w:tcW w:w="1444" w:type="pct"/>
            <w:noWrap w:val="0"/>
            <w:vAlign w:val="center"/>
          </w:tcPr>
          <w:p w14:paraId="16B3D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分配最高限价</w:t>
            </w:r>
          </w:p>
          <w:p w14:paraId="40C68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（不含税单价）</w:t>
            </w:r>
          </w:p>
        </w:tc>
        <w:tc>
          <w:tcPr>
            <w:tcW w:w="1446" w:type="pct"/>
            <w:noWrap w:val="0"/>
            <w:vAlign w:val="center"/>
          </w:tcPr>
          <w:p w14:paraId="49593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服务期（暂定）</w:t>
            </w:r>
          </w:p>
        </w:tc>
        <w:tc>
          <w:tcPr>
            <w:tcW w:w="766" w:type="pct"/>
            <w:noWrap w:val="0"/>
            <w:vAlign w:val="center"/>
          </w:tcPr>
          <w:p w14:paraId="6005D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备注</w:t>
            </w:r>
          </w:p>
        </w:tc>
      </w:tr>
      <w:tr w14:paraId="6B6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2" w:type="pct"/>
            <w:vMerge w:val="restart"/>
            <w:noWrap w:val="0"/>
            <w:vAlign w:val="center"/>
          </w:tcPr>
          <w:p w14:paraId="61EB5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12家等供水厂</w:t>
            </w:r>
          </w:p>
          <w:p w14:paraId="638DC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（第四水厂、第五水厂、塘厦凤凰水厂、谢岗第二水厂、樟木头簕竹排水厂、松山湖水厂、芦花坑水厂、东城水厂、万江水厂、高埗水厂、企石水厂、桥头第三水厂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444" w:type="pct"/>
            <w:vMerge w:val="restart"/>
            <w:noWrap w:val="0"/>
            <w:vAlign w:val="center"/>
          </w:tcPr>
          <w:p w14:paraId="24043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报价限价：190.00元/吨</w:t>
            </w:r>
          </w:p>
        </w:tc>
        <w:tc>
          <w:tcPr>
            <w:tcW w:w="1446" w:type="pct"/>
            <w:vMerge w:val="restart"/>
            <w:noWrap w:val="0"/>
            <w:vAlign w:val="center"/>
          </w:tcPr>
          <w:p w14:paraId="72A6AE04">
            <w:pPr>
              <w:pStyle w:val="33"/>
              <w:keepNext w:val="0"/>
              <w:keepLines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服务期自2025年7月7日起至委托人重新公开采购确定的服务单位开始接收余泥之日，具体以委托人书面通知终止日期为准，除合同双方签订补充协议延期外，本合同服务期最长不超过2026年1月6日。</w:t>
            </w:r>
          </w:p>
        </w:tc>
        <w:tc>
          <w:tcPr>
            <w:tcW w:w="766" w:type="pct"/>
            <w:vMerge w:val="restart"/>
            <w:noWrap w:val="0"/>
            <w:vAlign w:val="center"/>
          </w:tcPr>
          <w:p w14:paraId="16961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t>委托人可根据自身需求提前终止项目</w:t>
            </w:r>
          </w:p>
        </w:tc>
      </w:tr>
      <w:tr w14:paraId="4F4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2" w:type="pct"/>
            <w:vMerge w:val="continue"/>
            <w:noWrap w:val="0"/>
            <w:vAlign w:val="center"/>
          </w:tcPr>
          <w:p w14:paraId="5E66F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4" w:type="pct"/>
            <w:vMerge w:val="continue"/>
            <w:noWrap w:val="0"/>
            <w:vAlign w:val="center"/>
          </w:tcPr>
          <w:p w14:paraId="2977C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6" w:type="pct"/>
            <w:vMerge w:val="continue"/>
            <w:noWrap w:val="0"/>
            <w:vAlign w:val="center"/>
          </w:tcPr>
          <w:p w14:paraId="6BC1C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766" w:type="pct"/>
            <w:vMerge w:val="continue"/>
            <w:noWrap w:val="0"/>
            <w:vAlign w:val="center"/>
          </w:tcPr>
          <w:p w14:paraId="265A1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r>
      <w:tr w14:paraId="32C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2" w:type="pct"/>
            <w:vMerge w:val="continue"/>
            <w:noWrap w:val="0"/>
            <w:vAlign w:val="center"/>
          </w:tcPr>
          <w:p w14:paraId="4104B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4" w:type="pct"/>
            <w:vMerge w:val="continue"/>
            <w:noWrap w:val="0"/>
            <w:vAlign w:val="center"/>
          </w:tcPr>
          <w:p w14:paraId="681B3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6" w:type="pct"/>
            <w:vMerge w:val="continue"/>
            <w:noWrap w:val="0"/>
            <w:vAlign w:val="center"/>
          </w:tcPr>
          <w:p w14:paraId="59A54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766" w:type="pct"/>
            <w:vMerge w:val="continue"/>
            <w:noWrap w:val="0"/>
            <w:vAlign w:val="center"/>
          </w:tcPr>
          <w:p w14:paraId="50D0B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r>
      <w:tr w14:paraId="316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42" w:type="pct"/>
            <w:vMerge w:val="continue"/>
            <w:noWrap w:val="0"/>
            <w:vAlign w:val="center"/>
          </w:tcPr>
          <w:p w14:paraId="2697D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4" w:type="pct"/>
            <w:vMerge w:val="continue"/>
            <w:noWrap w:val="0"/>
            <w:vAlign w:val="center"/>
          </w:tcPr>
          <w:p w14:paraId="558BB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1446" w:type="pct"/>
            <w:vMerge w:val="continue"/>
            <w:noWrap w:val="0"/>
            <w:vAlign w:val="center"/>
          </w:tcPr>
          <w:p w14:paraId="5B9AF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c>
          <w:tcPr>
            <w:tcW w:w="766" w:type="pct"/>
            <w:vMerge w:val="continue"/>
            <w:noWrap w:val="0"/>
            <w:vAlign w:val="center"/>
          </w:tcPr>
          <w:p w14:paraId="3EE6E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kern w:val="0"/>
                <w:sz w:val="21"/>
                <w:szCs w:val="21"/>
                <w:highlight w:val="none"/>
                <w:vertAlign w:val="baseline"/>
                <w:lang w:val="en-US" w:eastAsia="zh-CN" w:bidi="ar"/>
                <w14:textFill>
                  <w14:solidFill>
                    <w14:schemeClr w14:val="tx1"/>
                  </w14:solidFill>
                </w14:textFill>
              </w:rPr>
            </w:pPr>
          </w:p>
        </w:tc>
      </w:tr>
    </w:tbl>
    <w:p w14:paraId="5E60FC36">
      <w:pPr>
        <w:pStyle w:val="5"/>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bookmarkStart w:id="22" w:name="_Toc25470"/>
      <w:bookmarkStart w:id="23" w:name="_Toc7131"/>
      <w:bookmarkStart w:id="24" w:name="_Toc31716"/>
      <w:bookmarkStart w:id="25" w:name="_Toc29146"/>
      <w:r>
        <w:rPr>
          <w:rFonts w:hint="eastAsia" w:ascii="宋体" w:hAnsi="宋体" w:eastAsia="宋体" w:cs="宋体"/>
          <w:b/>
          <w:color w:val="000000" w:themeColor="text1"/>
          <w:sz w:val="21"/>
          <w:szCs w:val="21"/>
          <w:highlight w:val="none"/>
          <w:lang w:val="en-US" w:eastAsia="zh-CN"/>
          <w14:textFill>
            <w14:solidFill>
              <w14:schemeClr w14:val="tx1"/>
            </w14:solidFill>
          </w14:textFill>
        </w:rPr>
        <w:t>2 获取分配资料的时间、方式：</w:t>
      </w:r>
      <w:bookmarkEnd w:id="22"/>
      <w:bookmarkEnd w:id="23"/>
      <w:bookmarkEnd w:id="24"/>
      <w:bookmarkEnd w:id="25"/>
    </w:p>
    <w:p w14:paraId="7D718CD9">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 获取分配资料时间：2025年</w:t>
      </w:r>
      <w:r>
        <w:rPr>
          <w:rFonts w:hint="eastAsia"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月</w:t>
      </w:r>
      <w:r>
        <w:rPr>
          <w:rFonts w:hint="eastAsia" w:hAnsi="宋体" w:cs="宋体"/>
          <w:color w:val="000000" w:themeColor="text1"/>
          <w:kern w:val="0"/>
          <w:sz w:val="21"/>
          <w:szCs w:val="21"/>
          <w:highlight w:val="none"/>
          <w:lang w:val="en-US" w:eastAsia="zh-CN" w:bidi="ar"/>
          <w14:textFill>
            <w14:solidFill>
              <w14:schemeClr w14:val="tx1"/>
            </w14:solidFill>
          </w14:textFill>
        </w:rPr>
        <w:t>20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日至2025年</w:t>
      </w:r>
      <w:r>
        <w:rPr>
          <w:rFonts w:hint="eastAsia"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月 </w:t>
      </w:r>
      <w:r>
        <w:rPr>
          <w:rFonts w:hint="eastAsia" w:hAnsi="宋体" w:cs="宋体"/>
          <w:color w:val="000000" w:themeColor="text1"/>
          <w:kern w:val="0"/>
          <w:sz w:val="21"/>
          <w:szCs w:val="21"/>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w:t>
      </w:r>
    </w:p>
    <w:p w14:paraId="3050F548">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 获取分配资料方式：委托人以电子邮件形式向库内单位发送邀请，并在东莞市水务集团有限公司官网（www.dgswjt.cn）上发布公告。受邀请的供应商可通过上述途径获取相关资料。</w:t>
      </w:r>
    </w:p>
    <w:p w14:paraId="6D928DA9">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bookmarkStart w:id="26" w:name="_Toc839"/>
      <w:bookmarkStart w:id="27" w:name="_Toc10125"/>
      <w:bookmarkStart w:id="28" w:name="_Toc17541"/>
      <w:bookmarkStart w:id="29" w:name="_Toc19415"/>
      <w:r>
        <w:rPr>
          <w:rFonts w:hint="eastAsia" w:ascii="宋体" w:hAnsi="宋体" w:eastAsia="宋体" w:cs="宋体"/>
          <w:b/>
          <w:color w:val="000000" w:themeColor="text1"/>
          <w:sz w:val="21"/>
          <w:szCs w:val="21"/>
          <w:highlight w:val="none"/>
          <w:lang w:val="en-US" w:eastAsia="zh-CN"/>
          <w14:textFill>
            <w14:solidFill>
              <w14:schemeClr w14:val="tx1"/>
            </w14:solidFill>
          </w14:textFill>
        </w:rPr>
        <w:t>3 申请文件递交的截止时间</w:t>
      </w:r>
      <w:r>
        <w:rPr>
          <w:rFonts w:hint="eastAsia" w:ascii="宋体" w:hAnsi="宋体" w:eastAsia="宋体" w:cs="宋体"/>
          <w:b/>
          <w:color w:val="000000" w:themeColor="text1"/>
          <w:sz w:val="21"/>
          <w:szCs w:val="21"/>
          <w:highlight w:val="none"/>
          <w14:textFill>
            <w14:solidFill>
              <w14:schemeClr w14:val="tx1"/>
            </w14:solidFill>
          </w14:textFill>
        </w:rPr>
        <w:t>（北京时间）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及地点：</w:t>
      </w:r>
      <w:bookmarkEnd w:id="26"/>
      <w:bookmarkEnd w:id="27"/>
      <w:bookmarkEnd w:id="28"/>
      <w:bookmarkEnd w:id="29"/>
    </w:p>
    <w:p w14:paraId="6CFE1298">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 申请文件递交时间：2025年</w:t>
      </w:r>
      <w:r>
        <w:rPr>
          <w:rFonts w:hint="eastAsia"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月</w:t>
      </w:r>
      <w:r>
        <w:rPr>
          <w:rFonts w:hint="eastAsia" w:hAnsi="宋体" w:cs="宋体"/>
          <w:color w:val="000000" w:themeColor="text1"/>
          <w:kern w:val="0"/>
          <w:sz w:val="21"/>
          <w:szCs w:val="21"/>
          <w:highlight w:val="none"/>
          <w:lang w:val="en-US" w:eastAsia="zh-CN" w:bidi="ar"/>
          <w14:textFill>
            <w14:solidFill>
              <w14:schemeClr w14:val="tx1"/>
            </w14:solidFill>
          </w14:textFill>
        </w:rPr>
        <w:t>26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 上午8:30-9:00</w:t>
      </w:r>
    </w:p>
    <w:p w14:paraId="4401D981">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 申请截止及评审时间：2025年</w:t>
      </w:r>
      <w:r>
        <w:rPr>
          <w:rFonts w:hint="eastAsia"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月</w:t>
      </w:r>
      <w:r>
        <w:rPr>
          <w:rFonts w:hint="eastAsia" w:hAnsi="宋体" w:cs="宋体"/>
          <w:color w:val="000000" w:themeColor="text1"/>
          <w:kern w:val="0"/>
          <w:sz w:val="21"/>
          <w:szCs w:val="21"/>
          <w:highlight w:val="none"/>
          <w:lang w:val="en-US" w:eastAsia="zh-CN" w:bidi="ar"/>
          <w14:textFill>
            <w14:solidFill>
              <w14:schemeClr w14:val="tx1"/>
            </w14:solidFill>
          </w14:textFill>
        </w:rPr>
        <w:t>26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日 上午9:00</w:t>
      </w:r>
    </w:p>
    <w:p w14:paraId="706BADB7">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3.3 申请文件递交及评审地址：东莞市南城街道石鼓社区沿河路西东莞市利源有机资源再生利用项目（东莞市众源环境投资有限公司)</w:t>
      </w:r>
    </w:p>
    <w:p w14:paraId="2BA00C61">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30" w:name="_Toc10210"/>
      <w:bookmarkStart w:id="31" w:name="_Toc17710"/>
      <w:bookmarkStart w:id="32" w:name="_Toc27419"/>
      <w:bookmarkStart w:id="33" w:name="_Toc32734"/>
      <w:r>
        <w:rPr>
          <w:rFonts w:hint="eastAsia" w:ascii="宋体" w:hAnsi="宋体" w:eastAsia="宋体" w:cs="宋体"/>
          <w:b/>
          <w:color w:val="000000" w:themeColor="text1"/>
          <w:sz w:val="21"/>
          <w:szCs w:val="21"/>
          <w:highlight w:val="none"/>
          <w:lang w:val="en-US" w:eastAsia="zh-CN"/>
          <w14:textFill>
            <w14:solidFill>
              <w14:schemeClr w14:val="tx1"/>
            </w14:solidFill>
          </w14:textFill>
        </w:rPr>
        <w:t>4 其它要求：</w:t>
      </w:r>
      <w:bookmarkEnd w:id="30"/>
      <w:bookmarkEnd w:id="31"/>
      <w:bookmarkEnd w:id="32"/>
      <w:bookmarkEnd w:id="33"/>
    </w:p>
    <w:p w14:paraId="1EC3AB12">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4.1 获取了分配通知及相关资料，而不参加竞价的潜在供应商，请在申请截止三日前以书面形式通知</w:t>
      </w:r>
      <w:r>
        <w:rPr>
          <w:rFonts w:hint="eastAsia" w:hAnsi="宋体" w:cs="宋体"/>
          <w:color w:val="000000" w:themeColor="text1"/>
          <w:kern w:val="0"/>
          <w:sz w:val="21"/>
          <w:szCs w:val="21"/>
          <w:highlight w:val="none"/>
          <w:lang w:val="en-US" w:eastAsia="zh-CN" w:bidi="ar"/>
          <w14:textFill>
            <w14:solidFill>
              <w14:schemeClr w14:val="tx1"/>
            </w14:solidFill>
          </w14:textFill>
        </w:rPr>
        <w:t>委托人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66CBBFF3">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 供应商按</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第五章</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申请文件格式要求，提供1套密封的申请文件（含5份纸质文件(一正四副)和1份盖公章的电子文件）并由法定代表人或其授权代表于递交申请文件截止时间前亲自递交。电报、传真</w:t>
      </w:r>
      <w:r>
        <w:rPr>
          <w:rFonts w:hint="eastAsia" w:ascii="宋体" w:hAnsi="宋体" w:eastAsia="宋体" w:cs="宋体"/>
          <w:color w:val="000000" w:themeColor="text1"/>
          <w:sz w:val="21"/>
          <w:szCs w:val="21"/>
          <w:highlight w:val="none"/>
          <w:lang w:val="en-US" w:eastAsia="zh-CN"/>
          <w14:textFill>
            <w14:solidFill>
              <w14:schemeClr w14:val="tx1"/>
            </w14:solidFill>
          </w14:textFill>
        </w:rPr>
        <w:t>等非密封</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形式的申请文件概不接受。经办人如是法定代表人，需提供法定代表人证明书及法定代表人身份证复印件；经办人如是授权代表，需提供法定代表人授权委托书及授权代表身份证复印件。</w:t>
      </w:r>
    </w:p>
    <w:p w14:paraId="2FB56789">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bookmarkStart w:id="34" w:name="_Toc18891"/>
      <w:bookmarkStart w:id="35" w:name="_Toc16748"/>
      <w:bookmarkStart w:id="36" w:name="_Toc5980"/>
      <w:bookmarkStart w:id="37" w:name="_Toc24307"/>
      <w:r>
        <w:rPr>
          <w:rFonts w:hint="eastAsia" w:ascii="宋体" w:hAnsi="宋体" w:eastAsia="宋体" w:cs="宋体"/>
          <w:b/>
          <w:color w:val="000000" w:themeColor="text1"/>
          <w:sz w:val="21"/>
          <w:szCs w:val="21"/>
          <w:highlight w:val="none"/>
          <w:lang w:val="en-US" w:eastAsia="zh-CN"/>
          <w14:textFill>
            <w14:solidFill>
              <w14:schemeClr w14:val="tx1"/>
            </w14:solidFill>
          </w14:textFill>
        </w:rPr>
        <w:t>5 委托人联系方式：</w:t>
      </w:r>
      <w:bookmarkEnd w:id="34"/>
      <w:bookmarkEnd w:id="35"/>
      <w:bookmarkEnd w:id="36"/>
      <w:bookmarkEnd w:id="37"/>
    </w:p>
    <w:p w14:paraId="35312B95">
      <w:pPr>
        <w:keepNext w:val="0"/>
        <w:keepLines w:val="0"/>
        <w:pageBreakBefore w:val="0"/>
        <w:tabs>
          <w:tab w:val="left" w:pos="0"/>
        </w:tabs>
        <w:kinsoku/>
        <w:wordWrap/>
        <w:overflowPunct/>
        <w:topLinePunct w:val="0"/>
        <w:bidi w:val="0"/>
        <w:snapToGrid/>
        <w:spacing w:line="360" w:lineRule="auto"/>
        <w:ind w:right="-34"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hAnsi="宋体" w:cs="宋体"/>
          <w:color w:val="000000" w:themeColor="text1"/>
          <w:kern w:val="0"/>
          <w:sz w:val="21"/>
          <w:szCs w:val="21"/>
          <w:highlight w:val="none"/>
          <w:lang w:val="en-US" w:eastAsia="zh-CN" w:bidi="ar"/>
          <w14:textFill>
            <w14:solidFill>
              <w14:schemeClr w14:val="tx1"/>
            </w14:solidFill>
          </w14:textFill>
        </w:rPr>
        <w:t>委托</w:t>
      </w:r>
      <w: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t>人：东莞市众源环境投资有限公司</w:t>
      </w:r>
    </w:p>
    <w:p w14:paraId="1EF558A5">
      <w:pPr>
        <w:keepNext w:val="0"/>
        <w:keepLines w:val="0"/>
        <w:pageBreakBefore w:val="0"/>
        <w:tabs>
          <w:tab w:val="left" w:pos="0"/>
        </w:tabs>
        <w:kinsoku/>
        <w:wordWrap/>
        <w:overflowPunct/>
        <w:topLinePunct w:val="0"/>
        <w:bidi w:val="0"/>
        <w:snapToGrid/>
        <w:spacing w:line="360" w:lineRule="auto"/>
        <w:ind w:right="-34" w:firstLine="420" w:firstLineChars="200"/>
        <w:jc w:val="both"/>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t>联系人地址：东莞市南城街道石鼓社区沿河路西东莞市利源有机资源再生利用项目</w:t>
      </w:r>
    </w:p>
    <w:p w14:paraId="0CB639B5">
      <w:pPr>
        <w:keepNext w:val="0"/>
        <w:keepLines w:val="0"/>
        <w:pageBreakBefore w:val="0"/>
        <w:tabs>
          <w:tab w:val="left" w:pos="0"/>
        </w:tabs>
        <w:kinsoku/>
        <w:wordWrap/>
        <w:overflowPunct/>
        <w:topLinePunct w:val="0"/>
        <w:bidi w:val="0"/>
        <w:snapToGrid/>
        <w:spacing w:line="360" w:lineRule="auto"/>
        <w:ind w:right="-34"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联系人：莫佩欣</w:t>
      </w:r>
    </w:p>
    <w:p w14:paraId="2E060D4E">
      <w:pPr>
        <w:keepNext w:val="0"/>
        <w:keepLines w:val="0"/>
        <w:pageBreakBefore w:val="0"/>
        <w:tabs>
          <w:tab w:val="left" w:pos="0"/>
        </w:tabs>
        <w:kinsoku/>
        <w:wordWrap/>
        <w:overflowPunct/>
        <w:topLinePunct w:val="0"/>
        <w:bidi w:val="0"/>
        <w:snapToGrid/>
        <w:spacing w:line="360" w:lineRule="auto"/>
        <w:ind w:right="-34"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电</w:t>
      </w:r>
      <w:r>
        <w:rPr>
          <w:rFonts w:hint="eastAsia" w:hAnsi="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话：0769-22998930-315</w:t>
      </w:r>
    </w:p>
    <w:p w14:paraId="640F6FD0">
      <w:pPr>
        <w:keepNext w:val="0"/>
        <w:keepLines w:val="0"/>
        <w:pageBreakBefore w:val="0"/>
        <w:tabs>
          <w:tab w:val="left" w:pos="0"/>
        </w:tabs>
        <w:kinsoku/>
        <w:wordWrap/>
        <w:overflowPunct/>
        <w:topLinePunct w:val="0"/>
        <w:bidi w:val="0"/>
        <w:snapToGrid/>
        <w:spacing w:line="360" w:lineRule="auto"/>
        <w:ind w:right="-34" w:firstLine="420" w:firstLineChars="20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邮</w:t>
      </w:r>
      <w:r>
        <w:rPr>
          <w:rFonts w:hint="eastAsia" w:hAnsi="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箱：</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instrText xml:space="preserve"> HYPERLINK "mailto:2425235606@qq.com" </w:instrTex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1409428550@qq.com</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fldChar w:fldCharType="end"/>
      </w:r>
    </w:p>
    <w:p w14:paraId="2FBF3267">
      <w:pPr>
        <w:tabs>
          <w:tab w:val="left" w:pos="0"/>
        </w:tabs>
        <w:spacing w:line="360" w:lineRule="auto"/>
        <w:ind w:right="-34"/>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17C31816">
      <w:pPr>
        <w:widowControl w:val="0"/>
        <w:spacing w:line="360" w:lineRule="auto"/>
        <w:jc w:val="center"/>
        <w:rPr>
          <w:rFonts w:hint="eastAsia" w:ascii="宋体" w:hAnsi="宋体" w:eastAsia="宋体" w:cs="宋体"/>
          <w:bCs/>
          <w:kern w:val="2"/>
          <w:sz w:val="21"/>
          <w:szCs w:val="24"/>
          <w:lang w:val="en-US" w:eastAsia="zh-CN" w:bidi="ar-SA"/>
        </w:rPr>
      </w:pPr>
      <w:r>
        <w:rPr>
          <w:rFonts w:hint="eastAsia" w:ascii="宋体" w:hAnsi="宋体" w:eastAsia="宋体" w:cs="宋体"/>
          <w:bCs/>
          <w:kern w:val="2"/>
          <w:sz w:val="21"/>
          <w:szCs w:val="24"/>
          <w:lang w:val="en-US" w:eastAsia="zh-CN" w:bidi="ar-SA"/>
        </w:rPr>
        <w:t xml:space="preserve">                                                   </w:t>
      </w:r>
    </w:p>
    <w:p w14:paraId="32ACBCFD">
      <w:pPr>
        <w:widowControl w:val="0"/>
        <w:spacing w:line="360" w:lineRule="auto"/>
        <w:jc w:val="center"/>
        <w:rPr>
          <w:rFonts w:ascii="宋体" w:hAnsi="宋体" w:eastAsia="宋体" w:cs="宋体"/>
          <w:bCs/>
          <w:kern w:val="2"/>
          <w:sz w:val="21"/>
          <w:szCs w:val="24"/>
          <w:lang w:val="zh-CN" w:eastAsia="zh-CN" w:bidi="ar-SA"/>
        </w:rPr>
      </w:pPr>
      <w:r>
        <w:rPr>
          <w:rFonts w:hint="eastAsia" w:ascii="宋体" w:hAnsi="宋体" w:eastAsia="宋体" w:cs="宋体"/>
          <w:bCs/>
          <w:kern w:val="2"/>
          <w:sz w:val="21"/>
          <w:szCs w:val="24"/>
          <w:lang w:val="en-US" w:eastAsia="zh-CN" w:bidi="ar-SA"/>
        </w:rPr>
        <w:t xml:space="preserve">                                                     </w:t>
      </w:r>
      <w:r>
        <w:rPr>
          <w:rFonts w:hint="eastAsia" w:ascii="宋体" w:hAnsi="宋体" w:eastAsia="宋体" w:cs="宋体"/>
          <w:bCs/>
          <w:kern w:val="2"/>
          <w:sz w:val="21"/>
          <w:szCs w:val="24"/>
          <w:lang w:val="zh-CN" w:eastAsia="zh-CN" w:bidi="ar-SA"/>
        </w:rPr>
        <w:t>东莞市众源环境投资有限公司</w:t>
      </w:r>
    </w:p>
    <w:p w14:paraId="494197BB">
      <w:pPr>
        <w:widowControl w:val="0"/>
        <w:spacing w:line="360" w:lineRule="auto"/>
        <w:jc w:val="center"/>
        <w:rPr>
          <w:rFonts w:ascii="宋体" w:hAnsi="宋体" w:eastAsia="宋体" w:cs="宋体"/>
          <w:bCs/>
          <w:kern w:val="2"/>
          <w:sz w:val="21"/>
          <w:szCs w:val="24"/>
          <w:lang w:val="zh-CN" w:eastAsia="zh-CN" w:bidi="ar-SA"/>
        </w:rPr>
      </w:pPr>
      <w:r>
        <w:rPr>
          <w:rFonts w:hint="eastAsia" w:ascii="宋体" w:hAnsi="宋体" w:eastAsia="宋体" w:cs="宋体"/>
          <w:bCs/>
          <w:kern w:val="2"/>
          <w:sz w:val="21"/>
          <w:szCs w:val="24"/>
          <w:lang w:val="en-US" w:eastAsia="zh-CN" w:bidi="ar-SA"/>
        </w:rPr>
        <w:t xml:space="preserve">                                                     </w:t>
      </w:r>
      <w:r>
        <w:rPr>
          <w:rFonts w:hint="eastAsia" w:ascii="宋体" w:hAnsi="宋体" w:eastAsia="宋体" w:cs="宋体"/>
          <w:bCs/>
          <w:kern w:val="2"/>
          <w:sz w:val="21"/>
          <w:szCs w:val="24"/>
          <w:lang w:val="zh-CN" w:eastAsia="zh-CN" w:bidi="ar-SA"/>
        </w:rPr>
        <w:t>202</w:t>
      </w:r>
      <w:r>
        <w:rPr>
          <w:rFonts w:hint="eastAsia" w:ascii="宋体" w:hAnsi="宋体" w:eastAsia="宋体" w:cs="宋体"/>
          <w:bCs/>
          <w:kern w:val="2"/>
          <w:sz w:val="21"/>
          <w:szCs w:val="24"/>
          <w:lang w:val="en-US" w:eastAsia="zh-CN" w:bidi="ar-SA"/>
        </w:rPr>
        <w:t>5</w:t>
      </w:r>
      <w:r>
        <w:rPr>
          <w:rFonts w:hint="eastAsia" w:ascii="宋体" w:hAnsi="宋体" w:eastAsia="宋体" w:cs="宋体"/>
          <w:bCs/>
          <w:kern w:val="2"/>
          <w:sz w:val="21"/>
          <w:szCs w:val="24"/>
          <w:lang w:val="zh-CN" w:eastAsia="zh-CN" w:bidi="ar-SA"/>
        </w:rPr>
        <w:t>年</w:t>
      </w:r>
      <w:r>
        <w:rPr>
          <w:rFonts w:hint="eastAsia" w:hAnsi="宋体" w:cs="宋体"/>
          <w:bCs/>
          <w:kern w:val="2"/>
          <w:sz w:val="21"/>
          <w:szCs w:val="24"/>
          <w:lang w:val="en-US" w:eastAsia="zh-CN" w:bidi="ar-SA"/>
        </w:rPr>
        <w:t>6</w:t>
      </w:r>
      <w:r>
        <w:rPr>
          <w:rFonts w:hint="eastAsia" w:ascii="宋体" w:hAnsi="宋体" w:eastAsia="宋体" w:cs="宋体"/>
          <w:bCs/>
          <w:kern w:val="2"/>
          <w:sz w:val="21"/>
          <w:szCs w:val="24"/>
          <w:lang w:val="zh-CN" w:eastAsia="zh-CN" w:bidi="ar-SA"/>
        </w:rPr>
        <w:t>月</w:t>
      </w:r>
      <w:r>
        <w:rPr>
          <w:rFonts w:hint="eastAsia" w:hAnsi="宋体" w:cs="宋体"/>
          <w:bCs/>
          <w:kern w:val="2"/>
          <w:sz w:val="21"/>
          <w:szCs w:val="24"/>
          <w:lang w:val="en-US" w:eastAsia="zh-CN" w:bidi="ar-SA"/>
        </w:rPr>
        <w:t>20</w:t>
      </w:r>
      <w:r>
        <w:rPr>
          <w:rFonts w:hint="eastAsia" w:ascii="宋体" w:hAnsi="宋体" w:eastAsia="宋体" w:cs="宋体"/>
          <w:bCs/>
          <w:kern w:val="2"/>
          <w:sz w:val="21"/>
          <w:szCs w:val="24"/>
          <w:lang w:val="zh-CN" w:eastAsia="zh-CN" w:bidi="ar-SA"/>
        </w:rPr>
        <w:t>日</w:t>
      </w:r>
    </w:p>
    <w:p w14:paraId="2E61ECE6">
      <w:pPr>
        <w:tabs>
          <w:tab w:val="left" w:pos="0"/>
        </w:tabs>
        <w:spacing w:line="360" w:lineRule="auto"/>
        <w:ind w:right="-34" w:firstLine="480" w:firstLineChars="200"/>
        <w:jc w:val="both"/>
        <w:rPr>
          <w:rFonts w:hint="eastAsia"/>
        </w:rPr>
      </w:pPr>
    </w:p>
    <w:p w14:paraId="48540B0B">
      <w:pPr>
        <w:pStyle w:val="4"/>
        <w:pageBreakBefore/>
        <w:tabs>
          <w:tab w:val="left" w:pos="1080"/>
        </w:tabs>
        <w:spacing w:line="360" w:lineRule="auto"/>
        <w:ind w:left="567" w:hanging="567"/>
        <w:jc w:val="center"/>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38" w:name="_Toc5568"/>
      <w:bookmarkStart w:id="39" w:name="_Toc450662847"/>
      <w:bookmarkStart w:id="40" w:name="_Toc30625"/>
      <w:bookmarkStart w:id="41" w:name="_Toc26966"/>
      <w:bookmarkStart w:id="42" w:name="_Toc15063"/>
      <w:bookmarkStart w:id="43" w:name="_Toc46985591"/>
      <w:bookmarkStart w:id="44" w:name="_Toc3646"/>
      <w:bookmarkStart w:id="45" w:name="_Toc47013121"/>
      <w:bookmarkStart w:id="46" w:name="_Toc8988"/>
      <w:bookmarkStart w:id="47" w:name="_Toc21534"/>
      <w:bookmarkStart w:id="48" w:name="_Toc2886"/>
      <w:bookmarkStart w:id="49" w:name="_Toc25849"/>
      <w:bookmarkStart w:id="50" w:name="_Toc20199"/>
      <w:bookmarkStart w:id="51" w:name="_Toc521918065"/>
      <w:bookmarkStart w:id="52" w:name="_Toc47514335"/>
      <w:bookmarkStart w:id="53" w:name="_Toc17800"/>
      <w:bookmarkStart w:id="54" w:name="_Toc10320"/>
      <w:bookmarkStart w:id="55" w:name="_Toc2533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第二章</w:t>
      </w:r>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供应商须知</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E3DB903">
      <w:pPr>
        <w:pStyle w:val="5"/>
        <w:spacing w:line="360" w:lineRule="auto"/>
        <w:rPr>
          <w:rFonts w:hint="eastAsia" w:ascii="宋体" w:hAnsi="宋体" w:eastAsia="宋体" w:cs="宋体"/>
          <w:b/>
          <w:bCs/>
          <w:color w:val="000000" w:themeColor="text1"/>
          <w:kern w:val="44"/>
          <w:sz w:val="21"/>
          <w:szCs w:val="21"/>
          <w:highlight w:val="none"/>
          <w:lang w:val="zh-CN"/>
          <w14:textFill>
            <w14:solidFill>
              <w14:schemeClr w14:val="tx1"/>
            </w14:solidFill>
          </w14:textFill>
        </w:rPr>
      </w:pPr>
      <w:bookmarkStart w:id="56" w:name="_Toc3924"/>
      <w:bookmarkStart w:id="57" w:name="_Toc1168"/>
      <w:bookmarkStart w:id="58" w:name="_Toc26902"/>
      <w:bookmarkStart w:id="59" w:name="_Toc450662848"/>
      <w:bookmarkStart w:id="60" w:name="_Toc25492"/>
      <w:bookmarkStart w:id="61" w:name="_Toc521918066"/>
      <w:bookmarkStart w:id="62" w:name="_Toc7834"/>
      <w:bookmarkStart w:id="63" w:name="_Toc32324"/>
      <w:bookmarkStart w:id="64" w:name="_Toc8995"/>
      <w:bookmarkStart w:id="65" w:name="_Toc5302"/>
      <w:bookmarkStart w:id="66" w:name="_Toc47514336"/>
      <w:bookmarkStart w:id="67" w:name="_Toc21635"/>
      <w:bookmarkStart w:id="68" w:name="_Toc47013122"/>
      <w:bookmarkStart w:id="69" w:name="_Toc17168"/>
      <w:bookmarkStart w:id="70" w:name="_Toc3760"/>
      <w:bookmarkStart w:id="71" w:name="_Toc9447"/>
      <w:bookmarkStart w:id="72" w:name="_Toc46985592"/>
      <w:bookmarkStart w:id="73" w:name="_Toc25582"/>
      <w:bookmarkStart w:id="74" w:name="_Toc521918070"/>
      <w:bookmarkStart w:id="75" w:name="_Toc21279"/>
      <w:bookmarkStart w:id="76" w:name="_Toc28717"/>
      <w:bookmarkStart w:id="77" w:name="_Toc29280"/>
      <w:bookmarkStart w:id="78" w:name="_Toc12491"/>
      <w:bookmarkStart w:id="79" w:name="_Toc47013127"/>
      <w:bookmarkStart w:id="80" w:name="_Toc47514341"/>
      <w:bookmarkStart w:id="81" w:name="_Toc27308"/>
      <w:bookmarkStart w:id="82" w:name="_Toc450662853"/>
      <w:bookmarkStart w:id="83" w:name="_Toc29192"/>
      <w:bookmarkStart w:id="84" w:name="_Toc46985597"/>
      <w:bookmarkStart w:id="85" w:name="_Toc26046"/>
      <w:bookmarkStart w:id="86" w:name="_Toc31570"/>
      <w:bookmarkStart w:id="87" w:name="_Toc16194"/>
      <w:bookmarkStart w:id="88" w:name="_Toc23018"/>
      <w:r>
        <w:rPr>
          <w:rFonts w:hint="eastAsia" w:ascii="宋体" w:hAnsi="宋体" w:eastAsia="宋体" w:cs="宋体"/>
          <w:b/>
          <w:bCs/>
          <w:color w:val="000000" w:themeColor="text1"/>
          <w:kern w:val="44"/>
          <w:sz w:val="21"/>
          <w:szCs w:val="21"/>
          <w:highlight w:val="none"/>
          <w:lang w:val="zh-CN"/>
          <w14:textFill>
            <w14:solidFill>
              <w14:schemeClr w14:val="tx1"/>
            </w14:solidFill>
          </w14:textFill>
        </w:rPr>
        <w:t>一、总则</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E8F0540">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89" w:name="_Toc521918067"/>
      <w:bookmarkStart w:id="90" w:name="_Toc47013123"/>
      <w:bookmarkStart w:id="91" w:name="_Toc29886"/>
      <w:bookmarkStart w:id="92" w:name="_Toc13581"/>
      <w:bookmarkStart w:id="93" w:name="_Toc14385"/>
      <w:bookmarkStart w:id="94" w:name="_Toc4995"/>
      <w:bookmarkStart w:id="95" w:name="_Toc46985593"/>
      <w:bookmarkStart w:id="96" w:name="_Toc450662849"/>
      <w:bookmarkStart w:id="97" w:name="_Toc26944"/>
      <w:bookmarkStart w:id="98" w:name="_Toc10136"/>
      <w:bookmarkStart w:id="99" w:name="_Toc20737"/>
      <w:bookmarkStart w:id="100" w:name="_Toc24280"/>
      <w:bookmarkStart w:id="101" w:name="_Toc47514337"/>
      <w:bookmarkStart w:id="102" w:name="_Toc29605"/>
      <w:bookmarkStart w:id="103" w:name="_Toc13863"/>
      <w:bookmarkStart w:id="104" w:name="_Toc10494"/>
      <w:bookmarkStart w:id="105" w:name="_Toc31996"/>
      <w:bookmarkStart w:id="106" w:name="_Toc19156"/>
      <w:bookmarkStart w:id="107" w:name="_Toc28366"/>
      <w:r>
        <w:rPr>
          <w:rFonts w:hint="eastAsia" w:ascii="宋体" w:hAnsi="宋体" w:eastAsia="宋体" w:cs="宋体"/>
          <w:color w:val="000000" w:themeColor="text1"/>
          <w:kern w:val="2"/>
          <w:sz w:val="21"/>
          <w:szCs w:val="21"/>
          <w:highlight w:val="none"/>
          <w:lang w:val="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 xml:space="preserve">   资金来源</w:t>
      </w:r>
      <w:r>
        <w:rPr>
          <w:rFonts w:hint="eastAsia" w:ascii="宋体" w:hAnsi="宋体" w:eastAsia="宋体" w:cs="宋体"/>
          <w:color w:val="000000" w:themeColor="text1"/>
          <w:kern w:val="2"/>
          <w:sz w:val="21"/>
          <w:szCs w:val="21"/>
          <w:highlight w:val="none"/>
          <w:lang w:val="zh-CN"/>
          <w14:textFill>
            <w14:solidFill>
              <w14:schemeClr w14:val="tx1"/>
            </w14:solidFill>
          </w14:textFill>
        </w:rPr>
        <w:t>：企业自筹资金。</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57E0B6E">
      <w:pPr>
        <w:rPr>
          <w:rFonts w:hint="eastAsia" w:ascii="宋体" w:hAnsi="宋体" w:eastAsia="宋体" w:cs="宋体"/>
          <w:color w:val="000000" w:themeColor="text1"/>
          <w:sz w:val="21"/>
          <w:szCs w:val="21"/>
          <w:highlight w:val="none"/>
          <w:lang w:val="zh-CN"/>
          <w14:textFill>
            <w14:solidFill>
              <w14:schemeClr w14:val="tx1"/>
            </w14:solidFill>
          </w14:textFill>
        </w:rPr>
      </w:pPr>
    </w:p>
    <w:p w14:paraId="67B80E48">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108" w:name="_Toc534216347"/>
      <w:bookmarkStart w:id="109" w:name="_Toc13814"/>
      <w:bookmarkStart w:id="110" w:name="_Toc6712"/>
      <w:bookmarkStart w:id="111" w:name="_Toc22531"/>
      <w:bookmarkStart w:id="112" w:name="_Toc521"/>
      <w:bookmarkStart w:id="113" w:name="_Toc31436"/>
      <w:bookmarkStart w:id="114" w:name="_Toc28438"/>
      <w:bookmarkStart w:id="115" w:name="_Toc12706"/>
      <w:bookmarkStart w:id="116" w:name="_Toc47514338"/>
      <w:bookmarkStart w:id="117" w:name="_Toc25236"/>
      <w:bookmarkStart w:id="118" w:name="_Toc18317"/>
      <w:bookmarkStart w:id="119" w:name="_Toc47013124"/>
      <w:bookmarkStart w:id="120" w:name="_Toc31653"/>
      <w:bookmarkStart w:id="121" w:name="_Toc5826"/>
      <w:bookmarkStart w:id="122" w:name="_Toc27056"/>
      <w:bookmarkStart w:id="123" w:name="_Toc46985594"/>
      <w:bookmarkStart w:id="124" w:name="_Toc16353"/>
      <w:bookmarkStart w:id="125" w:name="_Toc23605"/>
      <w:bookmarkStart w:id="126" w:name="_Toc521918068"/>
      <w:bookmarkStart w:id="127" w:name="_Toc450662850"/>
      <w:r>
        <w:rPr>
          <w:rFonts w:hint="eastAsia" w:ascii="宋体" w:hAnsi="宋体" w:eastAsia="宋体" w:cs="宋体"/>
          <w:color w:val="000000" w:themeColor="text1"/>
          <w:kern w:val="2"/>
          <w:sz w:val="21"/>
          <w:szCs w:val="21"/>
          <w:highlight w:val="none"/>
          <w:lang w:val="zh-CN"/>
          <w14:textFill>
            <w14:solidFill>
              <w14:schemeClr w14:val="tx1"/>
            </w14:solidFill>
          </w14:textFill>
        </w:rPr>
        <w:t>2</w:t>
      </w:r>
      <w:bookmarkEnd w:id="108"/>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保密约定</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B0F7319">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委托人发出的本</w:t>
      </w:r>
      <w:r>
        <w:rPr>
          <w:rFonts w:hint="eastAsia" w:ascii="宋体" w:hAnsi="宋体" w:eastAsia="宋体" w:cs="宋体"/>
          <w:color w:val="000000" w:themeColor="text1"/>
          <w:sz w:val="21"/>
          <w:szCs w:val="21"/>
          <w:highlight w:val="none"/>
          <w:lang w:eastAsia="zh-CN"/>
          <w14:textFill>
            <w14:solidFill>
              <w14:schemeClr w14:val="tx1"/>
            </w14:solidFill>
          </w14:textFill>
        </w:rPr>
        <w:t>单项项目分配方案</w:t>
      </w:r>
      <w:r>
        <w:rPr>
          <w:rFonts w:hint="eastAsia" w:ascii="宋体" w:hAnsi="宋体" w:eastAsia="宋体" w:cs="宋体"/>
          <w:color w:val="000000" w:themeColor="text1"/>
          <w:sz w:val="21"/>
          <w:szCs w:val="21"/>
          <w:highlight w:val="none"/>
          <w14:textFill>
            <w14:solidFill>
              <w14:schemeClr w14:val="tx1"/>
            </w14:solidFill>
          </w14:textFill>
        </w:rPr>
        <w:t>及相关项目基础资料，将涉及委托人的商业秘密，获得本</w:t>
      </w:r>
      <w:r>
        <w:rPr>
          <w:rFonts w:hint="eastAsia" w:ascii="宋体" w:hAnsi="宋体" w:eastAsia="宋体" w:cs="宋体"/>
          <w:color w:val="000000" w:themeColor="text1"/>
          <w:sz w:val="21"/>
          <w:szCs w:val="21"/>
          <w:highlight w:val="none"/>
          <w:lang w:eastAsia="zh-CN"/>
          <w14:textFill>
            <w14:solidFill>
              <w14:schemeClr w14:val="tx1"/>
            </w14:solidFill>
          </w14:textFill>
        </w:rPr>
        <w:t>单项项目分配方案</w:t>
      </w:r>
      <w:r>
        <w:rPr>
          <w:rFonts w:hint="eastAsia" w:ascii="宋体" w:hAnsi="宋体" w:eastAsia="宋体" w:cs="宋体"/>
          <w:color w:val="000000" w:themeColor="text1"/>
          <w:sz w:val="21"/>
          <w:szCs w:val="21"/>
          <w:highlight w:val="none"/>
          <w14:textFill>
            <w14:solidFill>
              <w14:schemeClr w14:val="tx1"/>
            </w14:solidFill>
          </w14:textFill>
        </w:rPr>
        <w:t>的供应商，务必对从委托人获取的一切文件、信息进行保密，不得用作参与编制本次服务方案以外的任何用途。若有要求，递交服务方案后，供应商应归还</w:t>
      </w:r>
      <w:r>
        <w:rPr>
          <w:rFonts w:hint="eastAsia" w:ascii="宋体" w:hAnsi="宋体" w:eastAsia="宋体" w:cs="宋体"/>
          <w:color w:val="000000" w:themeColor="text1"/>
          <w:sz w:val="21"/>
          <w:szCs w:val="21"/>
          <w:highlight w:val="none"/>
          <w:lang w:eastAsia="zh-CN"/>
          <w14:textFill>
            <w14:solidFill>
              <w14:schemeClr w14:val="tx1"/>
            </w14:solidFill>
          </w14:textFill>
        </w:rPr>
        <w:t>单项项目分配方案</w:t>
      </w:r>
      <w:r>
        <w:rPr>
          <w:rFonts w:hint="eastAsia" w:ascii="宋体" w:hAnsi="宋体" w:eastAsia="宋体" w:cs="宋体"/>
          <w:color w:val="000000" w:themeColor="text1"/>
          <w:sz w:val="21"/>
          <w:szCs w:val="21"/>
          <w:highlight w:val="none"/>
          <w14:textFill>
            <w14:solidFill>
              <w14:schemeClr w14:val="tx1"/>
            </w14:solidFill>
          </w14:textFill>
        </w:rPr>
        <w:t>中保密的文件和资料。</w:t>
      </w:r>
    </w:p>
    <w:p w14:paraId="5B4388A8">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供应商从委托方获得的一切资料必须做好相应的保密措施，包括对资料存放的管理、原始资料复印的审批及管理，不得向其他与本项目无关的人员传阅。</w:t>
      </w:r>
    </w:p>
    <w:p w14:paraId="49873B85">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因供应商不遵守本约定而造成泄密的，视为供应商违约，将被委托人纳入</w:t>
      </w:r>
      <w:r>
        <w:rPr>
          <w:rFonts w:hint="eastAsia" w:ascii="宋体" w:hAnsi="宋体" w:eastAsia="宋体" w:cs="宋体"/>
          <w:color w:val="000000" w:themeColor="text1"/>
          <w:kern w:val="2"/>
          <w:sz w:val="21"/>
          <w:szCs w:val="21"/>
          <w:highlight w:val="none"/>
          <w:lang w:val="zh-CN"/>
          <w14:textFill>
            <w14:solidFill>
              <w14:schemeClr w14:val="tx1"/>
            </w14:solidFill>
          </w14:textFill>
        </w:rPr>
        <w:t>东莞市水务集团实业发展有限公司（含其全资公司、控股公司、由其管理的参股公司）招标、采购、征集供应商或合作方采购的‘黑名单’中，因此导致供应商无法参与东莞市水务集团实业发展有限公司相关招标采购等活动的，由供应商自行承担全部后果。</w:t>
      </w:r>
      <w:r>
        <w:rPr>
          <w:rFonts w:hint="eastAsia" w:ascii="宋体" w:hAnsi="宋体" w:eastAsia="宋体" w:cs="宋体"/>
          <w:color w:val="000000" w:themeColor="text1"/>
          <w:sz w:val="21"/>
          <w:szCs w:val="21"/>
          <w:highlight w:val="none"/>
          <w14:textFill>
            <w14:solidFill>
              <w14:schemeClr w14:val="tx1"/>
            </w14:solidFill>
          </w14:textFill>
        </w:rPr>
        <w:t>同时，委托人将依法追究对应供应商及当事人有关法律责任；构成刑事犯罪的，移交司法机关处置。</w:t>
      </w:r>
    </w:p>
    <w:p w14:paraId="2829F1E0">
      <w:pPr>
        <w:tabs>
          <w:tab w:val="left" w:pos="426"/>
        </w:tabs>
        <w:spacing w:line="360" w:lineRule="auto"/>
        <w:ind w:left="529" w:hanging="529" w:hangingChars="252"/>
        <w:jc w:val="both"/>
        <w:rPr>
          <w:rFonts w:hint="eastAsia" w:ascii="宋体" w:hAnsi="宋体" w:eastAsia="宋体" w:cs="宋体"/>
          <w:color w:val="000000" w:themeColor="text1"/>
          <w:sz w:val="21"/>
          <w:szCs w:val="21"/>
          <w:highlight w:val="none"/>
          <w14:textFill>
            <w14:solidFill>
              <w14:schemeClr w14:val="tx1"/>
            </w14:solidFill>
          </w14:textFill>
        </w:rPr>
      </w:pPr>
    </w:p>
    <w:bookmarkEnd w:id="126"/>
    <w:bookmarkEnd w:id="127"/>
    <w:p w14:paraId="5A283284">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128" w:name="_Toc46985595"/>
      <w:bookmarkStart w:id="129" w:name="_Toc450662851"/>
      <w:bookmarkStart w:id="130" w:name="_Toc24942"/>
      <w:bookmarkStart w:id="131" w:name="_Toc17616"/>
      <w:bookmarkStart w:id="132" w:name="_Toc47013125"/>
      <w:bookmarkStart w:id="133" w:name="_Toc8389"/>
      <w:bookmarkStart w:id="134" w:name="_Toc4732"/>
      <w:bookmarkStart w:id="135" w:name="_Toc10677"/>
      <w:bookmarkStart w:id="136" w:name="_Toc6785"/>
      <w:bookmarkStart w:id="137" w:name="_Toc47514339"/>
      <w:bookmarkStart w:id="138" w:name="_Toc12852"/>
      <w:bookmarkStart w:id="139" w:name="_Toc21457"/>
      <w:bookmarkStart w:id="140" w:name="_Toc31910"/>
      <w:bookmarkStart w:id="141" w:name="_Toc31443"/>
      <w:bookmarkStart w:id="142" w:name="_Toc521918069"/>
      <w:bookmarkStart w:id="143" w:name="_Toc30485"/>
      <w:bookmarkStart w:id="144" w:name="_Toc17923"/>
      <w:bookmarkStart w:id="145" w:name="_Toc9539"/>
      <w:bookmarkStart w:id="146" w:name="_Toc8859"/>
      <w:r>
        <w:rPr>
          <w:rFonts w:hint="eastAsia" w:ascii="宋体" w:hAnsi="宋体" w:eastAsia="宋体" w:cs="宋体"/>
          <w:b/>
          <w:bCs/>
          <w:color w:val="000000" w:themeColor="text1"/>
          <w:kern w:val="2"/>
          <w:sz w:val="21"/>
          <w:szCs w:val="21"/>
          <w:highlight w:val="none"/>
          <w:lang w:val="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b/>
          <w:color w:val="000000" w:themeColor="text1"/>
          <w:kern w:val="2"/>
          <w:sz w:val="21"/>
          <w:szCs w:val="21"/>
          <w:highlight w:val="none"/>
          <w:lang w:val="zh-CN"/>
          <w14:textFill>
            <w14:solidFill>
              <w14:schemeClr w14:val="tx1"/>
            </w14:solidFill>
          </w14:textFill>
        </w:rPr>
        <w:t>风险特别约定</w:t>
      </w:r>
      <w:bookmarkEnd w:id="143"/>
      <w:bookmarkEnd w:id="144"/>
      <w:bookmarkEnd w:id="145"/>
      <w:bookmarkEnd w:id="146"/>
    </w:p>
    <w:p w14:paraId="30DEDE26">
      <w:pPr>
        <w:spacing w:line="360" w:lineRule="auto"/>
        <w:ind w:left="527" w:hanging="527" w:hangingChars="250"/>
        <w:jc w:val="both"/>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3.</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本方案介绍的</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12家等供水厂</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b/>
          <w:bCs/>
          <w:color w:val="000000" w:themeColor="text1"/>
          <w:kern w:val="2"/>
          <w:sz w:val="21"/>
          <w:szCs w:val="21"/>
          <w:highlight w:val="none"/>
          <w:lang w:val="zh-CN" w:eastAsia="zh-CN"/>
          <w14:textFill>
            <w14:solidFill>
              <w14:schemeClr w14:val="tx1"/>
            </w14:solidFill>
          </w14:textFill>
        </w:rPr>
        <w:t>余泥</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项目基本情况项目规模、数量仅为便于供应商了解项目情况使用，不作为委托人最终委托实施</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余泥外运处置</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量的保证。供应商不得向委托人追讨任何费用或主张任何权利和责任。</w:t>
      </w:r>
    </w:p>
    <w:p w14:paraId="361882C3">
      <w:pPr>
        <w:spacing w:line="360" w:lineRule="auto"/>
        <w:ind w:left="527" w:hanging="527" w:hangingChars="250"/>
        <w:jc w:val="both"/>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u w:val="none"/>
          <w14:textFill>
            <w14:solidFill>
              <w14:schemeClr w14:val="tx1"/>
            </w14:solidFill>
          </w14:textFill>
        </w:rPr>
        <w:t>3.2</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供应商提交</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申请文件</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，即视为清楚了解和接受本批次项目的风险，发生前述风险时，供应商无需委托人众源公司承担任何违约责任，无需提供任何赔偿</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p>
    <w:p w14:paraId="17D2B7C0">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57B5FFA8">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147" w:name="_Toc22607"/>
      <w:bookmarkStart w:id="148" w:name="_Toc47514340"/>
      <w:bookmarkStart w:id="149" w:name="_Toc15928"/>
      <w:bookmarkStart w:id="150" w:name="_Toc16838"/>
      <w:bookmarkStart w:id="151" w:name="_Toc450662852"/>
      <w:bookmarkStart w:id="152" w:name="_Toc3814"/>
      <w:bookmarkStart w:id="153" w:name="_Toc2592"/>
      <w:bookmarkStart w:id="154" w:name="_Toc26297"/>
      <w:bookmarkStart w:id="155" w:name="_Toc19046"/>
      <w:bookmarkStart w:id="156" w:name="_Toc24404"/>
      <w:bookmarkStart w:id="157" w:name="_Toc46985596"/>
      <w:bookmarkStart w:id="158" w:name="_Toc4561"/>
      <w:bookmarkStart w:id="159" w:name="_Toc27513"/>
      <w:bookmarkStart w:id="160" w:name="_Toc19124"/>
      <w:bookmarkStart w:id="161" w:name="_Toc47013126"/>
      <w:bookmarkStart w:id="162" w:name="_Toc28069"/>
      <w:bookmarkStart w:id="163" w:name="_Toc15981"/>
      <w:bookmarkStart w:id="164" w:name="_Toc29365"/>
      <w:r>
        <w:rPr>
          <w:rFonts w:hint="eastAsia" w:ascii="宋体" w:hAnsi="宋体" w:eastAsia="宋体" w:cs="宋体"/>
          <w:color w:val="000000" w:themeColor="text1"/>
          <w:kern w:val="2"/>
          <w:sz w:val="21"/>
          <w:szCs w:val="21"/>
          <w:highlight w:val="none"/>
          <w:lang w:val="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其它说明</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76F457F">
      <w:pPr>
        <w:tabs>
          <w:tab w:val="left" w:pos="567"/>
        </w:tabs>
        <w:spacing w:line="360" w:lineRule="auto"/>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4.1 纪律与保密事项</w:t>
      </w:r>
    </w:p>
    <w:p w14:paraId="173D4756">
      <w:pPr>
        <w:spacing w:line="360" w:lineRule="auto"/>
        <w:ind w:left="527" w:hanging="525" w:hangingChars="25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（1）递交服务方案后，直至向各供应商发出单项项目分配结果止，凡与审查、评审的有关资料以及</w:t>
      </w:r>
      <w:r>
        <w:rPr>
          <w:rFonts w:hint="eastAsia" w:ascii="宋体" w:hAnsi="宋体" w:eastAsia="宋体" w:cs="宋体"/>
          <w:color w:val="000000" w:themeColor="text1"/>
          <w:kern w:val="2"/>
          <w:sz w:val="21"/>
          <w:szCs w:val="21"/>
          <w:highlight w:val="none"/>
          <w:lang w:val="zh-CN"/>
          <w14:textFill>
            <w14:solidFill>
              <w14:schemeClr w14:val="tx1"/>
            </w14:solidFill>
          </w14:textFill>
        </w:rPr>
        <w:t>推荐</w:t>
      </w:r>
      <w:r>
        <w:rPr>
          <w:rFonts w:hint="eastAsia" w:ascii="宋体" w:hAnsi="宋体" w:eastAsia="宋体" w:cs="宋体"/>
          <w:color w:val="000000" w:themeColor="text1"/>
          <w:sz w:val="21"/>
          <w:szCs w:val="21"/>
          <w:highlight w:val="none"/>
          <w14:textFill>
            <w14:solidFill>
              <w14:schemeClr w14:val="tx1"/>
            </w14:solidFill>
          </w14:textFill>
        </w:rPr>
        <w:t>意见等，参与谈判工作的有关人员均不得向供应商及与项目无关的其他人透露。</w:t>
      </w:r>
    </w:p>
    <w:p w14:paraId="34E10FF8">
      <w:pPr>
        <w:spacing w:line="360" w:lineRule="auto"/>
        <w:ind w:left="527" w:hanging="525" w:hangingChars="25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（2）除供应商被要求对</w:t>
      </w:r>
      <w:r>
        <w:rPr>
          <w:rFonts w:hint="eastAsia" w:ascii="宋体" w:hAnsi="宋体" w:eastAsia="宋体" w:cs="宋体"/>
          <w:color w:val="000000" w:themeColor="text1"/>
          <w:sz w:val="21"/>
          <w:szCs w:val="21"/>
          <w:highlight w:val="none"/>
          <w:lang w:eastAsia="zh-CN"/>
          <w14:textFill>
            <w14:solidFill>
              <w14:schemeClr w14:val="tx1"/>
            </w14:solidFill>
          </w14:textFill>
        </w:rPr>
        <w:t>申请文件</w:t>
      </w:r>
      <w:r>
        <w:rPr>
          <w:rFonts w:hint="eastAsia" w:ascii="宋体" w:hAnsi="宋体" w:eastAsia="宋体" w:cs="宋体"/>
          <w:color w:val="000000" w:themeColor="text1"/>
          <w:sz w:val="21"/>
          <w:szCs w:val="21"/>
          <w:highlight w:val="none"/>
          <w14:textFill>
            <w14:solidFill>
              <w14:schemeClr w14:val="tx1"/>
            </w14:solidFill>
          </w14:textFill>
        </w:rPr>
        <w:t>进行澄清外，从递交</w:t>
      </w:r>
      <w:r>
        <w:rPr>
          <w:rFonts w:hint="eastAsia" w:ascii="宋体" w:hAnsi="宋体" w:eastAsia="宋体" w:cs="宋体"/>
          <w:color w:val="000000" w:themeColor="text1"/>
          <w:sz w:val="21"/>
          <w:szCs w:val="21"/>
          <w:highlight w:val="none"/>
          <w:lang w:eastAsia="zh-CN"/>
          <w14:textFill>
            <w14:solidFill>
              <w14:schemeClr w14:val="tx1"/>
            </w14:solidFill>
          </w14:textFill>
        </w:rPr>
        <w:t>申请文件</w:t>
      </w:r>
      <w:r>
        <w:rPr>
          <w:rFonts w:hint="eastAsia" w:ascii="宋体" w:hAnsi="宋体" w:eastAsia="宋体" w:cs="宋体"/>
          <w:color w:val="000000" w:themeColor="text1"/>
          <w:sz w:val="21"/>
          <w:szCs w:val="21"/>
          <w:highlight w:val="none"/>
          <w14:textFill>
            <w14:solidFill>
              <w14:schemeClr w14:val="tx1"/>
            </w14:solidFill>
          </w14:textFill>
        </w:rPr>
        <w:t>截止之时起至授予合同期间，</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不得就与其</w:t>
      </w:r>
      <w:r>
        <w:rPr>
          <w:rFonts w:hint="eastAsia" w:ascii="宋体" w:hAnsi="宋体" w:eastAsia="宋体" w:cs="宋体"/>
          <w:color w:val="000000" w:themeColor="text1"/>
          <w:sz w:val="21"/>
          <w:szCs w:val="21"/>
          <w:highlight w:val="none"/>
          <w:lang w:eastAsia="zh-CN"/>
          <w14:textFill>
            <w14:solidFill>
              <w14:schemeClr w14:val="tx1"/>
            </w14:solidFill>
          </w14:textFill>
        </w:rPr>
        <w:t>申请文件</w:t>
      </w:r>
      <w:r>
        <w:rPr>
          <w:rFonts w:hint="eastAsia" w:ascii="宋体" w:hAnsi="宋体" w:eastAsia="宋体" w:cs="宋体"/>
          <w:color w:val="000000" w:themeColor="text1"/>
          <w:sz w:val="21"/>
          <w:szCs w:val="21"/>
          <w:highlight w:val="none"/>
          <w14:textFill>
            <w14:solidFill>
              <w14:schemeClr w14:val="tx1"/>
            </w14:solidFill>
          </w14:textFill>
        </w:rPr>
        <w:t>有关的事项主动与</w:t>
      </w:r>
      <w:r>
        <w:rPr>
          <w:rFonts w:hint="eastAsia" w:ascii="宋体" w:hAnsi="宋体" w:eastAsia="宋体" w:cs="宋体"/>
          <w:color w:val="000000" w:themeColor="text1"/>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sz w:val="21"/>
          <w:szCs w:val="21"/>
          <w:highlight w:val="none"/>
          <w14:textFill>
            <w14:solidFill>
              <w14:schemeClr w14:val="tx1"/>
            </w14:solidFill>
          </w14:textFill>
        </w:rPr>
        <w:t>小组联系。</w:t>
      </w:r>
    </w:p>
    <w:p w14:paraId="04EB58A9">
      <w:pPr>
        <w:spacing w:line="360" w:lineRule="auto"/>
        <w:ind w:left="527" w:hanging="525" w:hangingChars="25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（3）从递交服务方案之日起至授予合同期间，在单项项目分配评审阶段，供应商试图对</w:t>
      </w:r>
      <w:r>
        <w:rPr>
          <w:rFonts w:hint="eastAsia" w:ascii="宋体" w:hAnsi="宋体" w:eastAsia="宋体" w:cs="宋体"/>
          <w:color w:val="000000" w:themeColor="text1"/>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w:t>
      </w:r>
      <w:r>
        <w:rPr>
          <w:rFonts w:hint="eastAsia" w:ascii="宋体" w:hAnsi="宋体" w:eastAsia="宋体" w:cs="宋体"/>
          <w:color w:val="000000" w:themeColor="text1"/>
          <w:sz w:val="21"/>
          <w:szCs w:val="21"/>
          <w:highlight w:val="none"/>
          <w14:textFill>
            <w14:solidFill>
              <w14:schemeClr w14:val="tx1"/>
            </w14:solidFill>
          </w14:textFill>
        </w:rPr>
        <w:t>和委托人施加任何影响或对委托人的比较及授予合同的决定产生影响，都可能导致其</w:t>
      </w:r>
      <w:r>
        <w:rPr>
          <w:rFonts w:hint="eastAsia" w:ascii="宋体" w:hAnsi="宋体" w:eastAsia="宋体" w:cs="宋体"/>
          <w:color w:val="000000" w:themeColor="text1"/>
          <w:sz w:val="21"/>
          <w:szCs w:val="21"/>
          <w:highlight w:val="none"/>
          <w:lang w:eastAsia="zh-CN"/>
          <w14:textFill>
            <w14:solidFill>
              <w14:schemeClr w14:val="tx1"/>
            </w14:solidFill>
          </w14:textFill>
        </w:rPr>
        <w:t>申请文件</w:t>
      </w:r>
      <w:r>
        <w:rPr>
          <w:rFonts w:hint="eastAsia" w:ascii="宋体" w:hAnsi="宋体" w:eastAsia="宋体" w:cs="宋体"/>
          <w:color w:val="000000" w:themeColor="text1"/>
          <w:sz w:val="21"/>
          <w:szCs w:val="21"/>
          <w:highlight w:val="none"/>
          <w14:textFill>
            <w14:solidFill>
              <w14:schemeClr w14:val="tx1"/>
            </w14:solidFill>
          </w14:textFill>
        </w:rPr>
        <w:t>被拒绝。</w:t>
      </w:r>
    </w:p>
    <w:p w14:paraId="210C8D64">
      <w:pPr>
        <w:spacing w:line="360" w:lineRule="auto"/>
        <w:ind w:left="527" w:hanging="525" w:hangingChars="25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（4）供应商不得串通作弊，以不正当的手段妨碍、排挤其他供应商，破坏公平竞争原则。</w:t>
      </w:r>
    </w:p>
    <w:p w14:paraId="0008D8E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themeColor="text1"/>
          <w:kern w:val="44"/>
          <w:sz w:val="21"/>
          <w:szCs w:val="21"/>
          <w:highlight w:val="none"/>
          <w:lang w:val="zh-CN"/>
          <w14:textFill>
            <w14:solidFill>
              <w14:schemeClr w14:val="tx1"/>
            </w14:solidFill>
          </w14:textFill>
        </w:rPr>
      </w:pPr>
    </w:p>
    <w:p w14:paraId="2CF8A8C3">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themeColor="text1"/>
          <w:kern w:val="44"/>
          <w:sz w:val="21"/>
          <w:szCs w:val="21"/>
          <w:highlight w:val="none"/>
          <w:lang w:val="zh-CN"/>
          <w14:textFill>
            <w14:solidFill>
              <w14:schemeClr w14:val="tx1"/>
            </w14:solidFill>
          </w14:textFill>
        </w:rPr>
      </w:pPr>
      <w:bookmarkStart w:id="165" w:name="_Toc30712"/>
      <w:bookmarkStart w:id="166" w:name="_Toc5416"/>
      <w:bookmarkStart w:id="167" w:name="_Toc16183"/>
      <w:r>
        <w:rPr>
          <w:rFonts w:hint="eastAsia" w:ascii="宋体" w:hAnsi="宋体" w:eastAsia="宋体" w:cs="宋体"/>
          <w:b/>
          <w:bCs/>
          <w:color w:val="000000" w:themeColor="text1"/>
          <w:kern w:val="44"/>
          <w:sz w:val="21"/>
          <w:szCs w:val="21"/>
          <w:highlight w:val="none"/>
          <w:lang w:val="zh-CN"/>
          <w14:textFill>
            <w14:solidFill>
              <w14:schemeClr w14:val="tx1"/>
            </w14:solidFill>
          </w14:textFill>
        </w:rPr>
        <w:t>二、</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b/>
          <w:bCs/>
          <w:color w:val="000000" w:themeColor="text1"/>
          <w:kern w:val="44"/>
          <w:sz w:val="21"/>
          <w:szCs w:val="21"/>
          <w:highlight w:val="none"/>
          <w:lang w:val="zh-CN"/>
          <w14:textFill>
            <w14:solidFill>
              <w14:schemeClr w14:val="tx1"/>
            </w14:solidFill>
          </w14:textFill>
        </w:rPr>
        <w:t>单项项目分配方案</w:t>
      </w:r>
      <w:bookmarkEnd w:id="165"/>
      <w:bookmarkEnd w:id="166"/>
      <w:bookmarkEnd w:id="167"/>
    </w:p>
    <w:p w14:paraId="4C8A8614">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168" w:name="_Toc46985598"/>
      <w:bookmarkStart w:id="169" w:name="_Toc7266"/>
      <w:bookmarkStart w:id="170" w:name="_Toc26929"/>
      <w:bookmarkStart w:id="171" w:name="_Toc789"/>
      <w:bookmarkStart w:id="172" w:name="_Toc10856"/>
      <w:bookmarkStart w:id="173" w:name="_Toc47514342"/>
      <w:bookmarkStart w:id="174" w:name="_Toc20695"/>
      <w:bookmarkStart w:id="175" w:name="_Toc28743"/>
      <w:bookmarkStart w:id="176" w:name="_Toc10488"/>
      <w:bookmarkStart w:id="177" w:name="_Toc27252"/>
      <w:bookmarkStart w:id="178" w:name="_Toc521918071"/>
      <w:bookmarkStart w:id="179" w:name="_Toc6810"/>
      <w:bookmarkStart w:id="180" w:name="_Toc6209"/>
      <w:bookmarkStart w:id="181" w:name="_Toc3450"/>
      <w:bookmarkStart w:id="182" w:name="_Toc7096"/>
      <w:bookmarkStart w:id="183" w:name="_Toc450662854"/>
      <w:bookmarkStart w:id="184" w:name="_Toc19644"/>
      <w:bookmarkStart w:id="185" w:name="_Toc47013128"/>
      <w:bookmarkStart w:id="186" w:name="_Toc24701"/>
      <w:r>
        <w:rPr>
          <w:rFonts w:hint="eastAsia" w:ascii="宋体" w:hAnsi="宋体" w:eastAsia="宋体" w:cs="宋体"/>
          <w:color w:val="000000" w:themeColor="text1"/>
          <w:kern w:val="2"/>
          <w:sz w:val="21"/>
          <w:szCs w:val="21"/>
          <w:highlight w:val="none"/>
          <w:lang w:val="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单项项目分配方案的构成</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FAAA87F">
      <w:pPr>
        <w:tabs>
          <w:tab w:val="left" w:pos="567"/>
        </w:tabs>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5.1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单项项目分配方案包括：</w:t>
      </w:r>
    </w:p>
    <w:p w14:paraId="00258A62">
      <w:pPr>
        <w:tabs>
          <w:tab w:val="left" w:pos="1701"/>
        </w:tabs>
        <w:spacing w:line="360" w:lineRule="auto"/>
        <w:ind w:firstLine="840" w:firstLineChars="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第一章 邀请书</w:t>
      </w:r>
    </w:p>
    <w:p w14:paraId="2B0DD09A">
      <w:pPr>
        <w:tabs>
          <w:tab w:val="left" w:pos="1701"/>
        </w:tabs>
        <w:spacing w:line="360" w:lineRule="auto"/>
        <w:ind w:firstLine="840" w:firstLineChars="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第二章 供应商须知</w:t>
      </w:r>
    </w:p>
    <w:p w14:paraId="7E88BB88">
      <w:pPr>
        <w:tabs>
          <w:tab w:val="left" w:pos="1701"/>
        </w:tabs>
        <w:spacing w:line="360" w:lineRule="auto"/>
        <w:ind w:firstLine="840" w:firstLineChars="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第三章 用户需求书</w:t>
      </w:r>
    </w:p>
    <w:p w14:paraId="1D13FB38">
      <w:pPr>
        <w:tabs>
          <w:tab w:val="left" w:pos="1701"/>
        </w:tabs>
        <w:spacing w:line="360" w:lineRule="auto"/>
        <w:ind w:firstLine="840" w:firstLineChars="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第四章 合同条款格式</w:t>
      </w:r>
    </w:p>
    <w:p w14:paraId="6B15BF66">
      <w:pPr>
        <w:tabs>
          <w:tab w:val="left" w:pos="1701"/>
        </w:tabs>
        <w:spacing w:line="360" w:lineRule="auto"/>
        <w:ind w:firstLine="840" w:firstLineChars="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第五章 申请文件格式</w:t>
      </w:r>
    </w:p>
    <w:p w14:paraId="0134F0D0">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pPr>
      <w:r>
        <w:rPr>
          <w:rFonts w:hint="eastAsia" w:ascii="宋体" w:hAnsi="宋体" w:eastAsia="宋体" w:cs="宋体"/>
          <w:bCs/>
          <w:color w:val="000000" w:themeColor="text1"/>
          <w:kern w:val="2"/>
          <w:sz w:val="21"/>
          <w:szCs w:val="21"/>
          <w:highlight w:val="none"/>
          <w:lang w:val="zh-CN"/>
          <w14:textFill>
            <w14:solidFill>
              <w14:schemeClr w14:val="tx1"/>
            </w14:solidFill>
          </w14:textFill>
        </w:rPr>
        <w:t>5.2</w:t>
      </w:r>
      <w:r>
        <w:rPr>
          <w:rFonts w:hint="eastAsia" w:ascii="宋体" w:hAnsi="宋体" w:eastAsia="宋体" w:cs="宋体"/>
          <w:bCs/>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t>供应商应审阅单项项目分配方案中所有须知、格式、条款和规格。供应商未按单项项目分配方案要求提供全部资料或提交的申请文件未对单项项目分配方案作出实质性响应（★标志的部分为供应商、申请文件必备的条件或重要指示），那么供应商的申请文件将有可能被拒绝接收，或视为无效申请文件而不被推荐为候选申请文件。</w:t>
      </w:r>
    </w:p>
    <w:p w14:paraId="458BB053">
      <w:pPr>
        <w:spacing w:line="360" w:lineRule="auto"/>
        <w:jc w:val="both"/>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pPr>
    </w:p>
    <w:p w14:paraId="29D23A20">
      <w:pPr>
        <w:tabs>
          <w:tab w:val="left" w:pos="642"/>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187" w:name="_Toc7827"/>
      <w:bookmarkStart w:id="188" w:name="_Toc4314"/>
      <w:bookmarkStart w:id="189" w:name="_Toc30591"/>
      <w:bookmarkStart w:id="190" w:name="_Toc9848"/>
      <w:bookmarkStart w:id="191" w:name="_Toc30256"/>
      <w:bookmarkStart w:id="192" w:name="_Toc20511"/>
      <w:bookmarkStart w:id="193" w:name="_Toc20432"/>
      <w:bookmarkStart w:id="194" w:name="_Toc31922"/>
      <w:bookmarkStart w:id="195" w:name="_Toc47514344"/>
      <w:bookmarkStart w:id="196" w:name="_Toc8672"/>
      <w:bookmarkStart w:id="197" w:name="_Toc16751"/>
      <w:bookmarkStart w:id="198" w:name="_Toc46985600"/>
      <w:bookmarkStart w:id="199" w:name="_Toc450662856"/>
      <w:bookmarkStart w:id="200" w:name="_Toc26016"/>
      <w:bookmarkStart w:id="201" w:name="_Toc19686"/>
      <w:bookmarkStart w:id="202" w:name="_Toc25405"/>
      <w:bookmarkStart w:id="203" w:name="_Toc47013130"/>
      <w:bookmarkStart w:id="204" w:name="_Toc18419"/>
      <w:bookmarkStart w:id="205" w:name="_Toc521918073"/>
      <w:r>
        <w:rPr>
          <w:rFonts w:hint="eastAsia" w:ascii="宋体" w:hAnsi="宋体" w:eastAsia="宋体" w:cs="宋体"/>
          <w:color w:val="000000" w:themeColor="text1"/>
          <w:kern w:val="2"/>
          <w:sz w:val="21"/>
          <w:szCs w:val="21"/>
          <w:highlight w:val="none"/>
          <w:lang w:val="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单项项目分配方案的澄清及修改</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6CE67B">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6.1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委托人对已发出的单项项目分配方案进行必要澄清或者修改的，将在单项项目分配方案要求提交申请文件截止时间前，并通过电子邮箱（</w:t>
      </w:r>
      <w:r>
        <w:rPr>
          <w:rFonts w:hint="eastAsia" w:hAnsi="宋体" w:cs="宋体"/>
          <w:color w:val="000000" w:themeColor="text1"/>
          <w:kern w:val="2"/>
          <w:sz w:val="21"/>
          <w:szCs w:val="21"/>
          <w:highlight w:val="none"/>
          <w:lang w:val="en-US" w:eastAsia="zh-CN"/>
          <w14:textFill>
            <w14:solidFill>
              <w14:schemeClr w14:val="tx1"/>
            </w14:solidFill>
          </w14:textFill>
        </w:rPr>
        <w:t>1409428550@qq.com</w:t>
      </w:r>
      <w:r>
        <w:rPr>
          <w:rFonts w:hint="eastAsia" w:ascii="宋体" w:hAnsi="宋体" w:eastAsia="宋体" w:cs="宋体"/>
          <w:color w:val="000000" w:themeColor="text1"/>
          <w:kern w:val="2"/>
          <w:sz w:val="21"/>
          <w:szCs w:val="21"/>
          <w:highlight w:val="none"/>
          <w:lang w:val="zh-CN"/>
          <w14:textFill>
            <w14:solidFill>
              <w14:schemeClr w14:val="tx1"/>
            </w14:solidFill>
          </w14:textFill>
        </w:rPr>
        <w:t>）通知所有单项项目分配方案收受人，</w:t>
      </w:r>
      <w:r>
        <w:rPr>
          <w:rFonts w:hint="eastAsia" w:ascii="宋体" w:hAnsi="宋体" w:eastAsia="宋体" w:cs="宋体"/>
          <w:color w:val="000000" w:themeColor="text1"/>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应于收到该修改文件的当日内以电子邮件或书面形式给予确认。该澄清或者修改的内容为单项项目分配方案的组成部分。</w:t>
      </w:r>
    </w:p>
    <w:p w14:paraId="1641FD3E">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6.2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项目特定情况下，委托人必须延长递交申请文件截止时间时，将在单项项目分配方案要求提交申请文件的截止时间前，将变更时间通过电子邮箱（</w:t>
      </w:r>
      <w:r>
        <w:rPr>
          <w:rStyle w:val="48"/>
          <w:rFonts w:hint="eastAsia" w:hAnsi="宋体" w:cs="宋体"/>
          <w:color w:val="000000" w:themeColor="text1"/>
          <w:highlight w:val="none"/>
          <w:lang w:val="en-US" w:eastAsia="zh-CN"/>
          <w14:textFill>
            <w14:solidFill>
              <w14:schemeClr w14:val="tx1"/>
            </w14:solidFill>
          </w14:textFill>
        </w:rPr>
        <w:t>1409428550@qq.com</w:t>
      </w:r>
      <w:r>
        <w:rPr>
          <w:rFonts w:hint="eastAsia" w:ascii="宋体" w:hAnsi="宋体" w:eastAsia="宋体" w:cs="宋体"/>
          <w:color w:val="000000" w:themeColor="text1"/>
          <w:kern w:val="2"/>
          <w:sz w:val="21"/>
          <w:szCs w:val="21"/>
          <w:highlight w:val="none"/>
          <w:lang w:val="zh-CN"/>
          <w14:textFill>
            <w14:solidFill>
              <w14:schemeClr w14:val="tx1"/>
            </w14:solidFill>
          </w14:textFill>
        </w:rPr>
        <w:t>）通知所有单项项目分配方案收受人。</w:t>
      </w:r>
    </w:p>
    <w:p w14:paraId="5A6369E6">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b/>
          <w:bCs/>
          <w:color w:val="000000" w:themeColor="text1"/>
          <w:kern w:val="44"/>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6.3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单项项目分配方案的修改、补充通知将通过电子邮箱（</w:t>
      </w:r>
      <w:r>
        <w:rPr>
          <w:rFonts w:hint="eastAsia" w:hAnsi="宋体" w:cs="宋体"/>
          <w:color w:val="000000" w:themeColor="text1"/>
          <w:kern w:val="2"/>
          <w:sz w:val="21"/>
          <w:szCs w:val="21"/>
          <w:highlight w:val="none"/>
          <w:lang w:val="en-US" w:eastAsia="zh-CN"/>
          <w14:textFill>
            <w14:solidFill>
              <w14:schemeClr w14:val="tx1"/>
            </w14:solidFill>
          </w14:textFill>
        </w:rPr>
        <w:t>1409428550@qq.com</w:t>
      </w:r>
      <w:r>
        <w:rPr>
          <w:rFonts w:hint="eastAsia" w:ascii="宋体" w:hAnsi="宋体" w:eastAsia="宋体" w:cs="宋体"/>
          <w:color w:val="000000" w:themeColor="text1"/>
          <w:kern w:val="2"/>
          <w:sz w:val="21"/>
          <w:szCs w:val="21"/>
          <w:highlight w:val="none"/>
          <w:lang w:val="zh-CN"/>
          <w14:textFill>
            <w14:solidFill>
              <w14:schemeClr w14:val="tx1"/>
            </w14:solidFill>
          </w14:textFill>
        </w:rPr>
        <w:t>）通知所有已领取了单项项目分配方案的供应商。供应商收到上述通知后，应立即以书面形式向委托人确认。如在24小时内无回函则视为同意修改内容，并有责任履行相应的义务。</w:t>
      </w:r>
      <w:bookmarkStart w:id="206" w:name="_Toc47013131"/>
      <w:bookmarkStart w:id="207" w:name="_Toc20363"/>
      <w:bookmarkStart w:id="208" w:name="_Toc156"/>
      <w:bookmarkStart w:id="209" w:name="_Toc18326"/>
      <w:bookmarkStart w:id="210" w:name="_Toc19092"/>
      <w:bookmarkStart w:id="211" w:name="_Toc5482"/>
      <w:bookmarkStart w:id="212" w:name="_Toc5916"/>
      <w:bookmarkStart w:id="213" w:name="_Toc6309"/>
      <w:bookmarkStart w:id="214" w:name="_Toc31424"/>
      <w:bookmarkStart w:id="215" w:name="_Toc20693"/>
      <w:bookmarkStart w:id="216" w:name="_Toc3989"/>
      <w:bookmarkStart w:id="217" w:name="_Toc450662857"/>
      <w:bookmarkStart w:id="218" w:name="_Toc47514345"/>
      <w:bookmarkStart w:id="219" w:name="_Toc46985601"/>
      <w:bookmarkStart w:id="220" w:name="_Toc521918074"/>
    </w:p>
    <w:p w14:paraId="1753AF47">
      <w:pPr>
        <w:pStyle w:val="5"/>
        <w:spacing w:line="360" w:lineRule="auto"/>
        <w:rPr>
          <w:rFonts w:hint="eastAsia" w:ascii="宋体" w:hAnsi="宋体" w:eastAsia="宋体" w:cs="宋体"/>
          <w:b/>
          <w:bCs/>
          <w:color w:val="000000" w:themeColor="text1"/>
          <w:kern w:val="44"/>
          <w:sz w:val="21"/>
          <w:szCs w:val="21"/>
          <w:highlight w:val="none"/>
          <w:lang w:val="zh-CN"/>
          <w14:textFill>
            <w14:solidFill>
              <w14:schemeClr w14:val="tx1"/>
            </w14:solidFill>
          </w14:textFill>
        </w:rPr>
      </w:pPr>
      <w:bookmarkStart w:id="221" w:name="_Toc11078"/>
      <w:bookmarkStart w:id="222" w:name="_Toc578"/>
      <w:bookmarkStart w:id="223" w:name="_Toc12918"/>
      <w:r>
        <w:rPr>
          <w:rFonts w:hint="eastAsia" w:ascii="宋体" w:hAnsi="宋体" w:eastAsia="宋体" w:cs="宋体"/>
          <w:b/>
          <w:bCs/>
          <w:color w:val="000000" w:themeColor="text1"/>
          <w:kern w:val="44"/>
          <w:sz w:val="21"/>
          <w:szCs w:val="21"/>
          <w:highlight w:val="none"/>
          <w:lang w:val="zh-CN"/>
          <w14:textFill>
            <w14:solidFill>
              <w14:schemeClr w14:val="tx1"/>
            </w14:solidFill>
          </w14:textFill>
        </w:rPr>
        <w:t>三、申请文件的编制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6D29718">
      <w:pPr>
        <w:tabs>
          <w:tab w:val="left" w:pos="426"/>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224" w:name="_Toc2899"/>
      <w:bookmarkStart w:id="225" w:name="_Toc22652"/>
      <w:bookmarkStart w:id="226" w:name="_Toc25678"/>
      <w:bookmarkStart w:id="227" w:name="_Toc46985603"/>
      <w:bookmarkStart w:id="228" w:name="_Toc47013133"/>
      <w:bookmarkStart w:id="229" w:name="_Toc25083"/>
      <w:bookmarkStart w:id="230" w:name="_Toc230"/>
      <w:bookmarkStart w:id="231" w:name="_Toc6701"/>
      <w:bookmarkStart w:id="232" w:name="_Toc5848"/>
      <w:bookmarkStart w:id="233" w:name="_Toc15798"/>
      <w:bookmarkStart w:id="234" w:name="_Toc31698"/>
      <w:bookmarkStart w:id="235" w:name="_Toc24299"/>
      <w:bookmarkStart w:id="236" w:name="_Toc521918076"/>
      <w:bookmarkStart w:id="237" w:name="_Toc17633"/>
      <w:bookmarkStart w:id="238" w:name="_Toc47514347"/>
      <w:bookmarkStart w:id="239" w:name="_Toc14053"/>
      <w:bookmarkStart w:id="240" w:name="_Toc3719"/>
      <w:bookmarkStart w:id="241" w:name="_Toc450662859"/>
      <w:r>
        <w:rPr>
          <w:rFonts w:hint="eastAsia" w:ascii="宋体" w:hAnsi="宋体" w:eastAsia="宋体" w:cs="宋体"/>
          <w:color w:val="000000" w:themeColor="text1"/>
          <w:kern w:val="2"/>
          <w:sz w:val="21"/>
          <w:szCs w:val="21"/>
          <w:highlight w:val="none"/>
          <w:lang w:val="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申请文件的组成</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A94B81C">
      <w:pPr>
        <w:pStyle w:val="20"/>
        <w:spacing w:line="360" w:lineRule="auto"/>
        <w:ind w:left="525" w:leftChars="0" w:hanging="525" w:hangingChars="25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7.1</w:t>
      </w:r>
      <w:r>
        <w:rPr>
          <w:rFonts w:hint="eastAsia" w:ascii="宋体" w:hAnsi="宋体" w:eastAsia="宋体" w:cs="宋体"/>
          <w:b w:val="0"/>
          <w:color w:val="000000" w:themeColor="text1"/>
          <w:highlight w:val="none"/>
          <w:lang w:val="en-US"/>
          <w14:textFill>
            <w14:solidFill>
              <w14:schemeClr w14:val="tx1"/>
            </w14:solidFill>
          </w14:textFill>
        </w:rPr>
        <w:t xml:space="preserve"> </w:t>
      </w:r>
      <w:r>
        <w:rPr>
          <w:rFonts w:hint="eastAsia" w:ascii="宋体" w:hAnsi="宋体" w:eastAsia="宋体" w:cs="宋体"/>
          <w:b w:val="0"/>
          <w:color w:val="000000" w:themeColor="text1"/>
          <w:highlight w:val="none"/>
          <w:lang w:eastAsia="zh-CN"/>
          <w14:textFill>
            <w14:solidFill>
              <w14:schemeClr w14:val="tx1"/>
            </w14:solidFill>
          </w14:textFill>
        </w:rPr>
        <w:t>申请</w:t>
      </w:r>
      <w:r>
        <w:rPr>
          <w:rFonts w:hint="eastAsia" w:ascii="宋体" w:hAnsi="宋体" w:eastAsia="宋体" w:cs="宋体"/>
          <w:b w:val="0"/>
          <w:color w:val="000000" w:themeColor="text1"/>
          <w:highlight w:val="none"/>
          <w14:textFill>
            <w14:solidFill>
              <w14:schemeClr w14:val="tx1"/>
            </w14:solidFill>
          </w14:textFill>
        </w:rPr>
        <w:t>文件的组成：</w:t>
      </w:r>
    </w:p>
    <w:p w14:paraId="10B247F4">
      <w:pPr>
        <w:pStyle w:val="18"/>
        <w:spacing w:line="360" w:lineRule="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7.1.1</w:t>
      </w:r>
      <w:r>
        <w:rPr>
          <w:rFonts w:hint="eastAsia" w:ascii="宋体" w:hAnsi="宋体" w:eastAsia="宋体" w:cs="宋体"/>
          <w:b/>
          <w:color w:val="000000" w:themeColor="text1"/>
          <w:szCs w:val="21"/>
          <w:highlight w:val="none"/>
          <w:lang w:eastAsia="zh-CN"/>
          <w14:textFill>
            <w14:solidFill>
              <w14:schemeClr w14:val="tx1"/>
            </w14:solidFill>
          </w14:textFill>
        </w:rPr>
        <w:t>申请</w:t>
      </w:r>
      <w:r>
        <w:rPr>
          <w:rFonts w:hint="eastAsia" w:ascii="宋体" w:hAnsi="宋体" w:eastAsia="宋体" w:cs="宋体"/>
          <w:b/>
          <w:bCs/>
          <w:color w:val="000000" w:themeColor="text1"/>
          <w:szCs w:val="21"/>
          <w:highlight w:val="none"/>
          <w:lang w:val="zh-CN"/>
          <w14:textFill>
            <w14:solidFill>
              <w14:schemeClr w14:val="tx1"/>
            </w14:solidFill>
          </w14:textFill>
        </w:rPr>
        <w:t>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文本（一正四副）</w:t>
      </w:r>
    </w:p>
    <w:p w14:paraId="125132F8">
      <w:pPr>
        <w:pStyle w:val="18"/>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（1）封面；</w:t>
      </w:r>
    </w:p>
    <w:p w14:paraId="20ED6923">
      <w:pPr>
        <w:pStyle w:val="18"/>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（2）目录；</w:t>
      </w:r>
    </w:p>
    <w:p w14:paraId="4D358DFF">
      <w:pPr>
        <w:pStyle w:val="18"/>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报价表</w:t>
      </w:r>
      <w:r>
        <w:rPr>
          <w:rFonts w:hint="eastAsia" w:ascii="宋体" w:hAnsi="宋体" w:eastAsia="宋体" w:cs="宋体"/>
          <w:color w:val="000000" w:themeColor="text1"/>
          <w:szCs w:val="21"/>
          <w:highlight w:val="none"/>
          <w14:textFill>
            <w14:solidFill>
              <w14:schemeClr w14:val="tx1"/>
            </w14:solidFill>
          </w14:textFill>
        </w:rPr>
        <w:t>；</w:t>
      </w:r>
    </w:p>
    <w:p w14:paraId="68009EEC">
      <w:pPr>
        <w:pStyle w:val="18"/>
        <w:spacing w:line="360" w:lineRule="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4）用户需求响应情况</w:t>
      </w:r>
      <w:r>
        <w:rPr>
          <w:rFonts w:hint="eastAsia" w:ascii="宋体" w:hAnsi="宋体" w:eastAsia="宋体" w:cs="宋体"/>
          <w:color w:val="000000" w:themeColor="text1"/>
          <w:szCs w:val="21"/>
          <w:highlight w:val="none"/>
          <w:lang w:val="zh-CN"/>
          <w14:textFill>
            <w14:solidFill>
              <w14:schemeClr w14:val="tx1"/>
            </w14:solidFill>
          </w14:textFill>
        </w:rPr>
        <w:t>；</w:t>
      </w:r>
    </w:p>
    <w:p w14:paraId="4C0B404A">
      <w:pPr>
        <w:pStyle w:val="18"/>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（5）合同条款响</w:t>
      </w:r>
      <w:r>
        <w:rPr>
          <w:rFonts w:hint="eastAsia" w:ascii="宋体" w:hAnsi="宋体" w:eastAsia="宋体" w:cs="宋体"/>
          <w:color w:val="000000" w:themeColor="text1"/>
          <w:szCs w:val="21"/>
          <w:highlight w:val="none"/>
          <w:lang w:val="en-US" w:eastAsia="zh-CN"/>
          <w14:textFill>
            <w14:solidFill>
              <w14:schemeClr w14:val="tx1"/>
            </w14:solidFill>
          </w14:textFill>
        </w:rPr>
        <w:t>应情况</w:t>
      </w:r>
      <w:r>
        <w:rPr>
          <w:rFonts w:hint="eastAsia" w:ascii="宋体" w:hAnsi="宋体" w:eastAsia="宋体" w:cs="宋体"/>
          <w:color w:val="000000" w:themeColor="text1"/>
          <w:szCs w:val="21"/>
          <w:highlight w:val="none"/>
          <w14:textFill>
            <w14:solidFill>
              <w14:schemeClr w14:val="tx1"/>
            </w14:solidFill>
          </w14:textFill>
        </w:rPr>
        <w:t>；</w:t>
      </w:r>
    </w:p>
    <w:p w14:paraId="4E6A8DBA">
      <w:pPr>
        <w:pStyle w:val="18"/>
        <w:spacing w:line="360" w:lineRule="auto"/>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申请人承诺书。</w:t>
      </w:r>
    </w:p>
    <w:p w14:paraId="782C9DD8">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7.2 供应商按照申请文件的组成目录编制申请文件应包括上述内容，但不限于上述内容。单项项目分配方案提供了相关格式的，严格按照单项项目分配方案的要求编制，申请文件未含格式的，供应商自行编制。申请文件编制中要求的复印件、照片可为该资料扫描件的打印件。</w:t>
      </w:r>
    </w:p>
    <w:p w14:paraId="76B0047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39F7C10A">
      <w:pPr>
        <w:tabs>
          <w:tab w:val="left" w:pos="567"/>
        </w:tabs>
        <w:spacing w:line="360" w:lineRule="auto"/>
        <w:ind w:left="567" w:hanging="567"/>
        <w:outlineLvl w:val="2"/>
        <w:rPr>
          <w:rFonts w:hint="eastAsia" w:ascii="宋体" w:hAnsi="宋体" w:eastAsia="宋体" w:cs="宋体"/>
          <w:color w:val="000000" w:themeColor="text1"/>
          <w:sz w:val="21"/>
          <w:szCs w:val="21"/>
          <w:highlight w:val="none"/>
          <w14:textFill>
            <w14:solidFill>
              <w14:schemeClr w14:val="tx1"/>
            </w14:solidFill>
          </w14:textFill>
        </w:rPr>
      </w:pPr>
      <w:bookmarkStart w:id="242" w:name="_Toc25333"/>
      <w:bookmarkStart w:id="243" w:name="_Toc31456"/>
      <w:bookmarkStart w:id="244" w:name="_Toc932"/>
      <w:bookmarkStart w:id="245" w:name="_Toc9301"/>
      <w:bookmarkStart w:id="246" w:name="_Toc46985605"/>
      <w:bookmarkStart w:id="247" w:name="_Toc13765"/>
      <w:bookmarkStart w:id="248" w:name="_Toc24158"/>
      <w:bookmarkStart w:id="249" w:name="_Toc28023"/>
      <w:bookmarkStart w:id="250" w:name="_Toc28146"/>
      <w:bookmarkStart w:id="251" w:name="_Toc521918078"/>
      <w:bookmarkStart w:id="252" w:name="_Toc28854"/>
      <w:bookmarkStart w:id="253" w:name="_Toc31371"/>
      <w:bookmarkStart w:id="254" w:name="_Toc23153"/>
      <w:bookmarkStart w:id="255" w:name="_Toc47013135"/>
      <w:bookmarkStart w:id="256" w:name="_Toc8618"/>
      <w:bookmarkStart w:id="257" w:name="_Toc47514349"/>
      <w:bookmarkStart w:id="258" w:name="_Toc8103"/>
      <w:bookmarkStart w:id="259" w:name="_Toc450662861"/>
      <w:r>
        <w:rPr>
          <w:rFonts w:hint="eastAsia" w:ascii="宋体" w:hAnsi="宋体" w:eastAsia="宋体" w:cs="宋体"/>
          <w:bCs/>
          <w:color w:val="000000" w:themeColor="text1"/>
          <w:kern w:val="2"/>
          <w:sz w:val="21"/>
          <w:szCs w:val="21"/>
          <w:highlight w:val="none"/>
          <w:lang w:val="zh-CN"/>
          <w14:textFill>
            <w14:solidFill>
              <w14:schemeClr w14:val="tx1"/>
            </w14:solidFill>
          </w14:textFill>
        </w:rPr>
        <w:t>8</w:t>
      </w:r>
      <w:r>
        <w:rPr>
          <w:rFonts w:hint="eastAsia" w:ascii="宋体" w:hAnsi="宋体" w:eastAsia="宋体" w:cs="宋体"/>
          <w:bCs/>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zh-CN"/>
          <w14:textFill>
            <w14:solidFill>
              <w14:schemeClr w14:val="tx1"/>
            </w14:solidFill>
          </w14:textFill>
        </w:rPr>
        <w:t>报价</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197D535">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8.1 </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本次报价（不含税）最高限价为：</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190.00</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元/吨。供应商的报价高于最高限价的，将被视为无效申请。</w:t>
      </w:r>
    </w:p>
    <w:p w14:paraId="69FF16EB">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8</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2</w:t>
      </w:r>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只允许有一个报价价格，任何有选择的或不是固定价的报价将不予接受，作为非实质性响应</w:t>
      </w:r>
      <w:r>
        <w:rPr>
          <w:rFonts w:hint="eastAsia" w:ascii="宋体" w:hAnsi="宋体" w:eastAsia="宋体" w:cs="宋体"/>
          <w:color w:val="000000" w:themeColor="text1"/>
          <w:kern w:val="2"/>
          <w:sz w:val="21"/>
          <w:szCs w:val="21"/>
          <w:highlight w:val="none"/>
          <w:lang w:val="zh-CN"/>
          <w14:textFill>
            <w14:solidFill>
              <w14:schemeClr w14:val="tx1"/>
            </w14:solidFill>
          </w14:textFill>
        </w:rPr>
        <w:t>报价</w:t>
      </w:r>
      <w:r>
        <w:rPr>
          <w:rFonts w:hint="eastAsia" w:ascii="宋体" w:hAnsi="宋体" w:eastAsia="宋体" w:cs="宋体"/>
          <w:color w:val="000000" w:themeColor="text1"/>
          <w:kern w:val="2"/>
          <w:sz w:val="21"/>
          <w:szCs w:val="21"/>
          <w:highlight w:val="none"/>
          <w14:textFill>
            <w14:solidFill>
              <w14:schemeClr w14:val="tx1"/>
            </w14:solidFill>
          </w14:textFill>
        </w:rPr>
        <w:t>而予以拒绝。</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不得以低于企业自身成本的价格竞投。</w:t>
      </w:r>
    </w:p>
    <w:p w14:paraId="22BC3E3A">
      <w:pPr>
        <w:keepNext w:val="0"/>
        <w:keepLines w:val="0"/>
        <w:pageBreakBefore w:val="0"/>
        <w:widowControl w:val="0"/>
        <w:kinsoku/>
        <w:wordWrap/>
        <w:overflowPunct/>
        <w:topLinePunct w:val="0"/>
        <w:autoSpaceDE w:val="0"/>
        <w:autoSpaceDN w:val="0"/>
        <w:bidi w:val="0"/>
        <w:adjustRightInd w:val="0"/>
        <w:snapToGrid/>
        <w:spacing w:line="360" w:lineRule="auto"/>
        <w:ind w:left="0" w:hanging="422" w:hangingChars="200"/>
        <w:jc w:val="both"/>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8</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3</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本项目报价为不含税处置服务费</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单价（</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包括处置费及运输费），即为《中华人民共和国增值税暂行条例》（国务院令第691号修订版）规定的销售额</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本实施方案中</w:t>
      </w:r>
      <w:r>
        <w:rPr>
          <w:rFonts w:hint="eastAsia" w:ascii="宋体" w:hAnsi="宋体" w:eastAsia="宋体" w:cs="宋体"/>
          <w:color w:val="000000" w:themeColor="text1"/>
          <w:kern w:val="2"/>
          <w:sz w:val="21"/>
          <w:szCs w:val="21"/>
          <w:highlight w:val="none"/>
          <w:lang w:val="zh-CN"/>
          <w14:textFill>
            <w14:solidFill>
              <w14:schemeClr w14:val="tx1"/>
            </w14:solidFill>
          </w14:textFill>
        </w:rPr>
        <w:t>所称的不含税价和合同价是指不含本项目</w:t>
      </w:r>
      <w:r>
        <w:rPr>
          <w:rFonts w:hint="eastAsia" w:ascii="宋体" w:hAnsi="宋体" w:eastAsia="宋体" w:cs="宋体"/>
          <w:color w:val="000000" w:themeColor="text1"/>
          <w:kern w:val="2"/>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的销项税额，包含了</w:t>
      </w:r>
      <w:r>
        <w:rPr>
          <w:rFonts w:hint="eastAsia" w:ascii="宋体" w:hAnsi="宋体" w:eastAsia="宋体" w:cs="宋体"/>
          <w:color w:val="000000" w:themeColor="text1"/>
          <w:kern w:val="2"/>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完成合同义务（含</w:t>
      </w:r>
      <w:r>
        <w:rPr>
          <w:rFonts w:hint="eastAsia" w:ascii="宋体" w:hAnsi="宋体" w:eastAsia="宋体" w:cs="宋体"/>
          <w:color w:val="000000" w:themeColor="text1"/>
          <w:kern w:val="2"/>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代缴代扣、分包及委外服务、施工、采购货物等所产生的价税）的其他全部费用。本项目的销项税额由</w:t>
      </w:r>
      <w:r>
        <w:rPr>
          <w:rFonts w:hint="eastAsia" w:ascii="宋体" w:hAnsi="宋体" w:eastAsia="宋体" w:cs="宋体"/>
          <w:color w:val="000000" w:themeColor="text1"/>
          <w:kern w:val="2"/>
          <w:sz w:val="21"/>
          <w:szCs w:val="21"/>
          <w:highlight w:val="none"/>
          <w14:textFill>
            <w14:solidFill>
              <w14:schemeClr w14:val="tx1"/>
            </w14:solidFill>
          </w14:textFill>
        </w:rPr>
        <w:t>委托人</w:t>
      </w:r>
      <w:r>
        <w:rPr>
          <w:rFonts w:hint="eastAsia" w:ascii="宋体" w:hAnsi="宋体" w:eastAsia="宋体" w:cs="宋体"/>
          <w:color w:val="000000" w:themeColor="text1"/>
          <w:kern w:val="2"/>
          <w:sz w:val="21"/>
          <w:szCs w:val="21"/>
          <w:highlight w:val="none"/>
          <w:lang w:val="zh-CN"/>
          <w14:textFill>
            <w14:solidFill>
              <w14:schemeClr w14:val="tx1"/>
            </w14:solidFill>
          </w14:textFill>
        </w:rPr>
        <w:t>承担，不计入报价。</w:t>
      </w:r>
    </w:p>
    <w:p w14:paraId="2CC01CA3">
      <w:pPr>
        <w:keepNext w:val="0"/>
        <w:keepLines w:val="0"/>
        <w:pageBreakBefore w:val="0"/>
        <w:widowControl w:val="0"/>
        <w:kinsoku/>
        <w:wordWrap/>
        <w:overflowPunct/>
        <w:topLinePunct w:val="0"/>
        <w:autoSpaceDE w:val="0"/>
        <w:autoSpaceDN w:val="0"/>
        <w:bidi w:val="0"/>
        <w:adjustRightInd w:val="0"/>
        <w:snapToGrid/>
        <w:spacing w:line="360" w:lineRule="auto"/>
        <w:ind w:left="0" w:hanging="420" w:hangingChars="20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报价包括</w:t>
      </w:r>
      <w:r>
        <w:rPr>
          <w:rFonts w:hint="eastAsia" w:ascii="宋体" w:hAnsi="宋体" w:eastAsia="宋体" w:cs="宋体"/>
          <w:color w:val="000000" w:themeColor="text1"/>
          <w:kern w:val="2"/>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zh-CN"/>
          <w14:textFill>
            <w14:solidFill>
              <w14:schemeClr w14:val="tx1"/>
            </w14:solidFill>
          </w14:textFill>
        </w:rPr>
        <w:t>后为完成</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和合同规定的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12家等供水厂</w:t>
      </w:r>
      <w:r>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t>余泥</w:t>
      </w:r>
      <w:r>
        <w:rPr>
          <w:rFonts w:hint="eastAsia" w:ascii="宋体" w:hAnsi="宋体" w:eastAsia="宋体" w:cs="宋体"/>
          <w:color w:val="000000" w:themeColor="text1"/>
          <w:sz w:val="21"/>
          <w:szCs w:val="21"/>
          <w:highlight w:val="none"/>
          <w:lang w:val="zh-CN"/>
          <w14:textFill>
            <w14:solidFill>
              <w14:schemeClr w14:val="tx1"/>
            </w14:solidFill>
          </w14:textFill>
        </w:rPr>
        <w:t>处置服务全部工作所需支付的一切费用，包</w:t>
      </w:r>
      <w:r>
        <w:rPr>
          <w:rFonts w:hint="eastAsia" w:ascii="宋体" w:hAnsi="宋体" w:eastAsia="宋体" w:cs="宋体"/>
          <w:color w:val="000000" w:themeColor="text1"/>
          <w:sz w:val="21"/>
          <w:szCs w:val="21"/>
          <w:highlight w:val="none"/>
          <w14:textFill>
            <w14:solidFill>
              <w14:schemeClr w14:val="tx1"/>
            </w14:solidFill>
          </w14:textFill>
        </w:rPr>
        <w:t>括但不限于：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zh-CN"/>
          <w14:textFill>
            <w14:solidFill>
              <w14:schemeClr w14:val="tx1"/>
            </w14:solidFill>
          </w14:textFill>
        </w:rPr>
        <w:t>履行本合同所发生的人工费（含加班、节假日补贴）、设备费，余泥处置费，余泥运输费（含因部分污水处理厂现场条件限制只能用小型车辆运输增加的运输成本）、卸车费、卸车现场除尘及清洗场地费、保险费（包括运输车辆交强险、第三者责任险等商业保险，</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zh-CN"/>
          <w14:textFill>
            <w14:solidFill>
              <w14:schemeClr w14:val="tx1"/>
            </w14:solidFill>
          </w14:textFill>
        </w:rPr>
        <w:t>及其雇员社会保障资金、保险、第三者责任险，环境污染责任险等），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zh-CN"/>
          <w14:textFill>
            <w14:solidFill>
              <w14:schemeClr w14:val="tx1"/>
            </w14:solidFill>
          </w14:textFill>
        </w:rPr>
        <w:t>复核</w:t>
      </w:r>
      <w:r>
        <w:rPr>
          <w:rFonts w:hint="eastAsia" w:ascii="宋体" w:hAnsi="宋体" w:eastAsia="宋体" w:cs="宋体"/>
          <w:color w:val="000000" w:themeColor="text1"/>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lang w:val="zh-CN"/>
          <w14:textFill>
            <w14:solidFill>
              <w14:schemeClr w14:val="tx1"/>
            </w14:solidFill>
          </w14:textFill>
        </w:rPr>
        <w:t>重量的称重费、</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供应商配合</w:t>
      </w:r>
      <w:r>
        <w:rPr>
          <w:rFonts w:hint="eastAsia" w:hAnsi="宋体" w:cs="宋体"/>
          <w:color w:val="000000" w:themeColor="text1"/>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开展地磅称重核查工作的称重费、余泥</w:t>
      </w:r>
      <w:r>
        <w:rPr>
          <w:rFonts w:hint="eastAsia" w:ascii="宋体" w:hAnsi="宋体" w:eastAsia="宋体" w:cs="宋体"/>
          <w:color w:val="000000" w:themeColor="text1"/>
          <w:sz w:val="21"/>
          <w:szCs w:val="21"/>
          <w:highlight w:val="none"/>
          <w:lang w:val="zh-CN"/>
          <w14:textFill>
            <w14:solidFill>
              <w14:schemeClr w14:val="tx1"/>
            </w14:solidFill>
          </w14:textFill>
        </w:rPr>
        <w:t>处置后的副产品检测费</w:t>
      </w:r>
      <w:r>
        <w:rPr>
          <w:rFonts w:hint="eastAsia" w:hAnsi="宋体" w:cs="宋体"/>
          <w:color w:val="000000" w:themeColor="text1"/>
          <w:sz w:val="21"/>
          <w:szCs w:val="21"/>
          <w:highlight w:val="none"/>
          <w:lang w:val="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供应商销项税额以外的税费等全部费用。供应商应负责余泥运输事宜，承担余泥运输费用、风险与责任。</w:t>
      </w:r>
      <w:r>
        <w:rPr>
          <w:rFonts w:hint="eastAsia" w:ascii="宋体" w:hAnsi="宋体" w:eastAsia="宋体" w:cs="宋体"/>
          <w:color w:val="000000" w:themeColor="text1"/>
          <w:sz w:val="21"/>
          <w:szCs w:val="21"/>
          <w:highlight w:val="none"/>
          <w:lang w:val="zh-CN"/>
          <w14:textFill>
            <w14:solidFill>
              <w14:schemeClr w14:val="tx1"/>
            </w14:solidFill>
          </w14:textFill>
        </w:rPr>
        <w:t>处置服务费不包含装车费。</w:t>
      </w:r>
    </w:p>
    <w:p w14:paraId="3BF3789C">
      <w:pPr>
        <w:tabs>
          <w:tab w:val="left" w:pos="142"/>
        </w:tabs>
        <w:spacing w:line="360" w:lineRule="auto"/>
        <w:ind w:left="532" w:hanging="532"/>
        <w:jc w:val="both"/>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8</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5</w:t>
      </w:r>
      <w:r>
        <w:rPr>
          <w:rFonts w:hint="eastAsia" w:ascii="宋体" w:hAnsi="宋体" w:eastAsia="宋体" w:cs="宋体"/>
          <w:color w:val="000000" w:themeColor="text1"/>
          <w:kern w:val="2"/>
          <w:sz w:val="21"/>
          <w:szCs w:val="21"/>
          <w:highlight w:val="none"/>
          <w:lang w:val="zh-CN"/>
          <w14:textFill>
            <w14:solidFill>
              <w14:schemeClr w14:val="tx1"/>
            </w14:solidFill>
          </w14:textFill>
        </w:rPr>
        <w:tab/>
      </w:r>
      <w:r>
        <w:rPr>
          <w:rFonts w:hint="eastAsia" w:ascii="宋体" w:hAnsi="宋体" w:eastAsia="宋体" w:cs="宋体"/>
          <w:color w:val="000000" w:themeColor="text1"/>
          <w:kern w:val="2"/>
          <w:sz w:val="21"/>
          <w:szCs w:val="21"/>
          <w:highlight w:val="none"/>
          <w:lang w:val="zh-CN"/>
          <w14:textFill>
            <w14:solidFill>
              <w14:schemeClr w14:val="tx1"/>
            </w14:solidFill>
          </w14:textFill>
        </w:rPr>
        <w:t>在合同期间，报价不随国家政策或法规、标准、市场因素及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处置泥量</w:t>
      </w:r>
      <w:r>
        <w:rPr>
          <w:rFonts w:hint="eastAsia" w:ascii="宋体" w:hAnsi="宋体" w:eastAsia="宋体" w:cs="宋体"/>
          <w:color w:val="000000" w:themeColor="text1"/>
          <w:kern w:val="2"/>
          <w:sz w:val="21"/>
          <w:szCs w:val="21"/>
          <w:highlight w:val="none"/>
          <w:lang w:val="zh-CN"/>
          <w14:textFill>
            <w14:solidFill>
              <w14:schemeClr w14:val="tx1"/>
            </w14:solidFill>
          </w14:textFill>
        </w:rPr>
        <w:t>的变化而进行调整。</w:t>
      </w:r>
    </w:p>
    <w:p w14:paraId="70AD30B2">
      <w:pPr>
        <w:tabs>
          <w:tab w:val="left" w:pos="1134"/>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E54DA48">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260" w:name="_Toc21177"/>
      <w:bookmarkStart w:id="261" w:name="_Toc521918083"/>
      <w:bookmarkStart w:id="262" w:name="_Toc30729"/>
      <w:bookmarkStart w:id="263" w:name="_Toc922"/>
      <w:bookmarkStart w:id="264" w:name="_Toc46985609"/>
      <w:bookmarkStart w:id="265" w:name="_Toc30103"/>
      <w:bookmarkStart w:id="266" w:name="_Toc13045"/>
      <w:bookmarkStart w:id="267" w:name="_Toc28215"/>
      <w:bookmarkStart w:id="268" w:name="_Toc9731"/>
      <w:bookmarkStart w:id="269" w:name="_Toc47514353"/>
      <w:bookmarkStart w:id="270" w:name="_Toc47013139"/>
      <w:bookmarkStart w:id="271" w:name="_Toc30666"/>
      <w:bookmarkStart w:id="272" w:name="_Toc15421"/>
      <w:bookmarkStart w:id="273" w:name="_Toc6299"/>
      <w:bookmarkStart w:id="274" w:name="_Toc1804"/>
      <w:bookmarkStart w:id="275" w:name="_Toc7939"/>
      <w:bookmarkStart w:id="276" w:name="_Toc450662865"/>
      <w:bookmarkStart w:id="277" w:name="_Toc12893"/>
      <w:r>
        <w:rPr>
          <w:rFonts w:hint="eastAsia" w:ascii="宋体" w:hAnsi="宋体" w:eastAsia="宋体" w:cs="宋体"/>
          <w:color w:val="000000" w:themeColor="text1"/>
          <w:kern w:val="2"/>
          <w:sz w:val="21"/>
          <w:szCs w:val="21"/>
          <w:highlight w:val="none"/>
          <w:lang w:val="zh-CN"/>
          <w14:textFill>
            <w14:solidFill>
              <w14:schemeClr w14:val="tx1"/>
            </w14:solidFill>
          </w14:textFill>
        </w:rPr>
        <w:t>9</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CE016E6">
      <w:pPr>
        <w:tabs>
          <w:tab w:val="left" w:pos="567"/>
        </w:tabs>
        <w:spacing w:line="360" w:lineRule="auto"/>
        <w:ind w:left="567" w:hanging="567"/>
        <w:jc w:val="both"/>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9.1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t>申请文件将在递交申请文件截止时间届满后次日起</w:t>
      </w:r>
      <w:r>
        <w:rPr>
          <w:rFonts w:hint="eastAsia" w:ascii="宋体" w:hAnsi="宋体" w:eastAsia="宋体" w:cs="宋体"/>
          <w:b/>
          <w:bCs/>
          <w:color w:val="000000" w:themeColor="text1"/>
          <w:kern w:val="2"/>
          <w:sz w:val="21"/>
          <w:szCs w:val="21"/>
          <w:highlight w:val="none"/>
          <w:u w:val="single"/>
          <w:lang w:val="en-US" w:eastAsia="zh-CN"/>
          <w14:textFill>
            <w14:solidFill>
              <w14:schemeClr w14:val="tx1"/>
            </w14:solidFill>
          </w14:textFill>
        </w:rPr>
        <w:t>90</w:t>
      </w:r>
      <w:r>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t>日内有效。</w:t>
      </w:r>
    </w:p>
    <w:p w14:paraId="1A2D4E3A">
      <w:pPr>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1CE6E955">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278" w:name="_Toc2295"/>
      <w:bookmarkStart w:id="279" w:name="_Toc47514354"/>
      <w:bookmarkStart w:id="280" w:name="_Toc23705"/>
      <w:bookmarkStart w:id="281" w:name="_Toc521918084"/>
      <w:bookmarkStart w:id="282" w:name="_Toc450662866"/>
      <w:bookmarkStart w:id="283" w:name="_Toc32328"/>
      <w:bookmarkStart w:id="284" w:name="_Toc877"/>
      <w:bookmarkStart w:id="285" w:name="_Toc31794"/>
      <w:bookmarkStart w:id="286" w:name="_Toc16102"/>
      <w:bookmarkStart w:id="287" w:name="_Toc24687"/>
      <w:bookmarkStart w:id="288" w:name="_Toc47013140"/>
      <w:bookmarkStart w:id="289" w:name="_Toc13892"/>
      <w:bookmarkStart w:id="290" w:name="_Toc17045"/>
      <w:bookmarkStart w:id="291" w:name="_Toc24279"/>
      <w:bookmarkStart w:id="292" w:name="_Toc46985610"/>
      <w:bookmarkStart w:id="293" w:name="_Toc31158"/>
      <w:bookmarkStart w:id="294" w:name="_Toc12399"/>
      <w:bookmarkStart w:id="295" w:name="_Toc13745"/>
      <w:r>
        <w:rPr>
          <w:rFonts w:hint="eastAsia" w:ascii="宋体" w:hAnsi="宋体" w:eastAsia="宋体" w:cs="宋体"/>
          <w:color w:val="000000" w:themeColor="text1"/>
          <w:kern w:val="2"/>
          <w:sz w:val="21"/>
          <w:szCs w:val="21"/>
          <w:highlight w:val="none"/>
          <w:lang w:val="zh-CN"/>
          <w14:textFill>
            <w14:solidFill>
              <w14:schemeClr w14:val="tx1"/>
            </w14:solidFill>
          </w14:textFill>
        </w:rPr>
        <w:t>10</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申请文件的式样和签署</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D897B11">
      <w:pPr>
        <w:tabs>
          <w:tab w:val="left" w:pos="567"/>
        </w:tabs>
        <w:spacing w:line="360" w:lineRule="auto"/>
        <w:ind w:left="567"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10.1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供应商应准备一份正本和</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四</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份副本“申请文件”以及</w:t>
      </w:r>
      <w:r>
        <w:rPr>
          <w:rFonts w:hint="eastAsia" w:ascii="宋体" w:hAnsi="宋体" w:eastAsia="宋体" w:cs="宋体"/>
          <w:b/>
          <w:color w:val="000000" w:themeColor="text1"/>
          <w:kern w:val="2"/>
          <w:sz w:val="21"/>
          <w:szCs w:val="21"/>
          <w:highlight w:val="none"/>
          <w:u w:val="single"/>
          <w14:textFill>
            <w14:solidFill>
              <w14:schemeClr w14:val="tx1"/>
            </w14:solidFill>
          </w14:textFill>
        </w:rPr>
        <w:t>一份</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电子</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版申请</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文件</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。供应商应在</w:t>
      </w:r>
      <w:r>
        <w:rPr>
          <w:rFonts w:hint="eastAsia" w:ascii="宋体" w:hAnsi="宋体" w:eastAsia="宋体" w:cs="宋体"/>
          <w:b w:val="0"/>
          <w:bCs w:val="0"/>
          <w:color w:val="000000" w:themeColor="text1"/>
          <w:kern w:val="2"/>
          <w:sz w:val="21"/>
          <w:szCs w:val="21"/>
          <w:highlight w:val="none"/>
          <w:lang w:val="zh-CN"/>
          <w14:textFill>
            <w14:solidFill>
              <w14:schemeClr w14:val="tx1"/>
            </w14:solidFill>
          </w14:textFill>
        </w:rPr>
        <w:t>申请文件文本上</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编制</w:t>
      </w:r>
      <w:r>
        <w:rPr>
          <w:rFonts w:hint="eastAsia" w:ascii="宋体" w:hAnsi="宋体" w:eastAsia="宋体" w:cs="宋体"/>
          <w:b w:val="0"/>
          <w:bCs w:val="0"/>
          <w:color w:val="000000" w:themeColor="text1"/>
          <w:kern w:val="2"/>
          <w:sz w:val="21"/>
          <w:szCs w:val="21"/>
          <w:highlight w:val="none"/>
          <w:lang w:val="zh-CN"/>
          <w14:textFill>
            <w14:solidFill>
              <w14:schemeClr w14:val="tx1"/>
            </w14:solidFill>
          </w14:textFill>
        </w:rPr>
        <w:t>目录（目录内的页码必须与实际内容对应）、页次，装订成册（不允许使用活页夹），并要明确注明“正本”或“副本”。副本文件可由正本文件复印而成。</w:t>
      </w:r>
      <w:r>
        <w:rPr>
          <w:rFonts w:hint="eastAsia" w:ascii="宋体" w:hAnsi="宋体" w:eastAsia="宋体" w:cs="宋体"/>
          <w:b w:val="0"/>
          <w:bCs w:val="0"/>
          <w:color w:val="000000" w:themeColor="text1"/>
          <w:kern w:val="2"/>
          <w:sz w:val="21"/>
          <w:szCs w:val="21"/>
          <w:highlight w:val="none"/>
          <w:lang w:val="zh-CN" w:eastAsia="zh-CN"/>
          <w14:textFill>
            <w14:solidFill>
              <w14:schemeClr w14:val="tx1"/>
            </w14:solidFill>
          </w14:textFill>
        </w:rPr>
        <w:t>申请文件</w:t>
      </w:r>
      <w:r>
        <w:rPr>
          <w:rFonts w:hint="eastAsia" w:ascii="宋体" w:hAnsi="宋体" w:eastAsia="宋体" w:cs="宋体"/>
          <w:b w:val="0"/>
          <w:bCs w:val="0"/>
          <w:color w:val="000000" w:themeColor="text1"/>
          <w:kern w:val="2"/>
          <w:sz w:val="21"/>
          <w:szCs w:val="21"/>
          <w:highlight w:val="none"/>
          <w:lang w:val="zh-CN"/>
          <w14:textFill>
            <w14:solidFill>
              <w14:schemeClr w14:val="tx1"/>
            </w14:solidFill>
          </w14:textFill>
        </w:rPr>
        <w:t>的电子文件需为纸质文件加盖法人公章后扫描的电子文件。</w:t>
      </w:r>
    </w:p>
    <w:p w14:paraId="083A3977">
      <w:pPr>
        <w:tabs>
          <w:tab w:val="left" w:pos="567"/>
        </w:tabs>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10.2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zh-CN"/>
          <w14:textFill>
            <w14:solidFill>
              <w14:schemeClr w14:val="tx1"/>
            </w14:solidFill>
          </w14:textFill>
        </w:rPr>
        <w:t>申请文件</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文本</w:t>
      </w:r>
      <w:r>
        <w:rPr>
          <w:rFonts w:hint="eastAsia" w:ascii="宋体" w:hAnsi="宋体" w:eastAsia="宋体" w:cs="宋体"/>
          <w:bCs/>
          <w:color w:val="000000" w:themeColor="text1"/>
          <w:kern w:val="2"/>
          <w:sz w:val="21"/>
          <w:szCs w:val="21"/>
          <w:highlight w:val="none"/>
          <w:lang w:val="zh-CN"/>
          <w14:textFill>
            <w14:solidFill>
              <w14:schemeClr w14:val="tx1"/>
            </w14:solidFill>
          </w14:textFill>
        </w:rPr>
        <w:t>须打印或用不褪色墨水书写，单项项目分配方案提供的格式文件或申请文件</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文本</w:t>
      </w:r>
      <w:r>
        <w:rPr>
          <w:rFonts w:hint="eastAsia" w:ascii="宋体" w:hAnsi="宋体" w:eastAsia="宋体" w:cs="宋体"/>
          <w:bCs/>
          <w:color w:val="000000" w:themeColor="text1"/>
          <w:kern w:val="2"/>
          <w:sz w:val="21"/>
          <w:szCs w:val="21"/>
          <w:highlight w:val="none"/>
          <w:lang w:val="zh-CN"/>
          <w14:textFill>
            <w14:solidFill>
              <w14:schemeClr w14:val="tx1"/>
            </w14:solidFill>
          </w14:textFill>
        </w:rPr>
        <w:t>中明确要求盖法人公章的，应相应加</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盖</w:t>
      </w:r>
      <w:r>
        <w:rPr>
          <w:rFonts w:hint="eastAsia" w:ascii="宋体" w:hAnsi="宋体" w:eastAsia="宋体" w:cs="宋体"/>
          <w:bCs/>
          <w:color w:val="000000" w:themeColor="text1"/>
          <w:kern w:val="2"/>
          <w:sz w:val="21"/>
          <w:szCs w:val="21"/>
          <w:highlight w:val="none"/>
          <w:lang w:val="zh-CN"/>
          <w14:textFill>
            <w14:solidFill>
              <w14:schemeClr w14:val="tx1"/>
            </w14:solidFill>
          </w14:textFill>
        </w:rPr>
        <w:t>法人公章。</w:t>
      </w:r>
    </w:p>
    <w:p w14:paraId="5978E58B">
      <w:pPr>
        <w:spacing w:line="360" w:lineRule="auto"/>
        <w:ind w:left="567" w:hanging="567"/>
        <w:jc w:val="both"/>
        <w:rPr>
          <w:rFonts w:hint="eastAsia" w:ascii="宋体" w:hAnsi="宋体" w:eastAsia="宋体" w:cs="宋体"/>
          <w:bCs/>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10.3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除供应商对错处作必要修改外，申请文件中不许有加行、涂抹或改写。</w:t>
      </w:r>
      <w:r>
        <w:rPr>
          <w:rFonts w:hint="eastAsia" w:ascii="宋体" w:hAnsi="宋体" w:eastAsia="宋体" w:cs="宋体"/>
          <w:bCs/>
          <w:color w:val="000000" w:themeColor="text1"/>
          <w:kern w:val="2"/>
          <w:sz w:val="21"/>
          <w:szCs w:val="21"/>
          <w:highlight w:val="none"/>
          <w:lang w:val="zh-CN"/>
          <w14:textFill>
            <w14:solidFill>
              <w14:schemeClr w14:val="tx1"/>
            </w14:solidFill>
          </w14:textFill>
        </w:rPr>
        <w:t>若有修改，修改处需加盖供应商法人公章。</w:t>
      </w:r>
    </w:p>
    <w:p w14:paraId="4F33B9A4">
      <w:pPr>
        <w:spacing w:line="360" w:lineRule="auto"/>
        <w:ind w:left="567" w:hanging="567"/>
        <w:jc w:val="both"/>
        <w:rPr>
          <w:rFonts w:hint="eastAsia" w:ascii="宋体" w:hAnsi="宋体" w:eastAsia="宋体" w:cs="宋体"/>
          <w:b/>
          <w:bCs/>
          <w:color w:val="000000" w:themeColor="text1"/>
          <w:kern w:val="2"/>
          <w:sz w:val="21"/>
          <w:szCs w:val="21"/>
          <w:highlight w:val="none"/>
          <w:u w:val="singl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10.4</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申请文件的封面应注明“供应商名称”等。</w:t>
      </w:r>
    </w:p>
    <w:p w14:paraId="0C7DDC6C">
      <w:pPr>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10.5</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电报、电传、传真的申请文件概不接受。</w:t>
      </w:r>
      <w:bookmarkStart w:id="296" w:name="_Toc450662867"/>
    </w:p>
    <w:p w14:paraId="379B0367">
      <w:pPr>
        <w:pStyle w:val="2"/>
        <w:rPr>
          <w:rFonts w:hint="eastAsia" w:ascii="宋体" w:hAnsi="宋体" w:eastAsia="宋体" w:cs="宋体"/>
          <w:color w:val="000000" w:themeColor="text1"/>
          <w:sz w:val="21"/>
          <w:szCs w:val="21"/>
          <w:highlight w:val="none"/>
          <w14:textFill>
            <w14:solidFill>
              <w14:schemeClr w14:val="tx1"/>
            </w14:solidFill>
          </w14:textFill>
        </w:rPr>
      </w:pPr>
    </w:p>
    <w:p w14:paraId="7EEA7FB9">
      <w:pPr>
        <w:pStyle w:val="5"/>
        <w:spacing w:line="360" w:lineRule="auto"/>
        <w:rPr>
          <w:rFonts w:hint="eastAsia" w:ascii="宋体" w:hAnsi="宋体" w:eastAsia="宋体" w:cs="宋体"/>
          <w:color w:val="000000" w:themeColor="text1"/>
          <w:highlight w:val="none"/>
          <w14:textFill>
            <w14:solidFill>
              <w14:schemeClr w14:val="tx1"/>
            </w14:solidFill>
          </w14:textFill>
        </w:rPr>
      </w:pPr>
      <w:bookmarkStart w:id="297" w:name="_Toc29934"/>
      <w:bookmarkStart w:id="298" w:name="_Toc28305"/>
      <w:bookmarkStart w:id="299" w:name="_Toc12264"/>
      <w:bookmarkStart w:id="300" w:name="_Toc46985611"/>
      <w:bookmarkStart w:id="301" w:name="_Toc29898"/>
      <w:bookmarkStart w:id="302" w:name="_Toc15550"/>
      <w:bookmarkStart w:id="303" w:name="_Toc7015"/>
      <w:bookmarkStart w:id="304" w:name="_Toc47013141"/>
      <w:bookmarkStart w:id="305" w:name="_Toc47514355"/>
      <w:bookmarkStart w:id="306" w:name="_Toc521918085"/>
      <w:bookmarkStart w:id="307" w:name="_Toc28500"/>
      <w:bookmarkStart w:id="308" w:name="_Toc23686"/>
      <w:bookmarkStart w:id="309" w:name="_Toc11315"/>
      <w:bookmarkStart w:id="310" w:name="_Toc6792"/>
      <w:bookmarkStart w:id="311" w:name="_Toc11240"/>
      <w:bookmarkStart w:id="312" w:name="_Toc30303"/>
      <w:bookmarkStart w:id="313" w:name="_Toc24367"/>
      <w:r>
        <w:rPr>
          <w:rFonts w:hint="eastAsia" w:ascii="宋体" w:hAnsi="宋体" w:eastAsia="宋体" w:cs="宋体"/>
          <w:b/>
          <w:bCs/>
          <w:color w:val="000000" w:themeColor="text1"/>
          <w:kern w:val="44"/>
          <w:sz w:val="21"/>
          <w:szCs w:val="21"/>
          <w:highlight w:val="none"/>
          <w:lang w:val="zh-CN"/>
          <w14:textFill>
            <w14:solidFill>
              <w14:schemeClr w14:val="tx1"/>
            </w14:solidFill>
          </w14:textFill>
        </w:rPr>
        <w:t>四、申请文件的递交</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C506B1C">
      <w:pPr>
        <w:tabs>
          <w:tab w:val="left" w:pos="567"/>
        </w:tabs>
        <w:spacing w:line="360" w:lineRule="auto"/>
        <w:ind w:left="496" w:hanging="495" w:hangingChars="236"/>
        <w:jc w:val="both"/>
        <w:outlineLvl w:val="2"/>
        <w:rPr>
          <w:rFonts w:hint="eastAsia" w:ascii="宋体" w:hAnsi="宋体" w:eastAsia="宋体" w:cs="宋体"/>
          <w:color w:val="000000" w:themeColor="text1"/>
          <w:kern w:val="2"/>
          <w:sz w:val="21"/>
          <w:szCs w:val="21"/>
          <w:highlight w:val="none"/>
          <w14:textFill>
            <w14:solidFill>
              <w14:schemeClr w14:val="tx1"/>
            </w14:solidFill>
          </w14:textFill>
        </w:rPr>
      </w:pPr>
      <w:bookmarkStart w:id="314" w:name="_Toc27542"/>
      <w:bookmarkStart w:id="315" w:name="_Toc12540"/>
      <w:bookmarkStart w:id="316" w:name="_Toc4586"/>
      <w:bookmarkStart w:id="317" w:name="_Toc47013142"/>
      <w:bookmarkStart w:id="318" w:name="_Toc2763"/>
      <w:bookmarkStart w:id="319" w:name="_Toc31125"/>
      <w:bookmarkStart w:id="320" w:name="_Toc16186"/>
      <w:bookmarkStart w:id="321" w:name="_Toc19038"/>
      <w:bookmarkStart w:id="322" w:name="_Toc450662868"/>
      <w:bookmarkStart w:id="323" w:name="_Toc5509"/>
      <w:bookmarkStart w:id="324" w:name="_Toc21645"/>
      <w:bookmarkStart w:id="325" w:name="_Toc47514356"/>
      <w:bookmarkStart w:id="326" w:name="_Toc9525"/>
      <w:bookmarkStart w:id="327" w:name="_Toc521918086"/>
      <w:bookmarkStart w:id="328" w:name="_Toc12327"/>
      <w:bookmarkStart w:id="329" w:name="_Toc30412"/>
      <w:bookmarkStart w:id="330" w:name="_Toc11353"/>
      <w:bookmarkStart w:id="331" w:name="_Toc46985612"/>
      <w:r>
        <w:rPr>
          <w:rFonts w:hint="eastAsia" w:ascii="宋体" w:hAnsi="宋体" w:eastAsia="宋体" w:cs="宋体"/>
          <w:color w:val="000000" w:themeColor="text1"/>
          <w:kern w:val="2"/>
          <w:sz w:val="21"/>
          <w:szCs w:val="21"/>
          <w:highlight w:val="none"/>
          <w:lang w:val="zh-CN"/>
          <w14:textFill>
            <w14:solidFill>
              <w14:schemeClr w14:val="tx1"/>
            </w14:solidFill>
          </w14:textFill>
        </w:rPr>
        <w:t>11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申请文件的密封和标记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eastAsia="宋体" w:cs="宋体"/>
          <w:b/>
          <w:color w:val="000000" w:themeColor="text1"/>
          <w:kern w:val="2"/>
          <w:sz w:val="21"/>
          <w:szCs w:val="21"/>
          <w:highlight w:val="none"/>
          <w:lang w:val="zh-CN"/>
          <w14:textFill>
            <w14:solidFill>
              <w14:schemeClr w14:val="tx1"/>
            </w14:solidFill>
          </w14:textFill>
        </w:rPr>
        <w:t xml:space="preserve"> </w:t>
      </w:r>
    </w:p>
    <w:p w14:paraId="09EC9DBA">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11.1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供应商应将</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一正四副纸质申请文件</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和</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电子申请文件</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一起密封在一个不透明的外层封装中</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p>
    <w:p w14:paraId="77ACACA4">
      <w:pPr>
        <w:spacing w:line="360" w:lineRule="auto"/>
        <w:ind w:left="567" w:right="18"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11.2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申请文件密封封装标记：</w:t>
      </w:r>
    </w:p>
    <w:p w14:paraId="257F628C">
      <w:pPr>
        <w:tabs>
          <w:tab w:val="left" w:pos="142"/>
        </w:tabs>
        <w:spacing w:line="360" w:lineRule="auto"/>
        <w:ind w:left="532" w:hanging="532"/>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     申请</w:t>
      </w:r>
      <w:r>
        <w:rPr>
          <w:rFonts w:hint="eastAsia" w:ascii="宋体" w:hAnsi="宋体" w:eastAsia="宋体" w:cs="宋体"/>
          <w:color w:val="000000" w:themeColor="text1"/>
          <w:sz w:val="21"/>
          <w:szCs w:val="21"/>
          <w:highlight w:val="none"/>
          <w:lang w:val="zh-CN"/>
          <w14:textFill>
            <w14:solidFill>
              <w14:schemeClr w14:val="tx1"/>
            </w14:solidFill>
          </w14:textFill>
        </w:rPr>
        <w:t>文件</w:t>
      </w:r>
      <w:r>
        <w:rPr>
          <w:rFonts w:hint="eastAsia" w:ascii="宋体" w:hAnsi="宋体" w:eastAsia="宋体" w:cs="宋体"/>
          <w:color w:val="000000" w:themeColor="text1"/>
          <w:kern w:val="2"/>
          <w:sz w:val="21"/>
          <w:szCs w:val="21"/>
          <w:highlight w:val="none"/>
          <w:lang w:val="zh-CN"/>
          <w14:textFill>
            <w14:solidFill>
              <w14:schemeClr w14:val="tx1"/>
            </w14:solidFill>
          </w14:textFill>
        </w:rPr>
        <w:t>必须密封包装，外层密封封装表面应正确标明供应商名称。封口位置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kern w:val="2"/>
          <w:sz w:val="21"/>
          <w:szCs w:val="21"/>
          <w:highlight w:val="none"/>
          <w:lang w:val="zh-CN"/>
          <w14:textFill>
            <w14:solidFill>
              <w14:schemeClr w14:val="tx1"/>
            </w14:solidFill>
          </w14:textFill>
        </w:rPr>
        <w:t>加盖供应商法人公章。</w:t>
      </w:r>
    </w:p>
    <w:p w14:paraId="6265256C">
      <w:pPr>
        <w:tabs>
          <w:tab w:val="left" w:pos="142"/>
        </w:tabs>
        <w:spacing w:line="360" w:lineRule="auto"/>
        <w:ind w:left="532" w:hanging="532"/>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11.3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如果</w:t>
      </w:r>
      <w:r>
        <w:rPr>
          <w:rFonts w:hint="eastAsia" w:ascii="宋体" w:hAnsi="宋体" w:eastAsia="宋体" w:cs="宋体"/>
          <w:color w:val="000000" w:themeColor="text1"/>
          <w:sz w:val="21"/>
          <w:szCs w:val="21"/>
          <w:highlight w:val="none"/>
          <w:lang w:val="zh-CN"/>
          <w14:textFill>
            <w14:solidFill>
              <w14:schemeClr w14:val="tx1"/>
            </w14:solidFill>
          </w14:textFill>
        </w:rPr>
        <w:t>密封</w:t>
      </w:r>
      <w:r>
        <w:rPr>
          <w:rFonts w:hint="eastAsia" w:ascii="宋体" w:hAnsi="宋体" w:eastAsia="宋体" w:cs="宋体"/>
          <w:color w:val="000000" w:themeColor="text1"/>
          <w:kern w:val="2"/>
          <w:sz w:val="21"/>
          <w:szCs w:val="21"/>
          <w:highlight w:val="none"/>
          <w:lang w:val="zh-CN"/>
          <w14:textFill>
            <w14:solidFill>
              <w14:schemeClr w14:val="tx1"/>
            </w14:solidFill>
          </w14:textFill>
        </w:rPr>
        <w:t>封装未按本款规定密封和标记，委托人对申请文件的误投或提前拆封</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不负</w:t>
      </w:r>
      <w:r>
        <w:rPr>
          <w:rFonts w:hint="eastAsia" w:ascii="宋体" w:hAnsi="宋体" w:eastAsia="宋体" w:cs="宋体"/>
          <w:color w:val="000000" w:themeColor="text1"/>
          <w:kern w:val="2"/>
          <w:sz w:val="21"/>
          <w:szCs w:val="21"/>
          <w:highlight w:val="none"/>
          <w:lang w:val="zh-CN"/>
          <w14:textFill>
            <w14:solidFill>
              <w14:schemeClr w14:val="tx1"/>
            </w14:solidFill>
          </w14:textFill>
        </w:rPr>
        <w:t>责任。</w:t>
      </w:r>
    </w:p>
    <w:p w14:paraId="249CA67A">
      <w:pPr>
        <w:spacing w:line="360" w:lineRule="auto"/>
        <w:ind w:left="565" w:leftChars="-1" w:right="18" w:hanging="567" w:hangingChars="27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1EE400D0">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332" w:name="_Toc18982"/>
      <w:bookmarkStart w:id="333" w:name="_Toc27240"/>
      <w:bookmarkStart w:id="334" w:name="_Toc26863"/>
      <w:bookmarkStart w:id="335" w:name="_Toc2483"/>
      <w:bookmarkStart w:id="336" w:name="_Toc21695"/>
      <w:bookmarkStart w:id="337" w:name="_Toc46985613"/>
      <w:bookmarkStart w:id="338" w:name="_Toc7105"/>
      <w:bookmarkStart w:id="339" w:name="_Toc47514357"/>
      <w:bookmarkStart w:id="340" w:name="_Toc3703"/>
      <w:bookmarkStart w:id="341" w:name="_Toc31379"/>
      <w:bookmarkStart w:id="342" w:name="_Toc14354"/>
      <w:bookmarkStart w:id="343" w:name="_Toc22495"/>
      <w:bookmarkStart w:id="344" w:name="_Toc23624"/>
      <w:bookmarkStart w:id="345" w:name="_Toc521918087"/>
      <w:bookmarkStart w:id="346" w:name="_Toc3921"/>
      <w:bookmarkStart w:id="347" w:name="_Toc47013143"/>
      <w:bookmarkStart w:id="348" w:name="_Toc4535"/>
      <w:bookmarkStart w:id="349" w:name="_Toc450662869"/>
      <w:r>
        <w:rPr>
          <w:rFonts w:hint="eastAsia" w:ascii="宋体" w:hAnsi="宋体" w:eastAsia="宋体" w:cs="宋体"/>
          <w:color w:val="000000" w:themeColor="text1"/>
          <w:kern w:val="2"/>
          <w:sz w:val="21"/>
          <w:szCs w:val="21"/>
          <w:highlight w:val="none"/>
          <w:lang w:val="zh-CN"/>
          <w14:textFill>
            <w14:solidFill>
              <w14:schemeClr w14:val="tx1"/>
            </w14:solidFill>
          </w14:textFill>
        </w:rPr>
        <w:t>12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递交申请文件的截止日期</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B30CB92">
      <w:pPr>
        <w:tabs>
          <w:tab w:val="left" w:pos="567"/>
        </w:tabs>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12.1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委托人收到申请文件的时间不得迟于第一章“邀请书”中规定的截止时间。</w:t>
      </w:r>
    </w:p>
    <w:p w14:paraId="52D0964B">
      <w:pPr>
        <w:tabs>
          <w:tab w:val="left" w:pos="142"/>
        </w:tabs>
        <w:spacing w:line="360" w:lineRule="auto"/>
        <w:ind w:left="532" w:hanging="532"/>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12.2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委托人可</w:t>
      </w:r>
      <w:r>
        <w:rPr>
          <w:rFonts w:hint="eastAsia" w:ascii="宋体" w:hAnsi="宋体" w:eastAsia="宋体" w:cs="宋体"/>
          <w:color w:val="000000" w:themeColor="text1"/>
          <w:sz w:val="21"/>
          <w:szCs w:val="21"/>
          <w:highlight w:val="none"/>
          <w:lang w:val="zh-CN"/>
          <w14:textFill>
            <w14:solidFill>
              <w14:schemeClr w14:val="tx1"/>
            </w14:solidFill>
          </w14:textFill>
        </w:rPr>
        <w:t>按照</w:t>
      </w:r>
      <w:r>
        <w:rPr>
          <w:rFonts w:hint="eastAsia" w:ascii="宋体" w:hAnsi="宋体" w:eastAsia="宋体" w:cs="宋体"/>
          <w:color w:val="000000" w:themeColor="text1"/>
          <w:kern w:val="2"/>
          <w:sz w:val="21"/>
          <w:szCs w:val="21"/>
          <w:highlight w:val="none"/>
          <w:lang w:val="zh-CN"/>
          <w14:textFill>
            <w14:solidFill>
              <w14:schemeClr w14:val="tx1"/>
            </w14:solidFill>
          </w14:textFill>
        </w:rPr>
        <w:t>第6条的规定修改单项项目分配方案并酌情延长递交申请文件的截止时间，因此，已规定的委托人和供应商的一切权利和义务将按延期后的递交申请文件截止时间履行。</w:t>
      </w:r>
    </w:p>
    <w:p w14:paraId="41AAC29A">
      <w:pPr>
        <w:spacing w:line="360" w:lineRule="auto"/>
        <w:ind w:left="567"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0FB9FDF6">
      <w:pPr>
        <w:tabs>
          <w:tab w:val="left" w:pos="567"/>
        </w:tabs>
        <w:spacing w:line="360" w:lineRule="auto"/>
        <w:ind w:left="567" w:hanging="567"/>
        <w:outlineLvl w:val="2"/>
        <w:rPr>
          <w:rFonts w:hint="eastAsia" w:ascii="宋体" w:hAnsi="宋体" w:eastAsia="宋体" w:cs="宋体"/>
          <w:color w:val="000000" w:themeColor="text1"/>
          <w:highlight w:val="none"/>
          <w14:textFill>
            <w14:solidFill>
              <w14:schemeClr w14:val="tx1"/>
            </w14:solidFill>
          </w14:textFill>
        </w:rPr>
      </w:pPr>
      <w:bookmarkStart w:id="350" w:name="_Toc9938"/>
      <w:bookmarkStart w:id="351" w:name="_Toc5683"/>
      <w:bookmarkStart w:id="352" w:name="_Toc21855"/>
      <w:bookmarkStart w:id="353" w:name="_Toc4379"/>
      <w:bookmarkStart w:id="354" w:name="_Toc24605"/>
      <w:bookmarkStart w:id="355" w:name="_Toc3742"/>
      <w:bookmarkStart w:id="356" w:name="_Toc11789"/>
      <w:bookmarkStart w:id="357" w:name="_Toc450662870"/>
      <w:bookmarkStart w:id="358" w:name="_Toc6625"/>
      <w:bookmarkStart w:id="359" w:name="_Toc1121"/>
      <w:bookmarkStart w:id="360" w:name="_Toc47013144"/>
      <w:bookmarkStart w:id="361" w:name="_Toc521918088"/>
      <w:bookmarkStart w:id="362" w:name="_Toc26825"/>
      <w:bookmarkStart w:id="363" w:name="_Toc26925"/>
      <w:bookmarkStart w:id="364" w:name="_Toc46985614"/>
      <w:bookmarkStart w:id="365" w:name="_Toc26490"/>
      <w:bookmarkStart w:id="366" w:name="_Toc12325"/>
      <w:bookmarkStart w:id="367" w:name="_Toc47514358"/>
      <w:r>
        <w:rPr>
          <w:rFonts w:hint="eastAsia" w:ascii="宋体" w:hAnsi="宋体" w:eastAsia="宋体" w:cs="宋体"/>
          <w:color w:val="000000" w:themeColor="text1"/>
          <w:kern w:val="2"/>
          <w:sz w:val="21"/>
          <w:szCs w:val="21"/>
          <w:highlight w:val="none"/>
          <w:lang w:val="zh-CN"/>
          <w14:textFill>
            <w14:solidFill>
              <w14:schemeClr w14:val="tx1"/>
            </w14:solidFill>
          </w14:textFill>
        </w:rPr>
        <w:t>13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迟交的申请文件</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423B0AA">
      <w:pPr>
        <w:spacing w:line="360" w:lineRule="auto"/>
        <w:ind w:firstLine="525" w:firstLineChars="250"/>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委托人将拒绝任何晚于递交申请文件的截止时间交到的申请文件。</w:t>
      </w:r>
    </w:p>
    <w:p w14:paraId="4B2A2F2F">
      <w:pPr>
        <w:spacing w:line="360" w:lineRule="auto"/>
        <w:ind w:left="567" w:hanging="567"/>
        <w:jc w:val="both"/>
        <w:rPr>
          <w:rFonts w:hint="eastAsia" w:ascii="宋体" w:hAnsi="宋体" w:eastAsia="宋体" w:cs="宋体"/>
          <w:color w:val="000000" w:themeColor="text1"/>
          <w:highlight w:val="none"/>
          <w14:textFill>
            <w14:solidFill>
              <w14:schemeClr w14:val="tx1"/>
            </w14:solidFill>
          </w14:textFill>
        </w:rPr>
      </w:pPr>
    </w:p>
    <w:p w14:paraId="6A5B4CA1">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368" w:name="_Toc29916"/>
      <w:bookmarkStart w:id="369" w:name="_Toc25081"/>
      <w:bookmarkStart w:id="370" w:name="_Toc25458"/>
      <w:bookmarkStart w:id="371" w:name="_Toc7200"/>
      <w:bookmarkStart w:id="372" w:name="_Toc6307"/>
      <w:bookmarkStart w:id="373" w:name="_Toc1208"/>
      <w:bookmarkStart w:id="374" w:name="_Toc9115"/>
      <w:bookmarkStart w:id="375" w:name="_Toc450662871"/>
      <w:bookmarkStart w:id="376" w:name="_Toc521918089"/>
      <w:bookmarkStart w:id="377" w:name="_Toc25520"/>
      <w:bookmarkStart w:id="378" w:name="_Toc47013145"/>
      <w:bookmarkStart w:id="379" w:name="_Toc25957"/>
      <w:bookmarkStart w:id="380" w:name="_Toc2610"/>
      <w:bookmarkStart w:id="381" w:name="_Toc47514359"/>
      <w:bookmarkStart w:id="382" w:name="_Toc5960"/>
      <w:bookmarkStart w:id="383" w:name="_Toc9761"/>
      <w:bookmarkStart w:id="384" w:name="_Toc46985615"/>
      <w:bookmarkStart w:id="385" w:name="_Toc25012"/>
      <w:r>
        <w:rPr>
          <w:rFonts w:hint="eastAsia" w:ascii="宋体" w:hAnsi="宋体" w:eastAsia="宋体" w:cs="宋体"/>
          <w:color w:val="000000" w:themeColor="text1"/>
          <w:kern w:val="2"/>
          <w:sz w:val="21"/>
          <w:szCs w:val="21"/>
          <w:highlight w:val="none"/>
          <w:lang w:val="zh-CN"/>
          <w14:textFill>
            <w14:solidFill>
              <w14:schemeClr w14:val="tx1"/>
            </w14:solidFill>
          </w14:textFill>
        </w:rPr>
        <w:t>14</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C1F932A">
      <w:pPr>
        <w:tabs>
          <w:tab w:val="left" w:pos="142"/>
        </w:tabs>
        <w:spacing w:line="360" w:lineRule="auto"/>
        <w:ind w:left="532" w:hanging="532"/>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14.1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供应商在</w:t>
      </w:r>
      <w:r>
        <w:rPr>
          <w:rFonts w:hint="eastAsia" w:ascii="宋体" w:hAnsi="宋体" w:eastAsia="宋体" w:cs="宋体"/>
          <w:color w:val="000000" w:themeColor="text1"/>
          <w:sz w:val="21"/>
          <w:szCs w:val="21"/>
          <w:highlight w:val="none"/>
          <w:lang w:val="zh-CN"/>
          <w14:textFill>
            <w14:solidFill>
              <w14:schemeClr w14:val="tx1"/>
            </w14:solidFill>
          </w14:textFill>
        </w:rPr>
        <w:t>提交</w:t>
      </w:r>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申请文件后可对其申请文件进行修改或撤回，但委托人须在提交申请文件截止时间前收到该修改或撤回的书面通知。</w:t>
      </w:r>
    </w:p>
    <w:p w14:paraId="0F217380">
      <w:pPr>
        <w:spacing w:line="360" w:lineRule="auto"/>
        <w:ind w:left="567" w:leftChars="0" w:right="18" w:hanging="567" w:firstLineChars="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14.2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供应商对申请文件的修改或撤回的通知应按第10条和第11条规定进行准备、密封、标注和递送。</w:t>
      </w:r>
    </w:p>
    <w:p w14:paraId="06870FC3">
      <w:pPr>
        <w:spacing w:line="360" w:lineRule="auto"/>
        <w:ind w:left="567" w:right="18"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14.3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递交申请文件截止时间后不得修改申请文件。</w:t>
      </w:r>
    </w:p>
    <w:p w14:paraId="7123043E">
      <w:pPr>
        <w:snapToGrid w:val="0"/>
        <w:spacing w:line="360" w:lineRule="auto"/>
        <w:ind w:left="529" w:hanging="529" w:hangingChars="252"/>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14.4</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供应商不得在递交申请文件截止时间起至第9条规定的申请文件有效期期满前撤销申请文件，否则委托人有权将该供应商纳入东莞市水务集团实业发展有限公司（含及其控股公司、由其管理的参股公司）招标、采购、征集供应商或合作方采购的‘黑名单’，因此导致供应商无法参与东莞市水务集团实业发展有限公司相关招标采购等活动的，由供应商自行承担全部后果。</w:t>
      </w:r>
    </w:p>
    <w:p w14:paraId="2B317FE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themeColor="text1"/>
          <w:kern w:val="44"/>
          <w:sz w:val="21"/>
          <w:szCs w:val="21"/>
          <w:highlight w:val="none"/>
          <w:lang w:val="zh-CN"/>
          <w14:textFill>
            <w14:solidFill>
              <w14:schemeClr w14:val="tx1"/>
            </w14:solidFill>
          </w14:textFill>
        </w:rPr>
      </w:pPr>
      <w:bookmarkStart w:id="386" w:name="_Toc13501"/>
      <w:bookmarkStart w:id="387" w:name="_Toc7660"/>
      <w:bookmarkStart w:id="388" w:name="_Toc31454"/>
      <w:bookmarkStart w:id="389" w:name="_Toc3495"/>
      <w:bookmarkStart w:id="390" w:name="_Toc28060"/>
      <w:bookmarkStart w:id="391" w:name="_Toc24359"/>
      <w:bookmarkStart w:id="392" w:name="_Toc15287"/>
      <w:bookmarkStart w:id="393" w:name="_Toc521918090"/>
      <w:bookmarkStart w:id="394" w:name="_Toc47514360"/>
      <w:bookmarkStart w:id="395" w:name="_Toc47013146"/>
      <w:bookmarkStart w:id="396" w:name="_Toc1306"/>
      <w:bookmarkStart w:id="397" w:name="_Toc27895"/>
      <w:bookmarkStart w:id="398" w:name="_Toc46985616"/>
      <w:bookmarkStart w:id="399" w:name="_Toc29920"/>
      <w:bookmarkStart w:id="400" w:name="_Toc450662872"/>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3571A3AC">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01" w:name="_Toc9879"/>
      <w:bookmarkStart w:id="402" w:name="_Toc47013147"/>
      <w:bookmarkStart w:id="403" w:name="_Toc7737"/>
      <w:bookmarkStart w:id="404" w:name="_Toc17947"/>
      <w:bookmarkStart w:id="405" w:name="_Toc521918091"/>
      <w:bookmarkStart w:id="406" w:name="_Toc450662873"/>
      <w:bookmarkStart w:id="407" w:name="_Toc16692"/>
      <w:bookmarkStart w:id="408" w:name="_Toc9261"/>
      <w:bookmarkStart w:id="409" w:name="_Toc8031"/>
      <w:bookmarkStart w:id="410" w:name="_Toc25573"/>
      <w:bookmarkStart w:id="411" w:name="_Toc47514361"/>
      <w:bookmarkStart w:id="412" w:name="_Toc12282"/>
      <w:bookmarkStart w:id="413" w:name="_Toc24519"/>
      <w:bookmarkStart w:id="414" w:name="_Toc46985617"/>
      <w:bookmarkStart w:id="415" w:name="_Toc3630"/>
      <w:bookmarkStart w:id="416" w:name="_Toc23184"/>
      <w:bookmarkStart w:id="417" w:name="_Toc297"/>
      <w:bookmarkStart w:id="418" w:name="_Toc32637"/>
      <w:r>
        <w:rPr>
          <w:rFonts w:hint="eastAsia" w:ascii="宋体" w:hAnsi="宋体" w:eastAsia="宋体" w:cs="宋体"/>
          <w:color w:val="000000" w:themeColor="text1"/>
          <w:kern w:val="2"/>
          <w:sz w:val="21"/>
          <w:szCs w:val="21"/>
          <w:highlight w:val="none"/>
          <w:lang w:val="zh-CN"/>
          <w14:textFill>
            <w14:solidFill>
              <w14:schemeClr w14:val="tx1"/>
            </w14:solidFill>
          </w14:textFill>
        </w:rPr>
        <w:t>15</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eastAsia="宋体" w:cs="宋体"/>
          <w:color w:val="000000" w:themeColor="text1"/>
          <w:kern w:val="2"/>
          <w:sz w:val="21"/>
          <w:szCs w:val="21"/>
          <w:highlight w:val="none"/>
          <w:lang w:val="zh-CN"/>
          <w14:textFill>
            <w14:solidFill>
              <w14:schemeClr w14:val="tx1"/>
            </w14:solidFill>
          </w14:textFill>
        </w:rPr>
        <w:t>开封报价</w:t>
      </w:r>
      <w:bookmarkEnd w:id="416"/>
      <w:bookmarkEnd w:id="417"/>
      <w:bookmarkEnd w:id="418"/>
    </w:p>
    <w:p w14:paraId="6B9A77F2">
      <w:pPr>
        <w:snapToGrid w:val="0"/>
        <w:spacing w:line="360" w:lineRule="auto"/>
        <w:ind w:left="529" w:hanging="529" w:hangingChars="252"/>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.1 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申请人</w:t>
      </w:r>
      <w:r>
        <w:rPr>
          <w:rFonts w:hint="eastAsia" w:ascii="宋体" w:hAnsi="宋体" w:eastAsia="宋体" w:cs="宋体"/>
          <w:color w:val="000000" w:themeColor="text1"/>
          <w:kern w:val="2"/>
          <w:sz w:val="21"/>
          <w:szCs w:val="21"/>
          <w:highlight w:val="none"/>
          <w:lang w:val="zh-CN"/>
          <w14:textFill>
            <w14:solidFill>
              <w14:schemeClr w14:val="tx1"/>
            </w14:solidFill>
          </w14:textFill>
        </w:rPr>
        <w:t>代表自愿出席的情况下，在第一</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kern w:val="2"/>
          <w:sz w:val="21"/>
          <w:szCs w:val="21"/>
          <w:highlight w:val="none"/>
          <w:lang w:val="zh-CN"/>
          <w14:textFill>
            <w14:solidFill>
              <w14:schemeClr w14:val="tx1"/>
            </w14:solidFill>
          </w14:textFill>
        </w:rPr>
        <w:t>“邀请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书</w:t>
      </w:r>
      <w:r>
        <w:rPr>
          <w:rFonts w:hint="eastAsia" w:ascii="宋体" w:hAnsi="宋体" w:eastAsia="宋体" w:cs="宋体"/>
          <w:color w:val="000000" w:themeColor="text1"/>
          <w:kern w:val="2"/>
          <w:sz w:val="21"/>
          <w:szCs w:val="21"/>
          <w:highlight w:val="none"/>
          <w:lang w:val="zh-CN"/>
          <w14:textFill>
            <w14:solidFill>
              <w14:schemeClr w14:val="tx1"/>
            </w14:solidFill>
          </w14:textFill>
        </w:rPr>
        <w:t>”规定的地点和时间开封公开报价, 出席代表需登记以示出席。</w:t>
      </w:r>
    </w:p>
    <w:p w14:paraId="795354B2">
      <w:pPr>
        <w:snapToGrid w:val="0"/>
        <w:spacing w:line="360" w:lineRule="auto"/>
        <w:ind w:left="529" w:hanging="529" w:hangingChars="252"/>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.2 开封公开报价时，委托人将当众宣读</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申请人</w:t>
      </w:r>
      <w:r>
        <w:rPr>
          <w:rFonts w:hint="eastAsia" w:ascii="宋体" w:hAnsi="宋体" w:eastAsia="宋体" w:cs="宋体"/>
          <w:color w:val="000000" w:themeColor="text1"/>
          <w:kern w:val="2"/>
          <w:sz w:val="21"/>
          <w:szCs w:val="21"/>
          <w:highlight w:val="none"/>
          <w:lang w:val="zh-CN"/>
          <w14:textFill>
            <w14:solidFill>
              <w14:schemeClr w14:val="tx1"/>
            </w14:solidFill>
          </w14:textFill>
        </w:rPr>
        <w:t>名称、报价以及认为合适的其他内容。若宣读的结果与申请文件不符时，申请人有权在现场提出异议，经现场核查确认之后，可重新宣读其申请文件相关内容。若申请人现场未提出异议，则视为申请人确认宣读的结果。</w:t>
      </w:r>
    </w:p>
    <w:p w14:paraId="72363D88">
      <w:pPr>
        <w:snapToGrid w:val="0"/>
        <w:spacing w:line="360" w:lineRule="auto"/>
        <w:ind w:left="529" w:hanging="529" w:hangingChars="252"/>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.3 申请人对开封公开报价有异议的，应当在公开报价的现场提出，委托人当场作出答复，并制作记录。</w:t>
      </w:r>
    </w:p>
    <w:p w14:paraId="2C09E787">
      <w:pPr>
        <w:snapToGrid w:val="0"/>
        <w:spacing w:line="360" w:lineRule="auto"/>
        <w:ind w:left="529" w:hanging="529" w:hangingChars="252"/>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.4 委托人将做开封公开报价记录，记录包括按第</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.2款的规定在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开封报价</w:t>
      </w:r>
      <w:r>
        <w:rPr>
          <w:rFonts w:hint="eastAsia" w:ascii="宋体" w:hAnsi="宋体" w:eastAsia="宋体" w:cs="宋体"/>
          <w:color w:val="000000" w:themeColor="text1"/>
          <w:kern w:val="2"/>
          <w:sz w:val="21"/>
          <w:szCs w:val="21"/>
          <w:highlight w:val="none"/>
          <w:lang w:val="zh-CN"/>
          <w14:textFill>
            <w14:solidFill>
              <w14:schemeClr w14:val="tx1"/>
            </w14:solidFill>
          </w14:textFill>
        </w:rPr>
        <w:t>时宣读的全部内容、第</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val="zh-CN"/>
          <w14:textFill>
            <w14:solidFill>
              <w14:schemeClr w14:val="tx1"/>
            </w14:solidFill>
          </w14:textFill>
        </w:rPr>
        <w:t>.3款发生的异议及答复。</w:t>
      </w:r>
    </w:p>
    <w:p w14:paraId="5D6407D3">
      <w:pPr>
        <w:spacing w:line="360" w:lineRule="auto"/>
        <w:ind w:right="18"/>
        <w:jc w:val="both"/>
        <w:rPr>
          <w:rFonts w:hint="eastAsia" w:ascii="宋体" w:hAnsi="宋体" w:eastAsia="宋体" w:cs="宋体"/>
          <w:color w:val="000000" w:themeColor="text1"/>
          <w:sz w:val="21"/>
          <w:szCs w:val="21"/>
          <w:highlight w:val="none"/>
          <w14:textFill>
            <w14:solidFill>
              <w14:schemeClr w14:val="tx1"/>
            </w14:solidFill>
          </w14:textFill>
        </w:rPr>
      </w:pPr>
    </w:p>
    <w:p w14:paraId="1E7228F1">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19" w:name="_Toc9998"/>
      <w:bookmarkStart w:id="420" w:name="_Toc31133"/>
      <w:bookmarkStart w:id="421" w:name="_Toc450"/>
      <w:bookmarkStart w:id="422" w:name="_Toc722"/>
      <w:bookmarkStart w:id="423" w:name="_Toc11149"/>
      <w:bookmarkStart w:id="424" w:name="_Toc20297"/>
      <w:bookmarkStart w:id="425" w:name="_Toc19151"/>
      <w:bookmarkStart w:id="426" w:name="_Toc47514362"/>
      <w:bookmarkStart w:id="427" w:name="_Toc47013148"/>
      <w:bookmarkStart w:id="428" w:name="_Toc7618"/>
      <w:bookmarkStart w:id="429" w:name="_Toc22687"/>
      <w:bookmarkStart w:id="430" w:name="_Toc46985618"/>
      <w:bookmarkStart w:id="431" w:name="_Toc28872"/>
      <w:bookmarkStart w:id="432" w:name="_Toc13144"/>
      <w:bookmarkStart w:id="433" w:name="_Toc17340"/>
      <w:bookmarkStart w:id="434" w:name="_Toc8930"/>
      <w:r>
        <w:rPr>
          <w:rFonts w:hint="eastAsia" w:ascii="宋体" w:hAnsi="宋体" w:eastAsia="宋体" w:cs="宋体"/>
          <w:color w:val="000000" w:themeColor="text1"/>
          <w:kern w:val="2"/>
          <w:sz w:val="21"/>
          <w:szCs w:val="21"/>
          <w:highlight w:val="none"/>
          <w:lang w:val="zh-CN"/>
          <w14:textFill>
            <w14:solidFill>
              <w14:schemeClr w14:val="tx1"/>
            </w14:solidFill>
          </w14:textFill>
        </w:rPr>
        <w:t>16</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21F5F8B">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16.1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本项目由</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委托人或上级单位</w:t>
      </w:r>
      <w:r>
        <w:rPr>
          <w:rFonts w:hint="eastAsia" w:ascii="宋体" w:hAnsi="宋体" w:eastAsia="宋体" w:cs="宋体"/>
          <w:color w:val="000000" w:themeColor="text1"/>
          <w:kern w:val="2"/>
          <w:sz w:val="21"/>
          <w:szCs w:val="21"/>
          <w:highlight w:val="none"/>
          <w:lang w:val="zh-CN"/>
          <w14:textFill>
            <w14:solidFill>
              <w14:schemeClr w14:val="tx1"/>
            </w14:solidFill>
          </w14:textFill>
        </w:rPr>
        <w:t>自行组建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小组的成员在评审过程中必须严格遵守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lang w:val="zh-CN"/>
          <w14:textFill>
            <w14:solidFill>
              <w14:schemeClr w14:val="tx1"/>
            </w14:solidFill>
          </w14:textFill>
        </w:rPr>
        <w:t>及上级部门相关制度的有关规定。</w:t>
      </w:r>
    </w:p>
    <w:p w14:paraId="54072487">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.2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小组根据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lang w:val="zh-CN"/>
          <w14:textFill>
            <w14:solidFill>
              <w14:schemeClr w14:val="tx1"/>
            </w14:solidFill>
          </w14:textFill>
        </w:rPr>
        <w:t>的规定，进行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lang w:val="zh-CN"/>
          <w14:textFill>
            <w14:solidFill>
              <w14:schemeClr w14:val="tx1"/>
            </w14:solidFill>
          </w14:textFill>
        </w:rPr>
        <w:t>文件的评审、得出评审结果，推荐成交候选人。</w:t>
      </w:r>
    </w:p>
    <w:p w14:paraId="07FBB940">
      <w:pPr>
        <w:spacing w:line="360" w:lineRule="auto"/>
        <w:ind w:left="567" w:right="18" w:hanging="567"/>
        <w:jc w:val="both"/>
        <w:rPr>
          <w:rFonts w:hint="eastAsia" w:ascii="宋体" w:hAnsi="宋体" w:eastAsia="宋体" w:cs="宋体"/>
          <w:color w:val="000000" w:themeColor="text1"/>
          <w:sz w:val="21"/>
          <w:szCs w:val="21"/>
          <w:highlight w:val="none"/>
          <w14:textFill>
            <w14:solidFill>
              <w14:schemeClr w14:val="tx1"/>
            </w14:solidFill>
          </w14:textFill>
        </w:rPr>
      </w:pPr>
    </w:p>
    <w:p w14:paraId="6C9CD28E">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bookmarkStart w:id="435" w:name="_Toc27175"/>
      <w:bookmarkStart w:id="436" w:name="_Toc18998"/>
      <w:bookmarkStart w:id="437" w:name="_Toc12202"/>
      <w:bookmarkStart w:id="438" w:name="_Toc46985619"/>
      <w:bookmarkStart w:id="439" w:name="_Toc450662874"/>
      <w:bookmarkStart w:id="440" w:name="_Toc47514363"/>
      <w:bookmarkStart w:id="441" w:name="_Toc31586"/>
      <w:bookmarkStart w:id="442" w:name="_Toc12515"/>
      <w:bookmarkStart w:id="443" w:name="_Toc6617"/>
      <w:bookmarkStart w:id="444" w:name="_Toc3343"/>
      <w:bookmarkStart w:id="445" w:name="_Toc20423"/>
      <w:bookmarkStart w:id="446" w:name="_Toc47013149"/>
      <w:bookmarkStart w:id="447" w:name="_Toc26241"/>
      <w:bookmarkStart w:id="448" w:name="_Toc1565"/>
      <w:bookmarkStart w:id="449" w:name="_Toc521918092"/>
      <w:bookmarkStart w:id="450" w:name="_Toc13347"/>
      <w:bookmarkStart w:id="451" w:name="_Toc9393"/>
      <w:bookmarkStart w:id="452" w:name="_Toc15874"/>
      <w:r>
        <w:rPr>
          <w:rFonts w:hint="eastAsia" w:ascii="宋体" w:hAnsi="宋体" w:eastAsia="宋体" w:cs="宋体"/>
          <w:color w:val="000000" w:themeColor="text1"/>
          <w:kern w:val="2"/>
          <w:sz w:val="21"/>
          <w:szCs w:val="21"/>
          <w:highlight w:val="none"/>
          <w:lang w:val="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eastAsia="宋体" w:cs="宋体"/>
          <w:color w:val="000000" w:themeColor="text1"/>
          <w:kern w:val="2"/>
          <w:sz w:val="21"/>
          <w:szCs w:val="21"/>
          <w:highlight w:val="none"/>
          <w:lang w:val="zh-CN"/>
          <w14:textFill>
            <w14:solidFill>
              <w14:schemeClr w14:val="tx1"/>
            </w14:solidFill>
          </w14:textFill>
        </w:rPr>
        <w:t>申请文件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评审</w:t>
      </w:r>
      <w:bookmarkEnd w:id="450"/>
      <w:bookmarkEnd w:id="451"/>
      <w:bookmarkEnd w:id="452"/>
    </w:p>
    <w:p w14:paraId="6DEAA865">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 xml:space="preserve">.1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w:t>
      </w:r>
      <w:r>
        <w:rPr>
          <w:rFonts w:hint="eastAsia" w:ascii="宋体" w:hAnsi="宋体" w:eastAsia="宋体" w:cs="宋体"/>
          <w:color w:val="000000" w:themeColor="text1"/>
          <w:kern w:val="2"/>
          <w:sz w:val="21"/>
          <w:szCs w:val="21"/>
          <w:highlight w:val="none"/>
          <w14:textFill>
            <w14:solidFill>
              <w14:schemeClr w14:val="tx1"/>
            </w14:solidFill>
          </w14:textFill>
        </w:rPr>
        <w:t>对所有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文件的评审，都采用相同的程序和标准。按步骤先进行初审，再得出评审结果，推荐成交候选人。</w:t>
      </w:r>
    </w:p>
    <w:p w14:paraId="0E84F240">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文件的初审。包括资格性审查和符合性审查。资格性审查：依据法律法规和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14:textFill>
            <w14:solidFill>
              <w14:schemeClr w14:val="tx1"/>
            </w14:solidFill>
          </w14:textFill>
        </w:rPr>
        <w:t>的规定，对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文件中的资格证明等进行审查，以确定</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人是否具备报价资格。符合性审查：依据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14:textFill>
            <w14:solidFill>
              <w14:schemeClr w14:val="tx1"/>
            </w14:solidFill>
          </w14:textFill>
        </w:rPr>
        <w:t>的规定，从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文件的有效性、完整性和对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14:textFill>
            <w14:solidFill>
              <w14:schemeClr w14:val="tx1"/>
            </w14:solidFill>
          </w14:textFill>
        </w:rPr>
        <w:t>的响应程度进行审查，以确定是否对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14:textFill>
            <w14:solidFill>
              <w14:schemeClr w14:val="tx1"/>
            </w14:solidFill>
          </w14:textFill>
        </w:rPr>
        <w:t>的实质性要求作出响应。</w:t>
      </w:r>
    </w:p>
    <w:p w14:paraId="5069A81C">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ab/>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文件的澄清。对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文件中含义不明确、同类问题表述不一致或者有明显文字和计算错误的内容，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kern w:val="2"/>
          <w:sz w:val="21"/>
          <w:szCs w:val="21"/>
          <w:highlight w:val="none"/>
          <w14:textFill>
            <w14:solidFill>
              <w14:schemeClr w14:val="tx1"/>
            </w14:solidFill>
          </w14:textFill>
        </w:rPr>
        <w:t>书面形式要求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人作出必要的澄清、说明或者纠正。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人的澄清、说明或者补正应当采用书面形式，加盖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申请人</w:t>
      </w:r>
      <w:r>
        <w:rPr>
          <w:rFonts w:hint="eastAsia" w:ascii="宋体" w:hAnsi="宋体" w:eastAsia="宋体" w:cs="宋体"/>
          <w:color w:val="000000" w:themeColor="text1"/>
          <w:kern w:val="2"/>
          <w:sz w:val="21"/>
          <w:szCs w:val="21"/>
          <w:highlight w:val="none"/>
          <w14:textFill>
            <w14:solidFill>
              <w14:schemeClr w14:val="tx1"/>
            </w14:solidFill>
          </w14:textFill>
        </w:rPr>
        <w:t>公章（或由其法定代表人或其授权的代表签字），并不得超出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文件的范围或者改变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文件的实质性内容。该书面澄清作为其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文件的一部分。</w:t>
      </w:r>
    </w:p>
    <w:p w14:paraId="01B38EF4">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.4  经过澄清后确认，</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文件存在重大（实质性）偏差，且不可接受，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人则被认为是“未响应</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14:textFill>
            <w14:solidFill>
              <w14:schemeClr w14:val="tx1"/>
            </w14:solidFill>
          </w14:textFill>
        </w:rPr>
        <w:t>提出的实质性要求和条件的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人”，不再进入下一步评审。</w:t>
      </w:r>
    </w:p>
    <w:p w14:paraId="20511E55">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 xml:space="preserve">.5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文件计算错误的修正。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14:textFill>
            <w14:solidFill>
              <w14:schemeClr w14:val="tx1"/>
            </w14:solidFill>
          </w14:textFill>
        </w:rPr>
        <w:t>小组将对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文件进行校核，看其是否有计算或表达上的错误，修正错误的原则如下：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文件的报价大写金额和小写金额不一致的，以大写金额为准；对不同文字文本</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文件的组成部分。</w:t>
      </w:r>
    </w:p>
    <w:p w14:paraId="5E2AF034">
      <w:pPr>
        <w:tabs>
          <w:tab w:val="left" w:pos="567"/>
        </w:tabs>
        <w:spacing w:line="360" w:lineRule="auto"/>
        <w:ind w:left="570" w:leftChars="220" w:right="18" w:hanging="42" w:hangingChars="2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按上述修正错误的原则及方法调整或修正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文件的报价，调整后的报价对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人起约束作用。如果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人不接受修正后的报价，则其报价将被拒绝，作为无效处理。</w:t>
      </w:r>
    </w:p>
    <w:p w14:paraId="690A7835">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2"/>
          <w:sz w:val="21"/>
          <w:szCs w:val="21"/>
          <w:highlight w:val="none"/>
          <w14:textFill>
            <w14:solidFill>
              <w14:schemeClr w14:val="tx1"/>
            </w14:solidFill>
          </w14:textFill>
        </w:rPr>
        <w:t>.6 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人出现超低报价，有可能影响货物、服务或工程质量，和不能诚信履约的，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14:textFill>
            <w14:solidFill>
              <w14:schemeClr w14:val="tx1"/>
            </w14:solidFill>
          </w14:textFill>
        </w:rPr>
        <w:t>小组将要求该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人作出书面说明并提供相关证明材料，以确定</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人是否以低于企业成本价报价。若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14:textFill>
            <w14:solidFill>
              <w14:schemeClr w14:val="tx1"/>
            </w14:solidFill>
          </w14:textFill>
        </w:rPr>
        <w:t>小组认定</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人以低于企业成本价报价或报价存在重大漏项，且</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人不能合理说明或不能提供相关证明材料，导致</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的利益得不到保障，则该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人的报价作为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无效申请</w:t>
      </w:r>
      <w:r>
        <w:rPr>
          <w:rFonts w:hint="eastAsia" w:ascii="宋体" w:hAnsi="宋体" w:eastAsia="宋体" w:cs="宋体"/>
          <w:color w:val="000000" w:themeColor="text1"/>
          <w:kern w:val="2"/>
          <w:sz w:val="21"/>
          <w:szCs w:val="21"/>
          <w:highlight w:val="none"/>
          <w14:textFill>
            <w14:solidFill>
              <w14:schemeClr w14:val="tx1"/>
            </w14:solidFill>
          </w14:textFill>
        </w:rPr>
        <w:t>处理。</w:t>
      </w:r>
    </w:p>
    <w:p w14:paraId="023B1EB2">
      <w:pPr>
        <w:tabs>
          <w:tab w:val="left" w:pos="567"/>
        </w:tabs>
        <w:spacing w:line="360" w:lineRule="auto"/>
        <w:ind w:left="570" w:leftChars="220" w:right="18" w:hanging="42" w:hangingChars="2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对是否低于企业成本价报价或报价存在重大漏项的事宜有争议的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文件,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14:textFill>
            <w14:solidFill>
              <w14:schemeClr w14:val="tx1"/>
            </w14:solidFill>
          </w14:textFill>
        </w:rPr>
        <w:t>小组成员将以记名方式表决,得票超过半数的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color w:val="000000" w:themeColor="text1"/>
          <w:kern w:val="2"/>
          <w:sz w:val="21"/>
          <w:szCs w:val="21"/>
          <w:highlight w:val="none"/>
          <w14:textFill>
            <w14:solidFill>
              <w14:schemeClr w14:val="tx1"/>
            </w14:solidFill>
          </w14:textFill>
        </w:rPr>
        <w:t>人才有资格进入下一阶段的评审,否则将按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无效申请</w:t>
      </w:r>
      <w:r>
        <w:rPr>
          <w:rFonts w:hint="eastAsia" w:ascii="宋体" w:hAnsi="宋体" w:eastAsia="宋体" w:cs="宋体"/>
          <w:color w:val="000000" w:themeColor="text1"/>
          <w:kern w:val="2"/>
          <w:sz w:val="21"/>
          <w:szCs w:val="21"/>
          <w:highlight w:val="none"/>
          <w14:textFill>
            <w14:solidFill>
              <w14:schemeClr w14:val="tx1"/>
            </w14:solidFill>
          </w14:textFill>
        </w:rPr>
        <w:t>处理。</w:t>
      </w:r>
    </w:p>
    <w:p w14:paraId="68F16CEB">
      <w:pPr>
        <w:tabs>
          <w:tab w:val="left" w:pos="360"/>
        </w:tabs>
        <w:spacing w:line="360" w:lineRule="auto"/>
        <w:ind w:left="540" w:right="51" w:hanging="54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6F12B942">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53" w:name="_Toc15418"/>
      <w:bookmarkStart w:id="454" w:name="_Toc30963"/>
      <w:bookmarkStart w:id="455" w:name="_Toc15848"/>
      <w:bookmarkStart w:id="456" w:name="_Toc16281"/>
      <w:bookmarkStart w:id="457" w:name="_Toc30007"/>
      <w:bookmarkStart w:id="458" w:name="_Toc13842"/>
      <w:bookmarkStart w:id="459" w:name="_Toc61594248"/>
      <w:bookmarkStart w:id="460" w:name="_Toc13556"/>
      <w:bookmarkStart w:id="461" w:name="_Toc31587"/>
      <w:bookmarkStart w:id="462" w:name="_Toc18176"/>
      <w:bookmarkStart w:id="463" w:name="_Toc27694"/>
      <w:bookmarkStart w:id="464" w:name="_Toc2335"/>
      <w:bookmarkStart w:id="465" w:name="_Toc25961"/>
      <w:r>
        <w:rPr>
          <w:rFonts w:hint="eastAsia" w:ascii="宋体" w:hAnsi="宋体" w:eastAsia="宋体" w:cs="宋体"/>
          <w:color w:val="000000" w:themeColor="text1"/>
          <w:kern w:val="2"/>
          <w:sz w:val="21"/>
          <w:szCs w:val="21"/>
          <w:highlight w:val="none"/>
          <w:lang w:val="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评定成交的标准</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2CDA9561">
      <w:pPr>
        <w:tabs>
          <w:tab w:val="left" w:pos="567"/>
        </w:tabs>
        <w:spacing w:line="360" w:lineRule="auto"/>
        <w:ind w:left="567" w:right="18" w:hanging="567"/>
        <w:jc w:val="both"/>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val="zh-CN"/>
          <w14:textFill>
            <w14:solidFill>
              <w14:schemeClr w14:val="tx1"/>
            </w14:solidFill>
          </w14:textFill>
        </w:rPr>
        <w:t xml:space="preserve">.1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小组从质量和服务均满足</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单项项目分配方案</w:t>
      </w:r>
      <w:r>
        <w:rPr>
          <w:rFonts w:hint="eastAsia" w:ascii="宋体" w:hAnsi="宋体" w:eastAsia="宋体" w:cs="宋体"/>
          <w:color w:val="000000" w:themeColor="text1"/>
          <w:kern w:val="2"/>
          <w:sz w:val="21"/>
          <w:szCs w:val="21"/>
          <w:highlight w:val="none"/>
          <w:lang w:val="zh-CN"/>
          <w14:textFill>
            <w14:solidFill>
              <w14:schemeClr w14:val="tx1"/>
            </w14:solidFill>
          </w14:textFill>
        </w:rPr>
        <w:t>实质性响应要求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的供应商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中，</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按照报价由低到高的顺序推荐成交候选人，顺序为第一名的申请人推荐为候选常态化处置单位,其余顺序的申请人为候选应急处置单位，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形成“推荐成交候选人名单”</w:t>
      </w:r>
      <w:r>
        <w:rPr>
          <w:rFonts w:hint="eastAsia" w:ascii="宋体" w:hAnsi="宋体" w:eastAsia="宋体" w:cs="宋体"/>
          <w:color w:val="000000" w:themeColor="text1"/>
          <w:kern w:val="2"/>
          <w:sz w:val="21"/>
          <w:szCs w:val="21"/>
          <w:highlight w:val="none"/>
          <w:lang w:val="zh-CN"/>
          <w14:textFill>
            <w14:solidFill>
              <w14:schemeClr w14:val="tx1"/>
            </w14:solidFill>
          </w14:textFill>
        </w:rPr>
        <w:t>并编写</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报告。</w:t>
      </w:r>
    </w:p>
    <w:p w14:paraId="283408DA">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18.2 </w:t>
      </w:r>
      <w:r>
        <w:rPr>
          <w:rFonts w:hint="eastAsia" w:ascii="宋体" w:hAnsi="宋体" w:eastAsia="宋体" w:cs="宋体"/>
          <w:color w:val="000000" w:themeColor="text1"/>
          <w:kern w:val="2"/>
          <w:sz w:val="21"/>
          <w:szCs w:val="21"/>
          <w:highlight w:val="none"/>
          <w:lang w:val="zh-CN"/>
          <w14:textFill>
            <w14:solidFill>
              <w14:schemeClr w14:val="tx1"/>
            </w14:solidFill>
          </w14:textFill>
        </w:rPr>
        <w:t>如果有两个或以上的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的报价相同时</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分配小组</w:t>
      </w:r>
      <w:r>
        <w:rPr>
          <w:rFonts w:hint="eastAsia" w:ascii="宋体" w:hAnsi="宋体" w:eastAsia="宋体" w:cs="宋体"/>
          <w:color w:val="000000" w:themeColor="text1"/>
          <w:kern w:val="2"/>
          <w:sz w:val="21"/>
          <w:szCs w:val="21"/>
          <w:highlight w:val="none"/>
          <w14:textFill>
            <w14:solidFill>
              <w14:schemeClr w14:val="tx1"/>
            </w14:solidFill>
          </w14:textFill>
        </w:rPr>
        <w:t>通过综合对比，确定常态化外运处置服务单位</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的排序</w:t>
      </w:r>
      <w:r>
        <w:rPr>
          <w:rFonts w:hint="eastAsia" w:ascii="宋体" w:hAnsi="宋体" w:eastAsia="宋体" w:cs="宋体"/>
          <w:color w:val="000000" w:themeColor="text1"/>
          <w:kern w:val="2"/>
          <w:sz w:val="21"/>
          <w:szCs w:val="21"/>
          <w:highlight w:val="none"/>
          <w14:textFill>
            <w14:solidFill>
              <w14:schemeClr w14:val="tx1"/>
            </w14:solidFill>
          </w14:textFill>
        </w:rPr>
        <w:t>。对比方式为：优先对比</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处置方式，焚烧或经高温处理后建材利用处置方式优于其它；</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w:t>
      </w:r>
      <w:r>
        <w:rPr>
          <w:rFonts w:hint="eastAsia" w:ascii="宋体" w:hAnsi="宋体" w:eastAsia="宋体" w:cs="宋体"/>
          <w:color w:val="000000" w:themeColor="text1"/>
          <w:kern w:val="2"/>
          <w:sz w:val="21"/>
          <w:szCs w:val="21"/>
          <w:highlight w:val="none"/>
          <w14:textFill>
            <w14:solidFill>
              <w14:schemeClr w14:val="tx1"/>
            </w14:solidFill>
          </w14:textFill>
        </w:rPr>
        <w:t>次对比</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承诺接收量，量大的优于量少的；如上述条件一致，最后由竞价小组讨论决定</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直到能确定排序次序为止</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14:paraId="48ABD45C">
      <w:pPr>
        <w:pStyle w:val="52"/>
        <w:rPr>
          <w:rFonts w:hint="eastAsia" w:ascii="宋体" w:hAnsi="宋体" w:eastAsia="宋体" w:cs="宋体"/>
          <w:color w:val="000000" w:themeColor="text1"/>
          <w:highlight w:val="none"/>
          <w14:textFill>
            <w14:solidFill>
              <w14:schemeClr w14:val="tx1"/>
            </w14:solidFill>
          </w14:textFill>
        </w:rPr>
      </w:pPr>
    </w:p>
    <w:p w14:paraId="65530689">
      <w:pPr>
        <w:tabs>
          <w:tab w:val="left" w:pos="567"/>
        </w:tabs>
        <w:spacing w:line="360" w:lineRule="auto"/>
        <w:ind w:left="567" w:right="0" w:hanging="567"/>
        <w:jc w:val="left"/>
        <w:outlineLvl w:val="2"/>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pPr>
      <w:bookmarkStart w:id="466" w:name="_Toc8439"/>
      <w:bookmarkStart w:id="467" w:name="_Toc30582"/>
      <w:bookmarkStart w:id="468" w:name="_Toc8536"/>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2"/>
          <w:sz w:val="21"/>
          <w:szCs w:val="21"/>
          <w:highlight w:val="none"/>
          <w:lang w:val="zh-CN"/>
          <w14:textFill>
            <w14:solidFill>
              <w14:schemeClr w14:val="tx1"/>
            </w14:solidFill>
          </w14:textFill>
        </w:rPr>
        <w:t xml:space="preserve">9  </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 xml:space="preserve"> 申请文件</w:t>
      </w:r>
      <w:r>
        <w:rPr>
          <w:rFonts w:hint="eastAsia" w:ascii="宋体" w:hAnsi="宋体" w:eastAsia="宋体" w:cs="宋体"/>
          <w:b/>
          <w:color w:val="000000" w:themeColor="text1"/>
          <w:kern w:val="2"/>
          <w:sz w:val="21"/>
          <w:szCs w:val="21"/>
          <w:highlight w:val="none"/>
          <w:lang w:val="en-US"/>
          <w14:textFill>
            <w14:solidFill>
              <w14:schemeClr w14:val="tx1"/>
            </w14:solidFill>
          </w14:textFill>
        </w:rPr>
        <w:t>出现</w:t>
      </w:r>
      <w:r>
        <w:rPr>
          <w:rFonts w:hint="eastAsia" w:ascii="宋体" w:hAnsi="宋体" w:eastAsia="宋体" w:cs="宋体"/>
          <w:b/>
          <w:color w:val="000000" w:themeColor="text1"/>
          <w:kern w:val="2"/>
          <w:sz w:val="21"/>
          <w:szCs w:val="21"/>
          <w:highlight w:val="none"/>
          <w:lang w:val="zh-CN"/>
          <w14:textFill>
            <w14:solidFill>
              <w14:schemeClr w14:val="tx1"/>
            </w14:solidFill>
          </w14:textFill>
        </w:rPr>
        <w:t>下列情况之一的，</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将</w:t>
      </w:r>
      <w:r>
        <w:rPr>
          <w:rFonts w:hint="eastAsia" w:ascii="宋体" w:hAnsi="宋体" w:eastAsia="宋体" w:cs="宋体"/>
          <w:b/>
          <w:color w:val="000000" w:themeColor="text1"/>
          <w:kern w:val="2"/>
          <w:sz w:val="21"/>
          <w:szCs w:val="21"/>
          <w:highlight w:val="none"/>
          <w:lang w:val="zh-CN"/>
          <w14:textFill>
            <w14:solidFill>
              <w14:schemeClr w14:val="tx1"/>
            </w14:solidFill>
          </w14:textFill>
        </w:rPr>
        <w:t>被认定为无效</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申请</w:t>
      </w:r>
      <w:r>
        <w:rPr>
          <w:rFonts w:hint="eastAsia" w:ascii="宋体" w:hAnsi="宋体" w:eastAsia="宋体" w:cs="宋体"/>
          <w:b/>
          <w:color w:val="000000" w:themeColor="text1"/>
          <w:kern w:val="2"/>
          <w:sz w:val="21"/>
          <w:szCs w:val="21"/>
          <w:highlight w:val="none"/>
          <w:lang w:val="zh-CN"/>
          <w14:textFill>
            <w14:solidFill>
              <w14:schemeClr w14:val="tx1"/>
            </w14:solidFill>
          </w14:textFill>
        </w:rPr>
        <w:t>：</w:t>
      </w:r>
      <w:bookmarkEnd w:id="466"/>
      <w:bookmarkEnd w:id="467"/>
      <w:bookmarkEnd w:id="468"/>
    </w:p>
    <w:p w14:paraId="14DFC03D">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19.1 若本期供应商参与报价时，</w:t>
      </w:r>
      <w:r>
        <w:rPr>
          <w:rFonts w:hint="eastAsia" w:ascii="宋体" w:hAnsi="宋体" w:eastAsia="宋体" w:cs="宋体"/>
          <w:b w:val="0"/>
          <w:bCs/>
          <w:color w:val="000000" w:themeColor="text1"/>
          <w:kern w:val="2"/>
          <w:sz w:val="21"/>
          <w:szCs w:val="21"/>
          <w:highlight w:val="none"/>
          <w:u w:val="none"/>
          <w:lang w:val="en-US" w:eastAsia="zh-CN"/>
          <w14:textFill>
            <w14:solidFill>
              <w14:schemeClr w14:val="tx1"/>
            </w14:solidFill>
          </w14:textFill>
        </w:rPr>
        <w:t>未附上《</w:t>
      </w:r>
      <w:r>
        <w:rPr>
          <w:rFonts w:hint="eastAsia" w:ascii="宋体" w:hAnsi="宋体" w:eastAsia="宋体" w:cs="宋体"/>
          <w:bCs/>
          <w:color w:val="000000" w:themeColor="text1"/>
          <w:kern w:val="2"/>
          <w:sz w:val="21"/>
          <w:szCs w:val="21"/>
          <w:highlight w:val="none"/>
          <w:u w:val="none"/>
          <w:lang w:eastAsia="zh-CN"/>
          <w14:textFill>
            <w14:solidFill>
              <w14:schemeClr w14:val="tx1"/>
            </w14:solidFill>
          </w14:textFill>
        </w:rPr>
        <w:t>余泥</w:t>
      </w:r>
      <w:r>
        <w:rPr>
          <w:rFonts w:hint="eastAsia" w:ascii="宋体" w:hAnsi="宋体" w:eastAsia="宋体" w:cs="宋体"/>
          <w:bCs/>
          <w:color w:val="000000" w:themeColor="text1"/>
          <w:kern w:val="2"/>
          <w:sz w:val="21"/>
          <w:szCs w:val="21"/>
          <w:highlight w:val="none"/>
          <w:u w:val="none"/>
          <w14:textFill>
            <w14:solidFill>
              <w14:schemeClr w14:val="tx1"/>
            </w14:solidFill>
          </w14:textFill>
        </w:rPr>
        <w:t>接收量承诺</w:t>
      </w:r>
      <w:r>
        <w:rPr>
          <w:rFonts w:hint="eastAsia" w:ascii="宋体" w:hAnsi="宋体" w:eastAsia="宋体" w:cs="宋体"/>
          <w:bCs/>
          <w:color w:val="000000" w:themeColor="text1"/>
          <w:kern w:val="2"/>
          <w:sz w:val="21"/>
          <w:szCs w:val="21"/>
          <w:highlight w:val="none"/>
          <w:u w:val="none"/>
          <w:lang w:eastAsia="zh-CN"/>
          <w14:textFill>
            <w14:solidFill>
              <w14:schemeClr w14:val="tx1"/>
            </w14:solidFill>
          </w14:textFill>
        </w:rPr>
        <w:t>》</w:t>
      </w:r>
      <w:r>
        <w:rPr>
          <w:rFonts w:hint="eastAsia" w:hAnsi="宋体" w:cs="宋体"/>
          <w:bCs/>
          <w:color w:val="000000" w:themeColor="text1"/>
          <w:kern w:val="2"/>
          <w:sz w:val="21"/>
          <w:szCs w:val="21"/>
          <w:highlight w:val="none"/>
          <w:u w:val="none"/>
          <w:lang w:eastAsia="zh-CN"/>
          <w14:textFill>
            <w14:solidFill>
              <w14:schemeClr w14:val="tx1"/>
            </w14:solidFill>
          </w14:textFill>
        </w:rPr>
        <w:t>，</w:t>
      </w:r>
      <w:r>
        <w:rPr>
          <w:rFonts w:hint="eastAsia" w:hAnsi="宋体" w:cs="宋体"/>
          <w:bCs/>
          <w:color w:val="000000" w:themeColor="text1"/>
          <w:kern w:val="2"/>
          <w:sz w:val="21"/>
          <w:szCs w:val="21"/>
          <w:highlight w:val="none"/>
          <w:u w:val="none"/>
          <w:lang w:val="en-US" w:eastAsia="zh-CN"/>
          <w14:textFill>
            <w14:solidFill>
              <w14:schemeClr w14:val="tx1"/>
            </w14:solidFill>
          </w14:textFill>
        </w:rPr>
        <w:t>或</w:t>
      </w:r>
      <w:r>
        <w:rPr>
          <w:rFonts w:hint="eastAsia" w:ascii="宋体" w:hAnsi="宋体" w:eastAsia="宋体" w:cs="宋体"/>
          <w:bCs/>
          <w:color w:val="000000" w:themeColor="text1"/>
          <w:kern w:val="2"/>
          <w:sz w:val="21"/>
          <w:szCs w:val="21"/>
          <w:highlight w:val="none"/>
          <w:u w:val="none"/>
          <w:lang w:eastAsia="zh-CN"/>
          <w14:textFill>
            <w14:solidFill>
              <w14:schemeClr w14:val="tx1"/>
            </w14:solidFill>
          </w14:textFill>
        </w:rPr>
        <w:t>《余泥接收量承诺》大于其处置能力的</w:t>
      </w:r>
      <w:r>
        <w:rPr>
          <w:rFonts w:hint="eastAsia" w:ascii="宋体" w:hAnsi="宋体" w:eastAsia="宋体" w:cs="宋体"/>
          <w:b w:val="0"/>
          <w:bCs/>
          <w:color w:val="000000" w:themeColor="text1"/>
          <w:kern w:val="2"/>
          <w:sz w:val="21"/>
          <w:szCs w:val="21"/>
          <w:highlight w:val="none"/>
          <w:u w:val="none"/>
          <w:lang w:val="en-US" w:eastAsia="zh-CN"/>
          <w14:textFill>
            <w14:solidFill>
              <w14:schemeClr w14:val="tx1"/>
            </w14:solidFill>
          </w14:textFill>
        </w:rPr>
        <w:t>，或余泥日均产量之和大于《余泥接收量承诺》</w:t>
      </w:r>
      <w:r>
        <w:rPr>
          <w:rFonts w:hint="eastAsia" w:hAnsi="宋体" w:cs="宋体"/>
          <w:b w:val="0"/>
          <w:bCs/>
          <w:color w:val="000000" w:themeColor="text1"/>
          <w:kern w:val="2"/>
          <w:sz w:val="21"/>
          <w:szCs w:val="21"/>
          <w:highlight w:val="none"/>
          <w:u w:val="none"/>
          <w:lang w:val="en-US" w:eastAsia="zh-CN"/>
          <w14:textFill>
            <w14:solidFill>
              <w14:schemeClr w14:val="tx1"/>
            </w14:solidFill>
          </w14:textFill>
        </w:rPr>
        <w:t>。</w:t>
      </w:r>
    </w:p>
    <w:p w14:paraId="197D1F01">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 xml:space="preserve">19.2 </w:t>
      </w:r>
      <w:r>
        <w:rPr>
          <w:rFonts w:hint="eastAsia" w:ascii="宋体" w:hAnsi="宋体" w:eastAsia="宋体" w:cs="宋体"/>
          <w:b w:val="0"/>
          <w:bCs/>
          <w:color w:val="000000" w:themeColor="text1"/>
          <w:kern w:val="2"/>
          <w:sz w:val="21"/>
          <w:szCs w:val="21"/>
          <w:highlight w:val="none"/>
          <w:u w:val="none"/>
          <w:lang w:val="en-US" w:eastAsia="zh-CN"/>
          <w14:textFill>
            <w14:solidFill>
              <w14:schemeClr w14:val="tx1"/>
            </w14:solidFill>
          </w14:textFill>
        </w:rPr>
        <w:t>供应商提交的申请文件处置工艺为委托人不接受的填埋处置方式。</w:t>
      </w:r>
    </w:p>
    <w:p w14:paraId="4697BDD1">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 报价高于报价最高限价的。</w:t>
      </w:r>
    </w:p>
    <w:p w14:paraId="1B074DC0">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 供应商递交两份或多份内容不同的申请文件，或报价方案不是唯一，或在一份申请文件中报有两个或多个报价，且未书面声明哪一个有效。</w:t>
      </w:r>
    </w:p>
    <w:p w14:paraId="44511BD2">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 申请文件未对采购范围内的全部内容进行报价。</w:t>
      </w:r>
    </w:p>
    <w:p w14:paraId="0DBF7359">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 虚假填写《合同条款偏离表》和《用户需求偏离表》的，或《合同条款偏离表》有重大的负偏离导致委托人利益无法得到保障、存在委托人无法接受的风险的。</w:t>
      </w:r>
    </w:p>
    <w:p w14:paraId="73FFAFB2">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 未实质性满足法律、法规和单项项目分配方案提出的实质性要求和条件（标注★的条款）。</w:t>
      </w:r>
    </w:p>
    <w:p w14:paraId="1E6CF545">
      <w:pPr>
        <w:tabs>
          <w:tab w:val="left" w:pos="567"/>
        </w:tabs>
        <w:spacing w:line="360" w:lineRule="auto"/>
        <w:ind w:left="567" w:right="18" w:hanging="567"/>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.8 申请文件中附有委托人不能接受的条件。</w:t>
      </w:r>
    </w:p>
    <w:p w14:paraId="106ADCDD">
      <w:pPr>
        <w:pStyle w:val="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19.9 未被邀请的供应商</w:t>
      </w:r>
      <w:r>
        <w:rPr>
          <w:rFonts w:hint="eastAsia" w:hAnsi="宋体" w:cs="宋体"/>
          <w:b w:val="0"/>
          <w:bCs w:val="0"/>
          <w:color w:val="000000" w:themeColor="text1"/>
          <w:kern w:val="2"/>
          <w:sz w:val="21"/>
          <w:szCs w:val="21"/>
          <w:highlight w:val="none"/>
          <w:lang w:val="en-US" w:eastAsia="zh-CN"/>
          <w14:textFill>
            <w14:solidFill>
              <w14:schemeClr w14:val="tx1"/>
            </w14:solidFill>
          </w14:textFill>
        </w:rPr>
        <w:t>。</w:t>
      </w:r>
    </w:p>
    <w:p w14:paraId="1BD41905">
      <w:pPr>
        <w:pStyle w:val="52"/>
        <w:rPr>
          <w:rFonts w:hint="eastAsia" w:ascii="宋体" w:hAnsi="宋体" w:eastAsia="宋体" w:cs="宋体"/>
          <w:color w:val="000000" w:themeColor="text1"/>
          <w:highlight w:val="none"/>
          <w14:textFill>
            <w14:solidFill>
              <w14:schemeClr w14:val="tx1"/>
            </w14:solidFill>
          </w14:textFill>
        </w:rPr>
      </w:pPr>
    </w:p>
    <w:p w14:paraId="62868F04">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69" w:name="_Toc806"/>
      <w:bookmarkStart w:id="470" w:name="_Toc351"/>
      <w:bookmarkStart w:id="471" w:name="_Toc10698"/>
      <w:bookmarkStart w:id="472" w:name="_Toc521918098"/>
      <w:bookmarkStart w:id="473" w:name="_Toc465358969"/>
      <w:bookmarkStart w:id="474" w:name="_Toc21977"/>
      <w:bookmarkStart w:id="475" w:name="_Toc951"/>
      <w:bookmarkStart w:id="476" w:name="_Toc22277"/>
      <w:bookmarkStart w:id="477" w:name="_Toc19150"/>
      <w:bookmarkStart w:id="478" w:name="_Toc466882017"/>
      <w:bookmarkStart w:id="479" w:name="_Toc47514366"/>
      <w:bookmarkStart w:id="480" w:name="_Toc10486"/>
      <w:bookmarkStart w:id="481" w:name="_Toc31202"/>
      <w:bookmarkStart w:id="482" w:name="_Toc9642"/>
      <w:bookmarkStart w:id="483" w:name="_Toc47013152"/>
      <w:bookmarkStart w:id="484" w:name="_Toc22502"/>
      <w:bookmarkStart w:id="485" w:name="_Toc8885"/>
      <w:bookmarkStart w:id="486" w:name="_Toc46985622"/>
      <w:bookmarkStart w:id="487" w:name="_Toc23528"/>
      <w:bookmarkStart w:id="488" w:name="_Toc16561"/>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分配结果通知</w:t>
      </w:r>
      <w:bookmarkEnd w:id="469"/>
      <w:bookmarkEnd w:id="470"/>
      <w:bookmarkEnd w:id="471"/>
    </w:p>
    <w:p w14:paraId="3E0112D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2"/>
          <w:sz w:val="21"/>
          <w:szCs w:val="21"/>
          <w:highlight w:val="none"/>
          <w:lang w:val="en-US"/>
          <w14:textFill>
            <w14:solidFill>
              <w14:schemeClr w14:val="tx1"/>
            </w14:solidFill>
          </w14:textFill>
        </w:rPr>
        <w:t>.1 委托人将以电子邮件的方式向递交了申请文件的所有供应商发出</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en-US"/>
          <w14:textFill>
            <w14:solidFill>
              <w14:schemeClr w14:val="tx1"/>
            </w14:solidFill>
          </w14:textFill>
        </w:rPr>
        <w:t>结果通知</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并同步在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东莞市水务集团有限公司网站（www.dgswjt.cn）</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发布分配结果公告</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w:t>
      </w:r>
    </w:p>
    <w:p w14:paraId="1A87B39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lang w:val="en-US"/>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供应商对结果有异议的，应当自公告之日起3日内向委托人以书面的形式提出，逾期则视为对结果无异议。超出提出异议截止时间而提出的任何疑问，委托人可不予答复。</w:t>
      </w:r>
    </w:p>
    <w:p w14:paraId="5B6B37E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完整的异议书面材料必须同时包含：异议书（加盖申请人法人公章，并注明联系人、联系电话、联系地址）、授权提交异议的法定代表人授权书原件、反映异议人主体资格的营业执照复印件（加盖申请人法人公章）、以及合法来源的证明材料。</w:t>
      </w:r>
    </w:p>
    <w:p w14:paraId="75E6EAD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lang w:val="en-US"/>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提出异议的供应商对异议回复不满意的，自委托人回复异议之日起3日内，按程序向监督部门投诉。投诉应当提供纸质版投诉书及必要的证明材料。投诉书应当包括下列内容：</w:t>
      </w:r>
    </w:p>
    <w:p w14:paraId="37CA2F0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（一）投诉人和被投诉人的姓名或者名称、通讯地址、邮编、联系人及联系电话；</w:t>
      </w:r>
    </w:p>
    <w:p w14:paraId="42F7B2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异议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val="en-US" w:eastAsia="zh-CN"/>
          <w14:textFill>
            <w14:solidFill>
              <w14:schemeClr w14:val="tx1"/>
            </w14:solidFill>
          </w14:textFill>
        </w:rPr>
        <w:t>异议</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答复情况说明及相关证明材料；</w:t>
      </w:r>
    </w:p>
    <w:p w14:paraId="49AB78E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（三）具体、明确的投诉事项和与投诉事项相关的投诉请求；</w:t>
      </w:r>
    </w:p>
    <w:p w14:paraId="61A71F5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（四）事实依据；</w:t>
      </w:r>
    </w:p>
    <w:p w14:paraId="6F92525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（五）法律依据；</w:t>
      </w:r>
    </w:p>
    <w:p w14:paraId="7396ED7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（六）提出投诉的日期；</w:t>
      </w:r>
    </w:p>
    <w:p w14:paraId="62355D4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leftChars="0" w:hanging="87" w:firstLineChars="0"/>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投诉人为法人或者其他组织的，应当由法定代表人、主要负责人，或者其授权代表签字或者盖章，并加盖公章。</w:t>
      </w:r>
    </w:p>
    <w:p w14:paraId="7636969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74" w:leftChars="208" w:hanging="75" w:hangingChars="36"/>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投诉人投诉的事项不得超出已异议事项的范围，但基于异议答复内容提出的投诉事项除外。</w:t>
      </w:r>
    </w:p>
    <w:p w14:paraId="7DC44D1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74" w:leftChars="208" w:hanging="75" w:hangingChars="36"/>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监督部门：</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东莞市水务集团有限公司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莫先生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，联系电话：0769-28823251。</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43484498">
      <w:pPr>
        <w:snapToGrid w:val="0"/>
        <w:spacing w:line="360" w:lineRule="auto"/>
        <w:ind w:left="0" w:firstLine="0" w:firstLineChars="0"/>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89" w:name="_Toc465358971"/>
      <w:bookmarkStart w:id="490" w:name="_Toc466882019"/>
    </w:p>
    <w:p w14:paraId="68D4C7DE">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491" w:name="_Toc27935"/>
      <w:bookmarkStart w:id="492" w:name="_Toc24361"/>
      <w:bookmarkStart w:id="493" w:name="_Toc20783"/>
      <w:bookmarkStart w:id="494" w:name="_Toc521918100"/>
      <w:bookmarkStart w:id="495" w:name="_Toc21391"/>
      <w:bookmarkStart w:id="496" w:name="_Toc2625"/>
      <w:bookmarkStart w:id="497" w:name="_Toc21618"/>
      <w:bookmarkStart w:id="498" w:name="_Toc32511"/>
      <w:bookmarkStart w:id="499" w:name="_Toc32161"/>
      <w:bookmarkStart w:id="500" w:name="_Toc10679"/>
      <w:bookmarkStart w:id="501" w:name="_Toc17207"/>
      <w:bookmarkStart w:id="502" w:name="_Toc47514367"/>
      <w:bookmarkStart w:id="503" w:name="_Toc21221"/>
      <w:bookmarkStart w:id="504" w:name="_Toc47013153"/>
      <w:bookmarkStart w:id="505" w:name="_Toc20074"/>
      <w:bookmarkStart w:id="506" w:name="_Toc883"/>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委托人接受或拒绝任何申请文件或所有申请文件的权利</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87D772A">
      <w:pPr>
        <w:snapToGrid w:val="0"/>
        <w:spacing w:line="360" w:lineRule="auto"/>
        <w:ind w:left="525" w:hanging="525" w:hangingChars="250"/>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kern w:val="2"/>
          <w:sz w:val="21"/>
          <w:szCs w:val="21"/>
          <w:highlight w:val="none"/>
          <w:lang w:val="zh-CN"/>
          <w14:textFill>
            <w14:solidFill>
              <w14:schemeClr w14:val="tx1"/>
            </w14:solidFill>
          </w14:textFill>
        </w:rPr>
        <w:t>.1 在授予合同前的任何时候，委托人仍保留接受或拒绝任何申请文件，无需向受影响的供应商承担任何责任。</w:t>
      </w:r>
    </w:p>
    <w:p w14:paraId="23CA114C">
      <w:pPr>
        <w:snapToGrid w:val="0"/>
        <w:spacing w:line="360" w:lineRule="auto"/>
        <w:ind w:left="629" w:leftChars="-58" w:hanging="768" w:hangingChars="320"/>
        <w:rPr>
          <w:rFonts w:hint="eastAsia" w:ascii="宋体" w:hAnsi="宋体" w:eastAsia="宋体" w:cs="宋体"/>
          <w:color w:val="000000" w:themeColor="text1"/>
          <w:kern w:val="44"/>
          <w:highlight w:val="none"/>
          <w:lang w:val="zh-CN"/>
          <w14:textFill>
            <w14:solidFill>
              <w14:schemeClr w14:val="tx1"/>
            </w14:solidFill>
          </w14:textFill>
        </w:rPr>
      </w:pPr>
      <w:bookmarkStart w:id="507" w:name="_Toc450662880"/>
    </w:p>
    <w:p w14:paraId="0F7C3503">
      <w:pPr>
        <w:pStyle w:val="5"/>
        <w:spacing w:line="360" w:lineRule="auto"/>
        <w:rPr>
          <w:rFonts w:hint="eastAsia" w:ascii="宋体" w:hAnsi="宋体" w:eastAsia="宋体" w:cs="宋体"/>
          <w:b/>
          <w:bCs/>
          <w:color w:val="000000" w:themeColor="text1"/>
          <w:kern w:val="44"/>
          <w:sz w:val="21"/>
          <w:szCs w:val="21"/>
          <w:highlight w:val="none"/>
          <w:lang w:val="zh-CN"/>
          <w14:textFill>
            <w14:solidFill>
              <w14:schemeClr w14:val="tx1"/>
            </w14:solidFill>
          </w14:textFill>
        </w:rPr>
      </w:pPr>
      <w:bookmarkStart w:id="508" w:name="_Toc30511"/>
      <w:bookmarkStart w:id="509" w:name="_Toc20140"/>
      <w:bookmarkStart w:id="510" w:name="_Toc25402"/>
      <w:bookmarkStart w:id="511" w:name="_Toc22068"/>
      <w:bookmarkStart w:id="512" w:name="_Toc47514368"/>
      <w:bookmarkStart w:id="513" w:name="_Toc47013154"/>
      <w:bookmarkStart w:id="514" w:name="_Toc3330"/>
      <w:bookmarkStart w:id="515" w:name="_Toc1533"/>
      <w:bookmarkStart w:id="516" w:name="_Toc26151"/>
      <w:bookmarkStart w:id="517" w:name="_Toc30761"/>
      <w:bookmarkStart w:id="518" w:name="_Toc14339"/>
      <w:bookmarkStart w:id="519" w:name="_Toc26386"/>
      <w:bookmarkStart w:id="520" w:name="_Toc46985623"/>
      <w:bookmarkStart w:id="521" w:name="_Toc26372"/>
      <w:bookmarkStart w:id="522" w:name="_Toc15431"/>
      <w:bookmarkStart w:id="523" w:name="_Toc28629"/>
      <w:bookmarkStart w:id="524" w:name="_Toc521918101"/>
      <w: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kern w:val="44"/>
          <w:sz w:val="21"/>
          <w:szCs w:val="21"/>
          <w:highlight w:val="none"/>
          <w:lang w:val="zh-CN"/>
          <w14:textFill>
            <w14:solidFill>
              <w14:schemeClr w14:val="tx1"/>
            </w14:solidFill>
          </w14:textFill>
        </w:rPr>
        <w:t>、授予合同</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190EFD3F">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525" w:name="_Toc12356"/>
      <w:bookmarkStart w:id="526" w:name="_Toc15649"/>
      <w:bookmarkStart w:id="527" w:name="_Toc28154"/>
      <w:bookmarkStart w:id="528" w:name="_Toc47514369"/>
      <w:bookmarkStart w:id="529" w:name="_Toc30356"/>
      <w:bookmarkStart w:id="530" w:name="_Toc521918102"/>
      <w:bookmarkStart w:id="531" w:name="_Toc46985624"/>
      <w:bookmarkStart w:id="532" w:name="_Toc29250"/>
      <w:bookmarkStart w:id="533" w:name="_Toc450662881"/>
      <w:bookmarkStart w:id="534" w:name="_Toc25605"/>
      <w:bookmarkStart w:id="535" w:name="_Toc3872"/>
      <w:bookmarkStart w:id="536" w:name="_Toc4972"/>
      <w:bookmarkStart w:id="537" w:name="_Toc27170"/>
      <w:bookmarkStart w:id="538" w:name="_Toc31824"/>
      <w:bookmarkStart w:id="539" w:name="_Toc20738"/>
      <w:bookmarkStart w:id="540" w:name="_Toc15910"/>
      <w:bookmarkStart w:id="541" w:name="_Toc47013155"/>
      <w:bookmarkStart w:id="542" w:name="_Toc9415"/>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授予合同的准则</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85C8949">
      <w:pPr>
        <w:tabs>
          <w:tab w:val="left" w:pos="645"/>
        </w:tabs>
        <w:spacing w:line="360" w:lineRule="auto"/>
        <w:ind w:left="540" w:right="51" w:hanging="54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zh-CN"/>
          <w14:textFill>
            <w14:solidFill>
              <w14:schemeClr w14:val="tx1"/>
            </w14:solidFill>
          </w14:textFill>
        </w:rPr>
        <w:t>.1</w:t>
      </w:r>
      <w:r>
        <w:rPr>
          <w:rFonts w:hint="eastAsia" w:ascii="宋体" w:hAnsi="宋体" w:eastAsia="宋体" w:cs="宋体"/>
          <w:color w:val="000000" w:themeColor="text1"/>
          <w:kern w:val="2"/>
          <w:sz w:val="21"/>
          <w:szCs w:val="21"/>
          <w:highlight w:val="none"/>
          <w:lang w:val="zh-CN"/>
          <w14:textFill>
            <w14:solidFill>
              <w14:schemeClr w14:val="tx1"/>
            </w14:solidFill>
          </w14:textFill>
        </w:rPr>
        <w:tab/>
      </w:r>
      <w:r>
        <w:rPr>
          <w:rFonts w:hint="eastAsia" w:ascii="宋体" w:hAnsi="宋体" w:eastAsia="宋体" w:cs="宋体"/>
          <w:color w:val="000000" w:themeColor="text1"/>
          <w:kern w:val="2"/>
          <w:sz w:val="21"/>
          <w:szCs w:val="21"/>
          <w:highlight w:val="none"/>
          <w:lang w:val="zh-CN"/>
          <w14:textFill>
            <w14:solidFill>
              <w14:schemeClr w14:val="tx1"/>
            </w14:solidFill>
          </w14:textFill>
        </w:rPr>
        <w:t>除第17条、18条规定外，委托人将合同授予其申请文件符合单项项目分配方案要求，并且能承诺履行合同，对委托人最为有利的供应商。</w:t>
      </w:r>
    </w:p>
    <w:p w14:paraId="2BED1DF0">
      <w:pPr>
        <w:snapToGrid w:val="0"/>
        <w:spacing w:line="360" w:lineRule="auto"/>
        <w:ind w:left="525" w:hanging="525" w:hanging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 因不可抗力或自身原因不能履行合同的、不按要求与委托人签订合同、供应商放弃服务资格、服务资格被委托人确认无效的，委托人可以确定其他供应商作为单项服务项目服务单位，或重新按程序</w:t>
      </w:r>
      <w:r>
        <w:rPr>
          <w:rFonts w:hint="eastAsia" w:ascii="宋体" w:hAnsi="宋体" w:eastAsia="宋体" w:cs="宋体"/>
          <w:color w:val="000000" w:themeColor="text1"/>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sz w:val="21"/>
          <w:szCs w:val="21"/>
          <w:highlight w:val="none"/>
          <w14:textFill>
            <w14:solidFill>
              <w14:schemeClr w14:val="tx1"/>
            </w14:solidFill>
          </w14:textFill>
        </w:rPr>
        <w:t>服务单位。</w:t>
      </w:r>
      <w:bookmarkStart w:id="543" w:name="_Toc450662885"/>
    </w:p>
    <w:p w14:paraId="5C44CE29">
      <w:pPr>
        <w:snapToGrid w:val="0"/>
        <w:spacing w:line="360" w:lineRule="auto"/>
        <w:ind w:left="525" w:hanging="525" w:hangingChars="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22.3 </w:t>
      </w:r>
      <w:r>
        <w:rPr>
          <w:rFonts w:hint="eastAsia" w:ascii="宋体" w:hAnsi="宋体" w:eastAsia="宋体" w:cs="宋体"/>
          <w:color w:val="000000" w:themeColor="text1"/>
          <w:sz w:val="21"/>
          <w:szCs w:val="21"/>
          <w:highlight w:val="none"/>
          <w14:textFill>
            <w14:solidFill>
              <w14:schemeClr w14:val="tx1"/>
            </w14:solidFill>
          </w14:textFill>
        </w:rPr>
        <w:t>在授予合同前，</w:t>
      </w:r>
      <w:r>
        <w:rPr>
          <w:rFonts w:hint="eastAsia" w:ascii="宋体" w:hAnsi="宋体" w:eastAsia="宋体" w:cs="宋体"/>
          <w:color w:val="000000" w:themeColor="text1"/>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sz w:val="21"/>
          <w:szCs w:val="21"/>
          <w:highlight w:val="none"/>
          <w14:textFill>
            <w14:solidFill>
              <w14:schemeClr w14:val="tx1"/>
            </w14:solidFill>
          </w14:textFill>
        </w:rPr>
        <w:t>有权组织对</w:t>
      </w:r>
      <w:r>
        <w:rPr>
          <w:rFonts w:hint="eastAsia" w:ascii="宋体" w:hAnsi="宋体" w:eastAsia="宋体" w:cs="宋体"/>
          <w:color w:val="000000" w:themeColor="text1"/>
          <w:sz w:val="21"/>
          <w:szCs w:val="21"/>
          <w:highlight w:val="none"/>
          <w:lang w:val="en-US" w:eastAsia="zh-CN"/>
          <w14:textFill>
            <w14:solidFill>
              <w14:schemeClr w14:val="tx1"/>
            </w14:solidFill>
          </w14:textFill>
        </w:rPr>
        <w:t>申请人</w:t>
      </w:r>
      <w:r>
        <w:rPr>
          <w:rFonts w:hint="eastAsia" w:ascii="宋体" w:hAnsi="宋体" w:eastAsia="宋体" w:cs="宋体"/>
          <w:color w:val="000000" w:themeColor="text1"/>
          <w:sz w:val="21"/>
          <w:szCs w:val="21"/>
          <w:highlight w:val="none"/>
          <w14:textFill>
            <w14:solidFill>
              <w14:schemeClr w14:val="tx1"/>
            </w14:solidFill>
          </w14:textFill>
        </w:rPr>
        <w:t>的真实性审查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1"/>
          <w:szCs w:val="21"/>
          <w:highlight w:val="none"/>
          <w:lang w:val="en-US"/>
          <w14:textFill>
            <w14:solidFill>
              <w14:schemeClr w14:val="tx1"/>
            </w14:solidFill>
          </w14:textFill>
        </w:rPr>
        <w:t>处置单位处置资质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资料、运输资质、综合处置能力等。具体为委托人</w:t>
      </w:r>
      <w:r>
        <w:rPr>
          <w:rFonts w:hint="eastAsia" w:ascii="宋体" w:hAnsi="宋体" w:eastAsia="宋体" w:cs="宋体"/>
          <w:color w:val="000000" w:themeColor="text1"/>
          <w:sz w:val="21"/>
          <w:szCs w:val="21"/>
          <w:highlight w:val="none"/>
          <w14:textFill>
            <w14:solidFill>
              <w14:schemeClr w14:val="tx1"/>
            </w14:solidFill>
          </w14:textFill>
        </w:rPr>
        <w:t>安排工作人员到“推荐成交候选人名单”内的处置单位处置现场进行现场核查，并形成核查报告，对于资质资料齐全、处置能力合格且监控设备完善的处置单位，按成交价由低到高排序形成“成交人名单”。</w:t>
      </w:r>
    </w:p>
    <w:bookmarkEnd w:id="543"/>
    <w:p w14:paraId="16AD1247">
      <w:pPr>
        <w:snapToGrid w:val="0"/>
        <w:spacing w:line="360" w:lineRule="auto"/>
        <w:ind w:left="525" w:hanging="525" w:hangingChars="250"/>
        <w:rPr>
          <w:rFonts w:hint="eastAsia" w:ascii="宋体" w:hAnsi="宋体" w:eastAsia="宋体" w:cs="宋体"/>
          <w:color w:val="000000" w:themeColor="text1"/>
          <w:sz w:val="21"/>
          <w:szCs w:val="21"/>
          <w:highlight w:val="none"/>
          <w14:textFill>
            <w14:solidFill>
              <w14:schemeClr w14:val="tx1"/>
            </w14:solidFill>
          </w14:textFill>
        </w:rPr>
      </w:pPr>
      <w:bookmarkStart w:id="544" w:name="_Toc450662886"/>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22.4 </w:t>
      </w:r>
      <w:r>
        <w:rPr>
          <w:rFonts w:hint="eastAsia" w:ascii="宋体" w:hAnsi="宋体" w:eastAsia="宋体" w:cs="宋体"/>
          <w:color w:val="000000" w:themeColor="text1"/>
          <w:sz w:val="21"/>
          <w:szCs w:val="21"/>
          <w:highlight w:val="none"/>
          <w14:textFill>
            <w14:solidFill>
              <w14:schemeClr w14:val="tx1"/>
            </w14:solidFill>
          </w14:textFill>
        </w:rPr>
        <w:t>“成交人名单”在集团公司官网</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公告</w:t>
      </w:r>
      <w:r>
        <w:rPr>
          <w:rFonts w:hint="eastAsia" w:ascii="宋体" w:hAnsi="宋体" w:eastAsia="宋体" w:cs="宋体"/>
          <w:color w:val="000000" w:themeColor="text1"/>
          <w:sz w:val="21"/>
          <w:szCs w:val="21"/>
          <w:highlight w:val="none"/>
          <w14:textFill>
            <w14:solidFill>
              <w14:schemeClr w14:val="tx1"/>
            </w14:solidFill>
          </w14:textFill>
        </w:rPr>
        <w:t>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委托人授予</w:t>
      </w:r>
      <w:r>
        <w:rPr>
          <w:rFonts w:hint="eastAsia" w:ascii="宋体" w:hAnsi="宋体" w:eastAsia="宋体" w:cs="宋体"/>
          <w:color w:val="000000" w:themeColor="text1"/>
          <w:sz w:val="21"/>
          <w:szCs w:val="21"/>
          <w:highlight w:val="none"/>
          <w14:textFill>
            <w14:solidFill>
              <w14:schemeClr w14:val="tx1"/>
            </w14:solidFill>
          </w14:textFill>
        </w:rPr>
        <w:t>“成交人名单”内的处置单位单项合同。</w:t>
      </w:r>
    </w:p>
    <w:p w14:paraId="7F2B6243">
      <w:pPr>
        <w:snapToGrid w:val="0"/>
        <w:spacing w:line="360" w:lineRule="auto"/>
        <w:ind w:left="525" w:hanging="525" w:hangingChars="25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14:paraId="725FA46A">
      <w:pPr>
        <w:tabs>
          <w:tab w:val="left" w:pos="567"/>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545" w:name="_Toc26094"/>
      <w:bookmarkStart w:id="546" w:name="_Toc4870"/>
      <w:bookmarkStart w:id="547" w:name="_Toc10447"/>
      <w:bookmarkStart w:id="548" w:name="_Toc14793"/>
      <w:bookmarkStart w:id="549" w:name="_Toc47013157"/>
      <w:bookmarkStart w:id="550" w:name="_Toc11205"/>
      <w:bookmarkStart w:id="551" w:name="_Toc12815"/>
      <w:bookmarkStart w:id="552" w:name="_Toc13987"/>
      <w:bookmarkStart w:id="553" w:name="_Toc47514371"/>
      <w:bookmarkStart w:id="554" w:name="_Toc21143"/>
      <w:bookmarkStart w:id="555" w:name="_Toc46985626"/>
      <w:bookmarkStart w:id="556" w:name="_Toc25735"/>
      <w:bookmarkStart w:id="557" w:name="_Toc7689"/>
      <w:bookmarkStart w:id="558" w:name="_Toc5329"/>
      <w:bookmarkStart w:id="559" w:name="_Toc12509"/>
      <w:bookmarkStart w:id="560" w:name="_Toc521918104"/>
      <w:bookmarkStart w:id="561" w:name="_Toc4115"/>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签署合同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7E2DBC02">
      <w:pPr>
        <w:tabs>
          <w:tab w:val="left" w:pos="540"/>
        </w:tabs>
        <w:spacing w:line="360" w:lineRule="auto"/>
        <w:ind w:left="540" w:right="18" w:hanging="54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b/>
          <w:color w:val="000000" w:themeColor="text1"/>
          <w:kern w:val="2"/>
          <w:sz w:val="2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供应商在自分配结果通知书发出之日起</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30</w:t>
      </w:r>
      <w:r>
        <w:rPr>
          <w:rFonts w:hint="eastAsia" w:ascii="宋体" w:hAnsi="宋体" w:eastAsia="宋体" w:cs="宋体"/>
          <w:b/>
          <w:color w:val="000000" w:themeColor="text1"/>
          <w:kern w:val="2"/>
          <w:sz w:val="21"/>
          <w:szCs w:val="21"/>
          <w:highlight w:val="none"/>
          <w:u w:val="single"/>
          <w:lang w:val="zh-CN"/>
          <w14:textFill>
            <w14:solidFill>
              <w14:schemeClr w14:val="tx1"/>
            </w14:solidFill>
          </w14:textFill>
        </w:rPr>
        <w:t>日内，在通知书上规定的时间内，应派法定代表人或授权代表前往委托人处签订合同，否则委托人有权取消其服务资格并按单项项目分配方案的规定进行处理</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p>
    <w:p w14:paraId="3D46DBBD">
      <w:pPr>
        <w:tabs>
          <w:tab w:val="left" w:pos="360"/>
          <w:tab w:val="left" w:pos="4725"/>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p>
    <w:p w14:paraId="5AF41504">
      <w:pPr>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562" w:name="_Toc11327"/>
      <w:bookmarkStart w:id="563" w:name="_Toc106"/>
      <w:bookmarkStart w:id="564" w:name="_Toc28311"/>
      <w:bookmarkStart w:id="565" w:name="_Toc521918105"/>
      <w:bookmarkStart w:id="566" w:name="_Toc56627136"/>
      <w:bookmarkStart w:id="567" w:name="_Toc450662887"/>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4   </w:t>
      </w:r>
      <w:r>
        <w:rPr>
          <w:rFonts w:hint="eastAsia" w:ascii="宋体" w:hAnsi="宋体" w:eastAsia="宋体" w:cs="宋体"/>
          <w:color w:val="000000" w:themeColor="text1"/>
          <w:kern w:val="2"/>
          <w:sz w:val="21"/>
          <w:szCs w:val="21"/>
          <w:highlight w:val="none"/>
          <w:lang w:val="zh-CN"/>
          <w14:textFill>
            <w14:solidFill>
              <w14:schemeClr w14:val="tx1"/>
            </w14:solidFill>
          </w14:textFill>
        </w:rPr>
        <w:t>履约担保</w:t>
      </w:r>
      <w:bookmarkEnd w:id="562"/>
      <w:bookmarkEnd w:id="563"/>
      <w:bookmarkEnd w:id="564"/>
      <w:bookmarkEnd w:id="565"/>
      <w:bookmarkEnd w:id="566"/>
      <w:bookmarkEnd w:id="567"/>
    </w:p>
    <w:p w14:paraId="47806101">
      <w:pPr>
        <w:numPr>
          <w:ilvl w:val="1"/>
          <w:numId w:val="0"/>
        </w:numPr>
        <w:spacing w:line="360" w:lineRule="auto"/>
        <w:ind w:left="565" w:right="18" w:hanging="564" w:hangingChars="269"/>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bookmarkStart w:id="568" w:name="_Toc465358977"/>
      <w:bookmarkStart w:id="569" w:name="_Toc466882025"/>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24.1 常态化处置单位</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应在签订合同前，按本</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分配方案</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规定金额及形式要求，向</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委托</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人提交不可撤销银行履约保证金（或履约</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保函</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或履约保证保险</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或担保公司履约担保书），作为履约担保（所需费用由</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成交人</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自行承担），</w:t>
      </w:r>
      <w:r>
        <w:rPr>
          <w:rFonts w:hint="eastAsia" w:ascii="宋体" w:hAnsi="宋体" w:eastAsia="宋体" w:cs="宋体"/>
          <w:b w:val="0"/>
          <w:bCs w:val="0"/>
          <w:color w:val="000000" w:themeColor="text1"/>
          <w:kern w:val="0"/>
          <w:sz w:val="21"/>
          <w:szCs w:val="21"/>
          <w:highlight w:val="none"/>
          <w:u w:val="none"/>
          <w:lang w:bidi="ar"/>
          <w14:textFill>
            <w14:solidFill>
              <w14:schemeClr w14:val="tx1"/>
            </w14:solidFill>
          </w14:textFill>
        </w:rPr>
        <w:t>否则</w:t>
      </w:r>
      <w:r>
        <w:rPr>
          <w:rFonts w:hint="eastAsia" w:ascii="宋体" w:hAnsi="宋体" w:eastAsia="宋体" w:cs="宋体"/>
          <w:b w:val="0"/>
          <w:bCs w:val="0"/>
          <w:color w:val="000000" w:themeColor="text1"/>
          <w:kern w:val="0"/>
          <w:sz w:val="21"/>
          <w:szCs w:val="21"/>
          <w:highlight w:val="none"/>
          <w:u w:val="none"/>
          <w:lang w:val="en-US" w:eastAsia="zh-CN" w:bidi="ar"/>
          <w14:textFill>
            <w14:solidFill>
              <w14:schemeClr w14:val="tx1"/>
            </w14:solidFill>
          </w14:textFill>
        </w:rPr>
        <w:t>委托人</w:t>
      </w:r>
      <w:r>
        <w:rPr>
          <w:rFonts w:hint="eastAsia" w:ascii="宋体" w:hAnsi="宋体" w:eastAsia="宋体" w:cs="宋体"/>
          <w:b w:val="0"/>
          <w:bCs w:val="0"/>
          <w:color w:val="000000" w:themeColor="text1"/>
          <w:kern w:val="0"/>
          <w:sz w:val="21"/>
          <w:szCs w:val="21"/>
          <w:highlight w:val="none"/>
          <w:u w:val="none"/>
          <w:lang w:bidi="ar"/>
          <w14:textFill>
            <w14:solidFill>
              <w14:schemeClr w14:val="tx1"/>
            </w14:solidFill>
          </w14:textFill>
        </w:rPr>
        <w:t>可取消</w:t>
      </w:r>
      <w:r>
        <w:rPr>
          <w:rFonts w:hint="eastAsia" w:ascii="宋体" w:hAnsi="宋体" w:eastAsia="宋体" w:cs="宋体"/>
          <w:b w:val="0"/>
          <w:bCs w:val="0"/>
          <w:color w:val="000000" w:themeColor="text1"/>
          <w:kern w:val="0"/>
          <w:sz w:val="21"/>
          <w:szCs w:val="21"/>
          <w:highlight w:val="none"/>
          <w:u w:val="none"/>
          <w:lang w:val="en-US" w:eastAsia="zh-CN" w:bidi="ar"/>
          <w14:textFill>
            <w14:solidFill>
              <w14:schemeClr w14:val="tx1"/>
            </w14:solidFill>
          </w14:textFill>
        </w:rPr>
        <w:t>成交</w:t>
      </w:r>
      <w:r>
        <w:rPr>
          <w:rFonts w:hint="eastAsia" w:ascii="宋体" w:hAnsi="宋体" w:eastAsia="宋体" w:cs="宋体"/>
          <w:b w:val="0"/>
          <w:bCs w:val="0"/>
          <w:color w:val="000000" w:themeColor="text1"/>
          <w:kern w:val="0"/>
          <w:sz w:val="21"/>
          <w:szCs w:val="21"/>
          <w:highlight w:val="none"/>
          <w:u w:val="none"/>
          <w:lang w:bidi="ar"/>
          <w14:textFill>
            <w14:solidFill>
              <w14:schemeClr w14:val="tx1"/>
            </w14:solidFill>
          </w14:textFill>
        </w:rPr>
        <w:t>人的</w:t>
      </w:r>
      <w:r>
        <w:rPr>
          <w:rFonts w:hint="eastAsia" w:ascii="宋体" w:hAnsi="宋体" w:eastAsia="宋体" w:cs="宋体"/>
          <w:b w:val="0"/>
          <w:bCs w:val="0"/>
          <w:color w:val="000000" w:themeColor="text1"/>
          <w:kern w:val="0"/>
          <w:sz w:val="21"/>
          <w:szCs w:val="21"/>
          <w:highlight w:val="none"/>
          <w:u w:val="none"/>
          <w:lang w:val="en-US" w:eastAsia="zh-CN" w:bidi="ar"/>
          <w14:textFill>
            <w14:solidFill>
              <w14:schemeClr w14:val="tx1"/>
            </w14:solidFill>
          </w14:textFill>
        </w:rPr>
        <w:t>服务</w:t>
      </w:r>
      <w:r>
        <w:rPr>
          <w:rFonts w:hint="eastAsia" w:ascii="宋体" w:hAnsi="宋体" w:eastAsia="宋体" w:cs="宋体"/>
          <w:b w:val="0"/>
          <w:bCs w:val="0"/>
          <w:color w:val="000000" w:themeColor="text1"/>
          <w:kern w:val="0"/>
          <w:sz w:val="21"/>
          <w:szCs w:val="21"/>
          <w:highlight w:val="none"/>
          <w:u w:val="none"/>
          <w:lang w:bidi="ar"/>
          <w14:textFill>
            <w14:solidFill>
              <w14:schemeClr w14:val="tx1"/>
            </w14:solidFill>
          </w14:textFill>
        </w:rPr>
        <w:t>资格。</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其中，采用履约保证金（银行转账形式）的金额为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200,000元（大写：人民币贰拾万元整）</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，采用不可撤销银行履约保函形式的金额为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250,000元（大写：人民币贰拾伍万元整）</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，采用</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履约保证保险</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形式的金额为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250,000元（大写：人民币贰拾伍万元整）</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，采用担保公司履约担保书形式的金额为</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0,000元（大写：人民币叁拾万元整）</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w:t>
      </w:r>
    </w:p>
    <w:p w14:paraId="68CA6372">
      <w:pPr>
        <w:numPr>
          <w:ilvl w:val="1"/>
          <w:numId w:val="0"/>
        </w:numPr>
        <w:spacing w:line="360" w:lineRule="auto"/>
        <w:ind w:left="565" w:right="18" w:hanging="564" w:hangingChars="269"/>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24.2 以下我司账户信息：</w:t>
      </w:r>
    </w:p>
    <w:p w14:paraId="6B33AAC8">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开户名称：东莞市众源环境投资有限公司</w:t>
      </w:r>
    </w:p>
    <w:p w14:paraId="7FCECAD9">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开户银行：招商银行股份有限公司东莞分行</w:t>
      </w:r>
    </w:p>
    <w:p w14:paraId="14D5AFCF">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银行账号：769908269610828</w:t>
      </w:r>
    </w:p>
    <w:p w14:paraId="5925DC41">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履约担保未按规定时间前到达指定账户或提交金额不足的，委托人有权取消成交供应商的服务资格。</w:t>
      </w:r>
    </w:p>
    <w:p w14:paraId="55BE8EFE">
      <w:pPr>
        <w:numPr>
          <w:ilvl w:val="1"/>
          <w:numId w:val="0"/>
        </w:numPr>
        <w:spacing w:line="360" w:lineRule="auto"/>
        <w:ind w:left="565" w:right="18" w:hanging="564" w:hangingChars="269"/>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24.3 应急处置单位无需缴纳本次单项分配的履约担保。</w:t>
      </w:r>
    </w:p>
    <w:p w14:paraId="1B2CDBBC">
      <w:pPr>
        <w:numPr>
          <w:ilvl w:val="1"/>
          <w:numId w:val="0"/>
        </w:numPr>
        <w:spacing w:line="360" w:lineRule="auto"/>
        <w:ind w:left="565" w:right="18" w:hanging="564" w:hangingChars="269"/>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履约担保用于补偿委托人因供应商不能完成其合同义务而蒙受的损失或其他合同约定的事项。如发生下列任一情况时，委托人有权依合同追究违约责任外，同时有权提取履约担保并进行相应处理：</w:t>
      </w:r>
    </w:p>
    <w:p w14:paraId="0792EA3F">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供应商将本合同部分或全部转包给第三人，或者未经委托人书面同意，将本项目分包给第三人的，委托人有权没收其履约担保。</w:t>
      </w:r>
    </w:p>
    <w:p w14:paraId="54508F51">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在合同履行期间，供应商怠于履行合同义务，经委托人通知或予以承担违约金后仍拒不改正的，委托人可依法没收或适当扣除其履约担保。</w:t>
      </w:r>
    </w:p>
    <w:p w14:paraId="60045185">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在合同履行期间，因供应商服务质量问题造成损害、侵权损失（包括但不限于委托人经济损失、第三人人身财产损失等）、拖欠原材料供应商货款或与其所雇用员工发生劳资纠纷、上访、闹事或其他影响委托人生产经营等情况而其未及时妥善处理的，委托人有权使用履约担保予以支付或作出相应处理，由此产生的一切法律后果由供应商承担。</w:t>
      </w:r>
    </w:p>
    <w:p w14:paraId="3FEE4AFB">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（4）在合同履行期间，供应商违约产生的违约金、赔偿、罚款或其他应付费用等款项，委托人有权直接从未付款项中直接扣除或启用履约担保予以支付。</w:t>
      </w:r>
    </w:p>
    <w:p w14:paraId="7F978F7C">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（5）合同期内，供应商不能及时完成某项合同义务的，委托人有权提取履约担保用于处理该项工作。</w:t>
      </w:r>
    </w:p>
    <w:p w14:paraId="7B8A2A56">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（6）其他根据本合同约定或法律规定，委托人可启用履约担保的情形。</w:t>
      </w:r>
    </w:p>
    <w:p w14:paraId="2391A6A8">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履约担保应符合如下规定：</w:t>
      </w:r>
    </w:p>
    <w:p w14:paraId="129DEF8A">
      <w:pPr>
        <w:tabs>
          <w:tab w:val="left" w:pos="142"/>
        </w:tabs>
        <w:spacing w:line="360" w:lineRule="auto"/>
        <w:ind w:left="532" w:hanging="532"/>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在合同履行过程中，不论何种原因导致履约担保数额不符合单项项目分配方案要求的，供应商应当在5日内予以补足。逾期不予补足的，委托人有权按需补足的金额要求供应商承担违约金，并要求限期补足。如供应商仍不补足的，委托人有权解除合同，违约金可直接从未付合同款或履约担保中扣除。</w:t>
      </w:r>
    </w:p>
    <w:p w14:paraId="54C8C318">
      <w:pPr>
        <w:tabs>
          <w:tab w:val="left" w:pos="142"/>
        </w:tabs>
        <w:autoSpaceDE/>
        <w:autoSpaceDN/>
        <w:adjustRightInd/>
        <w:spacing w:line="360" w:lineRule="auto"/>
        <w:ind w:left="532" w:leftChars="0" w:hanging="532" w:firstLineChars="0"/>
        <w:jc w:val="both"/>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出具履约保函的银行必须是境内支行一级以上机构，并经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同意，执行本款时所发生的费用由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承担。</w:t>
      </w:r>
    </w:p>
    <w:p w14:paraId="2CDCC670">
      <w:pPr>
        <w:tabs>
          <w:tab w:val="left" w:pos="142"/>
        </w:tabs>
        <w:autoSpaceDE/>
        <w:autoSpaceDN/>
        <w:adjustRightInd/>
        <w:spacing w:line="360" w:lineRule="auto"/>
        <w:ind w:left="532" w:leftChars="0" w:hanging="532" w:firstLineChars="0"/>
        <w:jc w:val="both"/>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14:textFill>
            <w14:solidFill>
              <w14:schemeClr w14:val="tx1"/>
            </w14:solidFill>
          </w14:textFill>
        </w:rPr>
        <w:t>）履约担保格式应采用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lang w:val="zh-CN"/>
          <w14:textFill>
            <w14:solidFill>
              <w14:schemeClr w14:val="tx1"/>
            </w14:solidFill>
          </w14:textFill>
        </w:rPr>
        <w:t>中提供的，</w:t>
      </w:r>
      <w:r>
        <w:rPr>
          <w:rFonts w:hint="eastAsia" w:ascii="宋体" w:hAnsi="宋体" w:eastAsia="宋体" w:cs="宋体"/>
          <w:color w:val="000000" w:themeColor="text1"/>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如以履约保函（或履约保证保险或</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担保公司</w:t>
      </w:r>
      <w:r>
        <w:rPr>
          <w:rFonts w:hint="eastAsia" w:ascii="宋体" w:hAnsi="宋体" w:eastAsia="宋体" w:cs="宋体"/>
          <w:color w:val="000000" w:themeColor="text1"/>
          <w:kern w:val="0"/>
          <w:sz w:val="21"/>
          <w:szCs w:val="21"/>
          <w:highlight w:val="none"/>
          <w:lang w:val="zh-CN"/>
          <w14:textFill>
            <w14:solidFill>
              <w14:schemeClr w14:val="tx1"/>
            </w14:solidFill>
          </w14:textFill>
        </w:rPr>
        <w:t>履约担保书）形式提供履约担保的，应当自行向其拟申请开具保函的银行（</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或保险</w:t>
      </w:r>
      <w:r>
        <w:rPr>
          <w:rFonts w:hint="eastAsia" w:ascii="宋体" w:hAnsi="宋体" w:eastAsia="宋体" w:cs="宋体"/>
          <w:color w:val="000000" w:themeColor="text1"/>
          <w:kern w:val="0"/>
          <w:sz w:val="21"/>
          <w:szCs w:val="21"/>
          <w:highlight w:val="none"/>
          <w:lang w:val="zh-CN"/>
          <w14:textFill>
            <w14:solidFill>
              <w14:schemeClr w14:val="tx1"/>
            </w14:solidFill>
          </w14:textFill>
        </w:rPr>
        <w:t>或担保）机构落实履约保函（或履约保证保险或</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担保公司</w:t>
      </w:r>
      <w:r>
        <w:rPr>
          <w:rFonts w:hint="eastAsia" w:ascii="宋体" w:hAnsi="宋体" w:eastAsia="宋体" w:cs="宋体"/>
          <w:color w:val="000000" w:themeColor="text1"/>
          <w:kern w:val="0"/>
          <w:sz w:val="21"/>
          <w:szCs w:val="21"/>
          <w:highlight w:val="none"/>
          <w:lang w:val="zh-CN"/>
          <w14:textFill>
            <w14:solidFill>
              <w14:schemeClr w14:val="tx1"/>
            </w14:solidFill>
          </w14:textFill>
        </w:rPr>
        <w:t>履约担保书）格式情况，以确保能按本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lang w:val="zh-CN"/>
          <w14:textFill>
            <w14:solidFill>
              <w14:schemeClr w14:val="tx1"/>
            </w14:solidFill>
          </w14:textFill>
        </w:rPr>
        <w:t>规定的格式提供保函。如使用其他格式的履约保函（或履约保证保险或</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担保公司</w:t>
      </w:r>
      <w:r>
        <w:rPr>
          <w:rFonts w:hint="eastAsia" w:ascii="宋体" w:hAnsi="宋体" w:eastAsia="宋体" w:cs="宋体"/>
          <w:color w:val="000000" w:themeColor="text1"/>
          <w:kern w:val="0"/>
          <w:sz w:val="21"/>
          <w:szCs w:val="21"/>
          <w:highlight w:val="none"/>
          <w:lang w:val="zh-CN"/>
          <w14:textFill>
            <w14:solidFill>
              <w14:schemeClr w14:val="tx1"/>
            </w14:solidFill>
          </w14:textFill>
        </w:rPr>
        <w:t>履约担保书），须事先经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的书面同意。</w:t>
      </w:r>
    </w:p>
    <w:p w14:paraId="19B0105B">
      <w:pPr>
        <w:tabs>
          <w:tab w:val="left" w:pos="142"/>
        </w:tabs>
        <w:autoSpaceDE/>
        <w:autoSpaceDN/>
        <w:adjustRightInd/>
        <w:spacing w:line="360" w:lineRule="auto"/>
        <w:ind w:left="532" w:leftChars="0" w:hanging="532" w:firstLineChars="0"/>
        <w:jc w:val="both"/>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14:textFill>
            <w14:solidFill>
              <w14:schemeClr w14:val="tx1"/>
            </w14:solidFill>
          </w14:textFill>
        </w:rPr>
        <w:t>）提供担保的担保机构经济性质须为</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东莞</w:t>
      </w:r>
      <w:r>
        <w:rPr>
          <w:rFonts w:hint="eastAsia" w:ascii="宋体" w:hAnsi="宋体" w:eastAsia="宋体" w:cs="宋体"/>
          <w:color w:val="000000" w:themeColor="text1"/>
          <w:kern w:val="0"/>
          <w:sz w:val="21"/>
          <w:szCs w:val="21"/>
          <w:highlight w:val="none"/>
          <w:lang w:val="zh-CN"/>
          <w14:textFill>
            <w14:solidFill>
              <w14:schemeClr w14:val="tx1"/>
            </w14:solidFill>
          </w14:textFill>
        </w:rPr>
        <w:t>市国有企业，或政府性融资担保机构（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须提供能证明其属于政府性融资担保机构的证明文件），并经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同意，执行本款时所发生的费用由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承担。如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w:t>
      </w:r>
      <w:r>
        <w:rPr>
          <w:rFonts w:hint="eastAsia" w:ascii="宋体" w:hAnsi="宋体" w:eastAsia="宋体" w:cs="宋体"/>
          <w:color w:val="000000" w:themeColor="text1"/>
          <w:kern w:val="0"/>
          <w:sz w:val="21"/>
          <w:szCs w:val="21"/>
          <w:highlight w:val="none"/>
          <w:lang w:val="zh-CN"/>
          <w14:textFill>
            <w14:solidFill>
              <w14:schemeClr w14:val="tx1"/>
            </w14:solidFill>
          </w14:textFill>
        </w:rPr>
        <w:t>合同条款接受担保公司预付款担保函的，对担保机构要求参照本条执行。</w:t>
      </w:r>
    </w:p>
    <w:p w14:paraId="27FFCE5B">
      <w:pPr>
        <w:tabs>
          <w:tab w:val="left" w:pos="142"/>
        </w:tabs>
        <w:autoSpaceDE/>
        <w:autoSpaceDN/>
        <w:adjustRightInd/>
        <w:spacing w:line="360" w:lineRule="auto"/>
        <w:ind w:left="532" w:leftChars="0" w:hanging="532" w:firstLineChars="0"/>
        <w:jc w:val="both"/>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14:textFill>
            <w14:solidFill>
              <w14:schemeClr w14:val="tx1"/>
            </w14:solidFill>
          </w14:textFill>
        </w:rPr>
        <w:t>）如果</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提交的履约担保的有效期届满时间先于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lang w:val="zh-CN"/>
          <w14:textFill>
            <w14:solidFill>
              <w14:schemeClr w14:val="tx1"/>
            </w14:solidFill>
          </w14:textFill>
        </w:rPr>
        <w:t>、合同文件要求的，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应在原提交的履约担保有效期届满前15日内，无条件办理符合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要求的履约担保延期手续，否则视为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违约，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或履约保证保险</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或</w:t>
      </w:r>
      <w:r>
        <w:rPr>
          <w:rFonts w:hint="eastAsia" w:ascii="宋体" w:hAnsi="宋体" w:eastAsia="宋体" w:cs="宋体"/>
          <w:color w:val="000000" w:themeColor="text1"/>
          <w:kern w:val="0"/>
          <w:sz w:val="21"/>
          <w:szCs w:val="21"/>
          <w:highlight w:val="none"/>
          <w:lang w:val="zh-CN"/>
          <w14:textFill>
            <w14:solidFill>
              <w14:schemeClr w14:val="tx1"/>
            </w14:solidFill>
          </w14:textFill>
        </w:rPr>
        <w:t>担保公司履约担保书</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到期后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未按招</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要求重新提供的，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委托人</w:t>
      </w:r>
      <w:r>
        <w:rPr>
          <w:rFonts w:hint="eastAsia" w:ascii="宋体" w:hAnsi="宋体" w:eastAsia="宋体" w:cs="宋体"/>
          <w:color w:val="000000" w:themeColor="text1"/>
          <w:kern w:val="0"/>
          <w:sz w:val="21"/>
          <w:szCs w:val="21"/>
          <w:highlight w:val="none"/>
          <w:lang w:val="zh-CN"/>
          <w14:textFill>
            <w14:solidFill>
              <w14:schemeClr w14:val="tx1"/>
            </w14:solidFill>
          </w14:textFill>
        </w:rPr>
        <w:t>有权要求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以履约担保金额为限承担违约金，违约金可直接从未付采购合同费用中扣除。</w:t>
      </w:r>
    </w:p>
    <w:p w14:paraId="69B24E4A">
      <w:pPr>
        <w:tabs>
          <w:tab w:val="left" w:pos="142"/>
        </w:tabs>
        <w:autoSpaceDE/>
        <w:autoSpaceDN/>
        <w:adjustRightInd/>
        <w:spacing w:line="360" w:lineRule="auto"/>
        <w:ind w:left="532" w:leftChars="0" w:hanging="532" w:firstLineChars="0"/>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zh-CN"/>
          <w14:textFill>
            <w14:solidFill>
              <w14:schemeClr w14:val="tx1"/>
            </w14:solidFill>
          </w14:textFill>
        </w:rPr>
        <w:t>）不可撤销银行履约保函（或履约保证保险或担保公司履约担保书）应在本项目合同期限届满并完成合同的全部服务义务后二十八（28）日内保持有效。</w:t>
      </w:r>
    </w:p>
    <w:p w14:paraId="013173CA">
      <w:pPr>
        <w:pStyle w:val="2"/>
        <w:jc w:val="both"/>
        <w:rPr>
          <w:rFonts w:hint="eastAsia" w:ascii="宋体" w:hAnsi="宋体" w:eastAsia="宋体" w:cs="宋体"/>
          <w:b w:val="0"/>
          <w:bCs w:val="0"/>
          <w:color w:val="000000" w:themeColor="text1"/>
          <w:kern w:val="0"/>
          <w:sz w:val="21"/>
          <w:szCs w:val="21"/>
          <w:highlight w:val="none"/>
          <w:lang w:val="zh-CN"/>
          <w14:textFill>
            <w14:solidFill>
              <w14:schemeClr w14:val="tx1"/>
            </w14:solidFill>
          </w14:textFill>
        </w:rPr>
      </w:pPr>
    </w:p>
    <w:p w14:paraId="6BBD6622">
      <w:pPr>
        <w:tabs>
          <w:tab w:val="left" w:pos="851"/>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履约担保应用本合同货币。</w:t>
      </w:r>
    </w:p>
    <w:p w14:paraId="3856DFB8">
      <w:pPr>
        <w:tabs>
          <w:tab w:val="left" w:pos="360"/>
        </w:tabs>
        <w:spacing w:line="360" w:lineRule="auto"/>
        <w:ind w:left="567"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供应商在依法完成本合同项下全部</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后二十八（28）日内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供应商可向委托人提交退回履约</w:t>
      </w:r>
      <w:r>
        <w:rPr>
          <w:rFonts w:hint="eastAsia" w:ascii="宋体" w:hAnsi="宋体" w:eastAsia="宋体" w:cs="宋体"/>
          <w:color w:val="000000" w:themeColor="text1"/>
          <w:sz w:val="21"/>
          <w:szCs w:val="21"/>
          <w:highlight w:val="none"/>
          <w:lang w:val="en-US" w:eastAsia="zh-CN"/>
          <w14:textFill>
            <w14:solidFill>
              <w14:schemeClr w14:val="tx1"/>
            </w14:solidFill>
          </w14:textFill>
        </w:rPr>
        <w:t>担保</w:t>
      </w:r>
      <w:r>
        <w:rPr>
          <w:rFonts w:hint="eastAsia" w:ascii="宋体" w:hAnsi="宋体" w:eastAsia="宋体" w:cs="宋体"/>
          <w:color w:val="000000" w:themeColor="text1"/>
          <w:sz w:val="21"/>
          <w:szCs w:val="21"/>
          <w:highlight w:val="none"/>
          <w14:textFill>
            <w14:solidFill>
              <w14:schemeClr w14:val="tx1"/>
            </w14:solidFill>
          </w14:textFill>
        </w:rPr>
        <w:t>的申请。委托人审核无异议后，办理履约担保退还手续，履约</w:t>
      </w:r>
      <w:r>
        <w:rPr>
          <w:rFonts w:hint="eastAsia" w:ascii="宋体" w:hAnsi="宋体" w:eastAsia="宋体" w:cs="宋体"/>
          <w:color w:val="000000" w:themeColor="text1"/>
          <w:sz w:val="21"/>
          <w:szCs w:val="21"/>
          <w:highlight w:val="none"/>
          <w:lang w:val="en-US" w:eastAsia="zh-CN"/>
          <w14:textFill>
            <w14:solidFill>
              <w14:schemeClr w14:val="tx1"/>
            </w14:solidFill>
          </w14:textFill>
        </w:rPr>
        <w:t>担保</w:t>
      </w:r>
      <w:r>
        <w:rPr>
          <w:rFonts w:hint="eastAsia" w:ascii="宋体" w:hAnsi="宋体" w:eastAsia="宋体" w:cs="宋体"/>
          <w:color w:val="000000" w:themeColor="text1"/>
          <w:sz w:val="21"/>
          <w:szCs w:val="21"/>
          <w:highlight w:val="none"/>
          <w14:textFill>
            <w14:solidFill>
              <w14:schemeClr w14:val="tx1"/>
            </w14:solidFill>
          </w14:textFill>
        </w:rPr>
        <w:t>金形式提交的履约担保退回时一律以银行转账的形式无息退回到供应商的账户。</w:t>
      </w:r>
    </w:p>
    <w:bookmarkEnd w:id="568"/>
    <w:bookmarkEnd w:id="569"/>
    <w:p w14:paraId="6A94FC43">
      <w:pPr>
        <w:tabs>
          <w:tab w:val="left" w:pos="360"/>
          <w:tab w:val="left" w:pos="4725"/>
        </w:tabs>
        <w:spacing w:line="360" w:lineRule="auto"/>
        <w:ind w:left="567" w:hanging="567" w:hangingChars="270"/>
        <w:rPr>
          <w:rFonts w:hint="eastAsia" w:ascii="宋体" w:hAnsi="宋体" w:eastAsia="宋体" w:cs="宋体"/>
          <w:color w:val="000000" w:themeColor="text1"/>
          <w:sz w:val="21"/>
          <w:szCs w:val="21"/>
          <w:highlight w:val="none"/>
          <w14:textFill>
            <w14:solidFill>
              <w14:schemeClr w14:val="tx1"/>
            </w14:solidFill>
          </w14:textFill>
        </w:rPr>
      </w:pPr>
      <w:bookmarkStart w:id="570" w:name="_Toc17426"/>
      <w:bookmarkStart w:id="571" w:name="_Toc30871"/>
      <w:bookmarkStart w:id="572" w:name="_Toc46985627"/>
      <w:bookmarkStart w:id="573" w:name="_Toc19270"/>
      <w:bookmarkStart w:id="574" w:name="_Toc32458"/>
      <w:bookmarkStart w:id="575" w:name="_Toc24820"/>
      <w:bookmarkStart w:id="576" w:name="_Toc47514372"/>
      <w:bookmarkStart w:id="577" w:name="_Toc20577"/>
      <w:bookmarkStart w:id="578" w:name="_Toc32076"/>
      <w:bookmarkStart w:id="579" w:name="_Toc25945"/>
      <w:bookmarkStart w:id="580" w:name="_Toc47013158"/>
      <w:bookmarkStart w:id="581" w:name="_Toc28161"/>
      <w:bookmarkStart w:id="582" w:name="_Toc26105"/>
    </w:p>
    <w:p w14:paraId="5C50324E">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583" w:name="_Toc8331"/>
      <w:bookmarkStart w:id="584" w:name="_Toc28670"/>
      <w:bookmarkStart w:id="585" w:name="_Toc15645"/>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在合同履行中变更服务范围的权利</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98236EE">
      <w:pPr>
        <w:keepNext w:val="0"/>
        <w:keepLines w:val="0"/>
        <w:pageBreakBefore w:val="0"/>
        <w:widowControl w:val="0"/>
        <w:tabs>
          <w:tab w:val="left" w:pos="360"/>
          <w:tab w:val="left" w:pos="4725"/>
        </w:tabs>
        <w:kinsoku/>
        <w:wordWrap/>
        <w:overflowPunct/>
        <w:topLinePunct w:val="0"/>
        <w:autoSpaceDE w:val="0"/>
        <w:autoSpaceDN w:val="0"/>
        <w:bidi w:val="0"/>
        <w:adjustRightInd w:val="0"/>
        <w:snapToGrid/>
        <w:spacing w:line="360" w:lineRule="auto"/>
        <w:ind w:left="567" w:hanging="567" w:hangingChars="27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 合同履行中，委托人在合同约定的服务范围内，委托人有权根据项目实际情况对服务范围进行变更调整，供应商应遵照执行。</w:t>
      </w:r>
      <w:bookmarkStart w:id="586" w:name="_Toc450662888"/>
    </w:p>
    <w:bookmarkEnd w:id="586"/>
    <w:p w14:paraId="5131F9DB">
      <w:pPr>
        <w:spacing w:line="360" w:lineRule="auto"/>
        <w:ind w:right="18"/>
        <w:jc w:val="both"/>
        <w:rPr>
          <w:rFonts w:hint="eastAsia" w:ascii="宋体" w:hAnsi="宋体" w:eastAsia="宋体" w:cs="宋体"/>
          <w:color w:val="000000" w:themeColor="text1"/>
          <w:kern w:val="2"/>
          <w:sz w:val="15"/>
          <w:szCs w:val="15"/>
          <w:highlight w:val="none"/>
          <w:lang w:val="zh-CN"/>
          <w14:textFill>
            <w14:solidFill>
              <w14:schemeClr w14:val="tx1"/>
            </w14:solidFill>
          </w14:textFill>
        </w:rPr>
      </w:pPr>
      <w:bookmarkStart w:id="587" w:name="_Toc450662889"/>
    </w:p>
    <w:p w14:paraId="452A81A6">
      <w:pPr>
        <w:tabs>
          <w:tab w:val="left" w:pos="680"/>
        </w:tabs>
        <w:spacing w:line="360" w:lineRule="auto"/>
        <w:ind w:left="567" w:hanging="567"/>
        <w:outlineLvl w:val="2"/>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588" w:name="_Toc47013159"/>
      <w:bookmarkStart w:id="589" w:name="_Toc521918108"/>
      <w:bookmarkStart w:id="590" w:name="_Toc27360"/>
      <w:bookmarkStart w:id="591" w:name="_Toc19383"/>
      <w:bookmarkStart w:id="592" w:name="_Toc15690"/>
      <w:bookmarkStart w:id="593" w:name="_Toc22750"/>
      <w:bookmarkStart w:id="594" w:name="_Toc23138"/>
      <w:bookmarkStart w:id="595" w:name="_Toc16137"/>
      <w:bookmarkStart w:id="596" w:name="_Toc4070"/>
      <w:bookmarkStart w:id="597" w:name="_Toc47514373"/>
      <w:bookmarkStart w:id="598" w:name="_Toc6172"/>
      <w:bookmarkStart w:id="599" w:name="_Toc11217"/>
      <w:bookmarkStart w:id="600" w:name="_Toc22995"/>
      <w:bookmarkStart w:id="601" w:name="_Toc46985628"/>
      <w:bookmarkStart w:id="602" w:name="_Toc23262"/>
      <w:bookmarkStart w:id="603" w:name="_Toc705"/>
      <w:bookmarkStart w:id="604" w:name="_Toc26801"/>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发票</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60A71116">
      <w:pPr>
        <w:snapToGrid w:val="0"/>
        <w:spacing w:line="360" w:lineRule="auto"/>
        <w:ind w:left="525" w:hanging="525" w:hangingChars="250"/>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val="zh-CN"/>
          <w14:textFill>
            <w14:solidFill>
              <w14:schemeClr w14:val="tx1"/>
            </w14:solidFill>
          </w14:textFill>
        </w:rPr>
        <w:t>.1 本项目</w:t>
      </w:r>
      <w:r>
        <w:rPr>
          <w:rFonts w:hint="eastAsia" w:ascii="宋体" w:hAnsi="宋体" w:eastAsia="宋体" w:cs="宋体"/>
          <w:color w:val="000000" w:themeColor="text1"/>
          <w:kern w:val="2"/>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zh-CN"/>
          <w14:textFill>
            <w14:solidFill>
              <w14:schemeClr w14:val="tx1"/>
            </w14:solidFill>
          </w14:textFill>
        </w:rPr>
        <w:t>执行合同过程中，向委托人（或委托人控股公司或由委托人管理的</w:t>
      </w:r>
      <w:r>
        <w:rPr>
          <w:rFonts w:hint="eastAsia" w:ascii="宋体" w:hAnsi="宋体" w:eastAsia="宋体" w:cs="宋体"/>
          <w:color w:val="000000" w:themeColor="text1"/>
          <w:sz w:val="21"/>
          <w:szCs w:val="21"/>
          <w:highlight w:val="none"/>
          <w14:textFill>
            <w14:solidFill>
              <w14:schemeClr w14:val="tx1"/>
            </w14:solidFill>
          </w14:textFill>
        </w:rPr>
        <w:t>参股</w:t>
      </w:r>
      <w:r>
        <w:rPr>
          <w:rFonts w:hint="eastAsia" w:ascii="宋体" w:hAnsi="宋体" w:eastAsia="宋体" w:cs="宋体"/>
          <w:color w:val="000000" w:themeColor="text1"/>
          <w:kern w:val="2"/>
          <w:sz w:val="21"/>
          <w:szCs w:val="21"/>
          <w:highlight w:val="none"/>
          <w:lang w:val="zh-CN"/>
          <w14:textFill>
            <w14:solidFill>
              <w14:schemeClr w14:val="tx1"/>
            </w14:solidFill>
          </w14:textFill>
        </w:rPr>
        <w:t>公司）出具的发票必须是由本单位开具，不得以其他单位或个人名义出具，且出具的发票类型为增值税专用发票。</w:t>
      </w:r>
    </w:p>
    <w:p w14:paraId="79979A34">
      <w:pPr>
        <w:pStyle w:val="52"/>
        <w:rPr>
          <w:rFonts w:hint="eastAsia" w:ascii="宋体" w:hAnsi="宋体" w:eastAsia="宋体" w:cs="宋体"/>
          <w:color w:val="000000" w:themeColor="text1"/>
          <w:highlight w:val="none"/>
          <w:lang w:val="zh-CN"/>
          <w14:textFill>
            <w14:solidFill>
              <w14:schemeClr w14:val="tx1"/>
            </w14:solidFill>
          </w14:textFill>
        </w:rPr>
      </w:pPr>
    </w:p>
    <w:p w14:paraId="38AA4F4C">
      <w:pPr>
        <w:pStyle w:val="6"/>
        <w:rPr>
          <w:rFonts w:hint="eastAsia" w:ascii="宋体" w:hAnsi="宋体" w:eastAsia="宋体" w:cs="宋体"/>
          <w:color w:val="000000" w:themeColor="text1"/>
          <w:kern w:val="2"/>
          <w:sz w:val="21"/>
          <w:szCs w:val="21"/>
          <w:highlight w:val="none"/>
          <w:lang w:val="zh-CN"/>
          <w14:textFill>
            <w14:solidFill>
              <w14:schemeClr w14:val="tx1"/>
            </w14:solidFill>
          </w14:textFill>
        </w:rPr>
      </w:pPr>
      <w:bookmarkStart w:id="605" w:name="_Toc46985629"/>
      <w:bookmarkStart w:id="606" w:name="_Toc12467"/>
      <w:bookmarkStart w:id="607" w:name="_Toc23666"/>
      <w:bookmarkStart w:id="608" w:name="_Toc47514374"/>
      <w:bookmarkStart w:id="609" w:name="_Toc11266"/>
      <w:bookmarkStart w:id="610" w:name="_Toc1323"/>
      <w:bookmarkStart w:id="611" w:name="_Toc22337"/>
      <w:bookmarkStart w:id="612" w:name="_Toc17978"/>
      <w:bookmarkStart w:id="613" w:name="_Toc12711"/>
      <w:bookmarkStart w:id="614" w:name="_Toc17071"/>
      <w:bookmarkStart w:id="615" w:name="_Toc47013160"/>
      <w:bookmarkStart w:id="616" w:name="_Toc17538"/>
      <w:bookmarkStart w:id="617" w:name="_Toc24466"/>
      <w:bookmarkStart w:id="618" w:name="_Toc14140"/>
      <w:bookmarkStart w:id="619" w:name="_Toc521918109"/>
      <w:bookmarkStart w:id="620" w:name="_Toc9118"/>
      <w:bookmarkStart w:id="621" w:name="_Toc16156"/>
      <w:r>
        <w:rPr>
          <w:rFonts w:hint="eastAsia" w:ascii="宋体" w:hAnsi="宋体" w:eastAsia="宋体" w:cs="宋体"/>
          <w:color w:val="000000" w:themeColor="text1"/>
          <w:kern w:val="2"/>
          <w:sz w:val="21"/>
          <w:szCs w:val="21"/>
          <w:highlight w:val="none"/>
          <w:lang w:val="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本次</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活动的最终解释权归委托人所有。</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8634FE1">
      <w:pPr>
        <w:pStyle w:val="4"/>
        <w:pageBreakBefore/>
        <w:numPr>
          <w:ilvl w:val="0"/>
          <w:numId w:val="0"/>
        </w:numPr>
        <w:tabs>
          <w:tab w:val="left" w:pos="1080"/>
        </w:tabs>
        <w:spacing w:line="360" w:lineRule="auto"/>
        <w:ind w:leftChars="0"/>
        <w:jc w:val="center"/>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622" w:name="_Toc16501"/>
      <w:bookmarkStart w:id="623" w:name="_Toc5672"/>
      <w:bookmarkStart w:id="624" w:name="_Toc11697"/>
      <w:bookmarkStart w:id="625" w:name="_Hlk97460767"/>
      <w:bookmarkStart w:id="626" w:name="_Toc447045090"/>
      <w:bookmarkStart w:id="627" w:name="_Toc450662891"/>
      <w:bookmarkStart w:id="628" w:name="_Toc447044603"/>
      <w:bookmarkStart w:id="629" w:name="_Toc521918110"/>
      <w:bookmarkStart w:id="630" w:name="_Toc447044479"/>
      <w:bookmarkStart w:id="631" w:name="_Toc521918112"/>
      <w:bookmarkStart w:id="632" w:name="_Toc489359498"/>
      <w:bookmarkStart w:id="633" w:name="_Toc7140"/>
      <w:bookmarkStart w:id="634" w:name="_Toc21932"/>
      <w:bookmarkStart w:id="635" w:name="_Toc12550"/>
      <w:bookmarkStart w:id="636" w:name="_Toc47514385"/>
      <w:bookmarkStart w:id="637" w:name="_Toc13658"/>
      <w:bookmarkStart w:id="638" w:name="_Toc22293"/>
      <w:bookmarkStart w:id="639" w:name="_Toc47013187"/>
      <w:bookmarkStart w:id="640" w:name="_Toc46985640"/>
      <w:bookmarkStart w:id="641" w:name="_Toc11960"/>
      <w:bookmarkStart w:id="642" w:name="_Toc27586"/>
      <w:bookmarkStart w:id="643" w:name="_Toc523567019"/>
      <w:bookmarkStart w:id="644" w:name="_Toc2940"/>
      <w:bookmarkStart w:id="645" w:name="_Toc6262"/>
      <w:bookmarkStart w:id="646" w:name="_Toc14176"/>
      <w:bookmarkStart w:id="647" w:name="_Toc31412"/>
      <w:bookmarkStart w:id="648" w:name="_Toc25173"/>
      <w:bookmarkStart w:id="649" w:name="_Toc28297"/>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第三章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622"/>
      <w:bookmarkEnd w:id="623"/>
      <w:bookmarkEnd w:id="624"/>
    </w:p>
    <w:p w14:paraId="50B9E8EC">
      <w:pPr>
        <w:spacing w:line="360" w:lineRule="auto"/>
        <w:ind w:firstLine="422" w:firstLineChars="200"/>
        <w:contextualSpacing/>
        <w:rPr>
          <w:rFonts w:hint="eastAsia" w:ascii="宋体" w:hAnsi="宋体" w:eastAsia="宋体" w:cs="宋体"/>
          <w:b/>
          <w:color w:val="000000" w:themeColor="text1"/>
          <w:sz w:val="21"/>
          <w:szCs w:val="21"/>
          <w:highlight w:val="none"/>
          <w:u w:val="none"/>
          <w14:textFill>
            <w14:solidFill>
              <w14:schemeClr w14:val="tx1"/>
            </w14:solidFill>
          </w14:textFill>
        </w:rPr>
      </w:pPr>
      <w:bookmarkStart w:id="650" w:name="_Toc532576710"/>
      <w:bookmarkStart w:id="651" w:name="_Toc41571362"/>
      <w:r>
        <w:rPr>
          <w:rFonts w:hint="eastAsia" w:ascii="宋体" w:hAnsi="宋体" w:eastAsia="宋体" w:cs="宋体"/>
          <w:b/>
          <w:color w:val="000000" w:themeColor="text1"/>
          <w:sz w:val="21"/>
          <w:szCs w:val="21"/>
          <w:highlight w:val="none"/>
          <w:u w:val="none"/>
          <w14:textFill>
            <w14:solidFill>
              <w14:schemeClr w14:val="tx1"/>
            </w14:solidFill>
          </w14:textFill>
        </w:rPr>
        <w:t>一、项目概况</w:t>
      </w:r>
    </w:p>
    <w:p w14:paraId="165D3F2A">
      <w:pPr>
        <w:spacing w:line="360" w:lineRule="auto"/>
        <w:ind w:firstLine="420" w:firstLineChars="200"/>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委托人将</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12家等供水厂的余泥</w:t>
      </w:r>
      <w:r>
        <w:rPr>
          <w:rFonts w:hint="eastAsia" w:ascii="宋体" w:hAnsi="宋体" w:eastAsia="宋体" w:cs="宋体"/>
          <w:b/>
          <w:bCs/>
          <w:color w:val="000000" w:themeColor="text1"/>
          <w:sz w:val="21"/>
          <w:szCs w:val="21"/>
          <w:highlight w:val="none"/>
          <w:u w:val="none"/>
          <w14:textFill>
            <w14:solidFill>
              <w14:schemeClr w14:val="tx1"/>
            </w14:solidFill>
          </w14:textFill>
        </w:rPr>
        <w:t>外运处置服务权</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u w:val="none"/>
          <w:lang w:val="en-US" w:eastAsia="zh-CN" w:bidi="ar"/>
          <w14:textFill>
            <w14:solidFill>
              <w14:schemeClr w14:val="tx1"/>
            </w14:solidFill>
          </w14:textFill>
        </w:rPr>
        <w:t>通过</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库内竞价</w:t>
      </w:r>
      <w:r>
        <w:rPr>
          <w:rFonts w:hint="eastAsia" w:ascii="宋体" w:hAnsi="宋体" w:eastAsia="宋体" w:cs="宋体"/>
          <w:b/>
          <w:bCs/>
          <w:color w:val="000000" w:themeColor="text1"/>
          <w:sz w:val="21"/>
          <w:szCs w:val="21"/>
          <w:highlight w:val="none"/>
          <w:u w:val="none"/>
          <w:lang w:val="en-US" w:eastAsia="zh-CN" w:bidi="ar"/>
          <w14:textFill>
            <w14:solidFill>
              <w14:schemeClr w14:val="tx1"/>
            </w14:solidFill>
          </w14:textFill>
        </w:rPr>
        <w:t>方式</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分配，按低价者优先</w:t>
      </w:r>
      <w:r>
        <w:rPr>
          <w:rFonts w:hint="eastAsia" w:ascii="宋体" w:hAnsi="宋体" w:eastAsia="宋体" w:cs="宋体"/>
          <w:b/>
          <w:bCs/>
          <w:color w:val="000000" w:themeColor="text1"/>
          <w:sz w:val="21"/>
          <w:szCs w:val="21"/>
          <w:highlight w:val="none"/>
          <w:u w:val="none"/>
          <w:lang w:val="en-US" w:eastAsia="zh-CN" w:bidi="ar"/>
          <w14:textFill>
            <w14:solidFill>
              <w14:schemeClr w14:val="tx1"/>
            </w14:solidFill>
          </w14:textFill>
        </w:rPr>
        <w:t>的分配原则，</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通过库内竞价方式（提交一次报价），按照报价由低到高的顺序推荐成交候选人，顺序第一名的申请人推荐为</w:t>
      </w:r>
      <w:r>
        <w:rPr>
          <w:rFonts w:hint="eastAsia" w:ascii="宋体" w:hAnsi="宋体" w:eastAsia="宋体" w:cs="宋体"/>
          <w:b/>
          <w:bCs/>
          <w:color w:val="000000" w:themeColor="text1"/>
          <w:sz w:val="21"/>
          <w:szCs w:val="21"/>
          <w:highlight w:val="none"/>
          <w:u w:val="none"/>
          <w:lang w:eastAsia="zh-CN" w:bidi="ar"/>
          <w14:textFill>
            <w14:solidFill>
              <w14:schemeClr w14:val="tx1"/>
            </w14:solidFill>
          </w14:textFill>
        </w:rPr>
        <w:t>候选常态化处置单位，</w:t>
      </w:r>
      <w:r>
        <w:rPr>
          <w:rFonts w:hint="eastAsia" w:ascii="宋体" w:hAnsi="宋体" w:eastAsia="宋体" w:cs="宋体"/>
          <w:b/>
          <w:bCs/>
          <w:color w:val="000000" w:themeColor="text1"/>
          <w:sz w:val="21"/>
          <w:szCs w:val="21"/>
          <w:highlight w:val="none"/>
          <w:u w:val="none"/>
          <w14:textFill>
            <w14:solidFill>
              <w14:schemeClr w14:val="tx1"/>
            </w14:solidFill>
          </w14:textFill>
        </w:rPr>
        <w:t>由其负责开展</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日常外运处置工作</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；其余顺序的申请人为候选应急处置单位</w:t>
      </w:r>
      <w:r>
        <w:rPr>
          <w:rFonts w:hint="eastAsia" w:ascii="宋体" w:hAnsi="宋体" w:eastAsia="宋体" w:cs="宋体"/>
          <w:b/>
          <w:bCs/>
          <w:color w:val="000000" w:themeColor="text1"/>
          <w:sz w:val="21"/>
          <w:szCs w:val="21"/>
          <w:highlight w:val="none"/>
          <w:u w:val="none"/>
          <w:lang w:eastAsia="zh-CN" w:bidi="ar"/>
          <w14:textFill>
            <w14:solidFill>
              <w14:schemeClr w14:val="tx1"/>
            </w14:solidFill>
          </w14:textFill>
        </w:rPr>
        <w:t>，</w:t>
      </w:r>
      <w:r>
        <w:rPr>
          <w:rFonts w:hint="eastAsia" w:ascii="宋体" w:hAnsi="宋体" w:eastAsia="宋体" w:cs="宋体"/>
          <w:b/>
          <w:bCs/>
          <w:color w:val="000000" w:themeColor="text1"/>
          <w:sz w:val="21"/>
          <w:szCs w:val="21"/>
          <w:highlight w:val="none"/>
          <w:u w:val="none"/>
          <w14:textFill>
            <w14:solidFill>
              <w14:schemeClr w14:val="tx1"/>
            </w14:solidFill>
          </w14:textFill>
        </w:rPr>
        <w:t>在常态化处置的</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无法满足外运处置需求期间，协助开展</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应急外运处置工作</w:t>
      </w:r>
      <w:r>
        <w:rPr>
          <w:rFonts w:hint="eastAsia" w:ascii="宋体" w:hAnsi="宋体" w:eastAsia="宋体" w:cs="宋体"/>
          <w:b/>
          <w:bCs/>
          <w:color w:val="000000" w:themeColor="text1"/>
          <w:sz w:val="21"/>
          <w:szCs w:val="21"/>
          <w:highlight w:val="none"/>
          <w:u w:val="none"/>
          <w:lang w:bidi="ar"/>
          <w14:textFill>
            <w14:solidFill>
              <w14:schemeClr w14:val="tx1"/>
            </w14:solidFill>
          </w14:textFill>
        </w:rPr>
        <w:t>。</w:t>
      </w:r>
    </w:p>
    <w:p w14:paraId="679481D2">
      <w:pPr>
        <w:spacing w:line="360" w:lineRule="auto"/>
        <w:ind w:firstLine="420" w:firstLineChars="200"/>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2、东莞市水务集团有限公司旗下东莞市区域内</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约12家等供水厂（第四水厂、第五水厂、塘厦凤凰水厂、谢岗第二水厂、樟木头簕竹排水厂、松山湖水厂、芦花坑水厂、东城水厂、万江水厂、高埗水厂、企石水厂、桥头第三水厂等）的余泥</w:t>
      </w:r>
      <w:r>
        <w:rPr>
          <w:rFonts w:hint="eastAsia" w:ascii="宋体" w:hAnsi="宋体" w:eastAsia="宋体" w:cs="宋体"/>
          <w:color w:val="000000" w:themeColor="text1"/>
          <w:sz w:val="21"/>
          <w:szCs w:val="21"/>
          <w:highlight w:val="none"/>
          <w:u w:val="none"/>
          <w14:textFill>
            <w14:solidFill>
              <w14:schemeClr w14:val="tx1"/>
            </w14:solidFill>
          </w14:textFill>
        </w:rPr>
        <w:t>，由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统筹外运处置工作，每</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u w:val="none"/>
          <w14:textFill>
            <w14:solidFill>
              <w14:schemeClr w14:val="tx1"/>
            </w14:solidFill>
          </w14:textFill>
        </w:rPr>
        <w:t>产出含水率约55%的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约为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u w:val="none"/>
          <w14:textFill>
            <w14:solidFill>
              <w14:schemeClr w14:val="tx1"/>
            </w14:solidFill>
          </w14:textFill>
        </w:rPr>
        <w:t>吨</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u w:val="none"/>
          <w14:textFill>
            <w14:solidFill>
              <w14:schemeClr w14:val="tx1"/>
            </w14:solidFill>
          </w14:textFill>
        </w:rPr>
        <w:t>含水率约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u w:val="none"/>
          <w14:textFill>
            <w14:solidFill>
              <w14:schemeClr w14:val="tx1"/>
            </w14:solidFill>
          </w14:textFill>
        </w:rPr>
        <w:t>%的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约为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u w:val="none"/>
          <w14:textFill>
            <w14:solidFill>
              <w14:schemeClr w14:val="tx1"/>
            </w14:solidFill>
          </w14:textFill>
        </w:rPr>
        <w:t>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供水厂</w:t>
      </w:r>
      <w:r>
        <w:rPr>
          <w:rFonts w:hint="eastAsia" w:ascii="宋体" w:hAnsi="宋体" w:eastAsia="宋体" w:cs="宋体"/>
          <w:color w:val="000000" w:themeColor="text1"/>
          <w:sz w:val="21"/>
          <w:szCs w:val="21"/>
          <w:highlight w:val="none"/>
          <w:u w:val="none"/>
          <w14:textFill>
            <w14:solidFill>
              <w14:schemeClr w14:val="tx1"/>
            </w14:solidFill>
          </w14:textFill>
        </w:rPr>
        <w:t>的日均</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产量、地理位置、车辆进入限制等情况详见附表1</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供水厂余泥</w:t>
      </w:r>
      <w:r>
        <w:rPr>
          <w:rFonts w:hint="eastAsia" w:ascii="宋体" w:hAnsi="宋体" w:eastAsia="宋体" w:cs="宋体"/>
          <w:color w:val="000000" w:themeColor="text1"/>
          <w:sz w:val="21"/>
          <w:szCs w:val="21"/>
          <w:highlight w:val="none"/>
          <w:u w:val="none"/>
          <w14:textFill>
            <w14:solidFill>
              <w14:schemeClr w14:val="tx1"/>
            </w14:solidFill>
          </w14:textFill>
        </w:rPr>
        <w:t>外运处置需求表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7BFA90EB">
      <w:pPr>
        <w:pStyle w:val="156"/>
        <w:spacing w:line="360" w:lineRule="auto"/>
        <w:ind w:firstLineChars="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3、本项目概况介绍的</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产生量为暂定量，仅为便于</w:t>
      </w:r>
      <w:r>
        <w:rPr>
          <w:rFonts w:hint="eastAsia" w:ascii="宋体" w:hAnsi="宋体" w:eastAsia="宋体" w:cs="宋体"/>
          <w:color w:val="000000" w:themeColor="text1"/>
          <w:szCs w:val="21"/>
          <w:highlight w:val="none"/>
          <w:u w:val="none"/>
          <w:lang w:eastAsia="zh-CN"/>
          <w14:textFill>
            <w14:solidFill>
              <w14:schemeClr w14:val="tx1"/>
            </w14:solidFill>
          </w14:textFill>
        </w:rPr>
        <w:t>申请人</w:t>
      </w:r>
      <w:r>
        <w:rPr>
          <w:rFonts w:hint="eastAsia" w:ascii="宋体" w:hAnsi="宋体" w:eastAsia="宋体" w:cs="宋体"/>
          <w:color w:val="000000" w:themeColor="text1"/>
          <w:szCs w:val="21"/>
          <w:highlight w:val="none"/>
          <w:u w:val="none"/>
          <w14:textFill>
            <w14:solidFill>
              <w14:schemeClr w14:val="tx1"/>
            </w14:solidFill>
          </w14:textFill>
        </w:rPr>
        <w:t>了解项目情况使用，不作为</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最终委托外运处置量的保证。最终按实际处置量结算，</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不得因处理量的减少或增加而要求提供任何形式的补偿或赔偿，或要求</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按本用户需求书介绍的暂定量采购相应的处置服务。</w:t>
      </w:r>
    </w:p>
    <w:p w14:paraId="3221177C">
      <w:pPr>
        <w:pStyle w:val="156"/>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4、</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的运输和处置工作均由</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负责，</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将</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从</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指定的</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贮存点运输至</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处置场所依法进行资源化处置。具体的</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贮存地和外运装车点以</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在委托处置时的通知为准。</w:t>
      </w:r>
    </w:p>
    <w:p w14:paraId="46591900">
      <w:pPr>
        <w:pStyle w:val="156"/>
        <w:spacing w:line="360" w:lineRule="auto"/>
        <w:ind w:firstLine="422" w:firstLineChars="200"/>
        <w:rPr>
          <w:rFonts w:hint="eastAsia" w:ascii="宋体" w:hAnsi="宋体" w:eastAsia="宋体" w:cs="宋体"/>
          <w:b/>
          <w:bCs/>
          <w:color w:val="000000" w:themeColor="text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5、本次分配仅</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邀请</w:t>
      </w:r>
      <w:r>
        <w:rPr>
          <w:rFonts w:hint="eastAsia" w:ascii="宋体" w:hAnsi="宋体" w:eastAsia="宋体" w:cs="宋体"/>
          <w:b/>
          <w:bCs/>
          <w:color w:val="000000" w:themeColor="text1"/>
          <w:kern w:val="0"/>
          <w:sz w:val="21"/>
          <w:szCs w:val="21"/>
          <w:highlight w:val="none"/>
          <w:vertAlign w:val="baseline"/>
          <w:lang w:val="en-US" w:eastAsia="zh-CN" w:bidi="ar"/>
          <w14:textFill>
            <w14:solidFill>
              <w14:schemeClr w14:val="tx1"/>
            </w14:solidFill>
          </w14:textFill>
        </w:rPr>
        <w:t>处置场所在东莞市行政区域内的库内处置服务单位参与。</w:t>
      </w:r>
    </w:p>
    <w:p w14:paraId="1B9FCBD1">
      <w:pPr>
        <w:pStyle w:val="156"/>
        <w:spacing w:line="360" w:lineRule="auto"/>
        <w:ind w:firstLineChars="0"/>
        <w:rPr>
          <w:rFonts w:hint="eastAsia" w:ascii="宋体" w:hAnsi="宋体" w:eastAsia="宋体" w:cs="宋体"/>
          <w:b/>
          <w:color w:val="000000" w:themeColor="text1"/>
          <w:szCs w:val="21"/>
          <w:highlight w:val="none"/>
          <w:u w:val="none"/>
          <w14:textFill>
            <w14:solidFill>
              <w14:schemeClr w14:val="tx1"/>
            </w14:solidFill>
          </w14:textFill>
        </w:rPr>
      </w:pPr>
      <w:r>
        <w:rPr>
          <w:rFonts w:hint="eastAsia" w:ascii="宋体" w:hAnsi="宋体" w:eastAsia="宋体" w:cs="宋体"/>
          <w:b/>
          <w:color w:val="000000" w:themeColor="text1"/>
          <w:szCs w:val="21"/>
          <w:highlight w:val="none"/>
          <w:u w:val="none"/>
          <w14:textFill>
            <w14:solidFill>
              <w14:schemeClr w14:val="tx1"/>
            </w14:solidFill>
          </w14:textFill>
        </w:rPr>
        <w:t>二、服务范围及处置服务费</w:t>
      </w:r>
    </w:p>
    <w:p w14:paraId="66938739">
      <w:pPr>
        <w:spacing w:line="360" w:lineRule="auto"/>
        <w:ind w:firstLine="420" w:firstLineChars="200"/>
        <w:contextualSpacing/>
        <w:rPr>
          <w:rFonts w:hint="eastAsia" w:ascii="宋体" w:hAnsi="宋体" w:eastAsia="宋体" w:cs="宋体"/>
          <w:b/>
          <w:bCs/>
          <w:color w:val="000000" w:themeColor="text1"/>
          <w:szCs w:val="21"/>
          <w:highlight w:val="none"/>
          <w:u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14:textFill>
            <w14:solidFill>
              <w14:schemeClr w14:val="tx1"/>
            </w14:solidFill>
          </w14:textFill>
        </w:rPr>
        <w:t>1、★</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将</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委托人</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的</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运输至</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申请人</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处置场所依法进行资源化处置，本次库内分配</w:t>
      </w:r>
      <w:r>
        <w:rPr>
          <w:rFonts w:hint="eastAsia" w:ascii="宋体" w:hAnsi="宋体" w:eastAsia="宋体" w:cs="宋体"/>
          <w:b/>
          <w:bCs/>
          <w:i w:val="0"/>
          <w:iCs w:val="0"/>
          <w:caps w:val="0"/>
          <w:color w:val="000000" w:themeColor="text1"/>
          <w:spacing w:val="0"/>
          <w:kern w:val="2"/>
          <w:sz w:val="21"/>
          <w:szCs w:val="21"/>
          <w:highlight w:val="none"/>
          <w:u w:val="none"/>
          <w:shd w:val="clear"/>
          <w:lang w:val="en-US"/>
          <w14:textFill>
            <w14:solidFill>
              <w14:schemeClr w14:val="tx1"/>
            </w14:solidFill>
          </w14:textFill>
        </w:rPr>
        <w:t>服务期自2025年7月7日起至</w:t>
      </w:r>
      <w:r>
        <w:rPr>
          <w:rFonts w:hint="eastAsia" w:ascii="宋体" w:hAnsi="宋体" w:eastAsia="宋体" w:cs="宋体"/>
          <w:b/>
          <w:bCs/>
          <w:i w:val="0"/>
          <w:iCs w:val="0"/>
          <w:caps w:val="0"/>
          <w:color w:val="000000" w:themeColor="text1"/>
          <w:spacing w:val="0"/>
          <w:kern w:val="2"/>
          <w:sz w:val="21"/>
          <w:szCs w:val="21"/>
          <w:highlight w:val="none"/>
          <w:u w:val="none"/>
          <w:shd w:val="clear"/>
          <w:lang w:val="en-US" w:eastAsia="zh-CN"/>
          <w14:textFill>
            <w14:solidFill>
              <w14:schemeClr w14:val="tx1"/>
            </w14:solidFill>
          </w14:textFill>
        </w:rPr>
        <w:t>委托人重新公开采购确定的服务单位</w:t>
      </w:r>
      <w:r>
        <w:rPr>
          <w:rFonts w:hint="eastAsia" w:ascii="宋体" w:hAnsi="宋体" w:eastAsia="宋体" w:cs="宋体"/>
          <w:b/>
          <w:bCs/>
          <w:i w:val="0"/>
          <w:iCs w:val="0"/>
          <w:caps w:val="0"/>
          <w:color w:val="000000" w:themeColor="text1"/>
          <w:spacing w:val="0"/>
          <w:kern w:val="2"/>
          <w:sz w:val="21"/>
          <w:szCs w:val="21"/>
          <w:highlight w:val="none"/>
          <w:u w:val="none"/>
          <w:shd w:val="clear"/>
          <w:lang w:val="en-US"/>
          <w14:textFill>
            <w14:solidFill>
              <w14:schemeClr w14:val="tx1"/>
            </w14:solidFill>
          </w14:textFill>
        </w:rPr>
        <w:t>开始接收余泥之日，具体以委托人书面通知终止日期为准，除合同双方签订补充协议延期外，本合同服务期最长不超过2026年1月6日。</w:t>
      </w:r>
    </w:p>
    <w:p w14:paraId="3E4F9E9F">
      <w:pPr>
        <w:pStyle w:val="156"/>
        <w:spacing w:line="360" w:lineRule="auto"/>
        <w:rPr>
          <w:rFonts w:hint="eastAsia" w:ascii="宋体" w:hAnsi="宋体" w:eastAsia="宋体" w:cs="宋体"/>
          <w:b/>
          <w:bCs/>
          <w:color w:val="000000" w:themeColor="text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2、不含税最高限价190.00元/吨，超过限价的申请文件将被视为无效。</w:t>
      </w:r>
    </w:p>
    <w:p w14:paraId="455F15FE">
      <w:pPr>
        <w:spacing w:line="360" w:lineRule="auto"/>
        <w:ind w:firstLine="484" w:firstLineChars="201"/>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pP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u w:val="none"/>
          <w14:textFill>
            <w14:solidFill>
              <w14:schemeClr w14:val="tx1"/>
            </w14:solidFill>
          </w14:textFill>
        </w:rPr>
        <w:t>、★</w:t>
      </w:r>
      <w:r>
        <w:rPr>
          <w:rFonts w:hint="eastAsia" w:ascii="宋体" w:hAnsi="宋体" w:eastAsia="宋体" w:cs="宋体"/>
          <w:b/>
          <w:bCs/>
          <w:color w:val="000000" w:themeColor="text1"/>
          <w:kern w:val="2"/>
          <w:sz w:val="21"/>
          <w:szCs w:val="21"/>
          <w:highlight w:val="none"/>
          <w:u w:val="none"/>
          <w14:textFill>
            <w14:solidFill>
              <w14:schemeClr w14:val="tx1"/>
            </w14:solidFill>
          </w14:textFill>
        </w:rPr>
        <w:t>库内分配</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处置服务费包括处置费</w:t>
      </w:r>
      <w:r>
        <w:rPr>
          <w:rFonts w:hint="eastAsia" w:ascii="宋体" w:hAnsi="宋体" w:eastAsia="宋体" w:cs="宋体"/>
          <w:b/>
          <w:bCs/>
          <w:color w:val="000000" w:themeColor="text1"/>
          <w:kern w:val="2"/>
          <w:sz w:val="21"/>
          <w:szCs w:val="21"/>
          <w:highlight w:val="none"/>
          <w:u w:val="none"/>
          <w14:textFill>
            <w14:solidFill>
              <w14:schemeClr w14:val="tx1"/>
            </w14:solidFill>
          </w14:textFill>
        </w:rPr>
        <w:t>及</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运输费，为包干价，包括但不限于成交人履行本合同所发生的人工费（</w:t>
      </w:r>
      <w:r>
        <w:rPr>
          <w:rFonts w:hint="eastAsia" w:ascii="宋体" w:hAnsi="宋体" w:eastAsia="宋体" w:cs="宋体"/>
          <w:b/>
          <w:bCs/>
          <w:color w:val="000000" w:themeColor="text1"/>
          <w:kern w:val="2"/>
          <w:sz w:val="21"/>
          <w:szCs w:val="21"/>
          <w:highlight w:val="none"/>
          <w:u w:val="none"/>
          <w14:textFill>
            <w14:solidFill>
              <w14:schemeClr w14:val="tx1"/>
            </w14:solidFill>
          </w14:textFill>
        </w:rPr>
        <w:t>含加班、节假日补贴</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）、设备费，</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处置费，</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运输费（含因部分</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供水厂</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现场条件限制只能用小型车辆运输增加的运输成本）、</w:t>
      </w:r>
      <w:r>
        <w:rPr>
          <w:rFonts w:hint="eastAsia" w:ascii="宋体" w:hAnsi="宋体" w:eastAsia="宋体" w:cs="宋体"/>
          <w:b/>
          <w:bCs/>
          <w:color w:val="000000" w:themeColor="text1"/>
          <w:kern w:val="2"/>
          <w:sz w:val="21"/>
          <w:szCs w:val="21"/>
          <w:highlight w:val="none"/>
          <w:u w:val="none"/>
          <w14:textFill>
            <w14:solidFill>
              <w14:schemeClr w14:val="tx1"/>
            </w14:solidFill>
          </w14:textFill>
        </w:rPr>
        <w:t>卸车费、卸车现场除尘及清洗场地费、</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保险费（包括运输车辆交强险、第三者责任险等商业保险，成交人及其雇员社会保障资金、保险、第三者责任险，环境污染责任险等），成交人复核</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重量的称重费、</w:t>
      </w:r>
      <w:r>
        <w:rPr>
          <w:rFonts w:hint="eastAsia" w:ascii="宋体" w:hAnsi="宋体" w:eastAsia="宋体" w:cs="宋体"/>
          <w:b/>
          <w:bCs/>
          <w:color w:val="000000" w:themeColor="text1"/>
          <w:kern w:val="2"/>
          <w:sz w:val="21"/>
          <w:szCs w:val="21"/>
          <w:highlight w:val="none"/>
          <w:u w:val="none"/>
          <w:lang w:val="en-US" w:eastAsia="zh-CN"/>
          <w14:textFill>
            <w14:solidFill>
              <w14:schemeClr w14:val="tx1"/>
            </w14:solidFill>
          </w14:textFill>
        </w:rPr>
        <w:t>成交人配合委托人开展地磅称重核查工作的称重费、余泥</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处置后的副产品检测费、成交人销项税额以外的税费等全部费用。</w:t>
      </w:r>
      <w:r>
        <w:rPr>
          <w:rFonts w:hint="eastAsia" w:ascii="宋体" w:hAnsi="宋体" w:eastAsia="宋体" w:cs="宋体"/>
          <w:b/>
          <w:bCs/>
          <w:sz w:val="21"/>
          <w:szCs w:val="21"/>
          <w:lang w:val="zh-CN"/>
        </w:rPr>
        <w:t>处置服务费不包含装车费。</w:t>
      </w:r>
      <w:r>
        <w:rPr>
          <w:rFonts w:hint="eastAsia" w:ascii="宋体" w:hAnsi="宋体" w:eastAsia="宋体" w:cs="宋体"/>
          <w:b/>
          <w:bCs/>
          <w:color w:val="000000" w:themeColor="text1"/>
          <w:kern w:val="2"/>
          <w:sz w:val="21"/>
          <w:szCs w:val="21"/>
          <w:highlight w:val="none"/>
          <w:u w:val="none"/>
          <w14:textFill>
            <w14:solidFill>
              <w14:schemeClr w14:val="tx1"/>
            </w14:solidFill>
          </w14:textFill>
        </w:rPr>
        <w:t>依法计得并根据项目合同约定确定的销项税额由</w:t>
      </w:r>
      <w:r>
        <w:rPr>
          <w:rFonts w:hint="eastAsia" w:ascii="宋体" w:hAnsi="宋体" w:eastAsia="宋体" w:cs="宋体"/>
          <w:b/>
          <w:bCs/>
          <w:color w:val="000000" w:themeColor="text1"/>
          <w:kern w:val="2"/>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kern w:val="2"/>
          <w:sz w:val="21"/>
          <w:szCs w:val="21"/>
          <w:highlight w:val="none"/>
          <w:u w:val="none"/>
          <w14:textFill>
            <w14:solidFill>
              <w14:schemeClr w14:val="tx1"/>
            </w14:solidFill>
          </w14:textFill>
        </w:rPr>
        <w:t>承担。</w:t>
      </w:r>
      <w:r>
        <w:rPr>
          <w:rFonts w:hint="eastAsia" w:ascii="宋体" w:hAnsi="宋体" w:eastAsia="宋体" w:cs="宋体"/>
          <w:b/>
          <w:bCs/>
          <w:color w:val="000000" w:themeColor="text1"/>
          <w:kern w:val="2"/>
          <w:sz w:val="21"/>
          <w:szCs w:val="21"/>
          <w:highlight w:val="none"/>
          <w:u w:val="none"/>
          <w:lang w:val="en-US"/>
          <w14:textFill>
            <w14:solidFill>
              <w14:schemeClr w14:val="tx1"/>
            </w14:solidFill>
          </w14:textFill>
        </w:rPr>
        <w:t>未经委托人书面同意，成交人（包括但不限于成交人指定的第三方）不得要求委托人另行支付其他任何费用。</w:t>
      </w:r>
    </w:p>
    <w:p w14:paraId="00EF79BE">
      <w:pPr>
        <w:pStyle w:val="156"/>
        <w:spacing w:line="360" w:lineRule="auto"/>
        <w:ind w:firstLine="0" w:firstLineChars="0"/>
        <w:rPr>
          <w:rFonts w:hint="eastAsia" w:ascii="宋体" w:hAnsi="宋体" w:eastAsia="宋体" w:cs="宋体"/>
          <w:b/>
          <w:bCs/>
          <w:color w:val="000000" w:themeColor="text1"/>
          <w:szCs w:val="21"/>
          <w:highlight w:val="none"/>
          <w:u w:val="none"/>
          <w:lang w:val="en-US" w:eastAsia="zh-CN"/>
          <w14:textFill>
            <w14:solidFill>
              <w14:schemeClr w14:val="tx1"/>
            </w14:solidFill>
          </w14:textFill>
        </w:rPr>
      </w:pPr>
    </w:p>
    <w:p w14:paraId="53974E52">
      <w:pPr>
        <w:pStyle w:val="156"/>
        <w:spacing w:line="360" w:lineRule="auto"/>
        <w:ind w:firstLine="0" w:firstLineChars="0"/>
        <w:rPr>
          <w:rFonts w:hint="eastAsia" w:ascii="宋体" w:hAnsi="宋体" w:eastAsia="宋体" w:cs="宋体"/>
          <w:color w:val="000000" w:themeColor="text1"/>
          <w:kern w:val="0"/>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Cs w:val="21"/>
          <w:highlight w:val="none"/>
          <w:u w:val="none"/>
          <w14:textFill>
            <w14:solidFill>
              <w14:schemeClr w14:val="tx1"/>
            </w14:solidFill>
          </w14:textFill>
        </w:rPr>
        <w:t>、在</w:t>
      </w:r>
      <w:r>
        <w:rPr>
          <w:rFonts w:hint="eastAsia" w:ascii="宋体" w:hAnsi="宋体" w:eastAsia="宋体" w:cs="宋体"/>
          <w:color w:val="000000" w:themeColor="text1"/>
          <w:szCs w:val="21"/>
          <w:highlight w:val="none"/>
          <w:u w:val="none"/>
          <w:lang w:val="en-US" w:eastAsia="zh-CN"/>
          <w14:textFill>
            <w14:solidFill>
              <w14:schemeClr w14:val="tx1"/>
            </w14:solidFill>
          </w14:textFill>
        </w:rPr>
        <w:t>本</w:t>
      </w:r>
      <w:r>
        <w:rPr>
          <w:rFonts w:hint="eastAsia" w:ascii="宋体" w:hAnsi="宋体" w:eastAsia="宋体" w:cs="宋体"/>
          <w:color w:val="000000" w:themeColor="text1"/>
          <w:szCs w:val="21"/>
          <w:highlight w:val="none"/>
          <w:u w:val="none"/>
          <w14:textFill>
            <w14:solidFill>
              <w14:schemeClr w14:val="tx1"/>
            </w14:solidFill>
          </w14:textFill>
        </w:rPr>
        <w:t>项目履行过程中，处置服务费单价（即销售额，不含</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销项税额）不随法律法规政策、物价人工、油价、路桥费等调整而进行调整（合同明确约定可调整的除外），未经</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书面确认，</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（包括但不限于</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指定的第三方）无权增加任何费用。</w:t>
      </w:r>
    </w:p>
    <w:p w14:paraId="513F791C">
      <w:pPr>
        <w:pStyle w:val="156"/>
        <w:adjustRightInd w:val="0"/>
        <w:spacing w:line="360" w:lineRule="auto"/>
        <w:ind w:firstLineChars="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u w:val="none"/>
          <w:lang w:val="en-US" w:eastAsia="zh-CN"/>
          <w14:textFill>
            <w14:solidFill>
              <w14:schemeClr w14:val="tx1"/>
            </w14:solidFill>
          </w14:textFill>
        </w:rPr>
        <w:t>本</w:t>
      </w:r>
      <w:r>
        <w:rPr>
          <w:rFonts w:hint="eastAsia" w:ascii="宋体" w:hAnsi="宋体" w:eastAsia="宋体" w:cs="宋体"/>
          <w:color w:val="000000" w:themeColor="text1"/>
          <w:szCs w:val="21"/>
          <w:highlight w:val="none"/>
          <w:u w:val="none"/>
          <w14:textFill>
            <w14:solidFill>
              <w14:schemeClr w14:val="tx1"/>
            </w14:solidFill>
          </w14:textFill>
        </w:rPr>
        <w:t>项目</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转移</w:t>
      </w:r>
      <w:r>
        <w:rPr>
          <w:rFonts w:hint="eastAsia" w:ascii="宋体" w:hAnsi="宋体" w:eastAsia="宋体" w:cs="宋体"/>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Cs w:val="21"/>
          <w:highlight w:val="none"/>
          <w:u w:val="none"/>
          <w14:textFill>
            <w14:solidFill>
              <w14:schemeClr w14:val="tx1"/>
            </w14:solidFill>
          </w14:textFill>
        </w:rPr>
        <w:t>量和最终处置量以装车时在</w:t>
      </w:r>
      <w:r>
        <w:rPr>
          <w:rFonts w:hint="eastAsia" w:ascii="宋体" w:hAnsi="宋体" w:eastAsia="宋体" w:cs="宋体"/>
          <w:color w:val="000000" w:themeColor="text1"/>
          <w:szCs w:val="21"/>
          <w:highlight w:val="none"/>
          <w:u w:val="none"/>
          <w:lang w:val="zh-CN"/>
          <w14:textFill>
            <w14:solidFill>
              <w14:schemeClr w14:val="tx1"/>
            </w14:solidFill>
          </w14:textFill>
        </w:rPr>
        <w:t>委托人指定</w:t>
      </w:r>
      <w:r>
        <w:rPr>
          <w:rFonts w:hint="eastAsia" w:ascii="宋体" w:hAnsi="宋体" w:eastAsia="宋体" w:cs="宋体"/>
          <w:color w:val="000000" w:themeColor="text1"/>
          <w:szCs w:val="21"/>
          <w:highlight w:val="none"/>
          <w:u w:val="none"/>
          <w14:textFill>
            <w14:solidFill>
              <w14:schemeClr w14:val="tx1"/>
            </w14:solidFill>
          </w14:textFill>
        </w:rPr>
        <w:t>的第三方过磅数量并经</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审核确认后的数量为准，</w:t>
      </w:r>
      <w:r>
        <w:rPr>
          <w:rFonts w:hint="eastAsia" w:ascii="宋体" w:hAnsi="宋体" w:eastAsia="宋体" w:cs="宋体"/>
          <w:color w:val="000000" w:themeColor="text1"/>
          <w:szCs w:val="21"/>
          <w:highlight w:val="none"/>
          <w:u w:val="none"/>
          <w:lang w:val="zh-CN"/>
          <w14:textFill>
            <w14:solidFill>
              <w14:schemeClr w14:val="tx1"/>
            </w14:solidFill>
          </w14:textFill>
        </w:rPr>
        <w:t>称重过磅费用由委托人承担。成交人对过磅重量有异议的，由双方共同指定的第三方过磅复核重量，费用由成交人承担</w:t>
      </w:r>
      <w:r>
        <w:rPr>
          <w:rFonts w:hint="eastAsia" w:ascii="宋体" w:hAnsi="宋体" w:eastAsia="宋体" w:cs="宋体"/>
          <w:color w:val="000000" w:themeColor="text1"/>
          <w:szCs w:val="21"/>
          <w:highlight w:val="none"/>
          <w:u w:val="none"/>
          <w14:textFill>
            <w14:solidFill>
              <w14:schemeClr w14:val="tx1"/>
            </w14:solidFill>
          </w14:textFill>
        </w:rPr>
        <w:t>。</w:t>
      </w:r>
    </w:p>
    <w:p w14:paraId="4DA0C342">
      <w:pPr>
        <w:pStyle w:val="156"/>
        <w:spacing w:line="360" w:lineRule="auto"/>
        <w:ind w:firstLineChars="0"/>
        <w:rPr>
          <w:rFonts w:hint="eastAsia" w:ascii="宋体" w:hAnsi="宋体" w:eastAsia="宋体" w:cs="宋体"/>
          <w:b/>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三</w:t>
      </w:r>
      <w:r>
        <w:rPr>
          <w:rFonts w:hint="eastAsia" w:ascii="宋体" w:hAnsi="宋体" w:eastAsia="宋体" w:cs="宋体"/>
          <w:b/>
          <w:color w:val="000000" w:themeColor="text1"/>
          <w:szCs w:val="21"/>
          <w:highlight w:val="none"/>
          <w:u w:val="none"/>
          <w14:textFill>
            <w14:solidFill>
              <w14:schemeClr w14:val="tx1"/>
            </w14:solidFill>
          </w14:textFill>
        </w:rPr>
        <w:t>、服务要求</w:t>
      </w:r>
    </w:p>
    <w:p w14:paraId="54D21ED7">
      <w:pPr>
        <w:widowControl/>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b/>
          <w:bCs/>
          <w:color w:val="000000" w:themeColor="text1"/>
          <w:sz w:val="21"/>
          <w:szCs w:val="21"/>
          <w:highlight w:val="none"/>
          <w:u w:val="none"/>
          <w14:textFill>
            <w14:solidFill>
              <w14:schemeClr w14:val="tx1"/>
            </w14:solidFill>
          </w14:textFill>
        </w:rPr>
        <w:t>在服务期内，在</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通知的外运处置期，要求</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实现每天不间断外运</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lang w:val="zh-CN"/>
          <w14:textFill>
            <w14:solidFill>
              <w14:schemeClr w14:val="tx1"/>
            </w14:solidFill>
          </w14:textFill>
        </w:rPr>
        <w:t>在本合同履约期间，</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lang w:val="zh-CN"/>
          <w14:textFill>
            <w14:solidFill>
              <w14:schemeClr w14:val="tx1"/>
            </w14:solidFill>
          </w14:textFill>
        </w:rPr>
        <w:t>原因导致余泥处置能力无法达到承诺接收量的(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lang w:val="zh-CN"/>
          <w14:textFill>
            <w14:solidFill>
              <w14:schemeClr w14:val="tx1"/>
            </w14:solidFill>
          </w14:textFill>
        </w:rPr>
        <w:t>要求或不可抗力导致除外),</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lang w:val="zh-CN"/>
          <w14:textFill>
            <w14:solidFill>
              <w14:schemeClr w14:val="tx1"/>
            </w14:solidFill>
          </w14:textFill>
        </w:rPr>
        <w:t>有权自行委托第三方处置。</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成交人</w:t>
      </w:r>
      <w:r>
        <w:rPr>
          <w:rFonts w:hint="eastAsia" w:ascii="宋体" w:hAnsi="宋体" w:eastAsia="宋体" w:cs="宋体"/>
          <w:b/>
          <w:bCs/>
          <w:color w:val="000000" w:themeColor="text1"/>
          <w:kern w:val="0"/>
          <w:sz w:val="21"/>
          <w:szCs w:val="21"/>
          <w:highlight w:val="none"/>
          <w:u w:val="none"/>
          <w:lang w:val="en-US"/>
          <w14:textFill>
            <w14:solidFill>
              <w14:schemeClr w14:val="tx1"/>
            </w14:solidFill>
          </w14:textFill>
        </w:rPr>
        <w:t>减</w:t>
      </w: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产或</w:t>
      </w:r>
      <w:r>
        <w:rPr>
          <w:rFonts w:hint="eastAsia" w:ascii="宋体" w:hAnsi="宋体" w:eastAsia="宋体" w:cs="宋体"/>
          <w:b/>
          <w:bCs/>
          <w:color w:val="000000" w:themeColor="text1"/>
          <w:kern w:val="0"/>
          <w:sz w:val="21"/>
          <w:szCs w:val="21"/>
          <w:highlight w:val="none"/>
          <w:u w:val="none"/>
          <w:lang w:val="en-US"/>
          <w14:textFill>
            <w14:solidFill>
              <w14:schemeClr w14:val="tx1"/>
            </w14:solidFill>
          </w14:textFill>
        </w:rPr>
        <w:t>停产</w:t>
      </w: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，持续时间少于等于5天的，为确保应急工作顺利开展，</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委托人</w:t>
      </w: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将连续5天安排应急处置单位承接余泥外运处置工作，5天后恢复由常态化处置单位承接，故成交人减产或停产持续时间少于等于5天的，按5天计算，大于5天的，委托人按实际情况处理和计算成交人减产或停产天数；成交人累计减产或停产天数累计达到15天或以上的(委托人要求或不可抗力导致除外）,委托人有权要求成交人从第16天起支付每天1万元违约金。如成交人出现减产情况，减产期间优先保障“</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供水厂余泥</w:t>
      </w:r>
      <w:r>
        <w:rPr>
          <w:rFonts w:hint="eastAsia" w:ascii="宋体" w:hAnsi="宋体" w:eastAsia="宋体" w:cs="宋体"/>
          <w:b/>
          <w:bCs/>
          <w:color w:val="000000" w:themeColor="text1"/>
          <w:sz w:val="21"/>
          <w:szCs w:val="21"/>
          <w:highlight w:val="none"/>
          <w:u w:val="none"/>
          <w14:textFill>
            <w14:solidFill>
              <w14:schemeClr w14:val="tx1"/>
            </w14:solidFill>
          </w14:textFill>
        </w:rPr>
        <w:t>外运处置需求表”</w:t>
      </w: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排序靠前的供水厂余泥外运处置工作。</w:t>
      </w:r>
    </w:p>
    <w:p w14:paraId="5F29A274">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2、★</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接收</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交付的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必须自行依法处置完毕，不得将</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交付的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（或</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处理后的半成品）交由第三方处置，禁止转包。否则，由此导致的一切责任和风险全部由</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承担，并赔偿由此给</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造成的损失</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03E3A816">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3、经</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同意，</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可以将不具备对应资质的本项目非主体、非关键性工作【</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处置后副产品的检测】分包给具备对应资质的单位实施，签订分包合同，并在分包工作实施前向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书面说明分包事宜，分包合同签订后向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提供分包合同、分包单位营业执照、分包单位资质（道路运输经营许可证或检验检测机构资质认定证书）等备案材料，且分包单位违约视为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违约，由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承担赔偿责任。</w:t>
      </w:r>
    </w:p>
    <w:p w14:paraId="69B25425">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4、</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在合同的履行期间，应当保持相应资质的有效性，具备主管部门对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污泥</w:t>
      </w:r>
      <w:r>
        <w:rPr>
          <w:rFonts w:hint="eastAsia" w:ascii="宋体" w:hAnsi="宋体" w:eastAsia="宋体" w:cs="宋体"/>
          <w:color w:val="000000" w:themeColor="text1"/>
          <w:sz w:val="21"/>
          <w:szCs w:val="21"/>
          <w:highlight w:val="none"/>
          <w:u w:val="none"/>
          <w14:textFill>
            <w14:solidFill>
              <w14:schemeClr w14:val="tx1"/>
            </w14:solidFill>
          </w14:textFill>
        </w:rPr>
        <w:t>处置单位的要求条件和企业生产经营许可的相关资质要求。</w:t>
      </w:r>
    </w:p>
    <w:p w14:paraId="5F0A66E6">
      <w:pPr>
        <w:tabs>
          <w:tab w:val="left" w:pos="9030"/>
        </w:tabs>
        <w:spacing w:line="360" w:lineRule="auto"/>
        <w:ind w:right="40"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5、</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应在接到</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转移</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通知之日起，</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日内按</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要求的运力实施</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转移和处置。</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如因计划检修、设备保养等，不能接收</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的，应当提前三天告知</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，不可抗力除外。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经</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通知后拒不向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处置服务的，每延误一天，</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有权要求</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根据合同约定支付违约金。同时</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有权另行委托处置服务库内供应商或其他第三方进行外运、处置，由此产生的处置服务费及其他一切损失由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w:t>
      </w:r>
    </w:p>
    <w:p w14:paraId="1D651035">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6、★</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的处置方式必须合法合规，确保未采用国家禁止、淘汰的工艺技术或方法，并体现“减量化、稳定化、无害化、资源化”的原则，在坚持“安全、环保”的原则下，实现</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的综合利用，回收和利用</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的能源和物质。</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本</w:t>
      </w:r>
      <w:r>
        <w:rPr>
          <w:rFonts w:hint="eastAsia" w:ascii="宋体" w:hAnsi="宋体" w:eastAsia="宋体" w:cs="宋体"/>
          <w:b/>
          <w:bCs/>
          <w:color w:val="000000" w:themeColor="text1"/>
          <w:sz w:val="21"/>
          <w:szCs w:val="21"/>
          <w:highlight w:val="none"/>
          <w:u w:val="none"/>
          <w14:textFill>
            <w14:solidFill>
              <w14:schemeClr w14:val="tx1"/>
            </w14:solidFill>
          </w14:textFill>
        </w:rPr>
        <w:t>项目不接受填埋的处置方式</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6F0431AE">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申请人处置项目</w:t>
      </w:r>
      <w:r>
        <w:rPr>
          <w:rFonts w:hint="eastAsia" w:ascii="宋体" w:hAnsi="宋体" w:eastAsia="宋体" w:cs="宋体"/>
          <w:b/>
          <w:bCs/>
          <w:color w:val="000000" w:themeColor="text1"/>
          <w:sz w:val="21"/>
          <w:szCs w:val="21"/>
          <w:highlight w:val="none"/>
          <w:u w:val="none"/>
          <w14:textFill>
            <w14:solidFill>
              <w14:schemeClr w14:val="tx1"/>
            </w14:solidFill>
          </w14:textFill>
        </w:rPr>
        <w:t>需</w:t>
      </w:r>
      <w:r>
        <w:rPr>
          <w:rFonts w:hint="eastAsia" w:ascii="宋体" w:hAnsi="宋体" w:eastAsia="宋体" w:cs="宋体"/>
          <w:b/>
          <w:bCs/>
          <w:color w:val="000000" w:themeColor="text1"/>
          <w:sz w:val="21"/>
          <w:szCs w:val="21"/>
          <w:u w:val="none"/>
          <w:lang w:val="en-US" w:eastAsia="zh-CN"/>
          <w14:textFill>
            <w14:solidFill>
              <w14:schemeClr w14:val="tx1"/>
            </w14:solidFill>
          </w14:textFill>
        </w:rPr>
        <w:t>取得生态环境主管部门环境影响评价文件[项目包含市政（生活/城市/城镇污水处理厂）污泥或市政管网清淤污泥或河道/航道/江河淤泥的处理或处置相关内容]的批复或该项目已取得地级市（或以上）行政主管部门同意其处置排泥水余泥，且项目的环境保护设施已验收合格或已取得生态环境主管部门的环保验收批复</w:t>
      </w:r>
      <w:r>
        <w:rPr>
          <w:rFonts w:hint="eastAsia" w:ascii="宋体" w:hAnsi="宋体" w:eastAsia="宋体" w:cs="宋体"/>
          <w:b/>
          <w:bCs/>
          <w:color w:val="000000" w:themeColor="text1"/>
          <w:sz w:val="21"/>
          <w:szCs w:val="21"/>
          <w:u w:val="none"/>
          <w14:textFill>
            <w14:solidFill>
              <w14:schemeClr w14:val="tx1"/>
            </w14:solidFill>
          </w14:textFill>
        </w:rPr>
        <w:t>。</w:t>
      </w:r>
      <w:r>
        <w:rPr>
          <w:rFonts w:hint="eastAsia" w:ascii="宋体" w:hAnsi="宋体" w:eastAsia="宋体" w:cs="宋体"/>
          <w:b/>
          <w:bCs/>
          <w:color w:val="000000" w:themeColor="text1"/>
          <w:sz w:val="21"/>
          <w:szCs w:val="21"/>
          <w:u w:val="none"/>
          <w:lang w:val="en-US" w:eastAsia="zh-CN"/>
          <w14:textFill>
            <w14:solidFill>
              <w14:schemeClr w14:val="tx1"/>
            </w14:solidFill>
          </w14:textFill>
        </w:rPr>
        <w:t>申请人</w:t>
      </w:r>
      <w:r>
        <w:rPr>
          <w:rFonts w:hint="eastAsia" w:ascii="宋体" w:hAnsi="宋体" w:eastAsia="宋体" w:cs="宋体"/>
          <w:b/>
          <w:bCs/>
          <w:color w:val="000000" w:themeColor="text1"/>
          <w:sz w:val="21"/>
          <w:szCs w:val="21"/>
          <w:u w:val="none"/>
          <w14:textFill>
            <w14:solidFill>
              <w14:schemeClr w14:val="tx1"/>
            </w14:solidFill>
          </w14:textFill>
        </w:rPr>
        <w:t>转移处置余泥时，应编制具体的余泥转移方案等资料，并将企业资质，环评批复等相关文件抄送一份给</w:t>
      </w:r>
      <w:r>
        <w:rPr>
          <w:rFonts w:hint="eastAsia" w:ascii="宋体" w:hAnsi="宋体" w:eastAsia="宋体" w:cs="宋体"/>
          <w:b/>
          <w:bCs/>
          <w:color w:val="000000" w:themeColor="text1"/>
          <w:sz w:val="21"/>
          <w:szCs w:val="21"/>
          <w:u w:val="none"/>
          <w:lang w:val="en-US" w:eastAsia="zh-CN"/>
          <w14:textFill>
            <w14:solidFill>
              <w14:schemeClr w14:val="tx1"/>
            </w14:solidFill>
          </w14:textFill>
        </w:rPr>
        <w:t>委托人</w:t>
      </w:r>
      <w:r>
        <w:rPr>
          <w:rFonts w:hint="eastAsia" w:ascii="宋体" w:hAnsi="宋体" w:eastAsia="宋体" w:cs="宋体"/>
          <w:b/>
          <w:bCs/>
          <w:color w:val="000000" w:themeColor="text1"/>
          <w:sz w:val="21"/>
          <w:szCs w:val="21"/>
          <w:u w:val="none"/>
          <w14:textFill>
            <w14:solidFill>
              <w14:schemeClr w14:val="tx1"/>
            </w14:solidFill>
          </w14:textFill>
        </w:rPr>
        <w:t>审核备案</w:t>
      </w:r>
      <w:r>
        <w:rPr>
          <w:rFonts w:hint="eastAsia" w:ascii="宋体" w:hAnsi="宋体" w:eastAsia="宋体" w:cs="宋体"/>
          <w:color w:val="000000" w:themeColor="text1"/>
          <w:sz w:val="21"/>
          <w:szCs w:val="21"/>
          <w14:textFill>
            <w14:solidFill>
              <w14:schemeClr w14:val="tx1"/>
            </w14:solidFill>
          </w14:textFill>
        </w:rPr>
        <w:t>。</w:t>
      </w:r>
    </w:p>
    <w:p w14:paraId="26B48773">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应当采取有效的职业卫生防护措施，为从事</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运输、处置的工作人员和管理人员，配备必要的防护用品。</w:t>
      </w:r>
    </w:p>
    <w:p w14:paraId="4F55DC8B">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必须制定与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处置有关的规章制度和发生意外事故时的应急预案，并向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报备。发生</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流失、泄漏、扩散时，</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应当立即采取紧急处理措施，并及时向主管部门报告</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6CC10286">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u w:val="none"/>
          <w14:textFill>
            <w14:solidFill>
              <w14:schemeClr w14:val="tx1"/>
            </w14:solidFill>
          </w14:textFill>
        </w:rPr>
        <w:t>、如因</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安全生产设备、措施、操作规程、环保设备设施、劳动保护条件等不符合规范要求或标准，导致安全生产事故/造成人身损害或财产损失的，由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自行承担全部责任和后果，如因此给</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造成的一切损失由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w:t>
      </w:r>
    </w:p>
    <w:p w14:paraId="4977A420">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必须对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运输和处置情况进行登记建立台账信息，同时按照</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要求在处置场所进出口、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接收储存仓、</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处置投料口处安装监控视频，并定期通过移交监控储存移动硬盘等方式，将监控视频资料移交给</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。运输和处置等相关台账信息资料保存时间为至少5年，监控视频资料保存时间至少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年</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1E9182EF">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在提供本</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u w:val="none"/>
          <w14:textFill>
            <w14:solidFill>
              <w14:schemeClr w14:val="tx1"/>
            </w14:solidFill>
          </w14:textFill>
        </w:rPr>
        <w:t>服务过程中，如存在运输、处置等违法行为的，由此造成的后果由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全部承担。如造成</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受到行政处罚的，由此导致的经济损失由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承担赔偿责任。</w:t>
      </w:r>
    </w:p>
    <w:p w14:paraId="4768BFED">
      <w:pPr>
        <w:spacing w:line="360" w:lineRule="auto"/>
        <w:ind w:firstLine="424" w:firstLineChars="202"/>
        <w:contextualSpacing/>
        <w:rPr>
          <w:rFonts w:hint="eastAsia" w:ascii="宋体" w:hAnsi="宋体" w:eastAsia="宋体" w:cs="宋体"/>
          <w:b/>
          <w:b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按7天/次的频次，根据初次核对确认的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外运数量和资料填报要求，向</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提交经</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【对运输进行分包的，含分包的运输单位】盖章确认的《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排泥水余泥</w:t>
      </w:r>
      <w:r>
        <w:rPr>
          <w:rFonts w:hint="eastAsia" w:ascii="宋体" w:hAnsi="宋体" w:eastAsia="宋体" w:cs="宋体"/>
          <w:b/>
          <w:bCs/>
          <w:color w:val="000000" w:themeColor="text1"/>
          <w:sz w:val="21"/>
          <w:szCs w:val="21"/>
          <w:highlight w:val="none"/>
          <w:u w:val="none"/>
          <w14:textFill>
            <w14:solidFill>
              <w14:schemeClr w14:val="tx1"/>
            </w14:solidFill>
          </w14:textFill>
        </w:rPr>
        <w:t>转移联单》、磅单、《月度</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外运签证表》（含电子文档）等资料。</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对接收的资料复核后，发现资料有误的，</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必须在3日内按要求重新提交。</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将复核后的资料送</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产生单位盖章确认，经</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产生单位、</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共同签字/盖章确认后，确定该批次</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实际转移数量，并由</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 w:val="21"/>
          <w:szCs w:val="21"/>
          <w:highlight w:val="none"/>
          <w:u w:val="none"/>
          <w14:textFill>
            <w14:solidFill>
              <w14:schemeClr w14:val="tx1"/>
            </w14:solidFill>
          </w14:textFill>
        </w:rPr>
        <w:t>交东莞市</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主管部门留存备查</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如有需要</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none"/>
          <w14:textFill>
            <w14:solidFill>
              <w14:schemeClr w14:val="tx1"/>
            </w14:solidFill>
          </w14:textFill>
        </w:rPr>
        <w:t>。</w:t>
      </w:r>
    </w:p>
    <w:p w14:paraId="08B73E5B">
      <w:pPr>
        <w:pStyle w:val="140"/>
        <w:spacing w:line="360" w:lineRule="auto"/>
        <w:ind w:firstLine="42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1</w:t>
      </w:r>
      <w:r>
        <w:rPr>
          <w:rFonts w:hint="eastAsia" w:ascii="宋体" w:hAnsi="宋体" w:eastAsia="宋体" w:cs="宋体"/>
          <w:color w:val="000000" w:themeColor="text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承诺</w:t>
      </w:r>
      <w:r>
        <w:rPr>
          <w:rFonts w:hint="eastAsia" w:ascii="宋体" w:hAnsi="宋体" w:eastAsia="宋体" w:cs="宋体"/>
          <w:color w:val="000000" w:themeColor="text1"/>
          <w:szCs w:val="21"/>
          <w:highlight w:val="none"/>
          <w:u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u w:val="none"/>
          <w14:textFill>
            <w14:solidFill>
              <w14:schemeClr w14:val="tx1"/>
            </w14:solidFill>
          </w14:textFill>
        </w:rPr>
        <w:t>后，将严格遵守</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（或</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上级单位）提出或调整的日常管理制度或相关管理要求。</w:t>
      </w:r>
      <w:r>
        <w:rPr>
          <w:rFonts w:hint="eastAsia" w:ascii="宋体" w:hAnsi="宋体" w:eastAsia="宋体" w:cs="宋体"/>
          <w:color w:val="000000" w:themeColor="text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Cs w:val="21"/>
          <w:highlight w:val="none"/>
          <w:u w:val="none"/>
          <w14:textFill>
            <w14:solidFill>
              <w14:schemeClr w14:val="tx1"/>
            </w14:solidFill>
          </w14:textFill>
        </w:rPr>
        <w:t>服务期间，出现不服从</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（或</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上级单位）提出或调整的日常管理制度或相关管理要求，</w:t>
      </w:r>
      <w:r>
        <w:rPr>
          <w:rFonts w:hint="eastAsia" w:ascii="宋体" w:hAnsi="宋体" w:eastAsia="宋体" w:cs="宋体"/>
          <w:color w:val="000000" w:themeColor="text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Cs w:val="21"/>
          <w:highlight w:val="none"/>
          <w:u w:val="none"/>
          <w14:textFill>
            <w14:solidFill>
              <w14:schemeClr w14:val="tx1"/>
            </w14:solidFill>
          </w14:textFill>
        </w:rPr>
        <w:t>有权取消其服务资格。</w:t>
      </w:r>
    </w:p>
    <w:p w14:paraId="1559A455">
      <w:pPr>
        <w:pStyle w:val="140"/>
        <w:spacing w:line="360" w:lineRule="auto"/>
        <w:ind w:firstLine="42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1</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b/>
          <w:bCs/>
          <w:color w:val="000000" w:themeColor="text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Cs w:val="21"/>
          <w:highlight w:val="none"/>
          <w:u w:val="none"/>
          <w14:textFill>
            <w14:solidFill>
              <w14:schemeClr w14:val="tx1"/>
            </w14:solidFill>
          </w14:textFill>
        </w:rPr>
        <w:t>须承诺，在本项目</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分配结果</w:t>
      </w:r>
      <w:r>
        <w:rPr>
          <w:rFonts w:hint="eastAsia" w:ascii="宋体" w:hAnsi="宋体" w:eastAsia="宋体" w:cs="宋体"/>
          <w:b/>
          <w:bCs/>
          <w:color w:val="000000" w:themeColor="text1"/>
          <w:szCs w:val="21"/>
          <w:highlight w:val="none"/>
          <w:u w:val="none"/>
          <w14:textFill>
            <w14:solidFill>
              <w14:schemeClr w14:val="tx1"/>
            </w14:solidFill>
          </w14:textFill>
        </w:rPr>
        <w:t>通知书签发之日起，</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u w:val="none"/>
          <w14:textFill>
            <w14:solidFill>
              <w14:schemeClr w14:val="tx1"/>
            </w14:solidFill>
          </w14:textFill>
        </w:rPr>
        <w:t>日内可达到按</w:t>
      </w:r>
      <w:r>
        <w:rPr>
          <w:rFonts w:hint="eastAsia" w:ascii="宋体" w:hAnsi="宋体" w:eastAsia="宋体" w:cs="宋体"/>
          <w:b/>
          <w:bCs/>
          <w:color w:val="000000" w:themeColor="text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Cs w:val="21"/>
          <w:highlight w:val="none"/>
          <w:u w:val="none"/>
          <w14:textFill>
            <w14:solidFill>
              <w14:schemeClr w14:val="tx1"/>
            </w14:solidFill>
          </w14:textFill>
        </w:rPr>
        <w:t>要求的</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Cs w:val="21"/>
          <w:highlight w:val="none"/>
          <w:u w:val="none"/>
          <w14:textFill>
            <w14:solidFill>
              <w14:schemeClr w14:val="tx1"/>
            </w14:solidFill>
          </w14:textFill>
        </w:rPr>
        <w:t>外运处置能力，按</w:t>
      </w:r>
      <w:r>
        <w:rPr>
          <w:rFonts w:hint="eastAsia" w:ascii="宋体" w:hAnsi="宋体" w:eastAsia="宋体" w:cs="宋体"/>
          <w:b/>
          <w:bCs/>
          <w:color w:val="000000" w:themeColor="text1"/>
          <w:szCs w:val="21"/>
          <w:highlight w:val="none"/>
          <w:u w:val="none"/>
          <w:lang w:eastAsia="zh-CN"/>
          <w14:textFill>
            <w14:solidFill>
              <w14:schemeClr w14:val="tx1"/>
            </w14:solidFill>
          </w14:textFill>
        </w:rPr>
        <w:t>委托人</w:t>
      </w:r>
      <w:r>
        <w:rPr>
          <w:rFonts w:hint="eastAsia" w:ascii="宋体" w:hAnsi="宋体" w:eastAsia="宋体" w:cs="宋体"/>
          <w:b/>
          <w:bCs/>
          <w:color w:val="000000" w:themeColor="text1"/>
          <w:szCs w:val="21"/>
          <w:highlight w:val="none"/>
          <w:u w:val="none"/>
          <w14:textFill>
            <w14:solidFill>
              <w14:schemeClr w14:val="tx1"/>
            </w14:solidFill>
          </w14:textFill>
        </w:rPr>
        <w:t>要求开展</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Cs w:val="21"/>
          <w:highlight w:val="none"/>
          <w:u w:val="none"/>
          <w14:textFill>
            <w14:solidFill>
              <w14:schemeClr w14:val="tx1"/>
            </w14:solidFill>
          </w14:textFill>
        </w:rPr>
        <w:t>外运处置服务</w:t>
      </w:r>
      <w:r>
        <w:rPr>
          <w:rFonts w:hint="eastAsia" w:ascii="宋体" w:hAnsi="宋体" w:eastAsia="宋体" w:cs="宋体"/>
          <w:color w:val="000000" w:themeColor="text1"/>
          <w:szCs w:val="21"/>
          <w:highlight w:val="none"/>
          <w:u w:val="none"/>
          <w14:textFill>
            <w14:solidFill>
              <w14:schemeClr w14:val="tx1"/>
            </w14:solidFill>
          </w14:textFill>
        </w:rPr>
        <w:t>。</w:t>
      </w:r>
    </w:p>
    <w:p w14:paraId="03F3E223">
      <w:pPr>
        <w:pStyle w:val="140"/>
        <w:spacing w:line="360" w:lineRule="auto"/>
        <w:ind w:firstLine="420"/>
        <w:rPr>
          <w:rFonts w:hint="eastAsia" w:ascii="宋体" w:hAnsi="宋体" w:eastAsia="宋体" w:cs="宋体"/>
          <w:b/>
          <w:bCs/>
          <w:color w:val="000000" w:themeColor="text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16</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申请人</w:t>
      </w:r>
      <w:r>
        <w:rPr>
          <w:rFonts w:hint="eastAsia" w:ascii="宋体" w:hAnsi="宋体" w:eastAsia="宋体" w:cs="宋体"/>
          <w:b/>
          <w:bCs/>
          <w:color w:val="000000" w:themeColor="text1"/>
          <w:szCs w:val="21"/>
          <w:highlight w:val="none"/>
          <w:u w:val="none"/>
          <w14:textFill>
            <w14:solidFill>
              <w14:schemeClr w14:val="tx1"/>
            </w14:solidFill>
          </w14:textFill>
        </w:rPr>
        <w:t>参与报价时，需</w:t>
      </w:r>
      <w:r>
        <w:rPr>
          <w:rFonts w:hint="eastAsia" w:ascii="宋体" w:hAnsi="宋体" w:eastAsia="宋体" w:cs="宋体"/>
          <w:b/>
          <w:bCs/>
          <w:color w:val="000000" w:themeColor="text1"/>
          <w:highlight w:val="none"/>
          <w:u w:val="none"/>
          <w14:textFill>
            <w14:solidFill>
              <w14:schemeClr w14:val="tx1"/>
            </w14:solidFill>
          </w14:textFill>
        </w:rPr>
        <w:t>附上</w:t>
      </w:r>
      <w:r>
        <w:rPr>
          <w:rFonts w:hint="eastAsia" w:ascii="宋体" w:hAnsi="宋体" w:eastAsia="宋体" w:cs="宋体"/>
          <w:b/>
          <w:bCs/>
          <w:color w:val="000000" w:themeColor="text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highlight w:val="none"/>
          <w:u w:val="none"/>
          <w14:textFill>
            <w14:solidFill>
              <w14:schemeClr w14:val="tx1"/>
            </w14:solidFill>
          </w14:textFill>
        </w:rPr>
        <w:t>接收量承诺函，承诺接收量</w:t>
      </w:r>
      <w:r>
        <w:rPr>
          <w:rFonts w:hint="eastAsia" w:ascii="宋体" w:hAnsi="宋体" w:eastAsia="宋体" w:cs="宋体"/>
          <w:b/>
          <w:bCs/>
          <w:color w:val="000000" w:themeColor="text1"/>
          <w:highlight w:val="none"/>
          <w:u w:val="none"/>
          <w:lang w:val="en-US" w:eastAsia="zh-CN"/>
          <w14:textFill>
            <w14:solidFill>
              <w14:schemeClr w14:val="tx1"/>
            </w14:solidFill>
          </w14:textFill>
        </w:rPr>
        <w:t>需大于本项目余泥</w:t>
      </w:r>
      <w:r>
        <w:rPr>
          <w:rFonts w:hint="eastAsia" w:ascii="宋体" w:hAnsi="宋体" w:eastAsia="宋体" w:cs="宋体"/>
          <w:b/>
          <w:bCs/>
          <w:color w:val="000000" w:themeColor="text1"/>
          <w:highlight w:val="none"/>
          <w:u w:val="none"/>
          <w14:textFill>
            <w14:solidFill>
              <w14:schemeClr w14:val="tx1"/>
            </w14:solidFill>
          </w14:textFill>
        </w:rPr>
        <w:t>总产量</w:t>
      </w:r>
      <w:r>
        <w:rPr>
          <w:rFonts w:hint="eastAsia" w:ascii="宋体" w:hAnsi="宋体" w:eastAsia="宋体" w:cs="宋体"/>
          <w:b/>
          <w:bCs/>
          <w:color w:val="000000" w:themeColor="text1"/>
          <w:highlight w:val="none"/>
          <w:u w:val="none"/>
          <w:lang w:eastAsia="zh-CN"/>
          <w14:textFill>
            <w14:solidFill>
              <w14:schemeClr w14:val="tx1"/>
            </w14:solidFill>
          </w14:textFill>
        </w:rPr>
        <w:t>，</w:t>
      </w:r>
      <w:r>
        <w:rPr>
          <w:rFonts w:hint="eastAsia" w:ascii="宋体" w:hAnsi="宋体" w:eastAsia="宋体" w:cs="宋体"/>
          <w:b/>
          <w:bCs/>
          <w:color w:val="000000" w:themeColor="text1"/>
          <w:highlight w:val="none"/>
          <w:u w:val="none"/>
          <w:lang w:val="en-US" w:eastAsia="zh-CN"/>
          <w14:textFill>
            <w14:solidFill>
              <w14:schemeClr w14:val="tx1"/>
            </w14:solidFill>
          </w14:textFill>
        </w:rPr>
        <w:t>不符合前述要求的申请文件将被视为无效</w:t>
      </w:r>
      <w:r>
        <w:rPr>
          <w:rFonts w:hint="eastAsia" w:ascii="宋体" w:hAnsi="宋体" w:eastAsia="宋体" w:cs="宋体"/>
          <w:b/>
          <w:bCs/>
          <w:color w:val="000000" w:themeColor="text1"/>
          <w:highlight w:val="none"/>
          <w:u w:val="none"/>
          <w14:textFill>
            <w14:solidFill>
              <w14:schemeClr w14:val="tx1"/>
            </w14:solidFill>
          </w14:textFill>
        </w:rPr>
        <w:t>。</w:t>
      </w:r>
    </w:p>
    <w:p w14:paraId="0B7F1384">
      <w:pPr>
        <w:spacing w:line="360" w:lineRule="auto"/>
        <w:ind w:firstLine="422" w:firstLineChars="200"/>
        <w:contextualSpacing/>
        <w:rPr>
          <w:rFonts w:hint="eastAsia" w:ascii="宋体" w:hAnsi="宋体" w:eastAsia="宋体" w:cs="宋体"/>
          <w:b/>
          <w:color w:val="000000" w:themeColor="text1"/>
          <w:sz w:val="21"/>
          <w:szCs w:val="21"/>
          <w:highlight w:val="none"/>
          <w:u w:val="none"/>
          <w14:textFill>
            <w14:solidFill>
              <w14:schemeClr w14:val="tx1"/>
            </w14:solidFill>
          </w14:textFill>
        </w:rPr>
      </w:pPr>
      <w:r>
        <w:rPr>
          <w:rFonts w:hint="eastAsia" w:ascii="宋体" w:hAnsi="宋体" w:eastAsia="宋体" w:cs="宋体"/>
          <w:b/>
          <w:color w:val="000000" w:themeColor="text1"/>
          <w:sz w:val="21"/>
          <w:szCs w:val="21"/>
          <w:highlight w:val="none"/>
          <w:u w:val="none"/>
          <w14:textFill>
            <w14:solidFill>
              <w14:schemeClr w14:val="tx1"/>
            </w14:solidFill>
          </w14:textFill>
        </w:rPr>
        <w:t>四、专项要求</w:t>
      </w:r>
    </w:p>
    <w:p w14:paraId="6E710070">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配备履行本服务合同必需的运输设备和工具，</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或其指定的第三方具有道路运输经营许可证并符合一般工业固废运输的要求，运输司机及运输车辆须有正规保险凭证，运输司机及车辆车辆必须持有合法、正规牌照、并且按照合同双方确定的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运输常用（备用）路线运输</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运输车辆应当全部安装GPS定位系统，并能直接与</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在线监管平台对接，实时显示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运输轨迹等信息；</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自有的车载GPS定位系统不能直接与</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在线监管平台对接的，</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提供定位系统设备供</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使用。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必须保护好</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定位系统设备免受损坏，若非</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原因定位系统设备损坏的，</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支付500元/台的违约金。在运输过程中，</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应保证GPS定位系统能正常接收信号，运输全程纳入定位管理，若运输过程中</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因成交人原因导致</w:t>
      </w:r>
      <w:r>
        <w:rPr>
          <w:rFonts w:hint="eastAsia" w:ascii="宋体" w:hAnsi="宋体" w:eastAsia="宋体" w:cs="宋体"/>
          <w:color w:val="000000" w:themeColor="text1"/>
          <w:sz w:val="21"/>
          <w:szCs w:val="21"/>
          <w:highlight w:val="none"/>
          <w:u w:val="none"/>
          <w14:textFill>
            <w14:solidFill>
              <w14:schemeClr w14:val="tx1"/>
            </w14:solidFill>
          </w14:textFill>
        </w:rPr>
        <w:t>出现信号无法正常连接或中断的，期间发生交通运输事故或运输过程中导致环境污染的，</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须负主要责任，并承担由此产生的一切行政和经济法律责任。若</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中止为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处置服务，应在5个工作日内向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归还完好的定位系统设备，定位系统设备每延期归还一天，</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支付500元/台的违约金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委托人有权直接在处置服务费、入库或单项合同履约担保中直接抵扣</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5398B367">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所采用的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1A5EF704">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应严格按照交通运输及相关法律、法规操作，安全、合法地运输。</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在任何情况下都不得进行任何形式的超载运输，否则造成的一切后果由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w:t>
      </w:r>
    </w:p>
    <w:p w14:paraId="3A69CBFD">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b/>
          <w:bCs/>
          <w:color w:val="000000" w:themeColor="text1"/>
          <w:sz w:val="21"/>
          <w:szCs w:val="21"/>
          <w:highlight w:val="none"/>
          <w:u w:val="none"/>
          <w14:textFill>
            <w14:solidFill>
              <w14:schemeClr w14:val="tx1"/>
            </w14:solidFill>
          </w14:textFill>
        </w:rPr>
        <w:t>在</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运输过程中严禁将</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在处置场所以外进行中转存放或堆放，严禁将未经资源化处置的</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违规偷倒、丢弃、填埋。</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运输过程中不得进行中间装卸操作</w:t>
      </w:r>
      <w:r>
        <w:rPr>
          <w:rFonts w:hint="eastAsia" w:ascii="宋体" w:hAnsi="宋体" w:eastAsia="宋体" w:cs="宋体"/>
          <w:color w:val="000000" w:themeColor="text1"/>
          <w:sz w:val="21"/>
          <w:szCs w:val="21"/>
          <w:highlight w:val="none"/>
          <w:u w:val="none"/>
          <w14:textFill>
            <w14:solidFill>
              <w14:schemeClr w14:val="tx1"/>
            </w14:solidFill>
          </w14:textFill>
        </w:rPr>
        <w:t xml:space="preserve">。 </w:t>
      </w:r>
    </w:p>
    <w:p w14:paraId="3C11BE14">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在</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运输过程中，应当防止造成二次污染，运输过程中发生</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泄漏、随意丢弃或倾倒等导致环境污染的，由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承担相应的行政责任及经济责任，</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 xml:space="preserve">对运输及装卸过程的环境、安全负全责。 </w:t>
      </w:r>
    </w:p>
    <w:p w14:paraId="2A063513">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转移前，</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应向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提供运输</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车辆和</w:t>
      </w:r>
      <w:r>
        <w:rPr>
          <w:rFonts w:hint="eastAsia" w:ascii="宋体" w:hAnsi="宋体" w:eastAsia="宋体" w:cs="宋体"/>
          <w:color w:val="000000" w:themeColor="text1"/>
          <w:sz w:val="21"/>
          <w:szCs w:val="21"/>
          <w:highlight w:val="none"/>
          <w:u w:val="none"/>
          <w14:textFill>
            <w14:solidFill>
              <w14:schemeClr w14:val="tx1"/>
            </w14:solidFill>
          </w14:textFill>
        </w:rPr>
        <w:t>司机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信息</w:t>
      </w:r>
      <w:r>
        <w:rPr>
          <w:rFonts w:hint="eastAsia" w:ascii="宋体" w:hAnsi="宋体" w:eastAsia="宋体" w:cs="宋体"/>
          <w:color w:val="000000" w:themeColor="text1"/>
          <w:sz w:val="21"/>
          <w:szCs w:val="21"/>
          <w:highlight w:val="none"/>
          <w:u w:val="none"/>
          <w14:textFill>
            <w14:solidFill>
              <w14:schemeClr w14:val="tx1"/>
            </w14:solidFill>
          </w14:textFill>
        </w:rPr>
        <w:t>资料。</w:t>
      </w:r>
    </w:p>
    <w:p w14:paraId="1AE04A0D">
      <w:pPr>
        <w:pStyle w:val="52"/>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必须在</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到达其卸货点的次日10:00前，向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提供该车</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装卸货过程中的相关资料。</w:t>
      </w:r>
    </w:p>
    <w:p w14:paraId="7A88D07B">
      <w:pPr>
        <w:pStyle w:val="52"/>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资料制作要求：（1）运输车辆到达</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装车地点，拍摄装车过程照片，装车照片应清晰显示车牌号码及车辆正在进行</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0B320BA1">
      <w:pPr>
        <w:pStyle w:val="52"/>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资料提交要求：乙方按照本条款的要求进行拍摄、整理每日运输影像资料后，在次日上午10:00前，在甲方“污泥处理处置过程数据管理系统”完成资料上传和数据填报，系统网址：https://www.zywnxt.cn/（网址如有变化以委托人通知为准）</w:t>
      </w:r>
    </w:p>
    <w:p w14:paraId="4B18B31E">
      <w:pPr>
        <w:spacing w:line="360" w:lineRule="auto"/>
        <w:ind w:firstLine="424" w:firstLineChars="202"/>
        <w:contextualSpacing/>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或其指定的第三方运输人员应当配合</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现场人员调度，遵守装车现场安全作业行为规范。</w:t>
      </w:r>
    </w:p>
    <w:p w14:paraId="4560C06B">
      <w:pPr>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车辆及运输人员到达</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贮存点后，一切活动均须服从相关管理要求，包括不限于服从</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委托的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排泥水处理</w:t>
      </w:r>
      <w:r>
        <w:rPr>
          <w:rFonts w:hint="eastAsia" w:ascii="宋体" w:hAnsi="宋体" w:eastAsia="宋体" w:cs="宋体"/>
          <w:color w:val="000000" w:themeColor="text1"/>
          <w:sz w:val="21"/>
          <w:szCs w:val="21"/>
          <w:highlight w:val="none"/>
          <w:u w:val="none"/>
          <w14:textFill>
            <w14:solidFill>
              <w14:schemeClr w14:val="tx1"/>
            </w14:solidFill>
          </w14:textFill>
        </w:rPr>
        <w:t>服务单位、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产生单位）现场管理人员的调度、指挥，遵守现场安全作业行为规范和现场秩序，按要求穿戴个人防护用品，未经</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委托的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排泥水处理</w:t>
      </w:r>
      <w:r>
        <w:rPr>
          <w:rFonts w:hint="eastAsia" w:ascii="宋体" w:hAnsi="宋体" w:eastAsia="宋体" w:cs="宋体"/>
          <w:color w:val="000000" w:themeColor="text1"/>
          <w:sz w:val="21"/>
          <w:szCs w:val="21"/>
          <w:highlight w:val="none"/>
          <w:u w:val="none"/>
          <w14:textFill>
            <w14:solidFill>
              <w14:schemeClr w14:val="tx1"/>
            </w14:solidFill>
          </w14:textFill>
        </w:rPr>
        <w:t>服务单位、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产生单位）同意，不能进入与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装运无关的区域，不得影响</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委托的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排泥水处理</w:t>
      </w:r>
      <w:r>
        <w:rPr>
          <w:rFonts w:hint="eastAsia" w:ascii="宋体" w:hAnsi="宋体" w:eastAsia="宋体" w:cs="宋体"/>
          <w:color w:val="000000" w:themeColor="text1"/>
          <w:sz w:val="21"/>
          <w:szCs w:val="21"/>
          <w:highlight w:val="none"/>
          <w:u w:val="none"/>
          <w14:textFill>
            <w14:solidFill>
              <w14:schemeClr w14:val="tx1"/>
            </w14:solidFill>
          </w14:textFill>
        </w:rPr>
        <w:t>服务单位、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产生单位）的办公、生产、生活等。对不服从管理或存在三违行为的</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车辆及运输人员，</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委托的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排泥水处理</w:t>
      </w:r>
      <w:r>
        <w:rPr>
          <w:rFonts w:hint="eastAsia" w:ascii="宋体" w:hAnsi="宋体" w:eastAsia="宋体" w:cs="宋体"/>
          <w:color w:val="000000" w:themeColor="text1"/>
          <w:sz w:val="21"/>
          <w:szCs w:val="21"/>
          <w:highlight w:val="none"/>
          <w:u w:val="none"/>
          <w14:textFill>
            <w14:solidFill>
              <w14:schemeClr w14:val="tx1"/>
            </w14:solidFill>
          </w14:textFill>
        </w:rPr>
        <w:t>服务单位、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产生单位）有权拒绝其进入。</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给</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（或</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委托人</w:t>
      </w:r>
      <w:r>
        <w:rPr>
          <w:rFonts w:hint="eastAsia" w:ascii="宋体" w:hAnsi="宋体" w:eastAsia="宋体" w:cs="宋体"/>
          <w:color w:val="000000" w:themeColor="text1"/>
          <w:sz w:val="21"/>
          <w:szCs w:val="21"/>
          <w:highlight w:val="none"/>
          <w:u w:val="none"/>
          <w14:textFill>
            <w14:solidFill>
              <w14:schemeClr w14:val="tx1"/>
            </w14:solidFill>
          </w14:textFill>
        </w:rPr>
        <w:t>委托的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排泥水处理</w:t>
      </w:r>
      <w:r>
        <w:rPr>
          <w:rFonts w:hint="eastAsia" w:ascii="宋体" w:hAnsi="宋体" w:eastAsia="宋体" w:cs="宋体"/>
          <w:color w:val="000000" w:themeColor="text1"/>
          <w:sz w:val="21"/>
          <w:szCs w:val="21"/>
          <w:highlight w:val="none"/>
          <w:u w:val="none"/>
          <w14:textFill>
            <w14:solidFill>
              <w14:schemeClr w14:val="tx1"/>
            </w14:solidFill>
          </w14:textFill>
        </w:rPr>
        <w:t>服务单位、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sz w:val="21"/>
          <w:szCs w:val="21"/>
          <w:highlight w:val="none"/>
          <w:u w:val="none"/>
          <w14:textFill>
            <w14:solidFill>
              <w14:schemeClr w14:val="tx1"/>
            </w14:solidFill>
          </w14:textFill>
        </w:rPr>
        <w:t>产生单位）造成的损失，全部由</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u w:val="none"/>
          <w14:textFill>
            <w14:solidFill>
              <w14:schemeClr w14:val="tx1"/>
            </w14:solidFill>
          </w14:textFill>
        </w:rPr>
        <w:t>承担相应责任及赔偿。</w:t>
      </w:r>
    </w:p>
    <w:p w14:paraId="62D6F521">
      <w:pPr>
        <w:spacing w:line="360" w:lineRule="auto"/>
        <w:ind w:firstLine="420" w:firstLineChars="200"/>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none"/>
          <w14:textFill>
            <w14:solidFill>
              <w14:schemeClr w14:val="tx1"/>
            </w14:solidFill>
          </w14:textFill>
        </w:rPr>
        <w:t>常规应急：常态化处置单位出现</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无法满足委托人余泥处置需求</w:t>
      </w:r>
      <w:r>
        <w:rPr>
          <w:rFonts w:hint="eastAsia" w:ascii="宋体" w:hAnsi="宋体" w:eastAsia="宋体" w:cs="宋体"/>
          <w:b/>
          <w:bCs/>
          <w:color w:val="000000" w:themeColor="text1"/>
          <w:sz w:val="21"/>
          <w:szCs w:val="21"/>
          <w:highlight w:val="none"/>
          <w:u w:val="none"/>
          <w14:textFill>
            <w14:solidFill>
              <w14:schemeClr w14:val="tx1"/>
            </w14:solidFill>
          </w14:textFill>
        </w:rPr>
        <w:t>时，委托人可根据实际情况进行应急调配，启用应急处置单位临时承接</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余泥</w:t>
      </w:r>
      <w:r>
        <w:rPr>
          <w:rFonts w:hint="eastAsia" w:ascii="宋体" w:hAnsi="宋体" w:eastAsia="宋体" w:cs="宋体"/>
          <w:b/>
          <w:bCs/>
          <w:color w:val="000000" w:themeColor="text1"/>
          <w:sz w:val="21"/>
          <w:szCs w:val="21"/>
          <w:highlight w:val="none"/>
          <w:u w:val="none"/>
          <w14:textFill>
            <w14:solidFill>
              <w14:schemeClr w14:val="tx1"/>
            </w14:solidFill>
          </w14:textFill>
        </w:rPr>
        <w:t>外运处置工作。</w:t>
      </w:r>
    </w:p>
    <w:p w14:paraId="3738959A">
      <w:pPr>
        <w:spacing w:line="360" w:lineRule="auto"/>
        <w:ind w:firstLine="420" w:firstLineChars="200"/>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处置单位递补：因常态化处置单位原因，导致服务合同解除的，</w:t>
      </w:r>
      <w:r>
        <w:rPr>
          <w:rFonts w:hint="eastAsia" w:ascii="宋体" w:hAnsi="宋体" w:eastAsia="宋体" w:cs="宋体"/>
          <w:b/>
          <w:bCs/>
          <w:color w:val="000000" w:themeColor="text1"/>
          <w:sz w:val="21"/>
          <w:szCs w:val="21"/>
          <w:highlight w:val="none"/>
          <w:u w:val="none"/>
          <w14:textFill>
            <w14:solidFill>
              <w14:schemeClr w14:val="tx1"/>
            </w14:solidFill>
          </w14:textFill>
        </w:rPr>
        <w:t>委托人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按</w:t>
      </w:r>
      <w:r>
        <w:rPr>
          <w:rFonts w:hint="eastAsia" w:ascii="宋体" w:hAnsi="宋体" w:eastAsia="宋体" w:cs="宋体"/>
          <w:b/>
          <w:bCs/>
          <w:color w:val="000000" w:themeColor="text1"/>
          <w:sz w:val="21"/>
          <w:szCs w:val="21"/>
          <w:highlight w:val="none"/>
          <w:u w:val="none"/>
          <w14:textFill>
            <w14:solidFill>
              <w14:schemeClr w14:val="tx1"/>
            </w14:solidFill>
          </w14:textFill>
        </w:rPr>
        <w:t>《成交人名单》，</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递补排序第一的应急处置单位成为新的常态化单位</w:t>
      </w:r>
      <w:r>
        <w:rPr>
          <w:rFonts w:hint="eastAsia" w:ascii="宋体" w:hAnsi="宋体" w:eastAsia="宋体" w:cs="宋体"/>
          <w:b/>
          <w:bCs/>
          <w:color w:val="000000" w:themeColor="text1"/>
          <w:sz w:val="21"/>
          <w:szCs w:val="21"/>
          <w:highlight w:val="none"/>
          <w:u w:val="none"/>
          <w14:textFill>
            <w14:solidFill>
              <w14:schemeClr w14:val="tx1"/>
            </w14:solidFill>
          </w14:textFill>
        </w:rPr>
        <w:t>。</w:t>
      </w:r>
    </w:p>
    <w:bookmarkEnd w:id="650"/>
    <w:bookmarkEnd w:id="651"/>
    <w:p w14:paraId="6DB51ED0">
      <w:pPr>
        <w:spacing w:line="240" w:lineRule="auto"/>
        <w:ind w:firstLine="0" w:firstLineChars="0"/>
        <w:jc w:val="left"/>
        <w:rPr>
          <w:rFonts w:hint="eastAsia" w:ascii="宋体" w:hAnsi="宋体" w:eastAsia="宋体" w:cs="宋体"/>
          <w:color w:val="000000" w:themeColor="text1"/>
          <w:highlight w:val="none"/>
          <w14:textFill>
            <w14:solidFill>
              <w14:schemeClr w14:val="tx1"/>
            </w14:solidFill>
          </w14:textFill>
        </w:rPr>
      </w:pPr>
    </w:p>
    <w:bookmarkEnd w:id="625"/>
    <w:bookmarkEnd w:id="626"/>
    <w:bookmarkEnd w:id="627"/>
    <w:bookmarkEnd w:id="628"/>
    <w:bookmarkEnd w:id="629"/>
    <w:bookmarkEnd w:id="630"/>
    <w:bookmarkEnd w:id="631"/>
    <w:bookmarkEnd w:id="632"/>
    <w:p w14:paraId="3EE0DD34">
      <w:pPr>
        <w:rPr>
          <w:rFonts w:hint="eastAsia" w:ascii="宋体" w:hAnsi="宋体" w:eastAsia="宋体" w:cs="宋体"/>
          <w:color w:val="000000" w:themeColor="text1"/>
          <w:highlight w:val="none"/>
          <w:lang w:val="zh-CN"/>
          <w14:textFill>
            <w14:solidFill>
              <w14:schemeClr w14:val="tx1"/>
            </w14:solidFill>
          </w14:textFill>
        </w:rPr>
      </w:pPr>
    </w:p>
    <w:p w14:paraId="605BAB1A">
      <w:pPr>
        <w:rPr>
          <w:rFonts w:hint="eastAsia" w:ascii="宋体" w:hAnsi="宋体" w:eastAsia="宋体" w:cs="宋体"/>
          <w:color w:val="000000" w:themeColor="text1"/>
          <w:highlight w:val="none"/>
          <w:lang w:val="zh-CN"/>
          <w14:textFill>
            <w14:solidFill>
              <w14:schemeClr w14:val="tx1"/>
            </w14:solidFill>
          </w14:textFill>
        </w:rPr>
      </w:pPr>
    </w:p>
    <w:p w14:paraId="4E40B8A4">
      <w:pPr>
        <w:rPr>
          <w:rFonts w:hint="eastAsia" w:ascii="宋体" w:hAnsi="宋体" w:eastAsia="宋体" w:cs="宋体"/>
          <w:color w:val="000000" w:themeColor="text1"/>
          <w:highlight w:val="none"/>
          <w:lang w:val="zh-CN"/>
          <w14:textFill>
            <w14:solidFill>
              <w14:schemeClr w14:val="tx1"/>
            </w14:solidFill>
          </w14:textFill>
        </w:rPr>
      </w:pPr>
    </w:p>
    <w:p w14:paraId="593B49C8">
      <w:pPr>
        <w:rPr>
          <w:rFonts w:hint="eastAsia" w:ascii="宋体" w:hAnsi="宋体" w:eastAsia="宋体" w:cs="宋体"/>
          <w:color w:val="000000" w:themeColor="text1"/>
          <w:highlight w:val="none"/>
          <w:lang w:val="zh-CN"/>
          <w14:textFill>
            <w14:solidFill>
              <w14:schemeClr w14:val="tx1"/>
            </w14:solidFill>
          </w14:textFill>
        </w:rPr>
      </w:pPr>
    </w:p>
    <w:p w14:paraId="41AA29C4">
      <w:pPr>
        <w:rPr>
          <w:rFonts w:hint="eastAsia" w:ascii="宋体" w:hAnsi="宋体" w:eastAsia="宋体" w:cs="宋体"/>
          <w:color w:val="000000" w:themeColor="text1"/>
          <w:highlight w:val="none"/>
          <w:lang w:val="zh-CN"/>
          <w14:textFill>
            <w14:solidFill>
              <w14:schemeClr w14:val="tx1"/>
            </w14:solidFill>
          </w14:textFill>
        </w:rPr>
      </w:pPr>
    </w:p>
    <w:p w14:paraId="37291003">
      <w:pPr>
        <w:rPr>
          <w:rFonts w:hint="eastAsia" w:ascii="宋体" w:hAnsi="宋体" w:eastAsia="宋体" w:cs="宋体"/>
          <w:color w:val="000000" w:themeColor="text1"/>
          <w:highlight w:val="none"/>
          <w:lang w:val="zh-CN"/>
          <w14:textFill>
            <w14:solidFill>
              <w14:schemeClr w14:val="tx1"/>
            </w14:solidFill>
          </w14:textFill>
        </w:rPr>
      </w:pPr>
    </w:p>
    <w:p w14:paraId="72589202">
      <w:pPr>
        <w:rPr>
          <w:rFonts w:hint="eastAsia" w:ascii="宋体" w:hAnsi="宋体" w:eastAsia="宋体" w:cs="宋体"/>
          <w:color w:val="000000" w:themeColor="text1"/>
          <w:highlight w:val="none"/>
          <w:lang w:val="zh-CN"/>
          <w14:textFill>
            <w14:solidFill>
              <w14:schemeClr w14:val="tx1"/>
            </w14:solidFill>
          </w14:textFill>
        </w:rPr>
      </w:pPr>
    </w:p>
    <w:p w14:paraId="49DB8620">
      <w:pPr>
        <w:rPr>
          <w:rFonts w:hint="eastAsia" w:ascii="宋体" w:hAnsi="宋体" w:eastAsia="宋体" w:cs="宋体"/>
          <w:color w:val="000000" w:themeColor="text1"/>
          <w:highlight w:val="none"/>
          <w:lang w:val="zh-CN"/>
          <w14:textFill>
            <w14:solidFill>
              <w14:schemeClr w14:val="tx1"/>
            </w14:solidFill>
          </w14:textFill>
        </w:rPr>
      </w:pPr>
    </w:p>
    <w:p w14:paraId="5A518395">
      <w:pPr>
        <w:rPr>
          <w:rFonts w:hint="eastAsia" w:ascii="宋体" w:hAnsi="宋体" w:eastAsia="宋体" w:cs="宋体"/>
          <w:color w:val="000000" w:themeColor="text1"/>
          <w:highlight w:val="none"/>
          <w:lang w:val="zh-CN"/>
          <w14:textFill>
            <w14:solidFill>
              <w14:schemeClr w14:val="tx1"/>
            </w14:solidFill>
          </w14:textFill>
        </w:rPr>
      </w:pPr>
    </w:p>
    <w:p w14:paraId="4886A315">
      <w:pPr>
        <w:rPr>
          <w:rFonts w:hint="eastAsia" w:ascii="宋体" w:hAnsi="宋体" w:eastAsia="宋体" w:cs="宋体"/>
          <w:color w:val="000000" w:themeColor="text1"/>
          <w:highlight w:val="none"/>
          <w:lang w:val="zh-CN"/>
          <w14:textFill>
            <w14:solidFill>
              <w14:schemeClr w14:val="tx1"/>
            </w14:solidFill>
          </w14:textFill>
        </w:rPr>
      </w:pPr>
    </w:p>
    <w:p w14:paraId="08A95BF9">
      <w:pPr>
        <w:rPr>
          <w:rFonts w:hint="eastAsia" w:ascii="宋体" w:hAnsi="宋体" w:eastAsia="宋体" w:cs="宋体"/>
          <w:color w:val="000000" w:themeColor="text1"/>
          <w:highlight w:val="none"/>
          <w:lang w:val="zh-CN"/>
          <w14:textFill>
            <w14:solidFill>
              <w14:schemeClr w14:val="tx1"/>
            </w14:solidFill>
          </w14:textFill>
        </w:rPr>
      </w:pPr>
    </w:p>
    <w:p w14:paraId="55710518">
      <w:pPr>
        <w:rPr>
          <w:rFonts w:hint="eastAsia" w:ascii="宋体" w:hAnsi="宋体" w:eastAsia="宋体" w:cs="宋体"/>
          <w:color w:val="000000" w:themeColor="text1"/>
          <w:highlight w:val="none"/>
          <w:lang w:val="zh-CN"/>
          <w14:textFill>
            <w14:solidFill>
              <w14:schemeClr w14:val="tx1"/>
            </w14:solidFill>
          </w14:textFill>
        </w:rPr>
      </w:pPr>
    </w:p>
    <w:p w14:paraId="2319991A">
      <w:pPr>
        <w:pStyle w:val="4"/>
        <w:pageBreakBefore/>
        <w:tabs>
          <w:tab w:val="left" w:pos="1080"/>
        </w:tabs>
        <w:spacing w:line="360" w:lineRule="auto"/>
        <w:ind w:left="0" w:firstLine="0" w:firstLineChars="0"/>
        <w:jc w:val="center"/>
        <w:rPr>
          <w:rFonts w:hint="eastAsia" w:ascii="宋体" w:hAnsi="宋体" w:eastAsia="宋体" w:cs="宋体"/>
          <w:b/>
          <w:bCs/>
          <w:color w:val="000000" w:themeColor="text1"/>
          <w:kern w:val="44"/>
          <w:sz w:val="32"/>
          <w:szCs w:val="32"/>
          <w:highlight w:val="none"/>
          <w:lang w:val="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章</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Start w:id="652" w:name="_Toc31505"/>
      <w:bookmarkStart w:id="653" w:name="_Toc86"/>
      <w:bookmarkStart w:id="654" w:name="_Toc30750"/>
      <w:bookmarkStart w:id="655" w:name="_Toc178"/>
      <w:bookmarkStart w:id="656" w:name="_Toc47013188"/>
      <w:bookmarkStart w:id="657" w:name="_Toc5611"/>
      <w:bookmarkStart w:id="658" w:name="_Toc47514386"/>
      <w:bookmarkStart w:id="659" w:name="_Toc19375"/>
      <w:bookmarkStart w:id="660" w:name="_Toc46985645"/>
      <w:bookmarkStart w:id="661" w:name="_Toc24297"/>
      <w:bookmarkStart w:id="662" w:name="_Toc32478"/>
      <w:bookmarkStart w:id="663" w:name="_Toc18858"/>
      <w:bookmarkStart w:id="664" w:name="_Toc19327"/>
      <w:bookmarkStart w:id="665" w:name="_Toc450662895"/>
      <w:bookmarkStart w:id="666" w:name="_Toc521918113"/>
      <w:r>
        <w:rPr>
          <w:rFonts w:hint="eastAsia" w:ascii="宋体" w:hAnsi="宋体" w:eastAsia="宋体" w:cs="宋体"/>
          <w:b/>
          <w:bCs/>
          <w:color w:val="000000" w:themeColor="text1"/>
          <w:kern w:val="44"/>
          <w:sz w:val="32"/>
          <w:szCs w:val="32"/>
          <w:highlight w:val="none"/>
          <w:lang w:val="zh-CN"/>
          <w14:textFill>
            <w14:solidFill>
              <w14:schemeClr w14:val="tx1"/>
            </w14:solidFill>
          </w14:textFill>
        </w:rPr>
        <w:t xml:space="preserve"> 合同条款格式</w:t>
      </w:r>
      <w:bookmarkEnd w:id="647"/>
      <w:bookmarkEnd w:id="648"/>
      <w:bookmarkEnd w:id="649"/>
      <w:bookmarkEnd w:id="652"/>
      <w:bookmarkEnd w:id="653"/>
      <w:bookmarkEnd w:id="654"/>
      <w:bookmarkEnd w:id="655"/>
      <w:bookmarkEnd w:id="656"/>
      <w:bookmarkEnd w:id="657"/>
      <w:bookmarkEnd w:id="658"/>
      <w:bookmarkEnd w:id="659"/>
      <w:bookmarkEnd w:id="660"/>
      <w:bookmarkEnd w:id="661"/>
      <w:bookmarkEnd w:id="662"/>
      <w:bookmarkEnd w:id="663"/>
      <w:bookmarkEnd w:id="664"/>
    </w:p>
    <w:p w14:paraId="32AD6476">
      <w:pPr>
        <w:rPr>
          <w:rFonts w:hint="eastAsia" w:ascii="宋体" w:hAnsi="宋体" w:eastAsia="宋体" w:cs="宋体"/>
          <w:color w:val="000000" w:themeColor="text1"/>
          <w:sz w:val="28"/>
          <w:szCs w:val="28"/>
          <w:highlight w:val="none"/>
          <w14:textFill>
            <w14:solidFill>
              <w14:schemeClr w14:val="tx1"/>
            </w14:solidFill>
          </w14:textFill>
        </w:rPr>
      </w:pPr>
      <w:bookmarkStart w:id="667" w:name="_Toc26019"/>
      <w:bookmarkStart w:id="668" w:name="_Toc46985646"/>
      <w:bookmarkStart w:id="669" w:name="_Toc8215"/>
      <w:bookmarkStart w:id="670" w:name="_Toc30058"/>
      <w:bookmarkStart w:id="671" w:name="_Toc7770"/>
      <w:bookmarkStart w:id="672" w:name="_Toc20686"/>
      <w:bookmarkStart w:id="673" w:name="_Toc19556"/>
      <w:bookmarkStart w:id="674" w:name="_Toc47514387"/>
      <w:bookmarkStart w:id="675" w:name="_Toc1110"/>
      <w:bookmarkStart w:id="676" w:name="_Toc23209"/>
      <w:bookmarkStart w:id="677" w:name="_Toc22192"/>
      <w:bookmarkStart w:id="678" w:name="_Toc10518"/>
      <w:bookmarkStart w:id="679" w:name="_Toc47013189"/>
    </w:p>
    <w:p w14:paraId="24F53ECE">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680" w:name="_Toc3153"/>
    </w:p>
    <w:bookmarkEnd w:id="680"/>
    <w:p w14:paraId="340597BE">
      <w:pPr>
        <w:rPr>
          <w:rFonts w:hint="eastAsia" w:ascii="宋体" w:hAnsi="宋体" w:eastAsia="宋体" w:cs="宋体"/>
          <w:color w:val="000000" w:themeColor="text1"/>
          <w:sz w:val="28"/>
          <w:szCs w:val="28"/>
          <w:highlight w:val="none"/>
          <w14:textFill>
            <w14:solidFill>
              <w14:schemeClr w14:val="tx1"/>
            </w14:solidFill>
          </w14:textFill>
        </w:rPr>
      </w:pPr>
    </w:p>
    <w:p w14:paraId="7DA1B957">
      <w:pPr>
        <w:jc w:val="both"/>
        <w:rPr>
          <w:rFonts w:hint="eastAsia" w:ascii="宋体" w:hAnsi="宋体" w:eastAsia="宋体" w:cs="宋体"/>
          <w:b/>
          <w:bCs/>
          <w:sz w:val="44"/>
          <w:szCs w:val="44"/>
        </w:rPr>
      </w:pPr>
      <w:bookmarkStart w:id="681" w:name="_Toc303"/>
    </w:p>
    <w:p w14:paraId="61180003">
      <w:pPr>
        <w:jc w:val="center"/>
        <w:rPr>
          <w:rFonts w:hint="eastAsia" w:ascii="宋体" w:hAnsi="宋体" w:eastAsia="宋体" w:cs="宋体"/>
          <w:b/>
          <w:bCs/>
          <w:sz w:val="44"/>
          <w:szCs w:val="44"/>
        </w:rPr>
      </w:pPr>
    </w:p>
    <w:p w14:paraId="6268E753">
      <w:pPr>
        <w:jc w:val="center"/>
        <w:rPr>
          <w:rFonts w:hint="eastAsia" w:ascii="宋体" w:hAnsi="宋体" w:eastAsia="宋体" w:cs="宋体"/>
          <w:b/>
          <w:bCs/>
          <w:sz w:val="44"/>
          <w:szCs w:val="44"/>
        </w:rPr>
      </w:pPr>
    </w:p>
    <w:p w14:paraId="5ABFB4BC">
      <w:pPr>
        <w:jc w:val="center"/>
        <w:rPr>
          <w:rFonts w:hint="eastAsia" w:ascii="宋体" w:hAnsi="宋体" w:eastAsia="宋体" w:cs="宋体"/>
          <w:b/>
          <w:bCs/>
          <w:sz w:val="44"/>
          <w:szCs w:val="44"/>
        </w:rPr>
      </w:pPr>
      <w:r>
        <w:rPr>
          <w:rFonts w:hint="eastAsia" w:ascii="宋体" w:hAnsi="宋体" w:eastAsia="宋体" w:cs="宋体"/>
          <w:b/>
          <w:bCs/>
          <w:sz w:val="44"/>
          <w:szCs w:val="44"/>
        </w:rPr>
        <w:t>东莞市众源环境投资有限公司12家</w:t>
      </w:r>
      <w:r>
        <w:rPr>
          <w:rFonts w:hint="eastAsia" w:ascii="宋体" w:hAnsi="宋体" w:eastAsia="宋体" w:cs="宋体"/>
          <w:b/>
          <w:bCs/>
          <w:sz w:val="44"/>
          <w:szCs w:val="44"/>
          <w:lang w:val="en-US" w:eastAsia="zh-CN"/>
        </w:rPr>
        <w:t>等</w:t>
      </w:r>
      <w:r>
        <w:rPr>
          <w:rFonts w:hint="eastAsia" w:ascii="宋体" w:hAnsi="宋体" w:eastAsia="宋体" w:cs="宋体"/>
          <w:b/>
          <w:bCs/>
          <w:sz w:val="44"/>
          <w:szCs w:val="44"/>
        </w:rPr>
        <w:t>供水厂余泥</w:t>
      </w:r>
    </w:p>
    <w:p w14:paraId="452317F5">
      <w:pPr>
        <w:jc w:val="center"/>
        <w:rPr>
          <w:rFonts w:hint="eastAsia" w:ascii="宋体" w:hAnsi="宋体" w:eastAsia="宋体" w:cs="宋体"/>
        </w:rPr>
      </w:pPr>
      <w:r>
        <w:rPr>
          <w:rFonts w:hint="eastAsia" w:ascii="宋体" w:hAnsi="宋体" w:eastAsia="宋体" w:cs="宋体"/>
          <w:b/>
          <w:bCs/>
          <w:sz w:val="44"/>
          <w:szCs w:val="44"/>
        </w:rPr>
        <w:t>外运处置服务合同(常态化/应急）</w:t>
      </w:r>
    </w:p>
    <w:p w14:paraId="4369567C">
      <w:pPr>
        <w:rPr>
          <w:rFonts w:hint="eastAsia" w:ascii="宋体" w:hAnsi="宋体" w:eastAsia="宋体" w:cs="宋体"/>
        </w:rPr>
      </w:pPr>
    </w:p>
    <w:p w14:paraId="7A45EBFC">
      <w:pPr>
        <w:rPr>
          <w:rFonts w:hint="eastAsia" w:ascii="宋体" w:hAnsi="宋体" w:eastAsia="宋体" w:cs="宋体"/>
        </w:rPr>
      </w:pPr>
    </w:p>
    <w:p w14:paraId="6F0E1323">
      <w:pPr>
        <w:rPr>
          <w:rFonts w:hint="eastAsia" w:ascii="宋体" w:hAnsi="宋体" w:eastAsia="宋体" w:cs="宋体"/>
        </w:rPr>
      </w:pPr>
    </w:p>
    <w:p w14:paraId="0EF1C0AC">
      <w:pPr>
        <w:rPr>
          <w:rFonts w:hint="eastAsia" w:ascii="宋体" w:hAnsi="宋体" w:eastAsia="宋体" w:cs="宋体"/>
        </w:rPr>
      </w:pPr>
    </w:p>
    <w:p w14:paraId="4FBF0417">
      <w:pPr>
        <w:rPr>
          <w:rFonts w:hint="eastAsia" w:ascii="宋体" w:hAnsi="宋体" w:eastAsia="宋体" w:cs="宋体"/>
        </w:rPr>
      </w:pPr>
    </w:p>
    <w:p w14:paraId="2399F9F3">
      <w:pPr>
        <w:rPr>
          <w:rFonts w:hint="eastAsia" w:ascii="宋体" w:hAnsi="宋体" w:eastAsia="宋体" w:cs="宋体"/>
        </w:rPr>
      </w:pPr>
    </w:p>
    <w:p w14:paraId="6C06A9B7">
      <w:pPr>
        <w:rPr>
          <w:rFonts w:hint="eastAsia" w:ascii="宋体" w:hAnsi="宋体" w:eastAsia="宋体" w:cs="宋体"/>
        </w:rPr>
      </w:pPr>
    </w:p>
    <w:p w14:paraId="62396221">
      <w:pPr>
        <w:rPr>
          <w:rFonts w:hint="eastAsia" w:ascii="宋体" w:hAnsi="宋体" w:eastAsia="宋体" w:cs="宋体"/>
        </w:rPr>
      </w:pPr>
    </w:p>
    <w:p w14:paraId="21408247">
      <w:pPr>
        <w:rPr>
          <w:rFonts w:hint="eastAsia" w:ascii="宋体" w:hAnsi="宋体" w:eastAsia="宋体" w:cs="宋体"/>
        </w:rPr>
      </w:pPr>
    </w:p>
    <w:p w14:paraId="6A3DECFE">
      <w:pPr>
        <w:rPr>
          <w:rFonts w:hint="eastAsia" w:ascii="宋体" w:hAnsi="宋体" w:eastAsia="宋体" w:cs="宋体"/>
        </w:rPr>
      </w:pPr>
    </w:p>
    <w:p w14:paraId="51168AF5">
      <w:pPr>
        <w:pStyle w:val="23"/>
        <w:rPr>
          <w:rFonts w:hint="eastAsia" w:ascii="宋体" w:hAnsi="宋体" w:eastAsia="宋体" w:cs="宋体"/>
        </w:rPr>
      </w:pPr>
    </w:p>
    <w:p w14:paraId="48982F41">
      <w:pPr>
        <w:rPr>
          <w:rFonts w:hint="eastAsia" w:ascii="宋体" w:hAnsi="宋体" w:eastAsia="宋体" w:cs="宋体"/>
        </w:rPr>
      </w:pPr>
    </w:p>
    <w:p w14:paraId="05A38CCB">
      <w:pPr>
        <w:rPr>
          <w:rFonts w:hint="eastAsia" w:ascii="宋体" w:hAnsi="宋体" w:eastAsia="宋体" w:cs="宋体"/>
        </w:rPr>
      </w:pPr>
    </w:p>
    <w:p w14:paraId="04CF0FFF">
      <w:pPr>
        <w:pStyle w:val="23"/>
        <w:rPr>
          <w:rFonts w:hint="eastAsia" w:ascii="宋体" w:hAnsi="宋体" w:eastAsia="宋体" w:cs="宋体"/>
        </w:rPr>
      </w:pPr>
    </w:p>
    <w:p w14:paraId="27E01E62">
      <w:pPr>
        <w:pStyle w:val="23"/>
        <w:rPr>
          <w:rFonts w:hint="eastAsia" w:ascii="宋体" w:hAnsi="宋体" w:eastAsia="宋体" w:cs="宋体"/>
        </w:rPr>
      </w:pPr>
    </w:p>
    <w:p w14:paraId="55C89306">
      <w:pPr>
        <w:rPr>
          <w:rFonts w:hint="eastAsia" w:ascii="宋体" w:hAnsi="宋体" w:eastAsia="宋体" w:cs="宋体"/>
        </w:rPr>
      </w:pPr>
    </w:p>
    <w:p w14:paraId="79A0D2E3">
      <w:pPr>
        <w:rPr>
          <w:rFonts w:hint="eastAsia" w:ascii="宋体" w:hAnsi="宋体" w:eastAsia="宋体" w:cs="宋体"/>
        </w:rPr>
      </w:pPr>
    </w:p>
    <w:p w14:paraId="13FCADF2">
      <w:pPr>
        <w:rPr>
          <w:rFonts w:hint="eastAsia" w:ascii="宋体" w:hAnsi="宋体" w:eastAsia="宋体" w:cs="宋体"/>
        </w:rPr>
      </w:pPr>
    </w:p>
    <w:p w14:paraId="504EEFF6">
      <w:pPr>
        <w:spacing w:line="360" w:lineRule="auto"/>
        <w:ind w:firstLine="957" w:firstLineChars="342"/>
        <w:rPr>
          <w:rFonts w:hint="eastAsia" w:ascii="宋体" w:hAnsi="宋体" w:eastAsia="宋体" w:cs="宋体"/>
          <w:sz w:val="28"/>
          <w:szCs w:val="28"/>
          <w:u w:val="single"/>
        </w:rPr>
      </w:pPr>
      <w:r>
        <w:rPr>
          <w:rFonts w:hint="eastAsia" w:ascii="宋体" w:hAnsi="宋体" w:eastAsia="宋体" w:cs="宋体"/>
          <w:sz w:val="28"/>
          <w:szCs w:val="28"/>
        </w:rPr>
        <w:t>合同编号：</w:t>
      </w:r>
      <w:r>
        <w:rPr>
          <w:rFonts w:hint="eastAsia" w:ascii="宋体" w:hAnsi="宋体" w:eastAsia="宋体" w:cs="宋体"/>
          <w:sz w:val="28"/>
          <w:szCs w:val="28"/>
          <w:u w:val="single"/>
        </w:rPr>
        <w:t xml:space="preserve">                              </w:t>
      </w:r>
    </w:p>
    <w:p w14:paraId="22E91A9B">
      <w:pPr>
        <w:spacing w:line="360" w:lineRule="auto"/>
        <w:ind w:firstLine="957" w:firstLineChars="342"/>
        <w:rPr>
          <w:rFonts w:hint="eastAsia" w:ascii="宋体" w:hAnsi="宋体" w:eastAsia="宋体" w:cs="宋体"/>
          <w:sz w:val="28"/>
          <w:szCs w:val="28"/>
        </w:rPr>
      </w:pPr>
      <w:r>
        <w:rPr>
          <w:rFonts w:hint="eastAsia" w:ascii="宋体" w:hAnsi="宋体" w:eastAsia="宋体" w:cs="宋体"/>
          <w:sz w:val="28"/>
          <w:szCs w:val="28"/>
        </w:rPr>
        <w:t>委托方（甲方）：</w:t>
      </w:r>
      <w:r>
        <w:rPr>
          <w:rFonts w:hint="eastAsia" w:ascii="宋体" w:hAnsi="宋体" w:eastAsia="宋体" w:cs="宋体"/>
          <w:sz w:val="28"/>
          <w:szCs w:val="28"/>
          <w:u w:val="single"/>
        </w:rPr>
        <w:t>东莞市众源环境投资有限公司</w:t>
      </w:r>
    </w:p>
    <w:p w14:paraId="57A21B75">
      <w:pPr>
        <w:spacing w:line="360" w:lineRule="auto"/>
        <w:ind w:firstLine="957" w:firstLineChars="342"/>
        <w:rPr>
          <w:rFonts w:hint="eastAsia" w:ascii="宋体" w:hAnsi="宋体" w:eastAsia="宋体" w:cs="宋体"/>
          <w:sz w:val="28"/>
          <w:szCs w:val="28"/>
          <w:u w:val="single"/>
        </w:rPr>
      </w:pPr>
      <w:r>
        <w:rPr>
          <w:rFonts w:hint="eastAsia" w:ascii="宋体" w:hAnsi="宋体" w:eastAsia="宋体" w:cs="宋体"/>
          <w:sz w:val="28"/>
          <w:szCs w:val="28"/>
        </w:rPr>
        <w:t>服务方（乙方）：</w:t>
      </w:r>
      <w:r>
        <w:rPr>
          <w:rFonts w:hint="eastAsia" w:ascii="宋体" w:hAnsi="宋体" w:eastAsia="宋体" w:cs="宋体"/>
          <w:sz w:val="28"/>
          <w:szCs w:val="28"/>
          <w:u w:val="single"/>
        </w:rPr>
        <w:t xml:space="preserve">                          </w:t>
      </w:r>
    </w:p>
    <w:p w14:paraId="16A9EC6C">
      <w:pPr>
        <w:spacing w:line="360" w:lineRule="auto"/>
        <w:ind w:firstLine="560" w:firstLineChars="200"/>
        <w:rPr>
          <w:rFonts w:hint="eastAsia" w:ascii="宋体" w:hAnsi="宋体" w:eastAsia="宋体" w:cs="宋体"/>
          <w:sz w:val="28"/>
          <w:szCs w:val="28"/>
        </w:rPr>
      </w:pPr>
    </w:p>
    <w:p w14:paraId="0BCB9ABA">
      <w:pPr>
        <w:spacing w:line="360" w:lineRule="auto"/>
        <w:ind w:firstLine="1820" w:firstLineChars="650"/>
        <w:rPr>
          <w:rFonts w:hint="eastAsia" w:ascii="宋体" w:hAnsi="宋体" w:eastAsia="宋体" w:cs="宋体"/>
          <w:sz w:val="28"/>
          <w:szCs w:val="28"/>
        </w:rPr>
      </w:pPr>
      <w:r>
        <w:rPr>
          <w:rFonts w:hint="eastAsia" w:ascii="宋体" w:hAnsi="宋体" w:eastAsia="宋体" w:cs="宋体"/>
          <w:sz w:val="28"/>
          <w:szCs w:val="28"/>
        </w:rPr>
        <w:t>签订日期：   年   月   日</w:t>
      </w:r>
    </w:p>
    <w:p w14:paraId="305E624E">
      <w:pPr>
        <w:pageBreakBefore/>
        <w:widowControl/>
        <w:spacing w:line="360" w:lineRule="auto"/>
        <w:rPr>
          <w:rFonts w:hint="eastAsia" w:ascii="宋体" w:hAnsi="宋体" w:eastAsia="宋体" w:cs="宋体"/>
          <w:sz w:val="21"/>
          <w:szCs w:val="21"/>
        </w:rPr>
      </w:pPr>
      <w:r>
        <w:rPr>
          <w:rFonts w:hint="eastAsia" w:ascii="宋体" w:hAnsi="宋体" w:eastAsia="宋体" w:cs="宋体"/>
          <w:b/>
          <w:bCs/>
          <w:sz w:val="21"/>
          <w:szCs w:val="21"/>
        </w:rPr>
        <w:t xml:space="preserve">委托方（甲方）： 东莞市众源环境投资有限公司 </w:t>
      </w:r>
    </w:p>
    <w:p w14:paraId="0AAA811F">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10ADB4D4">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住所： </w:t>
      </w:r>
    </w:p>
    <w:p w14:paraId="27A7980C">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6C97859B">
      <w:pPr>
        <w:widowControl/>
        <w:spacing w:line="360" w:lineRule="auto"/>
        <w:rPr>
          <w:rFonts w:hint="eastAsia" w:ascii="宋体" w:hAnsi="宋体" w:eastAsia="宋体" w:cs="宋体"/>
          <w:b/>
          <w:bCs/>
          <w:sz w:val="21"/>
          <w:szCs w:val="21"/>
        </w:rPr>
      </w:pPr>
    </w:p>
    <w:p w14:paraId="1D300E5D">
      <w:pPr>
        <w:widowControl/>
        <w:spacing w:line="360" w:lineRule="auto"/>
        <w:rPr>
          <w:rFonts w:hint="eastAsia" w:ascii="宋体" w:hAnsi="宋体" w:eastAsia="宋体" w:cs="宋体"/>
          <w:sz w:val="21"/>
          <w:szCs w:val="21"/>
        </w:rPr>
      </w:pPr>
      <w:r>
        <w:rPr>
          <w:rFonts w:hint="eastAsia" w:ascii="宋体" w:hAnsi="宋体" w:eastAsia="宋体" w:cs="宋体"/>
          <w:b/>
          <w:bCs/>
          <w:sz w:val="21"/>
          <w:szCs w:val="21"/>
        </w:rPr>
        <w:t xml:space="preserve">服务方（乙方）： </w:t>
      </w:r>
    </w:p>
    <w:p w14:paraId="6C993C18">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125F0AD7">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住所： </w:t>
      </w:r>
    </w:p>
    <w:p w14:paraId="34179B17">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60692BEC">
      <w:pPr>
        <w:widowControl/>
        <w:spacing w:line="360" w:lineRule="auto"/>
        <w:ind w:firstLine="420" w:firstLineChars="200"/>
        <w:rPr>
          <w:rFonts w:hint="eastAsia" w:ascii="宋体" w:hAnsi="宋体" w:eastAsia="宋体" w:cs="宋体"/>
          <w:sz w:val="21"/>
          <w:szCs w:val="21"/>
        </w:rPr>
      </w:pPr>
    </w:p>
    <w:p w14:paraId="77244BA1">
      <w:pPr>
        <w:tabs>
          <w:tab w:val="left" w:pos="0"/>
        </w:tabs>
        <w:spacing w:line="360" w:lineRule="auto"/>
        <w:ind w:right="-34" w:firstLine="420" w:firstLineChars="200"/>
        <w:jc w:val="both"/>
        <w:rPr>
          <w:rFonts w:hint="eastAsia" w:ascii="宋体" w:hAnsi="宋体" w:eastAsia="宋体" w:cs="宋体"/>
          <w:kern w:val="2"/>
          <w:sz w:val="21"/>
          <w:szCs w:val="21"/>
          <w:lang w:val="zh-CN"/>
        </w:rPr>
      </w:pPr>
      <w:r>
        <w:rPr>
          <w:rFonts w:hint="eastAsia" w:ascii="宋体" w:hAnsi="宋体" w:eastAsia="宋体" w:cs="宋体"/>
          <w:sz w:val="21"/>
          <w:szCs w:val="21"/>
        </w:rPr>
        <w:t>基于甲方通过公开征集方式确定乙方为东莞市众源环境投资有限公司XXXXX的供应商，现根据双方于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日签订的《</w:t>
      </w:r>
      <w:r>
        <w:rPr>
          <w:rFonts w:hint="eastAsia" w:ascii="宋体" w:hAnsi="宋体" w:eastAsia="宋体" w:cs="宋体"/>
          <w:color w:val="000000"/>
          <w:sz w:val="21"/>
          <w:szCs w:val="21"/>
          <w:lang w:bidi="ar"/>
        </w:rPr>
        <w:t>东莞市众源环境投资有限公司XXX</w:t>
      </w:r>
      <w:r>
        <w:rPr>
          <w:rFonts w:hint="eastAsia" w:ascii="宋体" w:hAnsi="宋体" w:eastAsia="宋体" w:cs="宋体"/>
          <w:sz w:val="21"/>
          <w:szCs w:val="21"/>
        </w:rPr>
        <w:t>》（合同编号：</w:t>
      </w:r>
      <w:r>
        <w:rPr>
          <w:rFonts w:hint="eastAsia" w:ascii="宋体" w:hAnsi="宋体" w:eastAsia="宋体" w:cs="宋体"/>
          <w:sz w:val="21"/>
          <w:szCs w:val="21"/>
          <w:u w:val="single"/>
        </w:rPr>
        <w:t xml:space="preserve">       ，以下简称“入库合同”</w:t>
      </w:r>
      <w:r>
        <w:rPr>
          <w:rFonts w:hint="eastAsia" w:ascii="宋体" w:hAnsi="宋体" w:eastAsia="宋体" w:cs="宋体"/>
          <w:sz w:val="21"/>
          <w:szCs w:val="21"/>
        </w:rPr>
        <w:t>）和《东莞市众源环境投资有限公司12家</w:t>
      </w:r>
      <w:r>
        <w:rPr>
          <w:rFonts w:hint="eastAsia" w:ascii="宋体" w:hAnsi="宋体" w:eastAsia="宋体" w:cs="宋体"/>
          <w:sz w:val="21"/>
          <w:szCs w:val="21"/>
          <w:lang w:val="en-US" w:eastAsia="zh-CN"/>
        </w:rPr>
        <w:t>等</w:t>
      </w:r>
      <w:r>
        <w:rPr>
          <w:rFonts w:hint="eastAsia" w:ascii="宋体" w:hAnsi="宋体" w:eastAsia="宋体" w:cs="宋体"/>
          <w:sz w:val="21"/>
          <w:szCs w:val="21"/>
        </w:rPr>
        <w:t>供水厂余泥外运处置项目》分配结果，就东莞市众源环境投</w:t>
      </w:r>
      <w:r>
        <w:rPr>
          <w:rFonts w:hint="eastAsia" w:ascii="宋体" w:hAnsi="宋体" w:eastAsia="宋体" w:cs="宋体"/>
          <w:color w:val="000000"/>
          <w:sz w:val="21"/>
          <w:szCs w:val="21"/>
        </w:rPr>
        <w:t>资有限公司12家</w:t>
      </w:r>
      <w:r>
        <w:rPr>
          <w:rFonts w:hint="eastAsia" w:ascii="宋体" w:hAnsi="宋体" w:eastAsia="宋体" w:cs="宋体"/>
          <w:color w:val="000000"/>
          <w:sz w:val="21"/>
          <w:szCs w:val="21"/>
          <w:lang w:val="en-US" w:eastAsia="zh-CN"/>
        </w:rPr>
        <w:t>等</w:t>
      </w:r>
      <w:r>
        <w:rPr>
          <w:rFonts w:hint="eastAsia" w:ascii="宋体" w:hAnsi="宋体" w:eastAsia="宋体" w:cs="宋体"/>
          <w:sz w:val="21"/>
          <w:szCs w:val="21"/>
        </w:rPr>
        <w:t>供水厂余泥外运处置项目（常态化/应急）处置服务，甲乙双方本着诚实守信、平等互利的原则，结合《中华人民共和国民法典》及其他有关法律、行政法规，经平等协商，就余泥处置事宜，订立本合同。</w:t>
      </w:r>
    </w:p>
    <w:p w14:paraId="68DDECBB">
      <w:pPr>
        <w:widowControl/>
        <w:spacing w:line="360" w:lineRule="auto"/>
        <w:rPr>
          <w:rFonts w:hint="eastAsia" w:ascii="宋体" w:hAnsi="宋体" w:eastAsia="宋体" w:cs="宋体"/>
          <w:b/>
          <w:bCs/>
          <w:sz w:val="21"/>
          <w:szCs w:val="21"/>
        </w:rPr>
      </w:pPr>
    </w:p>
    <w:p w14:paraId="3A16B20B">
      <w:pPr>
        <w:spacing w:line="360" w:lineRule="auto"/>
        <w:rPr>
          <w:rFonts w:hint="eastAsia" w:ascii="宋体" w:hAnsi="宋体" w:eastAsia="宋体" w:cs="宋体"/>
          <w:b/>
          <w:sz w:val="21"/>
          <w:szCs w:val="21"/>
        </w:rPr>
      </w:pPr>
      <w:bookmarkStart w:id="682" w:name="_Toc56076610"/>
      <w:r>
        <w:rPr>
          <w:rFonts w:hint="eastAsia" w:ascii="宋体" w:hAnsi="宋体" w:eastAsia="宋体" w:cs="宋体"/>
          <w:b/>
          <w:sz w:val="21"/>
          <w:szCs w:val="21"/>
        </w:rPr>
        <w:t>第一条 服务内容</w:t>
      </w:r>
      <w:bookmarkEnd w:id="682"/>
    </w:p>
    <w:p w14:paraId="1F316894">
      <w:pPr>
        <w:spacing w:line="360" w:lineRule="auto"/>
        <w:ind w:firstLine="420" w:firstLineChars="200"/>
        <w:rPr>
          <w:rFonts w:hint="eastAsia" w:ascii="宋体" w:hAnsi="宋体" w:eastAsia="宋体" w:cs="宋体"/>
          <w:sz w:val="21"/>
          <w:szCs w:val="21"/>
        </w:rPr>
      </w:pPr>
      <w:bookmarkStart w:id="683" w:name="_Toc56076611"/>
      <w:r>
        <w:rPr>
          <w:rFonts w:hint="eastAsia" w:ascii="宋体" w:hAnsi="宋体" w:eastAsia="宋体" w:cs="宋体"/>
          <w:sz w:val="21"/>
          <w:szCs w:val="21"/>
        </w:rPr>
        <w:t>1.1 合同范围：乙方将甲方指定供水厂的排泥水余泥运输至乙方在东莞市行政区域内的处置场所依法进行资源化处置，甲方将供水厂的排泥水余泥交由乙方依法处置，并对排泥水余泥运输和交付总量的去向进行监督。甲方委托乙方外运资源化处置的排泥水余泥的具体贮存点以及余泥量，由甲方根据本合同约定确定。</w:t>
      </w:r>
    </w:p>
    <w:p w14:paraId="416674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乙方负责安排运输车辆将排泥水余泥自甲方指定供水厂的排泥水余泥贮存点运输至乙方指定的位于</w:t>
      </w:r>
      <w:r>
        <w:rPr>
          <w:rFonts w:hint="eastAsia" w:ascii="宋体" w:hAnsi="宋体" w:eastAsia="宋体" w:cs="宋体"/>
          <w:sz w:val="21"/>
          <w:szCs w:val="21"/>
          <w:u w:val="single"/>
        </w:rPr>
        <w:t xml:space="preserve">        </w:t>
      </w:r>
      <w:r>
        <w:rPr>
          <w:rFonts w:hint="eastAsia" w:ascii="宋体" w:hAnsi="宋体" w:eastAsia="宋体" w:cs="宋体"/>
          <w:sz w:val="21"/>
          <w:szCs w:val="21"/>
        </w:rPr>
        <w:t>的乙方自有（或乙方租赁场地并由乙方购置设备设施和自行经营管理的）余泥处置场所，交由乙方负责依法进行处置。</w:t>
      </w:r>
    </w:p>
    <w:p w14:paraId="7E0B2F59">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1.3 乙方是通过东莞市行政主管部门认可，具备排泥水余泥处置条件和能力，依法从事排泥水余泥处置活动的单位，根据甲方运量安排转移、处置排泥水余泥。乙方通过</w:t>
      </w:r>
      <w:r>
        <w:rPr>
          <w:rFonts w:hint="eastAsia" w:ascii="宋体" w:hAnsi="宋体" w:eastAsia="宋体" w:cs="宋体"/>
          <w:sz w:val="21"/>
          <w:szCs w:val="21"/>
          <w:u w:val="single"/>
        </w:rPr>
        <w:t xml:space="preserve">       </w:t>
      </w:r>
      <w:r>
        <w:rPr>
          <w:rFonts w:hint="eastAsia" w:ascii="宋体" w:hAnsi="宋体" w:eastAsia="宋体" w:cs="宋体"/>
          <w:sz w:val="21"/>
          <w:szCs w:val="21"/>
        </w:rPr>
        <w:t>（处置方式）等合法方式，为甲方有偿提供排泥水余泥处置服务。</w:t>
      </w:r>
    </w:p>
    <w:p w14:paraId="27C296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 在服务期内甲方通知的外运处置期，要求乙方实现每天不间断外运余泥等一般固体废物（下文统称“余泥”），并保证在服务期内其资质的持续有效性，具备主管部门对余泥处置单位的要求条件和企业生产经营许可的相关资质要求。</w:t>
      </w:r>
    </w:p>
    <w:p w14:paraId="40535FA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 在服务期内甲方通知的外运处置期，除甲方分配量不足或不可抗力的情况外，乙方承诺日均（月外运量/外运天数）外运余泥等一般固体废物不少于本期分配时提供的承诺接收量</w:t>
      </w:r>
      <w:r>
        <w:rPr>
          <w:rFonts w:hint="eastAsia" w:ascii="宋体" w:hAnsi="宋体" w:eastAsia="宋体" w:cs="宋体"/>
          <w:sz w:val="21"/>
          <w:szCs w:val="21"/>
          <w:u w:val="single"/>
        </w:rPr>
        <w:t xml:space="preserve">     </w:t>
      </w:r>
      <w:r>
        <w:rPr>
          <w:rFonts w:hint="eastAsia" w:ascii="宋体" w:hAnsi="宋体" w:eastAsia="宋体" w:cs="宋体"/>
          <w:sz w:val="21"/>
          <w:szCs w:val="21"/>
        </w:rPr>
        <w:t>吨/日。</w:t>
      </w:r>
    </w:p>
    <w:p w14:paraId="331045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 余泥的处置方式必须合法合规，确保未采用国家禁止、淘汰的工艺技术或方法，并体现“减量化、稳定化、无害化、资源化”的原则，在坚持“安全、环保”的原则下，实现余泥等一般固体废物的综合利用，回收和利用余泥的能源和物质。本项目不接受采取填埋的处置方式。</w:t>
      </w:r>
    </w:p>
    <w:p w14:paraId="58434E10">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第二条 </w:t>
      </w:r>
      <w:bookmarkEnd w:id="683"/>
      <w:r>
        <w:rPr>
          <w:rFonts w:hint="eastAsia" w:ascii="宋体" w:hAnsi="宋体" w:eastAsia="宋体" w:cs="宋体"/>
          <w:b/>
          <w:sz w:val="21"/>
          <w:szCs w:val="21"/>
        </w:rPr>
        <w:t>服务期限、处置量、处置服务费用</w:t>
      </w:r>
    </w:p>
    <w:p w14:paraId="6A11EE1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服务期限</w:t>
      </w:r>
    </w:p>
    <w:p w14:paraId="21D033A2">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2.1.1 本合同服务期自2025年7月7日起至甲方重新公开采购确定的服务单位开始接收余泥之日，具体以甲方书面通知终止日期为准，除合同双方签订补充协议延期外，本合同服务期最长不超过2026年1月6日。</w:t>
      </w:r>
    </w:p>
    <w:p w14:paraId="27451E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 本合同服务期间，甲方可视自身情况终止部分(或全部)厂区余泥外运处置工作委托。</w:t>
      </w:r>
    </w:p>
    <w:p w14:paraId="06746E3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2.1.3 本合同服务期满后，如甲方需委托乙方继续开展本合同服务范围内的服务时，经双方洽商同意及签订补充协议后，乙方应按本合同约定的计价方式向甲方继续提供服务。</w:t>
      </w:r>
    </w:p>
    <w:p w14:paraId="0BCF20A4">
      <w:pPr>
        <w:spacing w:line="360" w:lineRule="auto"/>
        <w:ind w:firstLine="422" w:firstLineChars="201"/>
        <w:rPr>
          <w:rFonts w:hint="eastAsia" w:ascii="宋体" w:hAnsi="宋体" w:eastAsia="宋体" w:cs="宋体"/>
        </w:rPr>
      </w:pPr>
      <w:r>
        <w:rPr>
          <w:rFonts w:hint="eastAsia" w:ascii="宋体" w:hAnsi="宋体" w:eastAsia="宋体" w:cs="宋体"/>
          <w:sz w:val="21"/>
          <w:szCs w:val="21"/>
        </w:rPr>
        <w:t>2.2 处置服务费用</w:t>
      </w:r>
    </w:p>
    <w:p w14:paraId="425DF6F5">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2.2.1 服务费标准。本合同含运输的余泥处置不含税服务单价（合同单价，即销售额）为：</w:t>
      </w:r>
      <w:r>
        <w:rPr>
          <w:rFonts w:hint="eastAsia" w:ascii="宋体" w:hAnsi="宋体" w:eastAsia="宋体" w:cs="宋体"/>
          <w:sz w:val="21"/>
          <w:szCs w:val="21"/>
          <w:u w:val="single"/>
        </w:rPr>
        <w:t xml:space="preserve">         </w:t>
      </w:r>
      <w:r>
        <w:rPr>
          <w:rFonts w:hint="eastAsia" w:ascii="宋体" w:hAnsi="宋体" w:eastAsia="宋体" w:cs="宋体"/>
          <w:sz w:val="21"/>
          <w:szCs w:val="21"/>
        </w:rPr>
        <w:t>元/吨。</w:t>
      </w:r>
    </w:p>
    <w:p w14:paraId="206D6A7E">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不含税服务单价为乙方从供水厂余泥贮存点运输余泥至乙方处置场所依法进行资源化处置的处置服务费单价。在本合同履行过程中，不含税服务单价或处置服务费单价（即销售额，不含乙方销项税额）不随法律法规政策、物价人工、油价、路桥费等调整而进行调整（合同明确约定可调整的除外），未经甲方书面确认，乙方（包括但不限于乙方指定的第三方）无权增加任何费用。</w:t>
      </w:r>
    </w:p>
    <w:p w14:paraId="67DD452D">
      <w:pPr>
        <w:spacing w:line="360" w:lineRule="auto"/>
        <w:ind w:firstLine="422" w:firstLineChars="201"/>
        <w:rPr>
          <w:rFonts w:hint="eastAsia" w:ascii="宋体" w:hAnsi="宋体" w:eastAsia="宋体" w:cs="宋体"/>
          <w:sz w:val="21"/>
          <w:szCs w:val="21"/>
          <w:lang w:val="zh-CN"/>
        </w:rPr>
      </w:pPr>
      <w:r>
        <w:rPr>
          <w:rFonts w:hint="eastAsia" w:ascii="宋体" w:hAnsi="宋体" w:eastAsia="宋体" w:cs="宋体"/>
          <w:sz w:val="21"/>
          <w:szCs w:val="21"/>
        </w:rPr>
        <w:t>2.2.2 本合同项目处置服务费为包干价，包括了乙方为完成</w:t>
      </w:r>
      <w:r>
        <w:rPr>
          <w:rFonts w:hint="eastAsia" w:ascii="宋体" w:hAnsi="宋体" w:eastAsia="宋体" w:cs="宋体"/>
          <w:color w:val="000000" w:themeColor="text1"/>
          <w:sz w:val="21"/>
          <w:szCs w:val="21"/>
          <w14:textFill>
            <w14:solidFill>
              <w14:schemeClr w14:val="tx1"/>
            </w14:solidFill>
          </w14:textFill>
        </w:rPr>
        <w:t>分配文件</w:t>
      </w:r>
      <w:r>
        <w:rPr>
          <w:rFonts w:hint="eastAsia" w:ascii="宋体" w:hAnsi="宋体" w:eastAsia="宋体" w:cs="宋体"/>
          <w:sz w:val="21"/>
          <w:szCs w:val="21"/>
        </w:rPr>
        <w:t>和合同约定的全部工作所需支付的一切费用，</w:t>
      </w:r>
      <w:r>
        <w:rPr>
          <w:rFonts w:hint="eastAsia" w:ascii="宋体" w:hAnsi="宋体" w:eastAsia="宋体" w:cs="宋体"/>
          <w:sz w:val="21"/>
          <w:szCs w:val="21"/>
          <w:lang w:val="zh-CN"/>
        </w:rPr>
        <w:t>包括但不限于</w:t>
      </w:r>
      <w:r>
        <w:rPr>
          <w:rFonts w:hint="eastAsia" w:ascii="宋体" w:hAnsi="宋体" w:eastAsia="宋体" w:cs="宋体"/>
          <w:sz w:val="21"/>
          <w:szCs w:val="21"/>
        </w:rPr>
        <w:t>乙方</w:t>
      </w:r>
      <w:r>
        <w:rPr>
          <w:rFonts w:hint="eastAsia" w:ascii="宋体" w:hAnsi="宋体" w:eastAsia="宋体" w:cs="宋体"/>
          <w:sz w:val="21"/>
          <w:szCs w:val="21"/>
          <w:lang w:val="zh-CN"/>
        </w:rPr>
        <w:t>履行本合同所发生的人工费（</w:t>
      </w:r>
      <w:r>
        <w:rPr>
          <w:rFonts w:hint="eastAsia" w:ascii="宋体" w:hAnsi="宋体" w:eastAsia="宋体" w:cs="宋体"/>
          <w:sz w:val="21"/>
          <w:szCs w:val="21"/>
        </w:rPr>
        <w:t>含加班、节假日补贴</w:t>
      </w:r>
      <w:r>
        <w:rPr>
          <w:rFonts w:hint="eastAsia" w:ascii="宋体" w:hAnsi="宋体" w:eastAsia="宋体" w:cs="宋体"/>
          <w:sz w:val="21"/>
          <w:szCs w:val="21"/>
          <w:lang w:val="zh-CN"/>
        </w:rPr>
        <w:t>）、设备费，</w:t>
      </w:r>
      <w:r>
        <w:rPr>
          <w:rFonts w:hint="eastAsia" w:ascii="宋体" w:hAnsi="宋体" w:eastAsia="宋体" w:cs="宋体"/>
          <w:sz w:val="21"/>
          <w:szCs w:val="21"/>
        </w:rPr>
        <w:t>余泥</w:t>
      </w:r>
      <w:r>
        <w:rPr>
          <w:rFonts w:hint="eastAsia" w:ascii="宋体" w:hAnsi="宋体" w:eastAsia="宋体" w:cs="宋体"/>
          <w:sz w:val="21"/>
          <w:szCs w:val="21"/>
          <w:lang w:val="zh-CN"/>
        </w:rPr>
        <w:t>处置费，</w:t>
      </w:r>
      <w:r>
        <w:rPr>
          <w:rFonts w:hint="eastAsia" w:ascii="宋体" w:hAnsi="宋体" w:eastAsia="宋体" w:cs="宋体"/>
          <w:sz w:val="21"/>
          <w:szCs w:val="21"/>
        </w:rPr>
        <w:t>余泥</w:t>
      </w:r>
      <w:r>
        <w:rPr>
          <w:rFonts w:hint="eastAsia" w:ascii="宋体" w:hAnsi="宋体" w:eastAsia="宋体" w:cs="宋体"/>
          <w:sz w:val="21"/>
          <w:szCs w:val="21"/>
          <w:lang w:val="zh-CN"/>
        </w:rPr>
        <w:t>运输费（含因部分污水处理厂现场条件限制只能用小型车辆运输增加的运输成本）、</w:t>
      </w:r>
      <w:r>
        <w:rPr>
          <w:rFonts w:hint="eastAsia" w:ascii="宋体" w:hAnsi="宋体" w:eastAsia="宋体" w:cs="宋体"/>
          <w:sz w:val="21"/>
          <w:szCs w:val="21"/>
        </w:rPr>
        <w:t>卸车费、卸车现场除尘及清洗场地费、</w:t>
      </w:r>
      <w:r>
        <w:rPr>
          <w:rFonts w:hint="eastAsia" w:ascii="宋体" w:hAnsi="宋体" w:eastAsia="宋体" w:cs="宋体"/>
          <w:sz w:val="21"/>
          <w:szCs w:val="21"/>
          <w:lang w:val="zh-CN"/>
        </w:rPr>
        <w:t>保险费（包括运输车辆交强险、第三者责任险等商业保险，</w:t>
      </w:r>
      <w:r>
        <w:rPr>
          <w:rFonts w:hint="eastAsia" w:ascii="宋体" w:hAnsi="宋体" w:eastAsia="宋体" w:cs="宋体"/>
          <w:sz w:val="21"/>
          <w:szCs w:val="21"/>
        </w:rPr>
        <w:t>乙方</w:t>
      </w:r>
      <w:r>
        <w:rPr>
          <w:rFonts w:hint="eastAsia" w:ascii="宋体" w:hAnsi="宋体" w:eastAsia="宋体" w:cs="宋体"/>
          <w:sz w:val="21"/>
          <w:szCs w:val="21"/>
          <w:lang w:val="zh-CN"/>
        </w:rPr>
        <w:t>及其雇员社会保障资金、保险、第三者责任险，环境污染责任险等），</w:t>
      </w:r>
      <w:r>
        <w:rPr>
          <w:rFonts w:hint="eastAsia" w:ascii="宋体" w:hAnsi="宋体" w:eastAsia="宋体" w:cs="宋体"/>
          <w:sz w:val="21"/>
          <w:szCs w:val="21"/>
        </w:rPr>
        <w:t>乙方</w:t>
      </w:r>
      <w:r>
        <w:rPr>
          <w:rFonts w:hint="eastAsia" w:ascii="宋体" w:hAnsi="宋体" w:eastAsia="宋体" w:cs="宋体"/>
          <w:sz w:val="21"/>
          <w:szCs w:val="21"/>
          <w:lang w:val="zh-CN"/>
        </w:rPr>
        <w:t>复核</w:t>
      </w:r>
      <w:r>
        <w:rPr>
          <w:rFonts w:hint="eastAsia" w:ascii="宋体" w:hAnsi="宋体" w:eastAsia="宋体" w:cs="宋体"/>
          <w:sz w:val="21"/>
          <w:szCs w:val="21"/>
        </w:rPr>
        <w:t>余泥</w:t>
      </w:r>
      <w:r>
        <w:rPr>
          <w:rFonts w:hint="eastAsia" w:ascii="宋体" w:hAnsi="宋体" w:eastAsia="宋体" w:cs="宋体"/>
          <w:sz w:val="21"/>
          <w:szCs w:val="21"/>
          <w:lang w:val="zh-CN"/>
        </w:rPr>
        <w:t>重量的称重费、</w:t>
      </w:r>
      <w:r>
        <w:rPr>
          <w:rFonts w:hint="eastAsia" w:ascii="宋体" w:hAnsi="宋体" w:eastAsia="宋体" w:cs="宋体"/>
          <w:sz w:val="21"/>
          <w:szCs w:val="21"/>
        </w:rPr>
        <w:t>乙方配合甲方开展地磅称重核查工作的称重费、余泥</w:t>
      </w:r>
      <w:r>
        <w:rPr>
          <w:rFonts w:hint="eastAsia" w:ascii="宋体" w:hAnsi="宋体" w:eastAsia="宋体" w:cs="宋体"/>
          <w:sz w:val="21"/>
          <w:szCs w:val="21"/>
          <w:lang w:val="zh-CN"/>
        </w:rPr>
        <w:t>处置后的副产品检测费、</w:t>
      </w:r>
      <w:r>
        <w:rPr>
          <w:rFonts w:hint="eastAsia" w:ascii="宋体" w:hAnsi="宋体" w:eastAsia="宋体" w:cs="宋体"/>
          <w:sz w:val="21"/>
          <w:szCs w:val="21"/>
        </w:rPr>
        <w:t>乙方</w:t>
      </w:r>
      <w:r>
        <w:rPr>
          <w:rFonts w:hint="eastAsia" w:ascii="宋体" w:hAnsi="宋体" w:eastAsia="宋体" w:cs="宋体"/>
          <w:sz w:val="21"/>
          <w:szCs w:val="21"/>
          <w:lang w:val="zh-CN"/>
        </w:rPr>
        <w:t>销项税额以外的税费等全部费用</w:t>
      </w:r>
      <w:r>
        <w:rPr>
          <w:rFonts w:hint="eastAsia" w:ascii="宋体" w:hAnsi="宋体" w:eastAsia="宋体" w:cs="宋体"/>
          <w:sz w:val="21"/>
          <w:szCs w:val="21"/>
        </w:rPr>
        <w:t>。乙方应负责余泥运输事宜，承担余泥运输费用、风险与责任</w:t>
      </w:r>
      <w:r>
        <w:rPr>
          <w:rFonts w:hint="eastAsia" w:ascii="宋体" w:hAnsi="宋体" w:eastAsia="宋体" w:cs="宋体"/>
          <w:sz w:val="21"/>
          <w:szCs w:val="21"/>
          <w:lang w:val="zh-CN"/>
        </w:rPr>
        <w:t>。处置服务费不包含装车费。</w:t>
      </w:r>
    </w:p>
    <w:p w14:paraId="61A63549">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2.2.3 本合同项目乙方最终处置量，以装车时甲方指定的第三方过磅数量并经甲方审核确认后的数量为准，称重的过磅费用由甲方承担。乙方对过磅重量有异议的，由双方共同指定的第三方过磅复核重量，费用由乙方承担。</w:t>
      </w:r>
    </w:p>
    <w:p w14:paraId="5B2A76DF">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2.2.4 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sz w:val="21"/>
          <w:szCs w:val="21"/>
          <w:u w:val="single"/>
        </w:rPr>
        <w:t xml:space="preserve">     %</w:t>
      </w:r>
      <w:r>
        <w:rPr>
          <w:rFonts w:hint="eastAsia" w:ascii="宋体" w:hAnsi="宋体" w:eastAsia="宋体" w:cs="宋体"/>
          <w:sz w:val="21"/>
          <w:szCs w:val="21"/>
        </w:rPr>
        <w:t>，乙方的增值税销项税额根据本合同约定按实结算。在本合同履行过程中，税收政策变动导致增值税税率调整，依法应调整销项税额的，依法调整；但因乙方未按合同约定及时完成余泥处置、未根据合同约定提供合法、完整的请款资料等原因导致销项税额增加的，相应损失由乙方承担。</w:t>
      </w:r>
    </w:p>
    <w:p w14:paraId="5F6C9053">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因乙方未按法定税率计算税额或未根据本合同约定出具对应合法的发票等原因导致甲方多支付税额的，乙方必须退还甲方，给甲方造成损失的，乙方须向甲方赔偿相应损失。</w:t>
      </w:r>
    </w:p>
    <w:p w14:paraId="1F57FF72">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2.2.5</w:t>
      </w:r>
      <w:r>
        <w:rPr>
          <w:rFonts w:hint="eastAsia" w:ascii="宋体" w:hAnsi="宋体" w:eastAsia="宋体" w:cs="宋体"/>
          <w:color w:val="000000"/>
          <w:sz w:val="21"/>
          <w:szCs w:val="21"/>
        </w:rPr>
        <w:t xml:space="preserve"> </w:t>
      </w:r>
      <w:r>
        <w:rPr>
          <w:rFonts w:hint="eastAsia" w:ascii="宋体" w:hAnsi="宋体" w:eastAsia="宋体" w:cs="宋体"/>
          <w:color w:val="000000"/>
          <w:kern w:val="2"/>
          <w:sz w:val="21"/>
          <w:szCs w:val="21"/>
        </w:rPr>
        <w:t>本合同</w:t>
      </w:r>
      <w:r>
        <w:rPr>
          <w:rFonts w:hint="eastAsia" w:ascii="宋体" w:hAnsi="宋体" w:eastAsia="宋体" w:cs="宋体"/>
          <w:color w:val="000000"/>
          <w:sz w:val="21"/>
          <w:szCs w:val="21"/>
        </w:rPr>
        <w:t>项目合同</w:t>
      </w:r>
      <w:r>
        <w:rPr>
          <w:rFonts w:hint="eastAsia" w:ascii="宋体" w:hAnsi="宋体" w:eastAsia="宋体" w:cs="宋体"/>
          <w:sz w:val="21"/>
          <w:szCs w:val="21"/>
        </w:rPr>
        <w:t>单价价税合计暂定为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元/吨，合同履行期间根据本条第2.2.4项规定调整销项税额的，结算价税合计对应调整。</w:t>
      </w:r>
    </w:p>
    <w:p w14:paraId="01EB359C">
      <w:pPr>
        <w:spacing w:line="360" w:lineRule="auto"/>
        <w:ind w:firstLine="422" w:firstLineChars="201"/>
        <w:rPr>
          <w:rFonts w:hint="eastAsia" w:ascii="宋体" w:hAnsi="宋体" w:eastAsia="宋体" w:cs="宋体"/>
          <w:sz w:val="21"/>
          <w:szCs w:val="21"/>
        </w:rPr>
      </w:pPr>
      <w:r>
        <w:rPr>
          <w:rFonts w:hint="eastAsia" w:ascii="宋体" w:hAnsi="宋体" w:eastAsia="宋体" w:cs="宋体"/>
          <w:sz w:val="21"/>
          <w:szCs w:val="21"/>
        </w:rPr>
        <w:t>2.2.6 处置服务费按暂定合同单价价税合计乘以经甲方确认的最终处置余泥数量进行结算。</w:t>
      </w:r>
    </w:p>
    <w:p w14:paraId="6AB8D13C">
      <w:pPr>
        <w:spacing w:line="360" w:lineRule="auto"/>
        <w:rPr>
          <w:rFonts w:hint="eastAsia" w:ascii="宋体" w:hAnsi="宋体" w:eastAsia="宋体" w:cs="宋体"/>
          <w:b/>
          <w:sz w:val="21"/>
          <w:szCs w:val="21"/>
        </w:rPr>
      </w:pPr>
      <w:bookmarkStart w:id="684" w:name="_Toc56076612"/>
      <w:r>
        <w:rPr>
          <w:rFonts w:hint="eastAsia" w:ascii="宋体" w:hAnsi="宋体" w:eastAsia="宋体" w:cs="宋体"/>
          <w:b/>
          <w:sz w:val="21"/>
          <w:szCs w:val="21"/>
        </w:rPr>
        <w:t xml:space="preserve">第三条 </w:t>
      </w:r>
      <w:bookmarkEnd w:id="684"/>
      <w:r>
        <w:rPr>
          <w:rFonts w:hint="eastAsia" w:ascii="宋体" w:hAnsi="宋体" w:eastAsia="宋体" w:cs="宋体"/>
          <w:b/>
          <w:sz w:val="21"/>
          <w:szCs w:val="21"/>
        </w:rPr>
        <w:t xml:space="preserve">余泥转移数量、最终处置数量确认及资料要求 </w:t>
      </w:r>
    </w:p>
    <w:p w14:paraId="18DE16F8">
      <w:pPr>
        <w:autoSpaceDE/>
        <w:autoSpaceDN/>
        <w:adjustRightInd/>
        <w:spacing w:line="360" w:lineRule="auto"/>
        <w:ind w:firstLine="420" w:firstLineChars="200"/>
        <w:jc w:val="both"/>
        <w:rPr>
          <w:rFonts w:hint="eastAsia" w:ascii="宋体" w:hAnsi="宋体" w:eastAsia="宋体" w:cs="宋体"/>
          <w:sz w:val="21"/>
          <w:szCs w:val="21"/>
        </w:rPr>
      </w:pPr>
      <w:bookmarkStart w:id="685" w:name="_Toc56076613"/>
      <w:r>
        <w:rPr>
          <w:rFonts w:hint="eastAsia" w:ascii="宋体" w:hAnsi="宋体" w:eastAsia="宋体" w:cs="宋体"/>
          <w:sz w:val="21"/>
          <w:szCs w:val="21"/>
        </w:rPr>
        <w:t>3.1 甲方委托处置的余泥自甲方余泥贮存点装运、过磅，装运时甲、乙双方共同填写《排泥水余泥转移联单》一式【五】联，并将余泥数量（吨）记载于《排泥水余泥转移联单》，到达乙方指定地点，双方确认数量后签收，乙方可自行安排二次过磅。</w:t>
      </w:r>
    </w:p>
    <w:p w14:paraId="21995DC3">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甲乙双方同意：单车次余泥重量以甲方指定的第三方过磅数量为准，允许合理磅差为【±5‰】，超过合理磅差的，乙方应立即通知甲方，由甲乙双方共同指定的第三方过磅，费用由乙方承担。</w:t>
      </w:r>
    </w:p>
    <w:p w14:paraId="5AE28E75">
      <w:pPr>
        <w:pStyle w:val="52"/>
        <w:ind w:firstLine="420" w:firstLineChars="200"/>
        <w:rPr>
          <w:rFonts w:hint="eastAsia" w:ascii="宋体" w:hAnsi="宋体" w:eastAsia="宋体" w:cs="宋体"/>
          <w:sz w:val="21"/>
          <w:szCs w:val="21"/>
        </w:rPr>
      </w:pPr>
      <w:r>
        <w:rPr>
          <w:rFonts w:hint="eastAsia" w:ascii="宋体" w:hAnsi="宋体" w:eastAsia="宋体" w:cs="宋体"/>
          <w:sz w:val="21"/>
          <w:szCs w:val="21"/>
        </w:rPr>
        <w:t>3.2 乙方必须在余泥到达其卸货点的次日10:00前，向甲方提供该车余泥装卸货过程中的相关资料。</w:t>
      </w:r>
    </w:p>
    <w:p w14:paraId="4D127DB4">
      <w:pPr>
        <w:pStyle w:val="52"/>
        <w:ind w:firstLine="420" w:firstLineChars="200"/>
        <w:rPr>
          <w:rFonts w:hint="eastAsia" w:ascii="宋体" w:hAnsi="宋体" w:eastAsia="宋体" w:cs="宋体"/>
          <w:sz w:val="21"/>
          <w:szCs w:val="21"/>
        </w:rPr>
      </w:pPr>
      <w:r>
        <w:rPr>
          <w:rFonts w:hint="eastAsia" w:ascii="宋体" w:hAnsi="宋体" w:eastAsia="宋体" w:cs="宋体"/>
          <w:sz w:val="21"/>
          <w:szCs w:val="21"/>
        </w:rPr>
        <w:t>资料制作要求：（1）运输车辆到达余泥装车地点，拍摄装车过程照片，装车照片应清晰显示车牌号码及车辆正在进行余泥装车；（2）装车完成后上锁封条，拍摄封条照片，封条照片应清晰显示封条编号及封条未拆卸；（3）填写一式两份《余泥运送登记卡》并由运输司机及现场负责人签名，提交给余泥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甲方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25F519CA">
      <w:pPr>
        <w:pStyle w:val="52"/>
        <w:ind w:firstLine="420" w:firstLineChars="200"/>
        <w:rPr>
          <w:rFonts w:hint="eastAsia" w:ascii="宋体" w:hAnsi="宋体" w:eastAsia="宋体" w:cs="宋体"/>
          <w:sz w:val="21"/>
          <w:szCs w:val="21"/>
        </w:rPr>
      </w:pPr>
      <w:r>
        <w:rPr>
          <w:rFonts w:hint="eastAsia" w:ascii="宋体" w:hAnsi="宋体" w:eastAsia="宋体" w:cs="宋体"/>
          <w:sz w:val="21"/>
          <w:szCs w:val="21"/>
        </w:rPr>
        <w:t>资料提交要求：乙方按照本条款的要求进行拍摄、整理每日运输影像资料后，在次日上午10:00前，在甲方“污泥处理处置过程数据管理系统”完成资料上传和数据填报，系统网址：https://www.zywnxt.cn/（网址如有变化以委托人通知为准）</w:t>
      </w:r>
    </w:p>
    <w:p w14:paraId="7371EA9F">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3.3 余泥外运次日，乙方应与甲方对磅单、《排泥水余泥转移联单》、（乙方）《月度余泥外运签证表》、《余泥接收台账》数据进行初次核对确认余泥转移数量。</w:t>
      </w:r>
    </w:p>
    <w:p w14:paraId="4779FF56">
      <w:pPr>
        <w:autoSpaceDE/>
        <w:autoSpaceDN/>
        <w:adjustRightInd/>
        <w:spacing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3.4 乙方按7天/次的频次，根据初次核对确认的余泥外运数量和资料填报要求，向甲方提交经乙方（对运输进行分包的，含分包的运输单位）盖章确认的《排泥水余泥转移联单》、磅单、（乙方）《月度余泥外运签证表》（含电子文档）、《余泥接收台账》（含电子文档）等资料。甲方对接收的资料复核后，发现资料有误的，乙方必须在3日内按要求重新提交。甲方将复核后的资料送余泥产生单位盖章确认，经乙方、余泥产生单位、甲方共同签字/盖章确认后，确定该批次余泥实际转移数量，并由甲方交东莞市生态环境主管部门留存备查。</w:t>
      </w:r>
    </w:p>
    <w:p w14:paraId="3F93EFC8">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3.5 余泥转移至乙方后，乙方应尽快依法无害化、资源化处置，乙方应编制《余泥最终处置台账》。余泥最终处置后的副产品应符合国家相关标准，乙方（乙方不具备对应资质时，需委托具备资质的第三方检测机构）应对余泥最终处置后的副产品（如：砖、陶粒等）进行检测、评价，检测频率不低于一个季度一次。检测结果不合格的，乙方应重新对该产品进行处置，直至实现无害化处置完毕。因乙方采取掺烧发电等工艺处置余泥，无法实现对直接的副产品进行检测的，无需检测。</w:t>
      </w:r>
    </w:p>
    <w:p w14:paraId="4C405C61">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3.6 乙方每月10日前，向甲方提交盖章的（上月）《月度余泥外运签证表》、《余泥接收台账》。乙方完成余泥无害化、资源化处置后，应在10日内向甲方提交盖章的《余泥最终处置台账》。根据本合同第3.5款的约定需对余泥最终处置后的副产品进行检测的，乙方还需每季度至少提交一次副产品的检测报告，及检测机构的资质证书复印件（加盖乙方公章）。经甲方对《余泥最终处置台账》及附件进行复核，复核无误后，确认最终处置的余泥数量。</w:t>
      </w:r>
    </w:p>
    <w:p w14:paraId="4586F14C">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3.7 乙方逾期提交或提交资料不全的，甲方有权仅根据乙方已提交材料核算并结算处置服务费用，因此导致乙方损失的由乙方自行承担。</w:t>
      </w:r>
    </w:p>
    <w:p w14:paraId="2FCFD21D">
      <w:pPr>
        <w:autoSpaceDE/>
        <w:autoSpaceDN/>
        <w:adjustRightIn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3.8 本合同签订前乙方已根据甲方要求开展的外运处置量，纳入本合同约定的处置量并按本合同约定计算处置服务费。</w:t>
      </w:r>
    </w:p>
    <w:p w14:paraId="238BC365">
      <w:pPr>
        <w:spacing w:line="360" w:lineRule="auto"/>
        <w:rPr>
          <w:rFonts w:hint="eastAsia" w:ascii="宋体" w:hAnsi="宋体" w:eastAsia="宋体" w:cs="宋体"/>
          <w:b/>
          <w:sz w:val="21"/>
          <w:szCs w:val="21"/>
        </w:rPr>
      </w:pPr>
      <w:r>
        <w:rPr>
          <w:rFonts w:hint="eastAsia" w:ascii="宋体" w:hAnsi="宋体" w:eastAsia="宋体" w:cs="宋体"/>
          <w:b/>
          <w:sz w:val="21"/>
          <w:szCs w:val="21"/>
        </w:rPr>
        <w:t>第四条 费用核算与支付</w:t>
      </w:r>
      <w:bookmarkEnd w:id="685"/>
      <w:r>
        <w:rPr>
          <w:rFonts w:hint="eastAsia" w:ascii="宋体" w:hAnsi="宋体" w:eastAsia="宋体" w:cs="宋体"/>
          <w:b/>
          <w:sz w:val="21"/>
          <w:szCs w:val="21"/>
        </w:rPr>
        <w:t xml:space="preserve"> </w:t>
      </w:r>
    </w:p>
    <w:p w14:paraId="09772028">
      <w:pPr>
        <w:spacing w:line="360" w:lineRule="auto"/>
        <w:ind w:firstLine="420" w:firstLineChars="200"/>
        <w:rPr>
          <w:rFonts w:hint="eastAsia" w:ascii="宋体" w:hAnsi="宋体" w:eastAsia="宋体" w:cs="宋体"/>
          <w:bCs/>
          <w:sz w:val="21"/>
          <w:szCs w:val="21"/>
        </w:rPr>
      </w:pPr>
      <w:bookmarkStart w:id="686" w:name="_Toc56076614"/>
      <w:r>
        <w:rPr>
          <w:rFonts w:hint="eastAsia" w:ascii="宋体" w:hAnsi="宋体" w:eastAsia="宋体" w:cs="宋体"/>
          <w:bCs/>
          <w:sz w:val="21"/>
          <w:szCs w:val="21"/>
        </w:rPr>
        <w:t>4.1 付款方式</w:t>
      </w:r>
    </w:p>
    <w:p w14:paraId="6F2370B9">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乙方按要求提交合格的请款资料经甲方审核确认无误后，甲方按本条的约定进行付款，乙方未能按合同要求履约，根据合同约定甲方可暂缓或延期付款的，从其约定。处置服务费按进度付款：</w:t>
      </w:r>
    </w:p>
    <w:p w14:paraId="1FC81C9F">
      <w:pPr>
        <w:pStyle w:val="156"/>
        <w:adjustRightInd w:val="0"/>
        <w:spacing w:line="360" w:lineRule="auto"/>
        <w:rPr>
          <w:rFonts w:hint="eastAsia" w:ascii="宋体" w:hAnsi="宋体" w:eastAsia="宋体" w:cs="宋体"/>
          <w:szCs w:val="21"/>
        </w:rPr>
      </w:pPr>
      <w:r>
        <w:rPr>
          <w:rFonts w:hint="eastAsia" w:ascii="宋体" w:hAnsi="宋体" w:eastAsia="宋体" w:cs="宋体"/>
          <w:szCs w:val="21"/>
        </w:rPr>
        <w:t>（1）乙方须按照甲方的要求提供请款月份相应的请款报告、《月度余泥外运签证表》等资料，申请支付请款月份处置服务费。甲方审核请款资料合格后，乙方提交请款月份处置服务费用100%的足额、合法、有效的增值税专用发票，甲方审核确认无误后，在三个月内采用银行承兑汇票或商业承兑汇票的支付方式，向乙方支付请款月份处置服务费用的50%，票据付款期限不超过3个月。</w:t>
      </w:r>
    </w:p>
    <w:p w14:paraId="0292CADE">
      <w:pPr>
        <w:pStyle w:val="156"/>
        <w:adjustRightInd w:val="0"/>
        <w:spacing w:line="360" w:lineRule="auto"/>
        <w:rPr>
          <w:rFonts w:hint="eastAsia" w:ascii="宋体" w:hAnsi="宋体" w:eastAsia="宋体" w:cs="宋体"/>
          <w:szCs w:val="21"/>
        </w:rPr>
      </w:pPr>
      <w:r>
        <w:rPr>
          <w:rFonts w:hint="eastAsia" w:ascii="宋体" w:hAnsi="宋体" w:eastAsia="宋体" w:cs="宋体"/>
          <w:szCs w:val="21"/>
        </w:rPr>
        <w:t>（2）乙方已完成请款月份余泥处置工作，经甲方现场核实、验收该月处置工作后，甲方在两个月内通过银行转账的方式，向乙方支付请款月份处置服务费用的30%（累计支付请款月份处置服务费的80%）。</w:t>
      </w:r>
    </w:p>
    <w:p w14:paraId="00CA508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（3）完成上述处置服务费支付后，甲方在一个月内通过银行转账的方式，向乙方支付请款月份处置服务费费用的20%（累计支付请款月份处置服务费的100%）。</w:t>
      </w:r>
    </w:p>
    <w:p w14:paraId="284AEB4B">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4.2 乙方收款账户信息如下：</w:t>
      </w:r>
    </w:p>
    <w:p w14:paraId="26DAF7A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（1）乙方转账或汇款收款账号：</w:t>
      </w:r>
    </w:p>
    <w:p w14:paraId="70A99329">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账户名称：</w:t>
      </w:r>
    </w:p>
    <w:p w14:paraId="5F0C2582">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开户银行名称：</w:t>
      </w:r>
    </w:p>
    <w:p w14:paraId="1BFAA308">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银行账号：</w:t>
      </w:r>
    </w:p>
    <w:p w14:paraId="201CB38B">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（2）乙方汇票账号如下：</w:t>
      </w:r>
    </w:p>
    <w:p w14:paraId="40E96C95">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账户名称：</w:t>
      </w:r>
    </w:p>
    <w:p w14:paraId="7A34890C">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开户银行名称：</w:t>
      </w:r>
    </w:p>
    <w:p w14:paraId="767F1805">
      <w:pPr>
        <w:pStyle w:val="3"/>
        <w:spacing w:line="360" w:lineRule="auto"/>
        <w:ind w:firstLineChars="200"/>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银行账号：</w:t>
      </w:r>
    </w:p>
    <w:p w14:paraId="3DDF434E">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乙方需变更收款账号的，需提前</w:t>
      </w:r>
      <w:bookmarkStart w:id="687" w:name="_Hlk128057441"/>
      <w:r>
        <w:rPr>
          <w:rFonts w:hint="eastAsia" w:ascii="宋体" w:hAnsi="宋体" w:eastAsia="宋体" w:cs="宋体"/>
          <w:b/>
          <w:bCs/>
          <w:sz w:val="21"/>
          <w:szCs w:val="21"/>
        </w:rPr>
        <w:t>【15】天</w:t>
      </w:r>
      <w:bookmarkEnd w:id="687"/>
      <w:r>
        <w:rPr>
          <w:rFonts w:hint="eastAsia" w:ascii="宋体" w:hAnsi="宋体" w:eastAsia="宋体" w:cs="宋体"/>
          <w:b/>
          <w:bCs/>
          <w:sz w:val="21"/>
          <w:szCs w:val="21"/>
        </w:rPr>
        <w:t>书面告知甲方，因乙方未能及时告知导致的一切后果由乙方自行承担。</w:t>
      </w:r>
    </w:p>
    <w:p w14:paraId="755ACC59">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4.3 乙方逾期提供请款资料及发票不符合甲方要求的，甲方付款时间顺延，并不承担逾期付款违约责任。由于乙方提供的发票不符合税法规定，给甲方造成的损失由乙方承担赔偿责任。</w:t>
      </w:r>
    </w:p>
    <w:p w14:paraId="328FF5A2">
      <w:pPr>
        <w:spacing w:line="360" w:lineRule="auto"/>
        <w:rPr>
          <w:rFonts w:hint="eastAsia" w:ascii="宋体" w:hAnsi="宋体" w:eastAsia="宋体" w:cs="宋体"/>
          <w:b/>
          <w:sz w:val="21"/>
          <w:szCs w:val="21"/>
        </w:rPr>
      </w:pPr>
      <w:r>
        <w:rPr>
          <w:rFonts w:hint="eastAsia" w:ascii="宋体" w:hAnsi="宋体" w:eastAsia="宋体" w:cs="宋体"/>
          <w:b/>
          <w:sz w:val="21"/>
          <w:szCs w:val="21"/>
        </w:rPr>
        <w:t>第五条 履约担保</w:t>
      </w:r>
      <w:r>
        <w:rPr>
          <w:rFonts w:hint="eastAsia" w:ascii="宋体" w:hAnsi="宋体" w:eastAsia="宋体" w:cs="宋体"/>
          <w:b/>
          <w:bCs/>
          <w:sz w:val="21"/>
          <w:szCs w:val="21"/>
        </w:rPr>
        <w:t>【仅乙方为余泥常态化处置单位时适用】</w:t>
      </w:r>
    </w:p>
    <w:p w14:paraId="161C8B45">
      <w:pPr>
        <w:numPr>
          <w:ilvl w:val="1"/>
          <w:numId w:val="0"/>
        </w:numPr>
        <w:autoSpaceDE/>
        <w:autoSpaceDN/>
        <w:adjustRightInd/>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sz w:val="21"/>
          <w:szCs w:val="21"/>
        </w:rPr>
        <w:t xml:space="preserve">5.1 </w:t>
      </w:r>
      <w:r>
        <w:rPr>
          <w:rFonts w:hint="eastAsia" w:ascii="宋体" w:hAnsi="宋体" w:eastAsia="宋体" w:cs="宋体"/>
          <w:bCs/>
          <w:kern w:val="2"/>
          <w:sz w:val="21"/>
          <w:szCs w:val="21"/>
          <w:lang w:val="zh-CN"/>
        </w:rPr>
        <w:t>乙方应当根据</w:t>
      </w:r>
      <w:r>
        <w:rPr>
          <w:rFonts w:hint="eastAsia" w:ascii="宋体" w:hAnsi="宋体" w:eastAsia="宋体" w:cs="宋体"/>
          <w:bCs/>
          <w:kern w:val="2"/>
          <w:sz w:val="21"/>
          <w:szCs w:val="21"/>
        </w:rPr>
        <w:t>分配方案</w:t>
      </w:r>
      <w:r>
        <w:rPr>
          <w:rFonts w:hint="eastAsia" w:ascii="宋体" w:hAnsi="宋体" w:eastAsia="宋体" w:cs="宋体"/>
          <w:bCs/>
          <w:kern w:val="2"/>
          <w:sz w:val="21"/>
          <w:szCs w:val="21"/>
          <w:lang w:val="zh-CN"/>
        </w:rPr>
        <w:t>的规定在签订本合同前向甲方提供履约担保，履约担保形式及金额由乙方从以下方式中任选一种：</w:t>
      </w:r>
    </w:p>
    <w:p w14:paraId="58378573">
      <w:pPr>
        <w:numPr>
          <w:ilvl w:val="1"/>
          <w:numId w:val="0"/>
        </w:numPr>
        <w:autoSpaceDE/>
        <w:autoSpaceDN/>
        <w:adjustRightInd/>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 履约保证金（银行转账形式）金额为人民币</w:t>
      </w:r>
      <w:r>
        <w:rPr>
          <w:rFonts w:hint="eastAsia" w:ascii="宋体" w:hAnsi="宋体" w:eastAsia="宋体" w:cs="宋体"/>
          <w:bCs/>
          <w:kern w:val="2"/>
          <w:sz w:val="21"/>
          <w:szCs w:val="21"/>
          <w:u w:val="single"/>
        </w:rPr>
        <w:t>200,000</w:t>
      </w:r>
      <w:r>
        <w:rPr>
          <w:rFonts w:hint="eastAsia" w:ascii="宋体" w:hAnsi="宋体" w:eastAsia="宋体" w:cs="宋体"/>
          <w:bCs/>
          <w:kern w:val="2"/>
          <w:sz w:val="21"/>
          <w:szCs w:val="21"/>
        </w:rPr>
        <w:t>元</w:t>
      </w:r>
      <w:r>
        <w:rPr>
          <w:rFonts w:hint="eastAsia" w:ascii="宋体" w:hAnsi="宋体" w:eastAsia="宋体" w:cs="宋体"/>
          <w:bCs/>
          <w:kern w:val="2"/>
          <w:sz w:val="21"/>
          <w:szCs w:val="21"/>
          <w:lang w:val="zh-CN"/>
        </w:rPr>
        <w:t>。</w:t>
      </w:r>
    </w:p>
    <w:p w14:paraId="3B1D61E8">
      <w:pPr>
        <w:numPr>
          <w:ilvl w:val="1"/>
          <w:numId w:val="0"/>
        </w:numPr>
        <w:autoSpaceDE/>
        <w:autoSpaceDN/>
        <w:adjustRightInd/>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 银行不可撤销履约保函金额为人民币</w:t>
      </w:r>
      <w:r>
        <w:rPr>
          <w:rFonts w:hint="eastAsia" w:ascii="宋体" w:hAnsi="宋体" w:eastAsia="宋体" w:cs="宋体"/>
          <w:bCs/>
          <w:kern w:val="2"/>
          <w:sz w:val="21"/>
          <w:szCs w:val="21"/>
          <w:u w:val="single"/>
        </w:rPr>
        <w:t>250,000</w:t>
      </w:r>
      <w:r>
        <w:rPr>
          <w:rFonts w:hint="eastAsia" w:ascii="宋体" w:hAnsi="宋体" w:eastAsia="宋体" w:cs="宋体"/>
          <w:bCs/>
          <w:kern w:val="2"/>
          <w:sz w:val="21"/>
          <w:szCs w:val="21"/>
        </w:rPr>
        <w:t>元</w:t>
      </w:r>
      <w:r>
        <w:rPr>
          <w:rFonts w:hint="eastAsia" w:ascii="宋体" w:hAnsi="宋体" w:eastAsia="宋体" w:cs="宋体"/>
          <w:bCs/>
          <w:kern w:val="2"/>
          <w:sz w:val="21"/>
          <w:szCs w:val="21"/>
          <w:lang w:val="zh-CN"/>
        </w:rPr>
        <w:t>。</w:t>
      </w:r>
    </w:p>
    <w:p w14:paraId="652AC30B">
      <w:pPr>
        <w:numPr>
          <w:ilvl w:val="1"/>
          <w:numId w:val="0"/>
        </w:numPr>
        <w:autoSpaceDE/>
        <w:autoSpaceDN/>
        <w:adjustRightInd/>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 履约保证保险金额为人民币</w:t>
      </w:r>
      <w:r>
        <w:rPr>
          <w:rFonts w:hint="eastAsia" w:ascii="宋体" w:hAnsi="宋体" w:eastAsia="宋体" w:cs="宋体"/>
          <w:bCs/>
          <w:kern w:val="2"/>
          <w:sz w:val="21"/>
          <w:szCs w:val="21"/>
          <w:u w:val="single"/>
          <w:lang w:val="zh-CN"/>
        </w:rPr>
        <w:t xml:space="preserve"> </w:t>
      </w:r>
      <w:r>
        <w:rPr>
          <w:rFonts w:hint="eastAsia" w:ascii="宋体" w:hAnsi="宋体" w:eastAsia="宋体" w:cs="宋体"/>
          <w:bCs/>
          <w:kern w:val="2"/>
          <w:sz w:val="21"/>
          <w:szCs w:val="21"/>
          <w:u w:val="single"/>
        </w:rPr>
        <w:t>250,000</w:t>
      </w:r>
      <w:r>
        <w:rPr>
          <w:rFonts w:hint="eastAsia" w:ascii="宋体" w:hAnsi="宋体" w:eastAsia="宋体" w:cs="宋体"/>
          <w:bCs/>
          <w:kern w:val="2"/>
          <w:sz w:val="21"/>
          <w:szCs w:val="21"/>
        </w:rPr>
        <w:t>元</w:t>
      </w:r>
      <w:r>
        <w:rPr>
          <w:rFonts w:hint="eastAsia" w:ascii="宋体" w:hAnsi="宋体" w:eastAsia="宋体" w:cs="宋体"/>
          <w:bCs/>
          <w:kern w:val="2"/>
          <w:sz w:val="21"/>
          <w:szCs w:val="21"/>
          <w:lang w:val="zh-CN"/>
        </w:rPr>
        <w:t>。</w:t>
      </w:r>
    </w:p>
    <w:p w14:paraId="161B2F6F">
      <w:pPr>
        <w:numPr>
          <w:ilvl w:val="1"/>
          <w:numId w:val="0"/>
        </w:numPr>
        <w:spacing w:line="360" w:lineRule="auto"/>
        <w:ind w:right="18" w:firstLine="420" w:firstLineChars="200"/>
        <w:jc w:val="both"/>
        <w:rPr>
          <w:rFonts w:hint="eastAsia" w:ascii="宋体" w:hAnsi="宋体" w:eastAsia="宋体" w:cs="宋体"/>
          <w:bCs/>
          <w:sz w:val="21"/>
          <w:szCs w:val="21"/>
        </w:rPr>
      </w:pPr>
      <w:r>
        <w:rPr>
          <w:rFonts w:hint="eastAsia" w:ascii="宋体" w:hAnsi="宋体" w:eastAsia="宋体" w:cs="宋体"/>
          <w:bCs/>
          <w:kern w:val="2"/>
          <w:sz w:val="21"/>
          <w:szCs w:val="21"/>
          <w:lang w:val="zh-CN"/>
        </w:rPr>
        <w:t>□ 担保公司履约担保书金额为人民币</w:t>
      </w:r>
      <w:r>
        <w:rPr>
          <w:rFonts w:hint="eastAsia" w:ascii="宋体" w:hAnsi="宋体" w:eastAsia="宋体" w:cs="宋体"/>
          <w:bCs/>
          <w:kern w:val="2"/>
          <w:sz w:val="21"/>
          <w:szCs w:val="21"/>
          <w:u w:val="single"/>
        </w:rPr>
        <w:t>300,000</w:t>
      </w:r>
      <w:r>
        <w:rPr>
          <w:rFonts w:hint="eastAsia" w:ascii="宋体" w:hAnsi="宋体" w:eastAsia="宋体" w:cs="宋体"/>
          <w:bCs/>
          <w:kern w:val="2"/>
          <w:sz w:val="21"/>
          <w:szCs w:val="21"/>
        </w:rPr>
        <w:t>元</w:t>
      </w:r>
      <w:r>
        <w:rPr>
          <w:rFonts w:hint="eastAsia" w:ascii="宋体" w:hAnsi="宋体" w:eastAsia="宋体" w:cs="宋体"/>
          <w:bCs/>
          <w:kern w:val="2"/>
          <w:sz w:val="21"/>
          <w:szCs w:val="21"/>
          <w:lang w:val="zh-CN"/>
        </w:rPr>
        <w:t xml:space="preserve"> 。</w:t>
      </w:r>
    </w:p>
    <w:p w14:paraId="0A36F4D0">
      <w:pPr>
        <w:numPr>
          <w:ilvl w:val="1"/>
          <w:numId w:val="0"/>
        </w:numPr>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sz w:val="21"/>
          <w:szCs w:val="21"/>
        </w:rPr>
        <w:t xml:space="preserve">5.2 </w:t>
      </w:r>
      <w:r>
        <w:rPr>
          <w:rFonts w:hint="eastAsia" w:ascii="宋体" w:hAnsi="宋体" w:eastAsia="宋体" w:cs="宋体"/>
          <w:bCs/>
          <w:kern w:val="2"/>
          <w:sz w:val="21"/>
          <w:szCs w:val="21"/>
          <w:lang w:val="zh-CN"/>
        </w:rPr>
        <w:t>履约担保用于补偿</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因</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不能完成其合同义务而蒙受的损失或其他合同约定的事项。如发生下列任一情况时，</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有权依合同追究违约责任外，同时有权提取履约担保并进行相应处理：</w:t>
      </w:r>
    </w:p>
    <w:p w14:paraId="6366DFD8">
      <w:pPr>
        <w:numPr>
          <w:ilvl w:val="1"/>
          <w:numId w:val="0"/>
        </w:numPr>
        <w:spacing w:line="360" w:lineRule="auto"/>
        <w:ind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（1）</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将本合同部分或全部转包给第三人，或者未经</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书面同意，将本项目分包给第三人的，甲方有权没收其履约担保。</w:t>
      </w:r>
    </w:p>
    <w:p w14:paraId="6E7EE299">
      <w:pPr>
        <w:numPr>
          <w:ilvl w:val="1"/>
          <w:numId w:val="0"/>
        </w:numPr>
        <w:spacing w:line="360" w:lineRule="auto"/>
        <w:ind w:left="562" w:leftChars="174" w:right="18" w:hanging="144" w:hangingChars="69"/>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（2）在合同履行期间，</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怠于履行合同义务，经</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通知或要求承担违约金后仍</w:t>
      </w:r>
    </w:p>
    <w:p w14:paraId="6929D3D8">
      <w:pPr>
        <w:numPr>
          <w:ilvl w:val="1"/>
          <w:numId w:val="0"/>
        </w:numPr>
        <w:spacing w:line="360" w:lineRule="auto"/>
        <w:ind w:right="18"/>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拒不改正的，</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可依法没收或适当扣除其履约担保。</w:t>
      </w:r>
    </w:p>
    <w:p w14:paraId="061B7B5B">
      <w:pPr>
        <w:spacing w:line="360" w:lineRule="auto"/>
        <w:ind w:left="-12" w:leftChars="-5" w:right="18" w:firstLine="420" w:firstLineChars="200"/>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w:t>
      </w:r>
      <w:r>
        <w:rPr>
          <w:rFonts w:hint="eastAsia" w:ascii="宋体" w:hAnsi="宋体" w:eastAsia="宋体" w:cs="宋体"/>
          <w:bCs/>
          <w:kern w:val="2"/>
          <w:sz w:val="21"/>
          <w:szCs w:val="21"/>
        </w:rPr>
        <w:t>3</w:t>
      </w:r>
      <w:r>
        <w:rPr>
          <w:rFonts w:hint="eastAsia" w:ascii="宋体" w:hAnsi="宋体" w:eastAsia="宋体" w:cs="宋体"/>
          <w:bCs/>
          <w:kern w:val="2"/>
          <w:sz w:val="21"/>
          <w:szCs w:val="21"/>
          <w:lang w:val="zh-CN"/>
        </w:rPr>
        <w:t>）在合同履行期间，因</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服务质量问题造成损害、侵权损失（包括但不限于</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经济损失、</w:t>
      </w:r>
      <w:r>
        <w:rPr>
          <w:rFonts w:hint="eastAsia" w:ascii="宋体" w:hAnsi="宋体" w:eastAsia="宋体" w:cs="宋体"/>
          <w:bCs/>
          <w:kern w:val="2"/>
          <w:sz w:val="21"/>
          <w:szCs w:val="21"/>
        </w:rPr>
        <w:t>乙方所雇人员及</w:t>
      </w:r>
      <w:r>
        <w:rPr>
          <w:rFonts w:hint="eastAsia" w:ascii="宋体" w:hAnsi="宋体" w:eastAsia="宋体" w:cs="宋体"/>
          <w:bCs/>
          <w:kern w:val="2"/>
          <w:sz w:val="21"/>
          <w:szCs w:val="21"/>
          <w:lang w:val="zh-CN"/>
        </w:rPr>
        <w:t>第三人人身财产损失等）、</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拖欠其他供应商货款或与其所雇用员工发生劳资纠纷、上访、闹事或其他影响甲方生产经营等情况而其未及时妥善处理的，</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有权使用履约担保予以支付或作出相应处理，由此产生的一切法律后果由</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承担。</w:t>
      </w:r>
    </w:p>
    <w:p w14:paraId="25276DCE">
      <w:pPr>
        <w:numPr>
          <w:ilvl w:val="1"/>
          <w:numId w:val="0"/>
        </w:numPr>
        <w:spacing w:line="360" w:lineRule="auto"/>
        <w:ind w:left="562" w:leftChars="174" w:right="18" w:hanging="144" w:hangingChars="69"/>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（4）在合同履行期间，</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违约产生的违约金、赔偿、罚款或其他应付费用等款项，</w:t>
      </w:r>
    </w:p>
    <w:p w14:paraId="3224B990">
      <w:pPr>
        <w:numPr>
          <w:ilvl w:val="1"/>
          <w:numId w:val="0"/>
        </w:numPr>
        <w:spacing w:line="360" w:lineRule="auto"/>
        <w:ind w:right="18"/>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有权直接从未付款项中直接扣除或启用履约担保予以支付。</w:t>
      </w:r>
    </w:p>
    <w:p w14:paraId="43BA9340">
      <w:pPr>
        <w:numPr>
          <w:ilvl w:val="0"/>
          <w:numId w:val="1"/>
        </w:numPr>
        <w:spacing w:line="360" w:lineRule="auto"/>
        <w:ind w:left="562" w:leftChars="174" w:right="18" w:hanging="144" w:hangingChars="69"/>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合同期内，</w:t>
      </w:r>
      <w:r>
        <w:rPr>
          <w:rFonts w:hint="eastAsia" w:ascii="宋体" w:hAnsi="宋体" w:eastAsia="宋体" w:cs="宋体"/>
          <w:bCs/>
          <w:kern w:val="2"/>
          <w:sz w:val="21"/>
          <w:szCs w:val="21"/>
        </w:rPr>
        <w:t>乙方</w:t>
      </w:r>
      <w:r>
        <w:rPr>
          <w:rFonts w:hint="eastAsia" w:ascii="宋体" w:hAnsi="宋体" w:eastAsia="宋体" w:cs="宋体"/>
          <w:bCs/>
          <w:kern w:val="2"/>
          <w:sz w:val="21"/>
          <w:szCs w:val="21"/>
          <w:lang w:val="zh-CN"/>
        </w:rPr>
        <w:t>不能及时完成某项合同义务的，</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有权提取履约担保用于处理</w:t>
      </w:r>
    </w:p>
    <w:p w14:paraId="26AF921B">
      <w:pPr>
        <w:spacing w:line="360" w:lineRule="auto"/>
        <w:ind w:right="18"/>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该项工作。</w:t>
      </w:r>
    </w:p>
    <w:p w14:paraId="23B32EB6">
      <w:pPr>
        <w:numPr>
          <w:ilvl w:val="0"/>
          <w:numId w:val="1"/>
        </w:numPr>
        <w:spacing w:line="360" w:lineRule="auto"/>
        <w:ind w:left="562" w:leftChars="174" w:right="18" w:hanging="144" w:hangingChars="69"/>
        <w:jc w:val="both"/>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其他根据本合同约定或法律规定，</w:t>
      </w:r>
      <w:r>
        <w:rPr>
          <w:rFonts w:hint="eastAsia" w:ascii="宋体" w:hAnsi="宋体" w:eastAsia="宋体" w:cs="宋体"/>
          <w:bCs/>
          <w:kern w:val="2"/>
          <w:sz w:val="21"/>
          <w:szCs w:val="21"/>
        </w:rPr>
        <w:t>甲方</w:t>
      </w:r>
      <w:r>
        <w:rPr>
          <w:rFonts w:hint="eastAsia" w:ascii="宋体" w:hAnsi="宋体" w:eastAsia="宋体" w:cs="宋体"/>
          <w:bCs/>
          <w:kern w:val="2"/>
          <w:sz w:val="21"/>
          <w:szCs w:val="21"/>
          <w:lang w:val="zh-CN"/>
        </w:rPr>
        <w:t>可启用履约担保的情形。</w:t>
      </w:r>
    </w:p>
    <w:p w14:paraId="79E1DF51">
      <w:pPr>
        <w:spacing w:line="360" w:lineRule="auto"/>
        <w:ind w:left="252" w:leftChars="105" w:right="18" w:firstLine="210" w:firstLineChars="100"/>
        <w:jc w:val="both"/>
        <w:rPr>
          <w:rFonts w:hint="eastAsia" w:ascii="宋体" w:hAnsi="宋体" w:eastAsia="宋体" w:cs="宋体"/>
          <w:bCs/>
          <w:kern w:val="2"/>
          <w:sz w:val="21"/>
          <w:szCs w:val="21"/>
        </w:rPr>
      </w:pPr>
      <w:r>
        <w:rPr>
          <w:rFonts w:hint="eastAsia" w:ascii="宋体" w:hAnsi="宋体" w:eastAsia="宋体" w:cs="宋体"/>
          <w:bCs/>
          <w:kern w:val="2"/>
          <w:sz w:val="21"/>
          <w:szCs w:val="21"/>
        </w:rPr>
        <w:t>5.3 在本合同服务期满且乙方完成本合同项下全部服务后二十八（28）日内，甲方在</w:t>
      </w:r>
    </w:p>
    <w:p w14:paraId="30B9AC81">
      <w:pPr>
        <w:spacing w:line="360" w:lineRule="auto"/>
        <w:ind w:right="18"/>
        <w:jc w:val="both"/>
        <w:rPr>
          <w:rFonts w:hint="eastAsia" w:ascii="宋体" w:hAnsi="宋体" w:eastAsia="宋体" w:cs="宋体"/>
          <w:bCs/>
          <w:kern w:val="2"/>
          <w:sz w:val="21"/>
          <w:szCs w:val="21"/>
        </w:rPr>
      </w:pPr>
      <w:r>
        <w:rPr>
          <w:rFonts w:hint="eastAsia" w:ascii="宋体" w:hAnsi="宋体" w:eastAsia="宋体" w:cs="宋体"/>
          <w:bCs/>
          <w:kern w:val="2"/>
          <w:sz w:val="21"/>
          <w:szCs w:val="21"/>
        </w:rPr>
        <w:t>扣除相应的费用（若有）后将履约担保余额无息退还乙方。</w:t>
      </w:r>
    </w:p>
    <w:p w14:paraId="3475BE86">
      <w:pPr>
        <w:spacing w:line="360" w:lineRule="auto"/>
        <w:ind w:firstLine="420" w:firstLineChars="200"/>
        <w:rPr>
          <w:rFonts w:hint="eastAsia" w:ascii="宋体" w:hAnsi="宋体" w:eastAsia="宋体" w:cs="宋体"/>
        </w:rPr>
      </w:pPr>
      <w:r>
        <w:rPr>
          <w:rFonts w:hint="eastAsia" w:ascii="宋体" w:hAnsi="宋体" w:eastAsia="宋体" w:cs="宋体"/>
          <w:bCs/>
          <w:kern w:val="2"/>
          <w:sz w:val="21"/>
          <w:szCs w:val="21"/>
        </w:rPr>
        <w:t>5.4 在合同履行过程中，不论何种原因导致履约担保数额不符合合同要求的，乙方应当在5日内予以补足。逾期不予补足的，甲方有权按需补足的金额要求乙方承担违约金，并要求限期补足。如乙方仍不补足的，甲方有权单方解除合同。</w:t>
      </w:r>
    </w:p>
    <w:p w14:paraId="052D365B">
      <w:pPr>
        <w:spacing w:line="360" w:lineRule="auto"/>
        <w:rPr>
          <w:rFonts w:hint="eastAsia" w:ascii="宋体" w:hAnsi="宋体" w:eastAsia="宋体" w:cs="宋体"/>
          <w:b/>
          <w:sz w:val="21"/>
          <w:szCs w:val="21"/>
        </w:rPr>
      </w:pPr>
      <w:r>
        <w:rPr>
          <w:rFonts w:hint="eastAsia" w:ascii="宋体" w:hAnsi="宋体" w:eastAsia="宋体" w:cs="宋体"/>
          <w:b/>
          <w:sz w:val="21"/>
          <w:szCs w:val="21"/>
        </w:rPr>
        <w:t>第六条 双方的权利与义务</w:t>
      </w:r>
    </w:p>
    <w:p w14:paraId="2B43E871">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6.1 明确划分双方的责任风险</w:t>
      </w:r>
    </w:p>
    <w:p w14:paraId="2367A7B8">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余泥一旦运出甲方贮存点或甲方指定的贮存点厂门，责任风险则全部转移由乙方承担，乙方应当做好各项风险防范措施。</w:t>
      </w:r>
    </w:p>
    <w:p w14:paraId="2A1F0D2F">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 甲方的权利与义务</w:t>
      </w:r>
    </w:p>
    <w:p w14:paraId="6BA347C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6.2.1 甲方有权对余泥运输和处置全过程进行监督。</w:t>
      </w:r>
    </w:p>
    <w:p w14:paraId="73239A5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6.2.2 甲方有权要求乙方提供乙方或其委托的运输单位的道路运输经营许可资质证书、运输车辆的证件和运输司机的证件，有权要求乙方提供最终处置的副产品检测结果报告（本合同第3.5款约定无需提供检测报告的除外）。</w:t>
      </w:r>
    </w:p>
    <w:p w14:paraId="7E7FA84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6.2.3 在乙方无违约情形的前提下，甲方有义务按合同约定向乙方支付余泥处置服务费。</w:t>
      </w:r>
    </w:p>
    <w:p w14:paraId="6A2F3C6F">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6.2.4 甲方委托乙方处置的余泥不得掺杂危险废物及石块、塑料等可能导致乙方机械卡停、损坏的其他杂物。</w:t>
      </w:r>
    </w:p>
    <w:p w14:paraId="4A3DA22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6.2.5 甲方指定【</w:t>
      </w:r>
      <w:r>
        <w:rPr>
          <w:rFonts w:hint="eastAsia" w:ascii="宋体" w:hAnsi="宋体" w:eastAsia="宋体" w:cs="宋体"/>
          <w:bCs/>
          <w:sz w:val="21"/>
          <w:szCs w:val="21"/>
          <w:u w:val="single"/>
        </w:rPr>
        <w:t>李伟聪 13560886687</w:t>
      </w:r>
      <w:r>
        <w:rPr>
          <w:rFonts w:hint="eastAsia" w:ascii="宋体" w:hAnsi="宋体" w:eastAsia="宋体" w:cs="宋体"/>
          <w:bCs/>
          <w:sz w:val="21"/>
          <w:szCs w:val="21"/>
        </w:rPr>
        <w:t>】为本项目的联系人，代表甲方与乙方进行沟通、联络。</w:t>
      </w:r>
    </w:p>
    <w:p w14:paraId="121D6534">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6.2.6 服务期内，甲方有权根据乙方的处置能力，无害、资源化处置本合同下余泥的效率、处置后的副产品质量、专业及规范化程度，以及服务期乙方提交资料的及时性、完整性、准确率，乙方诚信履约、服务态度、配合程度等综合情况自主确定向乙方转移的余泥量。乙方不得因为甲方实际向其转移的余泥数量减少或增加，而要求甲方提供任何形式的补偿或赔偿。</w:t>
      </w:r>
    </w:p>
    <w:p w14:paraId="60CA8EA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6.2.7 乙方出现无法满足经甲方余泥处置需求时，甲方可根据实际情况进行应急调配，启用应急处置单位临时承接余泥外运处置工作（常态化处置单位适用）。</w:t>
      </w:r>
    </w:p>
    <w:p w14:paraId="60DD7814">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6.2.8 因乙方原因，导致服务合同解除的，甲方有权按《成交人名单》，递补排序第一的应急处置单位成为新的常态化单位（常态化处置单位适用）。</w:t>
      </w:r>
    </w:p>
    <w:p w14:paraId="5D50B79F">
      <w:pPr>
        <w:spacing w:line="360" w:lineRule="auto"/>
        <w:ind w:firstLine="420" w:firstLineChars="200"/>
        <w:rPr>
          <w:rFonts w:hint="eastAsia" w:ascii="宋体" w:hAnsi="宋体" w:eastAsia="宋体" w:cs="宋体"/>
        </w:rPr>
      </w:pPr>
      <w:r>
        <w:rPr>
          <w:rFonts w:hint="eastAsia" w:ascii="宋体" w:hAnsi="宋体" w:eastAsia="宋体" w:cs="宋体"/>
          <w:bCs/>
          <w:sz w:val="21"/>
          <w:szCs w:val="21"/>
        </w:rPr>
        <w:t>6.2.9 根据本合同约定，乙方应支付的违约金、赔偿金、费用等，甲方有权从履约担保（入库或单项合同）或未付款项中直接抵扣。</w:t>
      </w:r>
    </w:p>
    <w:p w14:paraId="6285485C">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 乙方的权利与义务</w:t>
      </w:r>
    </w:p>
    <w:p w14:paraId="3686420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6.3.1 在无违约情形的前提下，乙方有权要求甲方按照最终确认的处置量和单价支付余泥处置服务费。</w:t>
      </w:r>
    </w:p>
    <w:p w14:paraId="77208B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6.3.2 乙方应在接到甲方外运转移余泥通知之日起，2日内按甲方要求的运力实施转移和处置，并按甲方的要求连续不间断的外运处置余泥等一般固体废物。乙方如因计划检修、设备保养等，不能接收甲方余泥等一般固体废物的，应当提前三天告知甲方，因不可抗力造成不能接收余泥的，应在不可抗力事件发生后三天内通知甲方并及时采取措施防止损失进一步扩大。乙方经甲方通知后拒不向甲方提供余泥处置服务的，每延误一天，甲方有权要求乙方根据本合同第7.1款的约定承担违约责任。同时甲方有权另行委托处置服务库内供应商或其他第三方进行外运、处置，由此产生的处置服务费及其他一切损失由乙方承担。</w:t>
      </w:r>
    </w:p>
    <w:p w14:paraId="12B2FF71">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6.3.3 在合同的履行期间，乙方应当保持相应资质的有效性，具备主管部门对余泥处置单位的要求条件和企业生产经营许可的相关资质要求。如因乙方前述资质、未办理对应手续等履约条件丧失，乙方应至少提前15天书面通知甲方。如乙方因资质丧失等情况导致无法承接委托的，甲方有权停止委托乙方处置余泥，并根据合同约定要求乙方承担违约金。同时，造成甲方的经济损失（包括但不限于重新招标、委托第三方的费用），由乙方承担全部赔偿。</w:t>
      </w:r>
    </w:p>
    <w:p w14:paraId="30261CEB">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6.3.4 乙方有义务配备履行本服务合同必需的运输设备和工具，乙方或其指定的第三方具有道路运输经营许可证并符合一般工业固废运输的要求，运输司机及运输车辆须有正规保险凭证，运输司机及运输车辆必须持有合法、正规牌照、并且按照合同双方确定的余泥运输常用（备用）路线运输。运输车辆应当全部安装GPS定位系统，并能直接与甲方在线监管平台对接，实时显示余泥等一般固体废物运输轨迹等信息。乙方自有的车载GPS定位系统不能直接与甲方在线监管平台对接的，甲方提供定位系统设备供乙方使用。乙方必须保护好甲方定位系统设备免受损坏，若非甲方原因定位系统设备损坏的，乙方向甲方支付500元/台的违约金。在运输过程中，乙方应保证GPS定位系统能正常接收信号，运输全程纳入定位管理，若运输过程中因乙方原因导致出现信号无法正常连接或中断的，期间发生交通运输事故或运输过程中导致环境污染的，乙方须负主要责任，并承担由此产生的一切行政和经济法律责任。若乙方中止为甲方提供余泥处置服务，应在5个工作日内向甲方归还完好的定位系统设备，定位系统设备每延期归还一天，乙方向甲方支付500元/台的违约金，甲方有权直接在处置服务费、入库或单项合同履约担保中直接抵扣。</w:t>
      </w:r>
    </w:p>
    <w:p w14:paraId="401093AF">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在卸货现场，乙方必须安装可连接网络的监控设备，并向甲方提供连接网络的端口信息，接入甲方在线监管平台。运输及装卸过程必须做好相关交通安全和环保安全等措施。</w:t>
      </w:r>
    </w:p>
    <w:p w14:paraId="1FAB8AC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6.3.5 乙方应当制定完善的余泥环境管理的规章制度、工作流程、应急管理制度、生产安全培训制度，定期进行应急演练和安全管理培训，并做好应急演练记录和安全管理培训记录归档。</w:t>
      </w:r>
    </w:p>
    <w:p w14:paraId="64D10D0C">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6.3.6 乙方应当严格按照要求存贮及处置余泥，在余泥处置完成后，应向甲方提供余泥最终去处的证明材料（包括但不限于余泥接收台账、余泥最终处置台账等）以及余泥处置后的副产品（如砖制品等产品）符合国家标准的证明材料（包括但不限于检测合格报告等），并应确保上述证明文件的真实性。</w:t>
      </w:r>
    </w:p>
    <w:p w14:paraId="44B18DC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6.3.7 乙方应接受甲方对余泥处置的全过程监督，保证余泥全部用于本合同第1.3款约定的方式处置。</w:t>
      </w:r>
    </w:p>
    <w:p w14:paraId="4BB60800">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6.3.8 本合同禁止转包。乙方承诺将甲方交付的余泥自行依法处置完毕，不将甲方交付的余泥（或乙方处理后的半成品）交由第三方处置。经甲方书面同意后，乙方可将乙方不具备对应资质的本合同非主体、非关键性工作（余泥运输、余泥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w:t>
      </w:r>
    </w:p>
    <w:p w14:paraId="3987A62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乙方负责分包单位的管理、材料及成果的接收，乙方对分包单位的安全、工作质量负责。乙方根据本合同的约定对甲方负责，分包单位按照分包合同的约定对乙方负责。乙方和其分包单位就分包工作对甲方承担连带责任，且分包单位违约视为乙方违约，由乙方向甲方承担赔偿责任。</w:t>
      </w:r>
    </w:p>
    <w:p w14:paraId="0A85B792">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6.3.9 在服务过程中，乙方在余泥运输及处置过程中应对自身的安全生产负责，如在服务期内发生任何相关环境质量、安全事故或其他由于乙方原因导致的事故时，均由乙方自行负责。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在余泥处置服务费中直接扣除。</w:t>
      </w:r>
    </w:p>
    <w:p w14:paraId="3027A0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6.3.10 乙方在余泥运输过程中严禁将余泥在处置场所以外进行中转存放或堆放，严禁将未经处置的余泥等一般固体废物违规偷倒、丢弃、填埋。余泥等一般固体废物运输过程中不得进行中间装卸操作。运输过程中，应当防止造成二次污染，运输过程中发生余泥等一般固体废物泄漏、随意丢弃或倾倒等导致环境污染的，由乙方承担相应的行政责任及经济责任，乙方对运输及装卸过程的环境、安全负全责。</w:t>
      </w:r>
    </w:p>
    <w:p w14:paraId="2A45E0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6.3.11 乙方应严格按照交通运输及相关法律、法规操作，安全、合法地运输。乙方在任何情况下都不得进行任何形式的超载运输，否则造成的一切后果由乙方承担。</w:t>
      </w:r>
    </w:p>
    <w:p w14:paraId="50432B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6.3.12 乙方所采用的余泥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152A1B5D">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highlight w:val="none"/>
        </w:rPr>
        <w:t xml:space="preserve">6.3.13 </w:t>
      </w:r>
      <w:r>
        <w:rPr>
          <w:rFonts w:hint="eastAsia" w:ascii="宋体" w:hAnsi="宋体" w:eastAsia="宋体" w:cs="宋体"/>
          <w:color w:val="000000" w:themeColor="text1"/>
          <w:sz w:val="21"/>
          <w:szCs w:val="21"/>
          <w:highlight w:val="none"/>
          <w:lang w:eastAsia="zh-CN"/>
          <w14:textFill>
            <w14:solidFill>
              <w14:schemeClr w14:val="tx1"/>
            </w14:solidFill>
          </w14:textFill>
        </w:rPr>
        <w:t>余泥</w:t>
      </w:r>
      <w:r>
        <w:rPr>
          <w:rFonts w:hint="eastAsia" w:ascii="宋体" w:hAnsi="宋体" w:eastAsia="宋体" w:cs="宋体"/>
          <w:color w:val="000000" w:themeColor="text1"/>
          <w:sz w:val="21"/>
          <w:szCs w:val="21"/>
          <w:highlight w:val="none"/>
          <w14:textFill>
            <w14:solidFill>
              <w14:schemeClr w14:val="tx1"/>
            </w14:solidFill>
          </w14:textFill>
        </w:rPr>
        <w:t>外运前，</w:t>
      </w:r>
      <w:r>
        <w:rPr>
          <w:rFonts w:hint="eastAsia" w:ascii="宋体" w:hAnsi="宋体" w:eastAsia="宋体" w:cs="宋体"/>
          <w:bCs/>
          <w:sz w:val="21"/>
          <w:szCs w:val="21"/>
        </w:rPr>
        <w:t>乙方应向甲方提供运输车辆和司机信息资料。</w:t>
      </w:r>
    </w:p>
    <w:p w14:paraId="3F7D223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6.3.14 乙方必须制定与余泥处置有关的规章制度和发生意外事故时的应急预案，并向甲方报备。发生余泥流失、泄漏、扩散时，乙方应当立即采取紧急处理措施，并及时向生态环境主管部门报告。</w:t>
      </w:r>
    </w:p>
    <w:p w14:paraId="7331B1C9">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6.3.15 乙方必须在余泥到达其卸货点的次日10:00前，向甲方提供该车余泥装卸货过程中的相关资料，资料应按照甲方的要求进行制作，并按照甲方要求的方式提交。</w:t>
      </w:r>
    </w:p>
    <w:p w14:paraId="3B6818B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6.3.16 乙方指定【</w:t>
      </w:r>
      <w:r>
        <w:rPr>
          <w:rFonts w:hint="eastAsia" w:ascii="宋体" w:hAnsi="宋体" w:eastAsia="宋体" w:cs="宋体"/>
          <w:sz w:val="21"/>
          <w:szCs w:val="21"/>
          <w:u w:val="single"/>
        </w:rPr>
        <w:t xml:space="preserve">                 </w:t>
      </w:r>
      <w:r>
        <w:rPr>
          <w:rFonts w:hint="eastAsia" w:ascii="宋体" w:hAnsi="宋体" w:eastAsia="宋体" w:cs="宋体"/>
          <w:bCs/>
          <w:sz w:val="21"/>
          <w:szCs w:val="21"/>
        </w:rPr>
        <w:t>】为本项目的联系人，代表乙方与甲方进行沟通、联络。</w:t>
      </w:r>
    </w:p>
    <w:p w14:paraId="635DD18A">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6.3.17 乙方指定其员工【</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具体名单见附件2）为本项目余泥接收确认人；乙方确认：对该接收确认人签收的《生活污水处理厂余泥转移联单》，均视同乙方签收，若乙方接收确认人员调整，乙方须征得甲方书面同意，否则甲方有权对非本合同约定的接收确认人签收的余泥量不予承认。乙方承诺根据本合同3.4款的要求对《生活污水处理厂余泥转移联单》加盖公章（含乙方分包给具有资质的第三方运输时运输单位的公章，盖章处为“接收单位”、“运输单位”栏）。</w:t>
      </w:r>
    </w:p>
    <w:p w14:paraId="578C6C0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6.3.18 甲方通过银行承兑汇票或商业承兑汇票支付处置服务费时，乙方还应根据相关法律法规的规定履行以下义务：</w:t>
      </w:r>
    </w:p>
    <w:p w14:paraId="4C80596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（1）乙方不得更改票据金额、日期、收款人名称，更改的票据无效。对票据上的其他记载事项，甲方可以更改，更改时应当由甲方签章证明。</w:t>
      </w:r>
    </w:p>
    <w:p w14:paraId="477D115C">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（2）乙方应自汇票到期前十日内持汇票向汇票指定银行提示付款。乙方向银行申请汇票贴现的，贴现利息以及相关手续费用等均由乙方自行承担，甲方无需承担因此产生的利息、手续费等任何费用。</w:t>
      </w:r>
    </w:p>
    <w:p w14:paraId="492A9A8B">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（3）乙方获得付款的，应当在汇票上签收，并将汇票交给银行。乙方委托银行收款的，受委托的银行将代收的汇票金额转账收入乙方账户的，视同签收。</w:t>
      </w:r>
    </w:p>
    <w:p w14:paraId="6B9F9B5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1965B6E1">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（5）本合同项下的汇票以合同的真实合法交易关系为基础，乙方不履行合同约定义务的，甲方有权拒绝向乙方付款。</w:t>
      </w:r>
    </w:p>
    <w:p w14:paraId="7A4C7D5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（6）乙方不得提供伪造或变造的票据向银行提示付款，否则，乙方除需依法承担相应的法律责任外，甲方有权追究乙方违约责任，并要求乙方支付1万元违约金，如甲方因此遭受损失的，乙方还应予全额赔偿。</w:t>
      </w:r>
    </w:p>
    <w:p w14:paraId="23C98CA2">
      <w:pPr>
        <w:spacing w:line="36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6.3.19 乙方应当对</w:t>
      </w:r>
      <w:r>
        <w:rPr>
          <w:rFonts w:hint="eastAsia" w:ascii="宋体" w:hAnsi="宋体" w:eastAsia="宋体" w:cs="宋体"/>
          <w:sz w:val="21"/>
          <w:szCs w:val="21"/>
        </w:rPr>
        <w:t>余泥运输和处置情况进行登记建立台账信息，同时按照甲方要求在处置场所进出口、污泥接收储存仓、污泥处置投料口处安装监控视频，并通过定期移交监控储存移动硬盘等方式，将监控视频资料移交给甲方。运输和处置等相关台账信息资料保存时间为至少5年，监控视频资料保存时间至少1年。</w:t>
      </w:r>
    </w:p>
    <w:p w14:paraId="09E5E48E">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6.3.20 乙方或其指定的第三方运输人员应当配合甲方及余泥产生单位的现场人员调度，遵守装车现场安全作业行为规范及防疫要求。</w:t>
      </w:r>
    </w:p>
    <w:p w14:paraId="7AA254E4">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 xml:space="preserve">6.3.21 </w:t>
      </w:r>
      <w:r>
        <w:rPr>
          <w:rFonts w:hint="eastAsia" w:ascii="宋体" w:hAnsi="宋体" w:eastAsia="宋体" w:cs="宋体"/>
          <w:sz w:val="21"/>
          <w:szCs w:val="21"/>
        </w:rPr>
        <w:t>乙方车辆及运输人员到达甲方余泥贮存点后，一切活动均须服从相关管理要求，包括不限于服从甲方（或甲方委托的排泥水处理服务单位、余泥产生单位）现场管理人员的调度、指挥，遵守现场安全作业行为规范、现场秩序和防疫要求，按要求穿戴个人防护用品，未经同意，不能进入与余泥装运无关的区域，不得影响甲方（或甲方委托的排泥水处理服务单位、余泥产生单位）的办公、生产、生活等。对不服从管理或存在“三违行为”（即违章指挥，违规作业，违反劳动纪律）的乙方车辆及运输人员，甲方（或甲方委托的排泥水处理服务单位、余泥产生单位）有权拒绝其进入。乙方给甲方（或甲方委托的排泥水处理服务单位、余泥产生单位）造成的损失，全部由乙方承担相应责任及赔偿。</w:t>
      </w:r>
    </w:p>
    <w:p w14:paraId="6430AFF1">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6.3.22 乙方处置项目需取得生态环境主管部门环境影响评价文件[项目包含市政（生活/城市/城镇污水处理厂）污泥或市政管网清淤污泥或河道/航道/江河淤泥的处理或处置相关内容]的批复或该项目已取得地级市（或以上）行政主管部门同意其处置排泥水余泥，且项目的环境保护设施已验收合格或已取得生态环境主管部门的环保验收批复。乙方转移处置余泥时，应编制具体的余泥转移方案等资料，并将企业资质，环评批复等相关文件抄送一份给甲方审核备案。</w:t>
      </w:r>
    </w:p>
    <w:bookmarkEnd w:id="686"/>
    <w:p w14:paraId="4DCAA2EC">
      <w:pPr>
        <w:widowControl/>
        <w:spacing w:line="360" w:lineRule="auto"/>
        <w:rPr>
          <w:rFonts w:hint="eastAsia" w:ascii="宋体" w:hAnsi="宋体" w:eastAsia="宋体" w:cs="宋体"/>
          <w:b/>
          <w:sz w:val="21"/>
          <w:szCs w:val="21"/>
        </w:rPr>
      </w:pPr>
      <w:bookmarkStart w:id="688" w:name="_Toc56076615"/>
      <w:r>
        <w:rPr>
          <w:rFonts w:hint="eastAsia" w:ascii="宋体" w:hAnsi="宋体" w:eastAsia="宋体" w:cs="宋体"/>
          <w:b/>
          <w:sz w:val="21"/>
          <w:szCs w:val="21"/>
        </w:rPr>
        <w:t>第七条 违约责任</w:t>
      </w:r>
    </w:p>
    <w:p w14:paraId="4CE3E870">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 xml:space="preserve">7.1 </w:t>
      </w:r>
      <w:r>
        <w:rPr>
          <w:rFonts w:hint="eastAsia" w:ascii="宋体" w:hAnsi="宋体" w:eastAsia="宋体" w:cs="宋体"/>
          <w:sz w:val="21"/>
          <w:szCs w:val="21"/>
        </w:rPr>
        <w:t>在本合同履约期间，乙方原因导致余泥处置能力无法达到承诺接收量的(甲方要求或不可抗力导致除外),甲方有权自行委托第三方处置。乙方减产或停产，持续天数少于等于5天的，为确保工作顺利开展，甲方将连续5天安排应急处置单位承接余泥外运处置工作，5天后恢复由乙方承接，故乙方减产或停产持续时间少于等于5天的，按5天计算，大于5天的，甲方按实际情况处理和计算乙方减产或停产天数；乙方累计减产或停产天数累计达到15天或以上的(甲方要求或不可抗力导致除外）,甲方有权</w:t>
      </w:r>
      <w:r>
        <w:rPr>
          <w:rFonts w:hint="eastAsia" w:ascii="宋体" w:hAnsi="宋体" w:eastAsia="宋体" w:cs="宋体"/>
          <w:color w:val="000000"/>
          <w:sz w:val="21"/>
          <w:szCs w:val="21"/>
        </w:rPr>
        <w:t>要求乙方从第16天起支付每天1万元违约金</w:t>
      </w:r>
      <w:r>
        <w:rPr>
          <w:rFonts w:hint="eastAsia" w:ascii="宋体" w:hAnsi="宋体" w:eastAsia="宋体" w:cs="宋体"/>
          <w:sz w:val="21"/>
          <w:szCs w:val="21"/>
        </w:rPr>
        <w:t>。如因减产或停产造成甲方的经济损失（包括委托第三方运输、处置的差价），均由乙方承担全部赔偿。【仅乙方为余泥常态化处置单位时适用】</w:t>
      </w:r>
    </w:p>
    <w:p w14:paraId="34647B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本合同履约期间，乙方原因导致余泥处置能力无法达到承诺接收量的(甲方要求或不可抗力导致除外),甲方有权自行委托第三方处置。乙方减产或停产，持续天数少于等于5天的，为确保工作顺利开展，甲方将连续5天安排第三方单位承接余泥外运处置工作，5天后恢复由乙方承接，故乙方减产或停产持续时间少于等于5天的，按5天计算，大于5天的，甲方按实际情况处理和计算乙方减产或停产天数；乙方累计减产或停产天数累计达到15天或以上的(甲方要求或不可抗力导致除外）,甲方有权要求乙方从第16天起支付每天1万元违约金。【仅乙方为余泥应急处置单位时适用】</w:t>
      </w:r>
    </w:p>
    <w:p w14:paraId="18014AE2">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 在本合同的履行期间，发生乙方未按要求提前通知甲方其资质条件丧失的情况，甲方有权要求乙方承担2万元违约金，并有权单方解除本合同。如因此造成甲方的经济损失，由乙方承担全部赔偿。</w:t>
      </w:r>
    </w:p>
    <w:p w14:paraId="0742D4C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7.3 乙方或其指定的第三方运输人员到达甲方余泥贮存点现场后，应服从甲方</w:t>
      </w:r>
      <w:r>
        <w:rPr>
          <w:rFonts w:hint="eastAsia" w:ascii="宋体" w:hAnsi="宋体" w:eastAsia="宋体" w:cs="宋体"/>
          <w:sz w:val="21"/>
          <w:szCs w:val="21"/>
        </w:rPr>
        <w:t>（或甲方委托的排泥水处理服务单位、余泥产生单位）</w:t>
      </w:r>
      <w:r>
        <w:rPr>
          <w:rFonts w:hint="eastAsia" w:ascii="宋体" w:hAnsi="宋体" w:eastAsia="宋体" w:cs="宋体"/>
          <w:bCs/>
          <w:sz w:val="21"/>
          <w:szCs w:val="21"/>
        </w:rPr>
        <w:t>现场管理人员的调度、指挥，配合甲方</w:t>
      </w:r>
      <w:r>
        <w:rPr>
          <w:rFonts w:hint="eastAsia" w:ascii="宋体" w:hAnsi="宋体" w:eastAsia="宋体" w:cs="宋体"/>
          <w:sz w:val="21"/>
          <w:szCs w:val="21"/>
        </w:rPr>
        <w:t>（或甲方委托的排泥水处理服务单位、余泥产生单位）</w:t>
      </w:r>
      <w:r>
        <w:rPr>
          <w:rFonts w:hint="eastAsia" w:ascii="宋体" w:hAnsi="宋体" w:eastAsia="宋体" w:cs="宋体"/>
          <w:bCs/>
          <w:sz w:val="21"/>
          <w:szCs w:val="21"/>
        </w:rPr>
        <w:t>现场人员调度，遵守装车现场安全作业行为规范及防疫要求。如有违反，甲方有权按照0.3万元/人次标准要求乙方支付违约金，并要求乙方限期整改，乙方未能在甲方限期内完成整改或整改后仍不符合甲方要求的，甲方有权单方解除本合同</w:t>
      </w:r>
      <w:r>
        <w:rPr>
          <w:rFonts w:hint="eastAsia" w:ascii="宋体" w:hAnsi="宋体" w:eastAsia="宋体" w:cs="宋体"/>
          <w:sz w:val="21"/>
          <w:szCs w:val="21"/>
        </w:rPr>
        <w:t>，</w:t>
      </w:r>
      <w:r>
        <w:rPr>
          <w:rFonts w:hint="eastAsia" w:ascii="宋体" w:hAnsi="宋体" w:eastAsia="宋体" w:cs="宋体"/>
          <w:bCs/>
          <w:sz w:val="21"/>
          <w:szCs w:val="21"/>
        </w:rPr>
        <w:t>并有权要求乙方承担入库合同以及本合同履约担保等额标准的违约金。</w:t>
      </w:r>
    </w:p>
    <w:p w14:paraId="27D6D88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乙方给</w:t>
      </w:r>
      <w:r>
        <w:rPr>
          <w:rFonts w:hint="eastAsia" w:ascii="宋体" w:hAnsi="宋体" w:eastAsia="宋体" w:cs="宋体"/>
          <w:sz w:val="21"/>
          <w:szCs w:val="21"/>
        </w:rPr>
        <w:t>甲方委托的排泥水处理服务单位、余泥产生单位</w:t>
      </w:r>
      <w:r>
        <w:rPr>
          <w:rFonts w:hint="eastAsia" w:ascii="宋体" w:hAnsi="宋体" w:eastAsia="宋体" w:cs="宋体"/>
          <w:bCs/>
          <w:sz w:val="21"/>
          <w:szCs w:val="21"/>
        </w:rPr>
        <w:t>造成的损失，全部由乙方承担相应责任及赔偿。因乙方未能及时赔偿的，甲方有权从乙方的服务费、履约担保中扣除相关款项用以先行赔付第三方或补充所有相应损失。</w:t>
      </w:r>
    </w:p>
    <w:p w14:paraId="0A0D940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7.4 乙方应最大限度减少或降低对供水厂（或甲方委托的排泥水处理服务单位）的影响，未经甲方同意，不得进入甲方（或余泥产生单位、甲方委托的排泥水处理服务单位）其他生产、办公区域，不得影响甲方（或余泥产生单位、甲方委托的排泥水处理服务单位）现场的工作。如有违反，甲方有权按照0.3万元/人次标准要求乙方支付违约金，并要求乙方限期整改，乙方未能在甲方限期内完成整改或整改后仍不符合甲方要求的，甲方有权单方解除本合同</w:t>
      </w:r>
      <w:r>
        <w:rPr>
          <w:rFonts w:hint="eastAsia" w:ascii="宋体" w:hAnsi="宋体" w:eastAsia="宋体" w:cs="宋体"/>
          <w:sz w:val="21"/>
          <w:szCs w:val="21"/>
        </w:rPr>
        <w:t>，</w:t>
      </w:r>
      <w:r>
        <w:rPr>
          <w:rFonts w:hint="eastAsia" w:ascii="宋体" w:hAnsi="宋体" w:eastAsia="宋体" w:cs="宋体"/>
          <w:bCs/>
          <w:sz w:val="21"/>
          <w:szCs w:val="21"/>
        </w:rPr>
        <w:t>并有权要求乙方承担入库合同以及本合同履约担保等额标准的违约金。</w:t>
      </w:r>
    </w:p>
    <w:p w14:paraId="63BE302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7.5 乙方或其指定第三方运输车辆未密封、渗漏、车厢未装配电动帆布，运输过程中出现裸露、散落、泄漏等情况的，甲方有权要求乙方每次支付0.3万元的违约金，同时乙方必须在甲方限期内整改完毕，该运输车辆未完成整改前，不得参与余泥运输工作，乙方再次出现前述违约行为的，甲方有权要求乙方每次支付0.5万元的违约金，前述违约行为累计出现超过5次的，甲方有权单方解除本合同并有权要求乙方承担入库合同以及本合同履约担保等额标准的违约金。</w:t>
      </w:r>
    </w:p>
    <w:p w14:paraId="50327401">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7.6 如因乙方或其指定第三方运输过程中存在余泥撒漏、未做好防泄漏措施、随意丢弃等行为而被执法部门处罚的，每处罚一次，甲方有权要求乙方支付3万元的违约金，并要求乙方限期整改，乙方未能在甲方限期内完成整改或整改后仍不符合甲方要求的，甲方有权单方解除本合同</w:t>
      </w:r>
      <w:r>
        <w:rPr>
          <w:rFonts w:hint="eastAsia" w:ascii="宋体" w:hAnsi="宋体" w:eastAsia="宋体" w:cs="宋体"/>
          <w:sz w:val="21"/>
          <w:szCs w:val="21"/>
        </w:rPr>
        <w:t>，</w:t>
      </w:r>
      <w:r>
        <w:rPr>
          <w:rFonts w:hint="eastAsia" w:ascii="宋体" w:hAnsi="宋体" w:eastAsia="宋体" w:cs="宋体"/>
          <w:bCs/>
          <w:sz w:val="21"/>
          <w:szCs w:val="21"/>
        </w:rPr>
        <w:t>并有权要求乙方承担入库合同以及本合同履约担保等额标准的违约金。</w:t>
      </w:r>
    </w:p>
    <w:p w14:paraId="68BCA6B9">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7</w:t>
      </w:r>
      <w:r>
        <w:rPr>
          <w:rFonts w:hint="eastAsia" w:ascii="宋体" w:hAnsi="宋体" w:eastAsia="宋体" w:cs="宋体"/>
          <w:bCs/>
          <w:sz w:val="21"/>
          <w:szCs w:val="21"/>
        </w:rPr>
        <w:t xml:space="preserve"> 乙方未按本合同要求安装、管理监控视频设备和保存、移交监控视频资料的，甲方有权按照如下条款追究乙方违约责任：</w:t>
      </w:r>
    </w:p>
    <w:p w14:paraId="25FCF10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（1）乙方卸货现场必须按要求安装监控设备，如没有安装的，甲方有权要求乙方承担2万元的违约金，并有权要求乙方限期整改或直接单方解除本合同；</w:t>
      </w:r>
    </w:p>
    <w:p w14:paraId="1465FFF2">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（2）处置场所的监控设备若有损坏，乙方应在五天内完成监控设备维修，维修完成前甲方有权暂停乙方的余泥收运处置工作；</w:t>
      </w:r>
    </w:p>
    <w:p w14:paraId="5039899B">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（3）乙方逾期完成监控设备维修的，每逾期一天，甲方有权要求乙方支付0.3万元的违约金，若逾期超过7天，甲方有权单方面解除合同；</w:t>
      </w:r>
    </w:p>
    <w:p w14:paraId="7564CC40">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乙方出现监控视频资料丢失的，甲方有权要求乙方支付5万元/次的违约金，在乙方提供充分、确实的证据证明监控视频遗失时段接收的余泥已得到依法依规处置前，甲方有权暂停其余泥收运处置工作，监控视频资料丢失情况累计出现3次的，甲方有权单方解除本合同及供应商入库合同，将乙方从余泥处置服务供应商库中移除，并要求乙方按入库合同以及本合同履约担保等额标准支付违约金，因监控视频资料丢失或乙方故意丢失监控视频资料以隐瞒余泥未依约处置事实导致甲方损失（包括因此导致甲方受到行政处罚或发生经济赔偿事件等情况）的，乙方还应承担赔偿责任。</w:t>
      </w:r>
    </w:p>
    <w:p w14:paraId="58A75DE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8</w:t>
      </w:r>
      <w:r>
        <w:rPr>
          <w:rFonts w:hint="eastAsia" w:ascii="宋体" w:hAnsi="宋体" w:eastAsia="宋体" w:cs="宋体"/>
          <w:bCs/>
          <w:sz w:val="21"/>
          <w:szCs w:val="21"/>
        </w:rPr>
        <w:t xml:space="preserve"> 余泥运输过程中不得擅自进行中间装卸操作，如发生泄漏等情况，由乙方自行承担责任，甲方有权要求乙方每次支付5万元违约金并要求乙方限期整改，若乙方累计2次（含本数）因擅自进行中间装卸操作发生泄漏等情况的，甲方有权单方解除本合同</w:t>
      </w:r>
      <w:r>
        <w:rPr>
          <w:rFonts w:hint="eastAsia" w:ascii="宋体" w:hAnsi="宋体" w:eastAsia="宋体" w:cs="宋体"/>
          <w:sz w:val="21"/>
          <w:szCs w:val="21"/>
        </w:rPr>
        <w:t>，</w:t>
      </w:r>
      <w:r>
        <w:rPr>
          <w:rFonts w:hint="eastAsia" w:ascii="宋体" w:hAnsi="宋体" w:eastAsia="宋体" w:cs="宋体"/>
          <w:bCs/>
          <w:sz w:val="21"/>
          <w:szCs w:val="21"/>
        </w:rPr>
        <w:t>并有权没收入库合同以及本合同履约担保作为违约金。</w:t>
      </w:r>
    </w:p>
    <w:p w14:paraId="52B112B3">
      <w:pPr>
        <w:adjustRightInd/>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9</w:t>
      </w:r>
      <w:r>
        <w:rPr>
          <w:rFonts w:hint="eastAsia" w:ascii="宋体" w:hAnsi="宋体" w:eastAsia="宋体" w:cs="宋体"/>
          <w:bCs/>
          <w:sz w:val="21"/>
          <w:szCs w:val="21"/>
        </w:rPr>
        <w:t xml:space="preserve"> 如因乙方运输过程中存在不规范行为而被行政机关、余泥产生单位、甲方委托的排泥水处理服务单位投诉的，经甲方核实的，甲方有权要求乙方每次支付 0.3万元的违约金（本合同对该违约行为约定的违约金高于本款约定的，按较高的违约金计），并要求乙方限期整改，乙方未能在甲方限期内完成整改或整改后仍不符合甲方要求的，甲方有权单方解除本合同</w:t>
      </w:r>
      <w:r>
        <w:rPr>
          <w:rFonts w:hint="eastAsia" w:ascii="宋体" w:hAnsi="宋体" w:eastAsia="宋体" w:cs="宋体"/>
          <w:sz w:val="21"/>
          <w:szCs w:val="21"/>
        </w:rPr>
        <w:t>，</w:t>
      </w:r>
      <w:r>
        <w:rPr>
          <w:rFonts w:hint="eastAsia" w:ascii="宋体" w:hAnsi="宋体" w:eastAsia="宋体" w:cs="宋体"/>
          <w:bCs/>
          <w:sz w:val="21"/>
          <w:szCs w:val="21"/>
        </w:rPr>
        <w:t>并有权要求乙方承担入库合同以及本合同履约担保等额标准的违约金。</w:t>
      </w:r>
    </w:p>
    <w:p w14:paraId="487F2F6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0</w:t>
      </w:r>
      <w:r>
        <w:rPr>
          <w:rFonts w:hint="eastAsia" w:ascii="宋体" w:hAnsi="宋体" w:eastAsia="宋体" w:cs="宋体"/>
          <w:bCs/>
          <w:sz w:val="21"/>
          <w:szCs w:val="21"/>
        </w:rPr>
        <w:t xml:space="preserve"> 乙方应当保证接收的余泥在有关主管部门的批准下依法处置并承担相关的依法处置的法律责任。如有违法行为，甲方有权单方解除本合同</w:t>
      </w:r>
      <w:r>
        <w:rPr>
          <w:rFonts w:hint="eastAsia" w:ascii="宋体" w:hAnsi="宋体" w:eastAsia="宋体" w:cs="宋体"/>
          <w:sz w:val="21"/>
          <w:szCs w:val="21"/>
        </w:rPr>
        <w:t>，</w:t>
      </w:r>
      <w:r>
        <w:rPr>
          <w:rFonts w:hint="eastAsia" w:ascii="宋体" w:hAnsi="宋体" w:eastAsia="宋体" w:cs="宋体"/>
          <w:bCs/>
          <w:sz w:val="21"/>
          <w:szCs w:val="21"/>
        </w:rPr>
        <w:t>并要求乙方承担入库合同以及本合同履约担保等额标准的违约金。如因此给甲方造成损失的，乙方还应承担赔偿责任。</w:t>
      </w:r>
    </w:p>
    <w:p w14:paraId="190AD00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1</w:t>
      </w:r>
      <w:r>
        <w:rPr>
          <w:rFonts w:hint="eastAsia" w:ascii="宋体" w:hAnsi="宋体" w:eastAsia="宋体" w:cs="宋体"/>
          <w:bCs/>
          <w:sz w:val="21"/>
          <w:szCs w:val="21"/>
        </w:rPr>
        <w:t xml:space="preserve"> 余泥转移至乙方后，乙方应尽快依法无害化、资源化处置，因乙方未及时处置余泥，导致主管部门批评、通报或媒体曝光产生负面影响的，甲方有权要求乙方每次支付20万元的违约金，并在甲方限定的时间内处置完毕，甲方有权单方解除本合同。乙方未能在甲方限期内处置完毕的，甲方有权委托第三方进行处置，乙方除应向甲方退还已支付的该批余泥的全部处置服务费（前述第2.2.5项约定的全部含税处置服务费）外，还应向甲方支付50万元的违约金。因乙方未能及时依法处置已转移的余泥，导致甲方需将该部分余泥（或半成品）转移至第三方或运回甲方或甲方指定的余泥贮存点的运输费、装卸费、称重费等全部费用由乙方承担。甲方委托第三方进行处置时，处置服务费用高于本合同处置服务费的，该部分费用由乙方承担，乙方还应赔偿给甲方造成的一切损失。</w:t>
      </w:r>
    </w:p>
    <w:p w14:paraId="2203E39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2</w:t>
      </w:r>
      <w:r>
        <w:rPr>
          <w:rFonts w:hint="eastAsia" w:ascii="宋体" w:hAnsi="宋体" w:eastAsia="宋体" w:cs="宋体"/>
          <w:bCs/>
          <w:sz w:val="21"/>
          <w:szCs w:val="21"/>
        </w:rPr>
        <w:t xml:space="preserve"> 乙方余泥最终处置后的副产品不符合国家相关标准的，甲方有权要求乙方每批次支付1万元的违约金，同时，乙方应无条件重新进行无害化处置，直至符合国家相关标准，并自行承担因此产生的全部额外费用。</w:t>
      </w:r>
    </w:p>
    <w:p w14:paraId="5657711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3</w:t>
      </w:r>
      <w:r>
        <w:rPr>
          <w:rFonts w:hint="eastAsia" w:ascii="宋体" w:hAnsi="宋体" w:eastAsia="宋体" w:cs="宋体"/>
          <w:bCs/>
          <w:sz w:val="21"/>
          <w:szCs w:val="21"/>
        </w:rPr>
        <w:t xml:space="preserve"> 严禁乙方将未经最终处置的余泥违规偷倒、丢弃、填埋，否则，甲方有权要求乙方承担入库合同以及本合同履约担保等额标准的违约金并单方解除本合同，并由乙方自行承担违法责任和后续处置的费用。</w:t>
      </w:r>
    </w:p>
    <w:p w14:paraId="434B9E5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4</w:t>
      </w:r>
      <w:r>
        <w:rPr>
          <w:rFonts w:hint="eastAsia" w:ascii="宋体" w:hAnsi="宋体" w:eastAsia="宋体" w:cs="宋体"/>
          <w:bCs/>
          <w:sz w:val="21"/>
          <w:szCs w:val="21"/>
        </w:rPr>
        <w:t xml:space="preserve"> 如乙方未按本合同第三条的要求制作和及时完整地向甲方提交资料，甲方有权按以下标准要求乙方承担违约责任：</w:t>
      </w:r>
    </w:p>
    <w:p w14:paraId="1A7B056F">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甲方每月统计乙方未按要求提交资料的次数，乙方按以下情形承担违约责任：</w:t>
      </w:r>
    </w:p>
    <w:p w14:paraId="0E4606A8">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（1）单月首次出错的，甲方有权口头或书面要求乙方整改；</w:t>
      </w:r>
    </w:p>
    <w:p w14:paraId="437A354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（2）单月出错次数大于等于2次且小于5次的，乙方应向甲方支付违约金500元/次；</w:t>
      </w:r>
    </w:p>
    <w:p w14:paraId="3528432F">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（3）单月出错次数大于等于5次且小于10次的，乙方应向甲方支付违约金1000元/次；</w:t>
      </w:r>
    </w:p>
    <w:p w14:paraId="3345F790">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（4）单月出错次数大于等于10次且小于20次的，乙方应向甲方支付违约金1500元/次；</w:t>
      </w:r>
    </w:p>
    <w:p w14:paraId="7C629F3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5）单月出错次数大于等于20次的，乙方应向甲方支付违约金2000元/次，且甲方有权单方解除本合同以及供应商入库合同，取消乙方供应商库供应商资格，并有权要求乙方按入库合同以及本合同履约担保等额标准支付违约金。</w:t>
      </w:r>
    </w:p>
    <w:p w14:paraId="430982D3">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 乙方进行余泥运输的车辆未按甲方要求安装GPS设备或私自变更、调换GPS设备或没有安装可直接对接甲方监管平台的定位系统设备的，乙方应向甲方支付违约金2000元/车次。</w:t>
      </w:r>
    </w:p>
    <w:p w14:paraId="1B80F87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6</w:t>
      </w:r>
      <w:r>
        <w:rPr>
          <w:rFonts w:hint="eastAsia" w:ascii="宋体" w:hAnsi="宋体" w:eastAsia="宋体" w:cs="宋体"/>
          <w:bCs/>
          <w:sz w:val="21"/>
          <w:szCs w:val="21"/>
        </w:rPr>
        <w:t xml:space="preserve"> 乙方进行余泥运输的车辆未经甲方同意，在非甲方指定的第三方过磅点位进行称重的，甲方不予支付该车次的过磅及余泥处置服务费用。</w:t>
      </w:r>
    </w:p>
    <w:p w14:paraId="017A305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7</w:t>
      </w:r>
      <w:r>
        <w:rPr>
          <w:rFonts w:hint="eastAsia" w:ascii="宋体" w:hAnsi="宋体" w:eastAsia="宋体" w:cs="宋体"/>
          <w:bCs/>
          <w:sz w:val="21"/>
          <w:szCs w:val="21"/>
        </w:rPr>
        <w:t xml:space="preserve"> 未经甲方同意，乙方不得在运输过程中擅自拆卸封条，否则甲方有权要求乙方支付1万元/次的违约金。封条被拆的运输车辆经检查发现存在问题的（包括但不仅限于余泥重量相比装车时减少等可能存在乙方违规处理运输余泥的情况），乙方根据本合同约定向甲方支付违约金，合同未约定的，乙方应向甲方支付（在上述违约金1万元的基础上）3万元违约金。甲方有权视乙方违约情况，重新分配运输。</w:t>
      </w:r>
    </w:p>
    <w:p w14:paraId="25DACFB8">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7.1</w:t>
      </w:r>
      <w:r>
        <w:rPr>
          <w:rFonts w:hint="eastAsia" w:ascii="宋体" w:hAnsi="宋体" w:eastAsia="宋体" w:cs="宋体"/>
          <w:bCs/>
          <w:sz w:val="21"/>
          <w:szCs w:val="21"/>
          <w:lang w:val="en-US" w:eastAsia="zh-CN"/>
        </w:rPr>
        <w:t>8</w:t>
      </w:r>
      <w:r>
        <w:rPr>
          <w:rFonts w:hint="eastAsia" w:ascii="宋体" w:hAnsi="宋体" w:eastAsia="宋体" w:cs="宋体"/>
          <w:bCs/>
          <w:sz w:val="21"/>
          <w:szCs w:val="21"/>
        </w:rPr>
        <w:t xml:space="preserve"> 乙方应当制定而未制定余泥运输、处理处置意外事故应急预案的，甲方有权要求乙方支付3万元的违约金，同时，甲方有权要求乙方在指定期限内制定应急预案，乙方在甲方限期内未完成应急预案编制的，甲方有权委托第三方服务单位编制该应急预案，费用由乙方承担，甲方有权从乙方的履约担保、未付的处置服务费中直接抵扣，并有权单方解除本合同。</w:t>
      </w:r>
    </w:p>
    <w:p w14:paraId="06BA5D98">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19</w:t>
      </w:r>
      <w:r>
        <w:rPr>
          <w:rFonts w:hint="eastAsia" w:ascii="宋体" w:hAnsi="宋体" w:eastAsia="宋体" w:cs="宋体"/>
          <w:bCs/>
          <w:sz w:val="21"/>
          <w:szCs w:val="21"/>
        </w:rPr>
        <w:t xml:space="preserve"> 乙方未能按照本合同的要求制作、及时、完整地向甲方报送资料，或甲方到乙方处置场地现场核实处置情况与请款情况不符或不合格的，甲方有权减少乙方一半的余泥运输量；乙方逾期一个月未能按照合同约定提交资料的，甲方有权暂停乙方外运处置余泥，直至乙方按要求提交完整合格的相关资料、完成外运余泥的最终处置后再启动外运处置工作。因此导致该批余泥未能获得余泥/污泥产生单位/主管部门(东莞市石鼓污水处理有限公司、东莞市环保产业促进中心)计量或未能向余泥/污泥产生单位/主管部门(东莞市石鼓污水处理有限公司、东莞市环保产业促进中心)申请处置服务费的责任和风险由乙方承担，甲方因此未能取得处置服务费的，该部分处置服务费不予支付，且甲方不构成逾期支付并不需承担任何违约责任。</w:t>
      </w:r>
    </w:p>
    <w:p w14:paraId="152EBF51">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0</w:t>
      </w:r>
      <w:r>
        <w:rPr>
          <w:rFonts w:hint="eastAsia" w:ascii="宋体" w:hAnsi="宋体" w:eastAsia="宋体" w:cs="宋体"/>
          <w:bCs/>
          <w:sz w:val="21"/>
          <w:szCs w:val="21"/>
        </w:rPr>
        <w:t xml:space="preserve"> 乙方在提供本合同服务过程中，如存在运输、处置等违法行为的，由此造成的后果由乙方全部承担。如造成甲方受到行政处罚的，由此导致的经济损失由乙方承担赔偿责任，除本合同已明确约定违约金额外，甲方有权要求乙方支付10万元的违约金。同时，甲方有权要求乙方限期进行重新处置，直至达到处置要求，由此造成的全部费用及成本由乙方承担。</w:t>
      </w:r>
    </w:p>
    <w:p w14:paraId="2798888A">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1</w:t>
      </w:r>
      <w:r>
        <w:rPr>
          <w:rFonts w:hint="eastAsia" w:ascii="宋体" w:hAnsi="宋体" w:eastAsia="宋体" w:cs="宋体"/>
          <w:bCs/>
          <w:sz w:val="21"/>
          <w:szCs w:val="21"/>
        </w:rPr>
        <w:t xml:space="preserve"> 如因乙方安全生产设备、措施、操作规程、环保设备设施、劳动保护条件等不符合规范要求或标准，在乙方提供服务过程中，发生安全事故/造成人身损害或财产损失的或引起其他损失、造成不良后果的，或遭受有关部门的投诉或处罚，由乙方自行承担全部责任和后果，如因此给甲方造成</w:t>
      </w:r>
      <w:r>
        <w:rPr>
          <w:rFonts w:hint="eastAsia" w:ascii="宋体" w:hAnsi="宋体" w:eastAsia="宋体" w:cs="宋体"/>
          <w:sz w:val="21"/>
          <w:szCs w:val="21"/>
        </w:rPr>
        <w:t>的一切损失由乙方承担全部赔偿责任</w:t>
      </w:r>
      <w:r>
        <w:rPr>
          <w:rFonts w:hint="eastAsia" w:ascii="宋体" w:hAnsi="宋体" w:eastAsia="宋体" w:cs="宋体"/>
          <w:bCs/>
          <w:sz w:val="21"/>
          <w:szCs w:val="21"/>
        </w:rPr>
        <w:t>。同时，甲方有权要求乙方每次支付1万元的违约金，并有权单方解除本合同。</w:t>
      </w:r>
    </w:p>
    <w:p w14:paraId="315F071E">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2</w:t>
      </w:r>
      <w:r>
        <w:rPr>
          <w:rFonts w:hint="eastAsia" w:ascii="宋体" w:hAnsi="宋体" w:eastAsia="宋体" w:cs="宋体"/>
          <w:bCs/>
          <w:sz w:val="21"/>
          <w:szCs w:val="21"/>
        </w:rPr>
        <w:t xml:space="preserve"> 如乙方隐瞒真相私自转包、分包，由此导致的一切责任和风险全部由乙方承担，甲方有权单方解除本合同</w:t>
      </w:r>
      <w:r>
        <w:rPr>
          <w:rFonts w:hint="eastAsia" w:ascii="宋体" w:hAnsi="宋体" w:eastAsia="宋体" w:cs="宋体"/>
          <w:sz w:val="21"/>
          <w:szCs w:val="21"/>
        </w:rPr>
        <w:t>，</w:t>
      </w:r>
      <w:r>
        <w:rPr>
          <w:rFonts w:hint="eastAsia" w:ascii="宋体" w:hAnsi="宋体" w:eastAsia="宋体" w:cs="宋体"/>
          <w:bCs/>
          <w:sz w:val="21"/>
          <w:szCs w:val="21"/>
        </w:rPr>
        <w:t>并要求乙方承担入库合同以及本合同履约担保等额标准的违约金。</w:t>
      </w:r>
    </w:p>
    <w:p w14:paraId="264BBFB0">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3</w:t>
      </w:r>
      <w:r>
        <w:rPr>
          <w:rFonts w:hint="eastAsia" w:ascii="宋体" w:hAnsi="宋体" w:eastAsia="宋体" w:cs="宋体"/>
          <w:bCs/>
          <w:sz w:val="21"/>
          <w:szCs w:val="21"/>
        </w:rPr>
        <w:t xml:space="preserve"> 经甲方核实，乙方不能按约定提供转移联单或存在弄虚作假虚报余泥转移量或最终处置量或管理台账弄虚作假的，甲方有权要求乙方每次承担10万元的违约金，并有权单方解除本合同。</w:t>
      </w:r>
    </w:p>
    <w:p w14:paraId="1EC35482">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4</w:t>
      </w:r>
      <w:r>
        <w:rPr>
          <w:rFonts w:hint="eastAsia" w:ascii="宋体" w:hAnsi="宋体" w:eastAsia="宋体" w:cs="宋体"/>
          <w:bCs/>
          <w:sz w:val="21"/>
          <w:szCs w:val="21"/>
        </w:rPr>
        <w:t xml:space="preserve"> 经甲方监督、检查，如发现乙方所供服务不符合约定的，甲方有权要求乙方限期改进。在本合同履行期间，如乙方累计3次（含本数）被检查发现违反本合同约定或未能按照甲方要求进行改进或改进后仍不符合甲方要求的，甲方有权要求乙方支付10万元违约金，并有权单方解除本合同，并承担由此造成的一切损失。</w:t>
      </w:r>
    </w:p>
    <w:p w14:paraId="70A8197D">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 乙方出现严重的违法、违约行为时，甲方有权单方解除入库合同和本合同，并将其从污泥处置服务供应商库中移除和没收其入库合同以及本合同履约担保。 </w:t>
      </w:r>
    </w:p>
    <w:p w14:paraId="0506AD3F">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7.2</w:t>
      </w:r>
      <w:r>
        <w:rPr>
          <w:rFonts w:hint="eastAsia" w:ascii="宋体" w:hAnsi="宋体" w:eastAsia="宋体" w:cs="宋体"/>
          <w:bCs/>
          <w:sz w:val="21"/>
          <w:szCs w:val="21"/>
          <w:lang w:val="en-US" w:eastAsia="zh-CN"/>
        </w:rPr>
        <w:t>6</w:t>
      </w:r>
      <w:r>
        <w:rPr>
          <w:rFonts w:hint="eastAsia" w:ascii="宋体" w:hAnsi="宋体" w:eastAsia="宋体" w:cs="宋体"/>
          <w:bCs/>
          <w:sz w:val="21"/>
          <w:szCs w:val="21"/>
        </w:rPr>
        <w:t xml:space="preserve"> 凡因前述违约责任导致被甲方单方解除本合同的，</w:t>
      </w:r>
      <w:r>
        <w:rPr>
          <w:rFonts w:hint="eastAsia" w:ascii="宋体" w:hAnsi="宋体" w:eastAsia="宋体" w:cs="宋体"/>
          <w:sz w:val="21"/>
          <w:szCs w:val="21"/>
        </w:rPr>
        <w:t>乙方不得参与本期重新分配及下一个服务期的竞价分配。</w:t>
      </w:r>
    </w:p>
    <w:p w14:paraId="5CD0C365">
      <w:pPr>
        <w:spacing w:line="360" w:lineRule="auto"/>
        <w:rPr>
          <w:rFonts w:hint="eastAsia" w:ascii="宋体" w:hAnsi="宋体" w:eastAsia="宋体" w:cs="宋体"/>
          <w:bCs/>
          <w:sz w:val="21"/>
          <w:szCs w:val="21"/>
        </w:rPr>
      </w:pPr>
      <w:r>
        <w:rPr>
          <w:rFonts w:hint="eastAsia" w:ascii="宋体" w:hAnsi="宋体" w:eastAsia="宋体" w:cs="宋体"/>
          <w:b/>
          <w:sz w:val="21"/>
          <w:szCs w:val="21"/>
        </w:rPr>
        <w:t>第八条</w:t>
      </w:r>
      <w:r>
        <w:rPr>
          <w:rFonts w:hint="eastAsia" w:ascii="宋体" w:hAnsi="宋体" w:eastAsia="宋体" w:cs="宋体"/>
          <w:bCs/>
          <w:sz w:val="21"/>
          <w:szCs w:val="21"/>
        </w:rPr>
        <w:t xml:space="preserve"> </w:t>
      </w:r>
      <w:r>
        <w:rPr>
          <w:rFonts w:hint="eastAsia" w:ascii="宋体" w:hAnsi="宋体" w:eastAsia="宋体" w:cs="宋体"/>
          <w:b/>
          <w:sz w:val="21"/>
          <w:szCs w:val="21"/>
        </w:rPr>
        <w:t>不可抗力</w:t>
      </w:r>
    </w:p>
    <w:p w14:paraId="7FB10DB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由于不可抗力因素（指火灾、地震、洪水、战争等）使乙方不能在合同规定的期限内提供服务时，乙方必须立即以书面形式立即通知甲方，并向甲方提供有关政府机关所出具的不可抗力因素证明。</w:t>
      </w:r>
    </w:p>
    <w:p w14:paraId="5380C275">
      <w:pPr>
        <w:adjustRightInd/>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8.2 在不可抗力发生时，乙方应尽快以书面形式将不可抗力的情况和原因通知甲方。除非甲方书面另有要求，乙方应尽可能继续履行合同义务，以及寻求合理的方案履行未受不可抗力影响的其它事项。如因不可抗力导致合同完全不能履约，并在30天内不能恢复履约，则任何一方可提出终止合同，互不承担违约责任。</w:t>
      </w:r>
    </w:p>
    <w:p w14:paraId="4B4FA06C">
      <w:pPr>
        <w:adjustRightInd/>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第九条 </w:t>
      </w:r>
      <w:bookmarkEnd w:id="688"/>
      <w:r>
        <w:rPr>
          <w:rFonts w:hint="eastAsia" w:ascii="宋体" w:hAnsi="宋体" w:eastAsia="宋体" w:cs="宋体"/>
          <w:b/>
          <w:sz w:val="21"/>
          <w:szCs w:val="21"/>
        </w:rPr>
        <w:t>廉政保证</w:t>
      </w:r>
    </w:p>
    <w:p w14:paraId="3D078357">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9.1 乙方以及其指定的第三方及其所有雇员在本合同履行期间，应遵守甲方的各项政策和制度。甲方应当控制乙方代表和雇员在甲方办公区域进出，甲方对于现场的人员进出及员工管理方面的要求也应始终被遵守。</w:t>
      </w:r>
    </w:p>
    <w:p w14:paraId="044E910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9.2 乙方同意在本合同履行期间，遵守各项法律，特别是任何及所有反贿赂反腐败方面的法律。未经甲方事先授权，乙方以及其指定的第三方及其所有雇员均不得向与本项目相关的任何个人、政府或单位支付任何款项，也不得作任何不适当付款。</w:t>
      </w:r>
    </w:p>
    <w:p w14:paraId="4A7869A3">
      <w:pPr>
        <w:adjustRightInd/>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9.3 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w:t>
      </w:r>
      <w:r>
        <w:rPr>
          <w:rFonts w:hint="eastAsia" w:ascii="宋体" w:hAnsi="宋体" w:eastAsia="宋体" w:cs="宋体"/>
          <w:sz w:val="21"/>
          <w:szCs w:val="21"/>
        </w:rPr>
        <w:t>阳光合作告知函</w:t>
      </w:r>
      <w:r>
        <w:rPr>
          <w:rFonts w:hint="eastAsia" w:ascii="宋体" w:hAnsi="宋体" w:eastAsia="宋体" w:cs="宋体"/>
          <w:bCs/>
          <w:sz w:val="21"/>
          <w:szCs w:val="21"/>
        </w:rPr>
        <w:t>》。</w:t>
      </w:r>
    </w:p>
    <w:p w14:paraId="09EE0A72">
      <w:pPr>
        <w:widowControl/>
        <w:spacing w:line="360" w:lineRule="auto"/>
        <w:rPr>
          <w:rFonts w:hint="eastAsia" w:ascii="宋体" w:hAnsi="宋体" w:eastAsia="宋体" w:cs="宋体"/>
          <w:b/>
          <w:sz w:val="21"/>
          <w:szCs w:val="21"/>
        </w:rPr>
      </w:pPr>
      <w:bookmarkStart w:id="689" w:name="_Toc56076616"/>
      <w:r>
        <w:rPr>
          <w:rFonts w:hint="eastAsia" w:ascii="宋体" w:hAnsi="宋体" w:eastAsia="宋体" w:cs="宋体"/>
          <w:b/>
          <w:sz w:val="21"/>
          <w:szCs w:val="21"/>
        </w:rPr>
        <w:t xml:space="preserve">第十条 </w:t>
      </w:r>
      <w:bookmarkEnd w:id="689"/>
      <w:bookmarkStart w:id="690" w:name="_Toc56076617"/>
      <w:r>
        <w:rPr>
          <w:rFonts w:hint="eastAsia" w:ascii="宋体" w:hAnsi="宋体" w:eastAsia="宋体" w:cs="宋体"/>
          <w:b/>
          <w:sz w:val="21"/>
          <w:szCs w:val="21"/>
        </w:rPr>
        <w:t>争议解决</w:t>
      </w:r>
      <w:bookmarkEnd w:id="690"/>
      <w:r>
        <w:rPr>
          <w:rFonts w:hint="eastAsia" w:ascii="宋体" w:hAnsi="宋体" w:eastAsia="宋体" w:cs="宋体"/>
          <w:b/>
          <w:sz w:val="21"/>
          <w:szCs w:val="21"/>
        </w:rPr>
        <w:t xml:space="preserve"> </w:t>
      </w:r>
    </w:p>
    <w:p w14:paraId="47E05233">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本协议在履行过程中若发生争议，甲、乙双方应首先通过友好协商的方式解决，协商不成的，双方同意将争议提交到甲方所在地有管辖权的人民法院通过诉讼的方式解决。 </w:t>
      </w:r>
    </w:p>
    <w:p w14:paraId="74C7020A">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t>第十一条 其他</w:t>
      </w:r>
    </w:p>
    <w:p w14:paraId="6EFF688F">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11.1 本合同未尽事宜，由甲、乙双方协商解决并签订书面补充协议，补充协议与本合同同具法律效力。</w:t>
      </w:r>
    </w:p>
    <w:p w14:paraId="4ADA0684">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11.2 本合同原件一式【 】份，甲方执【 】份、乙方执【 】份，具有同等的法律效力。</w:t>
      </w:r>
    </w:p>
    <w:p w14:paraId="5624D572">
      <w:pPr>
        <w:widowControl/>
        <w:ind w:firstLine="420" w:firstLineChars="200"/>
        <w:rPr>
          <w:rFonts w:hint="eastAsia" w:ascii="宋体" w:hAnsi="宋体" w:eastAsia="宋体" w:cs="宋体"/>
          <w:sz w:val="21"/>
          <w:szCs w:val="21"/>
        </w:rPr>
      </w:pPr>
      <w:r>
        <w:rPr>
          <w:rFonts w:hint="eastAsia" w:ascii="宋体" w:hAnsi="宋体" w:eastAsia="宋体" w:cs="宋体"/>
          <w:bCs/>
          <w:sz w:val="21"/>
          <w:szCs w:val="21"/>
        </w:rPr>
        <w:t>11.3 合同自甲乙双方法定代表人/负责人或授权代表签字并加盖公章之日起生效。</w:t>
      </w:r>
      <w:r>
        <w:rPr>
          <w:rFonts w:hint="eastAsia" w:ascii="宋体" w:hAnsi="宋体" w:eastAsia="宋体" w:cs="宋体"/>
          <w:sz w:val="21"/>
          <w:szCs w:val="21"/>
        </w:rPr>
        <w:t xml:space="preserve"> </w:t>
      </w:r>
    </w:p>
    <w:p w14:paraId="0B635E94">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11.4 本合同附件为本合同不可分割内容，与本合同同时生效、同具法律效力。当本合同附件与本合同内容不一致时，以本合同为准。</w:t>
      </w:r>
    </w:p>
    <w:p w14:paraId="5A6CF2B7">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附件1：《月度余泥外运签证表》</w:t>
      </w:r>
    </w:p>
    <w:p w14:paraId="16188646">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附件2：乙方余泥接收确认人名单</w:t>
      </w:r>
    </w:p>
    <w:p w14:paraId="655DA2B3">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附件3：阳光合作告知函</w:t>
      </w:r>
    </w:p>
    <w:p w14:paraId="3BE85C8D">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附件4：安全生产管理协议</w:t>
      </w:r>
    </w:p>
    <w:p w14:paraId="1627B61B">
      <w:pPr>
        <w:widowControl/>
        <w:spacing w:line="360" w:lineRule="auto"/>
        <w:jc w:val="both"/>
        <w:rPr>
          <w:rFonts w:hint="eastAsia" w:ascii="宋体" w:hAnsi="宋体" w:eastAsia="宋体" w:cs="宋体"/>
          <w:b/>
          <w:bCs/>
          <w:sz w:val="21"/>
          <w:szCs w:val="21"/>
        </w:rPr>
      </w:pPr>
    </w:p>
    <w:p w14:paraId="3BF117D3">
      <w:pPr>
        <w:widowControl/>
        <w:spacing w:line="360" w:lineRule="auto"/>
        <w:jc w:val="both"/>
        <w:rPr>
          <w:rFonts w:hint="eastAsia" w:ascii="宋体" w:hAnsi="宋体" w:eastAsia="宋体" w:cs="宋体"/>
          <w:sz w:val="21"/>
          <w:szCs w:val="21"/>
        </w:rPr>
      </w:pPr>
      <w:r>
        <w:rPr>
          <w:rFonts w:hint="eastAsia" w:ascii="宋体" w:hAnsi="宋体" w:eastAsia="宋体" w:cs="宋体"/>
          <w:b/>
          <w:bCs/>
          <w:sz w:val="21"/>
          <w:szCs w:val="21"/>
        </w:rPr>
        <w:t>（以下为签字栏，无正文）</w:t>
      </w:r>
    </w:p>
    <w:p w14:paraId="654E91F8">
      <w:pPr>
        <w:widowControl/>
        <w:spacing w:line="360" w:lineRule="auto"/>
        <w:rPr>
          <w:rFonts w:hint="eastAsia" w:ascii="宋体" w:hAnsi="宋体" w:eastAsia="宋体" w:cs="宋体"/>
          <w:sz w:val="21"/>
          <w:szCs w:val="21"/>
        </w:rPr>
      </w:pPr>
    </w:p>
    <w:p w14:paraId="331440AE">
      <w:pPr>
        <w:widowControl/>
        <w:spacing w:line="360" w:lineRule="auto"/>
        <w:rPr>
          <w:rFonts w:hint="eastAsia" w:ascii="宋体" w:hAnsi="宋体" w:eastAsia="宋体" w:cs="宋体"/>
          <w:sz w:val="21"/>
          <w:szCs w:val="21"/>
        </w:rPr>
      </w:pPr>
      <w:r>
        <w:rPr>
          <w:rFonts w:hint="eastAsia" w:ascii="宋体" w:hAnsi="宋体" w:eastAsia="宋体" w:cs="宋体"/>
          <w:sz w:val="21"/>
          <w:szCs w:val="21"/>
        </w:rPr>
        <w:t>甲方：东莞市众源环境投资有限公司        乙方：</w:t>
      </w:r>
    </w:p>
    <w:p w14:paraId="58A59227">
      <w:pPr>
        <w:widowControl/>
        <w:spacing w:line="360" w:lineRule="auto"/>
        <w:rPr>
          <w:rFonts w:hint="eastAsia" w:ascii="宋体" w:hAnsi="宋体" w:eastAsia="宋体" w:cs="宋体"/>
          <w:sz w:val="21"/>
          <w:szCs w:val="21"/>
        </w:rPr>
      </w:pPr>
    </w:p>
    <w:p w14:paraId="32D011CD">
      <w:pPr>
        <w:widowControl/>
        <w:spacing w:line="360" w:lineRule="auto"/>
        <w:rPr>
          <w:rFonts w:hint="eastAsia" w:ascii="宋体" w:hAnsi="宋体" w:eastAsia="宋体" w:cs="宋体"/>
          <w:sz w:val="21"/>
          <w:szCs w:val="21"/>
        </w:rPr>
      </w:pPr>
      <w:r>
        <w:rPr>
          <w:rFonts w:hint="eastAsia" w:ascii="宋体" w:hAnsi="宋体" w:eastAsia="宋体" w:cs="宋体"/>
          <w:sz w:val="21"/>
          <w:szCs w:val="21"/>
        </w:rPr>
        <w:t>法定代表人（负责人）/授权代表：         法定代表人（负责人）/授权代表：</w:t>
      </w:r>
    </w:p>
    <w:p w14:paraId="03AF962B">
      <w:pPr>
        <w:widowControl/>
        <w:spacing w:line="360" w:lineRule="auto"/>
        <w:rPr>
          <w:rFonts w:hint="eastAsia" w:ascii="宋体" w:hAnsi="宋体" w:eastAsia="宋体" w:cs="宋体"/>
          <w:sz w:val="21"/>
          <w:szCs w:val="21"/>
        </w:rPr>
      </w:pPr>
    </w:p>
    <w:p w14:paraId="2D516B3F">
      <w:pPr>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52CE6017">
      <w:pPr>
        <w:widowControl/>
        <w:spacing w:line="360" w:lineRule="auto"/>
        <w:rPr>
          <w:rFonts w:hint="eastAsia" w:ascii="宋体" w:hAnsi="宋体" w:eastAsia="宋体" w:cs="宋体"/>
          <w:sz w:val="21"/>
          <w:szCs w:val="21"/>
        </w:rPr>
      </w:pPr>
    </w:p>
    <w:p w14:paraId="6AC61320">
      <w:pPr>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 签订日期：    年  月  日</w:t>
      </w:r>
    </w:p>
    <w:p w14:paraId="437CDB5F">
      <w:pPr>
        <w:widowControl/>
        <w:spacing w:line="360" w:lineRule="auto"/>
        <w:rPr>
          <w:rFonts w:hint="eastAsia" w:ascii="宋体" w:hAnsi="宋体" w:eastAsia="宋体" w:cs="宋体"/>
          <w:sz w:val="21"/>
          <w:szCs w:val="21"/>
        </w:rPr>
      </w:pPr>
    </w:p>
    <w:p w14:paraId="683468F8">
      <w:pPr>
        <w:widowControl/>
        <w:spacing w:line="360" w:lineRule="auto"/>
        <w:rPr>
          <w:rFonts w:hint="eastAsia" w:ascii="宋体" w:hAnsi="宋体" w:eastAsia="宋体" w:cs="宋体"/>
          <w:sz w:val="21"/>
          <w:szCs w:val="21"/>
        </w:rPr>
      </w:pPr>
    </w:p>
    <w:p w14:paraId="06137FDE">
      <w:pPr>
        <w:pageBreakBefore/>
        <w:widowControl/>
        <w:spacing w:line="360" w:lineRule="auto"/>
        <w:rPr>
          <w:rFonts w:hint="eastAsia" w:ascii="宋体" w:hAnsi="宋体" w:eastAsia="宋体" w:cs="宋体"/>
          <w:bCs/>
          <w:kern w:val="2"/>
          <w:sz w:val="30"/>
          <w:szCs w:val="30"/>
        </w:rPr>
      </w:pPr>
      <w:bookmarkStart w:id="691" w:name="_Toc54334000"/>
      <w:bookmarkStart w:id="692" w:name="_Toc56076619"/>
      <w:r>
        <w:rPr>
          <w:rFonts w:hint="eastAsia" w:ascii="宋体" w:hAnsi="宋体" w:eastAsia="宋体" w:cs="宋体"/>
          <w:bCs/>
          <w:kern w:val="2"/>
          <w:sz w:val="21"/>
          <w:szCs w:val="21"/>
        </w:rPr>
        <w:t>附件1：</w:t>
      </w:r>
    </w:p>
    <w:p w14:paraId="414940B1">
      <w:pPr>
        <w:spacing w:line="360" w:lineRule="auto"/>
        <w:ind w:firstLine="420" w:firstLineChars="200"/>
        <w:jc w:val="center"/>
        <w:rPr>
          <w:rFonts w:hint="eastAsia" w:ascii="宋体" w:hAnsi="宋体" w:eastAsia="宋体" w:cs="宋体"/>
          <w:bCs/>
          <w:kern w:val="2"/>
          <w:sz w:val="21"/>
          <w:szCs w:val="21"/>
        </w:rPr>
      </w:pPr>
      <w:r>
        <w:rPr>
          <w:rFonts w:hint="eastAsia" w:ascii="宋体" w:hAnsi="宋体" w:eastAsia="宋体" w:cs="宋体"/>
          <w:bCs/>
          <w:kern w:val="2"/>
          <w:sz w:val="21"/>
          <w:szCs w:val="21"/>
        </w:rPr>
        <w:t>月度余泥外运签证表（</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年</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月</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日至</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w:t>
      </w:r>
    </w:p>
    <w:p w14:paraId="4E054289">
      <w:pPr>
        <w:rPr>
          <w:rFonts w:hint="eastAsia" w:ascii="宋体" w:hAnsi="宋体" w:eastAsia="宋体" w:cs="宋体"/>
          <w:sz w:val="21"/>
          <w:szCs w:val="21"/>
        </w:rPr>
      </w:pPr>
    </w:p>
    <w:tbl>
      <w:tblPr>
        <w:tblStyle w:val="37"/>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5"/>
        <w:gridCol w:w="1874"/>
        <w:gridCol w:w="2064"/>
        <w:gridCol w:w="2064"/>
      </w:tblGrid>
      <w:tr w14:paraId="622C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67" w:type="dxa"/>
            <w:vMerge w:val="restart"/>
            <w:vAlign w:val="center"/>
          </w:tcPr>
          <w:p w14:paraId="3782282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序号</w:t>
            </w:r>
          </w:p>
        </w:tc>
        <w:tc>
          <w:tcPr>
            <w:tcW w:w="1815" w:type="dxa"/>
            <w:vMerge w:val="restart"/>
            <w:vAlign w:val="center"/>
          </w:tcPr>
          <w:p w14:paraId="34A1A0A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接收日期</w:t>
            </w:r>
          </w:p>
        </w:tc>
        <w:tc>
          <w:tcPr>
            <w:tcW w:w="6002" w:type="dxa"/>
            <w:gridSpan w:val="3"/>
            <w:vAlign w:val="center"/>
          </w:tcPr>
          <w:p w14:paraId="61893E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处置服务费用</w:t>
            </w:r>
          </w:p>
        </w:tc>
      </w:tr>
      <w:tr w14:paraId="280F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67" w:type="dxa"/>
            <w:vMerge w:val="continue"/>
            <w:vAlign w:val="center"/>
          </w:tcPr>
          <w:p w14:paraId="6ADD938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p>
        </w:tc>
        <w:tc>
          <w:tcPr>
            <w:tcW w:w="1815" w:type="dxa"/>
            <w:vMerge w:val="continue"/>
            <w:vAlign w:val="center"/>
          </w:tcPr>
          <w:p w14:paraId="476068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p>
        </w:tc>
        <w:tc>
          <w:tcPr>
            <w:tcW w:w="1874" w:type="dxa"/>
            <w:vAlign w:val="center"/>
          </w:tcPr>
          <w:p w14:paraId="24290F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接收数量（吨）</w:t>
            </w:r>
          </w:p>
        </w:tc>
        <w:tc>
          <w:tcPr>
            <w:tcW w:w="2064" w:type="dxa"/>
            <w:vAlign w:val="center"/>
          </w:tcPr>
          <w:p w14:paraId="17813E0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处置服务费用单价（元）</w:t>
            </w:r>
          </w:p>
        </w:tc>
        <w:tc>
          <w:tcPr>
            <w:tcW w:w="2064" w:type="dxa"/>
            <w:vAlign w:val="center"/>
          </w:tcPr>
          <w:p w14:paraId="428B33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处置服务费用总额（元）</w:t>
            </w:r>
          </w:p>
        </w:tc>
      </w:tr>
      <w:tr w14:paraId="353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7" w:type="dxa"/>
            <w:vAlign w:val="center"/>
          </w:tcPr>
          <w:p w14:paraId="69E18A6E">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815" w:type="dxa"/>
            <w:vAlign w:val="center"/>
          </w:tcPr>
          <w:p w14:paraId="18F0ED04">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1874" w:type="dxa"/>
            <w:vAlign w:val="center"/>
          </w:tcPr>
          <w:p w14:paraId="66EFFB5F">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2674D41A">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20621027">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r>
      <w:tr w14:paraId="791C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67" w:type="dxa"/>
            <w:vAlign w:val="center"/>
          </w:tcPr>
          <w:p w14:paraId="448B269E">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815" w:type="dxa"/>
            <w:vAlign w:val="center"/>
          </w:tcPr>
          <w:p w14:paraId="10D6B150">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1874" w:type="dxa"/>
            <w:vAlign w:val="center"/>
          </w:tcPr>
          <w:p w14:paraId="0E244BA4">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40F06592">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419B041C">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r>
      <w:tr w14:paraId="309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67" w:type="dxa"/>
            <w:vAlign w:val="center"/>
          </w:tcPr>
          <w:p w14:paraId="46CC53DF">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815" w:type="dxa"/>
            <w:vAlign w:val="center"/>
          </w:tcPr>
          <w:p w14:paraId="49AA8C4E">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1874" w:type="dxa"/>
            <w:vAlign w:val="center"/>
          </w:tcPr>
          <w:p w14:paraId="218F6229">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551ACB30">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c>
          <w:tcPr>
            <w:tcW w:w="2064" w:type="dxa"/>
            <w:vAlign w:val="center"/>
          </w:tcPr>
          <w:p w14:paraId="2F10460B">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2"/>
                <w:sz w:val="21"/>
                <w:szCs w:val="21"/>
              </w:rPr>
            </w:pPr>
          </w:p>
        </w:tc>
      </w:tr>
    </w:tbl>
    <w:p w14:paraId="2054B94E">
      <w:pPr>
        <w:spacing w:line="360" w:lineRule="auto"/>
        <w:ind w:firstLine="420" w:firstLineChars="200"/>
        <w:rPr>
          <w:rFonts w:hint="eastAsia" w:ascii="宋体" w:hAnsi="宋体" w:eastAsia="宋体" w:cs="宋体"/>
          <w:bCs/>
          <w:kern w:val="2"/>
          <w:sz w:val="21"/>
          <w:szCs w:val="21"/>
        </w:rPr>
      </w:pPr>
    </w:p>
    <w:p w14:paraId="1A93C7E3">
      <w:pPr>
        <w:ind w:firstLine="203"/>
        <w:rPr>
          <w:rFonts w:hint="eastAsia" w:ascii="宋体" w:hAnsi="宋体" w:eastAsia="宋体" w:cs="宋体"/>
          <w:bCs/>
          <w:kern w:val="2"/>
          <w:sz w:val="21"/>
          <w:szCs w:val="21"/>
        </w:rPr>
      </w:pPr>
    </w:p>
    <w:p w14:paraId="49639DBB">
      <w:pPr>
        <w:ind w:firstLine="203"/>
        <w:rPr>
          <w:rFonts w:hint="eastAsia" w:ascii="宋体" w:hAnsi="宋体" w:eastAsia="宋体" w:cs="宋体"/>
          <w:bCs/>
          <w:kern w:val="2"/>
          <w:sz w:val="21"/>
          <w:szCs w:val="21"/>
        </w:rPr>
      </w:pPr>
      <w:r>
        <w:rPr>
          <w:rFonts w:hint="eastAsia" w:ascii="宋体" w:hAnsi="宋体" w:eastAsia="宋体" w:cs="宋体"/>
          <w:bCs/>
          <w:kern w:val="2"/>
          <w:sz w:val="21"/>
          <w:szCs w:val="21"/>
        </w:rPr>
        <w:t>附件2：</w:t>
      </w:r>
    </w:p>
    <w:p w14:paraId="2E2AF52E">
      <w:pPr>
        <w:jc w:val="center"/>
        <w:rPr>
          <w:rFonts w:hint="eastAsia" w:ascii="宋体" w:hAnsi="宋体" w:eastAsia="宋体" w:cs="宋体"/>
          <w:bCs/>
          <w:kern w:val="2"/>
          <w:sz w:val="21"/>
          <w:szCs w:val="21"/>
        </w:rPr>
      </w:pPr>
    </w:p>
    <w:p w14:paraId="30E5A19B">
      <w:pPr>
        <w:jc w:val="center"/>
        <w:rPr>
          <w:rFonts w:hint="eastAsia" w:ascii="宋体" w:hAnsi="宋体" w:eastAsia="宋体" w:cs="宋体"/>
          <w:bCs/>
          <w:kern w:val="2"/>
          <w:sz w:val="21"/>
          <w:szCs w:val="21"/>
        </w:rPr>
      </w:pPr>
      <w:r>
        <w:rPr>
          <w:rFonts w:hint="eastAsia" w:ascii="宋体" w:hAnsi="宋体" w:eastAsia="宋体" w:cs="宋体"/>
          <w:bCs/>
          <w:kern w:val="2"/>
          <w:sz w:val="21"/>
          <w:szCs w:val="21"/>
        </w:rPr>
        <w:t>乙方余泥接收确认人名单</w:t>
      </w:r>
    </w:p>
    <w:p w14:paraId="717E6AA5">
      <w:pPr>
        <w:pStyle w:val="52"/>
        <w:rPr>
          <w:rFonts w:hint="eastAsia" w:ascii="宋体" w:hAnsi="宋体" w:eastAsia="宋体" w:cs="宋体"/>
          <w:sz w:val="21"/>
          <w:szCs w:val="21"/>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2674"/>
        <w:gridCol w:w="2050"/>
        <w:gridCol w:w="2131"/>
      </w:tblGrid>
      <w:tr w14:paraId="48A7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15" w:type="dxa"/>
            <w:vAlign w:val="center"/>
          </w:tcPr>
          <w:p w14:paraId="25395DAA">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姓名</w:t>
            </w:r>
          </w:p>
        </w:tc>
        <w:tc>
          <w:tcPr>
            <w:tcW w:w="2674" w:type="dxa"/>
            <w:vAlign w:val="center"/>
          </w:tcPr>
          <w:p w14:paraId="3CF1E521">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身份证号</w:t>
            </w:r>
          </w:p>
        </w:tc>
        <w:tc>
          <w:tcPr>
            <w:tcW w:w="2050" w:type="dxa"/>
            <w:vAlign w:val="center"/>
          </w:tcPr>
          <w:p w14:paraId="0DD8D118">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岗位</w:t>
            </w:r>
          </w:p>
        </w:tc>
        <w:tc>
          <w:tcPr>
            <w:tcW w:w="2131" w:type="dxa"/>
            <w:vAlign w:val="center"/>
          </w:tcPr>
          <w:p w14:paraId="02485783">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联系电话</w:t>
            </w:r>
          </w:p>
        </w:tc>
      </w:tr>
      <w:tr w14:paraId="0CAA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15" w:type="dxa"/>
            <w:vAlign w:val="center"/>
          </w:tcPr>
          <w:p w14:paraId="1573AC74">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674" w:type="dxa"/>
            <w:vAlign w:val="center"/>
          </w:tcPr>
          <w:p w14:paraId="593DA261">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050" w:type="dxa"/>
            <w:vAlign w:val="center"/>
          </w:tcPr>
          <w:p w14:paraId="35133C3F">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131" w:type="dxa"/>
            <w:vAlign w:val="center"/>
          </w:tcPr>
          <w:p w14:paraId="6EDC34A2">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r>
      <w:tr w14:paraId="6FE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15" w:type="dxa"/>
            <w:vAlign w:val="center"/>
          </w:tcPr>
          <w:p w14:paraId="2F25DF00">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674" w:type="dxa"/>
            <w:vAlign w:val="center"/>
          </w:tcPr>
          <w:p w14:paraId="30BD1A52">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050" w:type="dxa"/>
            <w:vAlign w:val="center"/>
          </w:tcPr>
          <w:p w14:paraId="7F6C0FCB">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131" w:type="dxa"/>
            <w:vAlign w:val="center"/>
          </w:tcPr>
          <w:p w14:paraId="340C7F98">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r>
      <w:tr w14:paraId="4892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615" w:type="dxa"/>
            <w:vAlign w:val="center"/>
          </w:tcPr>
          <w:p w14:paraId="72C61EF4">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674" w:type="dxa"/>
            <w:vAlign w:val="center"/>
          </w:tcPr>
          <w:p w14:paraId="7C2D4512">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050" w:type="dxa"/>
            <w:vAlign w:val="center"/>
          </w:tcPr>
          <w:p w14:paraId="5A7010B4">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2131" w:type="dxa"/>
            <w:vAlign w:val="center"/>
          </w:tcPr>
          <w:p w14:paraId="2AE11459">
            <w:pPr>
              <w:pStyle w:val="52"/>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p>
        </w:tc>
      </w:tr>
    </w:tbl>
    <w:p w14:paraId="60844E11">
      <w:pPr>
        <w:pStyle w:val="52"/>
        <w:rPr>
          <w:rFonts w:hint="eastAsia" w:ascii="宋体" w:hAnsi="宋体" w:eastAsia="宋体" w:cs="宋体"/>
          <w:kern w:val="2"/>
          <w:sz w:val="21"/>
          <w:szCs w:val="21"/>
        </w:rPr>
      </w:pPr>
    </w:p>
    <w:p w14:paraId="6ABF200B">
      <w:pPr>
        <w:spacing w:line="360" w:lineRule="auto"/>
        <w:ind w:firstLine="840" w:firstLineChars="400"/>
        <w:rPr>
          <w:rFonts w:hint="eastAsia" w:ascii="宋体" w:hAnsi="宋体" w:eastAsia="宋体" w:cs="宋体"/>
          <w:bCs/>
          <w:kern w:val="2"/>
          <w:sz w:val="21"/>
          <w:szCs w:val="21"/>
        </w:rPr>
      </w:pPr>
      <w:r>
        <w:rPr>
          <w:rFonts w:hint="eastAsia" w:ascii="宋体" w:hAnsi="宋体" w:eastAsia="宋体" w:cs="宋体"/>
          <w:bCs/>
          <w:kern w:val="2"/>
          <w:sz w:val="21"/>
          <w:szCs w:val="21"/>
        </w:rPr>
        <w:t>注：身份证及工作证复印件</w:t>
      </w:r>
    </w:p>
    <w:p w14:paraId="012F4838">
      <w:pPr>
        <w:pStyle w:val="52"/>
        <w:rPr>
          <w:rFonts w:hint="eastAsia" w:ascii="宋体" w:hAnsi="宋体" w:eastAsia="宋体" w:cs="宋体"/>
          <w:kern w:val="2"/>
          <w:sz w:val="21"/>
          <w:szCs w:val="21"/>
        </w:rPr>
      </w:pPr>
    </w:p>
    <w:p w14:paraId="41FE643E">
      <w:pPr>
        <w:pStyle w:val="52"/>
        <w:rPr>
          <w:rFonts w:hint="eastAsia" w:ascii="宋体" w:hAnsi="宋体" w:eastAsia="宋体" w:cs="宋体"/>
          <w:kern w:val="2"/>
          <w:sz w:val="21"/>
          <w:szCs w:val="21"/>
        </w:rPr>
      </w:pPr>
    </w:p>
    <w:p w14:paraId="6A5550ED">
      <w:pPr>
        <w:pStyle w:val="52"/>
        <w:rPr>
          <w:rFonts w:hint="eastAsia" w:ascii="宋体" w:hAnsi="宋体" w:eastAsia="宋体" w:cs="宋体"/>
          <w:kern w:val="2"/>
          <w:sz w:val="21"/>
          <w:szCs w:val="21"/>
        </w:rPr>
      </w:pPr>
    </w:p>
    <w:p w14:paraId="541AE02B">
      <w:pPr>
        <w:pStyle w:val="52"/>
        <w:rPr>
          <w:rFonts w:hint="eastAsia" w:ascii="宋体" w:hAnsi="宋体" w:eastAsia="宋体" w:cs="宋体"/>
          <w:kern w:val="2"/>
          <w:sz w:val="21"/>
          <w:szCs w:val="21"/>
        </w:rPr>
      </w:pPr>
    </w:p>
    <w:p w14:paraId="7D7DAA22">
      <w:pPr>
        <w:pStyle w:val="52"/>
        <w:rPr>
          <w:rFonts w:hint="eastAsia" w:ascii="宋体" w:hAnsi="宋体" w:eastAsia="宋体" w:cs="宋体"/>
          <w:kern w:val="2"/>
          <w:sz w:val="21"/>
          <w:szCs w:val="21"/>
        </w:rPr>
      </w:pPr>
    </w:p>
    <w:p w14:paraId="4A0C3005">
      <w:pPr>
        <w:pStyle w:val="52"/>
        <w:rPr>
          <w:rFonts w:hint="eastAsia" w:ascii="宋体" w:hAnsi="宋体" w:eastAsia="宋体" w:cs="宋体"/>
          <w:kern w:val="2"/>
          <w:sz w:val="21"/>
          <w:szCs w:val="21"/>
        </w:rPr>
      </w:pPr>
    </w:p>
    <w:p w14:paraId="0F7677B3">
      <w:pPr>
        <w:pStyle w:val="52"/>
        <w:rPr>
          <w:rFonts w:hint="eastAsia" w:ascii="宋体" w:hAnsi="宋体" w:eastAsia="宋体" w:cs="宋体"/>
          <w:kern w:val="2"/>
          <w:sz w:val="21"/>
          <w:szCs w:val="21"/>
        </w:rPr>
      </w:pPr>
    </w:p>
    <w:p w14:paraId="549A1A2A">
      <w:pPr>
        <w:pStyle w:val="52"/>
        <w:rPr>
          <w:rFonts w:hint="eastAsia" w:ascii="宋体" w:hAnsi="宋体" w:eastAsia="宋体" w:cs="宋体"/>
          <w:kern w:val="2"/>
          <w:sz w:val="21"/>
          <w:szCs w:val="21"/>
        </w:rPr>
      </w:pPr>
    </w:p>
    <w:p w14:paraId="5C11EE14">
      <w:pPr>
        <w:pStyle w:val="52"/>
        <w:pageBreakBefore/>
        <w:rPr>
          <w:rFonts w:hint="eastAsia" w:ascii="宋体" w:hAnsi="宋体" w:eastAsia="宋体" w:cs="宋体"/>
          <w:bCs w:val="0"/>
          <w:sz w:val="21"/>
          <w:szCs w:val="21"/>
        </w:rPr>
      </w:pPr>
      <w:r>
        <w:rPr>
          <w:rFonts w:hint="eastAsia" w:ascii="宋体" w:hAnsi="宋体" w:eastAsia="宋体" w:cs="宋体"/>
          <w:bCs w:val="0"/>
          <w:sz w:val="21"/>
          <w:szCs w:val="21"/>
        </w:rPr>
        <w:t>附件3：阳光合作告知函</w:t>
      </w:r>
    </w:p>
    <w:p w14:paraId="727C50AA">
      <w:pPr>
        <w:spacing w:line="580" w:lineRule="exact"/>
        <w:jc w:val="center"/>
        <w:rPr>
          <w:rFonts w:hint="eastAsia" w:ascii="宋体" w:hAnsi="宋体" w:eastAsia="宋体" w:cs="宋体"/>
          <w:bCs/>
          <w:color w:val="000000"/>
          <w:sz w:val="44"/>
          <w:szCs w:val="44"/>
        </w:rPr>
      </w:pPr>
      <w:r>
        <w:rPr>
          <w:rFonts w:hint="eastAsia" w:ascii="宋体" w:hAnsi="宋体" w:eastAsia="宋体" w:cs="宋体"/>
          <w:b/>
          <w:bCs/>
          <w:sz w:val="44"/>
          <w:szCs w:val="44"/>
        </w:rPr>
        <w:t>阳光合作告知函</w:t>
      </w:r>
    </w:p>
    <w:p w14:paraId="1AB70FA6">
      <w:pPr>
        <w:spacing w:line="560" w:lineRule="exact"/>
        <w:rPr>
          <w:rFonts w:hint="eastAsia" w:ascii="宋体" w:hAnsi="宋体" w:eastAsia="宋体" w:cs="宋体"/>
          <w:b/>
          <w:bCs/>
          <w:sz w:val="32"/>
          <w:szCs w:val="32"/>
        </w:rPr>
      </w:pPr>
    </w:p>
    <w:p w14:paraId="1A3811A9">
      <w:pPr>
        <w:jc w:val="both"/>
        <w:rPr>
          <w:rFonts w:hint="eastAsia" w:ascii="宋体" w:hAnsi="宋体" w:eastAsia="宋体" w:cs="宋体"/>
          <w:bCs/>
          <w:kern w:val="2"/>
          <w:sz w:val="21"/>
          <w:szCs w:val="21"/>
        </w:rPr>
      </w:pPr>
      <w:r>
        <w:rPr>
          <w:rFonts w:hint="eastAsia" w:ascii="宋体" w:hAnsi="宋体" w:eastAsia="宋体" w:cs="宋体"/>
          <w:bCs/>
          <w:kern w:val="2"/>
          <w:sz w:val="21"/>
          <w:szCs w:val="21"/>
        </w:rPr>
        <w:t>项目名称：东莞市众源环境投资有限公司12家</w:t>
      </w:r>
      <w:r>
        <w:rPr>
          <w:rFonts w:hint="eastAsia" w:ascii="宋体" w:hAnsi="宋体" w:eastAsia="宋体" w:cs="宋体"/>
          <w:bCs/>
          <w:kern w:val="2"/>
          <w:sz w:val="21"/>
          <w:szCs w:val="21"/>
          <w:lang w:val="en-US" w:eastAsia="zh-CN"/>
        </w:rPr>
        <w:t>等</w:t>
      </w:r>
      <w:r>
        <w:rPr>
          <w:rFonts w:hint="eastAsia" w:ascii="宋体" w:hAnsi="宋体" w:eastAsia="宋体" w:cs="宋体"/>
          <w:bCs/>
          <w:kern w:val="2"/>
          <w:sz w:val="21"/>
          <w:szCs w:val="21"/>
        </w:rPr>
        <w:t>供水厂余泥外运处置服务合同(常态化/应急）（合同编号：XXXXXX）</w:t>
      </w:r>
    </w:p>
    <w:p w14:paraId="67575577">
      <w:pPr>
        <w:snapToGrid w:val="0"/>
        <w:spacing w:line="360" w:lineRule="auto"/>
        <w:rPr>
          <w:rFonts w:hint="eastAsia" w:ascii="宋体" w:hAnsi="宋体" w:eastAsia="宋体" w:cs="宋体"/>
          <w:bCs/>
          <w:color w:val="000000"/>
          <w:kern w:val="2"/>
          <w:sz w:val="21"/>
          <w:szCs w:val="21"/>
        </w:rPr>
      </w:pPr>
      <w:r>
        <w:rPr>
          <w:rFonts w:hint="eastAsia" w:ascii="宋体" w:hAnsi="宋体" w:eastAsia="宋体" w:cs="宋体"/>
          <w:bCs/>
          <w:kern w:val="2"/>
          <w:sz w:val="21"/>
          <w:szCs w:val="21"/>
        </w:rPr>
        <w:t>XXXXXXXX</w:t>
      </w:r>
      <w:r>
        <w:rPr>
          <w:rFonts w:hint="eastAsia" w:ascii="宋体" w:hAnsi="宋体" w:eastAsia="宋体" w:cs="宋体"/>
          <w:bCs/>
          <w:color w:val="000000"/>
          <w:kern w:val="2"/>
          <w:sz w:val="21"/>
          <w:szCs w:val="21"/>
        </w:rPr>
        <w:t xml:space="preserve">：                          </w:t>
      </w:r>
    </w:p>
    <w:p w14:paraId="058B47F1">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为保证我集团人员廉洁从业，规范和鼓励诚信交易行为，防止腐败和商业贿赂发生，推动双方建立阳光合作关系，现将我方推行阳光合作的相关管理规定函告如下：</w:t>
      </w:r>
    </w:p>
    <w:p w14:paraId="5BD6D419">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一、我方负责对本单位有关人员进行阳光合作教育和管理。</w:t>
      </w:r>
    </w:p>
    <w:p w14:paraId="2B436ADF">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二、我方人员有责任向贵方介绍本单位有关阳光合作的相关规定。</w:t>
      </w:r>
    </w:p>
    <w:p w14:paraId="6D61E6F5">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三、我方人员应本着诚实守信、公平公开、平等互利原则开展交易合作，遵守国家相关法律法规。</w:t>
      </w:r>
    </w:p>
    <w:p w14:paraId="5118690D">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四、我方人员应廉洁从业，自觉抵制商业贿赂及不正当交易行为，在交易业务中涉及本人、亲属或其他相关人员时，应主动提请回避。</w:t>
      </w:r>
    </w:p>
    <w:p w14:paraId="35521097">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五、在业务合作过程中，我方人员不得有以下违法违规行为：</w:t>
      </w:r>
    </w:p>
    <w:p w14:paraId="05ECA91B">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（一）合作过程中通过各种方式向贵方索贿、行贿，或为亲属、其他相关人员索取其他协助或服务； </w:t>
      </w:r>
    </w:p>
    <w:p w14:paraId="00BC6DF9">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14:paraId="2A752B9D">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（三）擅自截留、挪用或侵占贵方财物； </w:t>
      </w:r>
    </w:p>
    <w:p w14:paraId="1A320DF8">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（四）以各种形式参与民间借贷，帮助贵方过桥借贷； </w:t>
      </w:r>
    </w:p>
    <w:p w14:paraId="72606E9A">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（五）参与黄、赌、毒等违法犯罪活动；</w:t>
      </w:r>
    </w:p>
    <w:p w14:paraId="3CD58B4B">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（六）其他违反国家法律法规和违反廉洁从业的行为。 </w:t>
      </w:r>
    </w:p>
    <w:p w14:paraId="41F249D1">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六、在业务合作期间，我方有权通过回访等方式监督阳光合作执行情况。贵方及贵方人员发现我方任何人员任何形式的行贿、索贿、受贿或其他违反阳光合作的行为，可及时向我方举报。</w:t>
      </w:r>
    </w:p>
    <w:p w14:paraId="38A523C7">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七、烦请贵方及贵方人员在投诉举报时，积极配合我方的相关调查工作，并提供联系方式等，便于我方纪检监察机构联系与调查核实。我方承诺对贵方的投诉举报人进行保密。</w:t>
      </w:r>
    </w:p>
    <w:p w14:paraId="3255D061">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八、贵方投诉举报的情况，经查证属实，我方将视情节轻重和影响恶劣程度对相关人员进行内部处理；构成犯罪的，依法移送司法机关处置，并将调查结果及时向贵方反馈。</w:t>
      </w:r>
    </w:p>
    <w:p w14:paraId="25D69373">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九、如贵方经办人员或其他相关人员主动诱使我方人员作出本告知函第五点列明的违法违规行为的，我方有权终止双方的合作，由此造成的损失由贵方承担。</w:t>
      </w:r>
    </w:p>
    <w:p w14:paraId="4047ECE2">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十、我方对如实举报和严格遵守阳光合作精神的合作方，在同等条件下给予后续合作的优先权。</w:t>
      </w:r>
    </w:p>
    <w:p w14:paraId="25924D7C">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十一、</w:t>
      </w:r>
      <w:bookmarkStart w:id="693" w:name="OLE_LINK1"/>
      <w:r>
        <w:rPr>
          <w:rFonts w:hint="eastAsia" w:ascii="宋体" w:hAnsi="宋体" w:eastAsia="宋体" w:cs="宋体"/>
          <w:bCs/>
          <w:kern w:val="2"/>
          <w:sz w:val="21"/>
          <w:szCs w:val="21"/>
        </w:rPr>
        <w:t>其他</w:t>
      </w:r>
    </w:p>
    <w:p w14:paraId="6BF3DB0D">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（一）本告知函所言“其他相关人员”是指经办人以外的与合作项目有直接或间接利益关系的人员，包括但不仅限于项目经办人的亲友。</w:t>
      </w:r>
    </w:p>
    <w:bookmarkEnd w:id="693"/>
    <w:p w14:paraId="53EF9253">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（二）我方常设投诉举报受理部门及联系方式： </w:t>
      </w:r>
    </w:p>
    <w:p w14:paraId="32D43021">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1.投诉举报受理部门：东莞市水务集团有限公司纪检监察部；</w:t>
      </w:r>
    </w:p>
    <w:p w14:paraId="7C3FD18E">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2.投诉举报电话：0769–28823293（星期一至星期五：8:30-17:30）；</w:t>
      </w:r>
    </w:p>
    <w:p w14:paraId="463386D9">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3.联系地址：东莞市东城街道育华路1号；</w:t>
      </w:r>
    </w:p>
    <w:p w14:paraId="6E5BD92B">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4.邮编：523000。</w:t>
      </w:r>
    </w:p>
    <w:p w14:paraId="1A243A6E">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让我们共同为建立健康、公平的商业秩序和实现双赢而努力。</w:t>
      </w:r>
    </w:p>
    <w:p w14:paraId="3C49ADB4">
      <w:pPr>
        <w:snapToGrid w:val="0"/>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特此致函。</w:t>
      </w:r>
    </w:p>
    <w:p w14:paraId="3A020470">
      <w:pPr>
        <w:snapToGrid w:val="0"/>
        <w:spacing w:line="360" w:lineRule="auto"/>
        <w:rPr>
          <w:rFonts w:hint="eastAsia" w:ascii="宋体" w:hAnsi="宋体" w:eastAsia="宋体" w:cs="宋体"/>
          <w:bCs/>
          <w:kern w:val="2"/>
          <w:sz w:val="21"/>
          <w:szCs w:val="21"/>
        </w:rPr>
      </w:pPr>
    </w:p>
    <w:p w14:paraId="581C0C14">
      <w:pPr>
        <w:snapToGrid w:val="0"/>
        <w:spacing w:line="360" w:lineRule="auto"/>
        <w:rPr>
          <w:rFonts w:hint="eastAsia" w:ascii="宋体" w:hAnsi="宋体" w:eastAsia="宋体" w:cs="宋体"/>
          <w:bCs/>
          <w:kern w:val="2"/>
          <w:sz w:val="21"/>
          <w:szCs w:val="21"/>
        </w:rPr>
      </w:pPr>
    </w:p>
    <w:p w14:paraId="39AFF0CA">
      <w:pPr>
        <w:wordWrap w:val="0"/>
        <w:snapToGrid w:val="0"/>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rPr>
        <w:t xml:space="preserve">                                        </w:t>
      </w:r>
      <w:r>
        <w:rPr>
          <w:rFonts w:hint="eastAsia" w:ascii="宋体" w:hAnsi="宋体" w:eastAsia="宋体" w:cs="宋体"/>
          <w:bCs/>
          <w:kern w:val="2"/>
          <w:sz w:val="21"/>
          <w:szCs w:val="21"/>
        </w:rPr>
        <w:t>东莞市众源环境投资有限公司</w:t>
      </w:r>
    </w:p>
    <w:p w14:paraId="56C7BFCD">
      <w:pPr>
        <w:snapToGrid w:val="0"/>
        <w:spacing w:line="360" w:lineRule="auto"/>
        <w:jc w:val="both"/>
        <w:rPr>
          <w:rFonts w:hint="eastAsia" w:ascii="宋体" w:hAnsi="宋体" w:eastAsia="宋体" w:cs="宋体"/>
          <w:bCs/>
          <w:kern w:val="2"/>
          <w:sz w:val="21"/>
          <w:szCs w:val="21"/>
        </w:rPr>
      </w:pPr>
      <w:r>
        <w:rPr>
          <w:rFonts w:hint="eastAsia" w:ascii="宋体" w:hAnsi="宋体" w:eastAsia="宋体" w:cs="宋体"/>
          <w:bCs/>
          <w:kern w:val="2"/>
          <w:sz w:val="21"/>
          <w:szCs w:val="21"/>
        </w:rPr>
        <w:t xml:space="preserve">                                                             </w:t>
      </w:r>
      <w:r>
        <w:rPr>
          <w:rFonts w:hint="eastAsia" w:ascii="宋体" w:hAnsi="宋体" w:eastAsia="宋体" w:cs="宋体"/>
          <w:bCs/>
          <w:kern w:val="2"/>
          <w:sz w:val="21"/>
          <w:szCs w:val="21"/>
          <w:lang w:val="en-US" w:eastAsia="zh-CN"/>
        </w:rPr>
        <w:t xml:space="preserve"> </w:t>
      </w:r>
      <w:r>
        <w:rPr>
          <w:rFonts w:hint="eastAsia" w:ascii="宋体" w:hAnsi="宋体" w:eastAsia="宋体" w:cs="宋体"/>
          <w:bCs/>
          <w:kern w:val="2"/>
          <w:sz w:val="21"/>
          <w:szCs w:val="21"/>
        </w:rPr>
        <w:t xml:space="preserve"> 年   月   日</w:t>
      </w:r>
      <w:bookmarkStart w:id="694" w:name="现场签证通知单"/>
      <w:bookmarkEnd w:id="694"/>
      <w:bookmarkStart w:id="695" w:name="设计变更通知单"/>
      <w:bookmarkEnd w:id="695"/>
    </w:p>
    <w:p w14:paraId="3907D9DE">
      <w:pPr>
        <w:snapToGrid w:val="0"/>
        <w:spacing w:line="360" w:lineRule="auto"/>
        <w:jc w:val="right"/>
        <w:rPr>
          <w:rFonts w:hint="eastAsia" w:ascii="宋体" w:hAnsi="宋体" w:eastAsia="宋体" w:cs="宋体"/>
          <w:bCs/>
          <w:kern w:val="2"/>
          <w:sz w:val="21"/>
          <w:szCs w:val="21"/>
        </w:rPr>
      </w:pPr>
    </w:p>
    <w:p w14:paraId="0ACE3E06">
      <w:pPr>
        <w:snapToGrid w:val="0"/>
        <w:spacing w:line="360" w:lineRule="auto"/>
        <w:jc w:val="right"/>
        <w:rPr>
          <w:rFonts w:hint="eastAsia" w:ascii="宋体" w:hAnsi="宋体" w:eastAsia="宋体" w:cs="宋体"/>
          <w:bCs/>
          <w:kern w:val="2"/>
          <w:sz w:val="21"/>
          <w:szCs w:val="21"/>
        </w:rPr>
      </w:pPr>
    </w:p>
    <w:p w14:paraId="103D2C50">
      <w:pPr>
        <w:snapToGrid w:val="0"/>
        <w:spacing w:line="360" w:lineRule="auto"/>
        <w:jc w:val="right"/>
        <w:rPr>
          <w:rFonts w:hint="eastAsia" w:ascii="宋体" w:hAnsi="宋体" w:eastAsia="宋体" w:cs="宋体"/>
          <w:bCs/>
          <w:kern w:val="2"/>
          <w:sz w:val="21"/>
          <w:szCs w:val="21"/>
        </w:rPr>
      </w:pPr>
    </w:p>
    <w:p w14:paraId="015E882A">
      <w:pPr>
        <w:snapToGrid w:val="0"/>
        <w:spacing w:line="360" w:lineRule="auto"/>
        <w:jc w:val="right"/>
        <w:rPr>
          <w:rFonts w:hint="eastAsia" w:ascii="宋体" w:hAnsi="宋体" w:eastAsia="宋体" w:cs="宋体"/>
          <w:bCs/>
          <w:kern w:val="2"/>
          <w:sz w:val="21"/>
          <w:szCs w:val="21"/>
        </w:rPr>
      </w:pPr>
    </w:p>
    <w:p w14:paraId="2409F1AF">
      <w:pPr>
        <w:snapToGrid w:val="0"/>
        <w:spacing w:line="360" w:lineRule="auto"/>
        <w:jc w:val="right"/>
        <w:rPr>
          <w:rFonts w:hint="eastAsia" w:ascii="宋体" w:hAnsi="宋体" w:eastAsia="宋体" w:cs="宋体"/>
          <w:bCs/>
          <w:kern w:val="2"/>
          <w:sz w:val="21"/>
          <w:szCs w:val="21"/>
        </w:rPr>
      </w:pPr>
    </w:p>
    <w:p w14:paraId="24E65648">
      <w:pPr>
        <w:snapToGrid w:val="0"/>
        <w:spacing w:line="360" w:lineRule="auto"/>
        <w:jc w:val="right"/>
        <w:rPr>
          <w:rFonts w:hint="eastAsia" w:ascii="宋体" w:hAnsi="宋体" w:eastAsia="宋体" w:cs="宋体"/>
          <w:bCs/>
          <w:kern w:val="2"/>
          <w:sz w:val="21"/>
          <w:szCs w:val="21"/>
        </w:rPr>
      </w:pPr>
    </w:p>
    <w:p w14:paraId="605AAB57">
      <w:pPr>
        <w:snapToGrid w:val="0"/>
        <w:spacing w:line="360" w:lineRule="auto"/>
        <w:jc w:val="right"/>
        <w:rPr>
          <w:rFonts w:hint="eastAsia" w:ascii="宋体" w:hAnsi="宋体" w:eastAsia="宋体" w:cs="宋体"/>
          <w:bCs/>
          <w:kern w:val="2"/>
          <w:sz w:val="21"/>
          <w:szCs w:val="21"/>
        </w:rPr>
      </w:pPr>
    </w:p>
    <w:p w14:paraId="00F1C79D">
      <w:pPr>
        <w:snapToGrid w:val="0"/>
        <w:spacing w:line="360" w:lineRule="auto"/>
        <w:jc w:val="right"/>
        <w:rPr>
          <w:rFonts w:hint="eastAsia" w:ascii="宋体" w:hAnsi="宋体" w:eastAsia="宋体" w:cs="宋体"/>
          <w:bCs/>
          <w:kern w:val="2"/>
          <w:sz w:val="21"/>
          <w:szCs w:val="21"/>
        </w:rPr>
      </w:pPr>
    </w:p>
    <w:p w14:paraId="4095DDBF">
      <w:pPr>
        <w:snapToGrid w:val="0"/>
        <w:spacing w:line="360" w:lineRule="auto"/>
        <w:jc w:val="center"/>
        <w:rPr>
          <w:rFonts w:hint="eastAsia" w:ascii="宋体" w:hAnsi="宋体" w:eastAsia="宋体" w:cs="宋体"/>
          <w:bCs/>
          <w:kern w:val="2"/>
          <w:sz w:val="21"/>
          <w:szCs w:val="21"/>
        </w:rPr>
      </w:pPr>
    </w:p>
    <w:p w14:paraId="089C031A">
      <w:pPr>
        <w:snapToGrid w:val="0"/>
        <w:spacing w:line="360" w:lineRule="auto"/>
        <w:jc w:val="center"/>
        <w:rPr>
          <w:rFonts w:hint="eastAsia" w:ascii="宋体" w:hAnsi="宋体" w:eastAsia="宋体" w:cs="宋体"/>
          <w:bCs/>
          <w:kern w:val="2"/>
          <w:sz w:val="21"/>
          <w:szCs w:val="21"/>
        </w:rPr>
      </w:pPr>
    </w:p>
    <w:p w14:paraId="5015DCF2">
      <w:pPr>
        <w:snapToGrid w:val="0"/>
        <w:spacing w:line="360" w:lineRule="auto"/>
        <w:jc w:val="center"/>
        <w:rPr>
          <w:rFonts w:hint="eastAsia" w:ascii="宋体" w:hAnsi="宋体" w:eastAsia="宋体" w:cs="宋体"/>
          <w:bCs/>
          <w:kern w:val="2"/>
          <w:sz w:val="21"/>
          <w:szCs w:val="21"/>
        </w:rPr>
      </w:pPr>
    </w:p>
    <w:p w14:paraId="19831AAA">
      <w:pPr>
        <w:snapToGrid w:val="0"/>
        <w:spacing w:line="360" w:lineRule="auto"/>
        <w:jc w:val="center"/>
        <w:rPr>
          <w:rFonts w:hint="eastAsia" w:ascii="宋体" w:hAnsi="宋体" w:eastAsia="宋体" w:cs="宋体"/>
          <w:bCs/>
          <w:kern w:val="2"/>
          <w:sz w:val="21"/>
          <w:szCs w:val="21"/>
        </w:rPr>
      </w:pPr>
    </w:p>
    <w:p w14:paraId="107303C7">
      <w:pPr>
        <w:snapToGrid w:val="0"/>
        <w:spacing w:line="360" w:lineRule="auto"/>
        <w:jc w:val="center"/>
        <w:rPr>
          <w:rFonts w:hint="eastAsia" w:ascii="宋体" w:hAnsi="宋体" w:eastAsia="宋体" w:cs="宋体"/>
          <w:bCs/>
          <w:kern w:val="2"/>
          <w:sz w:val="21"/>
          <w:szCs w:val="21"/>
        </w:rPr>
      </w:pPr>
    </w:p>
    <w:p w14:paraId="2E03B175">
      <w:pPr>
        <w:snapToGrid w:val="0"/>
        <w:spacing w:line="360" w:lineRule="auto"/>
        <w:jc w:val="center"/>
        <w:rPr>
          <w:rFonts w:hint="eastAsia" w:ascii="宋体" w:hAnsi="宋体" w:eastAsia="宋体" w:cs="宋体"/>
          <w:bCs/>
          <w:kern w:val="2"/>
          <w:sz w:val="21"/>
          <w:szCs w:val="21"/>
        </w:rPr>
      </w:pPr>
    </w:p>
    <w:p w14:paraId="549A9366">
      <w:pPr>
        <w:snapToGrid w:val="0"/>
        <w:spacing w:line="360" w:lineRule="auto"/>
        <w:jc w:val="center"/>
        <w:rPr>
          <w:rFonts w:hint="eastAsia" w:ascii="宋体" w:hAnsi="宋体" w:eastAsia="宋体" w:cs="宋体"/>
          <w:bCs/>
          <w:kern w:val="2"/>
          <w:sz w:val="21"/>
          <w:szCs w:val="21"/>
        </w:rPr>
      </w:pPr>
    </w:p>
    <w:p w14:paraId="3FBE69DD">
      <w:pPr>
        <w:snapToGrid w:val="0"/>
        <w:spacing w:line="360" w:lineRule="auto"/>
        <w:jc w:val="center"/>
        <w:rPr>
          <w:rFonts w:hint="eastAsia" w:ascii="宋体" w:hAnsi="宋体" w:eastAsia="宋体" w:cs="宋体"/>
          <w:bCs/>
          <w:kern w:val="2"/>
          <w:sz w:val="21"/>
          <w:szCs w:val="21"/>
        </w:rPr>
      </w:pPr>
    </w:p>
    <w:p w14:paraId="772CD446">
      <w:pPr>
        <w:snapToGrid w:val="0"/>
        <w:spacing w:line="360" w:lineRule="auto"/>
        <w:jc w:val="center"/>
        <w:rPr>
          <w:rFonts w:hint="eastAsia" w:ascii="宋体" w:hAnsi="宋体" w:eastAsia="宋体" w:cs="宋体"/>
          <w:bCs/>
          <w:kern w:val="2"/>
          <w:sz w:val="21"/>
          <w:szCs w:val="21"/>
        </w:rPr>
      </w:pPr>
    </w:p>
    <w:p w14:paraId="1834416A">
      <w:pPr>
        <w:snapToGrid w:val="0"/>
        <w:spacing w:line="360" w:lineRule="auto"/>
        <w:jc w:val="center"/>
        <w:rPr>
          <w:rFonts w:hint="eastAsia" w:ascii="宋体" w:hAnsi="宋体" w:eastAsia="宋体" w:cs="宋体"/>
          <w:bCs/>
          <w:kern w:val="2"/>
          <w:sz w:val="21"/>
          <w:szCs w:val="21"/>
        </w:rPr>
      </w:pPr>
    </w:p>
    <w:p w14:paraId="58DDDB64">
      <w:pPr>
        <w:pageBreakBefore/>
        <w:snapToGrid w:val="0"/>
        <w:spacing w:line="580" w:lineRule="exact"/>
        <w:ind w:firstLine="2209" w:firstLineChars="500"/>
        <w:jc w:val="both"/>
        <w:rPr>
          <w:rFonts w:hint="eastAsia" w:ascii="宋体" w:hAnsi="宋体" w:eastAsia="宋体" w:cs="宋体"/>
          <w:b/>
          <w:bCs/>
          <w:sz w:val="44"/>
          <w:szCs w:val="44"/>
          <w:lang w:val="zh-CN"/>
        </w:rPr>
      </w:pPr>
      <w:r>
        <w:rPr>
          <w:rFonts w:hint="eastAsia" w:ascii="宋体" w:hAnsi="宋体" w:eastAsia="宋体" w:cs="宋体"/>
          <w:b/>
          <w:bCs/>
          <w:sz w:val="44"/>
          <w:szCs w:val="44"/>
          <w:lang w:val="zh-CN"/>
        </w:rPr>
        <w:t>阳光合作告知函回执</w:t>
      </w:r>
    </w:p>
    <w:p w14:paraId="09CF55D4">
      <w:pPr>
        <w:snapToGrid w:val="0"/>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 xml:space="preserve">                            </w:t>
      </w:r>
    </w:p>
    <w:p w14:paraId="2D325CAD">
      <w:pPr>
        <w:snapToGrid w:val="0"/>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 xml:space="preserve">                                     </w:t>
      </w:r>
    </w:p>
    <w:p w14:paraId="4FA41F0A">
      <w:pPr>
        <w:snapToGrid w:val="0"/>
        <w:spacing w:line="360" w:lineRule="auto"/>
        <w:jc w:val="center"/>
        <w:rPr>
          <w:rFonts w:hint="eastAsia" w:ascii="宋体" w:hAnsi="宋体" w:eastAsia="宋体" w:cs="宋体"/>
          <w:bCs/>
          <w:kern w:val="2"/>
          <w:sz w:val="21"/>
          <w:szCs w:val="21"/>
          <w:lang w:val="zh-CN"/>
        </w:rPr>
      </w:pPr>
    </w:p>
    <w:p w14:paraId="42071F06">
      <w:pPr>
        <w:autoSpaceDE/>
        <w:autoSpaceDN/>
        <w:adjustRightInd/>
        <w:spacing w:line="360" w:lineRule="auto"/>
        <w:ind w:firstLine="840" w:firstLineChars="400"/>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我单位于       年    月    日收到</w:t>
      </w:r>
      <w:r>
        <w:rPr>
          <w:rFonts w:hint="eastAsia" w:ascii="宋体" w:hAnsi="宋体" w:eastAsia="宋体" w:cs="宋体"/>
          <w:bCs/>
          <w:kern w:val="2"/>
          <w:sz w:val="21"/>
          <w:szCs w:val="21"/>
        </w:rPr>
        <w:t>东莞市众源环境投资有限公司</w:t>
      </w:r>
      <w:r>
        <w:rPr>
          <w:rFonts w:hint="eastAsia" w:ascii="宋体" w:hAnsi="宋体" w:eastAsia="宋体" w:cs="宋体"/>
          <w:bCs/>
          <w:kern w:val="2"/>
          <w:sz w:val="21"/>
          <w:szCs w:val="21"/>
          <w:lang w:val="zh-CN"/>
        </w:rPr>
        <w:t>的《阳光合作告知函》，承诺理解函告内容并告知相关人员严格执行其中规定。</w:t>
      </w:r>
    </w:p>
    <w:p w14:paraId="2E1F7EA3">
      <w:pPr>
        <w:autoSpaceDE/>
        <w:autoSpaceDN/>
        <w:adjustRightInd/>
        <w:spacing w:line="360" w:lineRule="auto"/>
        <w:rPr>
          <w:rFonts w:hint="eastAsia" w:ascii="宋体" w:hAnsi="宋体" w:eastAsia="宋体" w:cs="宋体"/>
          <w:bCs/>
          <w:kern w:val="2"/>
          <w:sz w:val="21"/>
          <w:szCs w:val="21"/>
          <w:lang w:val="zh-CN"/>
        </w:rPr>
      </w:pPr>
    </w:p>
    <w:p w14:paraId="1DD1C920">
      <w:pPr>
        <w:autoSpaceDE/>
        <w:autoSpaceDN/>
        <w:adjustRightInd/>
        <w:spacing w:line="360" w:lineRule="auto"/>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 xml:space="preserve">                      </w:t>
      </w:r>
      <w:r>
        <w:rPr>
          <w:rFonts w:hint="eastAsia" w:ascii="宋体" w:hAnsi="宋体" w:eastAsia="宋体" w:cs="宋体"/>
          <w:bCs/>
          <w:kern w:val="2"/>
          <w:sz w:val="21"/>
          <w:szCs w:val="21"/>
        </w:rPr>
        <w:t xml:space="preserve">                      公司</w:t>
      </w:r>
      <w:r>
        <w:rPr>
          <w:rFonts w:hint="eastAsia" w:ascii="宋体" w:hAnsi="宋体" w:eastAsia="宋体" w:cs="宋体"/>
          <w:bCs/>
          <w:kern w:val="2"/>
          <w:sz w:val="21"/>
          <w:szCs w:val="21"/>
          <w:lang w:val="zh-CN"/>
        </w:rPr>
        <w:t>（盖章）</w:t>
      </w:r>
    </w:p>
    <w:p w14:paraId="77EC88C3">
      <w:pPr>
        <w:autoSpaceDE/>
        <w:autoSpaceDN/>
        <w:adjustRightInd/>
        <w:spacing w:line="360" w:lineRule="auto"/>
        <w:rPr>
          <w:rFonts w:hint="eastAsia" w:ascii="宋体" w:hAnsi="宋体" w:eastAsia="宋体" w:cs="宋体"/>
          <w:bCs/>
          <w:kern w:val="2"/>
          <w:sz w:val="21"/>
          <w:szCs w:val="21"/>
          <w:lang w:val="zh-CN"/>
        </w:rPr>
      </w:pPr>
    </w:p>
    <w:p w14:paraId="47BA6CF0">
      <w:pPr>
        <w:autoSpaceDE/>
        <w:autoSpaceDN/>
        <w:adjustRightInd/>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                                            法定代表人：           </w:t>
      </w:r>
    </w:p>
    <w:p w14:paraId="2F3F9EF8">
      <w:pPr>
        <w:autoSpaceDE/>
        <w:autoSpaceDN/>
        <w:adjustRightInd/>
        <w:spacing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 </w:t>
      </w:r>
    </w:p>
    <w:p w14:paraId="2E4E1C3C">
      <w:pPr>
        <w:autoSpaceDE/>
        <w:autoSpaceDN/>
        <w:adjustRightInd/>
        <w:spacing w:line="360" w:lineRule="auto"/>
        <w:ind w:firstLine="4620" w:firstLineChars="2200"/>
        <w:rPr>
          <w:rFonts w:hint="eastAsia" w:ascii="宋体" w:hAnsi="宋体" w:eastAsia="宋体" w:cs="宋体"/>
          <w:bCs/>
          <w:kern w:val="2"/>
          <w:sz w:val="21"/>
          <w:szCs w:val="21"/>
        </w:rPr>
      </w:pPr>
      <w:r>
        <w:rPr>
          <w:rFonts w:hint="eastAsia" w:ascii="宋体" w:hAnsi="宋体" w:eastAsia="宋体" w:cs="宋体"/>
          <w:bCs/>
          <w:kern w:val="2"/>
          <w:sz w:val="21"/>
          <w:szCs w:val="21"/>
        </w:rPr>
        <w:t>年    月    日</w:t>
      </w:r>
    </w:p>
    <w:p w14:paraId="2A92F500">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497AFC7A">
      <w:pPr>
        <w:spacing w:after="120"/>
        <w:rPr>
          <w:rFonts w:hint="eastAsia" w:ascii="宋体" w:hAnsi="宋体" w:eastAsia="宋体" w:cs="宋体"/>
          <w:sz w:val="21"/>
          <w:szCs w:val="21"/>
        </w:rPr>
      </w:pPr>
    </w:p>
    <w:p w14:paraId="44837DB9">
      <w:pPr>
        <w:rPr>
          <w:rFonts w:hint="eastAsia" w:ascii="宋体" w:hAnsi="宋体" w:eastAsia="宋体" w:cs="宋体"/>
        </w:rPr>
      </w:pPr>
    </w:p>
    <w:bookmarkEnd w:id="691"/>
    <w:bookmarkEnd w:id="692"/>
    <w:p w14:paraId="11784E09">
      <w:pPr>
        <w:spacing w:line="360" w:lineRule="exact"/>
        <w:rPr>
          <w:rFonts w:hint="eastAsia" w:ascii="宋体" w:hAnsi="宋体" w:eastAsia="宋体" w:cs="宋体"/>
          <w:kern w:val="2"/>
          <w:szCs w:val="22"/>
        </w:rPr>
      </w:pPr>
    </w:p>
    <w:p w14:paraId="0E283D74">
      <w:pPr>
        <w:snapToGrid w:val="0"/>
        <w:spacing w:line="360" w:lineRule="auto"/>
        <w:rPr>
          <w:rFonts w:hint="eastAsia" w:ascii="宋体" w:hAnsi="宋体" w:eastAsia="宋体" w:cs="宋体"/>
          <w:sz w:val="21"/>
          <w:szCs w:val="21"/>
        </w:rPr>
      </w:pPr>
    </w:p>
    <w:p w14:paraId="1616CDF5">
      <w:pPr>
        <w:rPr>
          <w:rFonts w:hint="eastAsia" w:ascii="宋体" w:hAnsi="宋体" w:eastAsia="宋体" w:cs="宋体"/>
        </w:rPr>
      </w:pPr>
    </w:p>
    <w:p w14:paraId="5B6894ED">
      <w:pPr>
        <w:pStyle w:val="2"/>
        <w:rPr>
          <w:rFonts w:hint="eastAsia" w:ascii="宋体" w:hAnsi="宋体" w:eastAsia="宋体" w:cs="宋体"/>
        </w:rPr>
      </w:pPr>
    </w:p>
    <w:p w14:paraId="393FC4F5">
      <w:pPr>
        <w:pStyle w:val="3"/>
        <w:ind w:firstLine="843"/>
        <w:rPr>
          <w:rFonts w:hint="eastAsia" w:ascii="宋体" w:hAnsi="宋体" w:eastAsia="宋体" w:cs="宋体"/>
        </w:rPr>
      </w:pPr>
    </w:p>
    <w:p w14:paraId="040AAFB3">
      <w:pPr>
        <w:pStyle w:val="3"/>
        <w:ind w:firstLine="843"/>
        <w:rPr>
          <w:rFonts w:hint="eastAsia" w:ascii="宋体" w:hAnsi="宋体" w:eastAsia="宋体" w:cs="宋体"/>
        </w:rPr>
      </w:pPr>
    </w:p>
    <w:p w14:paraId="0AC9F721">
      <w:pPr>
        <w:pStyle w:val="3"/>
        <w:ind w:firstLine="843"/>
        <w:rPr>
          <w:rFonts w:hint="eastAsia" w:ascii="宋体" w:hAnsi="宋体" w:eastAsia="宋体" w:cs="宋体"/>
        </w:rPr>
      </w:pPr>
    </w:p>
    <w:p w14:paraId="19BC7C47">
      <w:pPr>
        <w:rPr>
          <w:rStyle w:val="161"/>
          <w:rFonts w:hint="eastAsia" w:ascii="宋体" w:hAnsi="宋体" w:eastAsia="宋体" w:cs="宋体"/>
          <w:sz w:val="21"/>
          <w:szCs w:val="21"/>
        </w:rPr>
      </w:pPr>
    </w:p>
    <w:p w14:paraId="0E1F0A71">
      <w:pPr>
        <w:rPr>
          <w:rStyle w:val="161"/>
          <w:rFonts w:hint="eastAsia" w:ascii="宋体" w:hAnsi="宋体" w:eastAsia="宋体" w:cs="宋体"/>
          <w:sz w:val="21"/>
          <w:szCs w:val="21"/>
        </w:rPr>
      </w:pPr>
    </w:p>
    <w:p w14:paraId="1C06AC31">
      <w:pPr>
        <w:rPr>
          <w:rStyle w:val="161"/>
          <w:rFonts w:hint="eastAsia" w:ascii="宋体" w:hAnsi="宋体" w:eastAsia="宋体" w:cs="宋体"/>
          <w:sz w:val="21"/>
          <w:szCs w:val="21"/>
        </w:rPr>
      </w:pPr>
    </w:p>
    <w:p w14:paraId="51308678">
      <w:pPr>
        <w:keepNext w:val="0"/>
        <w:keepLines w:val="0"/>
        <w:pageBreakBefore/>
        <w:widowControl w:val="0"/>
        <w:kinsoku/>
        <w:wordWrap/>
        <w:overflowPunct/>
        <w:topLinePunct w:val="0"/>
        <w:autoSpaceDE w:val="0"/>
        <w:autoSpaceDN w:val="0"/>
        <w:bidi w:val="0"/>
        <w:adjustRightInd w:val="0"/>
        <w:snapToGrid/>
        <w:textAlignment w:val="auto"/>
        <w:rPr>
          <w:rStyle w:val="161"/>
          <w:rFonts w:hint="eastAsia" w:ascii="宋体" w:hAnsi="宋体" w:eastAsia="宋体" w:cs="宋体"/>
          <w:sz w:val="21"/>
          <w:szCs w:val="21"/>
        </w:rPr>
      </w:pPr>
      <w:r>
        <w:rPr>
          <w:rStyle w:val="161"/>
          <w:rFonts w:hint="eastAsia" w:ascii="宋体" w:hAnsi="宋体" w:eastAsia="宋体" w:cs="宋体"/>
          <w:sz w:val="21"/>
          <w:szCs w:val="21"/>
        </w:rPr>
        <w:t>附件4：安全生产管理协议</w:t>
      </w:r>
    </w:p>
    <w:p w14:paraId="070D560B">
      <w:pPr>
        <w:spacing w:line="360" w:lineRule="exact"/>
        <w:ind w:left="648" w:right="-26"/>
        <w:jc w:val="center"/>
        <w:rPr>
          <w:rStyle w:val="161"/>
          <w:rFonts w:hint="eastAsia" w:ascii="宋体" w:hAnsi="宋体" w:eastAsia="宋体" w:cs="宋体"/>
          <w:b/>
          <w:bCs/>
          <w:szCs w:val="21"/>
          <w:lang w:val="zh-CN"/>
        </w:rPr>
      </w:pPr>
    </w:p>
    <w:p w14:paraId="1B70DDF0">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安全生产管理协议</w:t>
      </w:r>
    </w:p>
    <w:p w14:paraId="5E813181">
      <w:pPr>
        <w:spacing w:line="360" w:lineRule="auto"/>
        <w:ind w:right="840"/>
        <w:jc w:val="right"/>
        <w:rPr>
          <w:rFonts w:hint="eastAsia" w:ascii="宋体" w:hAnsi="宋体" w:eastAsia="宋体" w:cs="宋体"/>
          <w:bCs/>
          <w:sz w:val="21"/>
          <w:szCs w:val="21"/>
        </w:rPr>
      </w:pPr>
      <w:r>
        <w:rPr>
          <w:rFonts w:hint="eastAsia" w:ascii="宋体" w:hAnsi="宋体" w:eastAsia="宋体" w:cs="宋体"/>
          <w:bCs/>
          <w:sz w:val="21"/>
          <w:szCs w:val="21"/>
          <w:lang w:bidi="ar"/>
        </w:rPr>
        <w:t>协议编号：</w:t>
      </w:r>
    </w:p>
    <w:p w14:paraId="342A1D2B">
      <w:pPr>
        <w:spacing w:line="360" w:lineRule="auto"/>
        <w:rPr>
          <w:rFonts w:hint="eastAsia" w:ascii="宋体" w:hAnsi="宋体" w:eastAsia="宋体" w:cs="宋体"/>
          <w:sz w:val="21"/>
          <w:szCs w:val="21"/>
        </w:rPr>
      </w:pPr>
      <w:r>
        <w:rPr>
          <w:rFonts w:hint="eastAsia" w:ascii="宋体" w:hAnsi="宋体" w:eastAsia="宋体" w:cs="宋体"/>
          <w:sz w:val="21"/>
          <w:szCs w:val="21"/>
          <w:lang w:bidi="ar"/>
        </w:rPr>
        <w:t>甲方：东莞市众源环境投资有限公司</w:t>
      </w:r>
    </w:p>
    <w:p w14:paraId="47C4CA05">
      <w:pPr>
        <w:spacing w:line="360" w:lineRule="auto"/>
        <w:rPr>
          <w:rFonts w:hint="eastAsia" w:ascii="宋体" w:hAnsi="宋体" w:eastAsia="宋体" w:cs="宋体"/>
          <w:sz w:val="21"/>
          <w:szCs w:val="21"/>
        </w:rPr>
      </w:pPr>
      <w:r>
        <w:rPr>
          <w:rFonts w:hint="eastAsia" w:ascii="宋体" w:hAnsi="宋体" w:eastAsia="宋体" w:cs="宋体"/>
          <w:sz w:val="21"/>
          <w:szCs w:val="21"/>
          <w:lang w:bidi="ar"/>
        </w:rPr>
        <w:t xml:space="preserve">乙方：                                  </w:t>
      </w:r>
    </w:p>
    <w:p w14:paraId="58F51603">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lang w:bidi="ar"/>
        </w:rPr>
        <w:t>甲乙双方为了全面履行双方已经签订的</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合同（合同编号：【】），明确双方在合同履行过程中各自应承担的安全责任，保护有关人员的人身安全，防止安全事故的发生，保障甲、乙双方的财产不受损失，依据《中华人民共和国安全生产法》《中华人民共和国劳动法》及《建设工程安全生产管理条例》等有关法律法规的规定，达成以下一致意见：</w:t>
      </w:r>
    </w:p>
    <w:p w14:paraId="16AB3724">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一、</w:t>
      </w:r>
      <w:r>
        <w:rPr>
          <w:rFonts w:hint="eastAsia" w:ascii="宋体" w:hAnsi="宋体" w:eastAsia="宋体" w:cs="宋体"/>
          <w:color w:val="000000"/>
          <w:sz w:val="21"/>
          <w:szCs w:val="21"/>
          <w:lang w:bidi="ar"/>
        </w:rPr>
        <w:t>进场前，</w:t>
      </w:r>
      <w:r>
        <w:rPr>
          <w:rFonts w:hint="eastAsia" w:ascii="宋体" w:hAnsi="宋体" w:eastAsia="宋体" w:cs="宋体"/>
          <w:sz w:val="21"/>
          <w:szCs w:val="21"/>
          <w:lang w:bidi="ar"/>
        </w:rPr>
        <w:t>乙方应将进场人员花名册、营业执照、入职体检表、身份证、特种设备作业人员证及特种设备人员复印件报甲方，不得使用未成年工、童工、超龄工和安排女工从事禁忌劳动。项目运营点属施工在建工程的，乙方须将施工人员团体意外险或工伤保险购买记录复印件交给甲方存档。</w:t>
      </w:r>
    </w:p>
    <w:p w14:paraId="68D11E65">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二、乙方应设置专职或兼职安全员，对施工或运营场所进行安全管理，并在生产运营期间进行经常性的安全教育，保证从业人员具备必要的安全生产知识。现场人员掌握本岗位的安全操作技能，了解事故应急处理措施，知悉自身在安全生产方面的权利和义务。未经安全生产培训教育的从业人员，不得安排上岗作业。</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 xml:space="preserve">    三、乙方使用被派遣劳动者的，应当将被派遣劳动者纳入本单位从业人员统一管理，对被派遣劳动者进行岗位安全操作规程和安全操作技能的教育和培训。</w:t>
      </w:r>
    </w:p>
    <w:p w14:paraId="11FAA2F4">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四、乙方应当在有较大危险因素的施工或生产运营场所上的设施、设备，张贴明显的安全警示标志。乙方应当对安全设备进行经常性维护、保养，并定期检测，保证设备正常运转。维护、保养、检测应当做好记录，并做好存档管理，甲方有权随时抽查。</w:t>
      </w:r>
    </w:p>
    <w:p w14:paraId="7E67E96F">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五、乙方应当建立本单位安全生产管理制度，完善工作场所设备操作规程，教育和督促从业人员严格落实好本单位的安全生产管理制度和设备操作规程，并向从业人员如实告知作业场所和工作岗位存在的危险因素、防范措施以及事故应急措施。</w:t>
      </w:r>
    </w:p>
    <w:p w14:paraId="7AFD165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六、乙方应严格遵守国家、地方政府有关安全生产及劳动保护的法律法规、标准、规定，贯彻执行甲方的各项安全生产管理制度。施工或生产运营期间定期开展安全隐患排查，加强施工或生产运营场所安全管理，杜绝安全事故发生。</w:t>
      </w:r>
    </w:p>
    <w:p w14:paraId="3214A3A6">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七、生产运营过程中，乙方承担其聘请人员的用工责任，为本单位员工、劳务工依法购买社会保险或意外伤害保险。如乙方聘请人员（包括劳务人员）在服务过程中发生工伤事件或意外事故，由乙方依法妥善处理，承担全部责任并支付全部费用。乙方应确保不影响本项目的正常运行，如因此导致甲方损失的，乙方应承担全部赔偿责任。</w:t>
      </w:r>
    </w:p>
    <w:p w14:paraId="72A40E29">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八、乙方应当服从甲方的安全管理，保证生产运营场所或施工区域的现场文明安全管理达标，现场临时用电、机器设备、安全防护齐全、完好，接受和配合甲方的安全监督检查。</w:t>
      </w:r>
    </w:p>
    <w:p w14:paraId="2CF4B541">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九、乙方对携带进场的机器设备、机具负责管理、维护及检修，对甲方和自查发现的安全隐患必须落实整改。乙方因使用不合格机器设备、机具造成安全事故的，乙方自行承担责任。</w:t>
      </w:r>
    </w:p>
    <w:p w14:paraId="230B5CF7">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甲方有权对生产运营或施工现场的安全工作进行检查、协调和监督，并指导乙方的安全生产管理工作，对乙方施工、生产运营中存在的违章指挥、违章作业和安全隐患提出整改意见，督促、检查乙方的隐患整改落实情况。</w:t>
      </w:r>
    </w:p>
    <w:p w14:paraId="1AF5E925">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一、乙方施工人员或生产运营人员未经许可不得随意到施工或生产运营以外的其它工作场所活动，乙方施工或生产运营人员擅自到施工或生产运营以外的其它工作场所活动，出现人身损伤或伤亡的，由乙方自行负责一切责任。乙方施工或生产运营人员需动用涉及到甲方或余泥产生单位或排泥水处理服务单位所属设备、电器、管线及其他设施等，必须事先征得甲方代表的同意，并采取安全防护措施。</w:t>
      </w:r>
    </w:p>
    <w:p w14:paraId="66484893">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二、在施工或生产运营过程中，需要进行动土、动火、登高、吊装、断路、进入限制性空间等危险性较高的作业时，乙方的施工负责人、专职或兼职安全员必须现场确认，并在开始作业前报送甲方且经甲方同意方可作业，乙方应严格按照甲方的关于危险作业安全要求执行。</w:t>
      </w:r>
    </w:p>
    <w:p w14:paraId="4A8E1241">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十三、因乙方原因，造成乙方损失，由乙方自行负责，给甲方造成财产损失和人员伤害，乙方要负全部责任，并全额赔偿甲方。</w:t>
      </w:r>
    </w:p>
    <w:p w14:paraId="2AA0C291">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十四、非因甲方原因，造成乙方损失的，甲方不承担任何责任，由乙方自行承担全部责任。</w:t>
      </w:r>
    </w:p>
    <w:p w14:paraId="37370E0B">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五、乙方应严格遵守法律法规以及甲方的安全管理要求，并接受甲方的安全生产工作协调和监督，积极消除安全隐患。凡有违反协议条款的即视为乙方违约，甲方有权视情况根据安全问题类型以及乙方违约次数从工程结算款或服务价款或履约担保（如有）中真接扣除违约金或要求乙方另行支付。</w:t>
      </w:r>
    </w:p>
    <w:p w14:paraId="10B1204C">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lang w:bidi="ar"/>
        </w:rPr>
        <w:t>十六、乙方在施工或运营过程中存在危险性小、风险系数低，现场环境状况差等日常性问题，乙方必须配合整改。乙方未按甲方下发的《隐患整改单》落实相关整改工作的，乙方按甲方出具的《隐患整改单》安全问题类型支付1000元/类作为违约金。乙方在施工或运营过程发生风险性较大的安全问题，如“三违”行为或违反包括但不限于以下有关安全管理的基本要求的，乙方应向甲方支付违约金（违约金执行标准如下）：</w:t>
      </w:r>
    </w:p>
    <w:tbl>
      <w:tblPr>
        <w:tblStyle w:val="37"/>
        <w:tblW w:w="10099" w:type="dxa"/>
        <w:tblInd w:w="-412" w:type="dxa"/>
        <w:tblLayout w:type="fixed"/>
        <w:tblCellMar>
          <w:top w:w="0" w:type="dxa"/>
          <w:left w:w="28" w:type="dxa"/>
          <w:bottom w:w="0" w:type="dxa"/>
          <w:right w:w="28" w:type="dxa"/>
        </w:tblCellMar>
      </w:tblPr>
      <w:tblGrid>
        <w:gridCol w:w="349"/>
        <w:gridCol w:w="375"/>
        <w:gridCol w:w="360"/>
        <w:gridCol w:w="3328"/>
        <w:gridCol w:w="1146"/>
        <w:gridCol w:w="1372"/>
        <w:gridCol w:w="961"/>
        <w:gridCol w:w="1131"/>
        <w:gridCol w:w="1077"/>
      </w:tblGrid>
      <w:tr w14:paraId="794CA193">
        <w:tblPrEx>
          <w:tblCellMar>
            <w:top w:w="0" w:type="dxa"/>
            <w:left w:w="28" w:type="dxa"/>
            <w:bottom w:w="0" w:type="dxa"/>
            <w:right w:w="28" w:type="dxa"/>
          </w:tblCellMar>
        </w:tblPrEx>
        <w:trPr>
          <w:trHeight w:val="285" w:hRule="atLeast"/>
        </w:trPr>
        <w:tc>
          <w:tcPr>
            <w:tcW w:w="3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216C8C8">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序号</w:t>
            </w:r>
          </w:p>
        </w:tc>
        <w:tc>
          <w:tcPr>
            <w:tcW w:w="375" w:type="dxa"/>
            <w:vMerge w:val="restart"/>
            <w:tcBorders>
              <w:top w:val="single" w:color="auto" w:sz="4" w:space="0"/>
              <w:left w:val="nil"/>
              <w:bottom w:val="single" w:color="000000" w:sz="4" w:space="0"/>
              <w:right w:val="single" w:color="auto" w:sz="4" w:space="0"/>
            </w:tcBorders>
            <w:shd w:val="clear" w:color="auto" w:fill="auto"/>
            <w:vAlign w:val="center"/>
          </w:tcPr>
          <w:p w14:paraId="7774EC84">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类型</w:t>
            </w:r>
          </w:p>
        </w:tc>
        <w:tc>
          <w:tcPr>
            <w:tcW w:w="3688" w:type="dxa"/>
            <w:gridSpan w:val="2"/>
            <w:vMerge w:val="restart"/>
            <w:tcBorders>
              <w:top w:val="single" w:color="auto" w:sz="4" w:space="0"/>
              <w:left w:val="nil"/>
              <w:bottom w:val="single" w:color="000000" w:sz="4" w:space="0"/>
              <w:right w:val="single" w:color="000000" w:sz="4" w:space="0"/>
            </w:tcBorders>
            <w:shd w:val="clear" w:color="auto" w:fill="auto"/>
            <w:vAlign w:val="center"/>
          </w:tcPr>
          <w:p w14:paraId="2ABF1225">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现场违规问题</w:t>
            </w:r>
          </w:p>
        </w:tc>
        <w:tc>
          <w:tcPr>
            <w:tcW w:w="2518" w:type="dxa"/>
            <w:gridSpan w:val="2"/>
            <w:tcBorders>
              <w:top w:val="single" w:color="auto" w:sz="4" w:space="0"/>
              <w:left w:val="nil"/>
              <w:bottom w:val="single" w:color="auto" w:sz="4" w:space="0"/>
              <w:right w:val="single" w:color="auto" w:sz="4" w:space="0"/>
            </w:tcBorders>
            <w:shd w:val="clear" w:color="auto" w:fill="auto"/>
            <w:vAlign w:val="center"/>
          </w:tcPr>
          <w:p w14:paraId="26251BCB">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隐患及改善对策</w:t>
            </w:r>
          </w:p>
        </w:tc>
        <w:tc>
          <w:tcPr>
            <w:tcW w:w="3169" w:type="dxa"/>
            <w:gridSpan w:val="3"/>
            <w:tcBorders>
              <w:top w:val="single" w:color="auto" w:sz="4" w:space="0"/>
              <w:left w:val="nil"/>
              <w:bottom w:val="single" w:color="auto" w:sz="4" w:space="0"/>
              <w:right w:val="single" w:color="auto" w:sz="4" w:space="0"/>
            </w:tcBorders>
            <w:shd w:val="clear" w:color="auto" w:fill="auto"/>
            <w:vAlign w:val="center"/>
          </w:tcPr>
          <w:p w14:paraId="38C68836">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违约责任</w:t>
            </w:r>
          </w:p>
        </w:tc>
      </w:tr>
      <w:tr w14:paraId="59DA394D">
        <w:tblPrEx>
          <w:tblCellMar>
            <w:top w:w="0" w:type="dxa"/>
            <w:left w:w="28" w:type="dxa"/>
            <w:bottom w:w="0" w:type="dxa"/>
            <w:right w:w="28" w:type="dxa"/>
          </w:tblCellMar>
        </w:tblPrEx>
        <w:trPr>
          <w:trHeight w:val="285" w:hRule="atLeast"/>
        </w:trPr>
        <w:tc>
          <w:tcPr>
            <w:tcW w:w="34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5011F5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single" w:color="auto" w:sz="4" w:space="0"/>
              <w:left w:val="nil"/>
              <w:bottom w:val="single" w:color="000000" w:sz="4" w:space="0"/>
              <w:right w:val="single" w:color="auto" w:sz="4" w:space="0"/>
            </w:tcBorders>
            <w:shd w:val="clear" w:color="auto" w:fill="auto"/>
            <w:vAlign w:val="center"/>
          </w:tcPr>
          <w:p w14:paraId="7DED675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88" w:type="dxa"/>
            <w:gridSpan w:val="2"/>
            <w:vMerge w:val="continue"/>
            <w:tcBorders>
              <w:top w:val="single" w:color="auto" w:sz="4" w:space="0"/>
              <w:left w:val="nil"/>
              <w:bottom w:val="single" w:color="000000" w:sz="4" w:space="0"/>
              <w:right w:val="single" w:color="000000" w:sz="4" w:space="0"/>
            </w:tcBorders>
            <w:shd w:val="clear" w:color="auto" w:fill="auto"/>
            <w:vAlign w:val="center"/>
          </w:tcPr>
          <w:p w14:paraId="4336554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46" w:type="dxa"/>
            <w:tcBorders>
              <w:top w:val="nil"/>
              <w:left w:val="nil"/>
              <w:bottom w:val="single" w:color="auto" w:sz="4" w:space="0"/>
              <w:right w:val="single" w:color="auto" w:sz="4" w:space="0"/>
            </w:tcBorders>
            <w:shd w:val="clear" w:color="auto" w:fill="auto"/>
            <w:vAlign w:val="center"/>
          </w:tcPr>
          <w:p w14:paraId="705CF6F3">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隐患</w:t>
            </w:r>
          </w:p>
        </w:tc>
        <w:tc>
          <w:tcPr>
            <w:tcW w:w="1372" w:type="dxa"/>
            <w:tcBorders>
              <w:top w:val="nil"/>
              <w:left w:val="nil"/>
              <w:bottom w:val="single" w:color="auto" w:sz="4" w:space="0"/>
              <w:right w:val="single" w:color="auto" w:sz="4" w:space="0"/>
            </w:tcBorders>
            <w:shd w:val="clear" w:color="auto" w:fill="auto"/>
            <w:vAlign w:val="center"/>
          </w:tcPr>
          <w:p w14:paraId="1CF1DC52">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改善对策</w:t>
            </w:r>
          </w:p>
        </w:tc>
        <w:tc>
          <w:tcPr>
            <w:tcW w:w="961" w:type="dxa"/>
            <w:tcBorders>
              <w:top w:val="nil"/>
              <w:left w:val="nil"/>
              <w:bottom w:val="single" w:color="auto" w:sz="4" w:space="0"/>
              <w:right w:val="single" w:color="auto" w:sz="4" w:space="0"/>
            </w:tcBorders>
            <w:shd w:val="clear" w:color="auto" w:fill="auto"/>
            <w:vAlign w:val="center"/>
          </w:tcPr>
          <w:p w14:paraId="5C66845B">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首次违约</w:t>
            </w:r>
          </w:p>
        </w:tc>
        <w:tc>
          <w:tcPr>
            <w:tcW w:w="1131" w:type="dxa"/>
            <w:tcBorders>
              <w:top w:val="nil"/>
              <w:left w:val="nil"/>
              <w:bottom w:val="single" w:color="auto" w:sz="4" w:space="0"/>
              <w:right w:val="single" w:color="auto" w:sz="4" w:space="0"/>
            </w:tcBorders>
            <w:shd w:val="clear" w:color="auto" w:fill="auto"/>
            <w:vAlign w:val="center"/>
          </w:tcPr>
          <w:p w14:paraId="72AD3B90">
            <w:pPr>
              <w:keepNext w:val="0"/>
              <w:keepLines w:val="0"/>
              <w:suppressLineNumbers w:val="0"/>
              <w:spacing w:before="0" w:beforeAutospacing="0" w:after="0" w:afterAutospacing="0" w:line="360" w:lineRule="auto"/>
              <w:ind w:left="0" w:right="0"/>
              <w:jc w:val="center"/>
              <w:rPr>
                <w:rFonts w:hint="eastAsia" w:ascii="宋体" w:hAnsi="宋体" w:eastAsia="宋体" w:cs="宋体"/>
                <w:bCs/>
                <w:spacing w:val="-2"/>
                <w:sz w:val="21"/>
                <w:szCs w:val="21"/>
              </w:rPr>
            </w:pPr>
            <w:r>
              <w:rPr>
                <w:rFonts w:hint="eastAsia" w:ascii="宋体" w:hAnsi="宋体" w:eastAsia="宋体" w:cs="宋体"/>
                <w:bCs/>
                <w:spacing w:val="-2"/>
                <w:sz w:val="21"/>
                <w:szCs w:val="21"/>
                <w:lang w:bidi="ar"/>
              </w:rPr>
              <w:t>再次违约</w:t>
            </w:r>
          </w:p>
        </w:tc>
        <w:tc>
          <w:tcPr>
            <w:tcW w:w="1077" w:type="dxa"/>
            <w:tcBorders>
              <w:top w:val="single" w:color="auto" w:sz="4" w:space="0"/>
              <w:left w:val="nil"/>
              <w:bottom w:val="single" w:color="auto" w:sz="4" w:space="0"/>
              <w:right w:val="single" w:color="auto" w:sz="4" w:space="0"/>
            </w:tcBorders>
            <w:shd w:val="clear" w:color="auto" w:fill="auto"/>
            <w:vAlign w:val="center"/>
          </w:tcPr>
          <w:p w14:paraId="73C01D57">
            <w:pPr>
              <w:keepNext w:val="0"/>
              <w:keepLines w:val="0"/>
              <w:suppressLineNumbers w:val="0"/>
              <w:spacing w:before="0" w:beforeAutospacing="0" w:after="0" w:afterAutospacing="0" w:line="360" w:lineRule="auto"/>
              <w:ind w:left="0" w:right="0"/>
              <w:jc w:val="center"/>
              <w:rPr>
                <w:rFonts w:hint="eastAsia" w:ascii="宋体" w:hAnsi="宋体" w:eastAsia="宋体" w:cs="宋体"/>
                <w:bCs/>
                <w:spacing w:val="-2"/>
                <w:sz w:val="21"/>
                <w:szCs w:val="21"/>
              </w:rPr>
            </w:pPr>
            <w:r>
              <w:rPr>
                <w:rFonts w:hint="eastAsia" w:ascii="宋体" w:hAnsi="宋体" w:eastAsia="宋体" w:cs="宋体"/>
                <w:bCs/>
                <w:spacing w:val="-2"/>
                <w:sz w:val="21"/>
                <w:szCs w:val="21"/>
                <w:lang w:bidi="ar"/>
              </w:rPr>
              <w:t>造成事故</w:t>
            </w:r>
          </w:p>
        </w:tc>
      </w:tr>
      <w:tr w14:paraId="5F0A8356">
        <w:tblPrEx>
          <w:tblCellMar>
            <w:top w:w="0" w:type="dxa"/>
            <w:left w:w="28" w:type="dxa"/>
            <w:bottom w:w="0" w:type="dxa"/>
            <w:right w:w="28" w:type="dxa"/>
          </w:tblCellMar>
        </w:tblPrEx>
        <w:trPr>
          <w:trHeight w:val="285" w:hRule="atLeast"/>
        </w:trPr>
        <w:tc>
          <w:tcPr>
            <w:tcW w:w="349" w:type="dxa"/>
            <w:vMerge w:val="restart"/>
            <w:tcBorders>
              <w:top w:val="nil"/>
              <w:left w:val="single" w:color="auto" w:sz="4" w:space="0"/>
              <w:bottom w:val="nil"/>
              <w:right w:val="single" w:color="auto" w:sz="4" w:space="0"/>
            </w:tcBorders>
            <w:shd w:val="clear" w:color="auto" w:fill="auto"/>
            <w:vAlign w:val="center"/>
          </w:tcPr>
          <w:p w14:paraId="564C848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一</w:t>
            </w:r>
          </w:p>
        </w:tc>
        <w:tc>
          <w:tcPr>
            <w:tcW w:w="375" w:type="dxa"/>
            <w:vMerge w:val="restart"/>
            <w:tcBorders>
              <w:top w:val="nil"/>
              <w:left w:val="nil"/>
              <w:bottom w:val="nil"/>
              <w:right w:val="single" w:color="auto" w:sz="4" w:space="0"/>
            </w:tcBorders>
            <w:shd w:val="clear" w:color="auto" w:fill="auto"/>
            <w:vAlign w:val="center"/>
          </w:tcPr>
          <w:p w14:paraId="765C39A6">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电气设备</w:t>
            </w:r>
          </w:p>
        </w:tc>
        <w:tc>
          <w:tcPr>
            <w:tcW w:w="360" w:type="dxa"/>
            <w:tcBorders>
              <w:top w:val="single" w:color="auto" w:sz="4" w:space="0"/>
              <w:left w:val="nil"/>
              <w:bottom w:val="single" w:color="auto" w:sz="4" w:space="0"/>
              <w:right w:val="single" w:color="auto" w:sz="4" w:space="0"/>
            </w:tcBorders>
            <w:shd w:val="clear" w:color="auto" w:fill="auto"/>
            <w:vAlign w:val="center"/>
          </w:tcPr>
          <w:p w14:paraId="2F4B4B5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nil"/>
              <w:left w:val="nil"/>
              <w:bottom w:val="single" w:color="auto" w:sz="4" w:space="0"/>
              <w:right w:val="single" w:color="auto" w:sz="4" w:space="0"/>
            </w:tcBorders>
            <w:shd w:val="clear" w:color="auto" w:fill="auto"/>
            <w:vAlign w:val="center"/>
          </w:tcPr>
          <w:p w14:paraId="585D379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现场电器开关缺少漏电保护器或缺少相关安全配件、电线</w:t>
            </w:r>
          </w:p>
        </w:tc>
        <w:tc>
          <w:tcPr>
            <w:tcW w:w="1146" w:type="dxa"/>
            <w:tcBorders>
              <w:top w:val="nil"/>
              <w:left w:val="nil"/>
              <w:bottom w:val="single" w:color="auto" w:sz="4" w:space="0"/>
              <w:right w:val="single" w:color="auto" w:sz="4" w:space="0"/>
            </w:tcBorders>
            <w:shd w:val="clear" w:color="auto" w:fill="auto"/>
            <w:vAlign w:val="center"/>
          </w:tcPr>
          <w:p w14:paraId="70C61A0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3AA5A8B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加装漏电保护器</w:t>
            </w:r>
          </w:p>
        </w:tc>
        <w:tc>
          <w:tcPr>
            <w:tcW w:w="961" w:type="dxa"/>
            <w:vMerge w:val="restart"/>
            <w:tcBorders>
              <w:top w:val="nil"/>
              <w:left w:val="nil"/>
              <w:bottom w:val="nil"/>
              <w:right w:val="single" w:color="auto" w:sz="4" w:space="0"/>
            </w:tcBorders>
            <w:shd w:val="clear" w:color="auto" w:fill="auto"/>
            <w:vAlign w:val="center"/>
          </w:tcPr>
          <w:p w14:paraId="7AA89CB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3B4E786E">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rPr>
            </w:pPr>
          </w:p>
        </w:tc>
        <w:tc>
          <w:tcPr>
            <w:tcW w:w="1131" w:type="dxa"/>
            <w:vMerge w:val="restart"/>
            <w:tcBorders>
              <w:top w:val="nil"/>
              <w:left w:val="nil"/>
              <w:bottom w:val="nil"/>
              <w:right w:val="single" w:color="auto" w:sz="4" w:space="0"/>
            </w:tcBorders>
            <w:shd w:val="clear" w:color="auto" w:fill="auto"/>
            <w:vAlign w:val="center"/>
          </w:tcPr>
          <w:p w14:paraId="15EC26DB">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rPr>
            </w:pPr>
            <w:r>
              <w:rPr>
                <w:rFonts w:hint="eastAsia" w:ascii="宋体" w:hAnsi="宋体" w:eastAsia="宋体" w:cs="宋体"/>
                <w:sz w:val="21"/>
                <w:szCs w:val="21"/>
                <w:lang w:bidi="ar"/>
              </w:rPr>
              <w:t>双倍违约金</w:t>
            </w:r>
          </w:p>
          <w:p w14:paraId="267FE76C">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rPr>
            </w:pPr>
          </w:p>
        </w:tc>
        <w:tc>
          <w:tcPr>
            <w:tcW w:w="1077" w:type="dxa"/>
            <w:vMerge w:val="restart"/>
            <w:tcBorders>
              <w:top w:val="single" w:color="auto" w:sz="4" w:space="0"/>
              <w:left w:val="nil"/>
              <w:bottom w:val="single" w:color="auto" w:sz="4" w:space="0"/>
              <w:right w:val="single" w:color="auto" w:sz="4" w:space="0"/>
            </w:tcBorders>
            <w:shd w:val="clear" w:color="auto" w:fill="auto"/>
            <w:vAlign w:val="center"/>
          </w:tcPr>
          <w:p w14:paraId="4736A032">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2C9D9D0F">
        <w:tblPrEx>
          <w:tblCellMar>
            <w:top w:w="0" w:type="dxa"/>
            <w:left w:w="28" w:type="dxa"/>
            <w:bottom w:w="0" w:type="dxa"/>
            <w:right w:w="28" w:type="dxa"/>
          </w:tblCellMar>
        </w:tblPrEx>
        <w:trPr>
          <w:trHeight w:val="449" w:hRule="atLeast"/>
        </w:trPr>
        <w:tc>
          <w:tcPr>
            <w:tcW w:w="349" w:type="dxa"/>
            <w:vMerge w:val="continue"/>
            <w:tcBorders>
              <w:top w:val="nil"/>
              <w:left w:val="single" w:color="auto" w:sz="4" w:space="0"/>
              <w:bottom w:val="nil"/>
              <w:right w:val="single" w:color="auto" w:sz="4" w:space="0"/>
            </w:tcBorders>
            <w:shd w:val="clear" w:color="auto" w:fill="auto"/>
            <w:vAlign w:val="center"/>
          </w:tcPr>
          <w:p w14:paraId="5C17FB8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2219104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2AC76C9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nil"/>
              <w:left w:val="nil"/>
              <w:bottom w:val="single" w:color="auto" w:sz="4" w:space="0"/>
              <w:right w:val="single" w:color="auto" w:sz="4" w:space="0"/>
            </w:tcBorders>
            <w:shd w:val="clear" w:color="auto" w:fill="auto"/>
            <w:vAlign w:val="center"/>
          </w:tcPr>
          <w:p w14:paraId="4F7F938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裸线直接插入电源插座</w:t>
            </w:r>
          </w:p>
        </w:tc>
        <w:tc>
          <w:tcPr>
            <w:tcW w:w="1146" w:type="dxa"/>
            <w:tcBorders>
              <w:top w:val="nil"/>
              <w:left w:val="nil"/>
              <w:bottom w:val="single" w:color="auto" w:sz="4" w:space="0"/>
              <w:right w:val="single" w:color="auto" w:sz="4" w:space="0"/>
            </w:tcBorders>
            <w:shd w:val="clear" w:color="auto" w:fill="auto"/>
            <w:vAlign w:val="center"/>
          </w:tcPr>
          <w:p w14:paraId="786C320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造成短路</w:t>
            </w:r>
          </w:p>
        </w:tc>
        <w:tc>
          <w:tcPr>
            <w:tcW w:w="1372" w:type="dxa"/>
            <w:tcBorders>
              <w:top w:val="nil"/>
              <w:left w:val="nil"/>
              <w:bottom w:val="single" w:color="auto" w:sz="4" w:space="0"/>
              <w:right w:val="single" w:color="auto" w:sz="4" w:space="0"/>
            </w:tcBorders>
            <w:shd w:val="clear" w:color="auto" w:fill="auto"/>
            <w:vAlign w:val="center"/>
          </w:tcPr>
          <w:p w14:paraId="5133DEE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安装插头</w:t>
            </w:r>
          </w:p>
        </w:tc>
        <w:tc>
          <w:tcPr>
            <w:tcW w:w="961" w:type="dxa"/>
            <w:vMerge w:val="continue"/>
            <w:tcBorders>
              <w:top w:val="nil"/>
              <w:left w:val="nil"/>
              <w:bottom w:val="nil"/>
              <w:right w:val="single" w:color="auto" w:sz="4" w:space="0"/>
            </w:tcBorders>
            <w:shd w:val="clear" w:color="auto" w:fill="auto"/>
            <w:vAlign w:val="center"/>
          </w:tcPr>
          <w:p w14:paraId="2AD219A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0C31C9B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537AD8B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4D3AD57">
        <w:tblPrEx>
          <w:tblCellMar>
            <w:top w:w="0" w:type="dxa"/>
            <w:left w:w="28" w:type="dxa"/>
            <w:bottom w:w="0" w:type="dxa"/>
            <w:right w:w="28" w:type="dxa"/>
          </w:tblCellMar>
        </w:tblPrEx>
        <w:trPr>
          <w:trHeight w:val="90" w:hRule="atLeast"/>
        </w:trPr>
        <w:tc>
          <w:tcPr>
            <w:tcW w:w="349" w:type="dxa"/>
            <w:vMerge w:val="continue"/>
            <w:tcBorders>
              <w:top w:val="nil"/>
              <w:left w:val="single" w:color="auto" w:sz="4" w:space="0"/>
              <w:bottom w:val="nil"/>
              <w:right w:val="single" w:color="auto" w:sz="4" w:space="0"/>
            </w:tcBorders>
            <w:shd w:val="clear" w:color="auto" w:fill="auto"/>
            <w:vAlign w:val="center"/>
          </w:tcPr>
          <w:p w14:paraId="748DF56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1F4F130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7AB72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nil"/>
              <w:left w:val="nil"/>
              <w:bottom w:val="single" w:color="auto" w:sz="4" w:space="0"/>
              <w:right w:val="single" w:color="auto" w:sz="4" w:space="0"/>
            </w:tcBorders>
            <w:shd w:val="clear" w:color="auto" w:fill="auto"/>
            <w:vAlign w:val="center"/>
          </w:tcPr>
          <w:p w14:paraId="24D90A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使用拨接线路，电线接头浸泡在水中</w:t>
            </w:r>
          </w:p>
        </w:tc>
        <w:tc>
          <w:tcPr>
            <w:tcW w:w="1146" w:type="dxa"/>
            <w:tcBorders>
              <w:top w:val="nil"/>
              <w:left w:val="nil"/>
              <w:bottom w:val="single" w:color="auto" w:sz="4" w:space="0"/>
              <w:right w:val="single" w:color="auto" w:sz="4" w:space="0"/>
            </w:tcBorders>
            <w:shd w:val="clear" w:color="auto" w:fill="auto"/>
            <w:vAlign w:val="center"/>
          </w:tcPr>
          <w:p w14:paraId="4C997D2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47B4178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规范用电</w:t>
            </w:r>
          </w:p>
        </w:tc>
        <w:tc>
          <w:tcPr>
            <w:tcW w:w="961" w:type="dxa"/>
            <w:vMerge w:val="continue"/>
            <w:tcBorders>
              <w:top w:val="nil"/>
              <w:left w:val="nil"/>
              <w:bottom w:val="nil"/>
              <w:right w:val="single" w:color="auto" w:sz="4" w:space="0"/>
            </w:tcBorders>
            <w:shd w:val="clear" w:color="auto" w:fill="auto"/>
            <w:vAlign w:val="center"/>
          </w:tcPr>
          <w:p w14:paraId="6296070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5F58C5C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194690BE">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25809364">
        <w:tblPrEx>
          <w:tblCellMar>
            <w:top w:w="0" w:type="dxa"/>
            <w:left w:w="28" w:type="dxa"/>
            <w:bottom w:w="0" w:type="dxa"/>
            <w:right w:w="28" w:type="dxa"/>
          </w:tblCellMar>
        </w:tblPrEx>
        <w:trPr>
          <w:trHeight w:val="796" w:hRule="atLeast"/>
        </w:trPr>
        <w:tc>
          <w:tcPr>
            <w:tcW w:w="349" w:type="dxa"/>
            <w:vMerge w:val="continue"/>
            <w:tcBorders>
              <w:top w:val="nil"/>
              <w:left w:val="single" w:color="auto" w:sz="4" w:space="0"/>
              <w:bottom w:val="nil"/>
              <w:right w:val="single" w:color="auto" w:sz="4" w:space="0"/>
            </w:tcBorders>
            <w:shd w:val="clear" w:color="auto" w:fill="auto"/>
            <w:vAlign w:val="center"/>
          </w:tcPr>
          <w:p w14:paraId="61426E6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26A56C6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3DA1568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6CE21E08">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使用老旧破损电源线路，明显看出裸露铜线</w:t>
            </w:r>
          </w:p>
        </w:tc>
        <w:tc>
          <w:tcPr>
            <w:tcW w:w="1146" w:type="dxa"/>
            <w:tcBorders>
              <w:top w:val="nil"/>
              <w:left w:val="nil"/>
              <w:bottom w:val="single" w:color="auto" w:sz="4" w:space="0"/>
              <w:right w:val="single" w:color="auto" w:sz="4" w:space="0"/>
            </w:tcBorders>
            <w:shd w:val="clear" w:color="auto" w:fill="auto"/>
            <w:vAlign w:val="center"/>
          </w:tcPr>
          <w:p w14:paraId="0B43AB9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6001F0B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包扎﹑更换</w:t>
            </w:r>
          </w:p>
        </w:tc>
        <w:tc>
          <w:tcPr>
            <w:tcW w:w="961" w:type="dxa"/>
            <w:vMerge w:val="continue"/>
            <w:tcBorders>
              <w:top w:val="nil"/>
              <w:left w:val="nil"/>
              <w:bottom w:val="nil"/>
              <w:right w:val="single" w:color="auto" w:sz="4" w:space="0"/>
            </w:tcBorders>
            <w:shd w:val="clear" w:color="auto" w:fill="auto"/>
            <w:vAlign w:val="center"/>
          </w:tcPr>
          <w:p w14:paraId="6A27D71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0332357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17D82F03">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594DBFD7">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nil"/>
              <w:right w:val="single" w:color="auto" w:sz="4" w:space="0"/>
            </w:tcBorders>
            <w:shd w:val="clear" w:color="auto" w:fill="auto"/>
            <w:vAlign w:val="center"/>
          </w:tcPr>
          <w:p w14:paraId="5736F21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6882853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59FB3B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nil"/>
              <w:left w:val="nil"/>
              <w:bottom w:val="single" w:color="auto" w:sz="4" w:space="0"/>
              <w:right w:val="single" w:color="auto" w:sz="4" w:space="0"/>
            </w:tcBorders>
            <w:shd w:val="clear" w:color="auto" w:fill="auto"/>
            <w:vAlign w:val="center"/>
          </w:tcPr>
          <w:p w14:paraId="0DC8006B">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临时用电未进行申请，私自接电的</w:t>
            </w:r>
          </w:p>
        </w:tc>
        <w:tc>
          <w:tcPr>
            <w:tcW w:w="1146" w:type="dxa"/>
            <w:tcBorders>
              <w:top w:val="nil"/>
              <w:left w:val="nil"/>
              <w:bottom w:val="single" w:color="auto" w:sz="4" w:space="0"/>
              <w:right w:val="single" w:color="auto" w:sz="4" w:space="0"/>
            </w:tcBorders>
            <w:shd w:val="clear" w:color="auto" w:fill="auto"/>
            <w:vAlign w:val="center"/>
          </w:tcPr>
          <w:p w14:paraId="2574623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7AAB324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申请审批</w:t>
            </w:r>
          </w:p>
        </w:tc>
        <w:tc>
          <w:tcPr>
            <w:tcW w:w="961" w:type="dxa"/>
            <w:vMerge w:val="continue"/>
            <w:tcBorders>
              <w:top w:val="nil"/>
              <w:left w:val="nil"/>
              <w:bottom w:val="nil"/>
              <w:right w:val="single" w:color="auto" w:sz="4" w:space="0"/>
            </w:tcBorders>
            <w:shd w:val="clear" w:color="auto" w:fill="auto"/>
            <w:vAlign w:val="center"/>
          </w:tcPr>
          <w:p w14:paraId="1871358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6F4FCBD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01F7B8B7">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2A3B814">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nil"/>
              <w:right w:val="single" w:color="auto" w:sz="4" w:space="0"/>
            </w:tcBorders>
            <w:shd w:val="clear" w:color="auto" w:fill="auto"/>
            <w:vAlign w:val="center"/>
          </w:tcPr>
          <w:p w14:paraId="43DAC7D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3B9F111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D7E1A5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3328" w:type="dxa"/>
            <w:tcBorders>
              <w:top w:val="nil"/>
              <w:left w:val="nil"/>
              <w:bottom w:val="single" w:color="auto" w:sz="4" w:space="0"/>
              <w:right w:val="single" w:color="auto" w:sz="4" w:space="0"/>
            </w:tcBorders>
            <w:shd w:val="clear" w:color="auto" w:fill="auto"/>
            <w:vAlign w:val="center"/>
          </w:tcPr>
          <w:p w14:paraId="79A6457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现场违反“一机、一闸、一漏、一箱”规定</w:t>
            </w:r>
          </w:p>
        </w:tc>
        <w:tc>
          <w:tcPr>
            <w:tcW w:w="1146" w:type="dxa"/>
            <w:tcBorders>
              <w:top w:val="nil"/>
              <w:left w:val="nil"/>
              <w:bottom w:val="single" w:color="auto" w:sz="4" w:space="0"/>
              <w:right w:val="single" w:color="auto" w:sz="4" w:space="0"/>
            </w:tcBorders>
            <w:shd w:val="clear" w:color="auto" w:fill="auto"/>
            <w:vAlign w:val="center"/>
          </w:tcPr>
          <w:p w14:paraId="730AB48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49ECCC0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装保护装置</w:t>
            </w:r>
          </w:p>
        </w:tc>
        <w:tc>
          <w:tcPr>
            <w:tcW w:w="961" w:type="dxa"/>
            <w:vMerge w:val="continue"/>
            <w:tcBorders>
              <w:top w:val="nil"/>
              <w:left w:val="nil"/>
              <w:bottom w:val="nil"/>
              <w:right w:val="single" w:color="auto" w:sz="4" w:space="0"/>
            </w:tcBorders>
            <w:shd w:val="clear" w:color="auto" w:fill="auto"/>
            <w:vAlign w:val="center"/>
          </w:tcPr>
          <w:p w14:paraId="08A69AA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13FDFE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202B65B5">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0E61B21">
        <w:tblPrEx>
          <w:tblCellMar>
            <w:top w:w="0" w:type="dxa"/>
            <w:left w:w="28" w:type="dxa"/>
            <w:bottom w:w="0" w:type="dxa"/>
            <w:right w:w="28" w:type="dxa"/>
          </w:tblCellMar>
        </w:tblPrEx>
        <w:trPr>
          <w:trHeight w:val="503" w:hRule="atLeast"/>
        </w:trPr>
        <w:tc>
          <w:tcPr>
            <w:tcW w:w="349" w:type="dxa"/>
            <w:vMerge w:val="continue"/>
            <w:tcBorders>
              <w:top w:val="nil"/>
              <w:left w:val="single" w:color="auto" w:sz="4" w:space="0"/>
              <w:bottom w:val="nil"/>
              <w:right w:val="single" w:color="auto" w:sz="4" w:space="0"/>
            </w:tcBorders>
            <w:shd w:val="clear" w:color="auto" w:fill="auto"/>
            <w:vAlign w:val="center"/>
          </w:tcPr>
          <w:p w14:paraId="260DA3D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3D5BF91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0FEDD53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3328" w:type="dxa"/>
            <w:tcBorders>
              <w:top w:val="nil"/>
              <w:left w:val="nil"/>
              <w:bottom w:val="single" w:color="auto" w:sz="4" w:space="0"/>
              <w:right w:val="single" w:color="auto" w:sz="4" w:space="0"/>
            </w:tcBorders>
            <w:shd w:val="clear" w:color="auto" w:fill="auto"/>
            <w:vAlign w:val="center"/>
          </w:tcPr>
          <w:p w14:paraId="110C4ED3">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配电箱无门、无防雨等措施</w:t>
            </w:r>
          </w:p>
        </w:tc>
        <w:tc>
          <w:tcPr>
            <w:tcW w:w="1146" w:type="dxa"/>
            <w:tcBorders>
              <w:top w:val="nil"/>
              <w:left w:val="nil"/>
              <w:bottom w:val="single" w:color="auto" w:sz="4" w:space="0"/>
              <w:right w:val="single" w:color="auto" w:sz="4" w:space="0"/>
            </w:tcBorders>
            <w:shd w:val="clear" w:color="auto" w:fill="auto"/>
            <w:vAlign w:val="center"/>
          </w:tcPr>
          <w:p w14:paraId="516066D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1786842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维修﹑更换</w:t>
            </w:r>
          </w:p>
        </w:tc>
        <w:tc>
          <w:tcPr>
            <w:tcW w:w="961" w:type="dxa"/>
            <w:vMerge w:val="continue"/>
            <w:tcBorders>
              <w:top w:val="nil"/>
              <w:left w:val="nil"/>
              <w:bottom w:val="nil"/>
              <w:right w:val="single" w:color="auto" w:sz="4" w:space="0"/>
            </w:tcBorders>
            <w:shd w:val="clear" w:color="auto" w:fill="auto"/>
            <w:vAlign w:val="center"/>
          </w:tcPr>
          <w:p w14:paraId="3FA0655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E17444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68E5CF4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6E374B38">
        <w:tblPrEx>
          <w:tblCellMar>
            <w:top w:w="0" w:type="dxa"/>
            <w:left w:w="28" w:type="dxa"/>
            <w:bottom w:w="0" w:type="dxa"/>
            <w:right w:w="28" w:type="dxa"/>
          </w:tblCellMar>
        </w:tblPrEx>
        <w:trPr>
          <w:trHeight w:val="503" w:hRule="atLeast"/>
        </w:trPr>
        <w:tc>
          <w:tcPr>
            <w:tcW w:w="349" w:type="dxa"/>
            <w:vMerge w:val="continue"/>
            <w:tcBorders>
              <w:top w:val="nil"/>
              <w:left w:val="single" w:color="auto" w:sz="4" w:space="0"/>
              <w:bottom w:val="nil"/>
              <w:right w:val="single" w:color="auto" w:sz="4" w:space="0"/>
            </w:tcBorders>
            <w:shd w:val="clear" w:color="auto" w:fill="auto"/>
            <w:vAlign w:val="center"/>
          </w:tcPr>
          <w:p w14:paraId="3BBC166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2CF25AB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0B76BFB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3328" w:type="dxa"/>
            <w:tcBorders>
              <w:top w:val="nil"/>
              <w:left w:val="nil"/>
              <w:bottom w:val="single" w:color="auto" w:sz="4" w:space="0"/>
              <w:right w:val="single" w:color="auto" w:sz="4" w:space="0"/>
            </w:tcBorders>
            <w:shd w:val="clear" w:color="auto" w:fill="auto"/>
            <w:vAlign w:val="center"/>
          </w:tcPr>
          <w:p w14:paraId="7DA1281F">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电气作业人员未持证上岗</w:t>
            </w:r>
          </w:p>
        </w:tc>
        <w:tc>
          <w:tcPr>
            <w:tcW w:w="1146" w:type="dxa"/>
            <w:tcBorders>
              <w:top w:val="nil"/>
              <w:left w:val="nil"/>
              <w:bottom w:val="single" w:color="auto" w:sz="4" w:space="0"/>
              <w:right w:val="single" w:color="auto" w:sz="4" w:space="0"/>
            </w:tcBorders>
            <w:shd w:val="clear" w:color="auto" w:fill="auto"/>
            <w:vAlign w:val="center"/>
          </w:tcPr>
          <w:p w14:paraId="1E357D6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00919F2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加强管理</w:t>
            </w:r>
          </w:p>
        </w:tc>
        <w:tc>
          <w:tcPr>
            <w:tcW w:w="961" w:type="dxa"/>
            <w:vMerge w:val="continue"/>
            <w:tcBorders>
              <w:top w:val="nil"/>
              <w:left w:val="nil"/>
              <w:bottom w:val="nil"/>
              <w:right w:val="single" w:color="auto" w:sz="4" w:space="0"/>
            </w:tcBorders>
            <w:shd w:val="clear" w:color="auto" w:fill="auto"/>
            <w:vAlign w:val="center"/>
          </w:tcPr>
          <w:p w14:paraId="3997409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AC68AD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single" w:color="auto" w:sz="4" w:space="0"/>
              <w:left w:val="nil"/>
              <w:bottom w:val="single" w:color="auto" w:sz="4" w:space="0"/>
              <w:right w:val="single" w:color="auto" w:sz="4" w:space="0"/>
            </w:tcBorders>
            <w:shd w:val="clear" w:color="auto" w:fill="auto"/>
            <w:vAlign w:val="center"/>
          </w:tcPr>
          <w:p w14:paraId="708A96B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4C80383">
        <w:tblPrEx>
          <w:tblCellMar>
            <w:top w:w="0" w:type="dxa"/>
            <w:left w:w="28" w:type="dxa"/>
            <w:bottom w:w="0" w:type="dxa"/>
            <w:right w:w="28" w:type="dxa"/>
          </w:tblCellMar>
        </w:tblPrEx>
        <w:trPr>
          <w:trHeight w:val="405" w:hRule="atLeast"/>
        </w:trPr>
        <w:tc>
          <w:tcPr>
            <w:tcW w:w="349" w:type="dxa"/>
            <w:vMerge w:val="restart"/>
            <w:tcBorders>
              <w:top w:val="nil"/>
              <w:left w:val="single" w:color="auto" w:sz="4" w:space="0"/>
              <w:bottom w:val="nil"/>
              <w:right w:val="single" w:color="auto" w:sz="4" w:space="0"/>
            </w:tcBorders>
            <w:shd w:val="clear" w:color="auto" w:fill="auto"/>
            <w:vAlign w:val="center"/>
          </w:tcPr>
          <w:p w14:paraId="7A7D20D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二</w:t>
            </w:r>
          </w:p>
        </w:tc>
        <w:tc>
          <w:tcPr>
            <w:tcW w:w="375" w:type="dxa"/>
            <w:vMerge w:val="restart"/>
            <w:tcBorders>
              <w:top w:val="nil"/>
              <w:left w:val="nil"/>
              <w:bottom w:val="nil"/>
              <w:right w:val="single" w:color="auto" w:sz="4" w:space="0"/>
            </w:tcBorders>
            <w:shd w:val="clear" w:color="auto" w:fill="auto"/>
            <w:vAlign w:val="center"/>
          </w:tcPr>
          <w:p w14:paraId="2690C72A">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高 空 作 业</w:t>
            </w:r>
          </w:p>
        </w:tc>
        <w:tc>
          <w:tcPr>
            <w:tcW w:w="360" w:type="dxa"/>
            <w:tcBorders>
              <w:top w:val="single" w:color="auto" w:sz="4" w:space="0"/>
              <w:left w:val="nil"/>
              <w:bottom w:val="single" w:color="auto" w:sz="4" w:space="0"/>
              <w:right w:val="single" w:color="auto" w:sz="4" w:space="0"/>
            </w:tcBorders>
            <w:shd w:val="clear" w:color="auto" w:fill="auto"/>
            <w:vAlign w:val="center"/>
          </w:tcPr>
          <w:p w14:paraId="0B2297F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nil"/>
              <w:left w:val="nil"/>
              <w:bottom w:val="single" w:color="auto" w:sz="4" w:space="0"/>
              <w:right w:val="single" w:color="auto" w:sz="4" w:space="0"/>
            </w:tcBorders>
            <w:shd w:val="clear" w:color="auto" w:fill="auto"/>
            <w:vAlign w:val="center"/>
          </w:tcPr>
          <w:p w14:paraId="2EC3C63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高空作业未经审批作业的</w:t>
            </w:r>
          </w:p>
        </w:tc>
        <w:tc>
          <w:tcPr>
            <w:tcW w:w="1146" w:type="dxa"/>
            <w:tcBorders>
              <w:top w:val="nil"/>
              <w:left w:val="nil"/>
              <w:bottom w:val="single" w:color="auto" w:sz="4" w:space="0"/>
              <w:right w:val="single" w:color="auto" w:sz="4" w:space="0"/>
            </w:tcBorders>
            <w:shd w:val="clear" w:color="auto" w:fill="auto"/>
            <w:vAlign w:val="center"/>
          </w:tcPr>
          <w:p w14:paraId="7B04BA6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高空坠落</w:t>
            </w:r>
          </w:p>
        </w:tc>
        <w:tc>
          <w:tcPr>
            <w:tcW w:w="1372" w:type="dxa"/>
            <w:tcBorders>
              <w:top w:val="nil"/>
              <w:left w:val="nil"/>
              <w:bottom w:val="single" w:color="auto" w:sz="4" w:space="0"/>
              <w:right w:val="single" w:color="auto" w:sz="4" w:space="0"/>
            </w:tcBorders>
            <w:shd w:val="clear" w:color="auto" w:fill="auto"/>
            <w:vAlign w:val="center"/>
          </w:tcPr>
          <w:p w14:paraId="60BA428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申请审批</w:t>
            </w:r>
          </w:p>
        </w:tc>
        <w:tc>
          <w:tcPr>
            <w:tcW w:w="961" w:type="dxa"/>
            <w:vMerge w:val="restart"/>
            <w:tcBorders>
              <w:top w:val="nil"/>
              <w:left w:val="nil"/>
              <w:bottom w:val="nil"/>
              <w:right w:val="single" w:color="auto" w:sz="4" w:space="0"/>
            </w:tcBorders>
            <w:shd w:val="clear" w:color="auto" w:fill="auto"/>
            <w:vAlign w:val="center"/>
          </w:tcPr>
          <w:p w14:paraId="350108B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74524A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9F53E2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7EA9E5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555D941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nil"/>
              <w:right w:val="single" w:color="auto" w:sz="4" w:space="0"/>
            </w:tcBorders>
            <w:shd w:val="clear" w:color="auto" w:fill="auto"/>
            <w:vAlign w:val="center"/>
          </w:tcPr>
          <w:p w14:paraId="01DF3D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CE8D41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3E869B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74DC70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7C5A73B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7D827E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5A5D75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nil"/>
              <w:right w:val="single" w:color="auto" w:sz="4" w:space="0"/>
            </w:tcBorders>
            <w:shd w:val="clear" w:color="auto" w:fill="auto"/>
            <w:vAlign w:val="center"/>
          </w:tcPr>
          <w:p w14:paraId="4640BB93">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74839380">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nil"/>
              <w:right w:val="single" w:color="auto" w:sz="4" w:space="0"/>
            </w:tcBorders>
            <w:shd w:val="clear" w:color="auto" w:fill="auto"/>
            <w:vAlign w:val="center"/>
          </w:tcPr>
          <w:p w14:paraId="0B6FC3E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0F1FE68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44C0305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nil"/>
              <w:left w:val="nil"/>
              <w:bottom w:val="single" w:color="auto" w:sz="4" w:space="0"/>
              <w:right w:val="single" w:color="auto" w:sz="4" w:space="0"/>
            </w:tcBorders>
            <w:shd w:val="clear" w:color="auto" w:fill="auto"/>
            <w:vAlign w:val="center"/>
          </w:tcPr>
          <w:p w14:paraId="3ADB3BC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施工现场作业平台或脚手架未固定</w:t>
            </w:r>
          </w:p>
        </w:tc>
        <w:tc>
          <w:tcPr>
            <w:tcW w:w="1146" w:type="dxa"/>
            <w:tcBorders>
              <w:top w:val="nil"/>
              <w:left w:val="nil"/>
              <w:bottom w:val="single" w:color="auto" w:sz="4" w:space="0"/>
              <w:right w:val="single" w:color="auto" w:sz="4" w:space="0"/>
            </w:tcBorders>
            <w:shd w:val="clear" w:color="auto" w:fill="auto"/>
            <w:vAlign w:val="center"/>
          </w:tcPr>
          <w:p w14:paraId="7407A6D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高空坠落</w:t>
            </w:r>
          </w:p>
        </w:tc>
        <w:tc>
          <w:tcPr>
            <w:tcW w:w="1372" w:type="dxa"/>
            <w:tcBorders>
              <w:top w:val="nil"/>
              <w:left w:val="nil"/>
              <w:bottom w:val="single" w:color="auto" w:sz="4" w:space="0"/>
              <w:right w:val="single" w:color="auto" w:sz="4" w:space="0"/>
            </w:tcBorders>
            <w:shd w:val="clear" w:color="auto" w:fill="auto"/>
            <w:vAlign w:val="center"/>
          </w:tcPr>
          <w:p w14:paraId="08DF5C4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加固防护</w:t>
            </w:r>
          </w:p>
        </w:tc>
        <w:tc>
          <w:tcPr>
            <w:tcW w:w="961" w:type="dxa"/>
            <w:vMerge w:val="continue"/>
            <w:tcBorders>
              <w:top w:val="nil"/>
              <w:left w:val="nil"/>
              <w:bottom w:val="nil"/>
              <w:right w:val="single" w:color="auto" w:sz="4" w:space="0"/>
            </w:tcBorders>
            <w:shd w:val="clear" w:color="auto" w:fill="auto"/>
            <w:vAlign w:val="center"/>
          </w:tcPr>
          <w:p w14:paraId="05CDFC3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56064B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07857723">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22F5242C">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nil"/>
              <w:right w:val="single" w:color="auto" w:sz="4" w:space="0"/>
            </w:tcBorders>
            <w:shd w:val="clear" w:color="auto" w:fill="auto"/>
            <w:vAlign w:val="center"/>
          </w:tcPr>
          <w:p w14:paraId="24D7C96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1CA9198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73A561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nil"/>
              <w:left w:val="nil"/>
              <w:bottom w:val="single" w:color="auto" w:sz="4" w:space="0"/>
              <w:right w:val="single" w:color="auto" w:sz="4" w:space="0"/>
            </w:tcBorders>
            <w:shd w:val="clear" w:color="auto" w:fill="auto"/>
            <w:vAlign w:val="center"/>
          </w:tcPr>
          <w:p w14:paraId="7E73F9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施工人员未按要求佩戴安全帽、安全带、绳</w:t>
            </w:r>
          </w:p>
        </w:tc>
        <w:tc>
          <w:tcPr>
            <w:tcW w:w="1146" w:type="dxa"/>
            <w:tcBorders>
              <w:top w:val="nil"/>
              <w:left w:val="nil"/>
              <w:bottom w:val="single" w:color="auto" w:sz="4" w:space="0"/>
              <w:right w:val="single" w:color="auto" w:sz="4" w:space="0"/>
            </w:tcBorders>
            <w:shd w:val="clear" w:color="auto" w:fill="auto"/>
            <w:vAlign w:val="center"/>
          </w:tcPr>
          <w:p w14:paraId="490D7B2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物体打击</w:t>
            </w:r>
          </w:p>
        </w:tc>
        <w:tc>
          <w:tcPr>
            <w:tcW w:w="1372" w:type="dxa"/>
            <w:tcBorders>
              <w:top w:val="nil"/>
              <w:left w:val="nil"/>
              <w:bottom w:val="single" w:color="auto" w:sz="4" w:space="0"/>
              <w:right w:val="single" w:color="auto" w:sz="4" w:space="0"/>
            </w:tcBorders>
            <w:shd w:val="clear" w:color="auto" w:fill="auto"/>
            <w:vAlign w:val="center"/>
          </w:tcPr>
          <w:p w14:paraId="7838D79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要求佩戴</w:t>
            </w:r>
          </w:p>
        </w:tc>
        <w:tc>
          <w:tcPr>
            <w:tcW w:w="961" w:type="dxa"/>
            <w:vMerge w:val="continue"/>
            <w:tcBorders>
              <w:top w:val="nil"/>
              <w:left w:val="nil"/>
              <w:bottom w:val="nil"/>
              <w:right w:val="single" w:color="auto" w:sz="4" w:space="0"/>
            </w:tcBorders>
            <w:shd w:val="clear" w:color="auto" w:fill="auto"/>
            <w:vAlign w:val="center"/>
          </w:tcPr>
          <w:p w14:paraId="018B6E6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B44117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7B9A9429">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C6662EF">
        <w:tblPrEx>
          <w:tblCellMar>
            <w:top w:w="0" w:type="dxa"/>
            <w:left w:w="28" w:type="dxa"/>
            <w:bottom w:w="0" w:type="dxa"/>
            <w:right w:w="28" w:type="dxa"/>
          </w:tblCellMar>
        </w:tblPrEx>
        <w:trPr>
          <w:trHeight w:val="541" w:hRule="atLeast"/>
        </w:trPr>
        <w:tc>
          <w:tcPr>
            <w:tcW w:w="349" w:type="dxa"/>
            <w:vMerge w:val="continue"/>
            <w:tcBorders>
              <w:top w:val="nil"/>
              <w:left w:val="single" w:color="auto" w:sz="4" w:space="0"/>
              <w:bottom w:val="nil"/>
              <w:right w:val="single" w:color="auto" w:sz="4" w:space="0"/>
            </w:tcBorders>
            <w:shd w:val="clear" w:color="auto" w:fill="auto"/>
            <w:vAlign w:val="center"/>
          </w:tcPr>
          <w:p w14:paraId="123ACEE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6C78A89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67379E1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3602FB0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高空作业在同一空间交叉作业</w:t>
            </w:r>
          </w:p>
        </w:tc>
        <w:tc>
          <w:tcPr>
            <w:tcW w:w="1146" w:type="dxa"/>
            <w:tcBorders>
              <w:top w:val="nil"/>
              <w:left w:val="nil"/>
              <w:bottom w:val="single" w:color="auto" w:sz="4" w:space="0"/>
              <w:right w:val="single" w:color="auto" w:sz="4" w:space="0"/>
            </w:tcBorders>
            <w:shd w:val="clear" w:color="auto" w:fill="auto"/>
            <w:vAlign w:val="center"/>
          </w:tcPr>
          <w:p w14:paraId="2035FC0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落物伤人</w:t>
            </w:r>
          </w:p>
        </w:tc>
        <w:tc>
          <w:tcPr>
            <w:tcW w:w="1372" w:type="dxa"/>
            <w:tcBorders>
              <w:top w:val="nil"/>
              <w:left w:val="nil"/>
              <w:bottom w:val="single" w:color="auto" w:sz="4" w:space="0"/>
              <w:right w:val="single" w:color="auto" w:sz="4" w:space="0"/>
            </w:tcBorders>
            <w:shd w:val="clear" w:color="auto" w:fill="auto"/>
            <w:vAlign w:val="center"/>
          </w:tcPr>
          <w:p w14:paraId="1A1C643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分开作业</w:t>
            </w:r>
          </w:p>
        </w:tc>
        <w:tc>
          <w:tcPr>
            <w:tcW w:w="961" w:type="dxa"/>
            <w:vMerge w:val="continue"/>
            <w:tcBorders>
              <w:top w:val="nil"/>
              <w:left w:val="nil"/>
              <w:bottom w:val="nil"/>
              <w:right w:val="single" w:color="auto" w:sz="4" w:space="0"/>
            </w:tcBorders>
            <w:shd w:val="clear" w:color="auto" w:fill="auto"/>
            <w:vAlign w:val="center"/>
          </w:tcPr>
          <w:p w14:paraId="6F66175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2AC245E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38DC4549">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54EDF143">
        <w:tblPrEx>
          <w:tblCellMar>
            <w:top w:w="0" w:type="dxa"/>
            <w:left w:w="28" w:type="dxa"/>
            <w:bottom w:w="0" w:type="dxa"/>
            <w:right w:w="28" w:type="dxa"/>
          </w:tblCellMar>
        </w:tblPrEx>
        <w:trPr>
          <w:trHeight w:val="740" w:hRule="atLeast"/>
        </w:trPr>
        <w:tc>
          <w:tcPr>
            <w:tcW w:w="349" w:type="dxa"/>
            <w:vMerge w:val="continue"/>
            <w:tcBorders>
              <w:top w:val="nil"/>
              <w:left w:val="single" w:color="auto" w:sz="4" w:space="0"/>
              <w:bottom w:val="nil"/>
              <w:right w:val="single" w:color="auto" w:sz="4" w:space="0"/>
            </w:tcBorders>
            <w:shd w:val="clear" w:color="auto" w:fill="auto"/>
            <w:vAlign w:val="center"/>
          </w:tcPr>
          <w:p w14:paraId="72ECCC0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nil"/>
              <w:right w:val="single" w:color="auto" w:sz="4" w:space="0"/>
            </w:tcBorders>
            <w:shd w:val="clear" w:color="auto" w:fill="auto"/>
            <w:vAlign w:val="center"/>
          </w:tcPr>
          <w:p w14:paraId="3234F4C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44F3D23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nil"/>
              <w:left w:val="nil"/>
              <w:bottom w:val="single" w:color="auto" w:sz="4" w:space="0"/>
              <w:right w:val="single" w:color="auto" w:sz="4" w:space="0"/>
            </w:tcBorders>
            <w:shd w:val="clear" w:color="auto" w:fill="auto"/>
            <w:vAlign w:val="center"/>
          </w:tcPr>
          <w:p w14:paraId="4DB35EE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高空作业现场未设监护人员</w:t>
            </w:r>
          </w:p>
        </w:tc>
        <w:tc>
          <w:tcPr>
            <w:tcW w:w="1146" w:type="dxa"/>
            <w:tcBorders>
              <w:top w:val="nil"/>
              <w:left w:val="nil"/>
              <w:bottom w:val="single" w:color="auto" w:sz="4" w:space="0"/>
              <w:right w:val="single" w:color="auto" w:sz="4" w:space="0"/>
            </w:tcBorders>
            <w:shd w:val="clear" w:color="auto" w:fill="auto"/>
            <w:vAlign w:val="center"/>
          </w:tcPr>
          <w:p w14:paraId="2AD3F55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高空坠落</w:t>
            </w:r>
          </w:p>
        </w:tc>
        <w:tc>
          <w:tcPr>
            <w:tcW w:w="1372" w:type="dxa"/>
            <w:tcBorders>
              <w:top w:val="nil"/>
              <w:left w:val="nil"/>
              <w:bottom w:val="single" w:color="auto" w:sz="4" w:space="0"/>
              <w:right w:val="single" w:color="auto" w:sz="4" w:space="0"/>
            </w:tcBorders>
            <w:shd w:val="clear" w:color="auto" w:fill="auto"/>
            <w:vAlign w:val="center"/>
          </w:tcPr>
          <w:p w14:paraId="6F0431A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加强管理</w:t>
            </w:r>
          </w:p>
        </w:tc>
        <w:tc>
          <w:tcPr>
            <w:tcW w:w="961" w:type="dxa"/>
            <w:vMerge w:val="continue"/>
            <w:tcBorders>
              <w:top w:val="nil"/>
              <w:left w:val="nil"/>
              <w:bottom w:val="nil"/>
              <w:right w:val="single" w:color="auto" w:sz="4" w:space="0"/>
            </w:tcBorders>
            <w:shd w:val="clear" w:color="auto" w:fill="auto"/>
            <w:vAlign w:val="center"/>
          </w:tcPr>
          <w:p w14:paraId="246FEB3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37341D5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1A8CE715">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53FA020B">
        <w:tblPrEx>
          <w:tblCellMar>
            <w:top w:w="0" w:type="dxa"/>
            <w:left w:w="28" w:type="dxa"/>
            <w:bottom w:w="0" w:type="dxa"/>
            <w:right w:w="28" w:type="dxa"/>
          </w:tblCellMar>
        </w:tblPrEx>
        <w:trPr>
          <w:trHeight w:val="448" w:hRule="atLeast"/>
        </w:trPr>
        <w:tc>
          <w:tcPr>
            <w:tcW w:w="349" w:type="dxa"/>
            <w:vMerge w:val="restart"/>
            <w:tcBorders>
              <w:top w:val="nil"/>
              <w:left w:val="single" w:color="auto" w:sz="4" w:space="0"/>
              <w:bottom w:val="single" w:color="000000" w:sz="4" w:space="0"/>
              <w:right w:val="single" w:color="auto" w:sz="4" w:space="0"/>
            </w:tcBorders>
            <w:shd w:val="clear" w:color="auto" w:fill="auto"/>
            <w:vAlign w:val="center"/>
          </w:tcPr>
          <w:p w14:paraId="4C2F381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三</w:t>
            </w:r>
          </w:p>
        </w:tc>
        <w:tc>
          <w:tcPr>
            <w:tcW w:w="375" w:type="dxa"/>
            <w:vMerge w:val="restart"/>
            <w:tcBorders>
              <w:top w:val="nil"/>
              <w:left w:val="nil"/>
              <w:bottom w:val="single" w:color="auto" w:sz="4" w:space="0"/>
              <w:right w:val="single" w:color="auto" w:sz="4" w:space="0"/>
            </w:tcBorders>
            <w:shd w:val="clear" w:color="auto" w:fill="auto"/>
            <w:vAlign w:val="center"/>
          </w:tcPr>
          <w:p w14:paraId="432C2BCA">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动火作业</w:t>
            </w:r>
          </w:p>
        </w:tc>
        <w:tc>
          <w:tcPr>
            <w:tcW w:w="360" w:type="dxa"/>
            <w:tcBorders>
              <w:top w:val="single" w:color="auto" w:sz="4" w:space="0"/>
              <w:left w:val="nil"/>
              <w:bottom w:val="single" w:color="auto" w:sz="4" w:space="0"/>
              <w:right w:val="single" w:color="auto" w:sz="4" w:space="0"/>
            </w:tcBorders>
            <w:shd w:val="clear" w:color="auto" w:fill="auto"/>
            <w:vAlign w:val="center"/>
          </w:tcPr>
          <w:p w14:paraId="04601E3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single" w:color="auto" w:sz="4" w:space="0"/>
              <w:left w:val="nil"/>
              <w:bottom w:val="single" w:color="auto" w:sz="4" w:space="0"/>
              <w:right w:val="single" w:color="auto" w:sz="4" w:space="0"/>
            </w:tcBorders>
            <w:shd w:val="clear" w:color="auto" w:fill="auto"/>
            <w:vAlign w:val="center"/>
          </w:tcPr>
          <w:p w14:paraId="796594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电焊、切割作业未清理10米内易燃易爆物，也未隔离防护</w:t>
            </w:r>
          </w:p>
        </w:tc>
        <w:tc>
          <w:tcPr>
            <w:tcW w:w="1146" w:type="dxa"/>
            <w:tcBorders>
              <w:top w:val="single" w:color="auto" w:sz="4" w:space="0"/>
              <w:left w:val="nil"/>
              <w:bottom w:val="single" w:color="auto" w:sz="4" w:space="0"/>
              <w:right w:val="single" w:color="auto" w:sz="4" w:space="0"/>
            </w:tcBorders>
            <w:shd w:val="clear" w:color="auto" w:fill="auto"/>
            <w:vAlign w:val="center"/>
          </w:tcPr>
          <w:p w14:paraId="0A242BE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w:t>
            </w:r>
          </w:p>
        </w:tc>
        <w:tc>
          <w:tcPr>
            <w:tcW w:w="1372" w:type="dxa"/>
            <w:tcBorders>
              <w:top w:val="single" w:color="auto" w:sz="4" w:space="0"/>
              <w:left w:val="nil"/>
              <w:bottom w:val="single" w:color="auto" w:sz="4" w:space="0"/>
              <w:right w:val="single" w:color="auto" w:sz="4" w:space="0"/>
            </w:tcBorders>
            <w:shd w:val="clear" w:color="auto" w:fill="auto"/>
            <w:vAlign w:val="center"/>
          </w:tcPr>
          <w:p w14:paraId="7B749E0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清理物品、做好隔离防护</w:t>
            </w:r>
          </w:p>
        </w:tc>
        <w:tc>
          <w:tcPr>
            <w:tcW w:w="961" w:type="dxa"/>
            <w:vMerge w:val="restart"/>
            <w:tcBorders>
              <w:top w:val="nil"/>
              <w:left w:val="nil"/>
              <w:bottom w:val="single" w:color="auto" w:sz="4" w:space="0"/>
              <w:right w:val="single" w:color="auto" w:sz="4" w:space="0"/>
            </w:tcBorders>
            <w:shd w:val="clear" w:color="auto" w:fill="auto"/>
            <w:vAlign w:val="center"/>
          </w:tcPr>
          <w:p w14:paraId="019E8D2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E4CDAD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FC6D876">
            <w:pPr>
              <w:pStyle w:val="34"/>
              <w:keepNext w:val="0"/>
              <w:keepLines w:val="0"/>
              <w:suppressLineNumbers w:val="0"/>
              <w:ind w:left="0" w:right="0"/>
              <w:rPr>
                <w:rFonts w:hint="eastAsia" w:ascii="宋体" w:hAnsi="宋体" w:eastAsia="宋体" w:cs="宋体"/>
                <w:sz w:val="21"/>
                <w:szCs w:val="21"/>
              </w:rPr>
            </w:pPr>
          </w:p>
          <w:p w14:paraId="1AB381F5">
            <w:pPr>
              <w:keepNext w:val="0"/>
              <w:keepLines w:val="0"/>
              <w:suppressLineNumbers w:val="0"/>
              <w:spacing w:before="0" w:beforeAutospacing="0" w:after="0" w:afterAutospacing="0"/>
              <w:ind w:left="0" w:right="0"/>
              <w:rPr>
                <w:rFonts w:hint="eastAsia" w:ascii="宋体" w:hAnsi="宋体" w:eastAsia="宋体" w:cs="宋体"/>
                <w:sz w:val="21"/>
                <w:szCs w:val="21"/>
              </w:rPr>
            </w:pPr>
          </w:p>
          <w:p w14:paraId="7D2DC0E1">
            <w:pPr>
              <w:pStyle w:val="34"/>
              <w:keepNext w:val="0"/>
              <w:keepLines w:val="0"/>
              <w:suppressLineNumbers w:val="0"/>
              <w:ind w:left="0" w:right="0"/>
              <w:rPr>
                <w:rFonts w:hint="eastAsia" w:ascii="宋体" w:hAnsi="宋体" w:eastAsia="宋体" w:cs="宋体"/>
                <w:sz w:val="21"/>
                <w:szCs w:val="21"/>
              </w:rPr>
            </w:pPr>
          </w:p>
          <w:p w14:paraId="038819BA">
            <w:pPr>
              <w:keepNext w:val="0"/>
              <w:keepLines w:val="0"/>
              <w:suppressLineNumbers w:val="0"/>
              <w:spacing w:before="0" w:beforeAutospacing="0" w:after="0" w:afterAutospacing="0"/>
              <w:ind w:left="0" w:right="0"/>
              <w:rPr>
                <w:rFonts w:hint="eastAsia" w:ascii="宋体" w:hAnsi="宋体" w:eastAsia="宋体" w:cs="宋体"/>
                <w:sz w:val="21"/>
                <w:szCs w:val="21"/>
              </w:rPr>
            </w:pPr>
          </w:p>
          <w:p w14:paraId="11FA7CF0">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rPr>
            </w:pPr>
          </w:p>
          <w:p w14:paraId="0FDEF17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9EF1F1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2B60B09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50F694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5AF1B8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EA18EA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252480C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single" w:color="auto" w:sz="4" w:space="0"/>
              <w:right w:val="single" w:color="auto" w:sz="4" w:space="0"/>
            </w:tcBorders>
            <w:shd w:val="clear" w:color="auto" w:fill="auto"/>
            <w:vAlign w:val="center"/>
          </w:tcPr>
          <w:p w14:paraId="35B6309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2F7306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333B6F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C0E4ED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061FF7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7D704B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283F36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45BC58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4292B26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0BDBA8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47CF93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275FF2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E952A7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single" w:color="auto" w:sz="4" w:space="0"/>
              <w:right w:val="single" w:color="auto" w:sz="4" w:space="0"/>
            </w:tcBorders>
            <w:shd w:val="clear" w:color="auto" w:fill="auto"/>
            <w:vAlign w:val="center"/>
          </w:tcPr>
          <w:p w14:paraId="23C4E27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E685F7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B66D33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FB299E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2E86D96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1A055C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F70D00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63203A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p>
          <w:p w14:paraId="724018EB">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39F3141D">
        <w:tblPrEx>
          <w:tblCellMar>
            <w:top w:w="0" w:type="dxa"/>
            <w:left w:w="28" w:type="dxa"/>
            <w:bottom w:w="0" w:type="dxa"/>
            <w:right w:w="28" w:type="dxa"/>
          </w:tblCellMar>
        </w:tblPrEx>
        <w:trPr>
          <w:trHeight w:val="11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2C7DDE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3B47E49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4A677B1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single" w:color="auto" w:sz="4" w:space="0"/>
              <w:left w:val="nil"/>
              <w:bottom w:val="single" w:color="auto" w:sz="4" w:space="0"/>
              <w:right w:val="single" w:color="auto" w:sz="4" w:space="0"/>
            </w:tcBorders>
            <w:shd w:val="clear" w:color="auto" w:fill="auto"/>
            <w:vAlign w:val="center"/>
          </w:tcPr>
          <w:p w14:paraId="4CBCE50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现场未按有关法律法规规定配置有效期内的灭火器</w:t>
            </w:r>
          </w:p>
        </w:tc>
        <w:tc>
          <w:tcPr>
            <w:tcW w:w="1146" w:type="dxa"/>
            <w:tcBorders>
              <w:top w:val="single" w:color="auto" w:sz="4" w:space="0"/>
              <w:left w:val="nil"/>
              <w:bottom w:val="single" w:color="auto" w:sz="4" w:space="0"/>
              <w:right w:val="single" w:color="auto" w:sz="4" w:space="0"/>
            </w:tcBorders>
            <w:shd w:val="clear" w:color="auto" w:fill="auto"/>
            <w:vAlign w:val="center"/>
          </w:tcPr>
          <w:p w14:paraId="7BB807D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延误救火</w:t>
            </w:r>
          </w:p>
        </w:tc>
        <w:tc>
          <w:tcPr>
            <w:tcW w:w="1372" w:type="dxa"/>
            <w:tcBorders>
              <w:top w:val="single" w:color="auto" w:sz="4" w:space="0"/>
              <w:left w:val="nil"/>
              <w:bottom w:val="single" w:color="auto" w:sz="4" w:space="0"/>
              <w:right w:val="single" w:color="auto" w:sz="4" w:space="0"/>
            </w:tcBorders>
            <w:shd w:val="clear" w:color="auto" w:fill="auto"/>
            <w:vAlign w:val="center"/>
          </w:tcPr>
          <w:p w14:paraId="6FC7A71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按有关法律法规配置灭火器</w:t>
            </w:r>
          </w:p>
        </w:tc>
        <w:tc>
          <w:tcPr>
            <w:tcW w:w="961" w:type="dxa"/>
            <w:vMerge w:val="continue"/>
            <w:tcBorders>
              <w:top w:val="nil"/>
              <w:left w:val="nil"/>
              <w:bottom w:val="single" w:color="auto" w:sz="4" w:space="0"/>
              <w:right w:val="single" w:color="auto" w:sz="4" w:space="0"/>
            </w:tcBorders>
            <w:shd w:val="clear" w:color="auto" w:fill="auto"/>
            <w:vAlign w:val="center"/>
          </w:tcPr>
          <w:p w14:paraId="01C4BE3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145FC34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48FB3D48">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451C3EC">
        <w:tblPrEx>
          <w:tblCellMar>
            <w:top w:w="0" w:type="dxa"/>
            <w:left w:w="28" w:type="dxa"/>
            <w:bottom w:w="0" w:type="dxa"/>
            <w:right w:w="28" w:type="dxa"/>
          </w:tblCellMar>
        </w:tblPrEx>
        <w:trPr>
          <w:trHeight w:val="489"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3274C14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05C8BA1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47609E9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single" w:color="auto" w:sz="4" w:space="0"/>
              <w:left w:val="nil"/>
              <w:bottom w:val="single" w:color="auto" w:sz="4" w:space="0"/>
              <w:right w:val="single" w:color="auto" w:sz="4" w:space="0"/>
            </w:tcBorders>
            <w:shd w:val="clear" w:color="auto" w:fill="auto"/>
            <w:vAlign w:val="center"/>
          </w:tcPr>
          <w:p w14:paraId="0317A48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气瓶置于烈日下暴晒</w:t>
            </w:r>
          </w:p>
        </w:tc>
        <w:tc>
          <w:tcPr>
            <w:tcW w:w="1146" w:type="dxa"/>
            <w:tcBorders>
              <w:top w:val="single" w:color="auto" w:sz="4" w:space="0"/>
              <w:left w:val="nil"/>
              <w:bottom w:val="single" w:color="auto" w:sz="4" w:space="0"/>
              <w:right w:val="single" w:color="auto" w:sz="4" w:space="0"/>
            </w:tcBorders>
            <w:shd w:val="clear" w:color="auto" w:fill="auto"/>
            <w:vAlign w:val="center"/>
          </w:tcPr>
          <w:p w14:paraId="556AD81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气压上升</w:t>
            </w:r>
          </w:p>
        </w:tc>
        <w:tc>
          <w:tcPr>
            <w:tcW w:w="1372" w:type="dxa"/>
            <w:tcBorders>
              <w:top w:val="single" w:color="auto" w:sz="4" w:space="0"/>
              <w:left w:val="nil"/>
              <w:bottom w:val="single" w:color="auto" w:sz="4" w:space="0"/>
              <w:right w:val="single" w:color="auto" w:sz="4" w:space="0"/>
            </w:tcBorders>
            <w:shd w:val="clear" w:color="auto" w:fill="auto"/>
            <w:vAlign w:val="center"/>
          </w:tcPr>
          <w:p w14:paraId="616DEA3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存放阴凉处</w:t>
            </w:r>
          </w:p>
        </w:tc>
        <w:tc>
          <w:tcPr>
            <w:tcW w:w="961" w:type="dxa"/>
            <w:vMerge w:val="continue"/>
            <w:tcBorders>
              <w:top w:val="nil"/>
              <w:left w:val="nil"/>
              <w:bottom w:val="single" w:color="auto" w:sz="4" w:space="0"/>
              <w:right w:val="single" w:color="auto" w:sz="4" w:space="0"/>
            </w:tcBorders>
            <w:shd w:val="clear" w:color="auto" w:fill="auto"/>
            <w:vAlign w:val="center"/>
          </w:tcPr>
          <w:p w14:paraId="03ED748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4E702FF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05B75FCB">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10E2CC89">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681E676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3FB9D2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2B1CD9D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single" w:color="auto" w:sz="4" w:space="0"/>
              <w:left w:val="nil"/>
              <w:bottom w:val="single" w:color="auto" w:sz="4" w:space="0"/>
              <w:right w:val="single" w:color="auto" w:sz="4" w:space="0"/>
            </w:tcBorders>
            <w:shd w:val="clear" w:color="auto" w:fill="auto"/>
            <w:vAlign w:val="center"/>
          </w:tcPr>
          <w:p w14:paraId="3C6F51C3">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气瓶置于电焊、气割作业下方</w:t>
            </w:r>
          </w:p>
        </w:tc>
        <w:tc>
          <w:tcPr>
            <w:tcW w:w="1146" w:type="dxa"/>
            <w:tcBorders>
              <w:top w:val="single" w:color="auto" w:sz="4" w:space="0"/>
              <w:left w:val="nil"/>
              <w:bottom w:val="single" w:color="auto" w:sz="4" w:space="0"/>
              <w:right w:val="single" w:color="auto" w:sz="4" w:space="0"/>
            </w:tcBorders>
            <w:shd w:val="clear" w:color="auto" w:fill="auto"/>
            <w:vAlign w:val="center"/>
          </w:tcPr>
          <w:p w14:paraId="0D5BB4D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w:t>
            </w:r>
          </w:p>
        </w:tc>
        <w:tc>
          <w:tcPr>
            <w:tcW w:w="1372" w:type="dxa"/>
            <w:tcBorders>
              <w:top w:val="single" w:color="auto" w:sz="4" w:space="0"/>
              <w:left w:val="nil"/>
              <w:bottom w:val="single" w:color="auto" w:sz="4" w:space="0"/>
              <w:right w:val="single" w:color="auto" w:sz="4" w:space="0"/>
            </w:tcBorders>
            <w:shd w:val="clear" w:color="auto" w:fill="auto"/>
            <w:vAlign w:val="center"/>
          </w:tcPr>
          <w:p w14:paraId="5D132D6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立即搬离至安全区域</w:t>
            </w:r>
          </w:p>
        </w:tc>
        <w:tc>
          <w:tcPr>
            <w:tcW w:w="961" w:type="dxa"/>
            <w:vMerge w:val="continue"/>
            <w:tcBorders>
              <w:top w:val="nil"/>
              <w:left w:val="nil"/>
              <w:bottom w:val="single" w:color="auto" w:sz="4" w:space="0"/>
              <w:right w:val="single" w:color="auto" w:sz="4" w:space="0"/>
            </w:tcBorders>
            <w:shd w:val="clear" w:color="auto" w:fill="auto"/>
            <w:vAlign w:val="center"/>
          </w:tcPr>
          <w:p w14:paraId="49F8792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592738C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B2CE18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2FC6831">
        <w:tblPrEx>
          <w:tblCellMar>
            <w:top w:w="0" w:type="dxa"/>
            <w:left w:w="28" w:type="dxa"/>
            <w:bottom w:w="0" w:type="dxa"/>
            <w:right w:w="28" w:type="dxa"/>
          </w:tblCellMar>
        </w:tblPrEx>
        <w:trPr>
          <w:trHeight w:val="481"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3A3798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7C5400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5FBE863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single" w:color="auto" w:sz="4" w:space="0"/>
              <w:left w:val="nil"/>
              <w:bottom w:val="single" w:color="auto" w:sz="4" w:space="0"/>
              <w:right w:val="single" w:color="auto" w:sz="4" w:space="0"/>
            </w:tcBorders>
            <w:shd w:val="clear" w:color="auto" w:fill="auto"/>
            <w:vAlign w:val="center"/>
          </w:tcPr>
          <w:p w14:paraId="3740996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气割、气焊、电焊等无专人监护</w:t>
            </w:r>
          </w:p>
        </w:tc>
        <w:tc>
          <w:tcPr>
            <w:tcW w:w="1146" w:type="dxa"/>
            <w:tcBorders>
              <w:top w:val="single" w:color="auto" w:sz="4" w:space="0"/>
              <w:left w:val="nil"/>
              <w:bottom w:val="single" w:color="auto" w:sz="4" w:space="0"/>
              <w:right w:val="single" w:color="auto" w:sz="4" w:space="0"/>
            </w:tcBorders>
            <w:shd w:val="clear" w:color="auto" w:fill="auto"/>
            <w:vAlign w:val="center"/>
          </w:tcPr>
          <w:p w14:paraId="7017385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意外事故</w:t>
            </w:r>
          </w:p>
        </w:tc>
        <w:tc>
          <w:tcPr>
            <w:tcW w:w="1372" w:type="dxa"/>
            <w:tcBorders>
              <w:top w:val="single" w:color="auto" w:sz="4" w:space="0"/>
              <w:left w:val="nil"/>
              <w:bottom w:val="single" w:color="auto" w:sz="4" w:space="0"/>
              <w:right w:val="single" w:color="auto" w:sz="4" w:space="0"/>
            </w:tcBorders>
            <w:shd w:val="clear" w:color="auto" w:fill="auto"/>
            <w:vAlign w:val="center"/>
          </w:tcPr>
          <w:p w14:paraId="4D4944A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安排专人监护</w:t>
            </w:r>
          </w:p>
        </w:tc>
        <w:tc>
          <w:tcPr>
            <w:tcW w:w="961" w:type="dxa"/>
            <w:vMerge w:val="continue"/>
            <w:tcBorders>
              <w:top w:val="nil"/>
              <w:left w:val="nil"/>
              <w:bottom w:val="single" w:color="auto" w:sz="4" w:space="0"/>
              <w:right w:val="single" w:color="auto" w:sz="4" w:space="0"/>
            </w:tcBorders>
            <w:shd w:val="clear" w:color="auto" w:fill="auto"/>
            <w:vAlign w:val="center"/>
          </w:tcPr>
          <w:p w14:paraId="19356C8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0F37CE7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46DBF07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25F3E29A">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CFFEEB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31372FB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2FCF52E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3328" w:type="dxa"/>
            <w:tcBorders>
              <w:top w:val="nil"/>
              <w:left w:val="nil"/>
              <w:bottom w:val="single" w:color="auto" w:sz="4" w:space="0"/>
              <w:right w:val="single" w:color="auto" w:sz="4" w:space="0"/>
            </w:tcBorders>
            <w:shd w:val="clear" w:color="auto" w:fill="auto"/>
            <w:vAlign w:val="center"/>
          </w:tcPr>
          <w:p w14:paraId="6D583E60">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氧气、乙炔瓶气管老化、破损</w:t>
            </w:r>
          </w:p>
        </w:tc>
        <w:tc>
          <w:tcPr>
            <w:tcW w:w="1146" w:type="dxa"/>
            <w:tcBorders>
              <w:top w:val="nil"/>
              <w:left w:val="nil"/>
              <w:bottom w:val="single" w:color="auto" w:sz="4" w:space="0"/>
              <w:right w:val="single" w:color="auto" w:sz="4" w:space="0"/>
            </w:tcBorders>
            <w:shd w:val="clear" w:color="auto" w:fill="auto"/>
            <w:vAlign w:val="center"/>
          </w:tcPr>
          <w:p w14:paraId="0F5A34C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w:t>
            </w:r>
          </w:p>
        </w:tc>
        <w:tc>
          <w:tcPr>
            <w:tcW w:w="1372" w:type="dxa"/>
            <w:tcBorders>
              <w:top w:val="nil"/>
              <w:left w:val="nil"/>
              <w:bottom w:val="single" w:color="auto" w:sz="4" w:space="0"/>
              <w:right w:val="single" w:color="auto" w:sz="4" w:space="0"/>
            </w:tcBorders>
            <w:shd w:val="clear" w:color="auto" w:fill="auto"/>
            <w:vAlign w:val="center"/>
          </w:tcPr>
          <w:p w14:paraId="7F437B5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更换胶管</w:t>
            </w:r>
          </w:p>
        </w:tc>
        <w:tc>
          <w:tcPr>
            <w:tcW w:w="961" w:type="dxa"/>
            <w:vMerge w:val="continue"/>
            <w:tcBorders>
              <w:top w:val="nil"/>
              <w:left w:val="nil"/>
              <w:bottom w:val="single" w:color="auto" w:sz="4" w:space="0"/>
              <w:right w:val="single" w:color="auto" w:sz="4" w:space="0"/>
            </w:tcBorders>
            <w:shd w:val="clear" w:color="auto" w:fill="auto"/>
            <w:vAlign w:val="center"/>
          </w:tcPr>
          <w:p w14:paraId="5F41D37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1A39AFA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4F174CD4">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EAF9B78">
        <w:tblPrEx>
          <w:tblCellMar>
            <w:top w:w="0" w:type="dxa"/>
            <w:left w:w="28" w:type="dxa"/>
            <w:bottom w:w="0" w:type="dxa"/>
            <w:right w:w="28" w:type="dxa"/>
          </w:tblCellMar>
        </w:tblPrEx>
        <w:trPr>
          <w:trHeight w:val="43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050A04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F06D27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2F44491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3328" w:type="dxa"/>
            <w:tcBorders>
              <w:top w:val="single" w:color="auto" w:sz="4" w:space="0"/>
              <w:left w:val="nil"/>
              <w:bottom w:val="single" w:color="auto" w:sz="4" w:space="0"/>
              <w:right w:val="single" w:color="auto" w:sz="4" w:space="0"/>
            </w:tcBorders>
            <w:shd w:val="clear" w:color="auto" w:fill="auto"/>
            <w:vAlign w:val="center"/>
          </w:tcPr>
          <w:p w14:paraId="60C05156">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人员离开现场未关闭气阀</w:t>
            </w:r>
          </w:p>
        </w:tc>
        <w:tc>
          <w:tcPr>
            <w:tcW w:w="1146" w:type="dxa"/>
            <w:tcBorders>
              <w:top w:val="single" w:color="auto" w:sz="4" w:space="0"/>
              <w:left w:val="nil"/>
              <w:bottom w:val="single" w:color="auto" w:sz="4" w:space="0"/>
              <w:right w:val="single" w:color="auto" w:sz="4" w:space="0"/>
            </w:tcBorders>
            <w:shd w:val="clear" w:color="auto" w:fill="auto"/>
            <w:vAlign w:val="center"/>
          </w:tcPr>
          <w:p w14:paraId="69CE76A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漏气</w:t>
            </w:r>
          </w:p>
        </w:tc>
        <w:tc>
          <w:tcPr>
            <w:tcW w:w="1372" w:type="dxa"/>
            <w:tcBorders>
              <w:top w:val="single" w:color="auto" w:sz="4" w:space="0"/>
              <w:left w:val="nil"/>
              <w:bottom w:val="single" w:color="auto" w:sz="4" w:space="0"/>
              <w:right w:val="single" w:color="auto" w:sz="4" w:space="0"/>
            </w:tcBorders>
            <w:shd w:val="clear" w:color="auto" w:fill="auto"/>
            <w:vAlign w:val="center"/>
          </w:tcPr>
          <w:p w14:paraId="1581367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32A2D58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4DF3D2C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1DA6AF75">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69DC1E9D">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560CB83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807FD4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0E9DE7A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3328" w:type="dxa"/>
            <w:tcBorders>
              <w:top w:val="single" w:color="auto" w:sz="4" w:space="0"/>
              <w:left w:val="nil"/>
              <w:bottom w:val="single" w:color="auto" w:sz="4" w:space="0"/>
              <w:right w:val="single" w:color="auto" w:sz="4" w:space="0"/>
            </w:tcBorders>
            <w:shd w:val="clear" w:color="auto" w:fill="auto"/>
            <w:vAlign w:val="center"/>
          </w:tcPr>
          <w:p w14:paraId="2F9121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进行动火作业未办理动火证，动火人员未持证上岗的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3665CDA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w:t>
            </w:r>
          </w:p>
        </w:tc>
        <w:tc>
          <w:tcPr>
            <w:tcW w:w="1372" w:type="dxa"/>
            <w:tcBorders>
              <w:top w:val="single" w:color="auto" w:sz="4" w:space="0"/>
              <w:left w:val="nil"/>
              <w:bottom w:val="single" w:color="auto" w:sz="4" w:space="0"/>
              <w:right w:val="single" w:color="auto" w:sz="4" w:space="0"/>
            </w:tcBorders>
            <w:shd w:val="clear" w:color="auto" w:fill="auto"/>
            <w:vAlign w:val="center"/>
          </w:tcPr>
          <w:p w14:paraId="0B48141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立即制止</w:t>
            </w:r>
          </w:p>
        </w:tc>
        <w:tc>
          <w:tcPr>
            <w:tcW w:w="961" w:type="dxa"/>
            <w:vMerge w:val="continue"/>
            <w:tcBorders>
              <w:top w:val="nil"/>
              <w:left w:val="nil"/>
              <w:bottom w:val="single" w:color="auto" w:sz="4" w:space="0"/>
              <w:right w:val="single" w:color="auto" w:sz="4" w:space="0"/>
            </w:tcBorders>
            <w:shd w:val="clear" w:color="auto" w:fill="auto"/>
            <w:vAlign w:val="center"/>
          </w:tcPr>
          <w:p w14:paraId="0A79956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5AE6891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996A1E8">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CB728FB">
        <w:tblPrEx>
          <w:tblCellMar>
            <w:top w:w="0" w:type="dxa"/>
            <w:left w:w="28" w:type="dxa"/>
            <w:bottom w:w="0" w:type="dxa"/>
            <w:right w:w="28" w:type="dxa"/>
          </w:tblCellMar>
        </w:tblPrEx>
        <w:trPr>
          <w:trHeight w:val="769"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15C68C8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5AF44C9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tcPr>
          <w:p w14:paraId="45E4311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9</w:t>
            </w:r>
          </w:p>
        </w:tc>
        <w:tc>
          <w:tcPr>
            <w:tcW w:w="3328" w:type="dxa"/>
            <w:tcBorders>
              <w:top w:val="nil"/>
              <w:left w:val="nil"/>
              <w:bottom w:val="single" w:color="auto" w:sz="4" w:space="0"/>
              <w:right w:val="single" w:color="auto" w:sz="4" w:space="0"/>
            </w:tcBorders>
            <w:shd w:val="clear" w:color="auto" w:fill="auto"/>
            <w:vAlign w:val="center"/>
          </w:tcPr>
          <w:p w14:paraId="07F4A6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氧气、乙炔瓶摆放距离不符合要求，未落实好防倾倒措施</w:t>
            </w:r>
          </w:p>
        </w:tc>
        <w:tc>
          <w:tcPr>
            <w:tcW w:w="1146" w:type="dxa"/>
            <w:tcBorders>
              <w:top w:val="nil"/>
              <w:left w:val="nil"/>
              <w:bottom w:val="single" w:color="auto" w:sz="4" w:space="0"/>
              <w:right w:val="single" w:color="auto" w:sz="4" w:space="0"/>
            </w:tcBorders>
            <w:shd w:val="clear" w:color="auto" w:fill="auto"/>
            <w:vAlign w:val="center"/>
          </w:tcPr>
          <w:p w14:paraId="456C62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引发火灾/爆炸</w:t>
            </w:r>
          </w:p>
        </w:tc>
        <w:tc>
          <w:tcPr>
            <w:tcW w:w="1372" w:type="dxa"/>
            <w:tcBorders>
              <w:top w:val="nil"/>
              <w:left w:val="nil"/>
              <w:bottom w:val="single" w:color="auto" w:sz="4" w:space="0"/>
              <w:right w:val="single" w:color="auto" w:sz="4" w:space="0"/>
            </w:tcBorders>
            <w:shd w:val="clear" w:color="auto" w:fill="auto"/>
            <w:vAlign w:val="center"/>
          </w:tcPr>
          <w:p w14:paraId="43A1622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拉开距离/防倾倒</w:t>
            </w:r>
          </w:p>
        </w:tc>
        <w:tc>
          <w:tcPr>
            <w:tcW w:w="961" w:type="dxa"/>
            <w:vMerge w:val="continue"/>
            <w:tcBorders>
              <w:top w:val="nil"/>
              <w:left w:val="nil"/>
              <w:bottom w:val="single" w:color="auto" w:sz="4" w:space="0"/>
              <w:right w:val="single" w:color="auto" w:sz="4" w:space="0"/>
            </w:tcBorders>
            <w:shd w:val="clear" w:color="auto" w:fill="auto"/>
            <w:vAlign w:val="center"/>
          </w:tcPr>
          <w:p w14:paraId="18E9E6E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2596F5A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79773A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1FE9613">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3BC9751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B09A72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0667FD4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w:t>
            </w:r>
          </w:p>
        </w:tc>
        <w:tc>
          <w:tcPr>
            <w:tcW w:w="3328" w:type="dxa"/>
            <w:tcBorders>
              <w:top w:val="nil"/>
              <w:left w:val="nil"/>
              <w:bottom w:val="single" w:color="auto" w:sz="4" w:space="0"/>
              <w:right w:val="single" w:color="auto" w:sz="4" w:space="0"/>
            </w:tcBorders>
            <w:shd w:val="clear" w:color="auto" w:fill="auto"/>
            <w:vAlign w:val="center"/>
          </w:tcPr>
          <w:p w14:paraId="412CB5D6">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使用中的氧气、乙炔瓶卧放在地上</w:t>
            </w:r>
          </w:p>
        </w:tc>
        <w:tc>
          <w:tcPr>
            <w:tcW w:w="1146" w:type="dxa"/>
            <w:tcBorders>
              <w:top w:val="nil"/>
              <w:left w:val="nil"/>
              <w:bottom w:val="single" w:color="auto" w:sz="4" w:space="0"/>
              <w:right w:val="single" w:color="auto" w:sz="4" w:space="0"/>
            </w:tcBorders>
            <w:shd w:val="clear" w:color="auto" w:fill="auto"/>
            <w:vAlign w:val="center"/>
          </w:tcPr>
          <w:p w14:paraId="621977B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气压上升</w:t>
            </w:r>
          </w:p>
        </w:tc>
        <w:tc>
          <w:tcPr>
            <w:tcW w:w="1372" w:type="dxa"/>
            <w:tcBorders>
              <w:top w:val="nil"/>
              <w:left w:val="nil"/>
              <w:bottom w:val="single" w:color="auto" w:sz="4" w:space="0"/>
              <w:right w:val="single" w:color="auto" w:sz="4" w:space="0"/>
            </w:tcBorders>
            <w:shd w:val="clear" w:color="auto" w:fill="auto"/>
            <w:vAlign w:val="center"/>
          </w:tcPr>
          <w:p w14:paraId="5E8D27C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竖立气瓶</w:t>
            </w:r>
          </w:p>
        </w:tc>
        <w:tc>
          <w:tcPr>
            <w:tcW w:w="961" w:type="dxa"/>
            <w:vMerge w:val="continue"/>
            <w:tcBorders>
              <w:top w:val="nil"/>
              <w:left w:val="nil"/>
              <w:bottom w:val="single" w:color="auto" w:sz="4" w:space="0"/>
              <w:right w:val="single" w:color="auto" w:sz="4" w:space="0"/>
            </w:tcBorders>
            <w:shd w:val="clear" w:color="auto" w:fill="auto"/>
            <w:vAlign w:val="center"/>
          </w:tcPr>
          <w:p w14:paraId="6E7B8B0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30308A1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3B87B33B">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F15781A">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75B39A6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D645C3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908A5C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11</w:t>
            </w:r>
          </w:p>
        </w:tc>
        <w:tc>
          <w:tcPr>
            <w:tcW w:w="3328" w:type="dxa"/>
            <w:tcBorders>
              <w:top w:val="nil"/>
              <w:left w:val="nil"/>
              <w:bottom w:val="single" w:color="auto" w:sz="4" w:space="0"/>
              <w:right w:val="single" w:color="auto" w:sz="4" w:space="0"/>
            </w:tcBorders>
            <w:shd w:val="clear" w:color="auto" w:fill="auto"/>
            <w:vAlign w:val="center"/>
          </w:tcPr>
          <w:p w14:paraId="793FE364">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电焊机无保护接零、漏电保护器</w:t>
            </w:r>
          </w:p>
        </w:tc>
        <w:tc>
          <w:tcPr>
            <w:tcW w:w="1146" w:type="dxa"/>
            <w:tcBorders>
              <w:top w:val="nil"/>
              <w:left w:val="nil"/>
              <w:bottom w:val="single" w:color="auto" w:sz="4" w:space="0"/>
              <w:right w:val="single" w:color="auto" w:sz="4" w:space="0"/>
            </w:tcBorders>
            <w:shd w:val="clear" w:color="auto" w:fill="auto"/>
            <w:vAlign w:val="center"/>
          </w:tcPr>
          <w:p w14:paraId="61664DE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漏电伤人</w:t>
            </w:r>
          </w:p>
        </w:tc>
        <w:tc>
          <w:tcPr>
            <w:tcW w:w="1372" w:type="dxa"/>
            <w:tcBorders>
              <w:top w:val="nil"/>
              <w:left w:val="nil"/>
              <w:bottom w:val="single" w:color="auto" w:sz="4" w:space="0"/>
              <w:right w:val="single" w:color="auto" w:sz="4" w:space="0"/>
            </w:tcBorders>
            <w:shd w:val="clear" w:color="auto" w:fill="auto"/>
            <w:vAlign w:val="center"/>
          </w:tcPr>
          <w:p w14:paraId="1CE752E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加装保护器</w:t>
            </w:r>
          </w:p>
        </w:tc>
        <w:tc>
          <w:tcPr>
            <w:tcW w:w="961" w:type="dxa"/>
            <w:vMerge w:val="continue"/>
            <w:tcBorders>
              <w:top w:val="nil"/>
              <w:left w:val="nil"/>
              <w:bottom w:val="single" w:color="auto" w:sz="4" w:space="0"/>
              <w:right w:val="single" w:color="auto" w:sz="4" w:space="0"/>
            </w:tcBorders>
            <w:shd w:val="clear" w:color="auto" w:fill="auto"/>
            <w:vAlign w:val="center"/>
          </w:tcPr>
          <w:p w14:paraId="635B284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24342E7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062AEC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D6A15C5">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0233BFA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260A80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2BFCEE9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12</w:t>
            </w:r>
          </w:p>
        </w:tc>
        <w:tc>
          <w:tcPr>
            <w:tcW w:w="3328" w:type="dxa"/>
            <w:tcBorders>
              <w:top w:val="nil"/>
              <w:left w:val="nil"/>
              <w:bottom w:val="single" w:color="auto" w:sz="4" w:space="0"/>
              <w:right w:val="single" w:color="auto" w:sz="4" w:space="0"/>
            </w:tcBorders>
            <w:shd w:val="clear" w:color="auto" w:fill="auto"/>
            <w:vAlign w:val="center"/>
          </w:tcPr>
          <w:p w14:paraId="4C9075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电焊作业未配备防护面罩,绝缘手套</w:t>
            </w:r>
          </w:p>
        </w:tc>
        <w:tc>
          <w:tcPr>
            <w:tcW w:w="1146" w:type="dxa"/>
            <w:tcBorders>
              <w:top w:val="nil"/>
              <w:left w:val="nil"/>
              <w:bottom w:val="single" w:color="auto" w:sz="4" w:space="0"/>
              <w:right w:val="single" w:color="auto" w:sz="4" w:space="0"/>
            </w:tcBorders>
            <w:shd w:val="clear" w:color="auto" w:fill="auto"/>
            <w:vAlign w:val="center"/>
          </w:tcPr>
          <w:p w14:paraId="319C2AD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灼伤/电击</w:t>
            </w:r>
          </w:p>
        </w:tc>
        <w:tc>
          <w:tcPr>
            <w:tcW w:w="1372" w:type="dxa"/>
            <w:tcBorders>
              <w:top w:val="nil"/>
              <w:left w:val="nil"/>
              <w:bottom w:val="single" w:color="auto" w:sz="4" w:space="0"/>
              <w:right w:val="single" w:color="auto" w:sz="4" w:space="0"/>
            </w:tcBorders>
            <w:shd w:val="clear" w:color="auto" w:fill="auto"/>
            <w:vAlign w:val="center"/>
          </w:tcPr>
          <w:p w14:paraId="46CCC93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配面罩、手套</w:t>
            </w:r>
          </w:p>
        </w:tc>
        <w:tc>
          <w:tcPr>
            <w:tcW w:w="961" w:type="dxa"/>
            <w:vMerge w:val="continue"/>
            <w:tcBorders>
              <w:top w:val="nil"/>
              <w:left w:val="nil"/>
              <w:bottom w:val="single" w:color="auto" w:sz="4" w:space="0"/>
              <w:right w:val="single" w:color="auto" w:sz="4" w:space="0"/>
            </w:tcBorders>
            <w:shd w:val="clear" w:color="auto" w:fill="auto"/>
            <w:vAlign w:val="center"/>
          </w:tcPr>
          <w:p w14:paraId="4065EBB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4118084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700B13CF">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1126B8D">
        <w:tblPrEx>
          <w:tblCellMar>
            <w:top w:w="0" w:type="dxa"/>
            <w:left w:w="28" w:type="dxa"/>
            <w:bottom w:w="0" w:type="dxa"/>
            <w:right w:w="28" w:type="dxa"/>
          </w:tblCellMar>
        </w:tblPrEx>
        <w:trPr>
          <w:trHeight w:val="564" w:hRule="atLeast"/>
        </w:trPr>
        <w:tc>
          <w:tcPr>
            <w:tcW w:w="349" w:type="dxa"/>
            <w:vMerge w:val="restart"/>
            <w:tcBorders>
              <w:top w:val="nil"/>
              <w:left w:val="single" w:color="auto" w:sz="4" w:space="0"/>
              <w:bottom w:val="single" w:color="000000" w:sz="4" w:space="0"/>
              <w:right w:val="single" w:color="auto" w:sz="4" w:space="0"/>
            </w:tcBorders>
            <w:shd w:val="clear" w:color="auto" w:fill="auto"/>
            <w:vAlign w:val="center"/>
          </w:tcPr>
          <w:p w14:paraId="34300E1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四</w:t>
            </w:r>
          </w:p>
        </w:tc>
        <w:tc>
          <w:tcPr>
            <w:tcW w:w="375" w:type="dxa"/>
            <w:vMerge w:val="restart"/>
            <w:tcBorders>
              <w:top w:val="nil"/>
              <w:left w:val="nil"/>
              <w:bottom w:val="single" w:color="auto" w:sz="4" w:space="0"/>
              <w:right w:val="single" w:color="auto" w:sz="4" w:space="0"/>
            </w:tcBorders>
            <w:shd w:val="clear" w:color="auto" w:fill="auto"/>
            <w:vAlign w:val="center"/>
          </w:tcPr>
          <w:p w14:paraId="0D1483B9">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bidi="ar"/>
              </w:rPr>
              <w:t>起重吊装作业</w:t>
            </w:r>
          </w:p>
        </w:tc>
        <w:tc>
          <w:tcPr>
            <w:tcW w:w="360" w:type="dxa"/>
            <w:tcBorders>
              <w:top w:val="single" w:color="auto" w:sz="4" w:space="0"/>
              <w:left w:val="nil"/>
              <w:bottom w:val="single" w:color="auto" w:sz="4" w:space="0"/>
              <w:right w:val="single" w:color="auto" w:sz="4" w:space="0"/>
            </w:tcBorders>
            <w:shd w:val="clear" w:color="auto" w:fill="auto"/>
            <w:vAlign w:val="center"/>
          </w:tcPr>
          <w:p w14:paraId="701DC4A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single" w:color="auto" w:sz="4" w:space="0"/>
              <w:left w:val="nil"/>
              <w:bottom w:val="single" w:color="auto" w:sz="4" w:space="0"/>
              <w:right w:val="single" w:color="auto" w:sz="4" w:space="0"/>
            </w:tcBorders>
            <w:shd w:val="clear" w:color="auto" w:fill="auto"/>
            <w:vAlign w:val="center"/>
          </w:tcPr>
          <w:p w14:paraId="32BF6D8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起重、吊装司机无上岗证</w:t>
            </w:r>
          </w:p>
        </w:tc>
        <w:tc>
          <w:tcPr>
            <w:tcW w:w="1146" w:type="dxa"/>
            <w:tcBorders>
              <w:top w:val="single" w:color="auto" w:sz="4" w:space="0"/>
              <w:left w:val="nil"/>
              <w:bottom w:val="single" w:color="auto" w:sz="4" w:space="0"/>
              <w:right w:val="single" w:color="auto" w:sz="4" w:space="0"/>
            </w:tcBorders>
            <w:shd w:val="clear" w:color="auto" w:fill="auto"/>
            <w:vAlign w:val="center"/>
          </w:tcPr>
          <w:p w14:paraId="287D96A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single" w:color="auto" w:sz="4" w:space="0"/>
              <w:left w:val="nil"/>
              <w:bottom w:val="single" w:color="auto" w:sz="4" w:space="0"/>
              <w:right w:val="single" w:color="auto" w:sz="4" w:space="0"/>
            </w:tcBorders>
            <w:shd w:val="clear" w:color="auto" w:fill="auto"/>
            <w:vAlign w:val="center"/>
          </w:tcPr>
          <w:p w14:paraId="0D1D201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持证上岗</w:t>
            </w:r>
          </w:p>
        </w:tc>
        <w:tc>
          <w:tcPr>
            <w:tcW w:w="961" w:type="dxa"/>
            <w:vMerge w:val="restart"/>
            <w:tcBorders>
              <w:top w:val="nil"/>
              <w:left w:val="nil"/>
              <w:bottom w:val="single" w:color="auto" w:sz="4" w:space="0"/>
              <w:right w:val="single" w:color="auto" w:sz="4" w:space="0"/>
            </w:tcBorders>
            <w:shd w:val="clear" w:color="auto" w:fill="auto"/>
            <w:vAlign w:val="center"/>
          </w:tcPr>
          <w:p w14:paraId="1606BE0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EEAB30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24DBC16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BC00F9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147BDC2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24D0D1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FB4A0C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single" w:color="auto" w:sz="4" w:space="0"/>
              <w:right w:val="single" w:color="auto" w:sz="4" w:space="0"/>
            </w:tcBorders>
            <w:shd w:val="clear" w:color="auto" w:fill="auto"/>
            <w:vAlign w:val="center"/>
          </w:tcPr>
          <w:p w14:paraId="31BE6D1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E2E96A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114732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14C430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300DF77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23A4B81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ED6240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single" w:color="auto" w:sz="4" w:space="0"/>
              <w:right w:val="single" w:color="auto" w:sz="4" w:space="0"/>
            </w:tcBorders>
            <w:shd w:val="clear" w:color="auto" w:fill="auto"/>
            <w:vAlign w:val="center"/>
          </w:tcPr>
          <w:p w14:paraId="6AEAE10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1337AA8B">
        <w:tblPrEx>
          <w:tblCellMar>
            <w:top w:w="0" w:type="dxa"/>
            <w:left w:w="28" w:type="dxa"/>
            <w:bottom w:w="0" w:type="dxa"/>
            <w:right w:w="28" w:type="dxa"/>
          </w:tblCellMar>
        </w:tblPrEx>
        <w:trPr>
          <w:trHeight w:val="454"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7BB6ED3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2E28B57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E1FD15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nil"/>
              <w:left w:val="nil"/>
              <w:bottom w:val="single" w:color="auto" w:sz="4" w:space="0"/>
              <w:right w:val="single" w:color="auto" w:sz="4" w:space="0"/>
            </w:tcBorders>
            <w:shd w:val="clear" w:color="auto" w:fill="auto"/>
            <w:vAlign w:val="center"/>
          </w:tcPr>
          <w:p w14:paraId="09D471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起重、吊装作业无现场指挥员</w:t>
            </w:r>
          </w:p>
        </w:tc>
        <w:tc>
          <w:tcPr>
            <w:tcW w:w="1146" w:type="dxa"/>
            <w:tcBorders>
              <w:top w:val="nil"/>
              <w:left w:val="nil"/>
              <w:bottom w:val="single" w:color="auto" w:sz="4" w:space="0"/>
              <w:right w:val="single" w:color="auto" w:sz="4" w:space="0"/>
            </w:tcBorders>
            <w:shd w:val="clear" w:color="auto" w:fill="auto"/>
            <w:vAlign w:val="center"/>
          </w:tcPr>
          <w:p w14:paraId="67748DF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4451D4C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 xml:space="preserve">指定现场指挥人员 </w:t>
            </w:r>
          </w:p>
        </w:tc>
        <w:tc>
          <w:tcPr>
            <w:tcW w:w="961" w:type="dxa"/>
            <w:vMerge w:val="continue"/>
            <w:tcBorders>
              <w:top w:val="nil"/>
              <w:left w:val="nil"/>
              <w:bottom w:val="single" w:color="auto" w:sz="4" w:space="0"/>
              <w:right w:val="single" w:color="auto" w:sz="4" w:space="0"/>
            </w:tcBorders>
            <w:shd w:val="clear" w:color="auto" w:fill="auto"/>
            <w:vAlign w:val="center"/>
          </w:tcPr>
          <w:p w14:paraId="43831AD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32C46BE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5D03D1BA">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B055939">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6FA0EB4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58BDABD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6966CB0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nil"/>
              <w:left w:val="nil"/>
              <w:bottom w:val="single" w:color="auto" w:sz="4" w:space="0"/>
              <w:right w:val="single" w:color="auto" w:sz="4" w:space="0"/>
            </w:tcBorders>
            <w:shd w:val="clear" w:color="auto" w:fill="auto"/>
            <w:vAlign w:val="center"/>
          </w:tcPr>
          <w:p w14:paraId="57368A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两台以上吊机同时作业未作防碰撞措施</w:t>
            </w:r>
          </w:p>
        </w:tc>
        <w:tc>
          <w:tcPr>
            <w:tcW w:w="1146" w:type="dxa"/>
            <w:tcBorders>
              <w:top w:val="nil"/>
              <w:left w:val="nil"/>
              <w:bottom w:val="single" w:color="auto" w:sz="4" w:space="0"/>
              <w:right w:val="single" w:color="auto" w:sz="4" w:space="0"/>
            </w:tcBorders>
            <w:shd w:val="clear" w:color="auto" w:fill="auto"/>
            <w:vAlign w:val="center"/>
          </w:tcPr>
          <w:p w14:paraId="6896050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碰撞损坏</w:t>
            </w:r>
          </w:p>
        </w:tc>
        <w:tc>
          <w:tcPr>
            <w:tcW w:w="1372" w:type="dxa"/>
            <w:tcBorders>
              <w:top w:val="nil"/>
              <w:left w:val="nil"/>
              <w:bottom w:val="single" w:color="auto" w:sz="4" w:space="0"/>
              <w:right w:val="single" w:color="auto" w:sz="4" w:space="0"/>
            </w:tcBorders>
            <w:shd w:val="clear" w:color="auto" w:fill="auto"/>
            <w:vAlign w:val="center"/>
          </w:tcPr>
          <w:p w14:paraId="79086EB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隔离防护</w:t>
            </w:r>
          </w:p>
        </w:tc>
        <w:tc>
          <w:tcPr>
            <w:tcW w:w="961" w:type="dxa"/>
            <w:vMerge w:val="continue"/>
            <w:tcBorders>
              <w:top w:val="nil"/>
              <w:left w:val="nil"/>
              <w:bottom w:val="single" w:color="auto" w:sz="4" w:space="0"/>
              <w:right w:val="single" w:color="auto" w:sz="4" w:space="0"/>
            </w:tcBorders>
            <w:shd w:val="clear" w:color="auto" w:fill="auto"/>
            <w:vAlign w:val="center"/>
          </w:tcPr>
          <w:p w14:paraId="6A5BC92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45FF0DA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75AB96E0">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C14D67B">
        <w:tblPrEx>
          <w:tblCellMar>
            <w:top w:w="0" w:type="dxa"/>
            <w:left w:w="28" w:type="dxa"/>
            <w:bottom w:w="0" w:type="dxa"/>
            <w:right w:w="28" w:type="dxa"/>
          </w:tblCellMar>
        </w:tblPrEx>
        <w:trPr>
          <w:trHeight w:val="462"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0B4D0B4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2E55A1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433C80E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26142FD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吊装作业未经审批的</w:t>
            </w:r>
          </w:p>
        </w:tc>
        <w:tc>
          <w:tcPr>
            <w:tcW w:w="1146" w:type="dxa"/>
            <w:tcBorders>
              <w:top w:val="nil"/>
              <w:left w:val="nil"/>
              <w:bottom w:val="single" w:color="auto" w:sz="4" w:space="0"/>
              <w:right w:val="single" w:color="auto" w:sz="4" w:space="0"/>
            </w:tcBorders>
            <w:shd w:val="clear" w:color="auto" w:fill="auto"/>
            <w:vAlign w:val="center"/>
          </w:tcPr>
          <w:p w14:paraId="34E3E61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5C54137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201CE24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6B95BD5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3DE52A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BDFD191">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6F994E3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437D3B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46ACF99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nil"/>
              <w:left w:val="nil"/>
              <w:bottom w:val="single" w:color="auto" w:sz="4" w:space="0"/>
              <w:right w:val="single" w:color="auto" w:sz="4" w:space="0"/>
            </w:tcBorders>
            <w:shd w:val="clear" w:color="auto" w:fill="auto"/>
            <w:vAlign w:val="center"/>
          </w:tcPr>
          <w:p w14:paraId="65DC604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吊运下方与通道之间未做好有效隔离</w:t>
            </w:r>
          </w:p>
        </w:tc>
        <w:tc>
          <w:tcPr>
            <w:tcW w:w="1146" w:type="dxa"/>
            <w:tcBorders>
              <w:top w:val="nil"/>
              <w:left w:val="nil"/>
              <w:bottom w:val="single" w:color="auto" w:sz="4" w:space="0"/>
              <w:right w:val="single" w:color="auto" w:sz="4" w:space="0"/>
            </w:tcBorders>
            <w:shd w:val="clear" w:color="auto" w:fill="auto"/>
            <w:vAlign w:val="center"/>
          </w:tcPr>
          <w:p w14:paraId="4CC5564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落物伤人</w:t>
            </w:r>
          </w:p>
        </w:tc>
        <w:tc>
          <w:tcPr>
            <w:tcW w:w="1372" w:type="dxa"/>
            <w:tcBorders>
              <w:top w:val="nil"/>
              <w:left w:val="nil"/>
              <w:bottom w:val="single" w:color="auto" w:sz="4" w:space="0"/>
              <w:right w:val="single" w:color="auto" w:sz="4" w:space="0"/>
            </w:tcBorders>
            <w:shd w:val="clear" w:color="auto" w:fill="auto"/>
            <w:vAlign w:val="center"/>
          </w:tcPr>
          <w:p w14:paraId="06FE3C5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做有效防护</w:t>
            </w:r>
          </w:p>
        </w:tc>
        <w:tc>
          <w:tcPr>
            <w:tcW w:w="961" w:type="dxa"/>
            <w:vMerge w:val="continue"/>
            <w:tcBorders>
              <w:top w:val="nil"/>
              <w:left w:val="nil"/>
              <w:bottom w:val="single" w:color="auto" w:sz="4" w:space="0"/>
              <w:right w:val="single" w:color="auto" w:sz="4" w:space="0"/>
            </w:tcBorders>
            <w:shd w:val="clear" w:color="auto" w:fill="auto"/>
            <w:vAlign w:val="center"/>
          </w:tcPr>
          <w:p w14:paraId="20D6BDF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71067F2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53BC1BA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6E3DFCAA">
        <w:tblPrEx>
          <w:tblCellMar>
            <w:top w:w="0" w:type="dxa"/>
            <w:left w:w="28" w:type="dxa"/>
            <w:bottom w:w="0" w:type="dxa"/>
            <w:right w:w="28" w:type="dxa"/>
          </w:tblCellMar>
        </w:tblPrEx>
        <w:trPr>
          <w:trHeight w:val="828"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6DEC2A6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582AAF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F5464B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3328" w:type="dxa"/>
            <w:tcBorders>
              <w:top w:val="nil"/>
              <w:left w:val="nil"/>
              <w:bottom w:val="single" w:color="auto" w:sz="4" w:space="0"/>
              <w:right w:val="single" w:color="auto" w:sz="4" w:space="0"/>
            </w:tcBorders>
            <w:shd w:val="clear" w:color="auto" w:fill="auto"/>
            <w:vAlign w:val="center"/>
          </w:tcPr>
          <w:p w14:paraId="379DE1F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起重钢丝绳或吊绳磨损、损坏或断丝超过标准</w:t>
            </w:r>
          </w:p>
        </w:tc>
        <w:tc>
          <w:tcPr>
            <w:tcW w:w="1146" w:type="dxa"/>
            <w:tcBorders>
              <w:top w:val="nil"/>
              <w:left w:val="nil"/>
              <w:bottom w:val="single" w:color="auto" w:sz="4" w:space="0"/>
              <w:right w:val="single" w:color="auto" w:sz="4" w:space="0"/>
            </w:tcBorders>
            <w:shd w:val="clear" w:color="auto" w:fill="auto"/>
            <w:vAlign w:val="center"/>
          </w:tcPr>
          <w:p w14:paraId="29432AF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断裂落物</w:t>
            </w:r>
          </w:p>
        </w:tc>
        <w:tc>
          <w:tcPr>
            <w:tcW w:w="1372" w:type="dxa"/>
            <w:tcBorders>
              <w:top w:val="nil"/>
              <w:left w:val="nil"/>
              <w:bottom w:val="single" w:color="auto" w:sz="4" w:space="0"/>
              <w:right w:val="single" w:color="auto" w:sz="4" w:space="0"/>
            </w:tcBorders>
            <w:shd w:val="clear" w:color="auto" w:fill="auto"/>
            <w:vAlign w:val="center"/>
          </w:tcPr>
          <w:p w14:paraId="3AB57AF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换钢丝绳</w:t>
            </w:r>
          </w:p>
        </w:tc>
        <w:tc>
          <w:tcPr>
            <w:tcW w:w="961" w:type="dxa"/>
            <w:vMerge w:val="continue"/>
            <w:tcBorders>
              <w:top w:val="nil"/>
              <w:left w:val="nil"/>
              <w:bottom w:val="single" w:color="auto" w:sz="4" w:space="0"/>
              <w:right w:val="single" w:color="auto" w:sz="4" w:space="0"/>
            </w:tcBorders>
            <w:shd w:val="clear" w:color="auto" w:fill="auto"/>
            <w:vAlign w:val="center"/>
          </w:tcPr>
          <w:p w14:paraId="3A0C7D6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67BDA5D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9C52FD3">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12E9DC04">
        <w:tblPrEx>
          <w:tblCellMar>
            <w:top w:w="0" w:type="dxa"/>
            <w:left w:w="28" w:type="dxa"/>
            <w:bottom w:w="0" w:type="dxa"/>
            <w:right w:w="28" w:type="dxa"/>
          </w:tblCellMar>
        </w:tblPrEx>
        <w:trPr>
          <w:trHeight w:val="713"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3B10AF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295CD1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0A11138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3328" w:type="dxa"/>
            <w:tcBorders>
              <w:top w:val="nil"/>
              <w:left w:val="nil"/>
              <w:bottom w:val="single" w:color="auto" w:sz="4" w:space="0"/>
              <w:right w:val="single" w:color="auto" w:sz="4" w:space="0"/>
            </w:tcBorders>
            <w:shd w:val="clear" w:color="auto" w:fill="auto"/>
            <w:vAlign w:val="center"/>
          </w:tcPr>
          <w:p w14:paraId="1C8EAF8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施工人员作业未佩戴安全帽</w:t>
            </w:r>
          </w:p>
        </w:tc>
        <w:tc>
          <w:tcPr>
            <w:tcW w:w="1146" w:type="dxa"/>
            <w:tcBorders>
              <w:top w:val="nil"/>
              <w:left w:val="nil"/>
              <w:bottom w:val="single" w:color="auto" w:sz="4" w:space="0"/>
              <w:right w:val="single" w:color="auto" w:sz="4" w:space="0"/>
            </w:tcBorders>
            <w:shd w:val="clear" w:color="auto" w:fill="auto"/>
            <w:vAlign w:val="center"/>
          </w:tcPr>
          <w:p w14:paraId="31AC079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物体打击</w:t>
            </w:r>
          </w:p>
        </w:tc>
        <w:tc>
          <w:tcPr>
            <w:tcW w:w="1372" w:type="dxa"/>
            <w:tcBorders>
              <w:top w:val="nil"/>
              <w:left w:val="nil"/>
              <w:bottom w:val="single" w:color="auto" w:sz="4" w:space="0"/>
              <w:right w:val="single" w:color="auto" w:sz="4" w:space="0"/>
            </w:tcBorders>
            <w:shd w:val="clear" w:color="auto" w:fill="auto"/>
            <w:vAlign w:val="center"/>
          </w:tcPr>
          <w:p w14:paraId="3DB32D9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 xml:space="preserve">立即纠正 </w:t>
            </w:r>
          </w:p>
        </w:tc>
        <w:tc>
          <w:tcPr>
            <w:tcW w:w="961" w:type="dxa"/>
            <w:vMerge w:val="continue"/>
            <w:tcBorders>
              <w:top w:val="nil"/>
              <w:left w:val="nil"/>
              <w:bottom w:val="single" w:color="auto" w:sz="4" w:space="0"/>
              <w:right w:val="single" w:color="auto" w:sz="4" w:space="0"/>
            </w:tcBorders>
            <w:shd w:val="clear" w:color="auto" w:fill="auto"/>
            <w:vAlign w:val="center"/>
          </w:tcPr>
          <w:p w14:paraId="158C8F6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09DA25D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1C84B008">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6D2F0A4">
        <w:tblPrEx>
          <w:tblCellMar>
            <w:top w:w="0" w:type="dxa"/>
            <w:left w:w="28" w:type="dxa"/>
            <w:bottom w:w="0" w:type="dxa"/>
            <w:right w:w="28" w:type="dxa"/>
          </w:tblCellMar>
        </w:tblPrEx>
        <w:trPr>
          <w:trHeight w:val="786" w:hRule="atLeast"/>
        </w:trPr>
        <w:tc>
          <w:tcPr>
            <w:tcW w:w="349" w:type="dxa"/>
            <w:vMerge w:val="continue"/>
            <w:tcBorders>
              <w:top w:val="nil"/>
              <w:left w:val="single" w:color="auto" w:sz="4" w:space="0"/>
              <w:bottom w:val="single" w:color="000000" w:sz="4" w:space="0"/>
              <w:right w:val="single" w:color="auto" w:sz="4" w:space="0"/>
            </w:tcBorders>
            <w:shd w:val="clear" w:color="auto" w:fill="auto"/>
            <w:vAlign w:val="center"/>
          </w:tcPr>
          <w:p w14:paraId="220A6EE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542CAE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62CC890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3328" w:type="dxa"/>
            <w:tcBorders>
              <w:top w:val="nil"/>
              <w:left w:val="nil"/>
              <w:bottom w:val="single" w:color="auto" w:sz="4" w:space="0"/>
              <w:right w:val="single" w:color="auto" w:sz="4" w:space="0"/>
            </w:tcBorders>
            <w:shd w:val="clear" w:color="auto" w:fill="auto"/>
            <w:vAlign w:val="center"/>
          </w:tcPr>
          <w:p w14:paraId="072834C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吊运超载作业</w:t>
            </w:r>
          </w:p>
        </w:tc>
        <w:tc>
          <w:tcPr>
            <w:tcW w:w="1146" w:type="dxa"/>
            <w:tcBorders>
              <w:top w:val="nil"/>
              <w:left w:val="nil"/>
              <w:bottom w:val="single" w:color="auto" w:sz="4" w:space="0"/>
              <w:right w:val="single" w:color="auto" w:sz="4" w:space="0"/>
            </w:tcBorders>
            <w:shd w:val="clear" w:color="auto" w:fill="auto"/>
            <w:vAlign w:val="center"/>
          </w:tcPr>
          <w:p w14:paraId="4541643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断裂落物</w:t>
            </w:r>
          </w:p>
        </w:tc>
        <w:tc>
          <w:tcPr>
            <w:tcW w:w="1372" w:type="dxa"/>
            <w:tcBorders>
              <w:top w:val="nil"/>
              <w:left w:val="nil"/>
              <w:bottom w:val="single" w:color="auto" w:sz="4" w:space="0"/>
              <w:right w:val="single" w:color="auto" w:sz="4" w:space="0"/>
            </w:tcBorders>
            <w:shd w:val="clear" w:color="auto" w:fill="auto"/>
            <w:vAlign w:val="center"/>
          </w:tcPr>
          <w:p w14:paraId="0A6CE65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制止</w:t>
            </w:r>
          </w:p>
        </w:tc>
        <w:tc>
          <w:tcPr>
            <w:tcW w:w="961" w:type="dxa"/>
            <w:tcBorders>
              <w:top w:val="single" w:color="auto" w:sz="4" w:space="0"/>
              <w:left w:val="nil"/>
              <w:bottom w:val="single" w:color="auto" w:sz="4" w:space="0"/>
              <w:right w:val="single" w:color="auto" w:sz="4" w:space="0"/>
            </w:tcBorders>
            <w:shd w:val="clear" w:color="auto" w:fill="auto"/>
            <w:vAlign w:val="center"/>
          </w:tcPr>
          <w:p w14:paraId="2C194D0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2000元违约金</w:t>
            </w:r>
          </w:p>
        </w:tc>
        <w:tc>
          <w:tcPr>
            <w:tcW w:w="1131" w:type="dxa"/>
            <w:tcBorders>
              <w:top w:val="single" w:color="auto" w:sz="4" w:space="0"/>
              <w:left w:val="nil"/>
              <w:bottom w:val="single" w:color="auto" w:sz="4" w:space="0"/>
              <w:right w:val="single" w:color="auto" w:sz="4" w:space="0"/>
            </w:tcBorders>
            <w:shd w:val="clear" w:color="auto" w:fill="auto"/>
            <w:vAlign w:val="center"/>
          </w:tcPr>
          <w:p w14:paraId="16330F1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tc>
        <w:tc>
          <w:tcPr>
            <w:tcW w:w="1077" w:type="dxa"/>
            <w:vMerge w:val="continue"/>
            <w:tcBorders>
              <w:top w:val="nil"/>
              <w:left w:val="nil"/>
              <w:bottom w:val="single" w:color="auto" w:sz="4" w:space="0"/>
              <w:right w:val="single" w:color="auto" w:sz="4" w:space="0"/>
            </w:tcBorders>
            <w:shd w:val="clear" w:color="auto" w:fill="auto"/>
            <w:vAlign w:val="center"/>
          </w:tcPr>
          <w:p w14:paraId="4B0D84D7">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4DBB651">
        <w:tblPrEx>
          <w:tblCellMar>
            <w:top w:w="0" w:type="dxa"/>
            <w:left w:w="28" w:type="dxa"/>
            <w:bottom w:w="0" w:type="dxa"/>
            <w:right w:w="28" w:type="dxa"/>
          </w:tblCellMar>
        </w:tblPrEx>
        <w:trPr>
          <w:trHeight w:val="541" w:hRule="atLeast"/>
        </w:trPr>
        <w:tc>
          <w:tcPr>
            <w:tcW w:w="349" w:type="dxa"/>
            <w:vMerge w:val="restart"/>
            <w:tcBorders>
              <w:top w:val="nil"/>
              <w:left w:val="single" w:color="auto" w:sz="4" w:space="0"/>
              <w:bottom w:val="single" w:color="auto" w:sz="4" w:space="0"/>
              <w:right w:val="single" w:color="auto" w:sz="4" w:space="0"/>
            </w:tcBorders>
            <w:shd w:val="clear" w:color="auto" w:fill="auto"/>
            <w:vAlign w:val="center"/>
          </w:tcPr>
          <w:p w14:paraId="0F5CB8B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五</w:t>
            </w:r>
          </w:p>
        </w:tc>
        <w:tc>
          <w:tcPr>
            <w:tcW w:w="375" w:type="dxa"/>
            <w:vMerge w:val="restart"/>
            <w:tcBorders>
              <w:top w:val="nil"/>
              <w:left w:val="nil"/>
              <w:bottom w:val="single" w:color="auto" w:sz="4" w:space="0"/>
              <w:right w:val="single" w:color="auto" w:sz="4" w:space="0"/>
            </w:tcBorders>
            <w:shd w:val="clear" w:color="auto" w:fill="auto"/>
            <w:vAlign w:val="center"/>
          </w:tcPr>
          <w:p w14:paraId="75B8FB7B">
            <w:pPr>
              <w:keepNext w:val="0"/>
              <w:keepLines w:val="0"/>
              <w:suppressLineNumbers w:val="0"/>
              <w:spacing w:before="0" w:beforeAutospacing="0" w:after="0" w:afterAutospacing="0" w:line="360" w:lineRule="auto"/>
              <w:ind w:left="113" w:right="0"/>
              <w:jc w:val="center"/>
              <w:rPr>
                <w:rFonts w:hint="eastAsia" w:ascii="宋体" w:hAnsi="宋体" w:eastAsia="宋体" w:cs="宋体"/>
                <w:bCs/>
                <w:sz w:val="21"/>
                <w:szCs w:val="21"/>
              </w:rPr>
            </w:pPr>
            <w:r>
              <w:rPr>
                <w:rFonts w:hint="eastAsia" w:ascii="宋体" w:hAnsi="宋体" w:eastAsia="宋体" w:cs="宋体"/>
                <w:bCs/>
                <w:sz w:val="21"/>
                <w:szCs w:val="21"/>
                <w:lang w:bidi="ar"/>
              </w:rPr>
              <w:t>动土作业</w:t>
            </w:r>
          </w:p>
        </w:tc>
        <w:tc>
          <w:tcPr>
            <w:tcW w:w="360" w:type="dxa"/>
            <w:tcBorders>
              <w:top w:val="single" w:color="auto" w:sz="4" w:space="0"/>
              <w:left w:val="nil"/>
              <w:bottom w:val="single" w:color="auto" w:sz="4" w:space="0"/>
              <w:right w:val="single" w:color="auto" w:sz="4" w:space="0"/>
            </w:tcBorders>
            <w:shd w:val="clear" w:color="auto" w:fill="auto"/>
            <w:vAlign w:val="center"/>
          </w:tcPr>
          <w:p w14:paraId="4900EDA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single" w:color="auto" w:sz="4" w:space="0"/>
              <w:left w:val="nil"/>
              <w:bottom w:val="single" w:color="auto" w:sz="4" w:space="0"/>
              <w:right w:val="single" w:color="auto" w:sz="4" w:space="0"/>
            </w:tcBorders>
            <w:shd w:val="clear" w:color="auto" w:fill="auto"/>
            <w:vAlign w:val="center"/>
          </w:tcPr>
          <w:p w14:paraId="0CE534EF">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未办理动土作业许可证作业的</w:t>
            </w:r>
          </w:p>
        </w:tc>
        <w:tc>
          <w:tcPr>
            <w:tcW w:w="1146" w:type="dxa"/>
            <w:tcBorders>
              <w:top w:val="nil"/>
              <w:left w:val="nil"/>
              <w:bottom w:val="single" w:color="auto" w:sz="4" w:space="0"/>
              <w:right w:val="single" w:color="auto" w:sz="4" w:space="0"/>
            </w:tcBorders>
            <w:shd w:val="clear" w:color="auto" w:fill="auto"/>
            <w:vAlign w:val="center"/>
          </w:tcPr>
          <w:p w14:paraId="68F9A0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6FEDD26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restart"/>
            <w:tcBorders>
              <w:top w:val="nil"/>
              <w:left w:val="nil"/>
              <w:bottom w:val="nil"/>
              <w:right w:val="single" w:color="auto" w:sz="4" w:space="0"/>
            </w:tcBorders>
            <w:shd w:val="clear" w:color="auto" w:fill="auto"/>
            <w:vAlign w:val="center"/>
          </w:tcPr>
          <w:p w14:paraId="3007436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4DE608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39A3D2A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A88335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nil"/>
              <w:right w:val="single" w:color="auto" w:sz="4" w:space="0"/>
            </w:tcBorders>
            <w:shd w:val="clear" w:color="auto" w:fill="auto"/>
            <w:vAlign w:val="center"/>
          </w:tcPr>
          <w:p w14:paraId="4F77B23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82D788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792F05F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DD327A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single" w:color="auto" w:sz="4" w:space="0"/>
              <w:right w:val="single" w:color="auto" w:sz="4" w:space="0"/>
            </w:tcBorders>
            <w:shd w:val="clear" w:color="auto" w:fill="auto"/>
            <w:vAlign w:val="center"/>
          </w:tcPr>
          <w:p w14:paraId="7D03FF28">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07AE8407">
        <w:tblPrEx>
          <w:tblCellMar>
            <w:top w:w="0" w:type="dxa"/>
            <w:left w:w="28" w:type="dxa"/>
            <w:bottom w:w="0" w:type="dxa"/>
            <w:right w:w="28" w:type="dxa"/>
          </w:tblCellMar>
        </w:tblPrEx>
        <w:trPr>
          <w:trHeight w:val="651"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47F5E42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39B4AA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392F5C1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single" w:color="auto" w:sz="4" w:space="0"/>
              <w:left w:val="nil"/>
              <w:bottom w:val="single" w:color="auto" w:sz="4" w:space="0"/>
              <w:right w:val="single" w:color="auto" w:sz="4" w:space="0"/>
            </w:tcBorders>
            <w:shd w:val="clear" w:color="auto" w:fill="auto"/>
            <w:vAlign w:val="center"/>
          </w:tcPr>
          <w:p w14:paraId="2A9EE7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动土作业深度超过2m未设置上下梯子，且人员有上落行为的</w:t>
            </w:r>
          </w:p>
        </w:tc>
        <w:tc>
          <w:tcPr>
            <w:tcW w:w="1146" w:type="dxa"/>
            <w:tcBorders>
              <w:top w:val="nil"/>
              <w:left w:val="nil"/>
              <w:bottom w:val="single" w:color="auto" w:sz="4" w:space="0"/>
              <w:right w:val="single" w:color="auto" w:sz="4" w:space="0"/>
            </w:tcBorders>
            <w:shd w:val="clear" w:color="auto" w:fill="auto"/>
            <w:vAlign w:val="center"/>
          </w:tcPr>
          <w:p w14:paraId="45BEE80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坠落事故</w:t>
            </w:r>
          </w:p>
        </w:tc>
        <w:tc>
          <w:tcPr>
            <w:tcW w:w="1372" w:type="dxa"/>
            <w:tcBorders>
              <w:top w:val="nil"/>
              <w:left w:val="nil"/>
              <w:bottom w:val="single" w:color="auto" w:sz="4" w:space="0"/>
              <w:right w:val="single" w:color="auto" w:sz="4" w:space="0"/>
            </w:tcBorders>
            <w:shd w:val="clear" w:color="auto" w:fill="auto"/>
            <w:vAlign w:val="center"/>
          </w:tcPr>
          <w:p w14:paraId="7DE3CF9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2719FA7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52B84D1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607CA7B0">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ACFF0B5">
        <w:tblPrEx>
          <w:tblCellMar>
            <w:top w:w="0" w:type="dxa"/>
            <w:left w:w="28" w:type="dxa"/>
            <w:bottom w:w="0" w:type="dxa"/>
            <w:right w:w="28" w:type="dxa"/>
          </w:tblCellMar>
        </w:tblPrEx>
        <w:trPr>
          <w:trHeight w:val="489"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6805F3A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F3226C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5051207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single" w:color="auto" w:sz="4" w:space="0"/>
              <w:left w:val="nil"/>
              <w:bottom w:val="single" w:color="auto" w:sz="4" w:space="0"/>
              <w:right w:val="single" w:color="auto" w:sz="4" w:space="0"/>
            </w:tcBorders>
            <w:shd w:val="clear" w:color="auto" w:fill="auto"/>
            <w:vAlign w:val="center"/>
          </w:tcPr>
          <w:p w14:paraId="7AAC369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堆土离开挖边缘小于0.8m的</w:t>
            </w:r>
          </w:p>
        </w:tc>
        <w:tc>
          <w:tcPr>
            <w:tcW w:w="1146" w:type="dxa"/>
            <w:tcBorders>
              <w:top w:val="nil"/>
              <w:left w:val="nil"/>
              <w:bottom w:val="single" w:color="auto" w:sz="4" w:space="0"/>
              <w:right w:val="single" w:color="auto" w:sz="4" w:space="0"/>
            </w:tcBorders>
            <w:shd w:val="clear" w:color="auto" w:fill="auto"/>
            <w:vAlign w:val="center"/>
          </w:tcPr>
          <w:p w14:paraId="7B111E1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坍塌事故</w:t>
            </w:r>
          </w:p>
        </w:tc>
        <w:tc>
          <w:tcPr>
            <w:tcW w:w="1372" w:type="dxa"/>
            <w:tcBorders>
              <w:top w:val="nil"/>
              <w:left w:val="nil"/>
              <w:bottom w:val="single" w:color="auto" w:sz="4" w:space="0"/>
              <w:right w:val="single" w:color="auto" w:sz="4" w:space="0"/>
            </w:tcBorders>
            <w:shd w:val="clear" w:color="auto" w:fill="auto"/>
            <w:vAlign w:val="center"/>
          </w:tcPr>
          <w:p w14:paraId="476EDA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772B48A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3134B26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20F59166">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04B98E6">
        <w:tblPrEx>
          <w:tblCellMar>
            <w:top w:w="0" w:type="dxa"/>
            <w:left w:w="28" w:type="dxa"/>
            <w:bottom w:w="0" w:type="dxa"/>
            <w:right w:w="28" w:type="dxa"/>
          </w:tblCellMar>
        </w:tblPrEx>
        <w:trPr>
          <w:trHeight w:val="90"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2247E93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3CCFD28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2CC938B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1FA392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动土作业前未与场地业主沟通确认，导致业主相关设施损坏</w:t>
            </w:r>
          </w:p>
        </w:tc>
        <w:tc>
          <w:tcPr>
            <w:tcW w:w="1146" w:type="dxa"/>
            <w:tcBorders>
              <w:top w:val="nil"/>
              <w:left w:val="nil"/>
              <w:bottom w:val="single" w:color="auto" w:sz="4" w:space="0"/>
              <w:right w:val="single" w:color="auto" w:sz="4" w:space="0"/>
            </w:tcBorders>
            <w:shd w:val="clear" w:color="auto" w:fill="auto"/>
            <w:vAlign w:val="center"/>
          </w:tcPr>
          <w:p w14:paraId="17061BB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5640940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0CDEDA3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461AC7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0D08C2C3">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6335B7D8">
        <w:tblPrEx>
          <w:tblCellMar>
            <w:top w:w="0" w:type="dxa"/>
            <w:left w:w="28" w:type="dxa"/>
            <w:bottom w:w="0" w:type="dxa"/>
            <w:right w:w="28" w:type="dxa"/>
          </w:tblCellMar>
        </w:tblPrEx>
        <w:trPr>
          <w:trHeight w:val="340" w:hRule="atLeast"/>
        </w:trPr>
        <w:tc>
          <w:tcPr>
            <w:tcW w:w="349" w:type="dxa"/>
            <w:vMerge w:val="restart"/>
            <w:tcBorders>
              <w:top w:val="nil"/>
              <w:left w:val="single" w:color="auto" w:sz="4" w:space="0"/>
              <w:bottom w:val="single" w:color="auto" w:sz="4" w:space="0"/>
              <w:right w:val="single" w:color="auto" w:sz="4" w:space="0"/>
            </w:tcBorders>
            <w:shd w:val="clear" w:color="auto" w:fill="auto"/>
            <w:vAlign w:val="center"/>
          </w:tcPr>
          <w:p w14:paraId="3C131EC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六</w:t>
            </w:r>
          </w:p>
        </w:tc>
        <w:tc>
          <w:tcPr>
            <w:tcW w:w="375" w:type="dxa"/>
            <w:vMerge w:val="restart"/>
            <w:tcBorders>
              <w:top w:val="nil"/>
              <w:left w:val="nil"/>
              <w:bottom w:val="single" w:color="auto" w:sz="4" w:space="0"/>
              <w:right w:val="single" w:color="auto" w:sz="4" w:space="0"/>
            </w:tcBorders>
            <w:shd w:val="clear" w:color="auto" w:fill="auto"/>
            <w:vAlign w:val="center"/>
          </w:tcPr>
          <w:p w14:paraId="0073A47E">
            <w:pPr>
              <w:keepNext w:val="0"/>
              <w:keepLines w:val="0"/>
              <w:suppressLineNumbers w:val="0"/>
              <w:spacing w:before="0" w:beforeAutospacing="0" w:after="0" w:afterAutospacing="0" w:line="360" w:lineRule="auto"/>
              <w:ind w:left="113" w:right="0"/>
              <w:jc w:val="center"/>
              <w:rPr>
                <w:rFonts w:hint="eastAsia" w:ascii="宋体" w:hAnsi="宋体" w:eastAsia="宋体" w:cs="宋体"/>
                <w:bCs/>
                <w:sz w:val="21"/>
                <w:szCs w:val="21"/>
              </w:rPr>
            </w:pPr>
            <w:r>
              <w:rPr>
                <w:rFonts w:hint="eastAsia" w:ascii="宋体" w:hAnsi="宋体" w:eastAsia="宋体" w:cs="宋体"/>
                <w:bCs/>
                <w:sz w:val="21"/>
                <w:szCs w:val="21"/>
                <w:lang w:bidi="ar"/>
              </w:rPr>
              <w:t>有限空间作业</w:t>
            </w:r>
          </w:p>
        </w:tc>
        <w:tc>
          <w:tcPr>
            <w:tcW w:w="360" w:type="dxa"/>
            <w:tcBorders>
              <w:top w:val="single" w:color="auto" w:sz="4" w:space="0"/>
              <w:left w:val="nil"/>
              <w:bottom w:val="single" w:color="auto" w:sz="4" w:space="0"/>
              <w:right w:val="single" w:color="auto" w:sz="4" w:space="0"/>
            </w:tcBorders>
            <w:shd w:val="clear" w:color="auto" w:fill="auto"/>
            <w:vAlign w:val="center"/>
          </w:tcPr>
          <w:p w14:paraId="475DC73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single" w:color="auto" w:sz="4" w:space="0"/>
              <w:left w:val="nil"/>
              <w:bottom w:val="single" w:color="auto" w:sz="4" w:space="0"/>
              <w:right w:val="single" w:color="auto" w:sz="4" w:space="0"/>
            </w:tcBorders>
            <w:shd w:val="clear" w:color="auto" w:fill="auto"/>
            <w:vAlign w:val="center"/>
          </w:tcPr>
          <w:p w14:paraId="6DDA6AE6">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未办理有限作业许可证作业的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093656A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single" w:color="auto" w:sz="4" w:space="0"/>
              <w:left w:val="nil"/>
              <w:bottom w:val="single" w:color="auto" w:sz="4" w:space="0"/>
              <w:right w:val="single" w:color="auto" w:sz="4" w:space="0"/>
            </w:tcBorders>
            <w:shd w:val="clear" w:color="auto" w:fill="auto"/>
            <w:vAlign w:val="center"/>
          </w:tcPr>
          <w:p w14:paraId="5467BE3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制止</w:t>
            </w:r>
          </w:p>
        </w:tc>
        <w:tc>
          <w:tcPr>
            <w:tcW w:w="961" w:type="dxa"/>
            <w:vMerge w:val="restart"/>
            <w:tcBorders>
              <w:top w:val="nil"/>
              <w:left w:val="nil"/>
              <w:bottom w:val="single" w:color="auto" w:sz="4" w:space="0"/>
              <w:right w:val="single" w:color="auto" w:sz="4" w:space="0"/>
            </w:tcBorders>
            <w:shd w:val="clear" w:color="auto" w:fill="auto"/>
            <w:vAlign w:val="center"/>
          </w:tcPr>
          <w:p w14:paraId="25B534C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FCB0EA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23A57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9D2F7C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4CC07E8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1203B0C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40D127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single" w:color="auto" w:sz="4" w:space="0"/>
              <w:right w:val="single" w:color="auto" w:sz="4" w:space="0"/>
            </w:tcBorders>
            <w:shd w:val="clear" w:color="auto" w:fill="auto"/>
            <w:vAlign w:val="center"/>
          </w:tcPr>
          <w:p w14:paraId="625B540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F66E51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52D591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6E38CC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730F673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5F2D1A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2F7E479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single" w:color="auto" w:sz="4" w:space="0"/>
              <w:right w:val="single" w:color="auto" w:sz="4" w:space="0"/>
            </w:tcBorders>
            <w:shd w:val="clear" w:color="auto" w:fill="auto"/>
            <w:vAlign w:val="center"/>
          </w:tcPr>
          <w:p w14:paraId="301DCA7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74AD68E1">
        <w:tblPrEx>
          <w:tblCellMar>
            <w:top w:w="0" w:type="dxa"/>
            <w:left w:w="28" w:type="dxa"/>
            <w:bottom w:w="0" w:type="dxa"/>
            <w:right w:w="28" w:type="dxa"/>
          </w:tblCellMar>
        </w:tblPrEx>
        <w:trPr>
          <w:trHeight w:val="421"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0BB2D23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2123AA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59C6774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single" w:color="auto" w:sz="4" w:space="0"/>
              <w:left w:val="nil"/>
              <w:bottom w:val="single" w:color="auto" w:sz="4" w:space="0"/>
              <w:right w:val="single" w:color="auto" w:sz="4" w:space="0"/>
            </w:tcBorders>
            <w:shd w:val="clear" w:color="auto" w:fill="auto"/>
            <w:vAlign w:val="center"/>
          </w:tcPr>
          <w:p w14:paraId="54CDEA4B">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未正确佩戴劳保用品的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5199C70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人员伤害</w:t>
            </w:r>
          </w:p>
        </w:tc>
        <w:tc>
          <w:tcPr>
            <w:tcW w:w="1372" w:type="dxa"/>
            <w:tcBorders>
              <w:top w:val="single" w:color="auto" w:sz="4" w:space="0"/>
              <w:left w:val="nil"/>
              <w:bottom w:val="single" w:color="auto" w:sz="4" w:space="0"/>
              <w:right w:val="single" w:color="auto" w:sz="4" w:space="0"/>
            </w:tcBorders>
            <w:shd w:val="clear" w:color="auto" w:fill="auto"/>
            <w:vAlign w:val="center"/>
          </w:tcPr>
          <w:p w14:paraId="061F865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010E83C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380FE80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65F7D95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2BA3E1A0">
        <w:tblPrEx>
          <w:tblCellMar>
            <w:top w:w="0" w:type="dxa"/>
            <w:left w:w="28" w:type="dxa"/>
            <w:bottom w:w="0" w:type="dxa"/>
            <w:right w:w="28" w:type="dxa"/>
          </w:tblCellMar>
        </w:tblPrEx>
        <w:trPr>
          <w:trHeight w:val="380"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61D2D3A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FE441F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363B485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single" w:color="auto" w:sz="4" w:space="0"/>
              <w:left w:val="nil"/>
              <w:bottom w:val="single" w:color="auto" w:sz="4" w:space="0"/>
              <w:right w:val="single" w:color="auto" w:sz="4" w:space="0"/>
            </w:tcBorders>
            <w:shd w:val="clear" w:color="auto" w:fill="auto"/>
            <w:vAlign w:val="center"/>
          </w:tcPr>
          <w:p w14:paraId="2830A8C0">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未使用安全电压的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220BD8B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触电事故</w:t>
            </w:r>
          </w:p>
        </w:tc>
        <w:tc>
          <w:tcPr>
            <w:tcW w:w="1372" w:type="dxa"/>
            <w:tcBorders>
              <w:top w:val="single" w:color="auto" w:sz="4" w:space="0"/>
              <w:left w:val="nil"/>
              <w:bottom w:val="single" w:color="auto" w:sz="4" w:space="0"/>
              <w:right w:val="single" w:color="auto" w:sz="4" w:space="0"/>
            </w:tcBorders>
            <w:shd w:val="clear" w:color="auto" w:fill="auto"/>
            <w:vAlign w:val="center"/>
          </w:tcPr>
          <w:p w14:paraId="631CFB6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4F72406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376E594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4F82CD40">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7985255">
        <w:tblPrEx>
          <w:tblCellMar>
            <w:top w:w="0" w:type="dxa"/>
            <w:left w:w="28" w:type="dxa"/>
            <w:bottom w:w="0" w:type="dxa"/>
            <w:right w:w="28" w:type="dxa"/>
          </w:tblCellMar>
        </w:tblPrEx>
        <w:trPr>
          <w:trHeight w:val="380"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2B50883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2028A9E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3B8704F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single" w:color="auto" w:sz="4" w:space="0"/>
              <w:left w:val="nil"/>
              <w:bottom w:val="single" w:color="auto" w:sz="4" w:space="0"/>
              <w:right w:val="single" w:color="auto" w:sz="4" w:space="0"/>
            </w:tcBorders>
            <w:shd w:val="clear" w:color="auto" w:fill="auto"/>
            <w:vAlign w:val="center"/>
          </w:tcPr>
          <w:p w14:paraId="44C7507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未进行通风作业，直接进入的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3FC18B5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窒息中毒</w:t>
            </w:r>
          </w:p>
        </w:tc>
        <w:tc>
          <w:tcPr>
            <w:tcW w:w="1372" w:type="dxa"/>
            <w:tcBorders>
              <w:top w:val="single" w:color="auto" w:sz="4" w:space="0"/>
              <w:left w:val="nil"/>
              <w:bottom w:val="single" w:color="auto" w:sz="4" w:space="0"/>
              <w:right w:val="single" w:color="auto" w:sz="4" w:space="0"/>
            </w:tcBorders>
            <w:shd w:val="clear" w:color="auto" w:fill="auto"/>
            <w:vAlign w:val="center"/>
          </w:tcPr>
          <w:p w14:paraId="3141090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136A67A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0A8A8227">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0CEEF1AF">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09A2E324">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12D2ACC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2EE9280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6DC0EB5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single" w:color="auto" w:sz="4" w:space="0"/>
              <w:left w:val="nil"/>
              <w:bottom w:val="single" w:color="auto" w:sz="4" w:space="0"/>
              <w:right w:val="single" w:color="auto" w:sz="4" w:space="0"/>
            </w:tcBorders>
            <w:shd w:val="clear" w:color="auto" w:fill="auto"/>
            <w:vAlign w:val="center"/>
          </w:tcPr>
          <w:p w14:paraId="027DFDE4">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未进行作业空间内气体成份分析的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560876E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窒息中毒爆炸</w:t>
            </w:r>
          </w:p>
        </w:tc>
        <w:tc>
          <w:tcPr>
            <w:tcW w:w="1372" w:type="dxa"/>
            <w:tcBorders>
              <w:top w:val="single" w:color="auto" w:sz="4" w:space="0"/>
              <w:left w:val="nil"/>
              <w:bottom w:val="single" w:color="auto" w:sz="4" w:space="0"/>
              <w:right w:val="single" w:color="auto" w:sz="4" w:space="0"/>
            </w:tcBorders>
            <w:shd w:val="clear" w:color="auto" w:fill="auto"/>
            <w:vAlign w:val="center"/>
          </w:tcPr>
          <w:p w14:paraId="0A1ACFB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2D5F8BC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4D76788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3338505D">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2986B5A">
        <w:tblPrEx>
          <w:tblCellMar>
            <w:top w:w="0" w:type="dxa"/>
            <w:left w:w="28" w:type="dxa"/>
            <w:bottom w:w="0" w:type="dxa"/>
            <w:right w:w="28" w:type="dxa"/>
          </w:tblCellMar>
        </w:tblPrEx>
        <w:trPr>
          <w:trHeight w:val="431"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737ECDB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F0BC96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33D4049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3328" w:type="dxa"/>
            <w:tcBorders>
              <w:top w:val="single" w:color="auto" w:sz="4" w:space="0"/>
              <w:left w:val="nil"/>
              <w:bottom w:val="single" w:color="auto" w:sz="4" w:space="0"/>
              <w:right w:val="single" w:color="auto" w:sz="4" w:space="0"/>
            </w:tcBorders>
            <w:shd w:val="clear" w:color="auto" w:fill="auto"/>
            <w:vAlign w:val="center"/>
          </w:tcPr>
          <w:p w14:paraId="1005DD2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现场应急、救援物资不足</w:t>
            </w:r>
          </w:p>
        </w:tc>
        <w:tc>
          <w:tcPr>
            <w:tcW w:w="1146" w:type="dxa"/>
            <w:tcBorders>
              <w:top w:val="single" w:color="auto" w:sz="4" w:space="0"/>
              <w:left w:val="nil"/>
              <w:bottom w:val="single" w:color="auto" w:sz="4" w:space="0"/>
              <w:right w:val="single" w:color="auto" w:sz="4" w:space="0"/>
            </w:tcBorders>
            <w:shd w:val="clear" w:color="auto" w:fill="auto"/>
            <w:vAlign w:val="center"/>
          </w:tcPr>
          <w:p w14:paraId="5DCA97F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人员伤害</w:t>
            </w:r>
          </w:p>
        </w:tc>
        <w:tc>
          <w:tcPr>
            <w:tcW w:w="1372" w:type="dxa"/>
            <w:tcBorders>
              <w:top w:val="single" w:color="auto" w:sz="4" w:space="0"/>
              <w:left w:val="nil"/>
              <w:bottom w:val="single" w:color="auto" w:sz="4" w:space="0"/>
              <w:right w:val="single" w:color="auto" w:sz="4" w:space="0"/>
            </w:tcBorders>
            <w:shd w:val="clear" w:color="auto" w:fill="auto"/>
            <w:vAlign w:val="center"/>
          </w:tcPr>
          <w:p w14:paraId="1921A82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0013CF0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0AD76D3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60B4B272">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11473E41">
        <w:tblPrEx>
          <w:tblCellMar>
            <w:top w:w="0" w:type="dxa"/>
            <w:left w:w="28" w:type="dxa"/>
            <w:bottom w:w="0" w:type="dxa"/>
            <w:right w:w="28" w:type="dxa"/>
          </w:tblCellMar>
        </w:tblPrEx>
        <w:trPr>
          <w:trHeight w:val="619"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0CD83E9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332485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single" w:color="auto" w:sz="4" w:space="0"/>
              <w:left w:val="nil"/>
              <w:bottom w:val="single" w:color="auto" w:sz="4" w:space="0"/>
              <w:right w:val="single" w:color="auto" w:sz="4" w:space="0"/>
            </w:tcBorders>
            <w:shd w:val="clear" w:color="auto" w:fill="auto"/>
            <w:vAlign w:val="center"/>
          </w:tcPr>
          <w:p w14:paraId="5A4EF7E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3328" w:type="dxa"/>
            <w:tcBorders>
              <w:top w:val="single" w:color="auto" w:sz="4" w:space="0"/>
              <w:left w:val="nil"/>
              <w:bottom w:val="single" w:color="auto" w:sz="4" w:space="0"/>
              <w:right w:val="single" w:color="auto" w:sz="4" w:space="0"/>
            </w:tcBorders>
            <w:shd w:val="clear" w:color="auto" w:fill="auto"/>
            <w:vAlign w:val="center"/>
          </w:tcPr>
          <w:p w14:paraId="5022712F">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未安排专人监护的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298A7DF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人员伤害</w:t>
            </w:r>
          </w:p>
        </w:tc>
        <w:tc>
          <w:tcPr>
            <w:tcW w:w="1372" w:type="dxa"/>
            <w:tcBorders>
              <w:top w:val="single" w:color="auto" w:sz="4" w:space="0"/>
              <w:left w:val="nil"/>
              <w:bottom w:val="single" w:color="auto" w:sz="4" w:space="0"/>
              <w:right w:val="single" w:color="auto" w:sz="4" w:space="0"/>
            </w:tcBorders>
            <w:shd w:val="clear" w:color="auto" w:fill="auto"/>
            <w:vAlign w:val="center"/>
          </w:tcPr>
          <w:p w14:paraId="67C05CB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1C43F0C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194F324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single" w:color="auto" w:sz="4" w:space="0"/>
              <w:right w:val="single" w:color="auto" w:sz="4" w:space="0"/>
            </w:tcBorders>
            <w:shd w:val="clear" w:color="auto" w:fill="auto"/>
            <w:vAlign w:val="center"/>
          </w:tcPr>
          <w:p w14:paraId="58A9EDFB">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CF27335">
        <w:tblPrEx>
          <w:tblCellMar>
            <w:top w:w="0" w:type="dxa"/>
            <w:left w:w="28" w:type="dxa"/>
            <w:bottom w:w="0" w:type="dxa"/>
            <w:right w:w="28" w:type="dxa"/>
          </w:tblCellMar>
        </w:tblPrEx>
        <w:trPr>
          <w:trHeight w:val="285" w:hRule="atLeast"/>
        </w:trPr>
        <w:tc>
          <w:tcPr>
            <w:tcW w:w="349" w:type="dxa"/>
            <w:vMerge w:val="restart"/>
            <w:tcBorders>
              <w:top w:val="nil"/>
              <w:left w:val="single" w:color="auto" w:sz="4" w:space="0"/>
              <w:bottom w:val="single" w:color="auto" w:sz="4" w:space="0"/>
              <w:right w:val="single" w:color="auto" w:sz="4" w:space="0"/>
            </w:tcBorders>
            <w:shd w:val="clear" w:color="auto" w:fill="auto"/>
            <w:vAlign w:val="center"/>
          </w:tcPr>
          <w:p w14:paraId="6408289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七</w:t>
            </w:r>
          </w:p>
        </w:tc>
        <w:tc>
          <w:tcPr>
            <w:tcW w:w="375" w:type="dxa"/>
            <w:vMerge w:val="restart"/>
            <w:tcBorders>
              <w:top w:val="nil"/>
              <w:left w:val="nil"/>
              <w:bottom w:val="single" w:color="auto" w:sz="4" w:space="0"/>
              <w:right w:val="single" w:color="auto" w:sz="4" w:space="0"/>
            </w:tcBorders>
            <w:shd w:val="clear" w:color="auto" w:fill="auto"/>
            <w:vAlign w:val="center"/>
          </w:tcPr>
          <w:p w14:paraId="6BB3A45E">
            <w:pPr>
              <w:keepNext w:val="0"/>
              <w:keepLines w:val="0"/>
              <w:suppressLineNumbers w:val="0"/>
              <w:spacing w:before="0" w:beforeAutospacing="0" w:after="0" w:afterAutospacing="0" w:line="360" w:lineRule="auto"/>
              <w:ind w:left="113" w:right="0"/>
              <w:jc w:val="center"/>
              <w:rPr>
                <w:rFonts w:hint="eastAsia" w:ascii="宋体" w:hAnsi="宋体" w:eastAsia="宋体" w:cs="宋体"/>
                <w:bCs/>
                <w:sz w:val="21"/>
                <w:szCs w:val="21"/>
              </w:rPr>
            </w:pPr>
            <w:r>
              <w:rPr>
                <w:rFonts w:hint="eastAsia" w:ascii="宋体" w:hAnsi="宋体" w:eastAsia="宋体" w:cs="宋体"/>
                <w:bCs/>
                <w:sz w:val="21"/>
                <w:szCs w:val="21"/>
                <w:lang w:bidi="ar"/>
              </w:rPr>
              <w:t>危险化学品管理</w:t>
            </w:r>
          </w:p>
        </w:tc>
        <w:tc>
          <w:tcPr>
            <w:tcW w:w="360" w:type="dxa"/>
            <w:tcBorders>
              <w:top w:val="single" w:color="auto" w:sz="4" w:space="0"/>
              <w:left w:val="nil"/>
              <w:bottom w:val="single" w:color="auto" w:sz="4" w:space="0"/>
              <w:right w:val="single" w:color="auto" w:sz="4" w:space="0"/>
            </w:tcBorders>
            <w:shd w:val="clear" w:color="auto" w:fill="auto"/>
            <w:vAlign w:val="center"/>
          </w:tcPr>
          <w:p w14:paraId="3C70070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single" w:color="auto" w:sz="4" w:space="0"/>
              <w:left w:val="nil"/>
              <w:bottom w:val="single" w:color="auto" w:sz="4" w:space="0"/>
              <w:right w:val="single" w:color="auto" w:sz="4" w:space="0"/>
            </w:tcBorders>
            <w:shd w:val="clear" w:color="auto" w:fill="auto"/>
            <w:vAlign w:val="center"/>
          </w:tcPr>
          <w:p w14:paraId="0BB0AB3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两种禁忌化学品违规存放的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374A1FE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泄漏爆炸</w:t>
            </w:r>
          </w:p>
        </w:tc>
        <w:tc>
          <w:tcPr>
            <w:tcW w:w="1372" w:type="dxa"/>
            <w:tcBorders>
              <w:top w:val="single" w:color="auto" w:sz="4" w:space="0"/>
              <w:left w:val="nil"/>
              <w:bottom w:val="single" w:color="auto" w:sz="4" w:space="0"/>
              <w:right w:val="single" w:color="auto" w:sz="4" w:space="0"/>
            </w:tcBorders>
            <w:shd w:val="clear" w:color="auto" w:fill="auto"/>
            <w:vAlign w:val="center"/>
          </w:tcPr>
          <w:p w14:paraId="6914B07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分开存放</w:t>
            </w:r>
          </w:p>
        </w:tc>
        <w:tc>
          <w:tcPr>
            <w:tcW w:w="961" w:type="dxa"/>
            <w:vMerge w:val="restart"/>
            <w:tcBorders>
              <w:top w:val="nil"/>
              <w:left w:val="nil"/>
              <w:bottom w:val="single" w:color="auto" w:sz="4" w:space="0"/>
              <w:right w:val="single" w:color="auto" w:sz="4" w:space="0"/>
            </w:tcBorders>
            <w:shd w:val="clear" w:color="auto" w:fill="auto"/>
            <w:vAlign w:val="center"/>
          </w:tcPr>
          <w:p w14:paraId="73E624B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F61FEA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09AEE78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single" w:color="auto" w:sz="4" w:space="0"/>
              <w:right w:val="single" w:color="auto" w:sz="4" w:space="0"/>
            </w:tcBorders>
            <w:shd w:val="clear" w:color="auto" w:fill="auto"/>
            <w:vAlign w:val="center"/>
          </w:tcPr>
          <w:p w14:paraId="39F0988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7E1283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54B28E9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nil"/>
              <w:right w:val="single" w:color="auto" w:sz="4" w:space="0"/>
            </w:tcBorders>
            <w:shd w:val="clear" w:color="auto" w:fill="auto"/>
            <w:vAlign w:val="center"/>
          </w:tcPr>
          <w:p w14:paraId="4B91D7B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64928ED9">
        <w:tblPrEx>
          <w:tblCellMar>
            <w:top w:w="0" w:type="dxa"/>
            <w:left w:w="28" w:type="dxa"/>
            <w:bottom w:w="0" w:type="dxa"/>
            <w:right w:w="28" w:type="dxa"/>
          </w:tblCellMar>
        </w:tblPrEx>
        <w:trPr>
          <w:trHeight w:val="470"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68795F2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45B4EF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080B50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nil"/>
              <w:left w:val="nil"/>
              <w:bottom w:val="single" w:color="auto" w:sz="4" w:space="0"/>
              <w:right w:val="single" w:color="auto" w:sz="4" w:space="0"/>
            </w:tcBorders>
            <w:shd w:val="clear" w:color="auto" w:fill="auto"/>
            <w:vAlign w:val="center"/>
          </w:tcPr>
          <w:p w14:paraId="1D398E3F">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危化品废弃物随意丢弃、倒掉</w:t>
            </w:r>
          </w:p>
        </w:tc>
        <w:tc>
          <w:tcPr>
            <w:tcW w:w="1146" w:type="dxa"/>
            <w:tcBorders>
              <w:top w:val="single" w:color="auto" w:sz="4" w:space="0"/>
              <w:left w:val="nil"/>
              <w:bottom w:val="single" w:color="auto" w:sz="4" w:space="0"/>
              <w:right w:val="single" w:color="auto" w:sz="4" w:space="0"/>
            </w:tcBorders>
            <w:shd w:val="clear" w:color="auto" w:fill="auto"/>
            <w:vAlign w:val="center"/>
          </w:tcPr>
          <w:p w14:paraId="56D093C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污染/火灾</w:t>
            </w:r>
          </w:p>
        </w:tc>
        <w:tc>
          <w:tcPr>
            <w:tcW w:w="1372" w:type="dxa"/>
            <w:tcBorders>
              <w:top w:val="single" w:color="auto" w:sz="4" w:space="0"/>
              <w:left w:val="nil"/>
              <w:bottom w:val="single" w:color="auto" w:sz="4" w:space="0"/>
              <w:right w:val="single" w:color="auto" w:sz="4" w:space="0"/>
            </w:tcBorders>
            <w:shd w:val="clear" w:color="auto" w:fill="auto"/>
            <w:vAlign w:val="center"/>
          </w:tcPr>
          <w:p w14:paraId="2FC3487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制止</w:t>
            </w:r>
          </w:p>
        </w:tc>
        <w:tc>
          <w:tcPr>
            <w:tcW w:w="961" w:type="dxa"/>
            <w:vMerge w:val="continue"/>
            <w:tcBorders>
              <w:top w:val="nil"/>
              <w:left w:val="nil"/>
              <w:bottom w:val="single" w:color="auto" w:sz="4" w:space="0"/>
              <w:right w:val="single" w:color="auto" w:sz="4" w:space="0"/>
            </w:tcBorders>
            <w:shd w:val="clear" w:color="auto" w:fill="auto"/>
            <w:vAlign w:val="center"/>
          </w:tcPr>
          <w:p w14:paraId="488F7FF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211965B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7401EC1F">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5FC308C">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65B9A1B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4A6DA00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5537AD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nil"/>
              <w:left w:val="nil"/>
              <w:bottom w:val="single" w:color="auto" w:sz="4" w:space="0"/>
              <w:right w:val="single" w:color="auto" w:sz="4" w:space="0"/>
            </w:tcBorders>
            <w:shd w:val="clear" w:color="auto" w:fill="auto"/>
            <w:vAlign w:val="center"/>
          </w:tcPr>
          <w:p w14:paraId="412D668F">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危险化学品渗漏未采取有效措施</w:t>
            </w:r>
          </w:p>
        </w:tc>
        <w:tc>
          <w:tcPr>
            <w:tcW w:w="1146" w:type="dxa"/>
            <w:tcBorders>
              <w:top w:val="single" w:color="auto" w:sz="4" w:space="0"/>
              <w:left w:val="nil"/>
              <w:bottom w:val="single" w:color="auto" w:sz="4" w:space="0"/>
              <w:right w:val="single" w:color="auto" w:sz="4" w:space="0"/>
            </w:tcBorders>
            <w:shd w:val="clear" w:color="auto" w:fill="auto"/>
            <w:vAlign w:val="center"/>
          </w:tcPr>
          <w:p w14:paraId="3AA87C5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泄漏污染</w:t>
            </w:r>
          </w:p>
        </w:tc>
        <w:tc>
          <w:tcPr>
            <w:tcW w:w="1372" w:type="dxa"/>
            <w:tcBorders>
              <w:top w:val="single" w:color="auto" w:sz="4" w:space="0"/>
              <w:left w:val="nil"/>
              <w:bottom w:val="single" w:color="auto" w:sz="4" w:space="0"/>
              <w:right w:val="single" w:color="auto" w:sz="4" w:space="0"/>
            </w:tcBorders>
            <w:shd w:val="clear" w:color="auto" w:fill="auto"/>
            <w:vAlign w:val="center"/>
          </w:tcPr>
          <w:p w14:paraId="65213F9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single" w:color="auto" w:sz="4" w:space="0"/>
              <w:right w:val="single" w:color="auto" w:sz="4" w:space="0"/>
            </w:tcBorders>
            <w:shd w:val="clear" w:color="auto" w:fill="auto"/>
            <w:vAlign w:val="center"/>
          </w:tcPr>
          <w:p w14:paraId="709CB8C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single" w:color="auto" w:sz="4" w:space="0"/>
              <w:right w:val="single" w:color="auto" w:sz="4" w:space="0"/>
            </w:tcBorders>
            <w:shd w:val="clear" w:color="auto" w:fill="auto"/>
            <w:vAlign w:val="center"/>
          </w:tcPr>
          <w:p w14:paraId="779DFCD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4B95FF58">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6AF4999A">
        <w:tblPrEx>
          <w:tblCellMar>
            <w:top w:w="0" w:type="dxa"/>
            <w:left w:w="28" w:type="dxa"/>
            <w:bottom w:w="0" w:type="dxa"/>
            <w:right w:w="28" w:type="dxa"/>
          </w:tblCellMar>
        </w:tblPrEx>
        <w:trPr>
          <w:trHeight w:val="1063"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26561E7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0A0AD32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505DF3B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042D41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危险化学品使用、储存量超过法规标准，未按法规要求落实相关管理措施的</w:t>
            </w:r>
          </w:p>
        </w:tc>
        <w:tc>
          <w:tcPr>
            <w:tcW w:w="1146" w:type="dxa"/>
            <w:tcBorders>
              <w:top w:val="single" w:color="auto" w:sz="4" w:space="0"/>
              <w:left w:val="nil"/>
              <w:bottom w:val="single" w:color="auto" w:sz="4" w:space="0"/>
              <w:right w:val="single" w:color="auto" w:sz="4" w:space="0"/>
            </w:tcBorders>
            <w:shd w:val="clear" w:color="auto" w:fill="auto"/>
            <w:vAlign w:val="center"/>
          </w:tcPr>
          <w:p w14:paraId="6DD5E2F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化学品事故</w:t>
            </w:r>
          </w:p>
        </w:tc>
        <w:tc>
          <w:tcPr>
            <w:tcW w:w="1372" w:type="dxa"/>
            <w:tcBorders>
              <w:top w:val="single" w:color="auto" w:sz="4" w:space="0"/>
              <w:left w:val="nil"/>
              <w:bottom w:val="single" w:color="auto" w:sz="4" w:space="0"/>
              <w:right w:val="single" w:color="auto" w:sz="4" w:space="0"/>
            </w:tcBorders>
            <w:shd w:val="clear" w:color="auto" w:fill="auto"/>
            <w:vAlign w:val="center"/>
          </w:tcPr>
          <w:p w14:paraId="39CA69C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加强管控措施</w:t>
            </w:r>
          </w:p>
        </w:tc>
        <w:tc>
          <w:tcPr>
            <w:tcW w:w="961" w:type="dxa"/>
            <w:tcBorders>
              <w:top w:val="single" w:color="auto" w:sz="4" w:space="0"/>
              <w:left w:val="nil"/>
              <w:bottom w:val="single" w:color="auto" w:sz="4" w:space="0"/>
              <w:right w:val="single" w:color="auto" w:sz="4" w:space="0"/>
            </w:tcBorders>
            <w:shd w:val="clear" w:color="auto" w:fill="auto"/>
            <w:vAlign w:val="center"/>
          </w:tcPr>
          <w:p w14:paraId="7670CD6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2000元违约金</w:t>
            </w:r>
          </w:p>
        </w:tc>
        <w:tc>
          <w:tcPr>
            <w:tcW w:w="1131" w:type="dxa"/>
            <w:tcBorders>
              <w:top w:val="single" w:color="auto" w:sz="4" w:space="0"/>
              <w:left w:val="nil"/>
              <w:bottom w:val="single" w:color="auto" w:sz="4" w:space="0"/>
              <w:right w:val="single" w:color="auto" w:sz="4" w:space="0"/>
            </w:tcBorders>
            <w:shd w:val="clear" w:color="auto" w:fill="auto"/>
            <w:vAlign w:val="center"/>
          </w:tcPr>
          <w:p w14:paraId="21DA97A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tc>
        <w:tc>
          <w:tcPr>
            <w:tcW w:w="1077" w:type="dxa"/>
            <w:vMerge w:val="continue"/>
            <w:tcBorders>
              <w:top w:val="nil"/>
              <w:left w:val="nil"/>
              <w:bottom w:val="nil"/>
              <w:right w:val="single" w:color="auto" w:sz="4" w:space="0"/>
            </w:tcBorders>
            <w:shd w:val="clear" w:color="auto" w:fill="auto"/>
            <w:vAlign w:val="center"/>
          </w:tcPr>
          <w:p w14:paraId="22C71ECF">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A3BB9DC">
        <w:tblPrEx>
          <w:tblCellMar>
            <w:top w:w="0" w:type="dxa"/>
            <w:left w:w="28" w:type="dxa"/>
            <w:bottom w:w="0" w:type="dxa"/>
            <w:right w:w="28" w:type="dxa"/>
          </w:tblCellMar>
        </w:tblPrEx>
        <w:trPr>
          <w:trHeight w:val="486" w:hRule="atLeast"/>
        </w:trPr>
        <w:tc>
          <w:tcPr>
            <w:tcW w:w="349" w:type="dxa"/>
            <w:vMerge w:val="restart"/>
            <w:tcBorders>
              <w:top w:val="nil"/>
              <w:left w:val="single" w:color="auto" w:sz="4" w:space="0"/>
              <w:bottom w:val="single" w:color="auto" w:sz="4" w:space="0"/>
              <w:right w:val="single" w:color="auto" w:sz="4" w:space="0"/>
            </w:tcBorders>
            <w:shd w:val="clear" w:color="auto" w:fill="auto"/>
            <w:vAlign w:val="center"/>
          </w:tcPr>
          <w:p w14:paraId="62DBA96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八</w:t>
            </w:r>
          </w:p>
          <w:p w14:paraId="7747A53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E4E118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375" w:type="dxa"/>
            <w:vMerge w:val="restart"/>
            <w:tcBorders>
              <w:top w:val="nil"/>
              <w:left w:val="nil"/>
              <w:bottom w:val="single" w:color="auto" w:sz="4" w:space="0"/>
              <w:right w:val="single" w:color="auto" w:sz="4" w:space="0"/>
            </w:tcBorders>
            <w:shd w:val="clear" w:color="auto" w:fill="auto"/>
            <w:vAlign w:val="center"/>
          </w:tcPr>
          <w:p w14:paraId="7C0F9C45">
            <w:pPr>
              <w:keepNext w:val="0"/>
              <w:keepLines w:val="0"/>
              <w:suppressLineNumbers w:val="0"/>
              <w:spacing w:before="0" w:beforeAutospacing="0" w:after="0" w:afterAutospacing="0" w:line="360" w:lineRule="auto"/>
              <w:ind w:left="113" w:right="0"/>
              <w:jc w:val="center"/>
              <w:rPr>
                <w:rFonts w:hint="eastAsia" w:ascii="宋体" w:hAnsi="宋体" w:eastAsia="宋体" w:cs="宋体"/>
                <w:bCs/>
                <w:sz w:val="21"/>
                <w:szCs w:val="21"/>
              </w:rPr>
            </w:pPr>
            <w:r>
              <w:rPr>
                <w:rFonts w:hint="eastAsia" w:ascii="宋体" w:hAnsi="宋体" w:eastAsia="宋体" w:cs="宋体"/>
                <w:bCs/>
                <w:sz w:val="21"/>
                <w:szCs w:val="21"/>
                <w:lang w:bidi="ar"/>
              </w:rPr>
              <w:t>其它违章</w:t>
            </w:r>
          </w:p>
        </w:tc>
        <w:tc>
          <w:tcPr>
            <w:tcW w:w="360" w:type="dxa"/>
            <w:tcBorders>
              <w:top w:val="nil"/>
              <w:left w:val="nil"/>
              <w:bottom w:val="single" w:color="auto" w:sz="4" w:space="0"/>
              <w:right w:val="single" w:color="auto" w:sz="4" w:space="0"/>
            </w:tcBorders>
            <w:shd w:val="clear" w:color="auto" w:fill="auto"/>
            <w:vAlign w:val="center"/>
          </w:tcPr>
          <w:p w14:paraId="6273206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3328" w:type="dxa"/>
            <w:tcBorders>
              <w:top w:val="nil"/>
              <w:left w:val="nil"/>
              <w:bottom w:val="single" w:color="auto" w:sz="4" w:space="0"/>
              <w:right w:val="single" w:color="auto" w:sz="4" w:space="0"/>
            </w:tcBorders>
            <w:shd w:val="clear" w:color="auto" w:fill="auto"/>
            <w:vAlign w:val="center"/>
          </w:tcPr>
          <w:p w14:paraId="118FEAD5">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禁烟区员工违规吸烟的</w:t>
            </w:r>
          </w:p>
        </w:tc>
        <w:tc>
          <w:tcPr>
            <w:tcW w:w="1146" w:type="dxa"/>
            <w:tcBorders>
              <w:top w:val="nil"/>
              <w:left w:val="nil"/>
              <w:bottom w:val="single" w:color="auto" w:sz="4" w:space="0"/>
              <w:right w:val="single" w:color="auto" w:sz="4" w:space="0"/>
            </w:tcBorders>
            <w:shd w:val="clear" w:color="auto" w:fill="auto"/>
            <w:vAlign w:val="center"/>
          </w:tcPr>
          <w:p w14:paraId="431F847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引发火灾</w:t>
            </w:r>
          </w:p>
        </w:tc>
        <w:tc>
          <w:tcPr>
            <w:tcW w:w="1372" w:type="dxa"/>
            <w:tcBorders>
              <w:top w:val="nil"/>
              <w:left w:val="nil"/>
              <w:bottom w:val="single" w:color="auto" w:sz="4" w:space="0"/>
              <w:right w:val="single" w:color="auto" w:sz="4" w:space="0"/>
            </w:tcBorders>
            <w:shd w:val="clear" w:color="auto" w:fill="auto"/>
            <w:vAlign w:val="center"/>
          </w:tcPr>
          <w:p w14:paraId="4D2CE95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加强教育</w:t>
            </w:r>
          </w:p>
        </w:tc>
        <w:tc>
          <w:tcPr>
            <w:tcW w:w="961" w:type="dxa"/>
            <w:vMerge w:val="restart"/>
            <w:tcBorders>
              <w:top w:val="nil"/>
              <w:left w:val="nil"/>
              <w:bottom w:val="nil"/>
              <w:right w:val="single" w:color="auto" w:sz="4" w:space="0"/>
            </w:tcBorders>
            <w:shd w:val="clear" w:color="auto" w:fill="auto"/>
            <w:vAlign w:val="center"/>
          </w:tcPr>
          <w:p w14:paraId="3844045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1791A8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C8EB0F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697D06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335B4D6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1000元违约金</w:t>
            </w:r>
          </w:p>
          <w:p w14:paraId="7D34487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FBCAAC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42524B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3B6356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131" w:type="dxa"/>
            <w:vMerge w:val="restart"/>
            <w:tcBorders>
              <w:top w:val="nil"/>
              <w:left w:val="nil"/>
              <w:bottom w:val="nil"/>
              <w:right w:val="single" w:color="auto" w:sz="4" w:space="0"/>
            </w:tcBorders>
            <w:shd w:val="clear" w:color="auto" w:fill="auto"/>
            <w:vAlign w:val="center"/>
          </w:tcPr>
          <w:p w14:paraId="5AD6DFD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3209FF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61B78D8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E18EBF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0C199A7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p w14:paraId="19FDCC7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739D3B2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4344845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p w14:paraId="5FFDAD1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p>
        </w:tc>
        <w:tc>
          <w:tcPr>
            <w:tcW w:w="1077" w:type="dxa"/>
            <w:vMerge w:val="restart"/>
            <w:tcBorders>
              <w:top w:val="nil"/>
              <w:left w:val="nil"/>
              <w:bottom w:val="nil"/>
              <w:right w:val="single" w:color="auto" w:sz="4" w:space="0"/>
            </w:tcBorders>
            <w:shd w:val="clear" w:color="auto" w:fill="auto"/>
            <w:vAlign w:val="center"/>
          </w:tcPr>
          <w:p w14:paraId="5F1F246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根据事故情节严重性按合同处理</w:t>
            </w:r>
          </w:p>
        </w:tc>
      </w:tr>
      <w:tr w14:paraId="4819A385">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01FA9B3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198236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013089C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3328" w:type="dxa"/>
            <w:tcBorders>
              <w:top w:val="nil"/>
              <w:left w:val="nil"/>
              <w:bottom w:val="single" w:color="auto" w:sz="4" w:space="0"/>
              <w:right w:val="single" w:color="auto" w:sz="4" w:space="0"/>
            </w:tcBorders>
            <w:shd w:val="clear" w:color="auto" w:fill="auto"/>
            <w:vAlign w:val="center"/>
          </w:tcPr>
          <w:p w14:paraId="1B78DB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施工人员现场嬉笑打闹、打牌赌博或酒后上岗者</w:t>
            </w:r>
          </w:p>
        </w:tc>
        <w:tc>
          <w:tcPr>
            <w:tcW w:w="1146" w:type="dxa"/>
            <w:tcBorders>
              <w:top w:val="nil"/>
              <w:left w:val="nil"/>
              <w:bottom w:val="single" w:color="auto" w:sz="4" w:space="0"/>
              <w:right w:val="single" w:color="auto" w:sz="4" w:space="0"/>
            </w:tcBorders>
            <w:shd w:val="clear" w:color="auto" w:fill="auto"/>
            <w:vAlign w:val="center"/>
          </w:tcPr>
          <w:p w14:paraId="0E3E1AF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5945E6A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67C87EA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09B23F4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17341C83">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1B7AA9A5">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2F76000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FBE847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1B9E8D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3328" w:type="dxa"/>
            <w:tcBorders>
              <w:top w:val="nil"/>
              <w:left w:val="nil"/>
              <w:bottom w:val="single" w:color="auto" w:sz="4" w:space="0"/>
              <w:right w:val="single" w:color="auto" w:sz="4" w:space="0"/>
            </w:tcBorders>
            <w:shd w:val="clear" w:color="auto" w:fill="auto"/>
            <w:vAlign w:val="center"/>
          </w:tcPr>
          <w:p w14:paraId="0781572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特种作业人员无证上岗或证件超期作业的</w:t>
            </w:r>
          </w:p>
        </w:tc>
        <w:tc>
          <w:tcPr>
            <w:tcW w:w="1146" w:type="dxa"/>
            <w:tcBorders>
              <w:top w:val="nil"/>
              <w:left w:val="nil"/>
              <w:bottom w:val="single" w:color="auto" w:sz="4" w:space="0"/>
              <w:right w:val="single" w:color="auto" w:sz="4" w:space="0"/>
            </w:tcBorders>
            <w:shd w:val="clear" w:color="auto" w:fill="auto"/>
            <w:vAlign w:val="center"/>
          </w:tcPr>
          <w:p w14:paraId="7FAE2A9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易出事故</w:t>
            </w:r>
          </w:p>
        </w:tc>
        <w:tc>
          <w:tcPr>
            <w:tcW w:w="1372" w:type="dxa"/>
            <w:tcBorders>
              <w:top w:val="nil"/>
              <w:left w:val="nil"/>
              <w:bottom w:val="single" w:color="auto" w:sz="4" w:space="0"/>
              <w:right w:val="single" w:color="auto" w:sz="4" w:space="0"/>
            </w:tcBorders>
            <w:shd w:val="clear" w:color="auto" w:fill="auto"/>
            <w:vAlign w:val="center"/>
          </w:tcPr>
          <w:p w14:paraId="34AA7EC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立即制止</w:t>
            </w:r>
          </w:p>
        </w:tc>
        <w:tc>
          <w:tcPr>
            <w:tcW w:w="961" w:type="dxa"/>
            <w:vMerge w:val="continue"/>
            <w:tcBorders>
              <w:top w:val="nil"/>
              <w:left w:val="nil"/>
              <w:bottom w:val="nil"/>
              <w:right w:val="single" w:color="auto" w:sz="4" w:space="0"/>
            </w:tcBorders>
            <w:shd w:val="clear" w:color="auto" w:fill="auto"/>
            <w:vAlign w:val="center"/>
          </w:tcPr>
          <w:p w14:paraId="65C1FFC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1811DA0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0AA58B26">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4ABDA86A">
        <w:tblPrEx>
          <w:tblCellMar>
            <w:top w:w="0" w:type="dxa"/>
            <w:left w:w="28" w:type="dxa"/>
            <w:bottom w:w="0" w:type="dxa"/>
            <w:right w:w="28" w:type="dxa"/>
          </w:tblCellMar>
        </w:tblPrEx>
        <w:trPr>
          <w:trHeight w:val="404"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41B239D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7A3DD6D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2D8A32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3328" w:type="dxa"/>
            <w:tcBorders>
              <w:top w:val="nil"/>
              <w:left w:val="nil"/>
              <w:bottom w:val="single" w:color="auto" w:sz="4" w:space="0"/>
              <w:right w:val="single" w:color="auto" w:sz="4" w:space="0"/>
            </w:tcBorders>
            <w:shd w:val="clear" w:color="auto" w:fill="auto"/>
            <w:vAlign w:val="center"/>
          </w:tcPr>
          <w:p w14:paraId="3A398FB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特种设备超期使用</w:t>
            </w:r>
          </w:p>
        </w:tc>
        <w:tc>
          <w:tcPr>
            <w:tcW w:w="1146" w:type="dxa"/>
            <w:tcBorders>
              <w:top w:val="nil"/>
              <w:left w:val="nil"/>
              <w:bottom w:val="single" w:color="auto" w:sz="4" w:space="0"/>
              <w:right w:val="single" w:color="auto" w:sz="4" w:space="0"/>
            </w:tcBorders>
            <w:shd w:val="clear" w:color="auto" w:fill="auto"/>
            <w:vAlign w:val="center"/>
          </w:tcPr>
          <w:p w14:paraId="3C63CDC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易出事故</w:t>
            </w:r>
          </w:p>
        </w:tc>
        <w:tc>
          <w:tcPr>
            <w:tcW w:w="1372" w:type="dxa"/>
            <w:tcBorders>
              <w:top w:val="nil"/>
              <w:left w:val="nil"/>
              <w:bottom w:val="single" w:color="auto" w:sz="4" w:space="0"/>
              <w:right w:val="single" w:color="auto" w:sz="4" w:space="0"/>
            </w:tcBorders>
            <w:shd w:val="clear" w:color="auto" w:fill="auto"/>
            <w:vAlign w:val="center"/>
          </w:tcPr>
          <w:p w14:paraId="64F8888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立即制止</w:t>
            </w:r>
          </w:p>
        </w:tc>
        <w:tc>
          <w:tcPr>
            <w:tcW w:w="961" w:type="dxa"/>
            <w:vMerge w:val="continue"/>
            <w:tcBorders>
              <w:top w:val="nil"/>
              <w:left w:val="nil"/>
              <w:bottom w:val="nil"/>
              <w:right w:val="single" w:color="auto" w:sz="4" w:space="0"/>
            </w:tcBorders>
            <w:shd w:val="clear" w:color="auto" w:fill="auto"/>
            <w:vAlign w:val="center"/>
          </w:tcPr>
          <w:p w14:paraId="2B6F425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5B2B6480">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67361427">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9C1D58F">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19981484">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AF15F8D">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27F1D52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3328" w:type="dxa"/>
            <w:tcBorders>
              <w:top w:val="nil"/>
              <w:left w:val="nil"/>
              <w:bottom w:val="single" w:color="auto" w:sz="4" w:space="0"/>
              <w:right w:val="single" w:color="auto" w:sz="4" w:space="0"/>
            </w:tcBorders>
            <w:shd w:val="clear" w:color="auto" w:fill="auto"/>
            <w:vAlign w:val="center"/>
          </w:tcPr>
          <w:p w14:paraId="79F8AD87">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现场深井上无防护盖或栏者</w:t>
            </w:r>
          </w:p>
        </w:tc>
        <w:tc>
          <w:tcPr>
            <w:tcW w:w="1146" w:type="dxa"/>
            <w:tcBorders>
              <w:top w:val="nil"/>
              <w:left w:val="nil"/>
              <w:bottom w:val="single" w:color="auto" w:sz="4" w:space="0"/>
              <w:right w:val="single" w:color="auto" w:sz="4" w:space="0"/>
            </w:tcBorders>
            <w:shd w:val="clear" w:color="auto" w:fill="auto"/>
            <w:vAlign w:val="center"/>
          </w:tcPr>
          <w:p w14:paraId="61BBAAB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坠落事故</w:t>
            </w:r>
          </w:p>
        </w:tc>
        <w:tc>
          <w:tcPr>
            <w:tcW w:w="1372" w:type="dxa"/>
            <w:tcBorders>
              <w:top w:val="nil"/>
              <w:left w:val="nil"/>
              <w:bottom w:val="single" w:color="auto" w:sz="4" w:space="0"/>
              <w:right w:val="single" w:color="auto" w:sz="4" w:space="0"/>
            </w:tcBorders>
            <w:shd w:val="clear" w:color="auto" w:fill="auto"/>
            <w:vAlign w:val="center"/>
          </w:tcPr>
          <w:p w14:paraId="0DC43E0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加防护盖﹑栏</w:t>
            </w:r>
          </w:p>
        </w:tc>
        <w:tc>
          <w:tcPr>
            <w:tcW w:w="961" w:type="dxa"/>
            <w:vMerge w:val="continue"/>
            <w:tcBorders>
              <w:top w:val="nil"/>
              <w:left w:val="nil"/>
              <w:bottom w:val="nil"/>
              <w:right w:val="single" w:color="auto" w:sz="4" w:space="0"/>
            </w:tcBorders>
            <w:shd w:val="clear" w:color="auto" w:fill="auto"/>
            <w:vAlign w:val="center"/>
          </w:tcPr>
          <w:p w14:paraId="7D1D7019">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1154F9D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673D7C50">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25E6CA2F">
        <w:tblPrEx>
          <w:tblCellMar>
            <w:top w:w="0" w:type="dxa"/>
            <w:left w:w="28" w:type="dxa"/>
            <w:bottom w:w="0" w:type="dxa"/>
            <w:right w:w="28" w:type="dxa"/>
          </w:tblCellMar>
        </w:tblPrEx>
        <w:trPr>
          <w:trHeight w:val="431"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52AF361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C2F9BF3">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CF2D11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3328" w:type="dxa"/>
            <w:tcBorders>
              <w:top w:val="nil"/>
              <w:left w:val="nil"/>
              <w:bottom w:val="single" w:color="auto" w:sz="4" w:space="0"/>
              <w:right w:val="single" w:color="auto" w:sz="4" w:space="0"/>
            </w:tcBorders>
            <w:shd w:val="clear" w:color="auto" w:fill="auto"/>
            <w:vAlign w:val="center"/>
          </w:tcPr>
          <w:p w14:paraId="448C9B9E">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现场作业无审批手续者</w:t>
            </w:r>
          </w:p>
        </w:tc>
        <w:tc>
          <w:tcPr>
            <w:tcW w:w="1146" w:type="dxa"/>
            <w:tcBorders>
              <w:top w:val="nil"/>
              <w:left w:val="nil"/>
              <w:bottom w:val="single" w:color="auto" w:sz="4" w:space="0"/>
              <w:right w:val="single" w:color="auto" w:sz="4" w:space="0"/>
            </w:tcBorders>
            <w:shd w:val="clear" w:color="auto" w:fill="auto"/>
            <w:vAlign w:val="center"/>
          </w:tcPr>
          <w:p w14:paraId="5793094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不便管理</w:t>
            </w:r>
          </w:p>
        </w:tc>
        <w:tc>
          <w:tcPr>
            <w:tcW w:w="1372" w:type="dxa"/>
            <w:tcBorders>
              <w:top w:val="nil"/>
              <w:left w:val="nil"/>
              <w:bottom w:val="single" w:color="auto" w:sz="4" w:space="0"/>
              <w:right w:val="single" w:color="auto" w:sz="4" w:space="0"/>
            </w:tcBorders>
            <w:shd w:val="clear" w:color="auto" w:fill="auto"/>
            <w:vAlign w:val="center"/>
          </w:tcPr>
          <w:p w14:paraId="01F28D8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补办手续</w:t>
            </w:r>
          </w:p>
        </w:tc>
        <w:tc>
          <w:tcPr>
            <w:tcW w:w="961" w:type="dxa"/>
            <w:vMerge w:val="continue"/>
            <w:tcBorders>
              <w:top w:val="nil"/>
              <w:left w:val="nil"/>
              <w:bottom w:val="nil"/>
              <w:right w:val="single" w:color="auto" w:sz="4" w:space="0"/>
            </w:tcBorders>
            <w:shd w:val="clear" w:color="auto" w:fill="auto"/>
            <w:vAlign w:val="center"/>
          </w:tcPr>
          <w:p w14:paraId="5161CFA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308E839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2BDDE09F">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1E22E40A">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7B2B83C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F34988A">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3977862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3328" w:type="dxa"/>
            <w:tcBorders>
              <w:top w:val="nil"/>
              <w:left w:val="nil"/>
              <w:bottom w:val="single" w:color="auto" w:sz="4" w:space="0"/>
              <w:right w:val="single" w:color="auto" w:sz="4" w:space="0"/>
            </w:tcBorders>
            <w:shd w:val="clear" w:color="auto" w:fill="auto"/>
            <w:vAlign w:val="center"/>
          </w:tcPr>
          <w:p w14:paraId="2A87DC9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施工作业人员未按要求佩戴个人防护用品者</w:t>
            </w:r>
          </w:p>
        </w:tc>
        <w:tc>
          <w:tcPr>
            <w:tcW w:w="1146" w:type="dxa"/>
            <w:tcBorders>
              <w:top w:val="nil"/>
              <w:left w:val="nil"/>
              <w:bottom w:val="single" w:color="auto" w:sz="4" w:space="0"/>
              <w:right w:val="single" w:color="auto" w:sz="4" w:space="0"/>
            </w:tcBorders>
            <w:shd w:val="clear" w:color="auto" w:fill="auto"/>
            <w:vAlign w:val="center"/>
          </w:tcPr>
          <w:p w14:paraId="2B0447C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引发事故</w:t>
            </w:r>
          </w:p>
        </w:tc>
        <w:tc>
          <w:tcPr>
            <w:tcW w:w="1372" w:type="dxa"/>
            <w:tcBorders>
              <w:top w:val="nil"/>
              <w:left w:val="nil"/>
              <w:bottom w:val="single" w:color="auto" w:sz="4" w:space="0"/>
              <w:right w:val="single" w:color="auto" w:sz="4" w:space="0"/>
            </w:tcBorders>
            <w:shd w:val="clear" w:color="auto" w:fill="auto"/>
            <w:vAlign w:val="center"/>
          </w:tcPr>
          <w:p w14:paraId="1420B88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要求佩戴</w:t>
            </w:r>
          </w:p>
        </w:tc>
        <w:tc>
          <w:tcPr>
            <w:tcW w:w="961" w:type="dxa"/>
            <w:vMerge w:val="continue"/>
            <w:tcBorders>
              <w:top w:val="nil"/>
              <w:left w:val="nil"/>
              <w:bottom w:val="nil"/>
              <w:right w:val="single" w:color="auto" w:sz="4" w:space="0"/>
            </w:tcBorders>
            <w:shd w:val="clear" w:color="auto" w:fill="auto"/>
            <w:vAlign w:val="center"/>
          </w:tcPr>
          <w:p w14:paraId="6AE92126">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56869A12">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5CAAC27A">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D16357F">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53E00995">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2AAB094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627ACDE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3328" w:type="dxa"/>
            <w:tcBorders>
              <w:top w:val="nil"/>
              <w:left w:val="nil"/>
              <w:bottom w:val="single" w:color="auto" w:sz="4" w:space="0"/>
              <w:right w:val="single" w:color="auto" w:sz="4" w:space="0"/>
            </w:tcBorders>
            <w:shd w:val="clear" w:color="auto" w:fill="auto"/>
            <w:vAlign w:val="center"/>
          </w:tcPr>
          <w:p w14:paraId="61D9A9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法律法规要求落实安全评价、检测工作，未落实执行的</w:t>
            </w:r>
          </w:p>
        </w:tc>
        <w:tc>
          <w:tcPr>
            <w:tcW w:w="1146" w:type="dxa"/>
            <w:tcBorders>
              <w:top w:val="nil"/>
              <w:left w:val="nil"/>
              <w:bottom w:val="single" w:color="auto" w:sz="4" w:space="0"/>
              <w:right w:val="single" w:color="auto" w:sz="4" w:space="0"/>
            </w:tcBorders>
            <w:shd w:val="clear" w:color="auto" w:fill="auto"/>
            <w:vAlign w:val="center"/>
          </w:tcPr>
          <w:p w14:paraId="78C01AC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不便管理</w:t>
            </w:r>
          </w:p>
        </w:tc>
        <w:tc>
          <w:tcPr>
            <w:tcW w:w="1372" w:type="dxa"/>
            <w:tcBorders>
              <w:top w:val="nil"/>
              <w:left w:val="nil"/>
              <w:bottom w:val="single" w:color="auto" w:sz="4" w:space="0"/>
              <w:right w:val="single" w:color="auto" w:sz="4" w:space="0"/>
            </w:tcBorders>
            <w:shd w:val="clear" w:color="auto" w:fill="auto"/>
            <w:vAlign w:val="center"/>
          </w:tcPr>
          <w:p w14:paraId="16BCEA3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7BA72E5C">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0CDC627E">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605BBAE1">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3BFE1543">
        <w:tblPrEx>
          <w:tblCellMar>
            <w:top w:w="0" w:type="dxa"/>
            <w:left w:w="28" w:type="dxa"/>
            <w:bottom w:w="0" w:type="dxa"/>
            <w:right w:w="28" w:type="dxa"/>
          </w:tblCellMar>
        </w:tblPrEx>
        <w:trPr>
          <w:trHeight w:val="285"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2491838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662850A8">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4168010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9</w:t>
            </w:r>
          </w:p>
        </w:tc>
        <w:tc>
          <w:tcPr>
            <w:tcW w:w="3328" w:type="dxa"/>
            <w:tcBorders>
              <w:top w:val="nil"/>
              <w:left w:val="nil"/>
              <w:bottom w:val="single" w:color="auto" w:sz="4" w:space="0"/>
              <w:right w:val="single" w:color="auto" w:sz="4" w:space="0"/>
            </w:tcBorders>
            <w:shd w:val="clear" w:color="auto" w:fill="auto"/>
            <w:vAlign w:val="center"/>
          </w:tcPr>
          <w:p w14:paraId="50A74D0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其它不符合东莞市水务集团有限公司、东莞市水务集团实业发展有限公司、甲方安全管理规定的不安全行为</w:t>
            </w:r>
          </w:p>
        </w:tc>
        <w:tc>
          <w:tcPr>
            <w:tcW w:w="1146" w:type="dxa"/>
            <w:tcBorders>
              <w:top w:val="nil"/>
              <w:left w:val="nil"/>
              <w:bottom w:val="single" w:color="auto" w:sz="4" w:space="0"/>
              <w:right w:val="single" w:color="auto" w:sz="4" w:space="0"/>
            </w:tcBorders>
            <w:shd w:val="clear" w:color="auto" w:fill="auto"/>
            <w:vAlign w:val="center"/>
          </w:tcPr>
          <w:p w14:paraId="7529FCE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不便管理</w:t>
            </w:r>
          </w:p>
        </w:tc>
        <w:tc>
          <w:tcPr>
            <w:tcW w:w="1372" w:type="dxa"/>
            <w:tcBorders>
              <w:top w:val="nil"/>
              <w:left w:val="nil"/>
              <w:bottom w:val="single" w:color="auto" w:sz="4" w:space="0"/>
              <w:right w:val="single" w:color="auto" w:sz="4" w:space="0"/>
            </w:tcBorders>
            <w:shd w:val="clear" w:color="auto" w:fill="auto"/>
            <w:vAlign w:val="center"/>
          </w:tcPr>
          <w:p w14:paraId="38E2C6B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vMerge w:val="continue"/>
            <w:tcBorders>
              <w:top w:val="nil"/>
              <w:left w:val="nil"/>
              <w:bottom w:val="nil"/>
              <w:right w:val="single" w:color="auto" w:sz="4" w:space="0"/>
            </w:tcBorders>
            <w:shd w:val="clear" w:color="auto" w:fill="auto"/>
            <w:vAlign w:val="center"/>
          </w:tcPr>
          <w:p w14:paraId="501D97B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131" w:type="dxa"/>
            <w:vMerge w:val="continue"/>
            <w:tcBorders>
              <w:top w:val="nil"/>
              <w:left w:val="nil"/>
              <w:bottom w:val="nil"/>
              <w:right w:val="single" w:color="auto" w:sz="4" w:space="0"/>
            </w:tcBorders>
            <w:shd w:val="clear" w:color="auto" w:fill="auto"/>
            <w:vAlign w:val="center"/>
          </w:tcPr>
          <w:p w14:paraId="4B254F41">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1077" w:type="dxa"/>
            <w:vMerge w:val="continue"/>
            <w:tcBorders>
              <w:top w:val="nil"/>
              <w:left w:val="nil"/>
              <w:bottom w:val="nil"/>
              <w:right w:val="single" w:color="auto" w:sz="4" w:space="0"/>
            </w:tcBorders>
            <w:shd w:val="clear" w:color="auto" w:fill="auto"/>
            <w:vAlign w:val="center"/>
          </w:tcPr>
          <w:p w14:paraId="4733AE1A">
            <w:pPr>
              <w:keepNext w:val="0"/>
              <w:keepLines w:val="0"/>
              <w:suppressLineNumbers w:val="0"/>
              <w:spacing w:before="0" w:beforeAutospacing="0" w:after="0" w:afterAutospacing="0"/>
              <w:ind w:left="0" w:right="0"/>
              <w:rPr>
                <w:rFonts w:hint="eastAsia" w:ascii="宋体" w:hAnsi="宋体" w:eastAsia="宋体" w:cs="宋体"/>
                <w:sz w:val="20"/>
                <w:szCs w:val="20"/>
              </w:rPr>
            </w:pPr>
          </w:p>
        </w:tc>
      </w:tr>
      <w:tr w14:paraId="70D9B0D0">
        <w:tblPrEx>
          <w:tblCellMar>
            <w:top w:w="0" w:type="dxa"/>
            <w:left w:w="28" w:type="dxa"/>
            <w:bottom w:w="0" w:type="dxa"/>
            <w:right w:w="28" w:type="dxa"/>
          </w:tblCellMar>
        </w:tblPrEx>
        <w:trPr>
          <w:trHeight w:val="90" w:hRule="atLeast"/>
        </w:trPr>
        <w:tc>
          <w:tcPr>
            <w:tcW w:w="349" w:type="dxa"/>
            <w:vMerge w:val="continue"/>
            <w:tcBorders>
              <w:top w:val="nil"/>
              <w:left w:val="single" w:color="auto" w:sz="4" w:space="0"/>
              <w:bottom w:val="single" w:color="auto" w:sz="4" w:space="0"/>
              <w:right w:val="single" w:color="auto" w:sz="4" w:space="0"/>
            </w:tcBorders>
            <w:shd w:val="clear" w:color="auto" w:fill="auto"/>
            <w:vAlign w:val="center"/>
          </w:tcPr>
          <w:p w14:paraId="6CE621BB">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75" w:type="dxa"/>
            <w:vMerge w:val="continue"/>
            <w:tcBorders>
              <w:top w:val="nil"/>
              <w:left w:val="nil"/>
              <w:bottom w:val="single" w:color="auto" w:sz="4" w:space="0"/>
              <w:right w:val="single" w:color="auto" w:sz="4" w:space="0"/>
            </w:tcBorders>
            <w:shd w:val="clear" w:color="auto" w:fill="auto"/>
            <w:vAlign w:val="center"/>
          </w:tcPr>
          <w:p w14:paraId="12E5E4CF">
            <w:pPr>
              <w:keepNext w:val="0"/>
              <w:keepLines w:val="0"/>
              <w:suppressLineNumbers w:val="0"/>
              <w:spacing w:before="0" w:beforeAutospacing="0" w:after="0" w:afterAutospacing="0"/>
              <w:ind w:left="0" w:right="0"/>
              <w:rPr>
                <w:rFonts w:hint="eastAsia" w:ascii="宋体" w:hAnsi="宋体" w:eastAsia="宋体" w:cs="宋体"/>
                <w:sz w:val="20"/>
                <w:szCs w:val="20"/>
              </w:rPr>
            </w:pPr>
          </w:p>
        </w:tc>
        <w:tc>
          <w:tcPr>
            <w:tcW w:w="360" w:type="dxa"/>
            <w:tcBorders>
              <w:top w:val="nil"/>
              <w:left w:val="nil"/>
              <w:bottom w:val="single" w:color="auto" w:sz="4" w:space="0"/>
              <w:right w:val="single" w:color="auto" w:sz="4" w:space="0"/>
            </w:tcBorders>
            <w:shd w:val="clear" w:color="auto" w:fill="auto"/>
            <w:vAlign w:val="center"/>
          </w:tcPr>
          <w:p w14:paraId="748ACCC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10</w:t>
            </w:r>
          </w:p>
        </w:tc>
        <w:tc>
          <w:tcPr>
            <w:tcW w:w="3328" w:type="dxa"/>
            <w:tcBorders>
              <w:top w:val="nil"/>
              <w:left w:val="nil"/>
              <w:bottom w:val="single" w:color="auto" w:sz="4" w:space="0"/>
              <w:right w:val="single" w:color="auto" w:sz="4" w:space="0"/>
            </w:tcBorders>
            <w:shd w:val="clear" w:color="auto" w:fill="auto"/>
            <w:vAlign w:val="center"/>
          </w:tcPr>
          <w:p w14:paraId="0E686622">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lang w:bidi="ar"/>
              </w:rPr>
              <w:t>现场人员不听从管理、态度恶劣者</w:t>
            </w:r>
          </w:p>
        </w:tc>
        <w:tc>
          <w:tcPr>
            <w:tcW w:w="1146" w:type="dxa"/>
            <w:tcBorders>
              <w:top w:val="nil"/>
              <w:left w:val="nil"/>
              <w:bottom w:val="single" w:color="auto" w:sz="4" w:space="0"/>
              <w:right w:val="single" w:color="auto" w:sz="4" w:space="0"/>
            </w:tcBorders>
            <w:shd w:val="clear" w:color="auto" w:fill="auto"/>
            <w:vAlign w:val="center"/>
          </w:tcPr>
          <w:p w14:paraId="321D5A3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不便管理</w:t>
            </w:r>
          </w:p>
        </w:tc>
        <w:tc>
          <w:tcPr>
            <w:tcW w:w="1372" w:type="dxa"/>
            <w:tcBorders>
              <w:top w:val="nil"/>
              <w:left w:val="nil"/>
              <w:bottom w:val="single" w:color="auto" w:sz="4" w:space="0"/>
              <w:right w:val="single" w:color="auto" w:sz="4" w:space="0"/>
            </w:tcBorders>
            <w:shd w:val="clear" w:color="auto" w:fill="auto"/>
            <w:vAlign w:val="center"/>
          </w:tcPr>
          <w:p w14:paraId="46633ED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立即纠正</w:t>
            </w:r>
          </w:p>
        </w:tc>
        <w:tc>
          <w:tcPr>
            <w:tcW w:w="961" w:type="dxa"/>
            <w:tcBorders>
              <w:top w:val="nil"/>
              <w:left w:val="nil"/>
              <w:bottom w:val="single" w:color="auto" w:sz="4" w:space="0"/>
              <w:right w:val="single" w:color="auto" w:sz="4" w:space="0"/>
            </w:tcBorders>
            <w:shd w:val="clear" w:color="auto" w:fill="auto"/>
            <w:vAlign w:val="center"/>
          </w:tcPr>
          <w:p w14:paraId="71C9655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2000元违约金</w:t>
            </w:r>
          </w:p>
        </w:tc>
        <w:tc>
          <w:tcPr>
            <w:tcW w:w="1131" w:type="dxa"/>
            <w:tcBorders>
              <w:top w:val="nil"/>
              <w:left w:val="nil"/>
              <w:bottom w:val="single" w:color="auto" w:sz="4" w:space="0"/>
              <w:right w:val="single" w:color="auto" w:sz="4" w:space="0"/>
            </w:tcBorders>
            <w:shd w:val="clear" w:color="auto" w:fill="auto"/>
            <w:vAlign w:val="center"/>
          </w:tcPr>
          <w:p w14:paraId="70811DB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bidi="ar"/>
              </w:rPr>
              <w:t>双倍违约金</w:t>
            </w:r>
          </w:p>
        </w:tc>
        <w:tc>
          <w:tcPr>
            <w:tcW w:w="1077" w:type="dxa"/>
            <w:vMerge w:val="continue"/>
            <w:tcBorders>
              <w:top w:val="nil"/>
              <w:left w:val="nil"/>
              <w:bottom w:val="nil"/>
              <w:right w:val="single" w:color="auto" w:sz="4" w:space="0"/>
            </w:tcBorders>
            <w:shd w:val="clear" w:color="auto" w:fill="auto"/>
            <w:vAlign w:val="center"/>
          </w:tcPr>
          <w:p w14:paraId="64FCB789">
            <w:pPr>
              <w:keepNext w:val="0"/>
              <w:keepLines w:val="0"/>
              <w:suppressLineNumbers w:val="0"/>
              <w:spacing w:before="0" w:beforeAutospacing="0" w:after="0" w:afterAutospacing="0"/>
              <w:ind w:left="0" w:right="0"/>
              <w:rPr>
                <w:rFonts w:hint="eastAsia" w:ascii="宋体" w:hAnsi="宋体" w:eastAsia="宋体" w:cs="宋体"/>
                <w:sz w:val="20"/>
                <w:szCs w:val="20"/>
              </w:rPr>
            </w:pPr>
          </w:p>
        </w:tc>
      </w:tr>
    </w:tbl>
    <w:p w14:paraId="2EAB0B12">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十七、乙方违反第十六条以外类型条款的安全问题，甲方统一按1000元/类要求乙方支付违约金。</w:t>
      </w:r>
    </w:p>
    <w:p w14:paraId="45C0E6A1">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十八、乙方发生各类安全事故，严禁隐瞒不报。发生火灾、触电、重伤及重伤以上等事故，应及时组织抢救、保护好现场，并立即报告甲方安全监管部。</w:t>
      </w:r>
    </w:p>
    <w:p w14:paraId="10BB4A9E">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十九、乙方采用新工艺、新技术、新材料或者使用新设备，必须了解、掌握其安全技术特性，采取有效的安全防护措施，并对从业人员进行专门的安全生产教育和培训。</w:t>
      </w:r>
    </w:p>
    <w:p w14:paraId="41DAD0BB">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二十、乙方应严格执行本协议，如余泥产生单位或排泥水处理服务单位违约金标准高于本协议约定的，则应按余泥产生单位及排泥水处理服务单位相关条款执行。</w:t>
      </w:r>
    </w:p>
    <w:p w14:paraId="0877DA21">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二十一、对于甲方检查提出的问题点，乙方整改不及时或整改不符合甲方要求的，经甲方催告仍未落实整改的，甲方有权自行委托第三方消除乙方现场问题点，产生费用一律由乙方承担。</w:t>
      </w:r>
    </w:p>
    <w:p w14:paraId="50CA1E9B">
      <w:pPr>
        <w:keepNext w:val="0"/>
        <w:keepLines w:val="0"/>
        <w:pageBreakBefore w:val="0"/>
        <w:kinsoku/>
        <w:wordWrap/>
        <w:overflowPunct/>
        <w:topLinePunct w:val="0"/>
        <w:bidi w:val="0"/>
        <w:snapToGrid/>
        <w:spacing w:line="340" w:lineRule="atLeast"/>
        <w:ind w:firstLine="482"/>
        <w:textAlignment w:val="auto"/>
        <w:rPr>
          <w:rFonts w:hint="eastAsia" w:ascii="宋体" w:hAnsi="宋体" w:eastAsia="宋体" w:cs="宋体"/>
          <w:sz w:val="21"/>
          <w:szCs w:val="21"/>
        </w:rPr>
      </w:pPr>
      <w:r>
        <w:rPr>
          <w:rFonts w:hint="eastAsia" w:ascii="宋体" w:hAnsi="宋体" w:eastAsia="宋体" w:cs="宋体"/>
          <w:sz w:val="21"/>
          <w:szCs w:val="21"/>
          <w:lang w:bidi="ar"/>
        </w:rPr>
        <w:t>二十二、乙方一个自然年内重复出现相同安全问题的，从第三次起，除在上一次违约金基础上加倍计算违约金外，甲方有权邀请乙方公司相关负责人召开座谈会，乙方公司相关负责人必须无条件参加。</w:t>
      </w:r>
    </w:p>
    <w:p w14:paraId="16DBB391">
      <w:pPr>
        <w:keepNext w:val="0"/>
        <w:keepLines w:val="0"/>
        <w:pageBreakBefore w:val="0"/>
        <w:kinsoku/>
        <w:wordWrap/>
        <w:overflowPunct/>
        <w:topLinePunct w:val="0"/>
        <w:bidi w:val="0"/>
        <w:snapToGrid/>
        <w:spacing w:line="340" w:lineRule="atLeast"/>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lang w:bidi="ar"/>
        </w:rPr>
        <w:t>二十三、本协议一式</w:t>
      </w:r>
      <w:r>
        <w:rPr>
          <w:rFonts w:hint="eastAsia" w:ascii="宋体" w:hAnsi="宋体" w:eastAsia="宋体" w:cs="宋体"/>
          <w:sz w:val="21"/>
          <w:szCs w:val="21"/>
          <w:u w:val="single"/>
          <w:lang w:bidi="ar"/>
        </w:rPr>
        <w:t>柒</w:t>
      </w:r>
      <w:r>
        <w:rPr>
          <w:rFonts w:hint="eastAsia" w:ascii="宋体" w:hAnsi="宋体" w:eastAsia="宋体" w:cs="宋体"/>
          <w:sz w:val="21"/>
          <w:szCs w:val="21"/>
          <w:lang w:bidi="ar"/>
        </w:rPr>
        <w:t>份，甲方执</w:t>
      </w:r>
      <w:r>
        <w:rPr>
          <w:rFonts w:hint="eastAsia" w:ascii="宋体" w:hAnsi="宋体" w:eastAsia="宋体" w:cs="宋体"/>
          <w:sz w:val="21"/>
          <w:szCs w:val="21"/>
          <w:u w:val="single"/>
          <w:lang w:bidi="ar"/>
        </w:rPr>
        <w:t>伍</w:t>
      </w:r>
      <w:r>
        <w:rPr>
          <w:rFonts w:hint="eastAsia" w:ascii="宋体" w:hAnsi="宋体" w:eastAsia="宋体" w:cs="宋体"/>
          <w:sz w:val="21"/>
          <w:szCs w:val="21"/>
          <w:lang w:bidi="ar"/>
        </w:rPr>
        <w:t>份，乙方执</w:t>
      </w:r>
      <w:r>
        <w:rPr>
          <w:rFonts w:hint="eastAsia" w:ascii="宋体" w:hAnsi="宋体" w:eastAsia="宋体" w:cs="宋体"/>
          <w:sz w:val="21"/>
          <w:szCs w:val="21"/>
          <w:u w:val="single"/>
          <w:lang w:bidi="ar"/>
        </w:rPr>
        <w:t>贰</w:t>
      </w:r>
      <w:r>
        <w:rPr>
          <w:rFonts w:hint="eastAsia" w:ascii="宋体" w:hAnsi="宋体" w:eastAsia="宋体" w:cs="宋体"/>
          <w:sz w:val="21"/>
          <w:szCs w:val="21"/>
          <w:lang w:bidi="ar"/>
        </w:rPr>
        <w:t>份，自双方法定代表人或负责人签字并盖章后生效。</w:t>
      </w:r>
    </w:p>
    <w:p w14:paraId="09EE62A5">
      <w:pPr>
        <w:keepNext w:val="0"/>
        <w:keepLines w:val="0"/>
        <w:pageBreakBefore w:val="0"/>
        <w:kinsoku/>
        <w:wordWrap/>
        <w:overflowPunct/>
        <w:topLinePunct w:val="0"/>
        <w:bidi w:val="0"/>
        <w:snapToGrid/>
        <w:spacing w:line="340" w:lineRule="atLeast"/>
        <w:textAlignment w:val="auto"/>
        <w:rPr>
          <w:rFonts w:hint="eastAsia" w:ascii="宋体" w:hAnsi="宋体" w:eastAsia="宋体" w:cs="宋体"/>
        </w:rPr>
      </w:pPr>
      <w:r>
        <w:rPr>
          <w:rFonts w:hint="eastAsia" w:ascii="宋体" w:hAnsi="宋体" w:eastAsia="宋体" w:cs="宋体"/>
          <w:lang w:bidi="ar"/>
        </w:rPr>
        <w:t xml:space="preserve"> </w:t>
      </w:r>
    </w:p>
    <w:p w14:paraId="3C9DB392">
      <w:pPr>
        <w:keepNext w:val="0"/>
        <w:keepLines w:val="0"/>
        <w:pageBreakBefore w:val="0"/>
        <w:kinsoku/>
        <w:wordWrap/>
        <w:overflowPunct/>
        <w:topLinePunct w:val="0"/>
        <w:bidi w:val="0"/>
        <w:snapToGrid/>
        <w:spacing w:line="340" w:lineRule="atLeast"/>
        <w:textAlignment w:val="auto"/>
        <w:rPr>
          <w:rFonts w:hint="eastAsia" w:ascii="宋体" w:hAnsi="宋体" w:eastAsia="宋体" w:cs="宋体"/>
          <w:bCs/>
          <w:sz w:val="21"/>
          <w:szCs w:val="21"/>
        </w:rPr>
      </w:pPr>
      <w:r>
        <w:rPr>
          <w:rFonts w:hint="eastAsia" w:ascii="宋体" w:hAnsi="宋体" w:eastAsia="宋体" w:cs="宋体"/>
          <w:bCs/>
          <w:sz w:val="21"/>
          <w:szCs w:val="21"/>
          <w:lang w:bidi="ar"/>
        </w:rPr>
        <w:t>乙方声明：</w:t>
      </w:r>
    </w:p>
    <w:p w14:paraId="2B1DA23C">
      <w:pPr>
        <w:keepNext w:val="0"/>
        <w:keepLines w:val="0"/>
        <w:pageBreakBefore w:val="0"/>
        <w:kinsoku/>
        <w:wordWrap/>
        <w:overflowPunct/>
        <w:topLinePunct w:val="0"/>
        <w:autoSpaceDE/>
        <w:autoSpaceDN/>
        <w:bidi w:val="0"/>
        <w:snapToGrid/>
        <w:spacing w:line="340" w:lineRule="atLeast"/>
        <w:ind w:firstLine="420" w:firstLineChars="200"/>
        <w:textAlignment w:val="auto"/>
        <w:rPr>
          <w:rFonts w:hint="eastAsia" w:ascii="宋体" w:hAnsi="宋体" w:eastAsia="宋体" w:cs="宋体"/>
        </w:rPr>
      </w:pPr>
      <w:r>
        <w:rPr>
          <w:rFonts w:hint="eastAsia" w:ascii="宋体" w:hAnsi="宋体" w:eastAsia="宋体" w:cs="宋体"/>
          <w:bCs/>
          <w:sz w:val="21"/>
          <w:szCs w:val="21"/>
          <w:lang w:bidi="ar"/>
        </w:rPr>
        <w:t>乙方已认真阅读协议内容，对协议条款、东莞市众源环境投资有限公司供水厂余泥外运处置项目的安全管理要求、安全风险充分理解，并自愿承担因违约造成的一切后果。</w:t>
      </w:r>
    </w:p>
    <w:p w14:paraId="170922EA">
      <w:pPr>
        <w:keepNext w:val="0"/>
        <w:keepLines w:val="0"/>
        <w:pageBreakBefore w:val="0"/>
        <w:kinsoku/>
        <w:wordWrap/>
        <w:overflowPunct/>
        <w:topLinePunct w:val="0"/>
        <w:bidi w:val="0"/>
        <w:snapToGrid/>
        <w:spacing w:line="340" w:lineRule="atLeast"/>
        <w:textAlignment w:val="auto"/>
        <w:rPr>
          <w:rFonts w:hint="eastAsia" w:ascii="宋体" w:hAnsi="宋体" w:eastAsia="宋体" w:cs="宋体"/>
        </w:rPr>
      </w:pPr>
      <w:r>
        <w:rPr>
          <w:rFonts w:hint="eastAsia" w:ascii="宋体" w:hAnsi="宋体" w:eastAsia="宋体" w:cs="宋体"/>
        </w:rPr>
        <w:t xml:space="preserve"> </w:t>
      </w:r>
    </w:p>
    <w:p w14:paraId="2CD6D05D">
      <w:pPr>
        <w:keepNext w:val="0"/>
        <w:keepLines w:val="0"/>
        <w:pageBreakBefore w:val="0"/>
        <w:widowControl/>
        <w:kinsoku/>
        <w:wordWrap/>
        <w:overflowPunct/>
        <w:topLinePunct w:val="0"/>
        <w:autoSpaceDE/>
        <w:autoSpaceDN/>
        <w:bidi w:val="0"/>
        <w:adjustRightInd/>
        <w:snapToGrid/>
        <w:spacing w:line="340" w:lineRule="atLeast"/>
        <w:textAlignment w:val="auto"/>
        <w:rPr>
          <w:rFonts w:hint="eastAsia" w:ascii="宋体" w:hAnsi="宋体" w:eastAsia="宋体" w:cs="宋体"/>
        </w:rPr>
      </w:pPr>
      <w:r>
        <w:rPr>
          <w:rFonts w:hint="eastAsia" w:ascii="宋体" w:hAnsi="宋体" w:eastAsia="宋体" w:cs="宋体"/>
        </w:rPr>
        <w:t xml:space="preserve"> </w:t>
      </w:r>
    </w:p>
    <w:p w14:paraId="67640CFB">
      <w:pPr>
        <w:keepNext w:val="0"/>
        <w:keepLines w:val="0"/>
        <w:pageBreakBefore w:val="0"/>
        <w:kinsoku/>
        <w:wordWrap/>
        <w:overflowPunct/>
        <w:topLinePunct w:val="0"/>
        <w:bidi w:val="0"/>
        <w:snapToGrid/>
        <w:spacing w:line="3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甲方：东莞市众源环境投资有限公司           乙方：</w:t>
      </w:r>
    </w:p>
    <w:p w14:paraId="5EC10399">
      <w:pPr>
        <w:keepNext w:val="0"/>
        <w:keepLines w:val="0"/>
        <w:pageBreakBefore w:val="0"/>
        <w:kinsoku/>
        <w:wordWrap/>
        <w:overflowPunct/>
        <w:topLinePunct w:val="0"/>
        <w:bidi w:val="0"/>
        <w:snapToGrid/>
        <w:spacing w:line="340" w:lineRule="atLeast"/>
        <w:textAlignment w:val="auto"/>
        <w:rPr>
          <w:rFonts w:hint="eastAsia" w:ascii="宋体" w:hAnsi="宋体" w:eastAsia="宋体" w:cs="宋体"/>
          <w:sz w:val="21"/>
          <w:szCs w:val="21"/>
        </w:rPr>
      </w:pPr>
    </w:p>
    <w:p w14:paraId="5B44E321">
      <w:pPr>
        <w:keepNext w:val="0"/>
        <w:keepLines w:val="0"/>
        <w:pageBreakBefore w:val="0"/>
        <w:kinsoku/>
        <w:wordWrap/>
        <w:overflowPunct/>
        <w:topLinePunct w:val="0"/>
        <w:bidi w:val="0"/>
        <w:snapToGrid/>
        <w:spacing w:line="3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法定代表（或负责）人：                     法定代表（或负责）人：</w:t>
      </w:r>
    </w:p>
    <w:p w14:paraId="09CBFA9A">
      <w:pPr>
        <w:keepNext w:val="0"/>
        <w:keepLines w:val="0"/>
        <w:pageBreakBefore w:val="0"/>
        <w:kinsoku/>
        <w:wordWrap/>
        <w:overflowPunct/>
        <w:topLinePunct w:val="0"/>
        <w:bidi w:val="0"/>
        <w:snapToGrid/>
        <w:spacing w:line="340" w:lineRule="atLeas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14:paraId="7F6E0839">
      <w:pPr>
        <w:keepNext w:val="0"/>
        <w:keepLines w:val="0"/>
        <w:pageBreakBefore w:val="0"/>
        <w:kinsoku/>
        <w:wordWrap/>
        <w:overflowPunct/>
        <w:topLinePunct w:val="0"/>
        <w:bidi w:val="0"/>
        <w:snapToGrid/>
        <w:spacing w:line="3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签订日期：    年  月  日    </w:t>
      </w:r>
    </w:p>
    <w:p w14:paraId="2BB18993">
      <w:pPr>
        <w:pageBreakBefore/>
        <w:autoSpaceDE/>
        <w:autoSpaceDN/>
        <w:adjustRightInd/>
        <w:spacing w:before="120" w:beforeLines="50" w:after="120" w:afterLines="50" w:line="360" w:lineRule="auto"/>
        <w:jc w:val="center"/>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第五篇 相关保函格式</w:t>
      </w:r>
      <w:bookmarkEnd w:id="681"/>
      <w:bookmarkStart w:id="696" w:name="_Toc26521_WPSOffice_Level2"/>
      <w:bookmarkStart w:id="697" w:name="_Toc447044480"/>
      <w:bookmarkStart w:id="698" w:name="_Toc447044604"/>
      <w:bookmarkStart w:id="699" w:name="_Toc447045091"/>
    </w:p>
    <w:p w14:paraId="3B864275">
      <w:pPr>
        <w:numPr>
          <w:ilvl w:val="0"/>
          <w:numId w:val="2"/>
        </w:numPr>
        <w:autoSpaceDE w:val="0"/>
        <w:autoSpaceDN w:val="0"/>
        <w:adjustRightInd w:val="0"/>
        <w:spacing w:after="0" w:afterLines="-2147483648" w:line="360" w:lineRule="auto"/>
        <w:jc w:val="left"/>
        <w:rPr>
          <w:rFonts w:hint="eastAsia" w:ascii="宋体" w:hAnsi="宋体" w:eastAsia="宋体" w:cs="宋体"/>
          <w:b w:val="0"/>
          <w:color w:val="000000" w:themeColor="text1"/>
          <w:kern w:val="0"/>
          <w:sz w:val="21"/>
          <w:szCs w:val="21"/>
          <w:highlight w:val="none"/>
          <w14:textFill>
            <w14:solidFill>
              <w14:schemeClr w14:val="tx1"/>
            </w14:solidFill>
          </w14:textFill>
        </w:rPr>
      </w:pPr>
      <w:r>
        <w:rPr>
          <w:rFonts w:hint="eastAsia" w:ascii="宋体" w:hAnsi="宋体" w:eastAsia="宋体" w:cs="宋体"/>
          <w:b w:val="0"/>
          <w:color w:val="000000" w:themeColor="text1"/>
          <w:kern w:val="0"/>
          <w:sz w:val="21"/>
          <w:szCs w:val="21"/>
          <w:highlight w:val="none"/>
          <w14:textFill>
            <w14:solidFill>
              <w14:schemeClr w14:val="tx1"/>
            </w14:solidFill>
          </w14:textFill>
        </w:rPr>
        <w:t>不可撤销银行履约保函格式</w:t>
      </w:r>
      <w:bookmarkEnd w:id="696"/>
      <w:bookmarkEnd w:id="697"/>
      <w:bookmarkEnd w:id="698"/>
      <w:bookmarkEnd w:id="699"/>
    </w:p>
    <w:p w14:paraId="4075DEED">
      <w:pPr>
        <w:numPr>
          <w:ilvl w:val="-1"/>
          <w:numId w:val="0"/>
        </w:numPr>
        <w:autoSpaceDE w:val="0"/>
        <w:autoSpaceDN w:val="0"/>
        <w:adjustRightInd w:val="0"/>
        <w:spacing w:after="0" w:afterLines="-2147483648" w:line="240" w:lineRule="auto"/>
        <w:jc w:val="center"/>
        <w:rPr>
          <w:rFonts w:hint="eastAsia"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val="0"/>
          <w:color w:val="000000" w:themeColor="text1"/>
          <w:kern w:val="0"/>
          <w:sz w:val="30"/>
          <w:szCs w:val="30"/>
          <w:highlight w:val="none"/>
          <w:lang w:val="zh-CN"/>
          <w14:textFill>
            <w14:solidFill>
              <w14:schemeClr w14:val="tx1"/>
            </w14:solidFill>
          </w14:textFill>
        </w:rPr>
        <w:t>不可撤销银行履约保函</w:t>
      </w:r>
    </w:p>
    <w:p w14:paraId="65FE8860">
      <w:pPr>
        <w:widowControl w:val="0"/>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4EB149C">
      <w:pPr>
        <w:widowControl/>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（下称“受益人”）</w:t>
      </w:r>
    </w:p>
    <w:p w14:paraId="28248737">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鉴于</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 w:val="21"/>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 w:val="21"/>
          <w:szCs w:val="21"/>
          <w:highlight w:val="none"/>
          <w14:textFill>
            <w14:solidFill>
              <w14:schemeClr w14:val="tx1"/>
            </w14:solidFill>
          </w14:textFill>
        </w:rPr>
        <w:t>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14:textFill>
            <w14:solidFill>
              <w14:schemeClr w14:val="tx1"/>
            </w14:solidFill>
          </w14:textFill>
        </w:rPr>
        <w:t>）中规定的义务履行合同。</w:t>
      </w:r>
    </w:p>
    <w:p w14:paraId="7988D330">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根据上述合同（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14:textFill>
            <w14:solidFill>
              <w14:schemeClr w14:val="tx1"/>
            </w14:solidFill>
          </w14:textFill>
        </w:rPr>
        <w:t>）规定，申请人应向受益人提供一份金额为人民币（大写）</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 w:val="21"/>
          <w:szCs w:val="21"/>
          <w:highlight w:val="none"/>
          <w14:textFill>
            <w14:solidFill>
              <w14:schemeClr w14:val="tx1"/>
            </w14:solidFill>
          </w14:textFill>
        </w:rPr>
        <w:t>的无条件、不可撤销银行履约保函，作为申请人履行上述合同的担保。</w:t>
      </w:r>
    </w:p>
    <w:p w14:paraId="6225F7DE">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 w:val="21"/>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928AC9D">
      <w:pPr>
        <w:widowControl/>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在向我行提出要求前，我行将不坚持要求受益人首先向申请人提出上述款项的索赔。</w:t>
      </w:r>
    </w:p>
    <w:p w14:paraId="4E922F92">
      <w:pPr>
        <w:widowControl/>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6AE57299">
      <w:pPr>
        <w:widowControl/>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本保函应自合同签订之日起至合同期限届满并完成合同的全部服务义务，受益人向申请人支付全部款项后二十八（28）日内保持有效。</w:t>
      </w:r>
    </w:p>
    <w:p w14:paraId="275E0C2A">
      <w:pPr>
        <w:widowControl/>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7DD4675">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担 保 银 行：</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银行全称          (盖章)   </w:t>
      </w:r>
    </w:p>
    <w:p w14:paraId="6AAF17CB">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290681CC">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3AF5D312">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法定代表人或其授权的代表人：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(职务)         </w:t>
      </w:r>
    </w:p>
    <w:p w14:paraId="68E9925C">
      <w:pPr>
        <w:widowControl/>
        <w:autoSpaceDE w:val="0"/>
        <w:autoSpaceDN w:val="0"/>
        <w:adjustRightInd w:val="0"/>
        <w:spacing w:line="360" w:lineRule="auto"/>
        <w:ind w:firstLine="5502" w:firstLineChars="262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(姓名)         </w:t>
      </w:r>
    </w:p>
    <w:p w14:paraId="7B904400">
      <w:pPr>
        <w:widowControl/>
        <w:autoSpaceDE w:val="0"/>
        <w:autoSpaceDN w:val="0"/>
        <w:adjustRightInd w:val="0"/>
        <w:spacing w:line="360" w:lineRule="auto"/>
        <w:ind w:firstLine="5502" w:firstLineChars="262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(签章)         </w:t>
      </w:r>
    </w:p>
    <w:p w14:paraId="3701FB83">
      <w:pPr>
        <w:autoSpaceDE w:val="0"/>
        <w:autoSpaceDN w:val="0"/>
        <w:adjustRightInd w:val="0"/>
        <w:spacing w:line="360" w:lineRule="auto"/>
        <w:ind w:left="84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1EA6490C">
      <w:pPr>
        <w:widowControl w:val="0"/>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594A380">
      <w:pPr>
        <w:autoSpaceDE w:val="0"/>
        <w:autoSpaceDN w:val="0"/>
        <w:adjustRightInd w:val="0"/>
        <w:spacing w:line="360" w:lineRule="auto"/>
        <w:ind w:right="0" w:rightChars="0"/>
        <w:jc w:val="left"/>
        <w:rPr>
          <w:rFonts w:hint="eastAsia" w:ascii="宋体" w:hAnsi="宋体" w:eastAsia="宋体" w:cs="宋体"/>
          <w:color w:val="000000" w:themeColor="text1"/>
          <w:kern w:val="0"/>
          <w:sz w:val="21"/>
          <w:szCs w:val="21"/>
          <w:highlight w:val="none"/>
          <w14:textFill>
            <w14:solidFill>
              <w14:schemeClr w14:val="tx1"/>
            </w14:solidFill>
          </w14:textFill>
        </w:rPr>
        <w:sectPr>
          <w:headerReference r:id="rId6" w:type="first"/>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p>
    <w:p w14:paraId="7C2F297A">
      <w:pPr>
        <w:autoSpaceDE/>
        <w:autoSpaceDN/>
        <w:adjustRightInd/>
        <w:spacing w:line="360" w:lineRule="auto"/>
        <w:jc w:val="left"/>
        <w:rPr>
          <w:rFonts w:hint="eastAsia" w:ascii="宋体" w:hAnsi="宋体" w:eastAsia="宋体" w:cs="宋体"/>
          <w:b w:val="0"/>
          <w:color w:val="000000" w:themeColor="text1"/>
          <w:kern w:val="0"/>
          <w:sz w:val="21"/>
          <w:szCs w:val="21"/>
          <w:highlight w:val="none"/>
          <w14:textFill>
            <w14:solidFill>
              <w14:schemeClr w14:val="tx1"/>
            </w14:solidFill>
          </w14:textFill>
        </w:rPr>
      </w:pPr>
      <w:r>
        <w:rPr>
          <w:rFonts w:hint="eastAsia" w:ascii="宋体" w:hAnsi="宋体" w:eastAsia="宋体" w:cs="宋体"/>
          <w:b w:val="0"/>
          <w:color w:val="000000" w:themeColor="text1"/>
          <w:kern w:val="0"/>
          <w:sz w:val="21"/>
          <w:szCs w:val="21"/>
          <w:highlight w:val="none"/>
          <w14:textFill>
            <w14:solidFill>
              <w14:schemeClr w14:val="tx1"/>
            </w14:solidFill>
          </w14:textFill>
        </w:rPr>
        <w:t>二、履约保证保险凭证格式</w:t>
      </w:r>
    </w:p>
    <w:p w14:paraId="6285C02D">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履约保证保险凭证</w:t>
      </w:r>
    </w:p>
    <w:p w14:paraId="26C47F5E">
      <w:pPr>
        <w:keepNext w:val="0"/>
        <w:keepLines w:val="0"/>
        <w:pageBreakBefore w:val="0"/>
        <w:widowControl w:val="0"/>
        <w:kinsoku/>
        <w:wordWrap w:val="0"/>
        <w:overflowPunct/>
        <w:topLinePunct w:val="0"/>
        <w:autoSpaceDE w:val="0"/>
        <w:autoSpaceDN w:val="0"/>
        <w:bidi w:val="0"/>
        <w:adjustRightInd w:val="0"/>
        <w:snapToGrid/>
        <w:spacing w:line="440" w:lineRule="exact"/>
        <w:ind w:firstLine="437"/>
        <w:jc w:val="righ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编号：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526F68A7">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（下称“受益人”）： </w:t>
      </w:r>
    </w:p>
    <w:p w14:paraId="43081A16">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8988201">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鉴于</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（下称“申请人”）已与贵方签订了</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项目</w:t>
      </w:r>
      <w:r>
        <w:rPr>
          <w:rFonts w:hint="eastAsia" w:ascii="宋体" w:hAnsi="宋体" w:eastAsia="宋体" w:cs="宋体"/>
          <w:color w:val="000000" w:themeColor="text1"/>
          <w:kern w:val="0"/>
          <w:sz w:val="21"/>
          <w:szCs w:val="21"/>
          <w:highlight w:val="none"/>
          <w14:textFill>
            <w14:solidFill>
              <w14:schemeClr w14:val="tx1"/>
            </w14:solidFill>
          </w14:textFill>
        </w:rPr>
        <w:t xml:space="preserve">合同。我方已接受申请人的请求，并出具《履约保证保险》保险单。 </w:t>
      </w:r>
    </w:p>
    <w:p w14:paraId="5E831A2B">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一、保证保险金额 </w:t>
      </w:r>
    </w:p>
    <w:p w14:paraId="18BC4B4E">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元 （¥</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 </w:t>
      </w:r>
    </w:p>
    <w:p w14:paraId="4658FA60">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二、保证保险的责任范围 </w:t>
      </w:r>
    </w:p>
    <w:p w14:paraId="0DD7458D">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在保险期间内，申请人因自身原因未按照与贵方签订的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项目</w:t>
      </w:r>
      <w:r>
        <w:rPr>
          <w:rFonts w:hint="eastAsia" w:ascii="宋体" w:hAnsi="宋体" w:eastAsia="宋体" w:cs="宋体"/>
          <w:color w:val="000000" w:themeColor="text1"/>
          <w:kern w:val="0"/>
          <w:sz w:val="21"/>
          <w:szCs w:val="21"/>
          <w:highlight w:val="none"/>
          <w14:textFill>
            <w14:solidFill>
              <w14:schemeClr w14:val="tx1"/>
            </w14:solidFill>
          </w14:textFill>
        </w:rPr>
        <w:t xml:space="preserve">合同履行相关义务，给贵方造成损失的，贵方可向我方提出索赔，我方按照保险合同的约定承担损失赔偿责任。 </w:t>
      </w:r>
    </w:p>
    <w:p w14:paraId="7498EE9D">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三、代偿的安排 </w:t>
      </w:r>
    </w:p>
    <w:p w14:paraId="2A4A9E7F">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36EF4AC">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四、生效时间 </w:t>
      </w:r>
    </w:p>
    <w:p w14:paraId="09FA4FA0">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本保险凭证自我方法定代表人（或其授权代理人）签字并加盖保险承保章之日起生效。 </w:t>
      </w:r>
    </w:p>
    <w:p w14:paraId="09AA726D">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五、其他</w:t>
      </w:r>
    </w:p>
    <w:p w14:paraId="31861FDD">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本履约保证保险应自合同签订之日起至合同期限届满并完成合同的全部服务义务，受益人向申请人支付全部款项后二十八（28）日内保持有效。</w:t>
      </w:r>
    </w:p>
    <w:p w14:paraId="148C4969">
      <w:pPr>
        <w:keepNext w:val="0"/>
        <w:keepLines w:val="0"/>
        <w:pageBreakBefore w:val="0"/>
        <w:widowControl w:val="0"/>
        <w:kinsoku/>
        <w:wordWrap/>
        <w:overflowPunct/>
        <w:topLinePunct w:val="0"/>
        <w:autoSpaceDE w:val="0"/>
        <w:autoSpaceDN w:val="0"/>
        <w:bidi w:val="0"/>
        <w:adjustRightInd w:val="0"/>
        <w:snapToGrid/>
        <w:spacing w:line="440" w:lineRule="exac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305A7159">
      <w:pPr>
        <w:keepNext w:val="0"/>
        <w:keepLines w:val="0"/>
        <w:pageBreakBefore w:val="0"/>
        <w:widowControl w:val="0"/>
        <w:kinsoku/>
        <w:overflowPunct/>
        <w:topLinePunct w:val="0"/>
        <w:autoSpaceDE w:val="0"/>
        <w:autoSpaceDN w:val="0"/>
        <w:bidi w:val="0"/>
        <w:adjustRightInd w:val="0"/>
        <w:snapToGrid/>
        <w:spacing w:line="440" w:lineRule="exact"/>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附：《XXX 保险有限公司履约保证保险（X 款）条款》及保单 </w:t>
      </w:r>
    </w:p>
    <w:p w14:paraId="1CACA88C">
      <w:pPr>
        <w:keepNext w:val="0"/>
        <w:keepLines w:val="0"/>
        <w:pageBreakBefore w:val="0"/>
        <w:widowControl w:val="0"/>
        <w:kinsoku/>
        <w:overflowPunct/>
        <w:topLinePunct w:val="0"/>
        <w:autoSpaceDE w:val="0"/>
        <w:autoSpaceDN w:val="0"/>
        <w:bidi w:val="0"/>
        <w:adjustRightInd w:val="0"/>
        <w:snapToGrid/>
        <w:spacing w:line="440" w:lineRule="exact"/>
        <w:ind w:firstLine="437"/>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6FD34F45">
      <w:pPr>
        <w:keepNext w:val="0"/>
        <w:keepLines w:val="0"/>
        <w:pageBreakBefore w:val="0"/>
        <w:widowControl w:val="0"/>
        <w:kinsoku/>
        <w:overflowPunct/>
        <w:topLinePunct w:val="0"/>
        <w:autoSpaceDE w:val="0"/>
        <w:autoSpaceDN w:val="0"/>
        <w:bidi w:val="0"/>
        <w:adjustRightInd w:val="0"/>
        <w:snapToGrid/>
        <w:spacing w:line="440" w:lineRule="exact"/>
        <w:ind w:firstLine="437"/>
        <w:jc w:val="center"/>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保险人：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（盖章）        </w:t>
      </w:r>
    </w:p>
    <w:p w14:paraId="10477469">
      <w:pPr>
        <w:keepNext w:val="0"/>
        <w:keepLines w:val="0"/>
        <w:pageBreakBefore w:val="0"/>
        <w:widowControl w:val="0"/>
        <w:kinsoku/>
        <w:overflowPunct/>
        <w:topLinePunct w:val="0"/>
        <w:autoSpaceDE w:val="0"/>
        <w:autoSpaceDN w:val="0"/>
        <w:bidi w:val="0"/>
        <w:adjustRightInd w:val="0"/>
        <w:snapToGrid/>
        <w:spacing w:line="440" w:lineRule="exact"/>
        <w:ind w:firstLine="437"/>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联系电话</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3D948889">
      <w:pPr>
        <w:keepNext w:val="0"/>
        <w:keepLines w:val="0"/>
        <w:pageBreakBefore w:val="0"/>
        <w:widowControl w:val="0"/>
        <w:kinsoku/>
        <w:overflowPunct/>
        <w:topLinePunct w:val="0"/>
        <w:autoSpaceDE w:val="0"/>
        <w:autoSpaceDN w:val="0"/>
        <w:bidi w:val="0"/>
        <w:adjustRightInd w:val="0"/>
        <w:snapToGrid/>
        <w:spacing w:line="440" w:lineRule="exact"/>
        <w:ind w:firstLine="437"/>
        <w:jc w:val="center"/>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联系人：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2475D83F">
      <w:pPr>
        <w:keepNext w:val="0"/>
        <w:keepLines w:val="0"/>
        <w:pageBreakBefore w:val="0"/>
        <w:widowControl w:val="0"/>
        <w:kinsoku/>
        <w:overflowPunct/>
        <w:topLinePunct w:val="0"/>
        <w:autoSpaceDE w:val="0"/>
        <w:autoSpaceDN w:val="0"/>
        <w:bidi w:val="0"/>
        <w:adjustRightInd w:val="0"/>
        <w:snapToGrid/>
        <w:spacing w:line="440" w:lineRule="exact"/>
        <w:ind w:right="-240" w:rightChars="-100" w:firstLine="0"/>
        <w:jc w:val="center"/>
        <w:textAlignment w:val="auto"/>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法定代表人或授权代理人：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7E4CEA32">
      <w:pPr>
        <w:keepNext w:val="0"/>
        <w:keepLines w:val="0"/>
        <w:pageBreakBefore w:val="0"/>
        <w:widowControl w:val="0"/>
        <w:kinsoku/>
        <w:wordWrap w:val="0"/>
        <w:overflowPunct/>
        <w:topLinePunct w:val="0"/>
        <w:autoSpaceDE w:val="0"/>
        <w:autoSpaceDN w:val="0"/>
        <w:bidi w:val="0"/>
        <w:adjustRightInd w:val="0"/>
        <w:snapToGrid/>
        <w:spacing w:line="440" w:lineRule="exact"/>
        <w:ind w:firstLine="0"/>
        <w:jc w:val="righ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月 </w:t>
      </w:r>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437467E3">
      <w:pPr>
        <w:keepNext w:val="0"/>
        <w:keepLines w:val="0"/>
        <w:pageBreakBefore/>
        <w:widowControl w:val="0"/>
        <w:kinsoku/>
        <w:wordWrap/>
        <w:overflowPunct/>
        <w:topLinePunct w:val="0"/>
        <w:autoSpaceDE w:val="0"/>
        <w:autoSpaceDN w:val="0"/>
        <w:bidi w:val="0"/>
        <w:adjustRightInd w:val="0"/>
        <w:snapToGrid/>
        <w:spacing w:after="100" w:afterLines="-2147483648" w:afterAutospacing="1" w:line="360" w:lineRule="auto"/>
        <w:jc w:val="left"/>
        <w:textAlignment w:val="auto"/>
        <w:rPr>
          <w:rFonts w:hint="eastAsia" w:ascii="宋体" w:hAnsi="宋体" w:eastAsia="宋体" w:cs="宋体"/>
          <w:b w:val="0"/>
          <w:color w:val="000000" w:themeColor="text1"/>
          <w:kern w:val="0"/>
          <w:sz w:val="21"/>
          <w:szCs w:val="21"/>
          <w:highlight w:val="none"/>
          <w14:textFill>
            <w14:solidFill>
              <w14:schemeClr w14:val="tx1"/>
            </w14:solidFill>
          </w14:textFill>
        </w:rPr>
      </w:pPr>
      <w:r>
        <w:rPr>
          <w:rFonts w:hint="eastAsia" w:ascii="宋体" w:hAnsi="宋体" w:eastAsia="宋体" w:cs="宋体"/>
          <w:b w:val="0"/>
          <w:color w:val="000000" w:themeColor="text1"/>
          <w:kern w:val="0"/>
          <w:sz w:val="21"/>
          <w:szCs w:val="21"/>
          <w:highlight w:val="none"/>
          <w14:textFill>
            <w14:solidFill>
              <w14:schemeClr w14:val="tx1"/>
            </w14:solidFill>
          </w14:textFill>
        </w:rPr>
        <w:t>三、担保公司履约担保书格式</w:t>
      </w:r>
    </w:p>
    <w:p w14:paraId="0FA39181">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担保公司履约担保书</w:t>
      </w:r>
    </w:p>
    <w:p w14:paraId="21D92BF0">
      <w:pPr>
        <w:widowControl/>
        <w:autoSpaceDE w:val="0"/>
        <w:autoSpaceDN w:val="0"/>
        <w:adjustRightInd w:val="0"/>
        <w:spacing w:before="100" w:beforeAutospacing="1" w:after="100" w:afterAutospacing="1"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（下称“受益人”）</w:t>
      </w:r>
    </w:p>
    <w:p w14:paraId="7D5D619B">
      <w:pPr>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鉴于</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 w:val="21"/>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项目</w:t>
      </w:r>
      <w:r>
        <w:rPr>
          <w:rFonts w:hint="eastAsia" w:ascii="宋体" w:hAnsi="宋体" w:eastAsia="宋体" w:cs="宋体"/>
          <w:color w:val="000000" w:themeColor="text1"/>
          <w:kern w:val="0"/>
          <w:sz w:val="21"/>
          <w:szCs w:val="21"/>
          <w:highlight w:val="none"/>
          <w14:textFill>
            <w14:solidFill>
              <w14:schemeClr w14:val="tx1"/>
            </w14:solidFill>
          </w14:textFill>
        </w:rPr>
        <w:t>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14:textFill>
            <w14:solidFill>
              <w14:schemeClr w14:val="tx1"/>
            </w14:solidFill>
          </w14:textFill>
        </w:rPr>
        <w:t>）中规定的义务履行合同。</w:t>
      </w:r>
    </w:p>
    <w:p w14:paraId="40710B89">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根据上述合同（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分配方案</w:t>
      </w:r>
      <w:r>
        <w:rPr>
          <w:rFonts w:hint="eastAsia" w:ascii="宋体" w:hAnsi="宋体" w:eastAsia="宋体" w:cs="宋体"/>
          <w:color w:val="000000" w:themeColor="text1"/>
          <w:kern w:val="0"/>
          <w:sz w:val="21"/>
          <w:szCs w:val="21"/>
          <w:highlight w:val="none"/>
          <w14:textFill>
            <w14:solidFill>
              <w14:schemeClr w14:val="tx1"/>
            </w14:solidFill>
          </w14:textFill>
        </w:rPr>
        <w:t>）规定，申请人应向受益人提供一份金额为人民币（大写）</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 w:val="21"/>
          <w:szCs w:val="21"/>
          <w:highlight w:val="none"/>
          <w14:textFill>
            <w14:solidFill>
              <w14:schemeClr w14:val="tx1"/>
            </w14:solidFill>
          </w14:textFill>
        </w:rPr>
        <w:t>的无条件、</w:t>
      </w:r>
      <w:r>
        <w:rPr>
          <w:rFonts w:hint="eastAsia" w:ascii="宋体" w:hAnsi="宋体" w:eastAsia="宋体" w:cs="宋体"/>
          <w:bCs/>
          <w:color w:val="000000" w:themeColor="text1"/>
          <w:kern w:val="0"/>
          <w:sz w:val="21"/>
          <w:szCs w:val="21"/>
          <w:highlight w:val="none"/>
          <w14:textFill>
            <w14:solidFill>
              <w14:schemeClr w14:val="tx1"/>
            </w14:solidFill>
          </w14:textFill>
        </w:rPr>
        <w:t>不可撤销</w:t>
      </w:r>
      <w:r>
        <w:rPr>
          <w:rFonts w:hint="eastAsia" w:ascii="宋体" w:hAnsi="宋体" w:eastAsia="宋体" w:cs="宋体"/>
          <w:color w:val="000000" w:themeColor="text1"/>
          <w:kern w:val="0"/>
          <w:sz w:val="21"/>
          <w:szCs w:val="21"/>
          <w:highlight w:val="none"/>
          <w14:textFill>
            <w14:solidFill>
              <w14:schemeClr w14:val="tx1"/>
            </w14:solidFill>
          </w14:textFill>
        </w:rPr>
        <w:t>履约担保，作为申请人履行上述合同的担保，</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我方</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 w:val="21"/>
          <w:szCs w:val="21"/>
          <w:highlight w:val="none"/>
          <w14:textFill>
            <w14:solidFill>
              <w14:schemeClr w14:val="tx1"/>
            </w14:solidFill>
          </w14:textFill>
        </w:rPr>
        <w:t>在</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293002A">
      <w:pPr>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 w:val="21"/>
          <w:szCs w:val="21"/>
          <w:highlight w:val="none"/>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58B52754">
      <w:pPr>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5C870BC1">
      <w:pPr>
        <w:autoSpaceDE w:val="0"/>
        <w:autoSpaceDN w:val="0"/>
        <w:adjustRightInd w:val="0"/>
        <w:spacing w:line="360" w:lineRule="auto"/>
        <w:ind w:firstLine="43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本保函应自合同签订之日起至合同期限届满并完成合同的全部服务义务，受益人向申请人支付全部款项后二十八（28）日内保持有效。</w:t>
      </w:r>
    </w:p>
    <w:p w14:paraId="0105F65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08C70F13">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法定代表人或其授权的代理人：（签字或盖私章）</w:t>
      </w:r>
    </w:p>
    <w:p w14:paraId="252AE00F">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担保公司盖章：</w:t>
      </w:r>
    </w:p>
    <w:p w14:paraId="7D83A115">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w:t>
      </w:r>
    </w:p>
    <w:p w14:paraId="15B766C4">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p>
    <w:p w14:paraId="4C432A60">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日期：    年   月   日</w:t>
      </w:r>
    </w:p>
    <w:p w14:paraId="5DBC2F48">
      <w:pPr>
        <w:pStyle w:val="4"/>
        <w:pageBreakBefore w:val="0"/>
        <w:tabs>
          <w:tab w:val="left" w:pos="1080"/>
        </w:tabs>
        <w:spacing w:line="360" w:lineRule="auto"/>
        <w:ind w:left="0" w:firstLine="0"/>
        <w:jc w:val="center"/>
        <w:rPr>
          <w:rFonts w:hint="eastAsia" w:ascii="宋体" w:hAnsi="宋体" w:eastAsia="宋体" w:cs="宋体"/>
          <w:b/>
          <w:bCs/>
          <w:color w:val="000000" w:themeColor="text1"/>
          <w:kern w:val="44"/>
          <w:sz w:val="32"/>
          <w:szCs w:val="32"/>
          <w:highlight w:val="none"/>
          <w:lang w:val="zh-CN"/>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br w:type="page"/>
      </w:r>
      <w:bookmarkStart w:id="700" w:name="_Toc7755"/>
      <w:bookmarkStart w:id="701" w:name="_Toc17740"/>
      <w:bookmarkStart w:id="702" w:name="_Toc3205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章 申请文件格式</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700"/>
      <w:bookmarkEnd w:id="701"/>
      <w:bookmarkEnd w:id="702"/>
    </w:p>
    <w:p w14:paraId="7AB3F1D3">
      <w:pPr>
        <w:rPr>
          <w:rFonts w:hint="eastAsia" w:ascii="宋体" w:hAnsi="宋体" w:eastAsia="宋体" w:cs="宋体"/>
          <w:b/>
          <w:color w:val="000000" w:themeColor="text1"/>
          <w:sz w:val="32"/>
          <w:szCs w:val="32"/>
          <w:highlight w:val="none"/>
          <w:lang w:val="zh-CN"/>
          <w14:textFill>
            <w14:solidFill>
              <w14:schemeClr w14:val="tx1"/>
            </w14:solidFill>
          </w14:textFill>
        </w:rPr>
      </w:pPr>
      <w:bookmarkStart w:id="703" w:name="_Toc19008822"/>
      <w:bookmarkStart w:id="704" w:name="_Toc495907130"/>
      <w:bookmarkStart w:id="705" w:name="_Toc19606"/>
      <w:bookmarkStart w:id="706" w:name="_Toc5135"/>
      <w:bookmarkStart w:id="707" w:name="_Toc490169461"/>
      <w:bookmarkStart w:id="708" w:name="_Toc29211"/>
      <w:bookmarkStart w:id="709" w:name="_Toc46985647"/>
      <w:bookmarkStart w:id="710" w:name="_Toc1123949"/>
      <w:bookmarkStart w:id="711" w:name="_Toc497746558"/>
      <w:bookmarkStart w:id="712" w:name="_Toc5098067"/>
      <w:bookmarkStart w:id="713" w:name="_Toc24320"/>
      <w:bookmarkStart w:id="714" w:name="_Toc521918114"/>
      <w:r>
        <w:rPr>
          <w:rFonts w:hint="eastAsia" w:ascii="宋体" w:hAnsi="宋体" w:eastAsia="宋体" w:cs="宋体"/>
          <w:b/>
          <w:color w:val="000000" w:themeColor="text1"/>
          <w:sz w:val="32"/>
          <w:szCs w:val="32"/>
          <w:highlight w:val="none"/>
          <w:lang w:val="zh-CN"/>
          <w14:textFill>
            <w14:solidFill>
              <w14:schemeClr w14:val="tx1"/>
            </w14:solidFill>
          </w14:textFill>
        </w:rPr>
        <w:t xml:space="preserve"> </w:t>
      </w:r>
    </w:p>
    <w:bookmarkEnd w:id="703"/>
    <w:bookmarkEnd w:id="704"/>
    <w:bookmarkEnd w:id="705"/>
    <w:bookmarkEnd w:id="706"/>
    <w:bookmarkEnd w:id="707"/>
    <w:bookmarkEnd w:id="708"/>
    <w:bookmarkEnd w:id="709"/>
    <w:bookmarkEnd w:id="710"/>
    <w:bookmarkEnd w:id="711"/>
    <w:bookmarkEnd w:id="712"/>
    <w:bookmarkEnd w:id="713"/>
    <w:bookmarkEnd w:id="714"/>
    <w:p w14:paraId="0556792C">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p>
    <w:p w14:paraId="2E9D6D9C">
      <w:pPr>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东莞市众源环境投资有限公司</w:t>
      </w:r>
      <w:r>
        <w:rPr>
          <w:rFonts w:hint="eastAsia" w:ascii="宋体" w:hAnsi="宋体" w:eastAsia="宋体" w:cs="宋体"/>
          <w:b/>
          <w:color w:val="000000" w:themeColor="text1"/>
          <w:sz w:val="44"/>
          <w:szCs w:val="44"/>
          <w:highlight w:val="none"/>
          <w:lang w:val="en-US" w:eastAsia="zh-CN"/>
          <w14:textFill>
            <w14:solidFill>
              <w14:schemeClr w14:val="tx1"/>
            </w14:solidFill>
          </w14:textFill>
        </w:rPr>
        <w:t>12家等供水厂</w:t>
      </w:r>
    </w:p>
    <w:p w14:paraId="05FC7D67">
      <w:pPr>
        <w:spacing w:line="360" w:lineRule="auto"/>
        <w:jc w:val="center"/>
        <w:rPr>
          <w:rFonts w:hint="default" w:ascii="宋体" w:hAnsi="宋体" w:eastAsia="宋体" w:cs="宋体"/>
          <w:b/>
          <w:color w:val="000000" w:themeColor="text1"/>
          <w:sz w:val="44"/>
          <w:szCs w:val="44"/>
          <w:highlight w:val="none"/>
          <w:lang w:val="en-US"/>
          <w14:textFill>
            <w14:solidFill>
              <w14:schemeClr w14:val="tx1"/>
            </w14:solidFill>
          </w14:textFill>
        </w:rPr>
      </w:pPr>
      <w:bookmarkStart w:id="741" w:name="_GoBack"/>
      <w:bookmarkEnd w:id="741"/>
      <w:r>
        <w:rPr>
          <w:rFonts w:hint="eastAsia" w:ascii="宋体" w:hAnsi="宋体" w:eastAsia="宋体" w:cs="宋体"/>
          <w:b/>
          <w:bCs w:val="0"/>
          <w:color w:val="000000" w:themeColor="text1"/>
          <w:kern w:val="0"/>
          <w:sz w:val="44"/>
          <w:szCs w:val="44"/>
          <w:highlight w:val="none"/>
          <w:lang w:val="en-US" w:eastAsia="zh-CN"/>
          <w14:textFill>
            <w14:solidFill>
              <w14:schemeClr w14:val="tx1"/>
            </w14:solidFill>
          </w14:textFill>
        </w:rPr>
        <w:t>余泥</w:t>
      </w:r>
      <w:r>
        <w:rPr>
          <w:rFonts w:hint="eastAsia" w:hAnsi="宋体" w:cs="宋体"/>
          <w:b/>
          <w:bCs w:val="0"/>
          <w:color w:val="000000" w:themeColor="text1"/>
          <w:kern w:val="0"/>
          <w:sz w:val="44"/>
          <w:szCs w:val="44"/>
          <w:highlight w:val="none"/>
          <w:lang w:val="en-US" w:eastAsia="zh-CN"/>
          <w14:textFill>
            <w14:solidFill>
              <w14:schemeClr w14:val="tx1"/>
            </w14:solidFill>
          </w14:textFill>
        </w:rPr>
        <w:t>外运处置项目</w:t>
      </w:r>
    </w:p>
    <w:p w14:paraId="4FFAE612">
      <w:pPr>
        <w:pStyle w:val="23"/>
        <w:rPr>
          <w:rFonts w:hint="eastAsia" w:ascii="宋体" w:hAnsi="宋体" w:eastAsia="宋体" w:cs="宋体"/>
          <w:b/>
          <w:color w:val="000000" w:themeColor="text1"/>
          <w:sz w:val="44"/>
          <w:szCs w:val="44"/>
          <w:highlight w:val="none"/>
          <w14:textFill>
            <w14:solidFill>
              <w14:schemeClr w14:val="tx1"/>
            </w14:solidFill>
          </w14:textFill>
        </w:rPr>
      </w:pPr>
    </w:p>
    <w:p w14:paraId="12AD351B">
      <w:pPr>
        <w:pStyle w:val="23"/>
        <w:rPr>
          <w:rFonts w:hint="eastAsia" w:ascii="宋体" w:hAnsi="宋体" w:eastAsia="宋体" w:cs="宋体"/>
          <w:b/>
          <w:color w:val="000000" w:themeColor="text1"/>
          <w:sz w:val="44"/>
          <w:szCs w:val="44"/>
          <w:highlight w:val="none"/>
          <w14:textFill>
            <w14:solidFill>
              <w14:schemeClr w14:val="tx1"/>
            </w14:solidFill>
          </w14:textFill>
        </w:rPr>
      </w:pPr>
    </w:p>
    <w:p w14:paraId="1AE29B70">
      <w:pPr>
        <w:spacing w:before="312" w:beforeLines="100"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申请文件</w:t>
      </w:r>
    </w:p>
    <w:p w14:paraId="09A45FCC">
      <w:pPr>
        <w:pStyle w:val="3"/>
        <w:rPr>
          <w:rFonts w:hint="eastAsia" w:ascii="宋体" w:hAnsi="宋体" w:eastAsia="宋体" w:cs="宋体"/>
          <w:color w:val="000000" w:themeColor="text1"/>
          <w:highlight w:val="none"/>
          <w14:textFill>
            <w14:solidFill>
              <w14:schemeClr w14:val="tx1"/>
            </w14:solidFill>
          </w14:textFill>
        </w:rPr>
      </w:pPr>
    </w:p>
    <w:p w14:paraId="7BD6CBCB">
      <w:pPr>
        <w:spacing w:line="360" w:lineRule="auto"/>
        <w:ind w:left="0" w:leftChars="0" w:firstLine="840" w:firstLineChars="300"/>
        <w:jc w:val="both"/>
        <w:rPr>
          <w:rFonts w:hint="eastAsia" w:ascii="宋体" w:hAnsi="宋体" w:eastAsia="宋体" w:cs="宋体"/>
          <w:b w:val="0"/>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u w:val="single"/>
          <w14:textFill>
            <w14:solidFill>
              <w14:schemeClr w14:val="tx1"/>
            </w14:solidFill>
          </w14:textFill>
        </w:rPr>
        <w:t>东莞市众源环境投资有限公司</w:t>
      </w:r>
      <w:r>
        <w:rPr>
          <w:rFonts w:hint="eastAsia" w:ascii="宋体" w:hAnsi="宋体" w:eastAsia="宋体" w:cs="宋体"/>
          <w:b w:val="0"/>
          <w:bCs w:val="0"/>
          <w:color w:val="000000" w:themeColor="text1"/>
          <w:kern w:val="0"/>
          <w:sz w:val="28"/>
          <w:szCs w:val="28"/>
          <w:highlight w:val="none"/>
          <w:u w:val="single"/>
          <w:lang w:val="en-US" w:eastAsia="zh-CN"/>
          <w14:textFill>
            <w14:solidFill>
              <w14:schemeClr w14:val="tx1"/>
            </w14:solidFill>
          </w14:textFill>
        </w:rPr>
        <w:t>12家等供水厂余泥外运处置</w:t>
      </w:r>
      <w:r>
        <w:rPr>
          <w:rFonts w:hint="eastAsia" w:ascii="宋体" w:hAnsi="宋体" w:eastAsia="宋体" w:cs="宋体"/>
          <w:b w:val="0"/>
          <w:bCs w:val="0"/>
          <w:color w:val="000000" w:themeColor="text1"/>
          <w:kern w:val="0"/>
          <w:sz w:val="28"/>
          <w:szCs w:val="28"/>
          <w:highlight w:val="none"/>
          <w:u w:val="single"/>
          <w:lang w:val="zh-CN"/>
          <w14:textFill>
            <w14:solidFill>
              <w14:schemeClr w14:val="tx1"/>
            </w14:solidFill>
          </w14:textFill>
        </w:rPr>
        <w:t>项目</w:t>
      </w:r>
    </w:p>
    <w:p w14:paraId="5DAA9B8C">
      <w:pPr>
        <w:spacing w:line="360" w:lineRule="auto"/>
        <w:ind w:firstLine="848" w:firstLineChars="303"/>
        <w:jc w:val="left"/>
        <w:rPr>
          <w:rFonts w:hint="eastAsia" w:ascii="宋体" w:hAnsi="宋体" w:eastAsia="宋体" w:cs="宋体"/>
          <w:color w:val="000000" w:themeColor="text1"/>
          <w:sz w:val="28"/>
          <w:szCs w:val="21"/>
          <w:highlight w:val="none"/>
          <w:u w:val="singl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联系人：</w:t>
      </w:r>
    </w:p>
    <w:p w14:paraId="54BE0B5D">
      <w:pPr>
        <w:spacing w:line="360" w:lineRule="auto"/>
        <w:ind w:firstLine="848" w:firstLineChars="303"/>
        <w:jc w:val="left"/>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固定电话：</w:t>
      </w:r>
    </w:p>
    <w:p w14:paraId="786226C1">
      <w:pPr>
        <w:spacing w:line="360" w:lineRule="auto"/>
        <w:ind w:firstLine="848" w:firstLineChars="303"/>
        <w:jc w:val="left"/>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手机号码：</w:t>
      </w:r>
    </w:p>
    <w:p w14:paraId="71A9BA41">
      <w:pPr>
        <w:spacing w:line="360" w:lineRule="auto"/>
        <w:ind w:firstLine="848" w:firstLineChars="303"/>
        <w:jc w:val="left"/>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邮箱：</w:t>
      </w:r>
    </w:p>
    <w:p w14:paraId="17FEB652">
      <w:pPr>
        <w:spacing w:line="360" w:lineRule="auto"/>
        <w:ind w:firstLine="848" w:firstLineChars="303"/>
        <w:jc w:val="left"/>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联系地址：</w:t>
      </w:r>
    </w:p>
    <w:p w14:paraId="2D5E9D1B">
      <w:pPr>
        <w:spacing w:line="360" w:lineRule="auto"/>
        <w:ind w:firstLine="0" w:firstLineChars="0"/>
        <w:jc w:val="left"/>
        <w:rPr>
          <w:rFonts w:hint="eastAsia" w:ascii="宋体" w:hAnsi="宋体" w:eastAsia="宋体" w:cs="宋体"/>
          <w:b/>
          <w:color w:val="000000" w:themeColor="text1"/>
          <w:sz w:val="44"/>
          <w:szCs w:val="44"/>
          <w:highlight w:val="none"/>
          <w14:textFill>
            <w14:solidFill>
              <w14:schemeClr w14:val="tx1"/>
            </w14:solidFill>
          </w14:textFill>
        </w:rPr>
      </w:pPr>
    </w:p>
    <w:p w14:paraId="123AC883">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申请人：</w:t>
      </w:r>
      <w:r>
        <w:rPr>
          <w:rFonts w:hint="eastAsia" w:ascii="宋体" w:hAnsi="宋体" w:eastAsia="宋体" w:cs="宋体"/>
          <w:color w:val="000000" w:themeColor="text1"/>
          <w:sz w:val="28"/>
          <w:szCs w:val="28"/>
          <w:highlight w:val="none"/>
          <w:u w:val="single"/>
          <w14:textFill>
            <w14:solidFill>
              <w14:schemeClr w14:val="tx1"/>
            </w14:solidFill>
          </w14:textFill>
        </w:rPr>
        <w:t>（填写名称）</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并加盖申请人公章）</w:t>
      </w:r>
    </w:p>
    <w:p w14:paraId="4E69E745">
      <w:pPr>
        <w:pStyle w:val="23"/>
        <w:rPr>
          <w:rFonts w:hint="eastAsia" w:ascii="宋体" w:hAnsi="宋体" w:eastAsia="宋体" w:cs="宋体"/>
          <w:color w:val="000000" w:themeColor="text1"/>
          <w:highlight w:val="none"/>
          <w14:textFill>
            <w14:solidFill>
              <w14:schemeClr w14:val="tx1"/>
            </w14:solidFill>
          </w14:textFill>
        </w:rPr>
      </w:pPr>
    </w:p>
    <w:p w14:paraId="3F6A39B1">
      <w:pPr>
        <w:spacing w:line="360" w:lineRule="auto"/>
        <w:ind w:firstLine="3795" w:firstLineChars="1350"/>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年   月   日</w:t>
      </w:r>
    </w:p>
    <w:p w14:paraId="40774213">
      <w:pPr>
        <w:pStyle w:val="5"/>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br w:type="page"/>
      </w:r>
      <w:bookmarkStart w:id="715" w:name="_Toc27088"/>
      <w:bookmarkStart w:id="716" w:name="_Toc14813"/>
      <w:bookmarkStart w:id="717" w:name="_Toc10059"/>
      <w:bookmarkStart w:id="718" w:name="_Toc1216"/>
      <w:bookmarkStart w:id="719" w:name="_Toc30721"/>
      <w:r>
        <w:rPr>
          <w:rFonts w:hint="eastAsia" w:ascii="宋体" w:hAnsi="宋体" w:eastAsia="宋体" w:cs="宋体"/>
          <w:color w:val="000000" w:themeColor="text1"/>
          <w:sz w:val="30"/>
          <w:szCs w:val="30"/>
          <w:highlight w:val="none"/>
          <w14:textFill>
            <w14:solidFill>
              <w14:schemeClr w14:val="tx1"/>
            </w14:solidFill>
          </w14:textFill>
        </w:rPr>
        <w:t>目 录</w:t>
      </w:r>
      <w:bookmarkEnd w:id="715"/>
      <w:bookmarkEnd w:id="716"/>
      <w:bookmarkEnd w:id="717"/>
      <w:bookmarkEnd w:id="718"/>
      <w:bookmarkEnd w:id="719"/>
    </w:p>
    <w:p w14:paraId="1479FAD7">
      <w:pPr>
        <w:rPr>
          <w:rFonts w:hint="eastAsia" w:ascii="宋体" w:hAnsi="宋体" w:eastAsia="宋体" w:cs="宋体"/>
          <w:color w:val="000000" w:themeColor="text1"/>
          <w:sz w:val="28"/>
          <w:szCs w:val="28"/>
          <w:highlight w:val="none"/>
          <w14:textFill>
            <w14:solidFill>
              <w14:schemeClr w14:val="tx1"/>
            </w14:solidFill>
          </w14:textFill>
        </w:rPr>
      </w:pPr>
    </w:p>
    <w:p w14:paraId="004CBBFD">
      <w:pPr>
        <w:autoSpaceDE/>
        <w:autoSpaceDN/>
        <w:adjustRightInd/>
        <w:ind w:left="0" w:leftChars="0" w:firstLine="957" w:firstLineChars="342"/>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 报价表……………………………………………（申请人填写页码）</w:t>
      </w:r>
    </w:p>
    <w:p w14:paraId="64B6F0D8">
      <w:pPr>
        <w:widowControl w:val="0"/>
        <w:spacing w:after="120"/>
        <w:ind w:left="0" w:leftChars="0" w:firstLine="957" w:firstLineChars="342"/>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664BBD7B">
      <w:pPr>
        <w:autoSpaceDE/>
        <w:autoSpaceDN/>
        <w:adjustRightInd/>
        <w:ind w:left="0" w:leftChars="0" w:firstLine="957" w:firstLineChars="342"/>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 用户需求书响应情况……………………………（申请人填写页码）</w:t>
      </w:r>
    </w:p>
    <w:p w14:paraId="6E0F25E9">
      <w:pPr>
        <w:widowControl w:val="0"/>
        <w:spacing w:after="120"/>
        <w:ind w:left="0" w:leftChars="0" w:firstLine="957" w:firstLineChars="342"/>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16982623">
      <w:pPr>
        <w:widowControl w:val="0"/>
        <w:spacing w:after="120"/>
        <w:ind w:left="0" w:leftChars="0" w:firstLine="957" w:firstLineChars="342"/>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 合同条款响应情况………………………………（申请人填写页码）</w:t>
      </w:r>
    </w:p>
    <w:p w14:paraId="6E5B9BBE">
      <w:pPr>
        <w:widowControl w:val="0"/>
        <w:spacing w:after="120"/>
        <w:ind w:left="0" w:leftChars="0" w:firstLine="957" w:firstLineChars="342"/>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24290918">
      <w:pPr>
        <w:autoSpaceDE/>
        <w:autoSpaceDN/>
        <w:adjustRightInd/>
        <w:spacing w:line="360" w:lineRule="auto"/>
        <w:ind w:left="0" w:leftChars="0" w:firstLine="957" w:firstLineChars="342"/>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4 申请人承诺书……………………………………（申请人填写页码）</w:t>
      </w:r>
    </w:p>
    <w:p w14:paraId="3C2676DE">
      <w:pPr>
        <w:pStyle w:val="2"/>
        <w:rPr>
          <w:rFonts w:hint="eastAsia" w:ascii="宋体" w:hAnsi="宋体" w:eastAsia="宋体" w:cs="宋体"/>
          <w:color w:val="000000" w:themeColor="text1"/>
          <w:sz w:val="28"/>
          <w:szCs w:val="28"/>
          <w:highlight w:val="none"/>
          <w14:textFill>
            <w14:solidFill>
              <w14:schemeClr w14:val="tx1"/>
            </w14:solidFill>
          </w14:textFill>
        </w:rPr>
      </w:pPr>
    </w:p>
    <w:p w14:paraId="19439F23">
      <w:pPr>
        <w:pStyle w:val="2"/>
        <w:rPr>
          <w:rFonts w:hint="eastAsia" w:ascii="宋体" w:hAnsi="宋体" w:eastAsia="宋体" w:cs="宋体"/>
          <w:color w:val="000000" w:themeColor="text1"/>
          <w:highlight w:val="none"/>
          <w14:textFill>
            <w14:solidFill>
              <w14:schemeClr w14:val="tx1"/>
            </w14:solidFill>
          </w14:textFill>
        </w:rPr>
      </w:pPr>
    </w:p>
    <w:p w14:paraId="68817207">
      <w:pPr>
        <w:pStyle w:val="2"/>
        <w:rPr>
          <w:rFonts w:hint="eastAsia" w:ascii="宋体" w:hAnsi="宋体" w:eastAsia="宋体" w:cs="宋体"/>
          <w:color w:val="000000" w:themeColor="text1"/>
          <w:highlight w:val="none"/>
          <w14:textFill>
            <w14:solidFill>
              <w14:schemeClr w14:val="tx1"/>
            </w14:solidFill>
          </w14:textFill>
        </w:rPr>
      </w:pPr>
    </w:p>
    <w:p w14:paraId="552BBC6D">
      <w:pPr>
        <w:pageBreakBefore/>
        <w:spacing w:before="0" w:after="0"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sectPr>
          <w:footerReference r:id="rId9" w:type="default"/>
          <w:pgSz w:w="11906" w:h="16838"/>
          <w:pgMar w:top="1440" w:right="1165" w:bottom="1440" w:left="661" w:header="851" w:footer="992" w:gutter="0"/>
          <w:pgNumType w:fmt="decimal"/>
          <w:cols w:space="425" w:num="1"/>
          <w:docGrid w:type="lines" w:linePitch="312" w:charSpace="0"/>
        </w:sectPr>
      </w:pPr>
      <w:bookmarkStart w:id="720" w:name="_Toc28558"/>
      <w:bookmarkStart w:id="721" w:name="_Toc30096"/>
    </w:p>
    <w:bookmarkEnd w:id="720"/>
    <w:bookmarkEnd w:id="721"/>
    <w:p w14:paraId="0BB481B3">
      <w:pPr>
        <w:keepNext/>
        <w:keepLines/>
        <w:pageBreakBefore/>
        <w:widowControl w:val="0"/>
        <w:adjustRightInd w:val="0"/>
        <w:spacing w:before="0" w:after="0" w:line="360" w:lineRule="auto"/>
        <w:jc w:val="center"/>
        <w:textAlignment w:val="baseline"/>
        <w:outlineLvl w:val="1"/>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pPr>
      <w:bookmarkStart w:id="722" w:name="_Toc27061"/>
      <w:bookmarkStart w:id="723" w:name="_Toc28561"/>
      <w:bookmarkStart w:id="724" w:name="_Toc30421"/>
      <w: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t>一、报价表</w:t>
      </w:r>
      <w:bookmarkEnd w:id="722"/>
      <w:bookmarkEnd w:id="723"/>
      <w:bookmarkEnd w:id="724"/>
    </w:p>
    <w:p w14:paraId="5F137E35">
      <w:pPr>
        <w:autoSpaceDE/>
        <w:autoSpaceDN/>
        <w:adjustRightInd/>
        <w:spacing w:line="360" w:lineRule="auto"/>
        <w:ind w:firstLine="5040" w:firstLineChars="2400"/>
        <w:jc w:val="right"/>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49C2B6B4">
      <w:pPr>
        <w:widowControl w:val="0"/>
        <w:spacing w:after="120"/>
        <w:jc w:val="both"/>
        <w:rPr>
          <w:rFonts w:hint="eastAsia" w:ascii="宋体" w:hAnsi="宋体" w:eastAsia="宋体" w:cs="宋体"/>
          <w:b/>
          <w:color w:val="000000" w:themeColor="text1"/>
          <w:kern w:val="2"/>
          <w:sz w:val="28"/>
          <w:szCs w:val="24"/>
          <w:highlight w:val="none"/>
          <w:lang w:val="zh-CN" w:eastAsia="zh-CN" w:bidi="ar-SA"/>
          <w14:textFill>
            <w14:solidFill>
              <w14:schemeClr w14:val="tx1"/>
            </w14:solidFill>
          </w14:textFill>
        </w:rPr>
      </w:pPr>
      <w:r>
        <w:rPr>
          <w:rFonts w:hint="eastAsia" w:ascii="宋体" w:hAnsi="宋体" w:eastAsia="宋体" w:cs="宋体"/>
          <w:b/>
          <w:color w:val="000000" w:themeColor="text1"/>
          <w:kern w:val="2"/>
          <w:sz w:val="28"/>
          <w:szCs w:val="24"/>
          <w:highlight w:val="none"/>
          <w:lang w:val="zh-CN" w:eastAsia="zh-CN" w:bidi="ar-SA"/>
          <w14:textFill>
            <w14:solidFill>
              <w14:schemeClr w14:val="tx1"/>
            </w14:solidFill>
          </w14:textFill>
        </w:rPr>
        <w:t>1.1 报价表</w:t>
      </w:r>
    </w:p>
    <w:tbl>
      <w:tblPr>
        <w:tblStyle w:val="37"/>
        <w:tblW w:w="48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6343"/>
      </w:tblGrid>
      <w:tr w14:paraId="5C7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95" w:type="pct"/>
            <w:vAlign w:val="center"/>
          </w:tcPr>
          <w:p w14:paraId="46FEA39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项目名称</w:t>
            </w:r>
          </w:p>
        </w:tc>
        <w:tc>
          <w:tcPr>
            <w:tcW w:w="3804" w:type="pct"/>
            <w:vAlign w:val="center"/>
          </w:tcPr>
          <w:p w14:paraId="724935B1">
            <w:pPr>
              <w:keepNext w:val="0"/>
              <w:keepLines w:val="0"/>
              <w:suppressLineNumbers w:val="0"/>
              <w:autoSpaceDE/>
              <w:autoSpaceDN/>
              <w:adjustRightInd/>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东莞市众源环境投资有限公司</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12家等供水厂余泥外运处置</w:t>
            </w:r>
            <w:r>
              <w:rPr>
                <w:rFonts w:hint="eastAsia" w:ascii="宋体" w:hAnsi="宋体" w:eastAsia="宋体" w:cs="宋体"/>
                <w:b w:val="0"/>
                <w:bCs w:val="0"/>
                <w:color w:val="000000" w:themeColor="text1"/>
                <w:kern w:val="0"/>
                <w:sz w:val="21"/>
                <w:szCs w:val="21"/>
                <w:highlight w:val="none"/>
                <w:u w:val="none"/>
                <w:lang w:val="zh-CN"/>
                <w14:textFill>
                  <w14:solidFill>
                    <w14:schemeClr w14:val="tx1"/>
                  </w14:solidFill>
                </w14:textFill>
              </w:rPr>
              <w:t>项目</w:t>
            </w:r>
          </w:p>
        </w:tc>
      </w:tr>
      <w:tr w14:paraId="215B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95" w:type="pct"/>
            <w:vAlign w:val="center"/>
          </w:tcPr>
          <w:p w14:paraId="5AE00AF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不含税报价</w:t>
            </w:r>
          </w:p>
          <w:p w14:paraId="25158C37">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保留2位小数</w:t>
            </w: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3804" w:type="pct"/>
            <w:vAlign w:val="center"/>
          </w:tcPr>
          <w:p w14:paraId="3188E1B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zh-CN" w:eastAsia="zh-CN" w:bidi="ar-SA"/>
                <w14:textFill>
                  <w14:solidFill>
                    <w14:schemeClr w14:val="tx1"/>
                  </w14:solidFill>
                </w14:textFill>
              </w:rPr>
              <w:t>元/吨</w:t>
            </w:r>
            <w:r>
              <w:rPr>
                <w:rFonts w:hint="eastAsia" w:ascii="宋体" w:hAnsi="宋体" w:eastAsia="宋体" w:cs="宋体"/>
                <w:color w:val="000000" w:themeColor="text1"/>
                <w:sz w:val="21"/>
                <w:szCs w:val="21"/>
                <w:highlight w:val="none"/>
                <w14:textFill>
                  <w14:solidFill>
                    <w14:schemeClr w14:val="tx1"/>
                  </w14:solidFill>
                </w14:textFill>
              </w:rPr>
              <w:t>。</w:t>
            </w:r>
          </w:p>
        </w:tc>
      </w:tr>
      <w:tr w14:paraId="702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95" w:type="pct"/>
            <w:vAlign w:val="center"/>
          </w:tcPr>
          <w:p w14:paraId="3916DB8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申请人纳税类型</w:t>
            </w:r>
          </w:p>
        </w:tc>
        <w:tc>
          <w:tcPr>
            <w:tcW w:w="3804" w:type="pct"/>
            <w:vAlign w:val="center"/>
          </w:tcPr>
          <w:p w14:paraId="7E98D0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□一般纳税人，增值税税率</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0E2AD602">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□小规模纳税人，增值税税率</w:t>
            </w:r>
            <w:r>
              <w:rPr>
                <w:rFonts w:hint="eastAsia" w:ascii="宋体" w:hAnsi="宋体" w:eastAsia="宋体" w:cs="宋体"/>
                <w:color w:val="000000" w:themeColor="text1"/>
                <w:kern w:val="2"/>
                <w:sz w:val="2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bidi="ar"/>
                <w14:textFill>
                  <w14:solidFill>
                    <w14:schemeClr w14:val="tx1"/>
                  </w14:solidFill>
                </w14:textFill>
              </w:rPr>
              <w:t>。</w:t>
            </w:r>
          </w:p>
        </w:tc>
      </w:tr>
      <w:tr w14:paraId="2FD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195" w:type="pct"/>
            <w:vAlign w:val="center"/>
          </w:tcPr>
          <w:p w14:paraId="02F4558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备注</w:t>
            </w:r>
          </w:p>
        </w:tc>
        <w:tc>
          <w:tcPr>
            <w:tcW w:w="3804" w:type="pct"/>
            <w:vAlign w:val="center"/>
          </w:tcPr>
          <w:p w14:paraId="3FC833C5">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上述不含税报价为包干价，报价包括申请人成交后完成应承担合同义务的全部费用，包括但不限于：（1）人工费（含加班、节假日补贴）、（2）设备费、（3）余泥处置费、（4）余泥运输费（含因部分污水处理厂现场条件限制只能用小型车辆运输增加的运输成本）、（5）卸车费、（6）卸车现场除尘及清洗场地费、（7）保险费（包括运输车辆交强险、第三者责任险等商业保险，成交人及其雇员社会保障资金、保险、第三者责任险，环境污染责任险等）、（8）成交人复核</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重量的称重费、（9）</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成交人配合委托人开展地磅称重核查工作的称重费、</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处置后的副产品检测费、（11）申请人销项税额以外的税费等全部费用。</w:t>
            </w:r>
            <w:r>
              <w:rPr>
                <w:rFonts w:hint="eastAsia" w:ascii="宋体" w:hAnsi="宋体" w:eastAsia="宋体" w:cs="宋体"/>
                <w:sz w:val="21"/>
                <w:szCs w:val="21"/>
                <w:lang w:val="zh-CN"/>
              </w:rPr>
              <w:t>处置服务费不包含装车费。</w:t>
            </w:r>
          </w:p>
          <w:p w14:paraId="27190EFB">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2、依法计算的申请人的销项税额由委托人承担，不计入报价。</w:t>
            </w:r>
          </w:p>
          <w:p w14:paraId="3E939C9D">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3、填报要求：</w:t>
            </w:r>
          </w:p>
          <w:p w14:paraId="313A5625">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（1）、申请人承诺接收量低于供水厂日均产量的，将被视为无效申请。</w:t>
            </w:r>
          </w:p>
          <w:p w14:paraId="0B706191">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（2）、申请人的报价超过最高限价，申请文件将被视为无效。</w:t>
            </w:r>
          </w:p>
          <w:p w14:paraId="45986099">
            <w:pPr>
              <w:keepNext w:val="0"/>
              <w:keepLines w:val="0"/>
              <w:pageBreakBefore w:val="0"/>
              <w:widowControl w:val="0"/>
              <w:numPr>
                <w:ilvl w:val="-1"/>
                <w:numId w:val="0"/>
              </w:numPr>
              <w:suppressLineNumbers w:val="0"/>
              <w:kinsoku/>
              <w:wordWrap/>
              <w:overflowPunct/>
              <w:topLinePunct w:val="0"/>
              <w:autoSpaceDE w:val="0"/>
              <w:autoSpaceDN w:val="0"/>
              <w:bidi w:val="0"/>
              <w:adjustRightInd w:val="0"/>
              <w:snapToGrid/>
              <w:spacing w:before="0" w:beforeAutospacing="0" w:after="0" w:afterAutospacing="0" w:line="380" w:lineRule="exact"/>
              <w:ind w:left="0" w:right="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（3）、本项目不接受填埋的处置方式。</w:t>
            </w:r>
          </w:p>
        </w:tc>
      </w:tr>
    </w:tbl>
    <w:p w14:paraId="21469A80">
      <w:pPr>
        <w:widowControl w:val="0"/>
        <w:spacing w:after="120"/>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26F183D8">
      <w:pPr>
        <w:autoSpaceDE/>
        <w:autoSpaceDN/>
        <w:adjustRightInd/>
        <w:spacing w:line="360" w:lineRule="auto"/>
        <w:ind w:firstLine="5040" w:firstLineChars="2400"/>
        <w:jc w:val="center"/>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申请人：（加盖申请人公章）</w:t>
      </w:r>
    </w:p>
    <w:p w14:paraId="276E3AD8">
      <w:pPr>
        <w:wordWrap w:val="0"/>
        <w:autoSpaceDE/>
        <w:autoSpaceDN/>
        <w:adjustRightInd/>
        <w:spacing w:line="360" w:lineRule="auto"/>
        <w:ind w:firstLine="435"/>
        <w:jc w:val="center"/>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日期：</w:t>
      </w:r>
      <w:r>
        <w:rPr>
          <w:rFonts w:hint="eastAsia" w:ascii="宋体" w:hAnsi="宋体" w:eastAsia="宋体" w:cs="宋体"/>
          <w:color w:val="000000" w:themeColor="text1"/>
          <w:kern w:val="2"/>
          <w:sz w:val="21"/>
          <w:szCs w:val="21"/>
          <w:highlight w:val="none"/>
          <w14:textFill>
            <w14:solidFill>
              <w14:schemeClr w14:val="tx1"/>
            </w14:solidFill>
          </w14:textFill>
        </w:rPr>
        <w:t xml:space="preserve">    年   月    日</w:t>
      </w:r>
    </w:p>
    <w:p w14:paraId="1D73441F">
      <w:pPr>
        <w:widowControl w:val="0"/>
        <w:spacing w:after="120"/>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3F4CCE62">
      <w:pPr>
        <w:keepNext w:val="0"/>
        <w:keepLines w:val="0"/>
        <w:pageBreakBefore/>
        <w:widowControl w:val="0"/>
        <w:kinsoku/>
        <w:wordWrap/>
        <w:overflowPunct/>
        <w:topLinePunct w:val="0"/>
        <w:autoSpaceDE w:val="0"/>
        <w:autoSpaceDN w:val="0"/>
        <w:bidi w:val="0"/>
        <w:adjustRightInd w:val="0"/>
        <w:snapToGrid/>
        <w:spacing w:after="120"/>
        <w:jc w:val="both"/>
        <w:textAlignment w:val="auto"/>
        <w:rPr>
          <w:rFonts w:hint="eastAsia" w:ascii="宋体" w:hAnsi="宋体" w:eastAsia="宋体" w:cs="宋体"/>
          <w:b/>
          <w:bCs w:val="0"/>
          <w:color w:val="000000" w:themeColor="text1"/>
          <w:kern w:val="2"/>
          <w:sz w:val="28"/>
          <w:szCs w:val="24"/>
          <w:highlight w:val="none"/>
          <w:lang w:val="zh-CN" w:eastAsia="zh-CN" w:bidi="ar-SA"/>
          <w14:textFill>
            <w14:solidFill>
              <w14:schemeClr w14:val="tx1"/>
            </w14:solidFill>
          </w14:textFill>
        </w:rPr>
      </w:pPr>
      <w:r>
        <w:rPr>
          <w:rFonts w:hint="eastAsia" w:ascii="宋体" w:hAnsi="宋体" w:eastAsia="宋体" w:cs="宋体"/>
          <w:b/>
          <w:bCs w:val="0"/>
          <w:color w:val="000000" w:themeColor="text1"/>
          <w:kern w:val="2"/>
          <w:sz w:val="28"/>
          <w:szCs w:val="24"/>
          <w:highlight w:val="none"/>
          <w:lang w:val="zh-CN" w:eastAsia="zh-CN" w:bidi="ar-SA"/>
          <w14:textFill>
            <w14:solidFill>
              <w14:schemeClr w14:val="tx1"/>
            </w14:solidFill>
          </w14:textFill>
        </w:rPr>
        <w:t>1.</w:t>
      </w:r>
      <w:r>
        <w:rPr>
          <w:rFonts w:hint="eastAsia" w:ascii="宋体" w:hAnsi="宋体" w:eastAsia="宋体" w:cs="宋体"/>
          <w:b/>
          <w:bCs w:val="0"/>
          <w:color w:val="000000" w:themeColor="text1"/>
          <w:kern w:val="2"/>
          <w:sz w:val="28"/>
          <w:szCs w:val="24"/>
          <w:highlight w:val="none"/>
          <w:lang w:val="en-US" w:eastAsia="zh-CN" w:bidi="ar-SA"/>
          <w14:textFill>
            <w14:solidFill>
              <w14:schemeClr w14:val="tx1"/>
            </w14:solidFill>
          </w14:textFill>
        </w:rPr>
        <w:t xml:space="preserve">2 </w:t>
      </w:r>
      <w:r>
        <w:rPr>
          <w:rFonts w:hint="eastAsia" w:ascii="宋体" w:hAnsi="宋体" w:eastAsia="宋体" w:cs="宋体"/>
          <w:b/>
          <w:bCs w:val="0"/>
          <w:color w:val="000000" w:themeColor="text1"/>
          <w:kern w:val="2"/>
          <w:sz w:val="28"/>
          <w:szCs w:val="24"/>
          <w:highlight w:val="none"/>
          <w:lang w:val="en-US" w:eastAsia="zh-CN"/>
          <w14:textFill>
            <w14:solidFill>
              <w14:schemeClr w14:val="tx1"/>
            </w14:solidFill>
          </w14:textFill>
        </w:rPr>
        <w:t>12家等供水厂</w:t>
      </w:r>
      <w:r>
        <w:rPr>
          <w:rFonts w:hint="eastAsia" w:ascii="宋体" w:hAnsi="宋体" w:eastAsia="宋体" w:cs="宋体"/>
          <w:b/>
          <w:bCs w:val="0"/>
          <w:color w:val="000000" w:themeColor="text1"/>
          <w:kern w:val="2"/>
          <w:sz w:val="28"/>
          <w:szCs w:val="24"/>
          <w:highlight w:val="none"/>
          <w:lang w:val="zh-CN" w:eastAsia="zh-CN"/>
          <w14:textFill>
            <w14:solidFill>
              <w14:schemeClr w14:val="tx1"/>
            </w14:solidFill>
          </w14:textFill>
        </w:rPr>
        <w:t>余泥</w:t>
      </w:r>
      <w:r>
        <w:rPr>
          <w:rFonts w:hint="eastAsia" w:ascii="宋体" w:hAnsi="宋体" w:eastAsia="宋体" w:cs="宋体"/>
          <w:b/>
          <w:bCs w:val="0"/>
          <w:color w:val="000000" w:themeColor="text1"/>
          <w:kern w:val="2"/>
          <w:sz w:val="28"/>
          <w:szCs w:val="24"/>
          <w:highlight w:val="none"/>
          <w:lang w:val="zh-CN"/>
          <w14:textFill>
            <w14:solidFill>
              <w14:schemeClr w14:val="tx1"/>
            </w14:solidFill>
          </w14:textFill>
        </w:rPr>
        <w:t>项目</w:t>
      </w:r>
      <w:r>
        <w:rPr>
          <w:rFonts w:hint="eastAsia" w:ascii="宋体" w:hAnsi="宋体" w:eastAsia="宋体" w:cs="宋体"/>
          <w:b/>
          <w:bCs w:val="0"/>
          <w:color w:val="000000" w:themeColor="text1"/>
          <w:kern w:val="2"/>
          <w:sz w:val="28"/>
          <w:szCs w:val="24"/>
          <w:highlight w:val="none"/>
          <w:lang w:val="zh-CN" w:eastAsia="zh-CN" w:bidi="ar-SA"/>
          <w14:textFill>
            <w14:solidFill>
              <w14:schemeClr w14:val="tx1"/>
            </w14:solidFill>
          </w14:textFill>
        </w:rPr>
        <w:t>申请人</w:t>
      </w:r>
      <w:r>
        <w:rPr>
          <w:rFonts w:hint="eastAsia" w:ascii="宋体" w:hAnsi="宋体" w:eastAsia="宋体" w:cs="宋体"/>
          <w:b/>
          <w:bCs w:val="0"/>
          <w:color w:val="000000" w:themeColor="text1"/>
          <w:kern w:val="2"/>
          <w:sz w:val="28"/>
          <w:szCs w:val="24"/>
          <w:highlight w:val="none"/>
          <w:u w:val="none"/>
          <w:lang w:val="zh-CN" w:eastAsia="zh-CN"/>
          <w14:textFill>
            <w14:solidFill>
              <w14:schemeClr w14:val="tx1"/>
            </w14:solidFill>
          </w14:textFill>
        </w:rPr>
        <w:t>余泥</w:t>
      </w:r>
      <w:r>
        <w:rPr>
          <w:rFonts w:hint="eastAsia" w:ascii="宋体" w:hAnsi="宋体" w:eastAsia="宋体" w:cs="宋体"/>
          <w:b/>
          <w:bCs w:val="0"/>
          <w:color w:val="000000" w:themeColor="text1"/>
          <w:kern w:val="2"/>
          <w:sz w:val="28"/>
          <w:szCs w:val="24"/>
          <w:highlight w:val="none"/>
          <w:lang w:val="zh-CN" w:eastAsia="zh-CN" w:bidi="ar-SA"/>
          <w14:textFill>
            <w14:solidFill>
              <w14:schemeClr w14:val="tx1"/>
            </w14:solidFill>
          </w14:textFill>
        </w:rPr>
        <w:t>接</w:t>
      </w:r>
      <w:r>
        <w:rPr>
          <w:rFonts w:hint="eastAsia" w:ascii="宋体" w:hAnsi="宋体" w:eastAsia="宋体" w:cs="宋体"/>
          <w:b/>
          <w:bCs w:val="0"/>
          <w:color w:val="000000" w:themeColor="text1"/>
          <w:kern w:val="2"/>
          <w:sz w:val="28"/>
          <w:szCs w:val="24"/>
          <w:highlight w:val="none"/>
          <w:lang w:val="en-US" w:eastAsia="zh-CN" w:bidi="ar-SA"/>
          <w14:textFill>
            <w14:solidFill>
              <w14:schemeClr w14:val="tx1"/>
            </w14:solidFill>
          </w14:textFill>
        </w:rPr>
        <w:t>收</w:t>
      </w:r>
      <w:r>
        <w:rPr>
          <w:rFonts w:hint="eastAsia" w:ascii="宋体" w:hAnsi="宋体" w:eastAsia="宋体" w:cs="宋体"/>
          <w:b/>
          <w:bCs w:val="0"/>
          <w:color w:val="000000" w:themeColor="text1"/>
          <w:kern w:val="2"/>
          <w:sz w:val="28"/>
          <w:szCs w:val="24"/>
          <w:highlight w:val="none"/>
          <w:lang w:val="zh-CN" w:eastAsia="zh-CN" w:bidi="ar-SA"/>
          <w14:textFill>
            <w14:solidFill>
              <w14:schemeClr w14:val="tx1"/>
            </w14:solidFill>
          </w14:textFill>
        </w:rPr>
        <w:t>量承诺</w:t>
      </w:r>
    </w:p>
    <w:tbl>
      <w:tblPr>
        <w:tblStyle w:val="37"/>
        <w:tblW w:w="7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1"/>
        <w:gridCol w:w="2357"/>
      </w:tblGrid>
      <w:tr w14:paraId="0099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181" w:type="dxa"/>
            <w:vAlign w:val="center"/>
          </w:tcPr>
          <w:p w14:paraId="4AA3462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000000" w:themeColor="text1"/>
                <w:kern w:val="2"/>
                <w:sz w:val="22"/>
                <w:szCs w:val="22"/>
                <w:highlight w:val="none"/>
                <w:shd w:val="clear" w:color="auto" w:fill="FFFFFF"/>
                <w14:textFill>
                  <w14:solidFill>
                    <w14:schemeClr w14:val="tx1"/>
                  </w14:solidFill>
                </w14:textFill>
              </w:rPr>
            </w:pPr>
            <w:r>
              <w:rPr>
                <w:rFonts w:hint="eastAsia" w:ascii="宋体" w:hAnsi="宋体" w:eastAsia="宋体" w:cs="宋体"/>
                <w:b/>
                <w:bCs/>
                <w:color w:val="000000" w:themeColor="text1"/>
                <w:kern w:val="2"/>
                <w:sz w:val="22"/>
                <w:szCs w:val="22"/>
                <w:highlight w:val="none"/>
                <w:shd w:val="clear" w:color="auto" w:fill="FFFFFF"/>
                <w14:textFill>
                  <w14:solidFill>
                    <w14:schemeClr w14:val="tx1"/>
                  </w14:solidFill>
                </w14:textFill>
              </w:rPr>
              <w:t>承诺事项</w:t>
            </w:r>
          </w:p>
        </w:tc>
        <w:tc>
          <w:tcPr>
            <w:tcW w:w="2357" w:type="dxa"/>
            <w:vAlign w:val="center"/>
          </w:tcPr>
          <w:p w14:paraId="6B46C990">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000000" w:themeColor="text1"/>
                <w:kern w:val="2"/>
                <w:sz w:val="22"/>
                <w:szCs w:val="22"/>
                <w:highlight w:val="none"/>
                <w:shd w:val="clear" w:color="auto" w:fill="FFFFFF"/>
                <w14:textFill>
                  <w14:solidFill>
                    <w14:schemeClr w14:val="tx1"/>
                  </w14:solidFill>
                </w14:textFill>
              </w:rPr>
            </w:pPr>
            <w:r>
              <w:rPr>
                <w:rFonts w:hint="eastAsia" w:ascii="宋体" w:hAnsi="宋体" w:eastAsia="宋体" w:cs="宋体"/>
                <w:b/>
                <w:bCs/>
                <w:color w:val="000000" w:themeColor="text1"/>
                <w:kern w:val="2"/>
                <w:sz w:val="22"/>
                <w:szCs w:val="22"/>
                <w:highlight w:val="none"/>
                <w:shd w:val="clear" w:color="auto" w:fill="FFFFFF"/>
                <w14:textFill>
                  <w14:solidFill>
                    <w14:schemeClr w14:val="tx1"/>
                  </w14:solidFill>
                </w14:textFill>
              </w:rPr>
              <w:t>承诺接收量</w:t>
            </w:r>
          </w:p>
        </w:tc>
      </w:tr>
      <w:tr w14:paraId="038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181" w:type="dxa"/>
            <w:vAlign w:val="center"/>
          </w:tcPr>
          <w:p w14:paraId="7D9FBAD4">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2"/>
                <w:szCs w:val="22"/>
                <w:highlight w:val="none"/>
                <w:lang w:val="zh-CN"/>
                <w14:textFill>
                  <w14:solidFill>
                    <w14:schemeClr w14:val="tx1"/>
                  </w14:solidFill>
                </w14:textFill>
              </w:rPr>
              <w:t>东莞市众源环境投资有限公司</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12家</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等</w:t>
            </w:r>
            <w:r>
              <w:rPr>
                <w:rFonts w:hint="eastAsia" w:ascii="宋体" w:hAnsi="宋体" w:eastAsia="宋体" w:cs="宋体"/>
                <w:b w:val="0"/>
                <w:bCs w:val="0"/>
                <w:color w:val="000000" w:themeColor="text1"/>
                <w:kern w:val="2"/>
                <w:sz w:val="22"/>
                <w:szCs w:val="22"/>
                <w:highlight w:val="none"/>
                <w:lang w:val="zh-CN" w:eastAsia="zh-CN"/>
                <w14:textFill>
                  <w14:solidFill>
                    <w14:schemeClr w14:val="tx1"/>
                  </w14:solidFill>
                </w14:textFill>
              </w:rPr>
              <w:t>供水厂余泥</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外运处置</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项目</w:t>
            </w:r>
            <w: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t>服务期内，在</w:t>
            </w:r>
            <w:r>
              <w:rPr>
                <w:rFonts w:hint="eastAsia" w:ascii="宋体" w:hAnsi="宋体" w:eastAsia="宋体" w:cs="宋体"/>
                <w:color w:val="000000" w:themeColor="text1"/>
                <w:kern w:val="2"/>
                <w:sz w:val="22"/>
                <w:szCs w:val="22"/>
                <w:highlight w:val="none"/>
                <w:shd w:val="clear" w:color="auto" w:fill="FFFFFF"/>
                <w:lang w:val="en-US" w:eastAsia="zh-CN"/>
                <w14:textFill>
                  <w14:solidFill>
                    <w14:schemeClr w14:val="tx1"/>
                  </w14:solidFill>
                </w14:textFill>
              </w:rPr>
              <w:t>委托人</w:t>
            </w:r>
            <w: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t>通知我公司</w:t>
            </w:r>
            <w:r>
              <w:rPr>
                <w:rFonts w:hint="eastAsia" w:ascii="宋体" w:hAnsi="宋体" w:eastAsia="宋体" w:cs="宋体"/>
                <w:color w:val="000000" w:themeColor="text1"/>
                <w:kern w:val="2"/>
                <w:sz w:val="22"/>
                <w:szCs w:val="22"/>
                <w:highlight w:val="none"/>
                <w:shd w:val="clear" w:color="auto" w:fill="FFFFFF"/>
                <w:lang w:val="en-US" w:eastAsia="zh-CN"/>
                <w14:textFill>
                  <w14:solidFill>
                    <w14:schemeClr w14:val="tx1"/>
                  </w14:solidFill>
                </w14:textFill>
              </w:rPr>
              <w:t>处置余泥</w:t>
            </w:r>
            <w: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t>时，本公司承诺每天可接收</w:t>
            </w:r>
            <w:r>
              <w:rPr>
                <w:rFonts w:hint="eastAsia" w:ascii="宋体" w:hAnsi="宋体" w:eastAsia="宋体" w:cs="宋体"/>
                <w:color w:val="000000" w:themeColor="text1"/>
                <w:kern w:val="2"/>
                <w:sz w:val="22"/>
                <w:szCs w:val="22"/>
                <w:highlight w:val="none"/>
                <w:shd w:val="clear" w:color="auto" w:fill="FFFFFF"/>
                <w:lang w:val="en-US" w:eastAsia="zh-CN"/>
                <w14:textFill>
                  <w14:solidFill>
                    <w14:schemeClr w14:val="tx1"/>
                  </w14:solidFill>
                </w14:textFill>
              </w:rPr>
              <w:t>委托人</w:t>
            </w:r>
            <w: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t>的</w:t>
            </w:r>
            <w:r>
              <w:rPr>
                <w:rFonts w:hint="eastAsia" w:ascii="宋体" w:hAnsi="宋体" w:eastAsia="宋体" w:cs="宋体"/>
                <w:b w:val="0"/>
                <w:bCs w:val="0"/>
                <w:color w:val="000000" w:themeColor="text1"/>
                <w:kern w:val="2"/>
                <w:sz w:val="22"/>
                <w:szCs w:val="22"/>
                <w:highlight w:val="none"/>
                <w:u w:val="none"/>
                <w:shd w:val="clear" w:color="auto" w:fill="FFFFFF"/>
                <w:lang w:val="zh-CN" w:eastAsia="zh-CN"/>
                <w14:textFill>
                  <w14:solidFill>
                    <w14:schemeClr w14:val="tx1"/>
                  </w14:solidFill>
                </w14:textFill>
              </w:rPr>
              <w:t>余泥</w:t>
            </w:r>
            <w: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t>为</w:t>
            </w:r>
          </w:p>
        </w:tc>
        <w:tc>
          <w:tcPr>
            <w:tcW w:w="2357" w:type="dxa"/>
            <w:vAlign w:val="center"/>
          </w:tcPr>
          <w:p w14:paraId="04E18957">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000000" w:themeColor="text1"/>
                <w:kern w:val="2"/>
                <w:sz w:val="22"/>
                <w:szCs w:val="22"/>
                <w:highlight w:val="none"/>
                <w:shd w:val="clear" w:color="auto" w:fill="FFFFFF"/>
                <w14:textFill>
                  <w14:solidFill>
                    <w14:schemeClr w14:val="tx1"/>
                  </w14:solidFill>
                </w14:textFill>
              </w:rPr>
            </w:pPr>
            <w:r>
              <w:rPr>
                <w:rFonts w:hint="eastAsia" w:ascii="宋体" w:hAnsi="宋体" w:eastAsia="宋体" w:cs="宋体"/>
                <w:bCs/>
                <w:color w:val="000000" w:themeColor="text1"/>
                <w:kern w:val="2"/>
                <w:sz w:val="22"/>
                <w:szCs w:val="22"/>
                <w:highlight w:val="none"/>
                <w:u w:val="none"/>
                <w:lang w:val="en-US" w:eastAsia="zh-CN"/>
                <w14:textFill>
                  <w14:solidFill>
                    <w14:schemeClr w14:val="tx1"/>
                  </w14:solidFill>
                </w14:textFill>
              </w:rPr>
              <w:t xml:space="preserve">共 </w:t>
            </w:r>
            <w:r>
              <w:rPr>
                <w:rFonts w:hint="eastAsia" w:ascii="宋体" w:hAnsi="宋体" w:eastAsia="宋体" w:cs="宋体"/>
                <w:bCs/>
                <w:color w:val="000000" w:themeColor="text1"/>
                <w:kern w:val="2"/>
                <w:sz w:val="22"/>
                <w:szCs w:val="22"/>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2"/>
                <w:szCs w:val="22"/>
                <w:highlight w:val="none"/>
                <w:u w:val="single"/>
                <w:lang w:val="zh-CN"/>
                <w14:textFill>
                  <w14:solidFill>
                    <w14:schemeClr w14:val="tx1"/>
                  </w14:solidFill>
                </w14:textFill>
              </w:rPr>
              <w:t xml:space="preserve"> </w:t>
            </w:r>
            <w:r>
              <w:rPr>
                <w:rFonts w:hint="eastAsia" w:ascii="宋体" w:hAnsi="宋体" w:eastAsia="宋体" w:cs="宋体"/>
                <w:bCs/>
                <w:color w:val="000000" w:themeColor="text1"/>
                <w:kern w:val="2"/>
                <w:sz w:val="22"/>
                <w:szCs w:val="22"/>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2"/>
                <w:szCs w:val="22"/>
                <w:highlight w:val="none"/>
                <w:lang w:val="zh-CN"/>
                <w14:textFill>
                  <w14:solidFill>
                    <w14:schemeClr w14:val="tx1"/>
                  </w14:solidFill>
                </w14:textFill>
              </w:rPr>
              <w:t>吨/天</w:t>
            </w:r>
          </w:p>
        </w:tc>
      </w:tr>
    </w:tbl>
    <w:p w14:paraId="1F5023E0">
      <w:pPr>
        <w:widowControl/>
        <w:numPr>
          <w:ilvl w:val="0"/>
          <w:numId w:val="0"/>
        </w:numPr>
        <w:spacing w:after="0" w:line="360" w:lineRule="auto"/>
        <w:jc w:val="left"/>
        <w:rPr>
          <w:rFonts w:hint="eastAsia" w:ascii="宋体" w:hAnsi="宋体" w:eastAsia="宋体" w:cs="宋体"/>
          <w:b w:val="0"/>
          <w:bCs w:val="0"/>
          <w:color w:val="000000" w:themeColor="text1"/>
          <w:kern w:val="2"/>
          <w:sz w:val="22"/>
          <w:szCs w:val="22"/>
          <w:highlight w:val="none"/>
          <w:lang w:val="zh-CN" w:eastAsia="zh-CN" w:bidi="ar-SA"/>
          <w14:textFill>
            <w14:solidFill>
              <w14:schemeClr w14:val="tx1"/>
            </w14:solidFill>
          </w14:textFill>
        </w:rPr>
      </w:pPr>
      <w:bookmarkStart w:id="725" w:name="_Toc35337875"/>
      <w:bookmarkStart w:id="726" w:name="_Toc37323094"/>
      <w:bookmarkStart w:id="727" w:name="_Toc35338183"/>
      <w:r>
        <w:rPr>
          <w:rFonts w:hint="eastAsia" w:ascii="宋体" w:hAnsi="宋体" w:eastAsia="宋体" w:cs="宋体"/>
          <w:b/>
          <w:bCs/>
          <w:color w:val="000000" w:themeColor="text1"/>
          <w:kern w:val="2"/>
          <w:sz w:val="28"/>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2"/>
          <w:szCs w:val="22"/>
          <w:highlight w:val="none"/>
          <w:lang w:val="zh-CN" w:eastAsia="zh-CN" w:bidi="ar-SA"/>
          <w14:textFill>
            <w14:solidFill>
              <w14:schemeClr w14:val="tx1"/>
            </w14:solidFill>
          </w14:textFill>
        </w:rPr>
        <w:t>说明：</w:t>
      </w:r>
    </w:p>
    <w:p w14:paraId="5A82519D">
      <w:pPr>
        <w:widowControl/>
        <w:numPr>
          <w:ilvl w:val="0"/>
          <w:numId w:val="0"/>
        </w:numPr>
        <w:spacing w:after="0" w:line="360" w:lineRule="auto"/>
        <w:jc w:val="left"/>
        <w:rPr>
          <w:rFonts w:hint="eastAsia" w:ascii="宋体" w:hAnsi="宋体" w:eastAsia="宋体" w:cs="宋体"/>
          <w:color w:val="auto"/>
          <w:kern w:val="2"/>
          <w:sz w:val="21"/>
          <w:szCs w:val="24"/>
          <w:highlight w:val="none"/>
          <w:lang w:val="zh-CN" w:eastAsia="zh-CN" w:bidi="ar-SA"/>
        </w:rPr>
      </w:pPr>
      <w:r>
        <w:rPr>
          <w:rFonts w:hint="eastAsia" w:ascii="宋体" w:hAnsi="宋体" w:eastAsia="宋体" w:cs="宋体"/>
          <w:color w:val="auto"/>
          <w:kern w:val="2"/>
          <w:sz w:val="21"/>
          <w:szCs w:val="24"/>
          <w:highlight w:val="none"/>
          <w:lang w:val="en-US" w:eastAsia="zh-CN" w:bidi="ar-SA"/>
        </w:rPr>
        <w:t>1.申请人最大</w:t>
      </w:r>
      <w:r>
        <w:rPr>
          <w:rFonts w:hint="eastAsia" w:ascii="宋体" w:hAnsi="宋体" w:eastAsia="宋体" w:cs="宋体"/>
          <w:color w:val="auto"/>
          <w:kern w:val="2"/>
          <w:sz w:val="21"/>
          <w:szCs w:val="24"/>
          <w:highlight w:val="none"/>
          <w:lang w:val="zh-CN" w:eastAsia="zh-CN" w:bidi="ar-SA"/>
        </w:rPr>
        <w:t>承诺</w:t>
      </w:r>
      <w:r>
        <w:rPr>
          <w:rFonts w:hint="eastAsia" w:ascii="宋体" w:hAnsi="宋体" w:eastAsia="宋体" w:cs="宋体"/>
          <w:color w:val="auto"/>
          <w:kern w:val="2"/>
          <w:sz w:val="21"/>
          <w:szCs w:val="24"/>
          <w:highlight w:val="none"/>
          <w:lang w:val="en-US" w:eastAsia="zh-CN" w:bidi="ar-SA"/>
        </w:rPr>
        <w:t>接收委托人</w:t>
      </w:r>
      <w:r>
        <w:rPr>
          <w:rFonts w:hint="eastAsia" w:ascii="宋体" w:hAnsi="宋体" w:eastAsia="宋体" w:cs="宋体"/>
          <w:color w:val="auto"/>
          <w:kern w:val="2"/>
          <w:sz w:val="21"/>
          <w:szCs w:val="21"/>
          <w:highlight w:val="none"/>
          <w:lang w:val="en-US" w:eastAsia="zh-CN" w:bidi="ar-SA"/>
        </w:rPr>
        <w:t>污泥</w:t>
      </w:r>
      <w:r>
        <w:rPr>
          <w:rFonts w:hint="eastAsia" w:ascii="宋体" w:hAnsi="宋体" w:eastAsia="宋体" w:cs="宋体"/>
          <w:color w:val="auto"/>
          <w:kern w:val="2"/>
          <w:sz w:val="21"/>
          <w:szCs w:val="24"/>
          <w:highlight w:val="none"/>
          <w:lang w:val="zh-CN" w:eastAsia="zh-CN" w:bidi="ar-SA"/>
        </w:rPr>
        <w:t>的</w:t>
      </w:r>
      <w:r>
        <w:rPr>
          <w:rFonts w:hint="eastAsia" w:ascii="宋体" w:hAnsi="宋体" w:eastAsia="宋体" w:cs="宋体"/>
          <w:color w:val="auto"/>
          <w:kern w:val="2"/>
          <w:sz w:val="21"/>
          <w:szCs w:val="24"/>
          <w:highlight w:val="none"/>
          <w:lang w:val="en-US" w:eastAsia="zh-CN" w:bidi="ar-SA"/>
        </w:rPr>
        <w:t>接收</w:t>
      </w:r>
      <w:r>
        <w:rPr>
          <w:rFonts w:hint="eastAsia" w:ascii="宋体" w:hAnsi="宋体" w:eastAsia="宋体" w:cs="宋体"/>
          <w:color w:val="auto"/>
          <w:kern w:val="2"/>
          <w:sz w:val="21"/>
          <w:szCs w:val="24"/>
          <w:highlight w:val="none"/>
          <w:lang w:val="zh-CN" w:eastAsia="zh-CN" w:bidi="ar-SA"/>
        </w:rPr>
        <w:t>量应不超过其处置能力证明材料</w:t>
      </w:r>
      <w:r>
        <w:rPr>
          <w:rFonts w:hint="eastAsia" w:ascii="宋体" w:hAnsi="宋体" w:eastAsia="宋体" w:cs="宋体"/>
          <w:color w:val="auto"/>
          <w:kern w:val="2"/>
          <w:sz w:val="21"/>
          <w:szCs w:val="24"/>
          <w:highlight w:val="none"/>
          <w:lang w:val="en-US" w:eastAsia="zh-CN" w:bidi="ar-SA"/>
        </w:rPr>
        <w:t>污泥处置量（日均）（年度处置量折算为日处置量时按365天计算，如某单位环评接收量为25万吨/年的，则最大承诺接收量不得大于684.93吨/日，计算过程：250000/365=684.93）。</w:t>
      </w:r>
    </w:p>
    <w:p w14:paraId="26A4C774">
      <w:pPr>
        <w:widowControl/>
        <w:numPr>
          <w:ilvl w:val="0"/>
          <w:numId w:val="0"/>
        </w:numPr>
        <w:spacing w:after="0"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若环评批复内已明确接收污泥的含水率，不同含水率处置量的折算公式：（1-Y%）/（1-55%）×A，其中Y%是指环评批复的污泥含水率（绝干为0%），如该含水率是区间值，按区间的最大值计算。A为环评批复的处置量。若环评批复未明确接收污泥的含水率，则不作折算。</w:t>
      </w:r>
    </w:p>
    <w:p w14:paraId="79031924">
      <w:pPr>
        <w:widowControl/>
        <w:numPr>
          <w:ilvl w:val="0"/>
          <w:numId w:val="0"/>
        </w:numPr>
        <w:autoSpaceDE/>
        <w:autoSpaceDN/>
        <w:adjustRightInd/>
        <w:spacing w:line="360" w:lineRule="auto"/>
        <w:jc w:val="left"/>
        <w:rPr>
          <w:rFonts w:hint="eastAsia" w:ascii="宋体" w:hAnsi="宋体" w:eastAsia="宋体" w:cs="宋体"/>
          <w:color w:val="auto"/>
          <w:kern w:val="2"/>
          <w:sz w:val="21"/>
          <w:szCs w:val="24"/>
          <w:highlight w:val="none"/>
          <w:lang w:bidi="ar-SA"/>
        </w:rPr>
      </w:pPr>
      <w:r>
        <w:rPr>
          <w:rFonts w:hint="eastAsia" w:ascii="宋体" w:hAnsi="宋体" w:eastAsia="宋体" w:cs="宋体"/>
          <w:b w:val="0"/>
          <w:bCs w:val="0"/>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bidi="ar-SA"/>
        </w:rPr>
        <w:t>本方案所指污泥/泥粉是指城镇生活污水处理厂在污水净水处理过程中产生的半干化泥粉,若《环境影响评价文件批复》或《环境影响评价文件》有细分污泥种类，污泥处理处置能力的污泥范畴包括市政污泥、生活污泥或污水处理厂污泥</w:t>
      </w:r>
      <w:r>
        <w:rPr>
          <w:rFonts w:hint="eastAsia" w:ascii="宋体" w:hAnsi="宋体" w:eastAsia="宋体" w:cs="宋体"/>
          <w:color w:val="auto"/>
          <w:kern w:val="2"/>
          <w:sz w:val="21"/>
          <w:szCs w:val="24"/>
          <w:highlight w:val="none"/>
          <w:lang w:eastAsia="zh-CN" w:bidi="ar-SA"/>
        </w:rPr>
        <w:t>，</w:t>
      </w:r>
      <w:r>
        <w:rPr>
          <w:rFonts w:hint="eastAsia" w:ascii="宋体" w:hAnsi="宋体" w:eastAsia="宋体" w:cs="宋体"/>
          <w:color w:val="auto"/>
          <w:kern w:val="2"/>
          <w:sz w:val="21"/>
          <w:szCs w:val="24"/>
          <w:highlight w:val="none"/>
          <w:lang w:val="en-US" w:eastAsia="zh-CN" w:bidi="ar-SA"/>
        </w:rPr>
        <w:t>按前期核查双方确认的资料为准</w:t>
      </w:r>
      <w:r>
        <w:rPr>
          <w:rFonts w:hint="eastAsia" w:ascii="宋体" w:hAnsi="宋体" w:eastAsia="宋体" w:cs="宋体"/>
          <w:color w:val="auto"/>
          <w:kern w:val="2"/>
          <w:sz w:val="21"/>
          <w:szCs w:val="24"/>
          <w:highlight w:val="none"/>
          <w:lang w:bidi="ar-SA"/>
        </w:rPr>
        <w:t>。</w:t>
      </w:r>
    </w:p>
    <w:p w14:paraId="15F332BD">
      <w:pPr>
        <w:widowControl/>
        <w:numPr>
          <w:ilvl w:val="0"/>
          <w:numId w:val="0"/>
        </w:numPr>
        <w:spacing w:after="0" w:line="360" w:lineRule="auto"/>
        <w:jc w:val="left"/>
        <w:rPr>
          <w:rFonts w:hint="eastAsia" w:ascii="宋体" w:hAnsi="宋体" w:eastAsia="宋体" w:cs="宋体"/>
          <w:b w:val="0"/>
          <w:bCs w:val="0"/>
          <w:color w:val="auto"/>
          <w:kern w:val="2"/>
          <w:sz w:val="21"/>
          <w:szCs w:val="24"/>
          <w:highlight w:val="none"/>
          <w:u w:val="none"/>
          <w:lang w:val="en-US"/>
        </w:rPr>
      </w:pPr>
      <w:r>
        <w:rPr>
          <w:rFonts w:hint="eastAsia" w:ascii="宋体" w:hAnsi="宋体" w:eastAsia="宋体" w:cs="宋体"/>
          <w:b w:val="0"/>
          <w:bCs w:val="0"/>
          <w:color w:val="auto"/>
          <w:kern w:val="2"/>
          <w:sz w:val="21"/>
          <w:szCs w:val="24"/>
          <w:highlight w:val="none"/>
          <w:lang w:val="en-US" w:eastAsia="zh-CN" w:bidi="ar-SA"/>
        </w:rPr>
        <w:t>4.</w:t>
      </w:r>
      <w:r>
        <w:rPr>
          <w:rFonts w:hint="eastAsia" w:ascii="宋体" w:hAnsi="宋体" w:eastAsia="宋体" w:cs="宋体"/>
          <w:b w:val="0"/>
          <w:bCs w:val="0"/>
          <w:color w:val="auto"/>
          <w:kern w:val="2"/>
          <w:sz w:val="21"/>
          <w:szCs w:val="24"/>
          <w:highlight w:val="none"/>
          <w:u w:val="none"/>
          <w:lang w:val="en-US" w:eastAsia="zh-CN"/>
        </w:rPr>
        <w:t>申请人</w:t>
      </w:r>
      <w:r>
        <w:rPr>
          <w:rFonts w:hint="eastAsia" w:ascii="宋体" w:hAnsi="宋体" w:eastAsia="宋体" w:cs="宋体"/>
          <w:b w:val="0"/>
          <w:bCs w:val="0"/>
          <w:color w:val="auto"/>
          <w:kern w:val="2"/>
          <w:sz w:val="21"/>
          <w:szCs w:val="24"/>
          <w:highlight w:val="none"/>
          <w:u w:val="none"/>
          <w:lang w:val="en-US"/>
        </w:rPr>
        <w:t>参与报价时，需附上</w:t>
      </w:r>
      <w:r>
        <w:rPr>
          <w:rFonts w:hint="eastAsia" w:ascii="宋体" w:hAnsi="宋体" w:eastAsia="宋体" w:cs="宋体"/>
          <w:b w:val="0"/>
          <w:bCs w:val="0"/>
          <w:color w:val="auto"/>
          <w:kern w:val="2"/>
          <w:sz w:val="21"/>
          <w:szCs w:val="24"/>
          <w:highlight w:val="none"/>
          <w:u w:val="none"/>
          <w:lang w:val="en-US" w:eastAsia="zh-CN"/>
        </w:rPr>
        <w:t>余泥</w:t>
      </w:r>
      <w:r>
        <w:rPr>
          <w:rFonts w:hint="eastAsia" w:ascii="宋体" w:hAnsi="宋体" w:eastAsia="宋体" w:cs="宋体"/>
          <w:b w:val="0"/>
          <w:bCs w:val="0"/>
          <w:color w:val="auto"/>
          <w:kern w:val="2"/>
          <w:sz w:val="21"/>
          <w:szCs w:val="24"/>
          <w:highlight w:val="none"/>
          <w:u w:val="none"/>
          <w:lang w:val="en-US"/>
        </w:rPr>
        <w:t>接收量承诺函，承诺接收量</w:t>
      </w:r>
      <w:r>
        <w:rPr>
          <w:rFonts w:hint="eastAsia" w:ascii="宋体" w:hAnsi="宋体" w:eastAsia="宋体" w:cs="宋体"/>
          <w:b w:val="0"/>
          <w:bCs w:val="0"/>
          <w:color w:val="auto"/>
          <w:kern w:val="2"/>
          <w:sz w:val="21"/>
          <w:szCs w:val="24"/>
          <w:highlight w:val="none"/>
          <w:u w:val="none"/>
          <w:lang w:val="en-US" w:eastAsia="zh-CN"/>
        </w:rPr>
        <w:t>需大于本项目余泥</w:t>
      </w:r>
      <w:r>
        <w:rPr>
          <w:rFonts w:hint="eastAsia" w:ascii="宋体" w:hAnsi="宋体" w:eastAsia="宋体" w:cs="宋体"/>
          <w:b w:val="0"/>
          <w:bCs w:val="0"/>
          <w:color w:val="auto"/>
          <w:kern w:val="2"/>
          <w:sz w:val="21"/>
          <w:szCs w:val="24"/>
          <w:highlight w:val="none"/>
          <w:u w:val="none"/>
          <w:lang w:val="en-US"/>
        </w:rPr>
        <w:t>总产量</w:t>
      </w:r>
      <w:r>
        <w:rPr>
          <w:rFonts w:hint="eastAsia" w:ascii="宋体" w:hAnsi="宋体" w:eastAsia="宋体" w:cs="宋体"/>
          <w:b w:val="0"/>
          <w:bCs w:val="0"/>
          <w:color w:val="auto"/>
          <w:kern w:val="2"/>
          <w:sz w:val="21"/>
          <w:szCs w:val="24"/>
          <w:highlight w:val="none"/>
          <w:u w:val="none"/>
          <w:lang w:val="en-US" w:eastAsia="zh-CN"/>
        </w:rPr>
        <w:t>43吨/天，不符合前述要求的申请文件将被视为无效</w:t>
      </w:r>
      <w:r>
        <w:rPr>
          <w:rFonts w:hint="eastAsia" w:ascii="宋体" w:hAnsi="宋体" w:eastAsia="宋体" w:cs="宋体"/>
          <w:b w:val="0"/>
          <w:bCs w:val="0"/>
          <w:color w:val="auto"/>
          <w:kern w:val="2"/>
          <w:sz w:val="21"/>
          <w:szCs w:val="24"/>
          <w:highlight w:val="none"/>
          <w:u w:val="none"/>
          <w:lang w:val="en-US"/>
        </w:rPr>
        <w:t>。</w:t>
      </w:r>
    </w:p>
    <w:p w14:paraId="2609D1C0">
      <w:pPr>
        <w:pStyle w:val="2"/>
        <w:rPr>
          <w:rFonts w:hint="eastAsia" w:ascii="宋体" w:hAnsi="宋体" w:eastAsia="宋体" w:cs="宋体"/>
        </w:rPr>
      </w:pPr>
    </w:p>
    <w:p w14:paraId="5637360B">
      <w:pPr>
        <w:pStyle w:val="140"/>
        <w:spacing w:line="360" w:lineRule="auto"/>
        <w:ind w:firstLine="420"/>
        <w:rPr>
          <w:rFonts w:hint="eastAsia" w:ascii="宋体" w:hAnsi="宋体" w:eastAsia="宋体" w:cs="宋体"/>
          <w:b/>
          <w:bCs/>
          <w:color w:val="000000" w:themeColor="text1"/>
          <w:highlight w:val="none"/>
          <w:u w:val="none"/>
          <w14:textFill>
            <w14:solidFill>
              <w14:schemeClr w14:val="tx1"/>
            </w14:solidFill>
          </w14:textFill>
        </w:rPr>
      </w:pPr>
    </w:p>
    <w:p w14:paraId="7B9AC33B">
      <w:pPr>
        <w:widowControl w:val="0"/>
        <w:spacing w:after="0" w:line="360" w:lineRule="auto"/>
        <w:jc w:val="both"/>
        <w:rPr>
          <w:rFonts w:hint="eastAsia" w:ascii="宋体" w:hAnsi="宋体" w:eastAsia="宋体" w:cs="宋体"/>
          <w:b/>
          <w:bCs/>
          <w:color w:val="000000" w:themeColor="text1"/>
          <w:kern w:val="2"/>
          <w:sz w:val="28"/>
          <w:szCs w:val="24"/>
          <w:highlight w:val="none"/>
          <w:lang w:val="en-US" w:eastAsia="zh-CN" w:bidi="ar-SA"/>
          <w14:textFill>
            <w14:solidFill>
              <w14:schemeClr w14:val="tx1"/>
            </w14:solidFill>
          </w14:textFill>
        </w:rPr>
      </w:pPr>
    </w:p>
    <w:bookmarkEnd w:id="725"/>
    <w:bookmarkEnd w:id="726"/>
    <w:bookmarkEnd w:id="727"/>
    <w:p w14:paraId="63ABF241">
      <w:pPr>
        <w:widowControl w:val="0"/>
        <w:spacing w:after="0" w:line="360" w:lineRule="auto"/>
        <w:jc w:val="both"/>
        <w:rPr>
          <w:rFonts w:hint="eastAsia" w:ascii="宋体" w:hAnsi="宋体" w:eastAsia="宋体" w:cs="宋体"/>
          <w:b/>
          <w:bCs/>
          <w:color w:val="000000" w:themeColor="text1"/>
          <w:kern w:val="2"/>
          <w:sz w:val="28"/>
          <w:szCs w:val="24"/>
          <w:highlight w:val="none"/>
          <w:lang w:val="en-US" w:eastAsia="zh-CN" w:bidi="ar-SA"/>
          <w14:textFill>
            <w14:solidFill>
              <w14:schemeClr w14:val="tx1"/>
            </w14:solidFill>
          </w14:textFill>
        </w:rPr>
      </w:pPr>
    </w:p>
    <w:p w14:paraId="38A89B5F">
      <w:pPr>
        <w:widowControl w:val="0"/>
        <w:numPr>
          <w:ilvl w:val="0"/>
          <w:numId w:val="0"/>
        </w:numPr>
        <w:spacing w:after="120"/>
        <w:jc w:val="both"/>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p>
    <w:p w14:paraId="6D430890">
      <w:pPr>
        <w:keepNext/>
        <w:keepLines/>
        <w:pageBreakBefore/>
        <w:widowControl w:val="0"/>
        <w:adjustRightInd w:val="0"/>
        <w:spacing w:before="0" w:after="0" w:line="360" w:lineRule="auto"/>
        <w:jc w:val="center"/>
        <w:textAlignment w:val="baseline"/>
        <w:outlineLvl w:val="1"/>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pPr>
      <w:bookmarkStart w:id="728" w:name="_Toc16810"/>
      <w:bookmarkStart w:id="729" w:name="_Toc15557"/>
      <w:bookmarkStart w:id="730" w:name="_Toc6581"/>
      <w:bookmarkStart w:id="731" w:name="_Toc10955"/>
      <w:bookmarkStart w:id="732" w:name="_Toc30676"/>
      <w: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t>二、用户需求响应情况</w:t>
      </w:r>
      <w:bookmarkEnd w:id="728"/>
      <w:bookmarkEnd w:id="729"/>
      <w:bookmarkEnd w:id="730"/>
      <w:bookmarkEnd w:id="731"/>
      <w:bookmarkEnd w:id="732"/>
    </w:p>
    <w:p w14:paraId="11064BC0">
      <w:pPr>
        <w:autoSpaceDE/>
        <w:autoSpaceDN/>
        <w:adjustRightInd/>
        <w:spacing w:line="360" w:lineRule="auto"/>
        <w:jc w:val="center"/>
        <w:rPr>
          <w:rFonts w:hint="eastAsia" w:ascii="宋体" w:hAnsi="宋体" w:eastAsia="宋体" w:cs="宋体"/>
          <w:b/>
          <w:color w:val="000000" w:themeColor="text1"/>
          <w:kern w:val="2"/>
          <w:sz w:val="21"/>
          <w:highlight w:val="none"/>
          <w14:textFill>
            <w14:solidFill>
              <w14:schemeClr w14:val="tx1"/>
            </w14:solidFill>
          </w14:textFill>
        </w:rPr>
      </w:pPr>
      <w:r>
        <w:rPr>
          <w:rFonts w:hint="eastAsia" w:ascii="宋体" w:hAnsi="宋体" w:eastAsia="宋体" w:cs="宋体"/>
          <w:b/>
          <w:color w:val="000000" w:themeColor="text1"/>
          <w:kern w:val="2"/>
          <w:sz w:val="21"/>
          <w:highlight w:val="none"/>
          <w14:textFill>
            <w14:solidFill>
              <w14:schemeClr w14:val="tx1"/>
            </w14:solidFill>
          </w14:textFill>
        </w:rPr>
        <w:t>用户需求偏离表格式</w:t>
      </w:r>
    </w:p>
    <w:tbl>
      <w:tblPr>
        <w:tblStyle w:val="3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4403"/>
        <w:gridCol w:w="1207"/>
        <w:gridCol w:w="1991"/>
      </w:tblGrid>
      <w:tr w14:paraId="079F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46" w:type="pct"/>
            <w:vMerge w:val="restart"/>
            <w:tcBorders>
              <w:top w:val="single" w:color="auto" w:sz="4" w:space="0"/>
              <w:left w:val="single" w:color="auto" w:sz="4" w:space="0"/>
              <w:right w:val="single" w:color="auto" w:sz="4" w:space="0"/>
            </w:tcBorders>
            <w:vAlign w:val="center"/>
          </w:tcPr>
          <w:p w14:paraId="402B1380">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2638" w:type="pct"/>
            <w:tcBorders>
              <w:top w:val="single" w:color="auto" w:sz="4" w:space="0"/>
              <w:left w:val="single" w:color="auto" w:sz="4" w:space="0"/>
              <w:bottom w:val="single" w:color="auto" w:sz="4" w:space="0"/>
              <w:right w:val="single" w:color="auto" w:sz="4" w:space="0"/>
            </w:tcBorders>
            <w:vAlign w:val="center"/>
          </w:tcPr>
          <w:p w14:paraId="6DE044F0">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需求书要求</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E56BE18">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申请文件内容</w:t>
            </w:r>
          </w:p>
        </w:tc>
      </w:tr>
      <w:tr w14:paraId="2CA2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6" w:type="pct"/>
            <w:vMerge w:val="continue"/>
            <w:tcBorders>
              <w:left w:val="single" w:color="auto" w:sz="4" w:space="0"/>
              <w:bottom w:val="single" w:color="auto" w:sz="4" w:space="0"/>
              <w:right w:val="single" w:color="auto" w:sz="4" w:space="0"/>
            </w:tcBorders>
            <w:vAlign w:val="center"/>
          </w:tcPr>
          <w:p w14:paraId="249A12C4">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2638" w:type="pct"/>
            <w:tcBorders>
              <w:top w:val="single" w:color="auto" w:sz="4" w:space="0"/>
              <w:left w:val="single" w:color="auto" w:sz="4" w:space="0"/>
              <w:bottom w:val="single" w:color="auto" w:sz="4" w:space="0"/>
              <w:right w:val="single" w:color="auto" w:sz="4" w:space="0"/>
            </w:tcBorders>
            <w:vAlign w:val="center"/>
          </w:tcPr>
          <w:p w14:paraId="2C3DA44A">
            <w:pPr>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简要内容</w:t>
            </w:r>
          </w:p>
        </w:tc>
        <w:tc>
          <w:tcPr>
            <w:tcW w:w="723" w:type="pct"/>
            <w:tcBorders>
              <w:top w:val="single" w:color="auto" w:sz="4" w:space="0"/>
              <w:left w:val="single" w:color="auto" w:sz="4" w:space="0"/>
              <w:bottom w:val="single" w:color="auto" w:sz="4" w:space="0"/>
              <w:right w:val="single" w:color="auto" w:sz="4" w:space="0"/>
            </w:tcBorders>
            <w:vAlign w:val="center"/>
          </w:tcPr>
          <w:p w14:paraId="6D74C91D">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偏离情况</w:t>
            </w:r>
          </w:p>
        </w:tc>
        <w:tc>
          <w:tcPr>
            <w:tcW w:w="1191" w:type="pct"/>
            <w:tcBorders>
              <w:top w:val="single" w:color="auto" w:sz="4" w:space="0"/>
              <w:left w:val="single" w:color="auto" w:sz="4" w:space="0"/>
              <w:bottom w:val="single" w:color="auto" w:sz="4" w:space="0"/>
              <w:right w:val="single" w:color="auto" w:sz="4" w:space="0"/>
            </w:tcBorders>
            <w:vAlign w:val="center"/>
          </w:tcPr>
          <w:p w14:paraId="67F8DB0F">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具体偏离内容</w:t>
            </w:r>
          </w:p>
        </w:tc>
      </w:tr>
      <w:tr w14:paraId="7C72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69E1191A">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2638" w:type="pct"/>
            <w:tcBorders>
              <w:top w:val="single" w:color="auto" w:sz="4" w:space="0"/>
              <w:left w:val="single" w:color="auto" w:sz="4" w:space="0"/>
              <w:bottom w:val="single" w:color="auto" w:sz="4" w:space="0"/>
              <w:right w:val="single" w:color="auto" w:sz="4" w:space="0"/>
            </w:tcBorders>
            <w:vAlign w:val="center"/>
          </w:tcPr>
          <w:p w14:paraId="18055DC3">
            <w:pPr>
              <w:keepNext w:val="0"/>
              <w:keepLines w:val="0"/>
              <w:widowControl w:val="0"/>
              <w:suppressLineNumbers w:val="0"/>
              <w:spacing w:before="0" w:beforeAutospacing="0" w:after="0" w:afterAutospacing="0" w:line="360" w:lineRule="exact"/>
              <w:ind w:left="0" w:right="0" w:firstLine="0" w:firstLineChars="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tc>
        <w:tc>
          <w:tcPr>
            <w:tcW w:w="723" w:type="pct"/>
            <w:tcBorders>
              <w:top w:val="single" w:color="auto" w:sz="4" w:space="0"/>
              <w:left w:val="single" w:color="auto" w:sz="4" w:space="0"/>
              <w:bottom w:val="single" w:color="auto" w:sz="4" w:space="0"/>
              <w:right w:val="single" w:color="auto" w:sz="4" w:space="0"/>
            </w:tcBorders>
            <w:vAlign w:val="center"/>
          </w:tcPr>
          <w:p w14:paraId="00F82224">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4BD4E06C">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0C7A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0DF69B4E">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2638" w:type="pct"/>
            <w:tcBorders>
              <w:top w:val="single" w:color="auto" w:sz="4" w:space="0"/>
              <w:left w:val="single" w:color="auto" w:sz="4" w:space="0"/>
              <w:bottom w:val="single" w:color="auto" w:sz="4" w:space="0"/>
              <w:right w:val="single" w:color="auto" w:sz="4" w:space="0"/>
            </w:tcBorders>
            <w:vAlign w:val="center"/>
          </w:tcPr>
          <w:p w14:paraId="43FFDB14">
            <w:pPr>
              <w:keepNext w:val="0"/>
              <w:keepLines w:val="0"/>
              <w:widowControl w:val="0"/>
              <w:suppressLineNumbers w:val="0"/>
              <w:spacing w:before="0" w:beforeAutospacing="0" w:after="0" w:afterAutospacing="0" w:line="360" w:lineRule="exact"/>
              <w:ind w:left="0" w:right="0" w:firstLine="0" w:firstLineChars="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tc>
        <w:tc>
          <w:tcPr>
            <w:tcW w:w="723" w:type="pct"/>
            <w:tcBorders>
              <w:top w:val="single" w:color="auto" w:sz="4" w:space="0"/>
              <w:left w:val="single" w:color="auto" w:sz="4" w:space="0"/>
              <w:bottom w:val="single" w:color="auto" w:sz="4" w:space="0"/>
              <w:right w:val="single" w:color="auto" w:sz="4" w:space="0"/>
            </w:tcBorders>
            <w:vAlign w:val="center"/>
          </w:tcPr>
          <w:p w14:paraId="7D8D61D2">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07994669">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4D22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01861B33">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2638" w:type="pct"/>
            <w:tcBorders>
              <w:top w:val="single" w:color="auto" w:sz="4" w:space="0"/>
              <w:left w:val="single" w:color="auto" w:sz="4" w:space="0"/>
              <w:bottom w:val="single" w:color="auto" w:sz="4" w:space="0"/>
              <w:right w:val="single" w:color="auto" w:sz="4" w:space="0"/>
            </w:tcBorders>
            <w:vAlign w:val="center"/>
          </w:tcPr>
          <w:p w14:paraId="3AB2B0B8">
            <w:pPr>
              <w:keepNext w:val="0"/>
              <w:keepLines w:val="0"/>
              <w:widowControl w:val="0"/>
              <w:suppressLineNumbers w:val="0"/>
              <w:spacing w:before="0" w:beforeAutospacing="0" w:after="0" w:afterAutospacing="0" w:line="360" w:lineRule="exact"/>
              <w:ind w:left="0" w:right="0" w:firstLine="0" w:firstLineChars="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tc>
        <w:tc>
          <w:tcPr>
            <w:tcW w:w="723" w:type="pct"/>
            <w:tcBorders>
              <w:top w:val="single" w:color="auto" w:sz="4" w:space="0"/>
              <w:left w:val="single" w:color="auto" w:sz="4" w:space="0"/>
              <w:bottom w:val="single" w:color="auto" w:sz="4" w:space="0"/>
              <w:right w:val="single" w:color="auto" w:sz="4" w:space="0"/>
            </w:tcBorders>
            <w:vAlign w:val="center"/>
          </w:tcPr>
          <w:p w14:paraId="4501F832">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p w14:paraId="3233CE05">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color w:val="000000" w:themeColor="text1"/>
                <w:kern w:val="2"/>
                <w:sz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104FCACD">
            <w:pPr>
              <w:keepNext w:val="0"/>
              <w:keepLines w:val="0"/>
              <w:suppressLineNumbers w:val="0"/>
              <w:autoSpaceDE/>
              <w:autoSpaceDN/>
              <w:adjustRightInd/>
              <w:spacing w:before="0" w:beforeAutospacing="0" w:after="0" w:afterAutospacing="0" w:line="30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F92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9428802">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用户需求书“★”条款汇总：</w:t>
            </w:r>
          </w:p>
        </w:tc>
      </w:tr>
      <w:tr w14:paraId="043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left w:val="single" w:color="auto" w:sz="4" w:space="0"/>
              <w:right w:val="single" w:color="auto" w:sz="4" w:space="0"/>
            </w:tcBorders>
            <w:vAlign w:val="center"/>
          </w:tcPr>
          <w:p w14:paraId="4EF30D45">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一．项目概况</w:t>
            </w:r>
          </w:p>
        </w:tc>
        <w:tc>
          <w:tcPr>
            <w:tcW w:w="2638" w:type="pct"/>
            <w:tcBorders>
              <w:top w:val="single" w:color="auto" w:sz="4" w:space="0"/>
              <w:left w:val="single" w:color="auto" w:sz="4" w:space="0"/>
              <w:bottom w:val="single" w:color="auto" w:sz="4" w:space="0"/>
              <w:right w:val="single" w:color="auto" w:sz="4" w:space="0"/>
            </w:tcBorders>
            <w:vAlign w:val="center"/>
          </w:tcPr>
          <w:p w14:paraId="5FF5C7AD">
            <w:pPr>
              <w:keepNext w:val="0"/>
              <w:keepLines w:val="0"/>
              <w:suppressLineNumbers w:val="0"/>
              <w:autoSpaceDE/>
              <w:autoSpaceDN/>
              <w:adjustRightInd/>
              <w:spacing w:before="0" w:beforeAutospacing="0" w:after="0" w:afterAutospacing="0" w:line="300" w:lineRule="auto"/>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委托人将</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12家</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等</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供水厂的余泥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外运处置服务权，</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通过</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库内竞价</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方式</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分配，按低价者优先</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的分配原则，</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通过库内竞价方式（提交一次报价），按照报价由低到高的顺序推荐成交候选人，顺序第一名的申请人推荐为</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候选常态化处置单位，</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由其负责开展</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日常外运处置工作；其余顺序的申请人为候选应急处置单位</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在常态化处置的</w:t>
            </w:r>
            <w:r>
              <w:rPr>
                <w:rFonts w:hint="eastAsia" w:ascii="宋体" w:hAnsi="宋体" w:eastAsia="宋体" w:cs="宋体"/>
                <w:b w:val="0"/>
                <w:bCs w:val="0"/>
                <w:color w:val="000000" w:themeColor="text1"/>
                <w:sz w:val="21"/>
                <w:szCs w:val="21"/>
                <w:highlight w:val="none"/>
                <w:u w:val="none"/>
                <w:lang w:eastAsia="zh-CN" w:bidi="ar"/>
                <w14:textFill>
                  <w14:solidFill>
                    <w14:schemeClr w14:val="tx1"/>
                  </w14:solidFill>
                </w14:textFill>
              </w:rPr>
              <w:t>成交人</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无法满足外运处置需求期间，协助开展</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余泥</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应急外运处置工作。</w:t>
            </w:r>
          </w:p>
        </w:tc>
        <w:tc>
          <w:tcPr>
            <w:tcW w:w="723" w:type="pct"/>
            <w:tcBorders>
              <w:top w:val="single" w:color="auto" w:sz="4" w:space="0"/>
              <w:left w:val="single" w:color="auto" w:sz="4" w:space="0"/>
              <w:bottom w:val="single" w:color="auto" w:sz="4" w:space="0"/>
              <w:right w:val="single" w:color="auto" w:sz="4" w:space="0"/>
            </w:tcBorders>
            <w:vAlign w:val="center"/>
          </w:tcPr>
          <w:p w14:paraId="30E6F883">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0BA60CC2">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r w14:paraId="4585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left w:val="single" w:color="auto" w:sz="4" w:space="0"/>
              <w:right w:val="single" w:color="auto" w:sz="4" w:space="0"/>
            </w:tcBorders>
            <w:vAlign w:val="center"/>
          </w:tcPr>
          <w:p w14:paraId="3A2E0B06">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二、服务范围及处置服务费</w:t>
            </w:r>
          </w:p>
          <w:p w14:paraId="08256955">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638" w:type="pct"/>
            <w:tcBorders>
              <w:top w:val="single" w:color="auto" w:sz="4" w:space="0"/>
              <w:left w:val="single" w:color="auto" w:sz="4" w:space="0"/>
              <w:bottom w:val="single" w:color="auto" w:sz="4" w:space="0"/>
              <w:right w:val="single" w:color="auto" w:sz="4" w:space="0"/>
            </w:tcBorders>
            <w:vAlign w:val="center"/>
          </w:tcPr>
          <w:p w14:paraId="7E803552">
            <w:pPr>
              <w:keepNext w:val="0"/>
              <w:keepLines w:val="0"/>
              <w:suppressLineNumbers w:val="0"/>
              <w:autoSpaceDE/>
              <w:autoSpaceDN/>
              <w:adjustRightInd/>
              <w:spacing w:before="0" w:beforeAutospacing="0" w:after="0" w:afterAutospacing="0" w:line="300" w:lineRule="auto"/>
              <w:ind w:left="0" w:right="0" w:firstLine="420" w:firstLineChars="200"/>
              <w:jc w:val="both"/>
              <w:rPr>
                <w:rFonts w:hint="eastAsia" w:ascii="宋体" w:hAnsi="宋体" w:eastAsia="宋体" w:cs="宋体"/>
                <w:b w:val="0"/>
                <w:bCs w:val="0"/>
                <w:color w:val="000000" w:themeColor="text1"/>
                <w:sz w:val="21"/>
                <w:szCs w:val="21"/>
                <w:highlight w:val="none"/>
                <w:u w:val="none"/>
                <w:lang w:val="zh-CN" w:bidi="ar"/>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★将</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委托人</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余泥</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运输至</w:t>
            </w:r>
            <w:r>
              <w:rPr>
                <w:rFonts w:hint="eastAsia" w:ascii="宋体" w:hAnsi="宋体" w:eastAsia="宋体" w:cs="宋体"/>
                <w:b w:val="0"/>
                <w:bCs w:val="0"/>
                <w:color w:val="000000" w:themeColor="text1"/>
                <w:sz w:val="21"/>
                <w:szCs w:val="21"/>
                <w:highlight w:val="none"/>
                <w:u w:val="none"/>
                <w:lang w:val="en-US" w:eastAsia="zh-CN" w:bidi="ar"/>
                <w14:textFill>
                  <w14:solidFill>
                    <w14:schemeClr w14:val="tx1"/>
                  </w14:solidFill>
                </w14:textFill>
              </w:rPr>
              <w:t>申请人</w:t>
            </w:r>
            <w:r>
              <w:rPr>
                <w:rFonts w:hint="eastAsia" w:ascii="宋体" w:hAnsi="宋体" w:eastAsia="宋体" w:cs="宋体"/>
                <w:b w:val="0"/>
                <w:bCs w:val="0"/>
                <w:color w:val="000000" w:themeColor="text1"/>
                <w:sz w:val="21"/>
                <w:szCs w:val="21"/>
                <w:highlight w:val="none"/>
                <w:u w:val="none"/>
                <w:lang w:val="en-US" w:bidi="ar"/>
                <w14:textFill>
                  <w14:solidFill>
                    <w14:schemeClr w14:val="tx1"/>
                  </w14:solidFill>
                </w14:textFill>
              </w:rPr>
              <w:t>处置场所依法进行资源化处置，本次库内分配</w:t>
            </w:r>
            <w:r>
              <w:rPr>
                <w:rFonts w:hint="eastAsia" w:ascii="宋体" w:hAnsi="宋体" w:eastAsia="宋体" w:cs="宋体"/>
                <w:b w:val="0"/>
                <w:bCs w:val="0"/>
                <w:color w:val="000000" w:themeColor="text1"/>
                <w:sz w:val="21"/>
                <w:szCs w:val="21"/>
                <w:highlight w:val="none"/>
                <w:u w:val="none"/>
                <w:lang w:bidi="ar"/>
                <w14:textFill>
                  <w14:solidFill>
                    <w14:schemeClr w14:val="tx1"/>
                  </w14:solidFill>
                </w14:textFill>
              </w:rPr>
              <w:t>服务期自2025年7月7日起至委托人重新公开采购确定的服务单位开始接收余泥之日，具体以委托人书面通知终止日期为准，除合同双方签订补充协议延期外，本合同服务期最长不超过2026年1月6日。</w:t>
            </w:r>
          </w:p>
          <w:p w14:paraId="1297C9D6">
            <w:pPr>
              <w:keepNext w:val="0"/>
              <w:keepLines w:val="0"/>
              <w:suppressLineNumbers w:val="0"/>
              <w:autoSpaceDE/>
              <w:autoSpaceDN/>
              <w:adjustRightInd/>
              <w:spacing w:before="0" w:beforeAutospacing="0" w:after="0" w:afterAutospacing="0" w:line="300" w:lineRule="auto"/>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★库内分配</w:t>
            </w:r>
            <w:r>
              <w:rPr>
                <w:rFonts w:hint="eastAsia" w:ascii="宋体" w:hAnsi="宋体" w:eastAsia="宋体" w:cs="宋体"/>
                <w:color w:val="000000" w:themeColor="text1"/>
                <w:kern w:val="2"/>
                <w:sz w:val="21"/>
                <w:szCs w:val="21"/>
                <w:highlight w:val="none"/>
                <w:lang w:val="zh-CN"/>
                <w14:textFill>
                  <w14:solidFill>
                    <w14:schemeClr w14:val="tx1"/>
                  </w14:solidFill>
                </w14:textFill>
              </w:rPr>
              <w:t>处置服务费包括处置费</w:t>
            </w:r>
            <w:r>
              <w:rPr>
                <w:rFonts w:hint="eastAsia" w:ascii="宋体" w:hAnsi="宋体" w:eastAsia="宋体" w:cs="宋体"/>
                <w:color w:val="000000" w:themeColor="text1"/>
                <w:kern w:val="2"/>
                <w:sz w:val="21"/>
                <w:szCs w:val="21"/>
                <w:highlight w:val="none"/>
                <w14:textFill>
                  <w14:solidFill>
                    <w14:schemeClr w14:val="tx1"/>
                  </w14:solidFill>
                </w14:textFill>
              </w:rPr>
              <w:t>及</w:t>
            </w:r>
            <w:r>
              <w:rPr>
                <w:rFonts w:hint="eastAsia" w:ascii="宋体" w:hAnsi="宋体" w:eastAsia="宋体" w:cs="宋体"/>
                <w:color w:val="000000" w:themeColor="text1"/>
                <w:kern w:val="2"/>
                <w:sz w:val="21"/>
                <w:szCs w:val="21"/>
                <w:highlight w:val="none"/>
                <w:lang w:val="zh-CN"/>
                <w14:textFill>
                  <w14:solidFill>
                    <w14:schemeClr w14:val="tx1"/>
                  </w14:solidFill>
                </w14:textFill>
              </w:rPr>
              <w:t>运输费，为包干价，包括但不限于成交人履行本合同所发生的人工费（</w:t>
            </w:r>
            <w:r>
              <w:rPr>
                <w:rFonts w:hint="eastAsia" w:ascii="宋体" w:hAnsi="宋体" w:eastAsia="宋体" w:cs="宋体"/>
                <w:color w:val="000000" w:themeColor="text1"/>
                <w:kern w:val="2"/>
                <w:sz w:val="21"/>
                <w:szCs w:val="21"/>
                <w:highlight w:val="none"/>
                <w14:textFill>
                  <w14:solidFill>
                    <w14:schemeClr w14:val="tx1"/>
                  </w14:solidFill>
                </w14:textFill>
              </w:rPr>
              <w:t>含加班、节假日补贴</w:t>
            </w:r>
            <w:r>
              <w:rPr>
                <w:rFonts w:hint="eastAsia" w:ascii="宋体" w:hAnsi="宋体" w:eastAsia="宋体" w:cs="宋体"/>
                <w:color w:val="000000" w:themeColor="text1"/>
                <w:kern w:val="2"/>
                <w:sz w:val="21"/>
                <w:szCs w:val="21"/>
                <w:highlight w:val="none"/>
                <w:lang w:val="zh-CN"/>
                <w14:textFill>
                  <w14:solidFill>
                    <w14:schemeClr w14:val="tx1"/>
                  </w14:solidFill>
                </w14:textFill>
              </w:rPr>
              <w:t>）、设备费，余泥处置费，余泥运输费（含因部分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供水厂</w:t>
            </w:r>
            <w:r>
              <w:rPr>
                <w:rFonts w:hint="eastAsia" w:ascii="宋体" w:hAnsi="宋体" w:eastAsia="宋体" w:cs="宋体"/>
                <w:color w:val="000000" w:themeColor="text1"/>
                <w:kern w:val="2"/>
                <w:sz w:val="21"/>
                <w:szCs w:val="21"/>
                <w:highlight w:val="none"/>
                <w:lang w:val="zh-CN"/>
                <w14:textFill>
                  <w14:solidFill>
                    <w14:schemeClr w14:val="tx1"/>
                  </w14:solidFill>
                </w14:textFill>
              </w:rPr>
              <w:t>现场条件限制只能用小型车辆运输增加的运输成本）、</w:t>
            </w:r>
            <w:r>
              <w:rPr>
                <w:rFonts w:hint="eastAsia" w:ascii="宋体" w:hAnsi="宋体" w:eastAsia="宋体" w:cs="宋体"/>
                <w:color w:val="000000" w:themeColor="text1"/>
                <w:kern w:val="2"/>
                <w:sz w:val="21"/>
                <w:szCs w:val="21"/>
                <w:highlight w:val="none"/>
                <w14:textFill>
                  <w14:solidFill>
                    <w14:schemeClr w14:val="tx1"/>
                  </w14:solidFill>
                </w14:textFill>
              </w:rPr>
              <w:t>卸车费、卸车现场除尘及清洗场地费、</w:t>
            </w:r>
            <w:r>
              <w:rPr>
                <w:rFonts w:hint="eastAsia" w:ascii="宋体" w:hAnsi="宋体" w:eastAsia="宋体" w:cs="宋体"/>
                <w:color w:val="000000" w:themeColor="text1"/>
                <w:kern w:val="2"/>
                <w:sz w:val="21"/>
                <w:szCs w:val="21"/>
                <w:highlight w:val="none"/>
                <w:lang w:val="zh-CN"/>
                <w14:textFill>
                  <w14:solidFill>
                    <w14:schemeClr w14:val="tx1"/>
                  </w14:solidFill>
                </w14:textFill>
              </w:rPr>
              <w:t>保险费（包括运输车辆交强险、第三者责任险等商业保险，成交人及其雇员社会保障资金、保险、第三者责任险，环境污染责任险等），成交人复核</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lang w:val="zh-CN"/>
                <w14:textFill>
                  <w14:solidFill>
                    <w14:schemeClr w14:val="tx1"/>
                  </w14:solidFill>
                </w14:textFill>
              </w:rPr>
              <w:t>重量的称重费、</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成交人配合委托人开展地磅称重核查工作的称重费、</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lang w:val="zh-CN"/>
                <w14:textFill>
                  <w14:solidFill>
                    <w14:schemeClr w14:val="tx1"/>
                  </w14:solidFill>
                </w14:textFill>
              </w:rPr>
              <w:t>处置后的副产品检测费、成交人销项税额以外的税费等全部费用。处置服务费不包含装车费。</w:t>
            </w:r>
            <w:r>
              <w:rPr>
                <w:rFonts w:hint="eastAsia" w:ascii="宋体" w:hAnsi="宋体" w:eastAsia="宋体" w:cs="宋体"/>
                <w:color w:val="000000" w:themeColor="text1"/>
                <w:kern w:val="2"/>
                <w:sz w:val="21"/>
                <w:szCs w:val="21"/>
                <w:highlight w:val="none"/>
                <w14:textFill>
                  <w14:solidFill>
                    <w14:schemeClr w14:val="tx1"/>
                  </w14:solidFill>
                </w14:textFill>
              </w:rPr>
              <w:t>依法计得并根据项目合同约定确定的销项税额由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承担。</w:t>
            </w:r>
            <w:r>
              <w:rPr>
                <w:rFonts w:hint="eastAsia" w:ascii="宋体" w:hAnsi="宋体" w:eastAsia="宋体" w:cs="宋体"/>
                <w:color w:val="000000" w:themeColor="text1"/>
                <w:kern w:val="2"/>
                <w:sz w:val="21"/>
                <w:szCs w:val="21"/>
                <w:highlight w:val="none"/>
                <w:lang w:val="zh-CN"/>
                <w14:textFill>
                  <w14:solidFill>
                    <w14:schemeClr w14:val="tx1"/>
                  </w14:solidFill>
                </w14:textFill>
              </w:rPr>
              <w:t>未经委托人书面同意，成交人（包括但不限于成交人指定的第三方）不得要求委托人另行支付其他任何费用。</w:t>
            </w:r>
          </w:p>
        </w:tc>
        <w:tc>
          <w:tcPr>
            <w:tcW w:w="723" w:type="pct"/>
            <w:tcBorders>
              <w:top w:val="single" w:color="auto" w:sz="4" w:space="0"/>
              <w:left w:val="single" w:color="auto" w:sz="4" w:space="0"/>
              <w:bottom w:val="single" w:color="auto" w:sz="4" w:space="0"/>
              <w:right w:val="single" w:color="auto" w:sz="4" w:space="0"/>
            </w:tcBorders>
            <w:vAlign w:val="center"/>
          </w:tcPr>
          <w:p w14:paraId="528925F2">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5D6447C1">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r w14:paraId="7FA3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left w:val="single" w:color="auto" w:sz="4" w:space="0"/>
              <w:right w:val="single" w:color="auto" w:sz="4" w:space="0"/>
            </w:tcBorders>
            <w:vAlign w:val="center"/>
          </w:tcPr>
          <w:p w14:paraId="2ACD9FB3">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三、服务要求</w:t>
            </w:r>
          </w:p>
        </w:tc>
        <w:tc>
          <w:tcPr>
            <w:tcW w:w="2638" w:type="pct"/>
            <w:tcBorders>
              <w:top w:val="single" w:color="auto" w:sz="4" w:space="0"/>
              <w:left w:val="single" w:color="auto" w:sz="4" w:space="0"/>
              <w:bottom w:val="single" w:color="auto" w:sz="4" w:space="0"/>
              <w:right w:val="single" w:color="auto" w:sz="4" w:space="0"/>
            </w:tcBorders>
            <w:vAlign w:val="center"/>
          </w:tcPr>
          <w:p w14:paraId="45C08F24">
            <w:pPr>
              <w:pStyle w:val="1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000000" w:themeColor="text1"/>
                <w:kern w:val="2"/>
                <w:sz w:val="21"/>
                <w:szCs w:val="21"/>
                <w:highlight w:val="none"/>
                <w:u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u w:val="none"/>
                <w:lang w:val="zh-CN"/>
                <w14:textFill>
                  <w14:solidFill>
                    <w14:schemeClr w14:val="tx1"/>
                  </w14:solidFill>
                </w14:textFill>
              </w:rPr>
              <w:t>在服务期内，在</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委托人</w:t>
            </w:r>
            <w:r>
              <w:rPr>
                <w:rFonts w:hint="eastAsia" w:ascii="宋体" w:hAnsi="宋体" w:eastAsia="宋体" w:cs="宋体"/>
                <w:b w:val="0"/>
                <w:bCs w:val="0"/>
                <w:color w:val="000000" w:themeColor="text1"/>
                <w:kern w:val="2"/>
                <w:sz w:val="21"/>
                <w:szCs w:val="21"/>
                <w:highlight w:val="none"/>
                <w:u w:val="none"/>
                <w:lang w:val="zh-CN"/>
                <w14:textFill>
                  <w14:solidFill>
                    <w14:schemeClr w14:val="tx1"/>
                  </w14:solidFill>
                </w14:textFill>
              </w:rPr>
              <w:t>通知的外运处置期，要求</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成交人</w:t>
            </w:r>
            <w:r>
              <w:rPr>
                <w:rFonts w:hint="eastAsia" w:ascii="宋体" w:hAnsi="宋体" w:eastAsia="宋体" w:cs="宋体"/>
                <w:b w:val="0"/>
                <w:bCs w:val="0"/>
                <w:color w:val="000000" w:themeColor="text1"/>
                <w:kern w:val="2"/>
                <w:sz w:val="21"/>
                <w:szCs w:val="21"/>
                <w:highlight w:val="none"/>
                <w:u w:val="none"/>
                <w:lang w:val="zh-CN"/>
                <w14:textFill>
                  <w14:solidFill>
                    <w14:schemeClr w14:val="tx1"/>
                  </w14:solidFill>
                </w14:textFill>
              </w:rPr>
              <w:t>实现每天不间断外运</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余泥。</w:t>
            </w:r>
            <w:r>
              <w:rPr>
                <w:rFonts w:hint="eastAsia" w:ascii="宋体" w:hAnsi="宋体" w:eastAsia="宋体" w:cs="宋体"/>
                <w:color w:val="000000" w:themeColor="text1"/>
                <w:kern w:val="2"/>
                <w:szCs w:val="21"/>
                <w:highlight w:val="none"/>
                <w:u w:val="none"/>
                <w:lang w:val="zh-CN"/>
                <w14:textFill>
                  <w14:solidFill>
                    <w14:schemeClr w14:val="tx1"/>
                  </w14:solidFill>
                </w14:textFill>
              </w:rPr>
              <w:t>在本合同履约期间，</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成交人</w:t>
            </w:r>
            <w:r>
              <w:rPr>
                <w:rFonts w:hint="eastAsia" w:ascii="宋体" w:hAnsi="宋体" w:eastAsia="宋体" w:cs="宋体"/>
                <w:color w:val="000000" w:themeColor="text1"/>
                <w:kern w:val="2"/>
                <w:szCs w:val="21"/>
                <w:highlight w:val="none"/>
                <w:u w:val="none"/>
                <w:lang w:val="zh-CN"/>
                <w14:textFill>
                  <w14:solidFill>
                    <w14:schemeClr w14:val="tx1"/>
                  </w14:solidFill>
                </w14:textFill>
              </w:rPr>
              <w:t>原因导致余泥处置能力无法达到承诺接收量的(</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委托人</w:t>
            </w:r>
            <w:r>
              <w:rPr>
                <w:rFonts w:hint="eastAsia" w:ascii="宋体" w:hAnsi="宋体" w:eastAsia="宋体" w:cs="宋体"/>
                <w:color w:val="000000" w:themeColor="text1"/>
                <w:kern w:val="2"/>
                <w:szCs w:val="21"/>
                <w:highlight w:val="none"/>
                <w:u w:val="none"/>
                <w:lang w:val="zh-CN"/>
                <w14:textFill>
                  <w14:solidFill>
                    <w14:schemeClr w14:val="tx1"/>
                  </w14:solidFill>
                </w14:textFill>
              </w:rPr>
              <w:t>要求或不可抗力导致除外),</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委托人</w:t>
            </w:r>
            <w:r>
              <w:rPr>
                <w:rFonts w:hint="eastAsia" w:ascii="宋体" w:hAnsi="宋体" w:eastAsia="宋体" w:cs="宋体"/>
                <w:color w:val="000000" w:themeColor="text1"/>
                <w:kern w:val="2"/>
                <w:szCs w:val="21"/>
                <w:highlight w:val="none"/>
                <w:u w:val="none"/>
                <w:lang w:val="zh-CN"/>
                <w14:textFill>
                  <w14:solidFill>
                    <w14:schemeClr w14:val="tx1"/>
                  </w14:solidFill>
                </w14:textFill>
              </w:rPr>
              <w:t>有权自行委托第三方处置。</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成交人</w:t>
            </w:r>
            <w:r>
              <w:rPr>
                <w:rFonts w:hint="eastAsia" w:ascii="宋体" w:hAnsi="宋体" w:eastAsia="宋体" w:cs="宋体"/>
                <w:b w:val="0"/>
                <w:bCs w:val="0"/>
                <w:color w:val="000000" w:themeColor="text1"/>
                <w:kern w:val="2"/>
                <w:sz w:val="21"/>
                <w:szCs w:val="21"/>
                <w:highlight w:val="none"/>
                <w:u w:val="none"/>
                <w:lang w:val="zh-CN"/>
                <w14:textFill>
                  <w14:solidFill>
                    <w14:schemeClr w14:val="tx1"/>
                  </w14:solidFill>
                </w14:textFill>
              </w:rPr>
              <w:t>减</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产或</w:t>
            </w:r>
            <w:r>
              <w:rPr>
                <w:rFonts w:hint="eastAsia" w:ascii="宋体" w:hAnsi="宋体" w:eastAsia="宋体" w:cs="宋体"/>
                <w:b w:val="0"/>
                <w:bCs w:val="0"/>
                <w:color w:val="000000" w:themeColor="text1"/>
                <w:kern w:val="2"/>
                <w:sz w:val="21"/>
                <w:szCs w:val="21"/>
                <w:highlight w:val="none"/>
                <w:u w:val="none"/>
                <w:lang w:val="zh-CN"/>
                <w14:textFill>
                  <w14:solidFill>
                    <w14:schemeClr w14:val="tx1"/>
                  </w14:solidFill>
                </w14:textFill>
              </w:rPr>
              <w:t>停产</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，持续时间少于等于5天的，为确保应急工作顺利开展，委托人将连续5天安排应急处置单位承接余泥外运处置工作，5天后恢复由常态化处置单位承接，</w:t>
            </w:r>
            <w:r>
              <w:rPr>
                <w:rFonts w:hint="eastAsia" w:ascii="宋体" w:hAnsi="宋体" w:eastAsia="宋体" w:cs="宋体"/>
                <w:color w:val="000000" w:themeColor="text1"/>
                <w:kern w:val="2"/>
                <w:szCs w:val="21"/>
                <w:highlight w:val="none"/>
                <w:u w:val="none"/>
                <w:lang w:val="zh-CN"/>
                <w14:textFill>
                  <w14:solidFill>
                    <w14:schemeClr w14:val="tx1"/>
                  </w14:solidFill>
                </w14:textFill>
              </w:rPr>
              <w:t>故</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成交人</w:t>
            </w:r>
            <w:r>
              <w:rPr>
                <w:rFonts w:hint="eastAsia" w:ascii="宋体" w:hAnsi="宋体" w:eastAsia="宋体" w:cs="宋体"/>
                <w:color w:val="000000" w:themeColor="text1"/>
                <w:kern w:val="2"/>
                <w:szCs w:val="21"/>
                <w:highlight w:val="none"/>
                <w:u w:val="none"/>
                <w:lang w:val="zh-CN"/>
                <w14:textFill>
                  <w14:solidFill>
                    <w14:schemeClr w14:val="tx1"/>
                  </w14:solidFill>
                </w14:textFill>
              </w:rPr>
              <w:t>减产或停产持续时间少于等于5天的，按5天计算，大于5天的，</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委托人</w:t>
            </w:r>
            <w:r>
              <w:rPr>
                <w:rFonts w:hint="eastAsia" w:ascii="宋体" w:hAnsi="宋体" w:eastAsia="宋体" w:cs="宋体"/>
                <w:color w:val="000000" w:themeColor="text1"/>
                <w:kern w:val="2"/>
                <w:szCs w:val="21"/>
                <w:highlight w:val="none"/>
                <w:u w:val="none"/>
                <w:lang w:val="zh-CN"/>
                <w14:textFill>
                  <w14:solidFill>
                    <w14:schemeClr w14:val="tx1"/>
                  </w14:solidFill>
                </w14:textFill>
              </w:rPr>
              <w:t>按实际情况处理和计算</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成交人</w:t>
            </w:r>
            <w:r>
              <w:rPr>
                <w:rFonts w:hint="eastAsia" w:ascii="宋体" w:hAnsi="宋体" w:eastAsia="宋体" w:cs="宋体"/>
                <w:color w:val="000000" w:themeColor="text1"/>
                <w:kern w:val="2"/>
                <w:szCs w:val="21"/>
                <w:highlight w:val="none"/>
                <w:u w:val="none"/>
                <w:lang w:val="zh-CN"/>
                <w14:textFill>
                  <w14:solidFill>
                    <w14:schemeClr w14:val="tx1"/>
                  </w14:solidFill>
                </w14:textFill>
              </w:rPr>
              <w:t>减产或停产天数；</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成交人</w:t>
            </w:r>
            <w:r>
              <w:rPr>
                <w:rFonts w:hint="eastAsia" w:ascii="宋体" w:hAnsi="宋体" w:eastAsia="宋体" w:cs="宋体"/>
                <w:color w:val="000000" w:themeColor="text1"/>
                <w:kern w:val="2"/>
                <w:szCs w:val="21"/>
                <w:highlight w:val="none"/>
                <w:u w:val="none"/>
                <w:lang w:val="zh-CN"/>
                <w14:textFill>
                  <w14:solidFill>
                    <w14:schemeClr w14:val="tx1"/>
                  </w14:solidFill>
                </w14:textFill>
              </w:rPr>
              <w:t>累计减产或停产天数累计达到15天或以上的(</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委托人</w:t>
            </w:r>
            <w:r>
              <w:rPr>
                <w:rFonts w:hint="eastAsia" w:ascii="宋体" w:hAnsi="宋体" w:eastAsia="宋体" w:cs="宋体"/>
                <w:color w:val="000000" w:themeColor="text1"/>
                <w:kern w:val="2"/>
                <w:szCs w:val="21"/>
                <w:highlight w:val="none"/>
                <w:u w:val="none"/>
                <w:lang w:val="zh-CN"/>
                <w14:textFill>
                  <w14:solidFill>
                    <w14:schemeClr w14:val="tx1"/>
                  </w14:solidFill>
                </w14:textFill>
              </w:rPr>
              <w:t>要求或不可抗力导致除外）,</w:t>
            </w:r>
            <w:r>
              <w:rPr>
                <w:rFonts w:hint="eastAsia" w:ascii="宋体" w:hAnsi="宋体" w:eastAsia="宋体" w:cs="宋体"/>
                <w:color w:val="000000" w:themeColor="text1"/>
                <w:kern w:val="2"/>
                <w:szCs w:val="21"/>
                <w:highlight w:val="none"/>
                <w:u w:val="none"/>
                <w:lang w:val="en-US" w:eastAsia="zh-CN"/>
                <w14:textFill>
                  <w14:solidFill>
                    <w14:schemeClr w14:val="tx1"/>
                  </w14:solidFill>
                </w14:textFill>
              </w:rPr>
              <w:t>委托人</w:t>
            </w:r>
            <w:r>
              <w:rPr>
                <w:rFonts w:hint="eastAsia" w:ascii="宋体" w:hAnsi="宋体" w:eastAsia="宋体" w:cs="宋体"/>
                <w:color w:val="000000" w:themeColor="text1"/>
                <w:kern w:val="2"/>
                <w:szCs w:val="21"/>
                <w:highlight w:val="none"/>
                <w:u w:val="none"/>
                <w:lang w:val="zh-CN"/>
                <w14:textFill>
                  <w14:solidFill>
                    <w14:schemeClr w14:val="tx1"/>
                  </w14:solidFill>
                </w14:textFill>
              </w:rPr>
              <w:t>有权要求</w:t>
            </w:r>
            <w:r>
              <w:rPr>
                <w:rFonts w:hint="eastAsia" w:ascii="宋体" w:hAnsi="宋体" w:eastAsia="宋体" w:cs="宋体"/>
                <w:color w:val="000000" w:themeColor="text1"/>
                <w:kern w:val="2"/>
                <w:szCs w:val="21"/>
                <w:highlight w:val="none"/>
                <w:u w:val="none"/>
                <w:lang w:val="zh-CN" w:eastAsia="zh-CN"/>
                <w14:textFill>
                  <w14:solidFill>
                    <w14:schemeClr w14:val="tx1"/>
                  </w14:solidFill>
                </w14:textFill>
              </w:rPr>
              <w:t>成交人</w:t>
            </w:r>
            <w:r>
              <w:rPr>
                <w:rFonts w:hint="eastAsia" w:ascii="宋体" w:hAnsi="宋体" w:eastAsia="宋体" w:cs="宋体"/>
                <w:color w:val="000000" w:themeColor="text1"/>
                <w:kern w:val="2"/>
                <w:szCs w:val="21"/>
                <w:highlight w:val="none"/>
                <w:u w:val="none"/>
                <w:lang w:val="zh-CN"/>
                <w14:textFill>
                  <w14:solidFill>
                    <w14:schemeClr w14:val="tx1"/>
                  </w14:solidFill>
                </w14:textFill>
              </w:rPr>
              <w:t>从第16天起支付每天1万元违约金。</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如成交人出现减产情况，减产期间优先保障“</w:t>
            </w:r>
            <w:r>
              <w:rPr>
                <w:rFonts w:hint="eastAsia" w:ascii="宋体" w:hAnsi="宋体" w:eastAsia="宋体" w:cs="宋体"/>
                <w:color w:val="000000" w:themeColor="text1"/>
                <w:kern w:val="2"/>
                <w:sz w:val="21"/>
                <w:szCs w:val="21"/>
                <w:highlight w:val="none"/>
                <w:u w:val="none"/>
                <w:lang w:val="zh-CN" w:eastAsia="zh-CN"/>
                <w14:textFill>
                  <w14:solidFill>
                    <w14:schemeClr w14:val="tx1"/>
                  </w14:solidFill>
                </w14:textFill>
              </w:rPr>
              <w:t>供水厂排泥水</w:t>
            </w:r>
            <w:r>
              <w:rPr>
                <w:rFonts w:hint="eastAsia" w:ascii="宋体" w:hAnsi="宋体" w:eastAsia="宋体" w:cs="宋体"/>
                <w:color w:val="000000" w:themeColor="text1"/>
                <w:kern w:val="2"/>
                <w:sz w:val="21"/>
                <w:szCs w:val="21"/>
                <w:highlight w:val="none"/>
                <w:u w:val="none"/>
                <w:lang w:val="zh-CN"/>
                <w14:textFill>
                  <w14:solidFill>
                    <w14:schemeClr w14:val="tx1"/>
                  </w14:solidFill>
                </w14:textFill>
              </w:rPr>
              <w:t>外运处置需求表</w:t>
            </w:r>
            <w:r>
              <w:rPr>
                <w:rFonts w:hint="eastAsia" w:ascii="宋体" w:hAnsi="宋体" w:eastAsia="宋体" w:cs="宋体"/>
                <w:color w:val="000000" w:themeColor="text1"/>
                <w:kern w:val="2"/>
                <w:sz w:val="21"/>
                <w:szCs w:val="21"/>
                <w:highlight w:val="none"/>
                <w:u w:val="none"/>
                <w:lang w:val="zh-CN" w:eastAsia="zh-CN"/>
                <w14:textFill>
                  <w14:solidFill>
                    <w14:schemeClr w14:val="tx1"/>
                  </w14:solidFill>
                </w14:textFill>
              </w:rPr>
              <w:t>（如果分包组则为“分配顺序表”）</w:t>
            </w:r>
            <w:r>
              <w:rPr>
                <w:rFonts w:hint="eastAsia" w:ascii="宋体" w:hAnsi="宋体" w:eastAsia="宋体" w:cs="宋体"/>
                <w:color w:val="000000" w:themeColor="text1"/>
                <w:kern w:val="2"/>
                <w:sz w:val="21"/>
                <w:szCs w:val="21"/>
                <w:highlight w:val="none"/>
                <w:u w:val="none"/>
                <w:lang w:val="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u w:val="none"/>
                <w:lang w:val="zh-CN" w:eastAsia="zh-CN"/>
                <w14:textFill>
                  <w14:solidFill>
                    <w14:schemeClr w14:val="tx1"/>
                  </w14:solidFill>
                </w14:textFill>
              </w:rPr>
              <w:t>排序靠前的供水厂余泥外运处置工作。</w:t>
            </w:r>
          </w:p>
          <w:p w14:paraId="1E5FAA70">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接收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交付的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必须自行依法处置完毕，不得将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交付的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（或</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处理后的半成品）交由第三方处置，禁止转包。否则，由此导致的一切责任和风险全部由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承担，并赔偿由此给</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造成的损失。</w:t>
            </w:r>
          </w:p>
          <w:p w14:paraId="2CDC7A7F">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成交人余泥</w:t>
            </w:r>
            <w:r>
              <w:rPr>
                <w:rFonts w:hint="eastAsia" w:ascii="宋体" w:hAnsi="宋体" w:eastAsia="宋体" w:cs="宋体"/>
                <w:color w:val="000000" w:themeColor="text1"/>
                <w:kern w:val="2"/>
                <w:sz w:val="21"/>
                <w:szCs w:val="21"/>
                <w:highlight w:val="none"/>
                <w14:textFill>
                  <w14:solidFill>
                    <w14:schemeClr w14:val="tx1"/>
                  </w14:solidFill>
                </w14:textFill>
              </w:rPr>
              <w:t>的处置方式必须合法合规，确保未采用国家禁止、淘汰的工艺技术或方法，并体现“减量化、稳定化、无害化、资源化”的原则，在坚持“安全、环保”的原则下，实现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的综合利用，回收和利用</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的能源和物质。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项目不接受填埋的处置方式</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14:paraId="70F342C1">
            <w:pPr>
              <w:pStyle w:val="140"/>
              <w:keepNext w:val="0"/>
              <w:keepLines w:val="0"/>
              <w:suppressLineNumbers w:val="0"/>
              <w:autoSpaceDE/>
              <w:autoSpaceDN/>
              <w:adjustRightInd/>
              <w:spacing w:before="0" w:beforeAutospacing="0" w:after="0" w:afterAutospacing="0" w:line="360" w:lineRule="auto"/>
              <w:ind w:left="0" w:right="0" w:firstLine="420" w:firstLineChars="200"/>
              <w:contextualSpacing/>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申请人处置项目</w:t>
            </w:r>
            <w:r>
              <w:rPr>
                <w:rFonts w:hint="eastAsia" w:ascii="宋体" w:hAnsi="宋体" w:eastAsia="宋体" w:cs="宋体"/>
                <w:b w:val="0"/>
                <w:bCs w:val="0"/>
                <w:color w:val="000000" w:themeColor="text1"/>
                <w:sz w:val="21"/>
                <w:szCs w:val="21"/>
                <w:highlight w:val="none"/>
                <w:u w:val="none"/>
                <w14:textFill>
                  <w14:solidFill>
                    <w14:schemeClr w14:val="tx1"/>
                  </w14:solidFill>
                </w14:textFill>
              </w:rPr>
              <w:t>需</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取得生态环境主管部门环境影响评价文件[项目包含市政（生活/城市/城镇污水处理厂）污泥或市政管网清淤污泥或河道/航道/江河淤泥的处理或处置相关内容]的批复或该项目已取得地级市（或以上）行政主管部门同意其处置排泥水余泥，且项目的环境保护设施已验收合格或已取得生态环境主管部门的环保验收批复</w:t>
            </w:r>
            <w:r>
              <w:rPr>
                <w:rFonts w:hint="eastAsia" w:ascii="宋体" w:hAnsi="宋体" w:eastAsia="宋体" w:cs="宋体"/>
                <w:b w:val="0"/>
                <w:bCs w:val="0"/>
                <w:color w:val="000000" w:themeColor="text1"/>
                <w:sz w:val="21"/>
                <w:szCs w:val="21"/>
                <w:u w:val="none"/>
                <w14:textFill>
                  <w14:solidFill>
                    <w14:schemeClr w14:val="tx1"/>
                  </w14:solidFill>
                </w14:textFill>
              </w:rPr>
              <w:t>。</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申请人</w:t>
            </w:r>
            <w:r>
              <w:rPr>
                <w:rFonts w:hint="eastAsia" w:ascii="宋体" w:hAnsi="宋体" w:eastAsia="宋体" w:cs="宋体"/>
                <w:b w:val="0"/>
                <w:bCs w:val="0"/>
                <w:color w:val="000000" w:themeColor="text1"/>
                <w:sz w:val="21"/>
                <w:szCs w:val="21"/>
                <w:u w:val="none"/>
                <w14:textFill>
                  <w14:solidFill>
                    <w14:schemeClr w14:val="tx1"/>
                  </w14:solidFill>
                </w14:textFill>
              </w:rPr>
              <w:t>转移处置余泥时，应编制具体的余泥转移方案等资料，并将企业资质，环评批复等相关文件抄送一份给</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委托人</w:t>
            </w:r>
            <w:r>
              <w:rPr>
                <w:rFonts w:hint="eastAsia" w:ascii="宋体" w:hAnsi="宋体" w:eastAsia="宋体" w:cs="宋体"/>
                <w:b w:val="0"/>
                <w:bCs w:val="0"/>
                <w:color w:val="000000" w:themeColor="text1"/>
                <w:sz w:val="21"/>
                <w:szCs w:val="21"/>
                <w:u w:val="none"/>
                <w14:textFill>
                  <w14:solidFill>
                    <w14:schemeClr w14:val="tx1"/>
                  </w14:solidFill>
                </w14:textFill>
              </w:rPr>
              <w:t>审核备案</w:t>
            </w:r>
            <w:r>
              <w:rPr>
                <w:rFonts w:hint="eastAsia" w:ascii="宋体" w:hAnsi="宋体" w:eastAsia="宋体" w:cs="宋体"/>
                <w:color w:val="000000" w:themeColor="text1"/>
                <w:sz w:val="21"/>
                <w:szCs w:val="21"/>
                <w14:textFill>
                  <w14:solidFill>
                    <w14:schemeClr w14:val="tx1"/>
                  </w14:solidFill>
                </w14:textFill>
              </w:rPr>
              <w:t>。</w:t>
            </w:r>
          </w:p>
          <w:p w14:paraId="2E8295AE">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按7天/次的频次，根据初次核对确认的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外运数量和资料填报要求，向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提交经</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【对运输进行分包的，含分包的运输单位】盖章确认的《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排泥水余泥</w:t>
            </w:r>
            <w:r>
              <w:rPr>
                <w:rFonts w:hint="eastAsia" w:ascii="宋体" w:hAnsi="宋体" w:eastAsia="宋体" w:cs="宋体"/>
                <w:color w:val="000000" w:themeColor="text1"/>
                <w:kern w:val="2"/>
                <w:sz w:val="21"/>
                <w:szCs w:val="21"/>
                <w:highlight w:val="none"/>
                <w14:textFill>
                  <w14:solidFill>
                    <w14:schemeClr w14:val="tx1"/>
                  </w14:solidFill>
                </w14:textFill>
              </w:rPr>
              <w:t>转移联单》、磅单、《月度</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外运签证表》（含电子文档）等资料。</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对接收的资料复核后，发现资料有误的，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必须在3日内按要求重新提交。</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将复核后的资料送</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产生单位盖章确认，经</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产生单位、</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共同签字/盖章确认后，确定该批次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实际转移数量，并由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交东莞市</w:t>
            </w:r>
            <w:r>
              <w:rPr>
                <w:rFonts w:hint="eastAsia" w:ascii="宋体" w:hAnsi="宋体" w:eastAsia="宋体" w:cs="宋体"/>
                <w:color w:val="000000" w:themeColor="text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主管部门留存备查</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如有需要）</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1F3E0210">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须承诺，在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项目</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分配结果通知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书签发</w:t>
            </w:r>
            <w:r>
              <w:rPr>
                <w:rFonts w:hint="eastAsia" w:ascii="宋体" w:hAnsi="宋体" w:eastAsia="宋体" w:cs="宋体"/>
                <w:color w:val="000000" w:themeColor="text1"/>
                <w:kern w:val="2"/>
                <w:sz w:val="21"/>
                <w:szCs w:val="21"/>
                <w:highlight w:val="none"/>
                <w14:textFill>
                  <w14:solidFill>
                    <w14:schemeClr w14:val="tx1"/>
                  </w14:solidFill>
                </w14:textFill>
              </w:rPr>
              <w:t>之日起，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日内可达到按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要求的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外运处置能力，按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14:textFill>
                  <w14:solidFill>
                    <w14:schemeClr w14:val="tx1"/>
                  </w14:solidFill>
                </w14:textFill>
              </w:rPr>
              <w:t>要求开展</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外运处置服务。</w:t>
            </w:r>
          </w:p>
          <w:p w14:paraId="5BFCFDC9">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val="0"/>
                <w:bCs w:val="0"/>
                <w:color w:val="000000" w:themeColor="text1"/>
                <w:kern w:val="2"/>
                <w:szCs w:val="21"/>
                <w:highlight w:val="none"/>
                <w:u w:val="none"/>
                <w:lang w:val="en-US" w:eastAsia="zh-CN"/>
                <w14:textFill>
                  <w14:solidFill>
                    <w14:schemeClr w14:val="tx1"/>
                  </w14:solidFill>
                </w14:textFill>
              </w:rPr>
              <w:t>申请人</w:t>
            </w:r>
            <w:r>
              <w:rPr>
                <w:rFonts w:hint="eastAsia" w:ascii="宋体" w:hAnsi="宋体" w:eastAsia="宋体" w:cs="宋体"/>
                <w:b w:val="0"/>
                <w:bCs w:val="0"/>
                <w:color w:val="000000" w:themeColor="text1"/>
                <w:kern w:val="2"/>
                <w:szCs w:val="21"/>
                <w:highlight w:val="none"/>
                <w:u w:val="none"/>
                <w14:textFill>
                  <w14:solidFill>
                    <w14:schemeClr w14:val="tx1"/>
                  </w14:solidFill>
                </w14:textFill>
              </w:rPr>
              <w:t>参与报价时，需附上</w:t>
            </w:r>
            <w:r>
              <w:rPr>
                <w:rFonts w:hint="eastAsia" w:ascii="宋体" w:hAnsi="宋体" w:eastAsia="宋体" w:cs="宋体"/>
                <w:b w:val="0"/>
                <w:bCs w:val="0"/>
                <w:color w:val="000000" w:themeColor="text1"/>
                <w:kern w:val="2"/>
                <w:szCs w:val="21"/>
                <w:highlight w:val="none"/>
                <w:u w:val="none"/>
                <w:lang w:val="en-US" w:eastAsia="zh-CN"/>
                <w14:textFill>
                  <w14:solidFill>
                    <w14:schemeClr w14:val="tx1"/>
                  </w14:solidFill>
                </w14:textFill>
              </w:rPr>
              <w:t>余泥</w:t>
            </w:r>
            <w:r>
              <w:rPr>
                <w:rFonts w:hint="eastAsia" w:ascii="宋体" w:hAnsi="宋体" w:eastAsia="宋体" w:cs="宋体"/>
                <w:b w:val="0"/>
                <w:bCs w:val="0"/>
                <w:color w:val="000000" w:themeColor="text1"/>
                <w:kern w:val="2"/>
                <w:szCs w:val="21"/>
                <w:highlight w:val="none"/>
                <w:u w:val="none"/>
                <w14:textFill>
                  <w14:solidFill>
                    <w14:schemeClr w14:val="tx1"/>
                  </w14:solidFill>
                </w14:textFill>
              </w:rPr>
              <w:t>接收量承诺函，承诺接收量</w:t>
            </w:r>
            <w:r>
              <w:rPr>
                <w:rFonts w:hint="eastAsia" w:ascii="宋体" w:hAnsi="宋体" w:eastAsia="宋体" w:cs="宋体"/>
                <w:b w:val="0"/>
                <w:bCs w:val="0"/>
                <w:color w:val="000000" w:themeColor="text1"/>
                <w:kern w:val="2"/>
                <w:szCs w:val="21"/>
                <w:highlight w:val="none"/>
                <w:u w:val="none"/>
                <w:lang w:val="en-US" w:eastAsia="zh-CN"/>
                <w14:textFill>
                  <w14:solidFill>
                    <w14:schemeClr w14:val="tx1"/>
                  </w14:solidFill>
                </w14:textFill>
              </w:rPr>
              <w:t>需大于本项目余泥</w:t>
            </w:r>
            <w:r>
              <w:rPr>
                <w:rFonts w:hint="eastAsia" w:ascii="宋体" w:hAnsi="宋体" w:eastAsia="宋体" w:cs="宋体"/>
                <w:b w:val="0"/>
                <w:bCs w:val="0"/>
                <w:color w:val="000000" w:themeColor="text1"/>
                <w:kern w:val="2"/>
                <w:szCs w:val="21"/>
                <w:highlight w:val="none"/>
                <w:u w:val="none"/>
                <w14:textFill>
                  <w14:solidFill>
                    <w14:schemeClr w14:val="tx1"/>
                  </w14:solidFill>
                </w14:textFill>
              </w:rPr>
              <w:t>总产量</w:t>
            </w:r>
            <w:r>
              <w:rPr>
                <w:rFonts w:hint="eastAsia" w:ascii="宋体" w:hAnsi="宋体" w:eastAsia="宋体" w:cs="宋体"/>
                <w:b w:val="0"/>
                <w:bCs w:val="0"/>
                <w:color w:val="000000" w:themeColor="text1"/>
                <w:kern w:val="2"/>
                <w:szCs w:val="21"/>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2"/>
                <w:szCs w:val="21"/>
                <w:highlight w:val="none"/>
                <w:u w:val="none"/>
                <w:lang w:val="en-US" w:eastAsia="zh-CN"/>
                <w14:textFill>
                  <w14:solidFill>
                    <w14:schemeClr w14:val="tx1"/>
                  </w14:solidFill>
                </w14:textFill>
              </w:rPr>
              <w:t>不符合前述要求的申请文件将被视为无效</w:t>
            </w:r>
            <w:r>
              <w:rPr>
                <w:rFonts w:hint="eastAsia" w:ascii="宋体" w:hAnsi="宋体" w:eastAsia="宋体" w:cs="宋体"/>
                <w:b w:val="0"/>
                <w:bCs w:val="0"/>
                <w:color w:val="000000" w:themeColor="text1"/>
                <w:kern w:val="2"/>
                <w:szCs w:val="21"/>
                <w:highlight w:val="none"/>
                <w:u w:val="none"/>
                <w14:textFill>
                  <w14:solidFill>
                    <w14:schemeClr w14:val="tx1"/>
                  </w14:solidFill>
                </w14:textFill>
              </w:rPr>
              <w:t>。</w:t>
            </w:r>
          </w:p>
        </w:tc>
        <w:tc>
          <w:tcPr>
            <w:tcW w:w="723" w:type="pct"/>
            <w:tcBorders>
              <w:top w:val="single" w:color="auto" w:sz="4" w:space="0"/>
              <w:left w:val="single" w:color="auto" w:sz="4" w:space="0"/>
              <w:bottom w:val="single" w:color="auto" w:sz="4" w:space="0"/>
              <w:right w:val="single" w:color="auto" w:sz="4" w:space="0"/>
            </w:tcBorders>
            <w:vAlign w:val="center"/>
          </w:tcPr>
          <w:p w14:paraId="26040E34">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2ABCC3D8">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r w14:paraId="1BA6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tcBorders>
              <w:left w:val="single" w:color="auto" w:sz="4" w:space="0"/>
              <w:right w:val="single" w:color="auto" w:sz="4" w:space="0"/>
            </w:tcBorders>
            <w:vAlign w:val="center"/>
          </w:tcPr>
          <w:p w14:paraId="2F6E5A69">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四、专项要求</w:t>
            </w:r>
          </w:p>
        </w:tc>
        <w:tc>
          <w:tcPr>
            <w:tcW w:w="2638" w:type="pct"/>
            <w:tcBorders>
              <w:top w:val="single" w:color="auto" w:sz="4" w:space="0"/>
              <w:left w:val="single" w:color="auto" w:sz="4" w:space="0"/>
              <w:bottom w:val="single" w:color="auto" w:sz="4" w:space="0"/>
              <w:right w:val="single" w:color="auto" w:sz="4" w:space="0"/>
            </w:tcBorders>
            <w:vAlign w:val="center"/>
          </w:tcPr>
          <w:p w14:paraId="36E569E5">
            <w:pPr>
              <w:pStyle w:val="140"/>
              <w:keepNext w:val="0"/>
              <w:keepLines w:val="0"/>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成交人</w:t>
            </w:r>
            <w:r>
              <w:rPr>
                <w:rFonts w:hint="eastAsia" w:ascii="宋体" w:hAnsi="宋体" w:eastAsia="宋体" w:cs="宋体"/>
                <w:color w:val="000000" w:themeColor="text1"/>
                <w:kern w:val="2"/>
                <w:sz w:val="21"/>
                <w:szCs w:val="21"/>
                <w:highlight w:val="none"/>
                <w14:textFill>
                  <w14:solidFill>
                    <w14:schemeClr w14:val="tx1"/>
                  </w14:solidFill>
                </w14:textFill>
              </w:rPr>
              <w:t>在</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运输过程中严禁将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在处置场所以外进行中转存放或堆放，严禁将未经资源化处置的</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违规偷倒、丢弃、填埋。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color w:val="000000" w:themeColor="text1"/>
                <w:kern w:val="2"/>
                <w:sz w:val="21"/>
                <w:szCs w:val="21"/>
                <w:highlight w:val="none"/>
                <w14:textFill>
                  <w14:solidFill>
                    <w14:schemeClr w14:val="tx1"/>
                  </w14:solidFill>
                </w14:textFill>
              </w:rPr>
              <w:t>运输过程中不得进行中间装卸操作。</w:t>
            </w:r>
          </w:p>
          <w:p w14:paraId="623981D9">
            <w:pPr>
              <w:pStyle w:val="140"/>
              <w:keepNext w:val="0"/>
              <w:keepLines w:val="0"/>
              <w:suppressLineNumbers w:val="0"/>
              <w:autoSpaceDE/>
              <w:autoSpaceDN/>
              <w:adjustRightInd/>
              <w:spacing w:before="0" w:beforeAutospacing="0" w:after="0" w:afterAutospacing="0" w:line="360" w:lineRule="auto"/>
              <w:ind w:left="0" w:right="0" w:firstLine="210" w:firstLineChars="100"/>
              <w:jc w:val="left"/>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t>常规应急：常态化处置单位出现</w:t>
            </w:r>
            <w:r>
              <w:rPr>
                <w:rFonts w:hint="eastAsia" w:ascii="宋体" w:hAnsi="宋体" w:eastAsia="宋体" w:cs="宋体"/>
                <w:b w:val="0"/>
                <w:bCs w:val="0"/>
                <w:color w:val="000000" w:themeColor="text1"/>
                <w:kern w:val="2"/>
                <w:sz w:val="21"/>
                <w:szCs w:val="21"/>
                <w:highlight w:val="none"/>
                <w:u w:val="none"/>
                <w:lang w:val="en-US" w:eastAsia="zh-CN"/>
                <w14:textFill>
                  <w14:solidFill>
                    <w14:schemeClr w14:val="tx1"/>
                  </w14:solidFill>
                </w14:textFill>
              </w:rPr>
              <w:t>无法满足委托人余泥处置需求</w:t>
            </w:r>
            <w:r>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t>时，委托人可根据实际情况进行应急调配，启用应急处置单位临时承接</w:t>
            </w:r>
            <w:r>
              <w:rPr>
                <w:rFonts w:hint="eastAsia" w:ascii="宋体" w:hAnsi="宋体" w:eastAsia="宋体" w:cs="宋体"/>
                <w:b w:val="0"/>
                <w:bCs w:val="0"/>
                <w:color w:val="000000" w:themeColor="text1"/>
                <w:kern w:val="2"/>
                <w:sz w:val="21"/>
                <w:szCs w:val="21"/>
                <w:highlight w:val="none"/>
                <w:u w:val="none"/>
                <w:lang w:val="en-US" w:eastAsia="zh-CN"/>
                <w14:textFill>
                  <w14:solidFill>
                    <w14:schemeClr w14:val="tx1"/>
                  </w14:solidFill>
                </w14:textFill>
              </w:rPr>
              <w:t>余泥</w:t>
            </w:r>
            <w:r>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t>外运处置工作。</w:t>
            </w:r>
          </w:p>
          <w:p w14:paraId="613EE918">
            <w:pPr>
              <w:pStyle w:val="140"/>
              <w:keepNext w:val="0"/>
              <w:keepLines w:val="0"/>
              <w:suppressLineNumbers w:val="0"/>
              <w:autoSpaceDE/>
              <w:autoSpaceDN/>
              <w:adjustRightInd/>
              <w:spacing w:before="0" w:beforeAutospacing="0" w:after="0" w:afterAutospacing="0" w:line="360" w:lineRule="auto"/>
              <w:ind w:left="0" w:right="0" w:firstLine="210" w:firstLineChars="100"/>
              <w:jc w:val="left"/>
              <w:rPr>
                <w:rFonts w:hint="eastAsia" w:ascii="宋体" w:hAnsi="宋体" w:eastAsia="宋体" w:cs="宋体"/>
                <w:b w:val="0"/>
                <w:bCs w:val="0"/>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u w:val="none"/>
                <w14:textFill>
                  <w14:solidFill>
                    <w14:schemeClr w14:val="tx1"/>
                  </w14:solidFill>
                </w14:textFill>
              </w:rPr>
              <w:t>★</w:t>
            </w:r>
            <w:r>
              <w:rPr>
                <w:rFonts w:hint="eastAsia" w:ascii="宋体" w:hAnsi="宋体" w:cs="宋体"/>
                <w:color w:val="000000" w:themeColor="text1"/>
                <w:kern w:val="2"/>
                <w:szCs w:val="21"/>
                <w:highlight w:val="none"/>
                <w:u w:val="none"/>
                <w14:textFill>
                  <w14:solidFill>
                    <w14:schemeClr w14:val="tx1"/>
                  </w14:solidFill>
                </w14:textFill>
              </w:rPr>
              <w:t>处置单位递补：因常态化处置单位原因，导致服务合同解除的，委托人按《成交人名单》，递补排序第一的应急处置单位成为新的常态化单位。</w:t>
            </w:r>
          </w:p>
          <w:p w14:paraId="4DD00514">
            <w:pPr>
              <w:keepNext w:val="0"/>
              <w:keepLines w:val="0"/>
              <w:widowControl w:val="0"/>
              <w:suppressLineNumbers w:val="0"/>
              <w:tabs>
                <w:tab w:val="center" w:pos="4153"/>
                <w:tab w:val="right" w:pos="8306"/>
              </w:tabs>
              <w:snapToGrid w:val="0"/>
              <w:spacing w:before="0" w:beforeAutospacing="0" w:after="0" w:afterAutospacing="0"/>
              <w:ind w:left="0" w:right="0"/>
              <w:jc w:val="left"/>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p>
        </w:tc>
        <w:tc>
          <w:tcPr>
            <w:tcW w:w="723" w:type="pct"/>
            <w:tcBorders>
              <w:top w:val="single" w:color="auto" w:sz="4" w:space="0"/>
              <w:left w:val="single" w:color="auto" w:sz="4" w:space="0"/>
              <w:bottom w:val="single" w:color="auto" w:sz="4" w:space="0"/>
              <w:right w:val="single" w:color="auto" w:sz="4" w:space="0"/>
            </w:tcBorders>
            <w:vAlign w:val="center"/>
          </w:tcPr>
          <w:p w14:paraId="7E1CE4CA">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pct"/>
            <w:tcBorders>
              <w:top w:val="single" w:color="auto" w:sz="4" w:space="0"/>
              <w:left w:val="single" w:color="auto" w:sz="4" w:space="0"/>
              <w:bottom w:val="single" w:color="auto" w:sz="4" w:space="0"/>
              <w:right w:val="single" w:color="auto" w:sz="4" w:space="0"/>
            </w:tcBorders>
            <w:vAlign w:val="center"/>
          </w:tcPr>
          <w:p w14:paraId="3A1C7FAB">
            <w:pPr>
              <w:keepNext w:val="0"/>
              <w:keepLines w:val="0"/>
              <w:suppressLineNumbers w:val="0"/>
              <w:autoSpaceDE/>
              <w:autoSpaceDN/>
              <w:adjustRightInd/>
              <w:spacing w:before="0" w:beforeAutospacing="0" w:after="0" w:afterAutospacing="0" w:line="30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bl>
    <w:p w14:paraId="3D253F06">
      <w:pPr>
        <w:autoSpaceDE/>
        <w:autoSpaceDN/>
        <w:adjustRightInd/>
        <w:spacing w:line="30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46DE6690">
      <w:pPr>
        <w:autoSpaceDE/>
        <w:autoSpaceDN/>
        <w:adjustRightInd/>
        <w:spacing w:line="300" w:lineRule="exact"/>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备注：</w:t>
      </w:r>
    </w:p>
    <w:p w14:paraId="39E20249">
      <w:pPr>
        <w:autoSpaceDE w:val="0"/>
        <w:autoSpaceDN w:val="0"/>
        <w:adjustRightInd w:val="0"/>
        <w:spacing w:line="360" w:lineRule="auto"/>
        <w:jc w:val="left"/>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w:t>
      </w:r>
      <w:r>
        <w:rPr>
          <w:rFonts w:hint="eastAsia" w:ascii="宋体" w:hAnsi="宋体" w:eastAsia="宋体" w:cs="宋体"/>
          <w:b/>
          <w:bCs/>
          <w:color w:val="000000" w:themeColor="text1"/>
          <w:kern w:val="2"/>
          <w:sz w:val="21"/>
          <w:szCs w:val="21"/>
          <w:highlight w:val="none"/>
          <w:u w:val="single"/>
          <w14:textFill>
            <w14:solidFill>
              <w14:schemeClr w14:val="tx1"/>
            </w14:solidFill>
          </w14:textFill>
        </w:rPr>
        <w:t>申请人应对照用户需求书的响应，逐条、如实地填写“偏离情况”</w:t>
      </w:r>
      <w:r>
        <w:rPr>
          <w:rFonts w:hint="eastAsia" w:ascii="宋体" w:hAnsi="宋体" w:eastAsia="宋体" w:cs="宋体"/>
          <w:b/>
          <w:color w:val="000000" w:themeColor="text1"/>
          <w:kern w:val="2"/>
          <w:sz w:val="21"/>
          <w:szCs w:val="21"/>
          <w:highlight w:val="none"/>
          <w:u w:val="single"/>
          <w14:textFill>
            <w14:solidFill>
              <w14:schemeClr w14:val="tx1"/>
            </w14:solidFill>
          </w14:textFill>
        </w:rPr>
        <w:t>项。“偏离情况”项为正偏离（或负偏离）的，必须在“具体偏离内容”项内详细说明与需求书的偏离内容，“偏离情况”项为无偏离的，在“具体偏离内容”项内填“无偏离”。若发现此表未填写或未逐条填写“★”条款以外的条款的，视为完全满足需求书要求。</w:t>
      </w:r>
    </w:p>
    <w:p w14:paraId="11325180">
      <w:pPr>
        <w:autoSpaceDE w:val="0"/>
        <w:autoSpaceDN w:val="0"/>
        <w:adjustRightInd w:val="0"/>
        <w:spacing w:line="360" w:lineRule="auto"/>
        <w:jc w:val="left"/>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w:t>
      </w:r>
      <w:r>
        <w:rPr>
          <w:rFonts w:hint="eastAsia" w:ascii="宋体" w:hAnsi="宋体" w:eastAsia="宋体" w:cs="宋体"/>
          <w:b/>
          <w:color w:val="000000" w:themeColor="text1"/>
          <w:kern w:val="2"/>
          <w:sz w:val="21"/>
          <w:szCs w:val="21"/>
          <w:highlight w:val="none"/>
          <w:u w:val="single"/>
          <w14:textFill>
            <w14:solidFill>
              <w14:schemeClr w14:val="tx1"/>
            </w14:solidFill>
          </w14:textFill>
        </w:rPr>
        <w:t>若申请文件未实质性满足需求书提出的实质性要求和条件（“★”条款）的，视为无效</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申请</w:t>
      </w:r>
      <w:r>
        <w:rPr>
          <w:rFonts w:hint="eastAsia" w:ascii="宋体" w:hAnsi="宋体" w:eastAsia="宋体" w:cs="宋体"/>
          <w:b/>
          <w:color w:val="000000" w:themeColor="text1"/>
          <w:kern w:val="2"/>
          <w:sz w:val="21"/>
          <w:szCs w:val="21"/>
          <w:highlight w:val="none"/>
          <w:u w:val="single"/>
          <w14:textFill>
            <w14:solidFill>
              <w14:schemeClr w14:val="tx1"/>
            </w14:solidFill>
          </w14:textFill>
        </w:rPr>
        <w:t>。</w:t>
      </w:r>
    </w:p>
    <w:p w14:paraId="344C8E05">
      <w:pPr>
        <w:autoSpaceDE w:val="0"/>
        <w:autoSpaceDN w:val="0"/>
        <w:adjustRightInd w:val="0"/>
        <w:spacing w:line="360" w:lineRule="auto"/>
        <w:jc w:val="left"/>
        <w:rPr>
          <w:rFonts w:hint="eastAsia" w:ascii="宋体" w:hAnsi="宋体" w:eastAsia="宋体" w:cs="宋体"/>
          <w:b/>
          <w:bCs/>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w:t>
      </w:r>
      <w:r>
        <w:rPr>
          <w:rFonts w:hint="eastAsia" w:ascii="宋体" w:hAnsi="宋体" w:eastAsia="宋体" w:cs="宋体"/>
          <w:b/>
          <w:color w:val="000000" w:themeColor="text1"/>
          <w:kern w:val="2"/>
          <w:sz w:val="21"/>
          <w:szCs w:val="21"/>
          <w:highlight w:val="none"/>
          <w:u w:val="single"/>
          <w14:textFill>
            <w14:solidFill>
              <w14:schemeClr w14:val="tx1"/>
            </w14:solidFill>
          </w14:textFill>
        </w:rPr>
        <w:t>若发现虚假填写本表，按无效申请文件处理。</w:t>
      </w:r>
    </w:p>
    <w:p w14:paraId="2A901A8D">
      <w:pPr>
        <w:autoSpaceDE w:val="0"/>
        <w:autoSpaceDN w:val="0"/>
        <w:adjustRightInd w:val="0"/>
        <w:spacing w:line="360" w:lineRule="auto"/>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4.偏离情况分为：正偏离、负偏离、无偏离。正偏离是指申请人提供的货物/服务/工程优于</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用户需求书</w:t>
      </w:r>
      <w:r>
        <w:rPr>
          <w:rFonts w:hint="eastAsia" w:ascii="宋体" w:hAnsi="宋体" w:eastAsia="宋体" w:cs="宋体"/>
          <w:color w:val="000000" w:themeColor="text1"/>
          <w:kern w:val="2"/>
          <w:sz w:val="21"/>
          <w:szCs w:val="21"/>
          <w:highlight w:val="none"/>
          <w14:textFill>
            <w14:solidFill>
              <w14:schemeClr w14:val="tx1"/>
            </w14:solidFill>
          </w14:textFill>
        </w:rPr>
        <w:t>的要求；负偏离是指申请人提供的货物/服务/工程不满足或不完全满足</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用户需求书</w:t>
      </w:r>
      <w:r>
        <w:rPr>
          <w:rFonts w:hint="eastAsia" w:ascii="宋体" w:hAnsi="宋体" w:eastAsia="宋体" w:cs="宋体"/>
          <w:color w:val="000000" w:themeColor="text1"/>
          <w:kern w:val="2"/>
          <w:sz w:val="21"/>
          <w:szCs w:val="21"/>
          <w:highlight w:val="none"/>
          <w14:textFill>
            <w14:solidFill>
              <w14:schemeClr w14:val="tx1"/>
            </w14:solidFill>
          </w14:textFill>
        </w:rPr>
        <w:t>的要求；无偏离是指申请人提供的货物/服务/工程完全满足</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用户需求书</w:t>
      </w:r>
      <w:r>
        <w:rPr>
          <w:rFonts w:hint="eastAsia" w:ascii="宋体" w:hAnsi="宋体" w:eastAsia="宋体" w:cs="宋体"/>
          <w:color w:val="000000" w:themeColor="text1"/>
          <w:kern w:val="2"/>
          <w:sz w:val="21"/>
          <w:szCs w:val="21"/>
          <w:highlight w:val="none"/>
          <w14:textFill>
            <w14:solidFill>
              <w14:schemeClr w14:val="tx1"/>
            </w14:solidFill>
          </w14:textFill>
        </w:rPr>
        <w:t>的要求。</w:t>
      </w:r>
    </w:p>
    <w:p w14:paraId="52E5CF69">
      <w:pPr>
        <w:autoSpaceDE/>
        <w:autoSpaceDN/>
        <w:adjustRightInd/>
        <w:spacing w:line="360" w:lineRule="auto"/>
        <w:ind w:firstLine="5040" w:firstLineChars="2400"/>
        <w:jc w:val="right"/>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申请人：（加盖申请人公章）</w:t>
      </w:r>
    </w:p>
    <w:p w14:paraId="351208DA">
      <w:pPr>
        <w:wordWrap w:val="0"/>
        <w:autoSpaceDE/>
        <w:autoSpaceDN/>
        <w:adjustRightInd/>
        <w:spacing w:line="360" w:lineRule="auto"/>
        <w:ind w:firstLine="435"/>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日期：</w:t>
      </w:r>
      <w:r>
        <w:rPr>
          <w:rFonts w:hint="eastAsia" w:ascii="宋体" w:hAnsi="宋体" w:eastAsia="宋体" w:cs="宋体"/>
          <w:color w:val="000000" w:themeColor="text1"/>
          <w:kern w:val="2"/>
          <w:sz w:val="21"/>
          <w:szCs w:val="21"/>
          <w:highlight w:val="none"/>
          <w14:textFill>
            <w14:solidFill>
              <w14:schemeClr w14:val="tx1"/>
            </w14:solidFill>
          </w14:textFill>
        </w:rPr>
        <w:t xml:space="preserve">   年   月    日</w:t>
      </w:r>
    </w:p>
    <w:p w14:paraId="7C7B1AF7">
      <w:pPr>
        <w:keepNext/>
        <w:keepLines/>
        <w:pageBreakBefore/>
        <w:widowControl w:val="0"/>
        <w:adjustRightInd w:val="0"/>
        <w:spacing w:before="0" w:after="0" w:line="360" w:lineRule="auto"/>
        <w:jc w:val="center"/>
        <w:textAlignment w:val="baseline"/>
        <w:outlineLvl w:val="1"/>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pPr>
      <w:bookmarkStart w:id="733" w:name="_Toc749"/>
      <w:bookmarkStart w:id="734" w:name="_Toc7419"/>
      <w:bookmarkStart w:id="735" w:name="_Toc18060"/>
      <w:bookmarkStart w:id="736" w:name="_Toc13268"/>
      <w:bookmarkStart w:id="737" w:name="_Toc9901"/>
      <w: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t>三、合同条款响应情况</w:t>
      </w:r>
      <w:bookmarkEnd w:id="733"/>
      <w:bookmarkEnd w:id="734"/>
      <w:bookmarkEnd w:id="735"/>
      <w:bookmarkEnd w:id="736"/>
      <w:bookmarkEnd w:id="737"/>
    </w:p>
    <w:tbl>
      <w:tblPr>
        <w:tblStyle w:val="37"/>
        <w:tblW w:w="43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591"/>
        <w:gridCol w:w="1678"/>
        <w:gridCol w:w="2009"/>
      </w:tblGrid>
      <w:tr w14:paraId="2314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39" w:type="pct"/>
            <w:gridSpan w:val="2"/>
            <w:vAlign w:val="center"/>
          </w:tcPr>
          <w:p w14:paraId="3C9BA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合同要求</w:t>
            </w:r>
          </w:p>
        </w:tc>
        <w:tc>
          <w:tcPr>
            <w:tcW w:w="2460" w:type="pct"/>
            <w:gridSpan w:val="2"/>
            <w:vAlign w:val="center"/>
          </w:tcPr>
          <w:p w14:paraId="68887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响应情况</w:t>
            </w:r>
          </w:p>
        </w:tc>
      </w:tr>
      <w:tr w14:paraId="1F55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pct"/>
            <w:vAlign w:val="center"/>
          </w:tcPr>
          <w:p w14:paraId="305C1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条款号</w:t>
            </w:r>
          </w:p>
        </w:tc>
        <w:tc>
          <w:tcPr>
            <w:tcW w:w="1729" w:type="pct"/>
            <w:vAlign w:val="center"/>
          </w:tcPr>
          <w:p w14:paraId="3ABDA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简要</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内容</w:t>
            </w:r>
          </w:p>
        </w:tc>
        <w:tc>
          <w:tcPr>
            <w:tcW w:w="1120" w:type="pct"/>
            <w:vAlign w:val="center"/>
          </w:tcPr>
          <w:p w14:paraId="7336B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偏离情况</w:t>
            </w:r>
          </w:p>
        </w:tc>
        <w:tc>
          <w:tcPr>
            <w:tcW w:w="1340" w:type="pct"/>
            <w:vAlign w:val="center"/>
          </w:tcPr>
          <w:p w14:paraId="0F787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具体偏离内容</w:t>
            </w:r>
          </w:p>
        </w:tc>
      </w:tr>
      <w:tr w14:paraId="2D24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0E3DC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第一条</w:t>
            </w:r>
          </w:p>
        </w:tc>
        <w:tc>
          <w:tcPr>
            <w:tcW w:w="1729" w:type="pct"/>
            <w:vAlign w:val="center"/>
          </w:tcPr>
          <w:p w14:paraId="11B7A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服务内容</w:t>
            </w:r>
          </w:p>
        </w:tc>
        <w:tc>
          <w:tcPr>
            <w:tcW w:w="1120" w:type="pct"/>
            <w:vAlign w:val="center"/>
          </w:tcPr>
          <w:p w14:paraId="1951E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5F8C1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37E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008FD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 xml:space="preserve">第二条 </w:t>
            </w:r>
          </w:p>
        </w:tc>
        <w:tc>
          <w:tcPr>
            <w:tcW w:w="1729" w:type="pct"/>
            <w:vAlign w:val="center"/>
          </w:tcPr>
          <w:p w14:paraId="77F16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服务期限、处置量、处置服务费用</w:t>
            </w:r>
          </w:p>
        </w:tc>
        <w:tc>
          <w:tcPr>
            <w:tcW w:w="1120" w:type="pct"/>
            <w:vAlign w:val="center"/>
          </w:tcPr>
          <w:p w14:paraId="64CC7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2A48F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558A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0D635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第三条</w:t>
            </w:r>
          </w:p>
        </w:tc>
        <w:tc>
          <w:tcPr>
            <w:tcW w:w="1729" w:type="pct"/>
            <w:vAlign w:val="center"/>
          </w:tcPr>
          <w:p w14:paraId="7C91A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余泥</w:t>
            </w:r>
            <w:r>
              <w:rPr>
                <w:rFonts w:hint="eastAsia" w:ascii="宋体" w:hAnsi="宋体" w:eastAsia="宋体" w:cs="宋体"/>
                <w:b w:val="0"/>
                <w:bCs w:val="0"/>
                <w:color w:val="000000" w:themeColor="text1"/>
                <w:kern w:val="2"/>
                <w:sz w:val="21"/>
                <w:szCs w:val="21"/>
                <w:highlight w:val="none"/>
                <w14:textFill>
                  <w14:solidFill>
                    <w14:schemeClr w14:val="tx1"/>
                  </w14:solidFill>
                </w14:textFill>
              </w:rPr>
              <w:t xml:space="preserve">转移数量、最终处置数量确认及资料要求 </w:t>
            </w:r>
          </w:p>
        </w:tc>
        <w:tc>
          <w:tcPr>
            <w:tcW w:w="1120" w:type="pct"/>
            <w:vAlign w:val="center"/>
          </w:tcPr>
          <w:p w14:paraId="07FC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3698C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54FD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35B4A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第四条</w:t>
            </w:r>
          </w:p>
        </w:tc>
        <w:tc>
          <w:tcPr>
            <w:tcW w:w="1729" w:type="pct"/>
            <w:vAlign w:val="center"/>
          </w:tcPr>
          <w:p w14:paraId="6A9B1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费用核算与支付</w:t>
            </w:r>
          </w:p>
        </w:tc>
        <w:tc>
          <w:tcPr>
            <w:tcW w:w="1120" w:type="pct"/>
            <w:vAlign w:val="center"/>
          </w:tcPr>
          <w:p w14:paraId="36744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20E3E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1C82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1A517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第五条</w:t>
            </w:r>
          </w:p>
        </w:tc>
        <w:tc>
          <w:tcPr>
            <w:tcW w:w="1729" w:type="pct"/>
            <w:vAlign w:val="center"/>
          </w:tcPr>
          <w:p w14:paraId="04489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履约担保</w:t>
            </w:r>
          </w:p>
        </w:tc>
        <w:tc>
          <w:tcPr>
            <w:tcW w:w="1120" w:type="pct"/>
            <w:vAlign w:val="center"/>
          </w:tcPr>
          <w:p w14:paraId="1502C4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7B2C5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5FF5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0618D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第六条</w:t>
            </w:r>
          </w:p>
        </w:tc>
        <w:tc>
          <w:tcPr>
            <w:tcW w:w="1729" w:type="pct"/>
            <w:vAlign w:val="center"/>
          </w:tcPr>
          <w:p w14:paraId="02D22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双方的权利与义务</w:t>
            </w:r>
          </w:p>
        </w:tc>
        <w:tc>
          <w:tcPr>
            <w:tcW w:w="1120" w:type="pct"/>
            <w:vAlign w:val="center"/>
          </w:tcPr>
          <w:p w14:paraId="1294A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29BA8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2356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5273A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第七条</w:t>
            </w:r>
          </w:p>
        </w:tc>
        <w:tc>
          <w:tcPr>
            <w:tcW w:w="1729" w:type="pct"/>
            <w:vAlign w:val="center"/>
          </w:tcPr>
          <w:p w14:paraId="6C8FB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违约责任</w:t>
            </w:r>
          </w:p>
        </w:tc>
        <w:tc>
          <w:tcPr>
            <w:tcW w:w="1120" w:type="pct"/>
            <w:vAlign w:val="center"/>
          </w:tcPr>
          <w:p w14:paraId="240B0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77EBD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489B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13A80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第八条</w:t>
            </w:r>
          </w:p>
        </w:tc>
        <w:tc>
          <w:tcPr>
            <w:tcW w:w="1729" w:type="pct"/>
            <w:vAlign w:val="center"/>
          </w:tcPr>
          <w:p w14:paraId="7664E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不可抗力</w:t>
            </w:r>
          </w:p>
        </w:tc>
        <w:tc>
          <w:tcPr>
            <w:tcW w:w="1120" w:type="pct"/>
            <w:vAlign w:val="center"/>
          </w:tcPr>
          <w:p w14:paraId="3A0D4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71F35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66FB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59BE7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第九条</w:t>
            </w:r>
          </w:p>
        </w:tc>
        <w:tc>
          <w:tcPr>
            <w:tcW w:w="1729" w:type="pct"/>
            <w:vAlign w:val="center"/>
          </w:tcPr>
          <w:p w14:paraId="56099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廉政保证</w:t>
            </w:r>
          </w:p>
        </w:tc>
        <w:tc>
          <w:tcPr>
            <w:tcW w:w="1120" w:type="pct"/>
            <w:vAlign w:val="center"/>
          </w:tcPr>
          <w:p w14:paraId="3C963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211EA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062C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5D8A5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第十条</w:t>
            </w:r>
          </w:p>
        </w:tc>
        <w:tc>
          <w:tcPr>
            <w:tcW w:w="1729" w:type="pct"/>
            <w:vAlign w:val="center"/>
          </w:tcPr>
          <w:p w14:paraId="50DF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争议解决</w:t>
            </w:r>
          </w:p>
        </w:tc>
        <w:tc>
          <w:tcPr>
            <w:tcW w:w="1120" w:type="pct"/>
            <w:vAlign w:val="center"/>
          </w:tcPr>
          <w:p w14:paraId="52954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6EF53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r w14:paraId="4582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pct"/>
            <w:vAlign w:val="center"/>
          </w:tcPr>
          <w:p w14:paraId="08CC9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第十</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条</w:t>
            </w:r>
          </w:p>
        </w:tc>
        <w:tc>
          <w:tcPr>
            <w:tcW w:w="1729" w:type="pct"/>
            <w:vAlign w:val="center"/>
          </w:tcPr>
          <w:p w14:paraId="710E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其他</w:t>
            </w:r>
          </w:p>
        </w:tc>
        <w:tc>
          <w:tcPr>
            <w:tcW w:w="1120" w:type="pct"/>
            <w:vAlign w:val="center"/>
          </w:tcPr>
          <w:p w14:paraId="59103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c>
          <w:tcPr>
            <w:tcW w:w="1340" w:type="pct"/>
            <w:vAlign w:val="center"/>
          </w:tcPr>
          <w:p w14:paraId="34869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p>
        </w:tc>
      </w:tr>
    </w:tbl>
    <w:p w14:paraId="6D821782">
      <w:pPr>
        <w:widowControl w:val="0"/>
        <w:spacing w:after="120" w:line="360" w:lineRule="exact"/>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备注：</w:t>
      </w:r>
    </w:p>
    <w:p w14:paraId="41816823">
      <w:pPr>
        <w:autoSpaceDE/>
        <w:autoSpaceDN/>
        <w:adjustRightInd/>
        <w:spacing w:line="360" w:lineRule="auto"/>
        <w:jc w:val="both"/>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b/>
          <w:color w:val="000000" w:themeColor="text1"/>
          <w:kern w:val="2"/>
          <w:sz w:val="21"/>
          <w:szCs w:val="21"/>
          <w:highlight w:val="none"/>
          <w:u w:val="single"/>
          <w14:textFill>
            <w14:solidFill>
              <w14:schemeClr w14:val="tx1"/>
            </w14:solidFill>
          </w14:textFill>
        </w:rPr>
        <w:t>申请人应对照合同响应，如实地填写“偏离情况”，“偏离情况”项为正偏离（或负偏离）的，必须在“具体偏离内容”项内详细说明与合同的偏离内容，“偏离情况”项为无偏离的，在“具体偏离内容”项内填“无偏离”。若发现此表未逐条填写视为完全满足合同的要求</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624846F0">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w:t>
      </w:r>
      <w:r>
        <w:rPr>
          <w:rFonts w:hint="eastAsia" w:ascii="宋体" w:hAnsi="宋体" w:eastAsia="宋体" w:cs="宋体"/>
          <w:b/>
          <w:color w:val="000000" w:themeColor="text1"/>
          <w:kern w:val="2"/>
          <w:sz w:val="21"/>
          <w:szCs w:val="21"/>
          <w:highlight w:val="none"/>
          <w:u w:val="single"/>
          <w14:textFill>
            <w14:solidFill>
              <w14:schemeClr w14:val="tx1"/>
            </w14:solidFill>
          </w14:textFill>
        </w:rPr>
        <w:t>若发现虚假填写本表，或伪造、变造证明材料，或对合同及其附件响应有重大的负偏离导致</w:t>
      </w:r>
      <w:r>
        <w:rPr>
          <w:rFonts w:hint="eastAsia" w:ascii="宋体" w:hAnsi="宋体" w:eastAsia="宋体" w:cs="宋体"/>
          <w:b/>
          <w:color w:val="000000" w:themeColor="text1"/>
          <w:kern w:val="2"/>
          <w:sz w:val="21"/>
          <w:szCs w:val="21"/>
          <w:highlight w:val="none"/>
          <w:u w:val="single"/>
          <w:lang w:eastAsia="zh-CN"/>
          <w14:textFill>
            <w14:solidFill>
              <w14:schemeClr w14:val="tx1"/>
            </w14:solidFill>
          </w14:textFill>
        </w:rPr>
        <w:t>委托人</w:t>
      </w:r>
      <w:r>
        <w:rPr>
          <w:rFonts w:hint="eastAsia" w:ascii="宋体" w:hAnsi="宋体" w:eastAsia="宋体" w:cs="宋体"/>
          <w:b/>
          <w:color w:val="000000" w:themeColor="text1"/>
          <w:kern w:val="2"/>
          <w:sz w:val="21"/>
          <w:szCs w:val="21"/>
          <w:highlight w:val="none"/>
          <w:u w:val="single"/>
          <w14:textFill>
            <w14:solidFill>
              <w14:schemeClr w14:val="tx1"/>
            </w14:solidFill>
          </w14:textFill>
        </w:rPr>
        <w:t>利益无法得到保障、存在</w:t>
      </w:r>
      <w:r>
        <w:rPr>
          <w:rFonts w:hint="eastAsia" w:ascii="宋体" w:hAnsi="宋体" w:eastAsia="宋体" w:cs="宋体"/>
          <w:b/>
          <w:color w:val="000000" w:themeColor="text1"/>
          <w:kern w:val="2"/>
          <w:sz w:val="21"/>
          <w:szCs w:val="21"/>
          <w:highlight w:val="none"/>
          <w:u w:val="single"/>
          <w:lang w:eastAsia="zh-CN"/>
          <w14:textFill>
            <w14:solidFill>
              <w14:schemeClr w14:val="tx1"/>
            </w14:solidFill>
          </w14:textFill>
        </w:rPr>
        <w:t>委托人</w:t>
      </w:r>
      <w:r>
        <w:rPr>
          <w:rFonts w:hint="eastAsia" w:ascii="宋体" w:hAnsi="宋体" w:eastAsia="宋体" w:cs="宋体"/>
          <w:b/>
          <w:color w:val="000000" w:themeColor="text1"/>
          <w:kern w:val="2"/>
          <w:sz w:val="21"/>
          <w:szCs w:val="21"/>
          <w:highlight w:val="none"/>
          <w:u w:val="single"/>
          <w14:textFill>
            <w14:solidFill>
              <w14:schemeClr w14:val="tx1"/>
            </w14:solidFill>
          </w14:textFill>
        </w:rPr>
        <w:t>无法接受的风险的，按无效</w:t>
      </w:r>
      <w:r>
        <w:rPr>
          <w:rFonts w:hint="eastAsia" w:ascii="宋体" w:hAnsi="宋体" w:eastAsia="宋体" w:cs="宋体"/>
          <w:b/>
          <w:color w:val="000000" w:themeColor="text1"/>
          <w:kern w:val="2"/>
          <w:sz w:val="21"/>
          <w:szCs w:val="21"/>
          <w:highlight w:val="none"/>
          <w:u w:val="single"/>
          <w:lang w:val="en-US" w:eastAsia="zh-CN"/>
          <w14:textFill>
            <w14:solidFill>
              <w14:schemeClr w14:val="tx1"/>
            </w14:solidFill>
          </w14:textFill>
        </w:rPr>
        <w:t>申请</w:t>
      </w:r>
      <w:r>
        <w:rPr>
          <w:rFonts w:hint="eastAsia" w:ascii="宋体" w:hAnsi="宋体" w:eastAsia="宋体" w:cs="宋体"/>
          <w:b/>
          <w:color w:val="000000" w:themeColor="text1"/>
          <w:kern w:val="2"/>
          <w:sz w:val="21"/>
          <w:szCs w:val="21"/>
          <w:highlight w:val="none"/>
          <w:u w:val="single"/>
          <w14:textFill>
            <w14:solidFill>
              <w14:schemeClr w14:val="tx1"/>
            </w14:solidFill>
          </w14:textFill>
        </w:rPr>
        <w:t>处理</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55FADF2D">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偏离情况分为：正偏离、负偏离、无偏离。正偏离是指申请人提供的货物/服务/工程优于合同的要求；负偏离是指申请人提供的货物/服务/工程不满足或不完全满足合同的要求；无偏离是指申请人提供的货物/服务/工程完全满足合同的要求。</w:t>
      </w:r>
    </w:p>
    <w:p w14:paraId="31FB0330">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4.如申请人差异内容较多可另附页说明。</w:t>
      </w:r>
    </w:p>
    <w:p w14:paraId="7911B517">
      <w:pPr>
        <w:widowControl w:val="0"/>
        <w:spacing w:after="12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67045666">
      <w:pPr>
        <w:autoSpaceDE/>
        <w:autoSpaceDN/>
        <w:adjustRightInd/>
        <w:spacing w:line="360" w:lineRule="auto"/>
        <w:ind w:firstLine="5040" w:firstLineChars="2400"/>
        <w:jc w:val="right"/>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申请人：（加盖申请人公章）</w:t>
      </w:r>
    </w:p>
    <w:p w14:paraId="3B5955C8">
      <w:pPr>
        <w:wordWrap w:val="0"/>
        <w:autoSpaceDE/>
        <w:autoSpaceDN/>
        <w:adjustRightInd/>
        <w:spacing w:line="360" w:lineRule="auto"/>
        <w:ind w:firstLine="435"/>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14:textFill>
            <w14:solidFill>
              <w14:schemeClr w14:val="tx1"/>
            </w14:solidFill>
          </w14:textFill>
        </w:rPr>
        <w:t>日期：</w:t>
      </w:r>
      <w:r>
        <w:rPr>
          <w:rFonts w:hint="eastAsia" w:ascii="宋体" w:hAnsi="宋体" w:eastAsia="宋体" w:cs="宋体"/>
          <w:color w:val="000000" w:themeColor="text1"/>
          <w:kern w:val="2"/>
          <w:sz w:val="21"/>
          <w:szCs w:val="21"/>
          <w:highlight w:val="none"/>
          <w14:textFill>
            <w14:solidFill>
              <w14:schemeClr w14:val="tx1"/>
            </w14:solidFill>
          </w14:textFill>
        </w:rPr>
        <w:t xml:space="preserve">   年   月    日</w:t>
      </w:r>
    </w:p>
    <w:p w14:paraId="3B8ECD46">
      <w:pPr>
        <w:widowControl w:val="0"/>
        <w:spacing w:after="12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11506189">
      <w:pPr>
        <w:spacing w:line="360" w:lineRule="auto"/>
        <w:jc w:val="center"/>
        <w:rPr>
          <w:rFonts w:hint="eastAsia" w:ascii="宋体" w:hAnsi="宋体" w:eastAsia="宋体" w:cs="宋体"/>
          <w:b/>
          <w:bCs/>
          <w:color w:val="000000" w:themeColor="text1"/>
          <w:sz w:val="30"/>
          <w:szCs w:val="30"/>
          <w:highlight w:val="none"/>
          <w:lang w:val="en-US" w:eastAsia="zh-CN"/>
          <w14:textFill>
            <w14:solidFill>
              <w14:schemeClr w14:val="tx1"/>
            </w14:solidFill>
          </w14:textFill>
        </w:rPr>
        <w:sectPr>
          <w:pgSz w:w="11906" w:h="16838"/>
          <w:pgMar w:top="1440" w:right="1984" w:bottom="1440" w:left="1621" w:header="851" w:footer="992" w:gutter="0"/>
          <w:pgNumType w:fmt="decimal"/>
          <w:cols w:space="425" w:num="1"/>
          <w:docGrid w:type="lines" w:linePitch="312" w:charSpace="0"/>
        </w:sectPr>
      </w:pPr>
    </w:p>
    <w:p w14:paraId="005741CD">
      <w:pPr>
        <w:keepNext/>
        <w:keepLines/>
        <w:pageBreakBefore/>
        <w:widowControl w:val="0"/>
        <w:adjustRightInd w:val="0"/>
        <w:spacing w:before="0" w:after="0" w:line="360" w:lineRule="auto"/>
        <w:jc w:val="center"/>
        <w:textAlignment w:val="baseline"/>
        <w:outlineLvl w:val="1"/>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pPr>
      <w:bookmarkStart w:id="738" w:name="_Toc9134"/>
      <w:bookmarkStart w:id="739" w:name="_Toc5332"/>
      <w:bookmarkStart w:id="740" w:name="_Toc4760"/>
      <w: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t>四、申请人承诺书</w:t>
      </w:r>
      <w:bookmarkEnd w:id="738"/>
      <w:bookmarkEnd w:id="739"/>
      <w:bookmarkEnd w:id="740"/>
    </w:p>
    <w:p w14:paraId="342D5825">
      <w:pPr>
        <w:autoSpaceDE/>
        <w:autoSpaceDN/>
        <w:adjustRightInd/>
        <w:spacing w:line="360" w:lineRule="auto"/>
        <w:ind w:right="420" w:firstLine="5040" w:firstLineChars="24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p>
    <w:p w14:paraId="7D0DBA4C">
      <w:pPr>
        <w:widowControl w:val="0"/>
        <w:spacing w:after="120" w:line="360" w:lineRule="auto"/>
        <w:ind w:firstLine="420" w:firstLineChars="200"/>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我单位</w:t>
      </w:r>
      <w:r>
        <w:rPr>
          <w:rFonts w:hint="eastAsia" w:ascii="宋体" w:hAnsi="宋体" w:eastAsia="宋体" w:cs="宋体"/>
          <w:color w:val="000000" w:themeColor="text1"/>
          <w:kern w:val="2"/>
          <w:sz w:val="21"/>
          <w:szCs w:val="24"/>
          <w:highlight w:val="none"/>
          <w:u w:val="single"/>
          <w:lang w:val="en-US" w:eastAsia="zh-CN" w:bidi="ar-SA"/>
          <w14:textFill>
            <w14:solidFill>
              <w14:schemeClr w14:val="tx1"/>
            </w14:solidFill>
          </w14:textFill>
        </w:rPr>
        <w:t xml:space="preserve">                    （申请人名称）</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已完整阅读了</w:t>
      </w:r>
      <w:r>
        <w:rPr>
          <w:rFonts w:hint="eastAsia" w:ascii="宋体" w:hAnsi="宋体" w:eastAsia="宋体" w:cs="宋体"/>
          <w:color w:val="000000" w:themeColor="text1"/>
          <w:kern w:val="2"/>
          <w:sz w:val="21"/>
          <w:szCs w:val="24"/>
          <w:highlight w:val="none"/>
          <w:u w:val="single"/>
          <w:lang w:val="en-US" w:eastAsia="zh-CN" w:bidi="ar-SA"/>
          <w14:textFill>
            <w14:solidFill>
              <w14:schemeClr w14:val="tx1"/>
            </w14:solidFill>
          </w14:textFill>
        </w:rPr>
        <w:t>东莞市众源环境投资有限公司12家等供水厂余泥外运处置项目</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的用户需求书及合同等所有内容，并完全理解上述文件所表达的意思。经认真研究，我单位决定参加</w:t>
      </w:r>
      <w:r>
        <w:rPr>
          <w:rFonts w:hint="eastAsia" w:ascii="宋体" w:hAnsi="宋体" w:eastAsia="宋体" w:cs="宋体"/>
          <w:color w:val="000000" w:themeColor="text1"/>
          <w:kern w:val="2"/>
          <w:sz w:val="21"/>
          <w:szCs w:val="24"/>
          <w:highlight w:val="none"/>
          <w:u w:val="single"/>
          <w:lang w:val="en-US" w:eastAsia="zh-CN" w:bidi="ar-SA"/>
          <w14:textFill>
            <w14:solidFill>
              <w14:schemeClr w14:val="tx1"/>
            </w14:solidFill>
          </w14:textFill>
        </w:rPr>
        <w:t>东莞市众源环境投资有限公司12家等供水厂余泥外运处置项目</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分配竞价，现郑重承诺：</w:t>
      </w:r>
    </w:p>
    <w:p w14:paraId="7DB15E4D">
      <w:pPr>
        <w:widowControl w:val="0"/>
        <w:numPr>
          <w:ilvl w:val="0"/>
          <w:numId w:val="3"/>
        </w:numPr>
        <w:spacing w:after="120" w:line="360" w:lineRule="auto"/>
        <w:ind w:firstLine="420" w:firstLineChars="200"/>
        <w:jc w:val="both"/>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我单位</w:t>
      </w: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成功竞标</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余泥常态化</w:t>
      </w: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分配处置权，</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承诺在收到分配结果通知书之日起5日内</w:t>
      </w: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按</w:t>
      </w:r>
      <w:r>
        <w:rPr>
          <w:rFonts w:hint="eastAsia" w:ascii="宋体" w:hAnsi="宋体" w:eastAsia="宋体" w:cs="宋体"/>
          <w:b w:val="0"/>
          <w:bCs w:val="0"/>
          <w:color w:val="000000" w:themeColor="text1"/>
          <w:kern w:val="2"/>
          <w:sz w:val="21"/>
          <w:szCs w:val="24"/>
          <w:highlight w:val="none"/>
          <w:u w:val="none"/>
          <w:lang w:val="en-US"/>
          <w14:textFill>
            <w14:solidFill>
              <w14:schemeClr w14:val="tx1"/>
            </w14:solidFill>
          </w14:textFill>
        </w:rPr>
        <w:t>按本</w:t>
      </w:r>
      <w:r>
        <w:rPr>
          <w:rFonts w:hint="eastAsia" w:ascii="宋体" w:hAnsi="宋体" w:eastAsia="宋体" w:cs="宋体"/>
          <w:b w:val="0"/>
          <w:bCs w:val="0"/>
          <w:color w:val="000000" w:themeColor="text1"/>
          <w:kern w:val="2"/>
          <w:sz w:val="21"/>
          <w:szCs w:val="24"/>
          <w:highlight w:val="none"/>
          <w:u w:val="none"/>
          <w:lang w:val="en-US" w:eastAsia="zh-CN"/>
          <w14:textFill>
            <w14:solidFill>
              <w14:schemeClr w14:val="tx1"/>
            </w14:solidFill>
          </w14:textFill>
        </w:rPr>
        <w:t>分配方案</w:t>
      </w:r>
      <w:r>
        <w:rPr>
          <w:rFonts w:hint="eastAsia" w:ascii="宋体" w:hAnsi="宋体" w:eastAsia="宋体" w:cs="宋体"/>
          <w:b w:val="0"/>
          <w:bCs w:val="0"/>
          <w:color w:val="000000" w:themeColor="text1"/>
          <w:kern w:val="2"/>
          <w:sz w:val="21"/>
          <w:szCs w:val="24"/>
          <w:highlight w:val="none"/>
          <w:u w:val="none"/>
          <w:lang w:val="en-US"/>
          <w14:textFill>
            <w14:solidFill>
              <w14:schemeClr w14:val="tx1"/>
            </w14:solidFill>
          </w14:textFill>
        </w:rPr>
        <w:t>规定金额及形式要求</w:t>
      </w:r>
      <w:r>
        <w:rPr>
          <w:rFonts w:hint="eastAsia" w:ascii="宋体" w:hAnsi="宋体" w:eastAsia="宋体" w:cs="宋体"/>
          <w:b w:val="0"/>
          <w:bCs w:val="0"/>
          <w:color w:val="000000" w:themeColor="text1"/>
          <w:kern w:val="2"/>
          <w:sz w:val="21"/>
          <w:szCs w:val="24"/>
          <w:highlight w:val="none"/>
          <w:u w:val="none"/>
          <w:lang w:val="en-US" w:eastAsia="zh-CN"/>
          <w14:textFill>
            <w14:solidFill>
              <w14:schemeClr w14:val="tx1"/>
            </w14:solidFill>
          </w14:textFill>
        </w:rPr>
        <w:t>提供履约担保</w:t>
      </w: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，逾期7天缴纳视为放弃成交，委托人有权顺延排位重新确认成交人。</w:t>
      </w:r>
    </w:p>
    <w:p w14:paraId="40DF41FD">
      <w:pPr>
        <w:autoSpaceDE/>
        <w:autoSpaceDN/>
        <w:adjustRightInd/>
        <w:spacing w:line="360" w:lineRule="auto"/>
        <w:ind w:firstLine="420" w:firstLineChars="200"/>
        <w:jc w:val="both"/>
        <w:rPr>
          <w:rFonts w:hint="eastAsia" w:ascii="宋体" w:hAnsi="宋体" w:eastAsia="宋体" w:cs="宋体"/>
          <w:color w:val="000000" w:themeColor="text1"/>
          <w:kern w:val="2"/>
          <w:sz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highlight w:val="none"/>
          <w:lang w:val="en-US" w:eastAsia="zh-CN"/>
          <w14:textFill>
            <w14:solidFill>
              <w14:schemeClr w14:val="tx1"/>
            </w14:solidFill>
          </w14:textFill>
        </w:rPr>
        <w:t>2、我单位保证严格按照申请文件</w:t>
      </w:r>
      <w:r>
        <w:rPr>
          <w:rFonts w:hint="eastAsia" w:ascii="宋体" w:hAnsi="宋体" w:eastAsia="宋体" w:cs="宋体"/>
          <w:color w:val="000000" w:themeColor="text1"/>
          <w:kern w:val="2"/>
          <w:sz w:val="21"/>
          <w:highlight w:val="none"/>
          <w:lang w:val="zh-CN"/>
          <w14:textFill>
            <w14:solidFill>
              <w14:schemeClr w14:val="tx1"/>
            </w14:solidFill>
          </w14:textFill>
        </w:rPr>
        <w:t>承诺的接收量向</w:t>
      </w:r>
      <w:r>
        <w:rPr>
          <w:rFonts w:hint="eastAsia" w:ascii="宋体" w:hAnsi="宋体" w:eastAsia="宋体" w:cs="宋体"/>
          <w:color w:val="000000" w:themeColor="text1"/>
          <w:kern w:val="2"/>
          <w:sz w:val="21"/>
          <w:highlight w:val="none"/>
          <w:lang w:val="en-US" w:eastAsia="zh-CN"/>
          <w14:textFill>
            <w14:solidFill>
              <w14:schemeClr w14:val="tx1"/>
            </w14:solidFill>
          </w14:textFill>
        </w:rPr>
        <w:t>委托人提供余泥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处置服务</w:t>
      </w:r>
      <w:r>
        <w:rPr>
          <w:rFonts w:hint="eastAsia" w:ascii="宋体" w:hAnsi="宋体" w:eastAsia="宋体" w:cs="宋体"/>
          <w:color w:val="000000" w:themeColor="text1"/>
          <w:kern w:val="2"/>
          <w:sz w:val="21"/>
          <w:highlight w:val="none"/>
          <w:lang w:val="zh-CN"/>
          <w14:textFill>
            <w14:solidFill>
              <w14:schemeClr w14:val="tx1"/>
            </w14:solidFill>
          </w14:textFill>
        </w:rPr>
        <w:t>，</w:t>
      </w:r>
      <w:r>
        <w:rPr>
          <w:rFonts w:hint="eastAsia" w:ascii="宋体" w:hAnsi="宋体" w:eastAsia="宋体" w:cs="宋体"/>
          <w:color w:val="000000" w:themeColor="text1"/>
          <w:kern w:val="2"/>
          <w:sz w:val="21"/>
          <w:highlight w:val="none"/>
          <w:lang w:val="en-US" w:eastAsia="zh-CN"/>
          <w14:textFill>
            <w14:solidFill>
              <w14:schemeClr w14:val="tx1"/>
            </w14:solidFill>
          </w14:textFill>
        </w:rPr>
        <w:t>若我单位</w:t>
      </w:r>
      <w:r>
        <w:rPr>
          <w:rFonts w:hint="eastAsia" w:ascii="宋体" w:hAnsi="宋体" w:eastAsia="宋体" w:cs="宋体"/>
          <w:color w:val="000000" w:themeColor="text1"/>
          <w:kern w:val="2"/>
          <w:sz w:val="21"/>
          <w:highlight w:val="none"/>
          <w:lang w:val="zh-CN"/>
          <w14:textFill>
            <w14:solidFill>
              <w14:schemeClr w14:val="tx1"/>
            </w14:solidFill>
          </w14:textFill>
        </w:rPr>
        <w:t>无法按承诺量接收</w:t>
      </w:r>
      <w:r>
        <w:rPr>
          <w:rFonts w:hint="eastAsia" w:ascii="宋体" w:hAnsi="宋体" w:eastAsia="宋体" w:cs="宋体"/>
          <w:color w:val="000000" w:themeColor="text1"/>
          <w:kern w:val="2"/>
          <w:sz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余泥</w:t>
      </w:r>
      <w:r>
        <w:rPr>
          <w:rFonts w:hint="eastAsia" w:ascii="宋体" w:hAnsi="宋体" w:eastAsia="宋体" w:cs="宋体"/>
          <w:color w:val="000000" w:themeColor="text1"/>
          <w:kern w:val="2"/>
          <w:sz w:val="21"/>
          <w:highlight w:val="none"/>
          <w:lang w:val="zh-CN"/>
          <w14:textFill>
            <w14:solidFill>
              <w14:schemeClr w14:val="tx1"/>
            </w14:solidFill>
          </w14:textFill>
        </w:rPr>
        <w:t>时，视为</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通过弄虚作假骗取</w:t>
      </w:r>
      <w:r>
        <w:rPr>
          <w:rFonts w:hint="eastAsia" w:ascii="宋体" w:hAnsi="宋体" w:eastAsia="宋体" w:cs="宋体"/>
          <w:color w:val="000000" w:themeColor="text1"/>
          <w:kern w:val="2"/>
          <w:sz w:val="21"/>
          <w:highlight w:val="none"/>
          <w:lang w:val="en-US" w:eastAsia="zh-CN"/>
          <w14:textFill>
            <w14:solidFill>
              <w14:schemeClr w14:val="tx1"/>
            </w14:solidFill>
          </w14:textFill>
        </w:rPr>
        <w:t>成交</w:t>
      </w:r>
      <w:r>
        <w:rPr>
          <w:rFonts w:hint="eastAsia" w:ascii="宋体" w:hAnsi="宋体" w:eastAsia="宋体" w:cs="宋体"/>
          <w:color w:val="000000" w:themeColor="text1"/>
          <w:kern w:val="2"/>
          <w:sz w:val="21"/>
          <w:highlight w:val="none"/>
          <w:lang w:val="zh-CN"/>
          <w14:textFill>
            <w14:solidFill>
              <w14:schemeClr w14:val="tx1"/>
            </w14:solidFill>
          </w14:textFill>
        </w:rPr>
        <w:t>，</w:t>
      </w:r>
      <w:r>
        <w:rPr>
          <w:rFonts w:hint="eastAsia" w:ascii="宋体" w:hAnsi="宋体" w:eastAsia="宋体" w:cs="宋体"/>
          <w:color w:val="000000" w:themeColor="text1"/>
          <w:kern w:val="2"/>
          <w:sz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highlight w:val="none"/>
          <w:lang w:val="zh-CN"/>
          <w14:textFill>
            <w14:solidFill>
              <w14:schemeClr w14:val="tx1"/>
            </w14:solidFill>
          </w14:textFill>
        </w:rPr>
        <w:t>有权将</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纳入东莞市水务集团实业发展有限公司（含其全资公司、控股公司、由其管理的参股公司）招标、采购、征集供应商或合作方采购‘黑名单’中，因此导致</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无法参与东莞市水务集团实业发展有限公司相关招标采购活动的，由</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自行承担全部后果。同时</w:t>
      </w:r>
      <w:r>
        <w:rPr>
          <w:rFonts w:hint="eastAsia" w:ascii="宋体" w:hAnsi="宋体" w:eastAsia="宋体" w:cs="宋体"/>
          <w:color w:val="000000" w:themeColor="text1"/>
          <w:kern w:val="2"/>
          <w:sz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highlight w:val="none"/>
          <w:lang w:val="zh-CN"/>
          <w14:textFill>
            <w14:solidFill>
              <w14:schemeClr w14:val="tx1"/>
            </w14:solidFill>
          </w14:textFill>
        </w:rPr>
        <w:t>有权或协助主管部门认定</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严重失信的不良行为，纳入相关企业信用“黑名单”，限制</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参与依法必须招标项目的投标，并向行政主管部门报送结果。同时，</w:t>
      </w:r>
      <w:r>
        <w:rPr>
          <w:rFonts w:hint="eastAsia" w:ascii="宋体" w:hAnsi="宋体" w:eastAsia="宋体" w:cs="宋体"/>
          <w:color w:val="000000" w:themeColor="text1"/>
          <w:kern w:val="2"/>
          <w:sz w:val="21"/>
          <w:highlight w:val="none"/>
          <w:lang w:val="en-US" w:eastAsia="zh-CN"/>
          <w14:textFill>
            <w14:solidFill>
              <w14:schemeClr w14:val="tx1"/>
            </w14:solidFill>
          </w14:textFill>
        </w:rPr>
        <w:t>委托人</w:t>
      </w:r>
      <w:r>
        <w:rPr>
          <w:rFonts w:hint="eastAsia" w:ascii="宋体" w:hAnsi="宋体" w:eastAsia="宋体" w:cs="宋体"/>
          <w:color w:val="000000" w:themeColor="text1"/>
          <w:kern w:val="2"/>
          <w:sz w:val="21"/>
          <w:highlight w:val="none"/>
          <w:lang w:val="zh-CN"/>
          <w14:textFill>
            <w14:solidFill>
              <w14:schemeClr w14:val="tx1"/>
            </w14:solidFill>
          </w14:textFill>
        </w:rPr>
        <w:t>有权根据《关于对环境保护领域失信生产经营单位及其有关人员开展联合惩戒的合作备忘录》等规定，通过“信用中国”网站向社会公示</w:t>
      </w:r>
      <w:r>
        <w:rPr>
          <w:rFonts w:hint="eastAsia" w:ascii="宋体" w:hAnsi="宋体" w:eastAsia="宋体" w:cs="宋体"/>
          <w:color w:val="000000" w:themeColor="text1"/>
          <w:kern w:val="2"/>
          <w:sz w:val="21"/>
          <w:highlight w:val="none"/>
          <w:lang w:val="en-US" w:eastAsia="zh-CN"/>
          <w14:textFill>
            <w14:solidFill>
              <w14:schemeClr w14:val="tx1"/>
            </w14:solidFill>
          </w14:textFill>
        </w:rPr>
        <w:t>我单位</w:t>
      </w:r>
      <w:r>
        <w:rPr>
          <w:rFonts w:hint="eastAsia" w:ascii="宋体" w:hAnsi="宋体" w:eastAsia="宋体" w:cs="宋体"/>
          <w:color w:val="000000" w:themeColor="text1"/>
          <w:kern w:val="2"/>
          <w:sz w:val="21"/>
          <w:highlight w:val="none"/>
          <w:lang w:val="zh-CN"/>
          <w14:textFill>
            <w14:solidFill>
              <w14:schemeClr w14:val="tx1"/>
            </w14:solidFill>
          </w14:textFill>
        </w:rPr>
        <w:t>的失信行为，实现“一处失信、处处受限”。</w:t>
      </w:r>
    </w:p>
    <w:p w14:paraId="439ACF77">
      <w:pPr>
        <w:autoSpaceDE/>
        <w:autoSpaceDN/>
        <w:adjustRightInd/>
        <w:spacing w:line="360" w:lineRule="auto"/>
        <w:ind w:firstLine="0" w:firstLineChars="0"/>
        <w:jc w:val="left"/>
        <w:rPr>
          <w:rFonts w:hint="eastAsia" w:ascii="宋体" w:hAnsi="宋体" w:eastAsia="宋体" w:cs="宋体"/>
          <w:color w:val="000000" w:themeColor="text1"/>
          <w:kern w:val="2"/>
          <w:sz w:val="21"/>
          <w:highlight w:val="none"/>
          <w:lang w:val="en-US" w:eastAsia="zh-CN"/>
          <w14:textFill>
            <w14:solidFill>
              <w14:schemeClr w14:val="tx1"/>
            </w14:solidFill>
          </w14:textFill>
        </w:rPr>
      </w:pPr>
    </w:p>
    <w:p w14:paraId="63A8D45E">
      <w:pPr>
        <w:autoSpaceDE/>
        <w:autoSpaceDN/>
        <w:adjustRightInd/>
        <w:spacing w:line="400" w:lineRule="exact"/>
        <w:ind w:firstLine="4410" w:firstLineChars="2100"/>
        <w:jc w:val="both"/>
        <w:rPr>
          <w:rFonts w:hint="eastAsia" w:ascii="宋体" w:hAnsi="宋体" w:eastAsia="宋体" w:cs="宋体"/>
          <w:color w:val="000000" w:themeColor="text1"/>
          <w:kern w:val="2"/>
          <w:sz w:val="21"/>
          <w:highlight w:val="none"/>
          <w:lang w:val="zh-CN"/>
          <w14:textFill>
            <w14:solidFill>
              <w14:schemeClr w14:val="tx1"/>
            </w14:solidFill>
          </w14:textFill>
        </w:rPr>
      </w:pPr>
    </w:p>
    <w:p w14:paraId="0A0F0258">
      <w:pPr>
        <w:autoSpaceDE/>
        <w:autoSpaceDN/>
        <w:adjustRightInd/>
        <w:spacing w:line="360" w:lineRule="auto"/>
        <w:ind w:firstLine="5040" w:firstLineChars="2400"/>
        <w:jc w:val="both"/>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申请人</w:t>
      </w:r>
      <w:r>
        <w:rPr>
          <w:rFonts w:hint="eastAsia" w:ascii="宋体" w:hAnsi="宋体" w:eastAsia="宋体" w:cs="宋体"/>
          <w:color w:val="000000" w:themeColor="text1"/>
          <w:kern w:val="2"/>
          <w:sz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lang w:val="zh-CN"/>
          <w14:textFill>
            <w14:solidFill>
              <w14:schemeClr w14:val="tx1"/>
            </w14:solidFill>
          </w14:textFill>
        </w:rPr>
        <w:t>（加盖申请人公章）</w:t>
      </w:r>
    </w:p>
    <w:p w14:paraId="1811BF1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 xml:space="preserve">                                              </w:t>
      </w:r>
      <w:r>
        <w:rPr>
          <w:rFonts w:hint="eastAsia" w:ascii="宋体" w:hAnsi="宋体" w:eastAsia="宋体" w:cs="宋体"/>
          <w:color w:val="000000" w:themeColor="text1"/>
          <w:kern w:val="2"/>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highlight w:val="none"/>
          <w:lang w:val="zh-CN"/>
          <w14:textFill>
            <w14:solidFill>
              <w14:schemeClr w14:val="tx1"/>
            </w14:solidFill>
          </w14:textFill>
        </w:rPr>
        <w:t xml:space="preserve">  </w:t>
      </w:r>
      <w:r>
        <w:rPr>
          <w:rFonts w:hint="eastAsia" w:ascii="宋体" w:hAnsi="宋体" w:eastAsia="宋体" w:cs="宋体"/>
          <w:color w:val="000000" w:themeColor="text1"/>
          <w:kern w:val="2"/>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highlight w:val="none"/>
          <w:lang w:val="zh-CN"/>
          <w14:textFill>
            <w14:solidFill>
              <w14:schemeClr w14:val="tx1"/>
            </w14:solidFill>
          </w14:textFill>
        </w:rPr>
        <w:t>日期：</w:t>
      </w:r>
      <w:r>
        <w:rPr>
          <w:rFonts w:hint="eastAsia" w:ascii="宋体" w:hAnsi="宋体" w:eastAsia="宋体" w:cs="宋体"/>
          <w:color w:val="000000" w:themeColor="text1"/>
          <w:kern w:val="2"/>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highlight w:val="none"/>
          <w:lang w:val="zh-CN"/>
          <w14:textFill>
            <w14:solidFill>
              <w14:schemeClr w14:val="tx1"/>
            </w14:solidFill>
          </w14:textFill>
        </w:rPr>
        <w:t>年</w:t>
      </w:r>
      <w:r>
        <w:rPr>
          <w:rFonts w:hint="eastAsia" w:ascii="宋体" w:hAnsi="宋体" w:eastAsia="宋体" w:cs="宋体"/>
          <w:color w:val="000000" w:themeColor="text1"/>
          <w:kern w:val="2"/>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highlight w:val="none"/>
          <w:lang w:val="zh-CN"/>
          <w14:textFill>
            <w14:solidFill>
              <w14:schemeClr w14:val="tx1"/>
            </w14:solidFill>
          </w14:textFill>
        </w:rPr>
        <w:t>月</w:t>
      </w:r>
      <w:r>
        <w:rPr>
          <w:rFonts w:hint="eastAsia" w:ascii="宋体" w:hAnsi="宋体" w:eastAsia="宋体" w:cs="宋体"/>
          <w:color w:val="000000" w:themeColor="text1"/>
          <w:kern w:val="2"/>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highlight w:val="none"/>
          <w:lang w:val="zh-CN"/>
          <w14:textFill>
            <w14:solidFill>
              <w14:schemeClr w14:val="tx1"/>
            </w14:solidFill>
          </w14:textFill>
        </w:rPr>
        <w:t>日</w:t>
      </w:r>
    </w:p>
    <w:sectPr>
      <w:pgSz w:w="11906" w:h="16838"/>
      <w:pgMar w:top="1440" w:right="1984" w:bottom="1440" w:left="162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1CD5">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676"/>
                          </w:sdtPr>
                          <w:sdtContent>
                            <w:p w14:paraId="5665CC0B">
                              <w:pPr>
                                <w:pStyle w:val="23"/>
                                <w:jc w:val="center"/>
                              </w:pPr>
                              <w:r>
                                <w:fldChar w:fldCharType="begin"/>
                              </w:r>
                              <w:r>
                                <w:instrText xml:space="preserve"> PAGE   \* MERGEFORMAT </w:instrText>
                              </w:r>
                              <w:r>
                                <w:fldChar w:fldCharType="separate"/>
                              </w:r>
                              <w:r>
                                <w:rPr>
                                  <w:lang w:val="zh-CN"/>
                                </w:rPr>
                                <w:t>14</w:t>
                              </w:r>
                              <w:r>
                                <w:fldChar w:fldCharType="end"/>
                              </w:r>
                            </w:p>
                          </w:sdtContent>
                        </w:sdt>
                        <w:p w14:paraId="609C6DC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8676"/>
                    </w:sdtPr>
                    <w:sdtContent>
                      <w:p w14:paraId="5665CC0B">
                        <w:pPr>
                          <w:pStyle w:val="23"/>
                          <w:jc w:val="center"/>
                        </w:pPr>
                        <w:r>
                          <w:fldChar w:fldCharType="begin"/>
                        </w:r>
                        <w:r>
                          <w:instrText xml:space="preserve"> PAGE   \* MERGEFORMAT </w:instrText>
                        </w:r>
                        <w:r>
                          <w:fldChar w:fldCharType="separate"/>
                        </w:r>
                        <w:r>
                          <w:rPr>
                            <w:lang w:val="zh-CN"/>
                          </w:rPr>
                          <w:t>14</w:t>
                        </w:r>
                        <w:r>
                          <w:fldChar w:fldCharType="end"/>
                        </w:r>
                      </w:p>
                    </w:sdtContent>
                  </w:sdt>
                  <w:p w14:paraId="609C6DCF">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BB7C">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52EE9">
                          <w:pPr>
                            <w:pStyle w:val="2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052EE9">
                    <w:pPr>
                      <w:pStyle w:val="2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BD9C">
    <w:pPr>
      <w:pStyle w:val="2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F38BF">
                          <w:pPr>
                            <w:pStyle w:val="23"/>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3F38BF">
                    <w:pPr>
                      <w:pStyle w:val="23"/>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B40D">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55195">
                          <w:pPr>
                            <w:pStyle w:val="2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E55195">
                    <w:pPr>
                      <w:pStyle w:val="2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989F">
    <w:pPr>
      <w:pStyle w:val="24"/>
      <w:rPr>
        <w:rFonts w:hint="eastAsia"/>
        <w:bCs/>
      </w:rPr>
    </w:pPr>
  </w:p>
  <w:p w14:paraId="0752A02C">
    <w:pPr>
      <w:pStyle w:val="24"/>
      <w:keepNext w:val="0"/>
      <w:keepLines w:val="0"/>
      <w:pageBreakBefore w:val="0"/>
      <w:widowControl w:val="0"/>
      <w:kinsoku/>
      <w:wordWrap/>
      <w:overflowPunct/>
      <w:topLinePunct w:val="0"/>
      <w:bidi w:val="0"/>
      <w:adjustRightInd w:val="0"/>
      <w:snapToGrid w:val="0"/>
      <w:spacing w:after="0" w:afterLines="100"/>
      <w:textAlignment w:val="auto"/>
      <w:rPr>
        <w:rFonts w:hint="default" w:ascii="宋体" w:hAnsi="Times New Roman" w:eastAsia="宋体" w:cs="Times New Roman"/>
        <w:b w:val="0"/>
        <w:bCs/>
        <w:kern w:val="0"/>
        <w:sz w:val="18"/>
        <w:szCs w:val="18"/>
        <w:lang w:val="en-US" w:eastAsia="zh-CN"/>
      </w:rPr>
    </w:pPr>
    <w:r>
      <w:rPr>
        <w:rFonts w:hint="eastAsia"/>
        <w:bCs/>
      </w:rPr>
      <w:t>东莞市众源环境投资有限公司</w:t>
    </w:r>
    <w:r>
      <w:rPr>
        <w:rFonts w:hint="eastAsia"/>
        <w:bCs/>
        <w:lang w:val="en-US" w:eastAsia="zh-CN"/>
      </w:rPr>
      <w:t>12家等</w:t>
    </w:r>
    <w:r>
      <w:rPr>
        <w:rFonts w:hint="eastAsia" w:hAnsi="Times New Roman" w:cs="Times New Roman"/>
        <w:b w:val="0"/>
        <w:bCs/>
        <w:kern w:val="0"/>
        <w:sz w:val="18"/>
        <w:szCs w:val="18"/>
        <w:highlight w:val="none"/>
        <w:lang w:val="en-US" w:eastAsia="zh-CN"/>
      </w:rPr>
      <w:t>供水厂余泥外运处置</w:t>
    </w:r>
    <w:r>
      <w:rPr>
        <w:rFonts w:hint="eastAsia" w:ascii="宋体" w:hAnsi="Times New Roman" w:eastAsia="宋体" w:cs="Times New Roman"/>
        <w:b w:val="0"/>
        <w:bCs/>
        <w:kern w:val="0"/>
        <w:sz w:val="18"/>
        <w:szCs w:val="18"/>
        <w:highlight w:val="none"/>
        <w:lang w:val="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157E">
    <w:pPr>
      <w:pStyle w:val="24"/>
      <w:pBdr>
        <w:top w:val="none" w:color="auto" w:sz="0" w:space="0"/>
        <w:left w:val="none" w:color="auto" w:sz="0" w:space="0"/>
        <w:bottom w:val="none" w:color="auto" w:sz="0" w:space="1"/>
        <w:right w:val="none" w:color="auto" w:sz="0" w:space="0"/>
        <w:between w:val="none" w:color="auto" w:sz="0" w:space="0"/>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ED0C">
    <w:pPr>
      <w:pStyle w:val="24"/>
      <w:pBdr>
        <w:top w:val="none" w:color="auto" w:sz="0" w:space="0"/>
        <w:left w:val="none" w:color="auto" w:sz="0" w:space="0"/>
        <w:bottom w:val="single" w:color="auto" w:sz="4" w:space="1"/>
        <w:right w:val="none" w:color="auto" w:sz="0" w:space="0"/>
        <w:between w:val="none" w:color="auto" w:sz="0" w:space="0"/>
      </w:pBdr>
      <w:rPr>
        <w:rFonts w:hint="default"/>
        <w:lang w:val="en-US" w:eastAsia="zh-CN"/>
      </w:rPr>
    </w:pPr>
    <w:r>
      <w:rPr>
        <w:rFonts w:hint="default"/>
        <w:lang w:val="en-US" w:eastAsia="zh-CN"/>
      </w:rPr>
      <w:t>东莞市众源环境投资有限公司12家等供水厂余泥外运处置项目</w:t>
    </w:r>
  </w:p>
  <w:p w14:paraId="364D6E63">
    <w:pPr>
      <w:pStyle w:val="24"/>
      <w:pBdr>
        <w:top w:val="none" w:color="auto" w:sz="0" w:space="0"/>
        <w:left w:val="none" w:color="auto" w:sz="0" w:space="0"/>
        <w:bottom w:val="none" w:color="auto" w:sz="0" w:space="1"/>
        <w:right w:val="none" w:color="auto" w:sz="0" w:space="0"/>
        <w:between w:val="none" w:color="auto" w:sz="0" w:space="0"/>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34B28"/>
    <w:multiLevelType w:val="singleLevel"/>
    <w:tmpl w:val="CA034B28"/>
    <w:lvl w:ilvl="0" w:tentative="0">
      <w:start w:val="1"/>
      <w:numFmt w:val="chineseCounting"/>
      <w:suff w:val="nothing"/>
      <w:lvlText w:val="%1、"/>
      <w:lvlJc w:val="left"/>
      <w:rPr>
        <w:rFonts w:hint="eastAsia"/>
      </w:rPr>
    </w:lvl>
  </w:abstractNum>
  <w:abstractNum w:abstractNumId="1">
    <w:nsid w:val="06DF0E90"/>
    <w:multiLevelType w:val="singleLevel"/>
    <w:tmpl w:val="06DF0E90"/>
    <w:lvl w:ilvl="0" w:tentative="0">
      <w:start w:val="5"/>
      <w:numFmt w:val="decimal"/>
      <w:suff w:val="nothing"/>
      <w:lvlText w:val="（%1）"/>
      <w:lvlJc w:val="left"/>
    </w:lvl>
  </w:abstractNum>
  <w:abstractNum w:abstractNumId="2">
    <w:nsid w:val="5488715D"/>
    <w:multiLevelType w:val="singleLevel"/>
    <w:tmpl w:val="5488715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OGMxMmExZGYwNTVjOGYyNDVkZGQ3MWNhNmVkNTcifQ=="/>
  </w:docVars>
  <w:rsids>
    <w:rsidRoot w:val="00172A27"/>
    <w:rsid w:val="00001643"/>
    <w:rsid w:val="000C024B"/>
    <w:rsid w:val="000E06ED"/>
    <w:rsid w:val="000E5765"/>
    <w:rsid w:val="000F1863"/>
    <w:rsid w:val="001035BD"/>
    <w:rsid w:val="0013680C"/>
    <w:rsid w:val="00172A27"/>
    <w:rsid w:val="00174BD4"/>
    <w:rsid w:val="00176360"/>
    <w:rsid w:val="001D750E"/>
    <w:rsid w:val="00206501"/>
    <w:rsid w:val="0021790D"/>
    <w:rsid w:val="002D7184"/>
    <w:rsid w:val="00382DEE"/>
    <w:rsid w:val="00396916"/>
    <w:rsid w:val="003D6BC2"/>
    <w:rsid w:val="003F23CE"/>
    <w:rsid w:val="00423C6D"/>
    <w:rsid w:val="004A6C69"/>
    <w:rsid w:val="004F1D5D"/>
    <w:rsid w:val="004F2D1F"/>
    <w:rsid w:val="00505003"/>
    <w:rsid w:val="0052563F"/>
    <w:rsid w:val="00577718"/>
    <w:rsid w:val="00597B28"/>
    <w:rsid w:val="005B77E1"/>
    <w:rsid w:val="005C152F"/>
    <w:rsid w:val="0065508E"/>
    <w:rsid w:val="0069744B"/>
    <w:rsid w:val="006D7FD0"/>
    <w:rsid w:val="00711377"/>
    <w:rsid w:val="00776A38"/>
    <w:rsid w:val="007F7B62"/>
    <w:rsid w:val="00845268"/>
    <w:rsid w:val="008B70B3"/>
    <w:rsid w:val="008C30DC"/>
    <w:rsid w:val="008E6FCC"/>
    <w:rsid w:val="00966168"/>
    <w:rsid w:val="00973560"/>
    <w:rsid w:val="009E6301"/>
    <w:rsid w:val="00AD781C"/>
    <w:rsid w:val="00B01304"/>
    <w:rsid w:val="00B34930"/>
    <w:rsid w:val="00B36631"/>
    <w:rsid w:val="00BB2267"/>
    <w:rsid w:val="00BE32F3"/>
    <w:rsid w:val="00C14927"/>
    <w:rsid w:val="00C14B91"/>
    <w:rsid w:val="00C20E9E"/>
    <w:rsid w:val="00C33451"/>
    <w:rsid w:val="00C36893"/>
    <w:rsid w:val="00C36B5B"/>
    <w:rsid w:val="00C56400"/>
    <w:rsid w:val="00C56726"/>
    <w:rsid w:val="00C855EC"/>
    <w:rsid w:val="00CA7EEA"/>
    <w:rsid w:val="00CF5A9B"/>
    <w:rsid w:val="00CF7A83"/>
    <w:rsid w:val="00D03EEF"/>
    <w:rsid w:val="00D40D69"/>
    <w:rsid w:val="00D42B6B"/>
    <w:rsid w:val="00D520C4"/>
    <w:rsid w:val="00D744BD"/>
    <w:rsid w:val="00D831DC"/>
    <w:rsid w:val="00D93995"/>
    <w:rsid w:val="00DC7C1D"/>
    <w:rsid w:val="00ED3BD8"/>
    <w:rsid w:val="00F56FE3"/>
    <w:rsid w:val="00F907CF"/>
    <w:rsid w:val="010333FC"/>
    <w:rsid w:val="010F3B4F"/>
    <w:rsid w:val="01170C55"/>
    <w:rsid w:val="014063FE"/>
    <w:rsid w:val="0151593B"/>
    <w:rsid w:val="015C48BA"/>
    <w:rsid w:val="01633E9B"/>
    <w:rsid w:val="016D4D19"/>
    <w:rsid w:val="01747E56"/>
    <w:rsid w:val="017C6910"/>
    <w:rsid w:val="019A270B"/>
    <w:rsid w:val="019B1886"/>
    <w:rsid w:val="019B53E2"/>
    <w:rsid w:val="01C20035"/>
    <w:rsid w:val="01C25065"/>
    <w:rsid w:val="01CC7C92"/>
    <w:rsid w:val="01EE19B6"/>
    <w:rsid w:val="01EF6039"/>
    <w:rsid w:val="01F36FCC"/>
    <w:rsid w:val="01FE5971"/>
    <w:rsid w:val="021653B1"/>
    <w:rsid w:val="02203B3A"/>
    <w:rsid w:val="022A6766"/>
    <w:rsid w:val="022B0E5C"/>
    <w:rsid w:val="022C0730"/>
    <w:rsid w:val="02301FCF"/>
    <w:rsid w:val="02331ABF"/>
    <w:rsid w:val="023575E5"/>
    <w:rsid w:val="02576717"/>
    <w:rsid w:val="02704AC1"/>
    <w:rsid w:val="02775E4F"/>
    <w:rsid w:val="027B4DA4"/>
    <w:rsid w:val="0282076C"/>
    <w:rsid w:val="02881E0B"/>
    <w:rsid w:val="028B36A9"/>
    <w:rsid w:val="028D7421"/>
    <w:rsid w:val="02B56978"/>
    <w:rsid w:val="02D432A2"/>
    <w:rsid w:val="02EA4873"/>
    <w:rsid w:val="02F474A0"/>
    <w:rsid w:val="02FF5E45"/>
    <w:rsid w:val="030B43F7"/>
    <w:rsid w:val="030D0562"/>
    <w:rsid w:val="030D2E42"/>
    <w:rsid w:val="030E7E36"/>
    <w:rsid w:val="031511C4"/>
    <w:rsid w:val="032A4C70"/>
    <w:rsid w:val="032C0E59"/>
    <w:rsid w:val="03345AEF"/>
    <w:rsid w:val="033755DF"/>
    <w:rsid w:val="03394EB3"/>
    <w:rsid w:val="034321D6"/>
    <w:rsid w:val="03802AE2"/>
    <w:rsid w:val="03807436"/>
    <w:rsid w:val="03822CFE"/>
    <w:rsid w:val="03874A2A"/>
    <w:rsid w:val="038C7688"/>
    <w:rsid w:val="03AF5BCA"/>
    <w:rsid w:val="03E017D2"/>
    <w:rsid w:val="03E94B2B"/>
    <w:rsid w:val="03F60FF6"/>
    <w:rsid w:val="03F86B1C"/>
    <w:rsid w:val="04025BED"/>
    <w:rsid w:val="0412042C"/>
    <w:rsid w:val="04133956"/>
    <w:rsid w:val="041476CE"/>
    <w:rsid w:val="0433224A"/>
    <w:rsid w:val="04387860"/>
    <w:rsid w:val="043B10FF"/>
    <w:rsid w:val="04455AD9"/>
    <w:rsid w:val="044B7594"/>
    <w:rsid w:val="04531FA4"/>
    <w:rsid w:val="04545D1C"/>
    <w:rsid w:val="046C750A"/>
    <w:rsid w:val="047B3520"/>
    <w:rsid w:val="048F0311"/>
    <w:rsid w:val="04AE7B23"/>
    <w:rsid w:val="04B2469F"/>
    <w:rsid w:val="04C42EA2"/>
    <w:rsid w:val="04C904B8"/>
    <w:rsid w:val="04D1736D"/>
    <w:rsid w:val="04E43544"/>
    <w:rsid w:val="04E470A0"/>
    <w:rsid w:val="04F25C61"/>
    <w:rsid w:val="05092FAB"/>
    <w:rsid w:val="050F5982"/>
    <w:rsid w:val="05180DE5"/>
    <w:rsid w:val="051C683A"/>
    <w:rsid w:val="054E09BE"/>
    <w:rsid w:val="05526700"/>
    <w:rsid w:val="055661F0"/>
    <w:rsid w:val="05685F75"/>
    <w:rsid w:val="05972365"/>
    <w:rsid w:val="059E5F15"/>
    <w:rsid w:val="05A450C5"/>
    <w:rsid w:val="05A70865"/>
    <w:rsid w:val="05AB5E10"/>
    <w:rsid w:val="05AF5900"/>
    <w:rsid w:val="05C479A7"/>
    <w:rsid w:val="05C73A60"/>
    <w:rsid w:val="05CD222A"/>
    <w:rsid w:val="05D67331"/>
    <w:rsid w:val="05DD7A9D"/>
    <w:rsid w:val="05E27F45"/>
    <w:rsid w:val="05E355AA"/>
    <w:rsid w:val="05EE492D"/>
    <w:rsid w:val="05FD48BE"/>
    <w:rsid w:val="05FE0636"/>
    <w:rsid w:val="060A6FDB"/>
    <w:rsid w:val="06127C3D"/>
    <w:rsid w:val="0617028C"/>
    <w:rsid w:val="061F2A86"/>
    <w:rsid w:val="0627193B"/>
    <w:rsid w:val="062A343F"/>
    <w:rsid w:val="06361B7E"/>
    <w:rsid w:val="064C581E"/>
    <w:rsid w:val="064F2C3F"/>
    <w:rsid w:val="06581AF4"/>
    <w:rsid w:val="066761DB"/>
    <w:rsid w:val="066A1827"/>
    <w:rsid w:val="067E4035"/>
    <w:rsid w:val="06823015"/>
    <w:rsid w:val="069114AA"/>
    <w:rsid w:val="069F7723"/>
    <w:rsid w:val="06A169F2"/>
    <w:rsid w:val="06BB2083"/>
    <w:rsid w:val="06CB49BC"/>
    <w:rsid w:val="06D01FD2"/>
    <w:rsid w:val="06D36645"/>
    <w:rsid w:val="06F832D7"/>
    <w:rsid w:val="07013F3A"/>
    <w:rsid w:val="07065114"/>
    <w:rsid w:val="070D5B0C"/>
    <w:rsid w:val="071A4FFB"/>
    <w:rsid w:val="07245E7A"/>
    <w:rsid w:val="072D6997"/>
    <w:rsid w:val="07567F10"/>
    <w:rsid w:val="077B430A"/>
    <w:rsid w:val="077E1A2E"/>
    <w:rsid w:val="07854B6B"/>
    <w:rsid w:val="078A29E6"/>
    <w:rsid w:val="078B5C9C"/>
    <w:rsid w:val="07927288"/>
    <w:rsid w:val="07950B26"/>
    <w:rsid w:val="07966D78"/>
    <w:rsid w:val="079A6320"/>
    <w:rsid w:val="079E5C2C"/>
    <w:rsid w:val="07A1396F"/>
    <w:rsid w:val="07A77F86"/>
    <w:rsid w:val="07AC659B"/>
    <w:rsid w:val="07AD2313"/>
    <w:rsid w:val="07AD5E6F"/>
    <w:rsid w:val="07DA364E"/>
    <w:rsid w:val="07DC6755"/>
    <w:rsid w:val="07F12200"/>
    <w:rsid w:val="07FA0BB7"/>
    <w:rsid w:val="07FA6E30"/>
    <w:rsid w:val="080261BB"/>
    <w:rsid w:val="08100847"/>
    <w:rsid w:val="08163A15"/>
    <w:rsid w:val="08183C31"/>
    <w:rsid w:val="08193505"/>
    <w:rsid w:val="08283748"/>
    <w:rsid w:val="082F0F7A"/>
    <w:rsid w:val="08536A17"/>
    <w:rsid w:val="08564759"/>
    <w:rsid w:val="085D1644"/>
    <w:rsid w:val="086B4AE3"/>
    <w:rsid w:val="0874698D"/>
    <w:rsid w:val="08760957"/>
    <w:rsid w:val="087906E2"/>
    <w:rsid w:val="088017D6"/>
    <w:rsid w:val="08874912"/>
    <w:rsid w:val="0889068B"/>
    <w:rsid w:val="08935065"/>
    <w:rsid w:val="08957BB0"/>
    <w:rsid w:val="08990786"/>
    <w:rsid w:val="089A2898"/>
    <w:rsid w:val="08B1794D"/>
    <w:rsid w:val="08C416C3"/>
    <w:rsid w:val="08E51639"/>
    <w:rsid w:val="08E92ED7"/>
    <w:rsid w:val="08ED65FF"/>
    <w:rsid w:val="08F17FDE"/>
    <w:rsid w:val="08F71A98"/>
    <w:rsid w:val="08FA6E92"/>
    <w:rsid w:val="08FC124B"/>
    <w:rsid w:val="091179EE"/>
    <w:rsid w:val="091F0FEF"/>
    <w:rsid w:val="092403B3"/>
    <w:rsid w:val="092D54BA"/>
    <w:rsid w:val="09327F88"/>
    <w:rsid w:val="09371E95"/>
    <w:rsid w:val="093C394F"/>
    <w:rsid w:val="093F6F9B"/>
    <w:rsid w:val="0946657C"/>
    <w:rsid w:val="09476F18"/>
    <w:rsid w:val="0955056D"/>
    <w:rsid w:val="095C18FB"/>
    <w:rsid w:val="097459FA"/>
    <w:rsid w:val="097D1872"/>
    <w:rsid w:val="098F47A1"/>
    <w:rsid w:val="09931095"/>
    <w:rsid w:val="09965F13"/>
    <w:rsid w:val="099C43EE"/>
    <w:rsid w:val="09A60DC8"/>
    <w:rsid w:val="09AC6A1A"/>
    <w:rsid w:val="09B07E99"/>
    <w:rsid w:val="09BA2AC6"/>
    <w:rsid w:val="09DE4A06"/>
    <w:rsid w:val="09E10052"/>
    <w:rsid w:val="09EB2C7F"/>
    <w:rsid w:val="09EF276F"/>
    <w:rsid w:val="09F138C9"/>
    <w:rsid w:val="0A0D52EB"/>
    <w:rsid w:val="0A1B7A08"/>
    <w:rsid w:val="0A1D08EE"/>
    <w:rsid w:val="0A2148F3"/>
    <w:rsid w:val="0A264BA4"/>
    <w:rsid w:val="0A287A2F"/>
    <w:rsid w:val="0A2D14EA"/>
    <w:rsid w:val="0A2F7010"/>
    <w:rsid w:val="0A300BE3"/>
    <w:rsid w:val="0A326B00"/>
    <w:rsid w:val="0A374116"/>
    <w:rsid w:val="0A424F95"/>
    <w:rsid w:val="0A690774"/>
    <w:rsid w:val="0A6F565E"/>
    <w:rsid w:val="0A7A6ED5"/>
    <w:rsid w:val="0A7B04A7"/>
    <w:rsid w:val="0A896B22"/>
    <w:rsid w:val="0A8C6210"/>
    <w:rsid w:val="0A93759F"/>
    <w:rsid w:val="0AB319EF"/>
    <w:rsid w:val="0ABF0765"/>
    <w:rsid w:val="0ACD3FC1"/>
    <w:rsid w:val="0ACF434F"/>
    <w:rsid w:val="0AD55E09"/>
    <w:rsid w:val="0ADB2CF4"/>
    <w:rsid w:val="0ADD6A6C"/>
    <w:rsid w:val="0AE20526"/>
    <w:rsid w:val="0AEA128C"/>
    <w:rsid w:val="0B1A1A6E"/>
    <w:rsid w:val="0B2D3641"/>
    <w:rsid w:val="0B3D39AE"/>
    <w:rsid w:val="0B3D575C"/>
    <w:rsid w:val="0B41524D"/>
    <w:rsid w:val="0B536D2E"/>
    <w:rsid w:val="0B626F71"/>
    <w:rsid w:val="0B6B22C9"/>
    <w:rsid w:val="0B732F2C"/>
    <w:rsid w:val="0B733F46"/>
    <w:rsid w:val="0B813354"/>
    <w:rsid w:val="0B995089"/>
    <w:rsid w:val="0BAB0918"/>
    <w:rsid w:val="0BAD28E2"/>
    <w:rsid w:val="0BB05F2E"/>
    <w:rsid w:val="0BB377CC"/>
    <w:rsid w:val="0BB772BD"/>
    <w:rsid w:val="0BB924C7"/>
    <w:rsid w:val="0BC1013B"/>
    <w:rsid w:val="0BC14C25"/>
    <w:rsid w:val="0BC67500"/>
    <w:rsid w:val="0BC70130"/>
    <w:rsid w:val="0BF70001"/>
    <w:rsid w:val="0C012C2E"/>
    <w:rsid w:val="0C083FBC"/>
    <w:rsid w:val="0C104FD7"/>
    <w:rsid w:val="0C236700"/>
    <w:rsid w:val="0C391104"/>
    <w:rsid w:val="0C3B1C9C"/>
    <w:rsid w:val="0C3B6140"/>
    <w:rsid w:val="0C3B7EEE"/>
    <w:rsid w:val="0C4B344F"/>
    <w:rsid w:val="0C61547A"/>
    <w:rsid w:val="0C7156BE"/>
    <w:rsid w:val="0C781676"/>
    <w:rsid w:val="0C806655"/>
    <w:rsid w:val="0C882A07"/>
    <w:rsid w:val="0C8E44C1"/>
    <w:rsid w:val="0CA35A93"/>
    <w:rsid w:val="0CB63A18"/>
    <w:rsid w:val="0CC223BD"/>
    <w:rsid w:val="0CD06741"/>
    <w:rsid w:val="0CD21ED4"/>
    <w:rsid w:val="0CD520F0"/>
    <w:rsid w:val="0CE642FD"/>
    <w:rsid w:val="0CEE29CE"/>
    <w:rsid w:val="0D093B48"/>
    <w:rsid w:val="0D0E115E"/>
    <w:rsid w:val="0D1150F2"/>
    <w:rsid w:val="0D162709"/>
    <w:rsid w:val="0D26294C"/>
    <w:rsid w:val="0D29345E"/>
    <w:rsid w:val="0D2B5643"/>
    <w:rsid w:val="0D2B7F62"/>
    <w:rsid w:val="0D335069"/>
    <w:rsid w:val="0D350DE1"/>
    <w:rsid w:val="0D417786"/>
    <w:rsid w:val="0D4E2C3A"/>
    <w:rsid w:val="0D5F7C0C"/>
    <w:rsid w:val="0D8458C4"/>
    <w:rsid w:val="0D86163D"/>
    <w:rsid w:val="0DAB4BFF"/>
    <w:rsid w:val="0DAD0977"/>
    <w:rsid w:val="0DAE46EF"/>
    <w:rsid w:val="0DD00B0A"/>
    <w:rsid w:val="0DE40A24"/>
    <w:rsid w:val="0DEF71E2"/>
    <w:rsid w:val="0E0F63C0"/>
    <w:rsid w:val="0E121122"/>
    <w:rsid w:val="0E1B2518"/>
    <w:rsid w:val="0E2D1AB8"/>
    <w:rsid w:val="0E320E7D"/>
    <w:rsid w:val="0E417312"/>
    <w:rsid w:val="0E4A266A"/>
    <w:rsid w:val="0E5A1A7B"/>
    <w:rsid w:val="0E7019A5"/>
    <w:rsid w:val="0E707BF7"/>
    <w:rsid w:val="0E72571D"/>
    <w:rsid w:val="0E8649CF"/>
    <w:rsid w:val="0E8B67DF"/>
    <w:rsid w:val="0E901825"/>
    <w:rsid w:val="0E90736F"/>
    <w:rsid w:val="0E9658AF"/>
    <w:rsid w:val="0E990EFC"/>
    <w:rsid w:val="0EA37FCC"/>
    <w:rsid w:val="0EB52B71"/>
    <w:rsid w:val="0EBC29A4"/>
    <w:rsid w:val="0ED93E57"/>
    <w:rsid w:val="0EE859DF"/>
    <w:rsid w:val="0EF26E4A"/>
    <w:rsid w:val="0EF449C7"/>
    <w:rsid w:val="0EF80318"/>
    <w:rsid w:val="0F087E2F"/>
    <w:rsid w:val="0F114F36"/>
    <w:rsid w:val="0F194577"/>
    <w:rsid w:val="0F2C7B80"/>
    <w:rsid w:val="0F5403A3"/>
    <w:rsid w:val="0F5A3F4D"/>
    <w:rsid w:val="0F5D58F7"/>
    <w:rsid w:val="0F6758EA"/>
    <w:rsid w:val="0F691AF3"/>
    <w:rsid w:val="0F6C03BE"/>
    <w:rsid w:val="0F6C4862"/>
    <w:rsid w:val="0F6D5C0E"/>
    <w:rsid w:val="0F76123D"/>
    <w:rsid w:val="0F895414"/>
    <w:rsid w:val="0F8D0424"/>
    <w:rsid w:val="0F9022FF"/>
    <w:rsid w:val="0F915E58"/>
    <w:rsid w:val="0F957915"/>
    <w:rsid w:val="0FB12275"/>
    <w:rsid w:val="0FB35FED"/>
    <w:rsid w:val="0FCE5161"/>
    <w:rsid w:val="0FD83CA6"/>
    <w:rsid w:val="0FE97C61"/>
    <w:rsid w:val="0FFC1742"/>
    <w:rsid w:val="10050113"/>
    <w:rsid w:val="10086339"/>
    <w:rsid w:val="1010343F"/>
    <w:rsid w:val="101E3DAE"/>
    <w:rsid w:val="10294501"/>
    <w:rsid w:val="10357AE2"/>
    <w:rsid w:val="10386B82"/>
    <w:rsid w:val="103A226A"/>
    <w:rsid w:val="104061A0"/>
    <w:rsid w:val="10470292"/>
    <w:rsid w:val="105477D0"/>
    <w:rsid w:val="105F2024"/>
    <w:rsid w:val="106A0DA2"/>
    <w:rsid w:val="10702130"/>
    <w:rsid w:val="10853E2D"/>
    <w:rsid w:val="10A2678D"/>
    <w:rsid w:val="10A56836"/>
    <w:rsid w:val="10AC4044"/>
    <w:rsid w:val="10B14C22"/>
    <w:rsid w:val="10B47411"/>
    <w:rsid w:val="10CF7110"/>
    <w:rsid w:val="10DB57FB"/>
    <w:rsid w:val="10FE14EA"/>
    <w:rsid w:val="111A7CC8"/>
    <w:rsid w:val="113B02C4"/>
    <w:rsid w:val="113C736E"/>
    <w:rsid w:val="116E2B13"/>
    <w:rsid w:val="1178129C"/>
    <w:rsid w:val="117B6FDE"/>
    <w:rsid w:val="118A0FD0"/>
    <w:rsid w:val="11927BC8"/>
    <w:rsid w:val="11987B90"/>
    <w:rsid w:val="11A26319"/>
    <w:rsid w:val="11A71B81"/>
    <w:rsid w:val="11AF7F85"/>
    <w:rsid w:val="11C12387"/>
    <w:rsid w:val="11C20769"/>
    <w:rsid w:val="11F748B7"/>
    <w:rsid w:val="11FA6155"/>
    <w:rsid w:val="12130FC5"/>
    <w:rsid w:val="122B27B2"/>
    <w:rsid w:val="12374CB3"/>
    <w:rsid w:val="12381658"/>
    <w:rsid w:val="12386C7D"/>
    <w:rsid w:val="123E24E6"/>
    <w:rsid w:val="124F668E"/>
    <w:rsid w:val="12594B3E"/>
    <w:rsid w:val="125A4E46"/>
    <w:rsid w:val="12612198"/>
    <w:rsid w:val="12750634"/>
    <w:rsid w:val="127B42E6"/>
    <w:rsid w:val="1283439D"/>
    <w:rsid w:val="128D521B"/>
    <w:rsid w:val="128F2D41"/>
    <w:rsid w:val="12957C2C"/>
    <w:rsid w:val="12A61E39"/>
    <w:rsid w:val="12B34255"/>
    <w:rsid w:val="12C80001"/>
    <w:rsid w:val="12C86253"/>
    <w:rsid w:val="12D1335A"/>
    <w:rsid w:val="12D22C2E"/>
    <w:rsid w:val="12D469A6"/>
    <w:rsid w:val="12E34E3B"/>
    <w:rsid w:val="12F84A94"/>
    <w:rsid w:val="12F865D9"/>
    <w:rsid w:val="12FE7EC7"/>
    <w:rsid w:val="13117BFA"/>
    <w:rsid w:val="13165211"/>
    <w:rsid w:val="131E7C21"/>
    <w:rsid w:val="1332191F"/>
    <w:rsid w:val="13394A5B"/>
    <w:rsid w:val="133E02C4"/>
    <w:rsid w:val="13405DEA"/>
    <w:rsid w:val="13567EC5"/>
    <w:rsid w:val="135741E5"/>
    <w:rsid w:val="135A665F"/>
    <w:rsid w:val="136C6BDF"/>
    <w:rsid w:val="137B1518"/>
    <w:rsid w:val="137D703E"/>
    <w:rsid w:val="137F2DB6"/>
    <w:rsid w:val="13985C26"/>
    <w:rsid w:val="139D4FEA"/>
    <w:rsid w:val="13B87923"/>
    <w:rsid w:val="13C03875"/>
    <w:rsid w:val="13C702B9"/>
    <w:rsid w:val="13CC1D73"/>
    <w:rsid w:val="13D03611"/>
    <w:rsid w:val="13DF3855"/>
    <w:rsid w:val="14027543"/>
    <w:rsid w:val="142851FC"/>
    <w:rsid w:val="143040B0"/>
    <w:rsid w:val="143D057B"/>
    <w:rsid w:val="14465682"/>
    <w:rsid w:val="144813FA"/>
    <w:rsid w:val="144D3DEF"/>
    <w:rsid w:val="14515DD5"/>
    <w:rsid w:val="14553B17"/>
    <w:rsid w:val="14661880"/>
    <w:rsid w:val="146A0AA4"/>
    <w:rsid w:val="146A5814"/>
    <w:rsid w:val="146D2C0E"/>
    <w:rsid w:val="14885C9A"/>
    <w:rsid w:val="148D505F"/>
    <w:rsid w:val="14A405FA"/>
    <w:rsid w:val="14A95079"/>
    <w:rsid w:val="14BE346A"/>
    <w:rsid w:val="14C52A4A"/>
    <w:rsid w:val="14D05CA0"/>
    <w:rsid w:val="14E0673F"/>
    <w:rsid w:val="14E32E78"/>
    <w:rsid w:val="14E82BDD"/>
    <w:rsid w:val="14E972D4"/>
    <w:rsid w:val="14EA0703"/>
    <w:rsid w:val="14F715A8"/>
    <w:rsid w:val="15021F0B"/>
    <w:rsid w:val="150317C5"/>
    <w:rsid w:val="150C68CB"/>
    <w:rsid w:val="151B6B0E"/>
    <w:rsid w:val="1525798D"/>
    <w:rsid w:val="153100E0"/>
    <w:rsid w:val="15347BD0"/>
    <w:rsid w:val="1537321C"/>
    <w:rsid w:val="15393438"/>
    <w:rsid w:val="15396F94"/>
    <w:rsid w:val="154F67B8"/>
    <w:rsid w:val="15512530"/>
    <w:rsid w:val="15610299"/>
    <w:rsid w:val="15625827"/>
    <w:rsid w:val="156D4E90"/>
    <w:rsid w:val="15842905"/>
    <w:rsid w:val="15973CBB"/>
    <w:rsid w:val="15B66837"/>
    <w:rsid w:val="15CA5E3E"/>
    <w:rsid w:val="15D078F9"/>
    <w:rsid w:val="15D66ED9"/>
    <w:rsid w:val="15D77A6A"/>
    <w:rsid w:val="15E05662"/>
    <w:rsid w:val="15E22455"/>
    <w:rsid w:val="15EC4007"/>
    <w:rsid w:val="15FB249C"/>
    <w:rsid w:val="160E6673"/>
    <w:rsid w:val="160E776A"/>
    <w:rsid w:val="16117F11"/>
    <w:rsid w:val="16207E76"/>
    <w:rsid w:val="16225C7A"/>
    <w:rsid w:val="162B1BE3"/>
    <w:rsid w:val="16331C36"/>
    <w:rsid w:val="1642631D"/>
    <w:rsid w:val="16500A3A"/>
    <w:rsid w:val="16565924"/>
    <w:rsid w:val="165A18B8"/>
    <w:rsid w:val="16663DB9"/>
    <w:rsid w:val="16704C38"/>
    <w:rsid w:val="167A5AB7"/>
    <w:rsid w:val="1698726E"/>
    <w:rsid w:val="169B233B"/>
    <w:rsid w:val="16A1627A"/>
    <w:rsid w:val="16A668AC"/>
    <w:rsid w:val="16AA639C"/>
    <w:rsid w:val="16AB2114"/>
    <w:rsid w:val="16AE5FA1"/>
    <w:rsid w:val="16AF583D"/>
    <w:rsid w:val="16B40FC8"/>
    <w:rsid w:val="16B74615"/>
    <w:rsid w:val="16BF171B"/>
    <w:rsid w:val="16C32FBA"/>
    <w:rsid w:val="16C3745D"/>
    <w:rsid w:val="16E15B36"/>
    <w:rsid w:val="16E573D4"/>
    <w:rsid w:val="16EF2001"/>
    <w:rsid w:val="17033CFE"/>
    <w:rsid w:val="17051824"/>
    <w:rsid w:val="170875EB"/>
    <w:rsid w:val="17255A22"/>
    <w:rsid w:val="17333615"/>
    <w:rsid w:val="173739A8"/>
    <w:rsid w:val="173D7210"/>
    <w:rsid w:val="17410382"/>
    <w:rsid w:val="174B2FAF"/>
    <w:rsid w:val="174F484D"/>
    <w:rsid w:val="1767603B"/>
    <w:rsid w:val="1783099B"/>
    <w:rsid w:val="1787048B"/>
    <w:rsid w:val="179130B8"/>
    <w:rsid w:val="17935082"/>
    <w:rsid w:val="17A54DB5"/>
    <w:rsid w:val="17B86896"/>
    <w:rsid w:val="17C52D61"/>
    <w:rsid w:val="17C84600"/>
    <w:rsid w:val="17CE7E68"/>
    <w:rsid w:val="17CF3EED"/>
    <w:rsid w:val="17D02F59"/>
    <w:rsid w:val="17DE3E23"/>
    <w:rsid w:val="17F02B5E"/>
    <w:rsid w:val="17FE01C2"/>
    <w:rsid w:val="1804388A"/>
    <w:rsid w:val="181141F9"/>
    <w:rsid w:val="181D494B"/>
    <w:rsid w:val="18253800"/>
    <w:rsid w:val="18293A90"/>
    <w:rsid w:val="182E5751"/>
    <w:rsid w:val="183D0B4A"/>
    <w:rsid w:val="18455C50"/>
    <w:rsid w:val="185169D0"/>
    <w:rsid w:val="1853036D"/>
    <w:rsid w:val="186D3E1E"/>
    <w:rsid w:val="18756535"/>
    <w:rsid w:val="18925A9E"/>
    <w:rsid w:val="189C1D14"/>
    <w:rsid w:val="18A24E51"/>
    <w:rsid w:val="18A40BC9"/>
    <w:rsid w:val="18AD2173"/>
    <w:rsid w:val="18AE1A47"/>
    <w:rsid w:val="18B232E6"/>
    <w:rsid w:val="18B51028"/>
    <w:rsid w:val="18BC3036"/>
    <w:rsid w:val="18BF3C55"/>
    <w:rsid w:val="18E81697"/>
    <w:rsid w:val="18F2565D"/>
    <w:rsid w:val="18F878B6"/>
    <w:rsid w:val="19102702"/>
    <w:rsid w:val="191775ED"/>
    <w:rsid w:val="191915B7"/>
    <w:rsid w:val="19202945"/>
    <w:rsid w:val="19267830"/>
    <w:rsid w:val="1928708B"/>
    <w:rsid w:val="19460431"/>
    <w:rsid w:val="194D1CB8"/>
    <w:rsid w:val="19575C3B"/>
    <w:rsid w:val="195970F8"/>
    <w:rsid w:val="19597C05"/>
    <w:rsid w:val="19632832"/>
    <w:rsid w:val="19674573"/>
    <w:rsid w:val="197762DD"/>
    <w:rsid w:val="1983711F"/>
    <w:rsid w:val="198527A8"/>
    <w:rsid w:val="19A8293B"/>
    <w:rsid w:val="19A846E9"/>
    <w:rsid w:val="19AC242B"/>
    <w:rsid w:val="19B66E06"/>
    <w:rsid w:val="19B94B48"/>
    <w:rsid w:val="19BC5753"/>
    <w:rsid w:val="19C07C84"/>
    <w:rsid w:val="19E03E83"/>
    <w:rsid w:val="19F706A7"/>
    <w:rsid w:val="1A1D0C33"/>
    <w:rsid w:val="1A277D03"/>
    <w:rsid w:val="1A3441CE"/>
    <w:rsid w:val="1A3675FE"/>
    <w:rsid w:val="1A46462D"/>
    <w:rsid w:val="1A5403CD"/>
    <w:rsid w:val="1A6A3626"/>
    <w:rsid w:val="1A7171D0"/>
    <w:rsid w:val="1A7B1DFD"/>
    <w:rsid w:val="1A9133CF"/>
    <w:rsid w:val="1AB01AA7"/>
    <w:rsid w:val="1AB05F4B"/>
    <w:rsid w:val="1AB62E35"/>
    <w:rsid w:val="1AB64BE3"/>
    <w:rsid w:val="1AC45552"/>
    <w:rsid w:val="1AC92C2E"/>
    <w:rsid w:val="1ACE4623"/>
    <w:rsid w:val="1ADF413A"/>
    <w:rsid w:val="1AEE25CF"/>
    <w:rsid w:val="1B097991"/>
    <w:rsid w:val="1B0C2178"/>
    <w:rsid w:val="1B2B55D1"/>
    <w:rsid w:val="1B5508A0"/>
    <w:rsid w:val="1B6D7998"/>
    <w:rsid w:val="1B721452"/>
    <w:rsid w:val="1B762CF0"/>
    <w:rsid w:val="1B7E3953"/>
    <w:rsid w:val="1B7F1479"/>
    <w:rsid w:val="1B8023CF"/>
    <w:rsid w:val="1B8371BB"/>
    <w:rsid w:val="1BA07D6D"/>
    <w:rsid w:val="1BA3160C"/>
    <w:rsid w:val="1BC53330"/>
    <w:rsid w:val="1BC577D4"/>
    <w:rsid w:val="1BCB48EE"/>
    <w:rsid w:val="1BD96DDB"/>
    <w:rsid w:val="1BE0016A"/>
    <w:rsid w:val="1BE85270"/>
    <w:rsid w:val="1BEE33C8"/>
    <w:rsid w:val="1C002CA0"/>
    <w:rsid w:val="1C1B3898"/>
    <w:rsid w:val="1C246404"/>
    <w:rsid w:val="1C2E35CB"/>
    <w:rsid w:val="1C376D48"/>
    <w:rsid w:val="1C56042C"/>
    <w:rsid w:val="1C625023"/>
    <w:rsid w:val="1C6C1061"/>
    <w:rsid w:val="1C817B9F"/>
    <w:rsid w:val="1C907DE2"/>
    <w:rsid w:val="1C9378AE"/>
    <w:rsid w:val="1CA70C88"/>
    <w:rsid w:val="1CB25FAA"/>
    <w:rsid w:val="1CB6711D"/>
    <w:rsid w:val="1CB73A3E"/>
    <w:rsid w:val="1CC23D13"/>
    <w:rsid w:val="1CC96E50"/>
    <w:rsid w:val="1CD04682"/>
    <w:rsid w:val="1CF57C45"/>
    <w:rsid w:val="1CF85987"/>
    <w:rsid w:val="1CFF0AC4"/>
    <w:rsid w:val="1D063C00"/>
    <w:rsid w:val="1D1D719C"/>
    <w:rsid w:val="1D2247B2"/>
    <w:rsid w:val="1D271DC8"/>
    <w:rsid w:val="1D295B40"/>
    <w:rsid w:val="1D4604A0"/>
    <w:rsid w:val="1D6923E1"/>
    <w:rsid w:val="1D7070F1"/>
    <w:rsid w:val="1D81597C"/>
    <w:rsid w:val="1D84721B"/>
    <w:rsid w:val="1D864D41"/>
    <w:rsid w:val="1D8D4321"/>
    <w:rsid w:val="1D9C6312"/>
    <w:rsid w:val="1D9E652E"/>
    <w:rsid w:val="1DA61B79"/>
    <w:rsid w:val="1DAC0C4B"/>
    <w:rsid w:val="1DC75A85"/>
    <w:rsid w:val="1DCF0496"/>
    <w:rsid w:val="1DD12460"/>
    <w:rsid w:val="1E0719BE"/>
    <w:rsid w:val="1E0C793C"/>
    <w:rsid w:val="1E0D0FBE"/>
    <w:rsid w:val="1E114F52"/>
    <w:rsid w:val="1E234C86"/>
    <w:rsid w:val="1E391DB3"/>
    <w:rsid w:val="1E4C7D38"/>
    <w:rsid w:val="1E5135A1"/>
    <w:rsid w:val="1E543091"/>
    <w:rsid w:val="1E562965"/>
    <w:rsid w:val="1E6A6411"/>
    <w:rsid w:val="1E7536AB"/>
    <w:rsid w:val="1E803E86"/>
    <w:rsid w:val="1E845724"/>
    <w:rsid w:val="1EB42688"/>
    <w:rsid w:val="1EBD29E4"/>
    <w:rsid w:val="1ECB3353"/>
    <w:rsid w:val="1ED82D2F"/>
    <w:rsid w:val="1EDA5344"/>
    <w:rsid w:val="1EDC0404"/>
    <w:rsid w:val="1EDF5C41"/>
    <w:rsid w:val="1EDF6DFF"/>
    <w:rsid w:val="1EE461C3"/>
    <w:rsid w:val="1EF871EA"/>
    <w:rsid w:val="1F0D396C"/>
    <w:rsid w:val="1F2065F5"/>
    <w:rsid w:val="1F26058A"/>
    <w:rsid w:val="1F262338"/>
    <w:rsid w:val="1F291E28"/>
    <w:rsid w:val="1F2E743E"/>
    <w:rsid w:val="1F332CA6"/>
    <w:rsid w:val="1F3A4035"/>
    <w:rsid w:val="1F417171"/>
    <w:rsid w:val="1F4B22EA"/>
    <w:rsid w:val="1F5E41C7"/>
    <w:rsid w:val="1F617814"/>
    <w:rsid w:val="1F6E1F30"/>
    <w:rsid w:val="1F72557D"/>
    <w:rsid w:val="1F7F5EEC"/>
    <w:rsid w:val="1F8359DC"/>
    <w:rsid w:val="1F9E45C4"/>
    <w:rsid w:val="1FAA740D"/>
    <w:rsid w:val="1FAB0A8F"/>
    <w:rsid w:val="1FAD0CAB"/>
    <w:rsid w:val="1FC7371A"/>
    <w:rsid w:val="1FCB6DB4"/>
    <w:rsid w:val="1FD9384E"/>
    <w:rsid w:val="1FED10A7"/>
    <w:rsid w:val="20052895"/>
    <w:rsid w:val="200D799B"/>
    <w:rsid w:val="200F54C2"/>
    <w:rsid w:val="20166850"/>
    <w:rsid w:val="201B5C14"/>
    <w:rsid w:val="201F4F41"/>
    <w:rsid w:val="202A5E57"/>
    <w:rsid w:val="20362A4E"/>
    <w:rsid w:val="20390790"/>
    <w:rsid w:val="2041286E"/>
    <w:rsid w:val="20443053"/>
    <w:rsid w:val="205630F0"/>
    <w:rsid w:val="2059498F"/>
    <w:rsid w:val="20614A5F"/>
    <w:rsid w:val="207812B9"/>
    <w:rsid w:val="208714FC"/>
    <w:rsid w:val="20937EA1"/>
    <w:rsid w:val="20A7394C"/>
    <w:rsid w:val="20AC2D10"/>
    <w:rsid w:val="20B10327"/>
    <w:rsid w:val="20C04A0E"/>
    <w:rsid w:val="20CC5161"/>
    <w:rsid w:val="20D02813"/>
    <w:rsid w:val="20D83B05"/>
    <w:rsid w:val="20E22BD6"/>
    <w:rsid w:val="20F621DE"/>
    <w:rsid w:val="210A7A37"/>
    <w:rsid w:val="210C7C53"/>
    <w:rsid w:val="211865F8"/>
    <w:rsid w:val="211F34E2"/>
    <w:rsid w:val="213D7E0C"/>
    <w:rsid w:val="21415B4F"/>
    <w:rsid w:val="214178FD"/>
    <w:rsid w:val="2149055F"/>
    <w:rsid w:val="21690C01"/>
    <w:rsid w:val="21771570"/>
    <w:rsid w:val="21921F06"/>
    <w:rsid w:val="21B55BF5"/>
    <w:rsid w:val="21C10A3D"/>
    <w:rsid w:val="21C5052E"/>
    <w:rsid w:val="21CC255E"/>
    <w:rsid w:val="21E12E8E"/>
    <w:rsid w:val="21FC3824"/>
    <w:rsid w:val="21FD5CD2"/>
    <w:rsid w:val="21FE759C"/>
    <w:rsid w:val="222C153C"/>
    <w:rsid w:val="222D7E81"/>
    <w:rsid w:val="222F4863"/>
    <w:rsid w:val="223C6316"/>
    <w:rsid w:val="223E3E3C"/>
    <w:rsid w:val="22617B2B"/>
    <w:rsid w:val="22680EB9"/>
    <w:rsid w:val="226F2247"/>
    <w:rsid w:val="229879F0"/>
    <w:rsid w:val="22A22A23"/>
    <w:rsid w:val="22B97967"/>
    <w:rsid w:val="22BE4F7D"/>
    <w:rsid w:val="22C11CAF"/>
    <w:rsid w:val="22C500B9"/>
    <w:rsid w:val="22D24D9C"/>
    <w:rsid w:val="22DA1DB7"/>
    <w:rsid w:val="22DD3655"/>
    <w:rsid w:val="22E22A19"/>
    <w:rsid w:val="22FD3CF7"/>
    <w:rsid w:val="23080DAD"/>
    <w:rsid w:val="231A0405"/>
    <w:rsid w:val="231E77CA"/>
    <w:rsid w:val="23384D2F"/>
    <w:rsid w:val="233A7F46"/>
    <w:rsid w:val="233B65CE"/>
    <w:rsid w:val="233D3D5B"/>
    <w:rsid w:val="234436D4"/>
    <w:rsid w:val="23487F06"/>
    <w:rsid w:val="23614286"/>
    <w:rsid w:val="23690370"/>
    <w:rsid w:val="23814F00"/>
    <w:rsid w:val="2383244E"/>
    <w:rsid w:val="23963804"/>
    <w:rsid w:val="23A93537"/>
    <w:rsid w:val="23AB72AF"/>
    <w:rsid w:val="23B00D6A"/>
    <w:rsid w:val="23B1063E"/>
    <w:rsid w:val="23CB16FF"/>
    <w:rsid w:val="23D26F32"/>
    <w:rsid w:val="23D5257E"/>
    <w:rsid w:val="23D5432C"/>
    <w:rsid w:val="23DA1943"/>
    <w:rsid w:val="23DF51AB"/>
    <w:rsid w:val="23F944BF"/>
    <w:rsid w:val="23FE1AD5"/>
    <w:rsid w:val="241F1A4B"/>
    <w:rsid w:val="2423153B"/>
    <w:rsid w:val="242C5369"/>
    <w:rsid w:val="24305A06"/>
    <w:rsid w:val="2441129D"/>
    <w:rsid w:val="2443573A"/>
    <w:rsid w:val="24561911"/>
    <w:rsid w:val="246102B6"/>
    <w:rsid w:val="246D2675"/>
    <w:rsid w:val="247E7968"/>
    <w:rsid w:val="24841F91"/>
    <w:rsid w:val="24857B00"/>
    <w:rsid w:val="24923F0F"/>
    <w:rsid w:val="24994CC5"/>
    <w:rsid w:val="24A9482A"/>
    <w:rsid w:val="24AC1531"/>
    <w:rsid w:val="24CC3C43"/>
    <w:rsid w:val="24EF58C2"/>
    <w:rsid w:val="24F11397"/>
    <w:rsid w:val="2510479F"/>
    <w:rsid w:val="25115838"/>
    <w:rsid w:val="25123003"/>
    <w:rsid w:val="251F6C69"/>
    <w:rsid w:val="25204F98"/>
    <w:rsid w:val="25227A45"/>
    <w:rsid w:val="25331C52"/>
    <w:rsid w:val="253432D4"/>
    <w:rsid w:val="253D662D"/>
    <w:rsid w:val="254554E2"/>
    <w:rsid w:val="25512B09"/>
    <w:rsid w:val="25733DFD"/>
    <w:rsid w:val="257D111F"/>
    <w:rsid w:val="25893620"/>
    <w:rsid w:val="258E6C8F"/>
    <w:rsid w:val="25B14925"/>
    <w:rsid w:val="25BD776E"/>
    <w:rsid w:val="25BF34E6"/>
    <w:rsid w:val="25CB06C3"/>
    <w:rsid w:val="25D56865"/>
    <w:rsid w:val="25DC7BF4"/>
    <w:rsid w:val="25DD396C"/>
    <w:rsid w:val="25F25669"/>
    <w:rsid w:val="25FC0296"/>
    <w:rsid w:val="25FE400E"/>
    <w:rsid w:val="26015273"/>
    <w:rsid w:val="2604714B"/>
    <w:rsid w:val="26071783"/>
    <w:rsid w:val="262E5F76"/>
    <w:rsid w:val="263C4B36"/>
    <w:rsid w:val="266100F9"/>
    <w:rsid w:val="266D37D2"/>
    <w:rsid w:val="26802D35"/>
    <w:rsid w:val="2681079B"/>
    <w:rsid w:val="26864004"/>
    <w:rsid w:val="269229A8"/>
    <w:rsid w:val="269B185D"/>
    <w:rsid w:val="269B7AAF"/>
    <w:rsid w:val="26A821CC"/>
    <w:rsid w:val="26B91CE3"/>
    <w:rsid w:val="26C33105"/>
    <w:rsid w:val="26C37006"/>
    <w:rsid w:val="26C64FCF"/>
    <w:rsid w:val="26CF1847"/>
    <w:rsid w:val="26D819FB"/>
    <w:rsid w:val="273E668C"/>
    <w:rsid w:val="27545EB0"/>
    <w:rsid w:val="27554102"/>
    <w:rsid w:val="27725403"/>
    <w:rsid w:val="27727BE4"/>
    <w:rsid w:val="27764078"/>
    <w:rsid w:val="27767BD4"/>
    <w:rsid w:val="278241EB"/>
    <w:rsid w:val="278422F1"/>
    <w:rsid w:val="278E3170"/>
    <w:rsid w:val="2790496E"/>
    <w:rsid w:val="27A04C51"/>
    <w:rsid w:val="27A24E6D"/>
    <w:rsid w:val="27AC35F6"/>
    <w:rsid w:val="27BC5F2F"/>
    <w:rsid w:val="27BD1CA7"/>
    <w:rsid w:val="27C070A1"/>
    <w:rsid w:val="27CE17BE"/>
    <w:rsid w:val="27DD7C53"/>
    <w:rsid w:val="27E12C8A"/>
    <w:rsid w:val="27E62FAC"/>
    <w:rsid w:val="27F751B9"/>
    <w:rsid w:val="27F76F67"/>
    <w:rsid w:val="27FA25B3"/>
    <w:rsid w:val="27FF7BCA"/>
    <w:rsid w:val="28101DD7"/>
    <w:rsid w:val="28180D3D"/>
    <w:rsid w:val="282B1E23"/>
    <w:rsid w:val="282C4737"/>
    <w:rsid w:val="282D51B1"/>
    <w:rsid w:val="28391128"/>
    <w:rsid w:val="283C2BCC"/>
    <w:rsid w:val="283C7070"/>
    <w:rsid w:val="28447CD2"/>
    <w:rsid w:val="284D302B"/>
    <w:rsid w:val="285F68BA"/>
    <w:rsid w:val="286B34B1"/>
    <w:rsid w:val="286D0FD7"/>
    <w:rsid w:val="288325A9"/>
    <w:rsid w:val="28836A4D"/>
    <w:rsid w:val="28852F5D"/>
    <w:rsid w:val="289447B6"/>
    <w:rsid w:val="28A6098D"/>
    <w:rsid w:val="28AF754E"/>
    <w:rsid w:val="28B430AA"/>
    <w:rsid w:val="28BB4A53"/>
    <w:rsid w:val="28D728F5"/>
    <w:rsid w:val="28F17E5A"/>
    <w:rsid w:val="28F85DD6"/>
    <w:rsid w:val="28FF4F62"/>
    <w:rsid w:val="29080D00"/>
    <w:rsid w:val="29121B7F"/>
    <w:rsid w:val="29127DD1"/>
    <w:rsid w:val="29137BB2"/>
    <w:rsid w:val="291D0C4F"/>
    <w:rsid w:val="292A336C"/>
    <w:rsid w:val="292C2C40"/>
    <w:rsid w:val="29323FCF"/>
    <w:rsid w:val="29325D7D"/>
    <w:rsid w:val="29341AF5"/>
    <w:rsid w:val="293D309F"/>
    <w:rsid w:val="293E4722"/>
    <w:rsid w:val="294837F2"/>
    <w:rsid w:val="29492C5E"/>
    <w:rsid w:val="295676E0"/>
    <w:rsid w:val="295B3526"/>
    <w:rsid w:val="296879F1"/>
    <w:rsid w:val="297D524A"/>
    <w:rsid w:val="29915199"/>
    <w:rsid w:val="29A749BD"/>
    <w:rsid w:val="29D15596"/>
    <w:rsid w:val="29D943AB"/>
    <w:rsid w:val="29DB6414"/>
    <w:rsid w:val="2A027E45"/>
    <w:rsid w:val="2A077209"/>
    <w:rsid w:val="2A0E0598"/>
    <w:rsid w:val="2A104310"/>
    <w:rsid w:val="2A1F4553"/>
    <w:rsid w:val="2A2878AC"/>
    <w:rsid w:val="2A336250"/>
    <w:rsid w:val="2A41271B"/>
    <w:rsid w:val="2A6C1490"/>
    <w:rsid w:val="2A9C2048"/>
    <w:rsid w:val="2A9E7B6E"/>
    <w:rsid w:val="2AAC770B"/>
    <w:rsid w:val="2AAD7DB1"/>
    <w:rsid w:val="2AC375D4"/>
    <w:rsid w:val="2B0A0D5F"/>
    <w:rsid w:val="2B0A6FB1"/>
    <w:rsid w:val="2B2A1401"/>
    <w:rsid w:val="2B367DA6"/>
    <w:rsid w:val="2B4C581C"/>
    <w:rsid w:val="2B512E32"/>
    <w:rsid w:val="2B5E10AB"/>
    <w:rsid w:val="2B612949"/>
    <w:rsid w:val="2B6C1BF4"/>
    <w:rsid w:val="2B6E5792"/>
    <w:rsid w:val="2B746B21"/>
    <w:rsid w:val="2B7803BF"/>
    <w:rsid w:val="2B920D55"/>
    <w:rsid w:val="2B94620D"/>
    <w:rsid w:val="2BAF7B59"/>
    <w:rsid w:val="2BB67139"/>
    <w:rsid w:val="2BD6190F"/>
    <w:rsid w:val="2BF33EE9"/>
    <w:rsid w:val="2BF57C61"/>
    <w:rsid w:val="2C0E0D23"/>
    <w:rsid w:val="2C1005F7"/>
    <w:rsid w:val="2C145566"/>
    <w:rsid w:val="2C1A636D"/>
    <w:rsid w:val="2C1C38EA"/>
    <w:rsid w:val="2C1F4CDE"/>
    <w:rsid w:val="2C212804"/>
    <w:rsid w:val="2C2570FE"/>
    <w:rsid w:val="2C28355B"/>
    <w:rsid w:val="2C293467"/>
    <w:rsid w:val="2C3342E6"/>
    <w:rsid w:val="2C426184"/>
    <w:rsid w:val="2C461CB8"/>
    <w:rsid w:val="2C73295C"/>
    <w:rsid w:val="2C820CE6"/>
    <w:rsid w:val="2C862667"/>
    <w:rsid w:val="2C981A7F"/>
    <w:rsid w:val="2CA23219"/>
    <w:rsid w:val="2CA374B8"/>
    <w:rsid w:val="2CA55CF6"/>
    <w:rsid w:val="2CAB6572"/>
    <w:rsid w:val="2CB01DDA"/>
    <w:rsid w:val="2CB216AE"/>
    <w:rsid w:val="2CBF201D"/>
    <w:rsid w:val="2CCE2260"/>
    <w:rsid w:val="2CD47877"/>
    <w:rsid w:val="2CDF6642"/>
    <w:rsid w:val="2CEB4BC0"/>
    <w:rsid w:val="2CED0939"/>
    <w:rsid w:val="2CF77A09"/>
    <w:rsid w:val="2CFC6DCE"/>
    <w:rsid w:val="2D067C4C"/>
    <w:rsid w:val="2D1934DC"/>
    <w:rsid w:val="2D1C75D9"/>
    <w:rsid w:val="2D3B5B48"/>
    <w:rsid w:val="2D4F514F"/>
    <w:rsid w:val="2D546C0A"/>
    <w:rsid w:val="2D5664DE"/>
    <w:rsid w:val="2D662499"/>
    <w:rsid w:val="2D71156A"/>
    <w:rsid w:val="2D7746A6"/>
    <w:rsid w:val="2D7828F8"/>
    <w:rsid w:val="2D8017AD"/>
    <w:rsid w:val="2D8A262B"/>
    <w:rsid w:val="2DA90D03"/>
    <w:rsid w:val="2DAD396C"/>
    <w:rsid w:val="2DBB0A37"/>
    <w:rsid w:val="2DBD030B"/>
    <w:rsid w:val="2DDD0755"/>
    <w:rsid w:val="2DE0224B"/>
    <w:rsid w:val="2DE27D71"/>
    <w:rsid w:val="2DEA6345"/>
    <w:rsid w:val="2DEF14D4"/>
    <w:rsid w:val="2DF03B8D"/>
    <w:rsid w:val="2E051CB2"/>
    <w:rsid w:val="2E13617D"/>
    <w:rsid w:val="2E2E2FB7"/>
    <w:rsid w:val="2E2F66A3"/>
    <w:rsid w:val="2E3507E9"/>
    <w:rsid w:val="2E3C1B77"/>
    <w:rsid w:val="2E402CEA"/>
    <w:rsid w:val="2E430593"/>
    <w:rsid w:val="2E4F2F2D"/>
    <w:rsid w:val="2E5073D1"/>
    <w:rsid w:val="2E5F5866"/>
    <w:rsid w:val="2E7330BF"/>
    <w:rsid w:val="2E7806D6"/>
    <w:rsid w:val="2E840E29"/>
    <w:rsid w:val="2E8637E5"/>
    <w:rsid w:val="2E8B21B7"/>
    <w:rsid w:val="2E8B48D4"/>
    <w:rsid w:val="2E9C43C4"/>
    <w:rsid w:val="2EA80FBB"/>
    <w:rsid w:val="2EAE5EA6"/>
    <w:rsid w:val="2EBC4A66"/>
    <w:rsid w:val="2EE6563F"/>
    <w:rsid w:val="2EEA3C90"/>
    <w:rsid w:val="2EEB60AE"/>
    <w:rsid w:val="2EFD668A"/>
    <w:rsid w:val="2F000DF7"/>
    <w:rsid w:val="2F13234A"/>
    <w:rsid w:val="2F1A09DE"/>
    <w:rsid w:val="2F2F348A"/>
    <w:rsid w:val="2F324D29"/>
    <w:rsid w:val="2F422FF1"/>
    <w:rsid w:val="2F5051AF"/>
    <w:rsid w:val="2F6A2714"/>
    <w:rsid w:val="2F723377"/>
    <w:rsid w:val="2F740E9D"/>
    <w:rsid w:val="2F7C5FA4"/>
    <w:rsid w:val="2F7E1D1C"/>
    <w:rsid w:val="2F9C03F4"/>
    <w:rsid w:val="2FB8258E"/>
    <w:rsid w:val="2FC260AC"/>
    <w:rsid w:val="2FD47B8E"/>
    <w:rsid w:val="2FF16992"/>
    <w:rsid w:val="300C557A"/>
    <w:rsid w:val="300E12F2"/>
    <w:rsid w:val="300E1349"/>
    <w:rsid w:val="301E705B"/>
    <w:rsid w:val="3034687E"/>
    <w:rsid w:val="303A20E7"/>
    <w:rsid w:val="303E6DA6"/>
    <w:rsid w:val="30442F65"/>
    <w:rsid w:val="3046180F"/>
    <w:rsid w:val="304E5B92"/>
    <w:rsid w:val="3055606E"/>
    <w:rsid w:val="30744C88"/>
    <w:rsid w:val="307F5D4C"/>
    <w:rsid w:val="30896BCA"/>
    <w:rsid w:val="309D61D2"/>
    <w:rsid w:val="309F63EE"/>
    <w:rsid w:val="30B005FB"/>
    <w:rsid w:val="30B11C7D"/>
    <w:rsid w:val="30CE0A81"/>
    <w:rsid w:val="30CF795D"/>
    <w:rsid w:val="30EB518F"/>
    <w:rsid w:val="30EF220B"/>
    <w:rsid w:val="30FC114A"/>
    <w:rsid w:val="31085D41"/>
    <w:rsid w:val="310B3A83"/>
    <w:rsid w:val="310F3573"/>
    <w:rsid w:val="311E5564"/>
    <w:rsid w:val="31603DCF"/>
    <w:rsid w:val="316E7B6E"/>
    <w:rsid w:val="31815AF3"/>
    <w:rsid w:val="318C4CBB"/>
    <w:rsid w:val="31960305"/>
    <w:rsid w:val="319E0453"/>
    <w:rsid w:val="31AF08B2"/>
    <w:rsid w:val="31AF1B5B"/>
    <w:rsid w:val="31AF2660"/>
    <w:rsid w:val="31BE28A4"/>
    <w:rsid w:val="31C854D0"/>
    <w:rsid w:val="31E87920"/>
    <w:rsid w:val="31EC5663"/>
    <w:rsid w:val="31F71078"/>
    <w:rsid w:val="31F96A22"/>
    <w:rsid w:val="31FE0EF2"/>
    <w:rsid w:val="3203475A"/>
    <w:rsid w:val="320A5AE9"/>
    <w:rsid w:val="320D7387"/>
    <w:rsid w:val="3210344F"/>
    <w:rsid w:val="321B1AA4"/>
    <w:rsid w:val="322841C1"/>
    <w:rsid w:val="322A0869"/>
    <w:rsid w:val="322C552E"/>
    <w:rsid w:val="3236068C"/>
    <w:rsid w:val="32382656"/>
    <w:rsid w:val="323963CE"/>
    <w:rsid w:val="324C7B28"/>
    <w:rsid w:val="3277708D"/>
    <w:rsid w:val="32867865"/>
    <w:rsid w:val="32904240"/>
    <w:rsid w:val="329655CE"/>
    <w:rsid w:val="329B4993"/>
    <w:rsid w:val="32A10BAA"/>
    <w:rsid w:val="32A45F3D"/>
    <w:rsid w:val="32C4213C"/>
    <w:rsid w:val="32F10A57"/>
    <w:rsid w:val="33024A12"/>
    <w:rsid w:val="33184235"/>
    <w:rsid w:val="33264BA4"/>
    <w:rsid w:val="333F7A14"/>
    <w:rsid w:val="334868C9"/>
    <w:rsid w:val="334D2131"/>
    <w:rsid w:val="33581E69"/>
    <w:rsid w:val="33631954"/>
    <w:rsid w:val="3364747B"/>
    <w:rsid w:val="336D632F"/>
    <w:rsid w:val="33743B62"/>
    <w:rsid w:val="33883169"/>
    <w:rsid w:val="33A06705"/>
    <w:rsid w:val="33A61841"/>
    <w:rsid w:val="33B26438"/>
    <w:rsid w:val="33B44B8B"/>
    <w:rsid w:val="33B977C6"/>
    <w:rsid w:val="33DC34B5"/>
    <w:rsid w:val="33E74334"/>
    <w:rsid w:val="33F26834"/>
    <w:rsid w:val="3402116D"/>
    <w:rsid w:val="34127DA6"/>
    <w:rsid w:val="341B3FDD"/>
    <w:rsid w:val="341B48A9"/>
    <w:rsid w:val="342A2472"/>
    <w:rsid w:val="342F7A89"/>
    <w:rsid w:val="34355450"/>
    <w:rsid w:val="3441714C"/>
    <w:rsid w:val="344D7F0F"/>
    <w:rsid w:val="344F012B"/>
    <w:rsid w:val="34533777"/>
    <w:rsid w:val="345E036E"/>
    <w:rsid w:val="346C65E7"/>
    <w:rsid w:val="347577FD"/>
    <w:rsid w:val="348002E4"/>
    <w:rsid w:val="34831B82"/>
    <w:rsid w:val="34880F47"/>
    <w:rsid w:val="3488575B"/>
    <w:rsid w:val="34CA4ED9"/>
    <w:rsid w:val="34DA5C46"/>
    <w:rsid w:val="34E27C8C"/>
    <w:rsid w:val="34E95E89"/>
    <w:rsid w:val="34F32864"/>
    <w:rsid w:val="34F3735D"/>
    <w:rsid w:val="35074561"/>
    <w:rsid w:val="35076310"/>
    <w:rsid w:val="350C1B78"/>
    <w:rsid w:val="351A4295"/>
    <w:rsid w:val="352B0250"/>
    <w:rsid w:val="35303AB8"/>
    <w:rsid w:val="35455738"/>
    <w:rsid w:val="35470E02"/>
    <w:rsid w:val="354D466A"/>
    <w:rsid w:val="355F7EFA"/>
    <w:rsid w:val="3575596F"/>
    <w:rsid w:val="357A11D7"/>
    <w:rsid w:val="357D4824"/>
    <w:rsid w:val="35845BB2"/>
    <w:rsid w:val="358C56B1"/>
    <w:rsid w:val="35933667"/>
    <w:rsid w:val="35935DF5"/>
    <w:rsid w:val="359E4EC6"/>
    <w:rsid w:val="359F479A"/>
    <w:rsid w:val="35A0330F"/>
    <w:rsid w:val="35A10512"/>
    <w:rsid w:val="35A742B2"/>
    <w:rsid w:val="35B33170"/>
    <w:rsid w:val="35B43C90"/>
    <w:rsid w:val="35BF6BEA"/>
    <w:rsid w:val="35C0308E"/>
    <w:rsid w:val="35C661CB"/>
    <w:rsid w:val="35CA5CBB"/>
    <w:rsid w:val="35D94150"/>
    <w:rsid w:val="35DA3A24"/>
    <w:rsid w:val="35E548A3"/>
    <w:rsid w:val="35F23A0D"/>
    <w:rsid w:val="35F40894"/>
    <w:rsid w:val="35FA48FF"/>
    <w:rsid w:val="36015455"/>
    <w:rsid w:val="362178A5"/>
    <w:rsid w:val="36237179"/>
    <w:rsid w:val="36257395"/>
    <w:rsid w:val="363C53D7"/>
    <w:rsid w:val="363D46DF"/>
    <w:rsid w:val="36401AD9"/>
    <w:rsid w:val="36484E32"/>
    <w:rsid w:val="364F7F6E"/>
    <w:rsid w:val="365B2E59"/>
    <w:rsid w:val="36625EF3"/>
    <w:rsid w:val="366652B8"/>
    <w:rsid w:val="367D0F7F"/>
    <w:rsid w:val="368816D2"/>
    <w:rsid w:val="368A71F8"/>
    <w:rsid w:val="368C11C2"/>
    <w:rsid w:val="368D0A96"/>
    <w:rsid w:val="36A45B47"/>
    <w:rsid w:val="36A91D74"/>
    <w:rsid w:val="36AA5AEC"/>
    <w:rsid w:val="36B10C29"/>
    <w:rsid w:val="36C50230"/>
    <w:rsid w:val="36C95F72"/>
    <w:rsid w:val="36CD0247"/>
    <w:rsid w:val="36EC1C61"/>
    <w:rsid w:val="36EF03A4"/>
    <w:rsid w:val="36F154C9"/>
    <w:rsid w:val="36F54FB9"/>
    <w:rsid w:val="36F948DF"/>
    <w:rsid w:val="36FF1994"/>
    <w:rsid w:val="36FF320E"/>
    <w:rsid w:val="370D6FA8"/>
    <w:rsid w:val="37171F2F"/>
    <w:rsid w:val="371C0798"/>
    <w:rsid w:val="371D62BE"/>
    <w:rsid w:val="37256F21"/>
    <w:rsid w:val="37284FE9"/>
    <w:rsid w:val="37293F0A"/>
    <w:rsid w:val="372C02AF"/>
    <w:rsid w:val="37353608"/>
    <w:rsid w:val="37384EA6"/>
    <w:rsid w:val="374E6478"/>
    <w:rsid w:val="375571CB"/>
    <w:rsid w:val="37785C00"/>
    <w:rsid w:val="377C6AAB"/>
    <w:rsid w:val="377C6DFC"/>
    <w:rsid w:val="37911BB3"/>
    <w:rsid w:val="37920A5A"/>
    <w:rsid w:val="379A16BD"/>
    <w:rsid w:val="37A20571"/>
    <w:rsid w:val="37BF1123"/>
    <w:rsid w:val="37CF580A"/>
    <w:rsid w:val="37D929EE"/>
    <w:rsid w:val="37DD15AA"/>
    <w:rsid w:val="37E131D3"/>
    <w:rsid w:val="37E8067A"/>
    <w:rsid w:val="37ED3EE3"/>
    <w:rsid w:val="380B0F28"/>
    <w:rsid w:val="38107BD1"/>
    <w:rsid w:val="382947EF"/>
    <w:rsid w:val="38305B7D"/>
    <w:rsid w:val="383D51DA"/>
    <w:rsid w:val="385555E4"/>
    <w:rsid w:val="3862667F"/>
    <w:rsid w:val="386817BB"/>
    <w:rsid w:val="386A72E1"/>
    <w:rsid w:val="388303A3"/>
    <w:rsid w:val="38997BC6"/>
    <w:rsid w:val="389E24AD"/>
    <w:rsid w:val="389E342F"/>
    <w:rsid w:val="38BB5D8F"/>
    <w:rsid w:val="38C5276A"/>
    <w:rsid w:val="38DE55D9"/>
    <w:rsid w:val="38EB3F62"/>
    <w:rsid w:val="38F31085"/>
    <w:rsid w:val="38F848ED"/>
    <w:rsid w:val="39033292"/>
    <w:rsid w:val="390A4620"/>
    <w:rsid w:val="39191195"/>
    <w:rsid w:val="39365415"/>
    <w:rsid w:val="393F42CA"/>
    <w:rsid w:val="394144E6"/>
    <w:rsid w:val="395974E0"/>
    <w:rsid w:val="395F496C"/>
    <w:rsid w:val="396957EB"/>
    <w:rsid w:val="397358B6"/>
    <w:rsid w:val="398070E9"/>
    <w:rsid w:val="398E3683"/>
    <w:rsid w:val="39AA6A25"/>
    <w:rsid w:val="39B06F76"/>
    <w:rsid w:val="39B12CEE"/>
    <w:rsid w:val="39B822CE"/>
    <w:rsid w:val="39C12F31"/>
    <w:rsid w:val="39CC4CDD"/>
    <w:rsid w:val="39D92970"/>
    <w:rsid w:val="39E3734B"/>
    <w:rsid w:val="39F23A32"/>
    <w:rsid w:val="39F74BA5"/>
    <w:rsid w:val="3A0A0D7C"/>
    <w:rsid w:val="3A0B0650"/>
    <w:rsid w:val="3A1C2631"/>
    <w:rsid w:val="3A286F4F"/>
    <w:rsid w:val="3A340BC6"/>
    <w:rsid w:val="3A377697"/>
    <w:rsid w:val="3A57324B"/>
    <w:rsid w:val="3A66415E"/>
    <w:rsid w:val="3A881CA1"/>
    <w:rsid w:val="3A91766E"/>
    <w:rsid w:val="3A9A53FE"/>
    <w:rsid w:val="3AEA4709"/>
    <w:rsid w:val="3AED7D56"/>
    <w:rsid w:val="3AEF7F72"/>
    <w:rsid w:val="3AF33ECE"/>
    <w:rsid w:val="3AF37A62"/>
    <w:rsid w:val="3AF45588"/>
    <w:rsid w:val="3B003F2D"/>
    <w:rsid w:val="3B067622"/>
    <w:rsid w:val="3B0A6529"/>
    <w:rsid w:val="3B196D9D"/>
    <w:rsid w:val="3B1E43B3"/>
    <w:rsid w:val="3B286FE0"/>
    <w:rsid w:val="3B2D45F6"/>
    <w:rsid w:val="3B366814"/>
    <w:rsid w:val="3B3836C7"/>
    <w:rsid w:val="3B3B6D13"/>
    <w:rsid w:val="3B616116"/>
    <w:rsid w:val="3B660234"/>
    <w:rsid w:val="3B9941A1"/>
    <w:rsid w:val="3B9B4801"/>
    <w:rsid w:val="3B9D177C"/>
    <w:rsid w:val="3BA614BF"/>
    <w:rsid w:val="3BBA232E"/>
    <w:rsid w:val="3BBF16F2"/>
    <w:rsid w:val="3BD22E87"/>
    <w:rsid w:val="3BDA652C"/>
    <w:rsid w:val="3C0417FB"/>
    <w:rsid w:val="3C101F4E"/>
    <w:rsid w:val="3C12076A"/>
    <w:rsid w:val="3C21415B"/>
    <w:rsid w:val="3C2D6992"/>
    <w:rsid w:val="3C326368"/>
    <w:rsid w:val="3C4503E0"/>
    <w:rsid w:val="3C485B8B"/>
    <w:rsid w:val="3C526A0A"/>
    <w:rsid w:val="3C574020"/>
    <w:rsid w:val="3C5938F5"/>
    <w:rsid w:val="3C5D1A51"/>
    <w:rsid w:val="3C681D8A"/>
    <w:rsid w:val="3C68401B"/>
    <w:rsid w:val="3C6D114E"/>
    <w:rsid w:val="3C9708C1"/>
    <w:rsid w:val="3C9A5CBB"/>
    <w:rsid w:val="3CAC611A"/>
    <w:rsid w:val="3CAE2F70"/>
    <w:rsid w:val="3CBA5205"/>
    <w:rsid w:val="3CBE7BFC"/>
    <w:rsid w:val="3CC1149A"/>
    <w:rsid w:val="3CEB03DE"/>
    <w:rsid w:val="3CF40509"/>
    <w:rsid w:val="3D0575D8"/>
    <w:rsid w:val="3D0C4E0B"/>
    <w:rsid w:val="3D0E7359"/>
    <w:rsid w:val="3D121CF5"/>
    <w:rsid w:val="3D143CBF"/>
    <w:rsid w:val="3D2574EF"/>
    <w:rsid w:val="3D2A34E3"/>
    <w:rsid w:val="3D346110"/>
    <w:rsid w:val="3D3B749E"/>
    <w:rsid w:val="3D42082D"/>
    <w:rsid w:val="3D491BBB"/>
    <w:rsid w:val="3D510A70"/>
    <w:rsid w:val="3D5B544A"/>
    <w:rsid w:val="3D7604D6"/>
    <w:rsid w:val="3D791D75"/>
    <w:rsid w:val="3D7E57B5"/>
    <w:rsid w:val="3D8B5564"/>
    <w:rsid w:val="3D97500C"/>
    <w:rsid w:val="3DA05553"/>
    <w:rsid w:val="3DAD7C0B"/>
    <w:rsid w:val="3DB159B2"/>
    <w:rsid w:val="3DC41242"/>
    <w:rsid w:val="3DC92CFC"/>
    <w:rsid w:val="3DFF42E0"/>
    <w:rsid w:val="3E2717D1"/>
    <w:rsid w:val="3E3A7756"/>
    <w:rsid w:val="3E492FDD"/>
    <w:rsid w:val="3E5500EC"/>
    <w:rsid w:val="3E5C1CAB"/>
    <w:rsid w:val="3E6842C3"/>
    <w:rsid w:val="3E72247F"/>
    <w:rsid w:val="3E7A3FF6"/>
    <w:rsid w:val="3EAA48DB"/>
    <w:rsid w:val="3EAB2402"/>
    <w:rsid w:val="3EB218F1"/>
    <w:rsid w:val="3EB70DA6"/>
    <w:rsid w:val="3EC84D62"/>
    <w:rsid w:val="3ECC2AA4"/>
    <w:rsid w:val="3EDC6A5F"/>
    <w:rsid w:val="3EF43DA9"/>
    <w:rsid w:val="3F0538C0"/>
    <w:rsid w:val="3F081602"/>
    <w:rsid w:val="3F19380F"/>
    <w:rsid w:val="3F214472"/>
    <w:rsid w:val="3F2301EA"/>
    <w:rsid w:val="3F23643C"/>
    <w:rsid w:val="3F283A52"/>
    <w:rsid w:val="3F2C52F0"/>
    <w:rsid w:val="3F3441A5"/>
    <w:rsid w:val="3F544847"/>
    <w:rsid w:val="3F5C54AA"/>
    <w:rsid w:val="3F6B2D2B"/>
    <w:rsid w:val="3F850EA5"/>
    <w:rsid w:val="3F965ED3"/>
    <w:rsid w:val="3F9B5FD2"/>
    <w:rsid w:val="3FDB2873"/>
    <w:rsid w:val="3FDD65EB"/>
    <w:rsid w:val="3FE71217"/>
    <w:rsid w:val="40077B0C"/>
    <w:rsid w:val="400F2BE0"/>
    <w:rsid w:val="40242B4C"/>
    <w:rsid w:val="40330901"/>
    <w:rsid w:val="40384169"/>
    <w:rsid w:val="40583EC3"/>
    <w:rsid w:val="405E3BCF"/>
    <w:rsid w:val="406E7B8B"/>
    <w:rsid w:val="40736F4F"/>
    <w:rsid w:val="4077259B"/>
    <w:rsid w:val="407F61F6"/>
    <w:rsid w:val="408178BE"/>
    <w:rsid w:val="4084115C"/>
    <w:rsid w:val="40970E8F"/>
    <w:rsid w:val="409A0980"/>
    <w:rsid w:val="40AD67D4"/>
    <w:rsid w:val="40B90E06"/>
    <w:rsid w:val="40BE5F43"/>
    <w:rsid w:val="40C54417"/>
    <w:rsid w:val="40CD4CB1"/>
    <w:rsid w:val="40E130D7"/>
    <w:rsid w:val="40E13EB9"/>
    <w:rsid w:val="40E93E56"/>
    <w:rsid w:val="410A687E"/>
    <w:rsid w:val="41140732"/>
    <w:rsid w:val="411424E0"/>
    <w:rsid w:val="412C5A7C"/>
    <w:rsid w:val="415E19AD"/>
    <w:rsid w:val="415F5704"/>
    <w:rsid w:val="416A2100"/>
    <w:rsid w:val="41751D71"/>
    <w:rsid w:val="41782A6F"/>
    <w:rsid w:val="4182569C"/>
    <w:rsid w:val="418D5200"/>
    <w:rsid w:val="419378A9"/>
    <w:rsid w:val="41961147"/>
    <w:rsid w:val="41986C6D"/>
    <w:rsid w:val="419C15AE"/>
    <w:rsid w:val="41A25D3E"/>
    <w:rsid w:val="41A575DC"/>
    <w:rsid w:val="41A970CC"/>
    <w:rsid w:val="41AE46E3"/>
    <w:rsid w:val="41B26125"/>
    <w:rsid w:val="41BB5454"/>
    <w:rsid w:val="41C37841"/>
    <w:rsid w:val="41CA0DF1"/>
    <w:rsid w:val="41D13F2D"/>
    <w:rsid w:val="41E06866"/>
    <w:rsid w:val="41E719A3"/>
    <w:rsid w:val="41EA4FEF"/>
    <w:rsid w:val="41EB6656"/>
    <w:rsid w:val="41EE2D31"/>
    <w:rsid w:val="41FB544E"/>
    <w:rsid w:val="420460B1"/>
    <w:rsid w:val="42165DE4"/>
    <w:rsid w:val="42206C63"/>
    <w:rsid w:val="423B761E"/>
    <w:rsid w:val="423D5A66"/>
    <w:rsid w:val="424B0183"/>
    <w:rsid w:val="425012F6"/>
    <w:rsid w:val="4250579A"/>
    <w:rsid w:val="42521512"/>
    <w:rsid w:val="4269685C"/>
    <w:rsid w:val="42733236"/>
    <w:rsid w:val="42844588"/>
    <w:rsid w:val="428B4A24"/>
    <w:rsid w:val="428D254A"/>
    <w:rsid w:val="42A31D6D"/>
    <w:rsid w:val="42B71375"/>
    <w:rsid w:val="42D24401"/>
    <w:rsid w:val="42DF38C6"/>
    <w:rsid w:val="42F1319A"/>
    <w:rsid w:val="43086074"/>
    <w:rsid w:val="430D71E7"/>
    <w:rsid w:val="433411AA"/>
    <w:rsid w:val="43364990"/>
    <w:rsid w:val="43370708"/>
    <w:rsid w:val="433779BA"/>
    <w:rsid w:val="4352109E"/>
    <w:rsid w:val="43625373"/>
    <w:rsid w:val="436B2FBB"/>
    <w:rsid w:val="43866B24"/>
    <w:rsid w:val="438A4CDB"/>
    <w:rsid w:val="439B3E6F"/>
    <w:rsid w:val="43C401ED"/>
    <w:rsid w:val="43CC2BFE"/>
    <w:rsid w:val="43E228E2"/>
    <w:rsid w:val="43E97C54"/>
    <w:rsid w:val="43EC504E"/>
    <w:rsid w:val="43ED2DB8"/>
    <w:rsid w:val="43F31FF6"/>
    <w:rsid w:val="43F565F9"/>
    <w:rsid w:val="43FA3C0F"/>
    <w:rsid w:val="43FD4067"/>
    <w:rsid w:val="44054362"/>
    <w:rsid w:val="440920A4"/>
    <w:rsid w:val="4423437A"/>
    <w:rsid w:val="442F7793"/>
    <w:rsid w:val="443864E5"/>
    <w:rsid w:val="444430DC"/>
    <w:rsid w:val="445350CD"/>
    <w:rsid w:val="44562E10"/>
    <w:rsid w:val="447137A5"/>
    <w:rsid w:val="448923E4"/>
    <w:rsid w:val="448E4357"/>
    <w:rsid w:val="44913E48"/>
    <w:rsid w:val="449F6565"/>
    <w:rsid w:val="44A616A1"/>
    <w:rsid w:val="44AC3AD9"/>
    <w:rsid w:val="44B81460"/>
    <w:rsid w:val="44BA6EFA"/>
    <w:rsid w:val="44CB77A7"/>
    <w:rsid w:val="44E4666D"/>
    <w:rsid w:val="44F248E6"/>
    <w:rsid w:val="44FC5765"/>
    <w:rsid w:val="45036F4C"/>
    <w:rsid w:val="4517259F"/>
    <w:rsid w:val="452405C9"/>
    <w:rsid w:val="45240818"/>
    <w:rsid w:val="453E18DA"/>
    <w:rsid w:val="4557299B"/>
    <w:rsid w:val="456A0921"/>
    <w:rsid w:val="458B0897"/>
    <w:rsid w:val="45A100BA"/>
    <w:rsid w:val="45A55DFD"/>
    <w:rsid w:val="45A951CC"/>
    <w:rsid w:val="45B55914"/>
    <w:rsid w:val="45C049E4"/>
    <w:rsid w:val="45CA7611"/>
    <w:rsid w:val="45CC4A1C"/>
    <w:rsid w:val="45DB35CC"/>
    <w:rsid w:val="45E22BAD"/>
    <w:rsid w:val="45FE550D"/>
    <w:rsid w:val="461B7E6D"/>
    <w:rsid w:val="461D5993"/>
    <w:rsid w:val="461F5BAF"/>
    <w:rsid w:val="4629258A"/>
    <w:rsid w:val="462E7BA0"/>
    <w:rsid w:val="463158E2"/>
    <w:rsid w:val="463A4797"/>
    <w:rsid w:val="463D6035"/>
    <w:rsid w:val="464949DA"/>
    <w:rsid w:val="464B69A4"/>
    <w:rsid w:val="465B295F"/>
    <w:rsid w:val="465F5514"/>
    <w:rsid w:val="465F5FAB"/>
    <w:rsid w:val="4677642B"/>
    <w:rsid w:val="467852BF"/>
    <w:rsid w:val="469814BD"/>
    <w:rsid w:val="469D0972"/>
    <w:rsid w:val="469D6AD4"/>
    <w:rsid w:val="46A2058E"/>
    <w:rsid w:val="46A77952"/>
    <w:rsid w:val="46AE5B6B"/>
    <w:rsid w:val="46B502C1"/>
    <w:rsid w:val="46B81B60"/>
    <w:rsid w:val="46B856BC"/>
    <w:rsid w:val="46BD7176"/>
    <w:rsid w:val="46C67DD9"/>
    <w:rsid w:val="46CA2146"/>
    <w:rsid w:val="46D30FCF"/>
    <w:rsid w:val="46DB13AA"/>
    <w:rsid w:val="46F030A7"/>
    <w:rsid w:val="46FA2178"/>
    <w:rsid w:val="47280A93"/>
    <w:rsid w:val="473A2575"/>
    <w:rsid w:val="4743767B"/>
    <w:rsid w:val="474D22A8"/>
    <w:rsid w:val="474E0291"/>
    <w:rsid w:val="47541888"/>
    <w:rsid w:val="47655843"/>
    <w:rsid w:val="477535AD"/>
    <w:rsid w:val="478101A3"/>
    <w:rsid w:val="47835CCA"/>
    <w:rsid w:val="47871D43"/>
    <w:rsid w:val="479003E6"/>
    <w:rsid w:val="479D1105"/>
    <w:rsid w:val="47AC0506"/>
    <w:rsid w:val="47B10A89"/>
    <w:rsid w:val="47B70069"/>
    <w:rsid w:val="47C702AC"/>
    <w:rsid w:val="47CB0D34"/>
    <w:rsid w:val="47D263FD"/>
    <w:rsid w:val="47D6229D"/>
    <w:rsid w:val="47DD7AD0"/>
    <w:rsid w:val="47EA5D49"/>
    <w:rsid w:val="47F22E4F"/>
    <w:rsid w:val="47F60B91"/>
    <w:rsid w:val="480D7C89"/>
    <w:rsid w:val="480F3A01"/>
    <w:rsid w:val="48147269"/>
    <w:rsid w:val="481D7ECC"/>
    <w:rsid w:val="48205C0E"/>
    <w:rsid w:val="48217291"/>
    <w:rsid w:val="48221986"/>
    <w:rsid w:val="48286871"/>
    <w:rsid w:val="482C45B3"/>
    <w:rsid w:val="482C6361"/>
    <w:rsid w:val="48360F8E"/>
    <w:rsid w:val="48372111"/>
    <w:rsid w:val="487A3570"/>
    <w:rsid w:val="487D6BBD"/>
    <w:rsid w:val="48952158"/>
    <w:rsid w:val="48A73C3A"/>
    <w:rsid w:val="48A91760"/>
    <w:rsid w:val="48B00D40"/>
    <w:rsid w:val="48B3438D"/>
    <w:rsid w:val="48B9571B"/>
    <w:rsid w:val="48C60564"/>
    <w:rsid w:val="48D53DF7"/>
    <w:rsid w:val="48E46C3C"/>
    <w:rsid w:val="48F821EA"/>
    <w:rsid w:val="490746D8"/>
    <w:rsid w:val="490F7AD2"/>
    <w:rsid w:val="49380D36"/>
    <w:rsid w:val="493A190D"/>
    <w:rsid w:val="49450E6D"/>
    <w:rsid w:val="49465201"/>
    <w:rsid w:val="496B283C"/>
    <w:rsid w:val="49725FF6"/>
    <w:rsid w:val="49731D6E"/>
    <w:rsid w:val="497B47A9"/>
    <w:rsid w:val="499A1039"/>
    <w:rsid w:val="49AD5280"/>
    <w:rsid w:val="49B22D26"/>
    <w:rsid w:val="49B26D3A"/>
    <w:rsid w:val="49B44860"/>
    <w:rsid w:val="49B54134"/>
    <w:rsid w:val="49B760FE"/>
    <w:rsid w:val="49BA6AE9"/>
    <w:rsid w:val="49BE748D"/>
    <w:rsid w:val="49C10D2B"/>
    <w:rsid w:val="49C16F7D"/>
    <w:rsid w:val="49C820BA"/>
    <w:rsid w:val="49D00F6E"/>
    <w:rsid w:val="49EC350A"/>
    <w:rsid w:val="4A080708"/>
    <w:rsid w:val="4A1277D9"/>
    <w:rsid w:val="4A143551"/>
    <w:rsid w:val="4A275032"/>
    <w:rsid w:val="4A2834B9"/>
    <w:rsid w:val="4A3B0ADD"/>
    <w:rsid w:val="4A443E36"/>
    <w:rsid w:val="4A4A0D21"/>
    <w:rsid w:val="4A563B69"/>
    <w:rsid w:val="4A6C6EE9"/>
    <w:rsid w:val="4A6F2535"/>
    <w:rsid w:val="4A7E3DB1"/>
    <w:rsid w:val="4A8D4960"/>
    <w:rsid w:val="4A8E50B1"/>
    <w:rsid w:val="4A9326C8"/>
    <w:rsid w:val="4A9B77CE"/>
    <w:rsid w:val="4A9B7E42"/>
    <w:rsid w:val="4ABF34BD"/>
    <w:rsid w:val="4AC00FE3"/>
    <w:rsid w:val="4AC51705"/>
    <w:rsid w:val="4ACF1226"/>
    <w:rsid w:val="4AD60838"/>
    <w:rsid w:val="4ADA6548"/>
    <w:rsid w:val="4AE01685"/>
    <w:rsid w:val="4AF33166"/>
    <w:rsid w:val="4AFA62A3"/>
    <w:rsid w:val="4AFF7D5D"/>
    <w:rsid w:val="4B0D0E6A"/>
    <w:rsid w:val="4B0F6EBE"/>
    <w:rsid w:val="4B1D6435"/>
    <w:rsid w:val="4B2652EA"/>
    <w:rsid w:val="4B271062"/>
    <w:rsid w:val="4B2E0642"/>
    <w:rsid w:val="4B49722A"/>
    <w:rsid w:val="4B726781"/>
    <w:rsid w:val="4B9508EE"/>
    <w:rsid w:val="4B9A1834"/>
    <w:rsid w:val="4BDB2578"/>
    <w:rsid w:val="4BE02A99"/>
    <w:rsid w:val="4BE42F3C"/>
    <w:rsid w:val="4BE60F1D"/>
    <w:rsid w:val="4BEE392E"/>
    <w:rsid w:val="4BF2702F"/>
    <w:rsid w:val="4BF52F0E"/>
    <w:rsid w:val="4BF61160"/>
    <w:rsid w:val="4BFB49C8"/>
    <w:rsid w:val="4BFC24EE"/>
    <w:rsid w:val="4C0513A3"/>
    <w:rsid w:val="4C0B44E0"/>
    <w:rsid w:val="4C141988"/>
    <w:rsid w:val="4C1550E2"/>
    <w:rsid w:val="4C1E4213"/>
    <w:rsid w:val="4C341C88"/>
    <w:rsid w:val="4C374D22"/>
    <w:rsid w:val="4C3954F1"/>
    <w:rsid w:val="4C435E96"/>
    <w:rsid w:val="4C4A14AC"/>
    <w:rsid w:val="4C7622A1"/>
    <w:rsid w:val="4C76404F"/>
    <w:rsid w:val="4C7B0C01"/>
    <w:rsid w:val="4C7E4CE9"/>
    <w:rsid w:val="4C7E73A7"/>
    <w:rsid w:val="4C83051A"/>
    <w:rsid w:val="4C915009"/>
    <w:rsid w:val="4C916375"/>
    <w:rsid w:val="4CA46E0E"/>
    <w:rsid w:val="4CA74208"/>
    <w:rsid w:val="4CB132D9"/>
    <w:rsid w:val="4CB9218D"/>
    <w:rsid w:val="4CC96874"/>
    <w:rsid w:val="4CCE3E8B"/>
    <w:rsid w:val="4CD30412"/>
    <w:rsid w:val="4CD64AED"/>
    <w:rsid w:val="4CE65BEE"/>
    <w:rsid w:val="4CE70CB0"/>
    <w:rsid w:val="4CF50487"/>
    <w:rsid w:val="4CFB4554"/>
    <w:rsid w:val="4CFD37D3"/>
    <w:rsid w:val="4D0A29E9"/>
    <w:rsid w:val="4D123770"/>
    <w:rsid w:val="4D1675E0"/>
    <w:rsid w:val="4D171069"/>
    <w:rsid w:val="4D185106"/>
    <w:rsid w:val="4D1963E7"/>
    <w:rsid w:val="4D225988"/>
    <w:rsid w:val="4D3E406F"/>
    <w:rsid w:val="4D6E4D26"/>
    <w:rsid w:val="4D6F5B82"/>
    <w:rsid w:val="4D764FBA"/>
    <w:rsid w:val="4D8B1D7C"/>
    <w:rsid w:val="4D907392"/>
    <w:rsid w:val="4DA370C6"/>
    <w:rsid w:val="4DA92202"/>
    <w:rsid w:val="4DD7312D"/>
    <w:rsid w:val="4DE66FB2"/>
    <w:rsid w:val="4DE76969"/>
    <w:rsid w:val="4DFE254E"/>
    <w:rsid w:val="4E1C4782"/>
    <w:rsid w:val="4E1E674C"/>
    <w:rsid w:val="4E2D4BE1"/>
    <w:rsid w:val="4E396EC8"/>
    <w:rsid w:val="4E3B5550"/>
    <w:rsid w:val="4E604FB7"/>
    <w:rsid w:val="4E6D1482"/>
    <w:rsid w:val="4E724CEA"/>
    <w:rsid w:val="4E841C75"/>
    <w:rsid w:val="4E865878"/>
    <w:rsid w:val="4E8F13F8"/>
    <w:rsid w:val="4E93713A"/>
    <w:rsid w:val="4EA8070C"/>
    <w:rsid w:val="4EBD5F65"/>
    <w:rsid w:val="4EC512BE"/>
    <w:rsid w:val="4ED0638D"/>
    <w:rsid w:val="4ED41501"/>
    <w:rsid w:val="4EDB288F"/>
    <w:rsid w:val="4EDC1381"/>
    <w:rsid w:val="4EE5726A"/>
    <w:rsid w:val="4F2E29BF"/>
    <w:rsid w:val="4F365D17"/>
    <w:rsid w:val="4F4F7809"/>
    <w:rsid w:val="4F560168"/>
    <w:rsid w:val="4F626B0C"/>
    <w:rsid w:val="4F764366"/>
    <w:rsid w:val="4F786330"/>
    <w:rsid w:val="4F90367A"/>
    <w:rsid w:val="4F952A3E"/>
    <w:rsid w:val="4FA02543"/>
    <w:rsid w:val="4FB370C6"/>
    <w:rsid w:val="4FBA6948"/>
    <w:rsid w:val="4FCA63B0"/>
    <w:rsid w:val="4FD33566"/>
    <w:rsid w:val="4FD712A8"/>
    <w:rsid w:val="500B2D00"/>
    <w:rsid w:val="50210776"/>
    <w:rsid w:val="5023629C"/>
    <w:rsid w:val="50263177"/>
    <w:rsid w:val="502B33A2"/>
    <w:rsid w:val="502D7064"/>
    <w:rsid w:val="50314730"/>
    <w:rsid w:val="50324D8E"/>
    <w:rsid w:val="5043249A"/>
    <w:rsid w:val="504B57F2"/>
    <w:rsid w:val="50722D7F"/>
    <w:rsid w:val="507525E4"/>
    <w:rsid w:val="507C775A"/>
    <w:rsid w:val="508B5BEF"/>
    <w:rsid w:val="50903205"/>
    <w:rsid w:val="50970A38"/>
    <w:rsid w:val="509B22D6"/>
    <w:rsid w:val="50A078EC"/>
    <w:rsid w:val="50A1023A"/>
    <w:rsid w:val="50A13664"/>
    <w:rsid w:val="50A20729"/>
    <w:rsid w:val="50A70C7B"/>
    <w:rsid w:val="50B138A7"/>
    <w:rsid w:val="50C25AB5"/>
    <w:rsid w:val="50C302A1"/>
    <w:rsid w:val="50C7131D"/>
    <w:rsid w:val="50D61560"/>
    <w:rsid w:val="50F47C38"/>
    <w:rsid w:val="50FE2865"/>
    <w:rsid w:val="50FE4613"/>
    <w:rsid w:val="512027DB"/>
    <w:rsid w:val="513149E8"/>
    <w:rsid w:val="51333765"/>
    <w:rsid w:val="51491747"/>
    <w:rsid w:val="514A7858"/>
    <w:rsid w:val="517A638F"/>
    <w:rsid w:val="51844B18"/>
    <w:rsid w:val="51954F77"/>
    <w:rsid w:val="519D3DCB"/>
    <w:rsid w:val="51AA2FE4"/>
    <w:rsid w:val="51B51175"/>
    <w:rsid w:val="51B55BEF"/>
    <w:rsid w:val="51B7313F"/>
    <w:rsid w:val="51B75E61"/>
    <w:rsid w:val="51BE22CC"/>
    <w:rsid w:val="51C63383"/>
    <w:rsid w:val="51CB2747"/>
    <w:rsid w:val="51DC0DF8"/>
    <w:rsid w:val="51E67581"/>
    <w:rsid w:val="51F540A9"/>
    <w:rsid w:val="51F779E0"/>
    <w:rsid w:val="520143BB"/>
    <w:rsid w:val="5212481A"/>
    <w:rsid w:val="521560B8"/>
    <w:rsid w:val="521D6D1B"/>
    <w:rsid w:val="52275C43"/>
    <w:rsid w:val="5245699D"/>
    <w:rsid w:val="52484447"/>
    <w:rsid w:val="52592449"/>
    <w:rsid w:val="525D14AF"/>
    <w:rsid w:val="52666914"/>
    <w:rsid w:val="526C6960"/>
    <w:rsid w:val="526E2AAB"/>
    <w:rsid w:val="5277467D"/>
    <w:rsid w:val="5288688A"/>
    <w:rsid w:val="529979DB"/>
    <w:rsid w:val="52A116FA"/>
    <w:rsid w:val="52AF02BB"/>
    <w:rsid w:val="52EA4E4F"/>
    <w:rsid w:val="52F21F55"/>
    <w:rsid w:val="530C5752"/>
    <w:rsid w:val="53111D1D"/>
    <w:rsid w:val="5314011E"/>
    <w:rsid w:val="5316253E"/>
    <w:rsid w:val="53177C0E"/>
    <w:rsid w:val="531C6FD2"/>
    <w:rsid w:val="531F3AF3"/>
    <w:rsid w:val="53226CDE"/>
    <w:rsid w:val="533031C8"/>
    <w:rsid w:val="533B1B4E"/>
    <w:rsid w:val="533C1422"/>
    <w:rsid w:val="533E519B"/>
    <w:rsid w:val="53407165"/>
    <w:rsid w:val="534A77B8"/>
    <w:rsid w:val="535D1AC5"/>
    <w:rsid w:val="53642E53"/>
    <w:rsid w:val="53690469"/>
    <w:rsid w:val="53764934"/>
    <w:rsid w:val="537961D3"/>
    <w:rsid w:val="53837051"/>
    <w:rsid w:val="53915C12"/>
    <w:rsid w:val="5394125E"/>
    <w:rsid w:val="5399084F"/>
    <w:rsid w:val="539F09E7"/>
    <w:rsid w:val="53AB142E"/>
    <w:rsid w:val="53AB6CD4"/>
    <w:rsid w:val="53E53868"/>
    <w:rsid w:val="53EE4E13"/>
    <w:rsid w:val="53F57F4F"/>
    <w:rsid w:val="53F6284F"/>
    <w:rsid w:val="540E1011"/>
    <w:rsid w:val="5419635B"/>
    <w:rsid w:val="541A7780"/>
    <w:rsid w:val="542176EA"/>
    <w:rsid w:val="54224ABC"/>
    <w:rsid w:val="5429409D"/>
    <w:rsid w:val="54332825"/>
    <w:rsid w:val="54360897"/>
    <w:rsid w:val="545729B8"/>
    <w:rsid w:val="5474356A"/>
    <w:rsid w:val="54776BB6"/>
    <w:rsid w:val="547C41CC"/>
    <w:rsid w:val="547C5F7A"/>
    <w:rsid w:val="547E6196"/>
    <w:rsid w:val="54A2791D"/>
    <w:rsid w:val="54A31759"/>
    <w:rsid w:val="54A51975"/>
    <w:rsid w:val="54B020C8"/>
    <w:rsid w:val="54CB6F02"/>
    <w:rsid w:val="54D25D2E"/>
    <w:rsid w:val="54F14358"/>
    <w:rsid w:val="54FB1595"/>
    <w:rsid w:val="55044396"/>
    <w:rsid w:val="55072736"/>
    <w:rsid w:val="550A5C7C"/>
    <w:rsid w:val="552C5BF2"/>
    <w:rsid w:val="553920BD"/>
    <w:rsid w:val="554A6201"/>
    <w:rsid w:val="55591886"/>
    <w:rsid w:val="555D5DAC"/>
    <w:rsid w:val="556152EB"/>
    <w:rsid w:val="556829A3"/>
    <w:rsid w:val="556E2F3D"/>
    <w:rsid w:val="556F788D"/>
    <w:rsid w:val="55717AA9"/>
    <w:rsid w:val="558E065B"/>
    <w:rsid w:val="55943798"/>
    <w:rsid w:val="559B0682"/>
    <w:rsid w:val="55A0038E"/>
    <w:rsid w:val="55DB13C7"/>
    <w:rsid w:val="55FB7373"/>
    <w:rsid w:val="55FD758F"/>
    <w:rsid w:val="56102E1E"/>
    <w:rsid w:val="561843C9"/>
    <w:rsid w:val="561D19DF"/>
    <w:rsid w:val="561F5757"/>
    <w:rsid w:val="56270168"/>
    <w:rsid w:val="563D798B"/>
    <w:rsid w:val="564A79FB"/>
    <w:rsid w:val="56725887"/>
    <w:rsid w:val="56772E9D"/>
    <w:rsid w:val="567F7FA4"/>
    <w:rsid w:val="56963DC0"/>
    <w:rsid w:val="56A464F4"/>
    <w:rsid w:val="56B57E6A"/>
    <w:rsid w:val="56C7021F"/>
    <w:rsid w:val="56E36785"/>
    <w:rsid w:val="56E9366F"/>
    <w:rsid w:val="56EB73E7"/>
    <w:rsid w:val="56F86534"/>
    <w:rsid w:val="57154464"/>
    <w:rsid w:val="571E77BD"/>
    <w:rsid w:val="572D7A00"/>
    <w:rsid w:val="57494FF6"/>
    <w:rsid w:val="574F7976"/>
    <w:rsid w:val="57580F21"/>
    <w:rsid w:val="576D24F2"/>
    <w:rsid w:val="576F626A"/>
    <w:rsid w:val="57710B98"/>
    <w:rsid w:val="577D0987"/>
    <w:rsid w:val="57835872"/>
    <w:rsid w:val="579E08FE"/>
    <w:rsid w:val="57A44166"/>
    <w:rsid w:val="57AD653C"/>
    <w:rsid w:val="57B40DDF"/>
    <w:rsid w:val="57B766F2"/>
    <w:rsid w:val="57B974E6"/>
    <w:rsid w:val="57C02622"/>
    <w:rsid w:val="57D1518C"/>
    <w:rsid w:val="57D927FA"/>
    <w:rsid w:val="57E91B79"/>
    <w:rsid w:val="58022C3B"/>
    <w:rsid w:val="58093FC9"/>
    <w:rsid w:val="581A2186"/>
    <w:rsid w:val="58292224"/>
    <w:rsid w:val="58294405"/>
    <w:rsid w:val="583B0751"/>
    <w:rsid w:val="583E06A5"/>
    <w:rsid w:val="58750AD1"/>
    <w:rsid w:val="58A143DC"/>
    <w:rsid w:val="58A261CC"/>
    <w:rsid w:val="58A27F7A"/>
    <w:rsid w:val="58A61818"/>
    <w:rsid w:val="58A67557"/>
    <w:rsid w:val="58BA3515"/>
    <w:rsid w:val="58CE2AC0"/>
    <w:rsid w:val="58D5034F"/>
    <w:rsid w:val="58DD3DFC"/>
    <w:rsid w:val="58E14F46"/>
    <w:rsid w:val="58E16CF4"/>
    <w:rsid w:val="58F33D49"/>
    <w:rsid w:val="58FF53CC"/>
    <w:rsid w:val="5919023C"/>
    <w:rsid w:val="591E3AA4"/>
    <w:rsid w:val="59220626"/>
    <w:rsid w:val="592749AB"/>
    <w:rsid w:val="5943175D"/>
    <w:rsid w:val="594A6647"/>
    <w:rsid w:val="596671F9"/>
    <w:rsid w:val="596F2552"/>
    <w:rsid w:val="597A757A"/>
    <w:rsid w:val="5988716F"/>
    <w:rsid w:val="59914276"/>
    <w:rsid w:val="59A65848"/>
    <w:rsid w:val="59B12B6A"/>
    <w:rsid w:val="59B461B6"/>
    <w:rsid w:val="59B77A55"/>
    <w:rsid w:val="59FD190B"/>
    <w:rsid w:val="5A1C0AB4"/>
    <w:rsid w:val="5A2067EA"/>
    <w:rsid w:val="5A2D687B"/>
    <w:rsid w:val="5A2F3B8D"/>
    <w:rsid w:val="5A32320F"/>
    <w:rsid w:val="5A3317D1"/>
    <w:rsid w:val="5A364E1D"/>
    <w:rsid w:val="5A3B2434"/>
    <w:rsid w:val="5A47527D"/>
    <w:rsid w:val="5A6220B6"/>
    <w:rsid w:val="5A6E45B7"/>
    <w:rsid w:val="5A706581"/>
    <w:rsid w:val="5A7F0572"/>
    <w:rsid w:val="5A8B6F17"/>
    <w:rsid w:val="5A985AD8"/>
    <w:rsid w:val="5A9B1124"/>
    <w:rsid w:val="5A9E17A4"/>
    <w:rsid w:val="5AB04BD0"/>
    <w:rsid w:val="5AB521E6"/>
    <w:rsid w:val="5AB83A84"/>
    <w:rsid w:val="5AC27212"/>
    <w:rsid w:val="5ACD5782"/>
    <w:rsid w:val="5AD308BE"/>
    <w:rsid w:val="5AD36B10"/>
    <w:rsid w:val="5AD97D4F"/>
    <w:rsid w:val="5B003CAE"/>
    <w:rsid w:val="5B0E18F6"/>
    <w:rsid w:val="5B264E92"/>
    <w:rsid w:val="5B3255E5"/>
    <w:rsid w:val="5B377024"/>
    <w:rsid w:val="5B3D2452"/>
    <w:rsid w:val="5B3E21DC"/>
    <w:rsid w:val="5B411CCC"/>
    <w:rsid w:val="5B4517BC"/>
    <w:rsid w:val="5B4F43E9"/>
    <w:rsid w:val="5B7A7738"/>
    <w:rsid w:val="5B834092"/>
    <w:rsid w:val="5B863B83"/>
    <w:rsid w:val="5B8F47E5"/>
    <w:rsid w:val="5B955B74"/>
    <w:rsid w:val="5B9A4F22"/>
    <w:rsid w:val="5BA109BC"/>
    <w:rsid w:val="5BA67D81"/>
    <w:rsid w:val="5BAB58CA"/>
    <w:rsid w:val="5BB4249E"/>
    <w:rsid w:val="5BBB7CD0"/>
    <w:rsid w:val="5BD112A2"/>
    <w:rsid w:val="5BD3501A"/>
    <w:rsid w:val="5BD40D92"/>
    <w:rsid w:val="5BE34B31"/>
    <w:rsid w:val="5BF04434"/>
    <w:rsid w:val="5BF46D3E"/>
    <w:rsid w:val="5C25339C"/>
    <w:rsid w:val="5C335AB8"/>
    <w:rsid w:val="5C4F21C6"/>
    <w:rsid w:val="5C5872CD"/>
    <w:rsid w:val="5C594DF3"/>
    <w:rsid w:val="5C622499"/>
    <w:rsid w:val="5C687813"/>
    <w:rsid w:val="5C6E4D42"/>
    <w:rsid w:val="5C700ABB"/>
    <w:rsid w:val="5C761E49"/>
    <w:rsid w:val="5C7659A5"/>
    <w:rsid w:val="5C7A54B2"/>
    <w:rsid w:val="5C7B120D"/>
    <w:rsid w:val="5C8A1451"/>
    <w:rsid w:val="5C8E2CEF"/>
    <w:rsid w:val="5C8E7193"/>
    <w:rsid w:val="5CA469DE"/>
    <w:rsid w:val="5CAD6822"/>
    <w:rsid w:val="5CB0535B"/>
    <w:rsid w:val="5CB90160"/>
    <w:rsid w:val="5CC93D27"/>
    <w:rsid w:val="5CCB5CF1"/>
    <w:rsid w:val="5CCC1A69"/>
    <w:rsid w:val="5CCE3A33"/>
    <w:rsid w:val="5CD821BC"/>
    <w:rsid w:val="5CDF354A"/>
    <w:rsid w:val="5CE172C2"/>
    <w:rsid w:val="5CE96177"/>
    <w:rsid w:val="5CEE19DF"/>
    <w:rsid w:val="5D121B72"/>
    <w:rsid w:val="5D123920"/>
    <w:rsid w:val="5D1D4073"/>
    <w:rsid w:val="5D26561D"/>
    <w:rsid w:val="5D2B2C34"/>
    <w:rsid w:val="5D375134"/>
    <w:rsid w:val="5D404036"/>
    <w:rsid w:val="5D443EF6"/>
    <w:rsid w:val="5D4635C9"/>
    <w:rsid w:val="5D467A6D"/>
    <w:rsid w:val="5D491B8F"/>
    <w:rsid w:val="5D496861"/>
    <w:rsid w:val="5D5977A1"/>
    <w:rsid w:val="5D716356"/>
    <w:rsid w:val="5D7448A4"/>
    <w:rsid w:val="5D746389"/>
    <w:rsid w:val="5D7A14C5"/>
    <w:rsid w:val="5D8365CC"/>
    <w:rsid w:val="5D964551"/>
    <w:rsid w:val="5D9F0F2C"/>
    <w:rsid w:val="5DBB5D65"/>
    <w:rsid w:val="5DD40BD5"/>
    <w:rsid w:val="5DD45115"/>
    <w:rsid w:val="5DDC0A28"/>
    <w:rsid w:val="5DDC5CDC"/>
    <w:rsid w:val="5DDE1A54"/>
    <w:rsid w:val="5DE0757A"/>
    <w:rsid w:val="5DF63241"/>
    <w:rsid w:val="5DF748C4"/>
    <w:rsid w:val="5E0671DF"/>
    <w:rsid w:val="5E1B4FE5"/>
    <w:rsid w:val="5E227B93"/>
    <w:rsid w:val="5E2356B9"/>
    <w:rsid w:val="5E40270F"/>
    <w:rsid w:val="5E541D16"/>
    <w:rsid w:val="5E5C4ED9"/>
    <w:rsid w:val="5E765DF7"/>
    <w:rsid w:val="5E7A0EA7"/>
    <w:rsid w:val="5E8B689C"/>
    <w:rsid w:val="5E940DCB"/>
    <w:rsid w:val="5E9D546B"/>
    <w:rsid w:val="5EA70098"/>
    <w:rsid w:val="5EA7453C"/>
    <w:rsid w:val="5EB34C8F"/>
    <w:rsid w:val="5EB97D61"/>
    <w:rsid w:val="5EC37CAF"/>
    <w:rsid w:val="5ECE7D1A"/>
    <w:rsid w:val="5ED6272A"/>
    <w:rsid w:val="5EF05EE3"/>
    <w:rsid w:val="5EF552A7"/>
    <w:rsid w:val="5F013C4C"/>
    <w:rsid w:val="5F0B6879"/>
    <w:rsid w:val="5F3833E6"/>
    <w:rsid w:val="5F396F2D"/>
    <w:rsid w:val="5F3A53B0"/>
    <w:rsid w:val="5F3B6A32"/>
    <w:rsid w:val="5F4E2C09"/>
    <w:rsid w:val="5F830B05"/>
    <w:rsid w:val="5F9A7BFD"/>
    <w:rsid w:val="5FA840C8"/>
    <w:rsid w:val="5FAB3BB8"/>
    <w:rsid w:val="5FAF18FA"/>
    <w:rsid w:val="5FC86399"/>
    <w:rsid w:val="5FDC1FC3"/>
    <w:rsid w:val="5FE5171A"/>
    <w:rsid w:val="601856F1"/>
    <w:rsid w:val="60206354"/>
    <w:rsid w:val="60223447"/>
    <w:rsid w:val="60275934"/>
    <w:rsid w:val="602A71D2"/>
    <w:rsid w:val="602C1730"/>
    <w:rsid w:val="605232A6"/>
    <w:rsid w:val="60536729"/>
    <w:rsid w:val="60583D40"/>
    <w:rsid w:val="605E399C"/>
    <w:rsid w:val="606A75CF"/>
    <w:rsid w:val="60803296"/>
    <w:rsid w:val="60956D42"/>
    <w:rsid w:val="60AE1BB1"/>
    <w:rsid w:val="60CE6001"/>
    <w:rsid w:val="60D00CE2"/>
    <w:rsid w:val="60E2185B"/>
    <w:rsid w:val="60E43825"/>
    <w:rsid w:val="60E63B94"/>
    <w:rsid w:val="60E750C3"/>
    <w:rsid w:val="60EA6962"/>
    <w:rsid w:val="60EB4BB4"/>
    <w:rsid w:val="60F33A68"/>
    <w:rsid w:val="610572F8"/>
    <w:rsid w:val="6110461A"/>
    <w:rsid w:val="61120392"/>
    <w:rsid w:val="6115578D"/>
    <w:rsid w:val="612105D5"/>
    <w:rsid w:val="612267AB"/>
    <w:rsid w:val="61227EAA"/>
    <w:rsid w:val="612A4CFA"/>
    <w:rsid w:val="612D4112"/>
    <w:rsid w:val="613C540F"/>
    <w:rsid w:val="613F6CAD"/>
    <w:rsid w:val="61406582"/>
    <w:rsid w:val="61413A18"/>
    <w:rsid w:val="614150FD"/>
    <w:rsid w:val="6142054C"/>
    <w:rsid w:val="6146003C"/>
    <w:rsid w:val="614918DA"/>
    <w:rsid w:val="614B5652"/>
    <w:rsid w:val="61572249"/>
    <w:rsid w:val="61686204"/>
    <w:rsid w:val="61865F62"/>
    <w:rsid w:val="6198016C"/>
    <w:rsid w:val="61A82AA5"/>
    <w:rsid w:val="61C827FF"/>
    <w:rsid w:val="61D5316E"/>
    <w:rsid w:val="61DA0784"/>
    <w:rsid w:val="61E17D65"/>
    <w:rsid w:val="61F50056"/>
    <w:rsid w:val="61FA4982"/>
    <w:rsid w:val="62261C1B"/>
    <w:rsid w:val="62285994"/>
    <w:rsid w:val="622D046D"/>
    <w:rsid w:val="62353C0D"/>
    <w:rsid w:val="626562A0"/>
    <w:rsid w:val="627D39B8"/>
    <w:rsid w:val="628232F6"/>
    <w:rsid w:val="629372B1"/>
    <w:rsid w:val="62976675"/>
    <w:rsid w:val="629D1EDE"/>
    <w:rsid w:val="62C236F2"/>
    <w:rsid w:val="62C76F5B"/>
    <w:rsid w:val="62CF4061"/>
    <w:rsid w:val="62DF345C"/>
    <w:rsid w:val="62E278F0"/>
    <w:rsid w:val="62E80C7F"/>
    <w:rsid w:val="62EA49F7"/>
    <w:rsid w:val="6300246C"/>
    <w:rsid w:val="63043D0B"/>
    <w:rsid w:val="6329551F"/>
    <w:rsid w:val="632C2B76"/>
    <w:rsid w:val="633D721D"/>
    <w:rsid w:val="6342476E"/>
    <w:rsid w:val="634A36E8"/>
    <w:rsid w:val="63514A76"/>
    <w:rsid w:val="635D05D6"/>
    <w:rsid w:val="635F53E5"/>
    <w:rsid w:val="63604C33"/>
    <w:rsid w:val="637C7D45"/>
    <w:rsid w:val="637F5A87"/>
    <w:rsid w:val="63852ACB"/>
    <w:rsid w:val="63860BC4"/>
    <w:rsid w:val="63957059"/>
    <w:rsid w:val="639F70D4"/>
    <w:rsid w:val="63B05C41"/>
    <w:rsid w:val="63B76FCF"/>
    <w:rsid w:val="63B82D47"/>
    <w:rsid w:val="63C90AB0"/>
    <w:rsid w:val="63CD15D5"/>
    <w:rsid w:val="63CE60C7"/>
    <w:rsid w:val="63EB02BD"/>
    <w:rsid w:val="63F47351"/>
    <w:rsid w:val="63FF44D2"/>
    <w:rsid w:val="640B2E77"/>
    <w:rsid w:val="6410048D"/>
    <w:rsid w:val="64155AA4"/>
    <w:rsid w:val="64157629"/>
    <w:rsid w:val="641C32D6"/>
    <w:rsid w:val="64247910"/>
    <w:rsid w:val="64356146"/>
    <w:rsid w:val="64412D3D"/>
    <w:rsid w:val="64654C7D"/>
    <w:rsid w:val="646A2293"/>
    <w:rsid w:val="646F78AA"/>
    <w:rsid w:val="64711022"/>
    <w:rsid w:val="6471787C"/>
    <w:rsid w:val="64722EF6"/>
    <w:rsid w:val="648570CD"/>
    <w:rsid w:val="648F1CFA"/>
    <w:rsid w:val="648F3AA8"/>
    <w:rsid w:val="649015CE"/>
    <w:rsid w:val="64992B79"/>
    <w:rsid w:val="649B2251"/>
    <w:rsid w:val="64B41760"/>
    <w:rsid w:val="64C87C38"/>
    <w:rsid w:val="64D836A1"/>
    <w:rsid w:val="64E20C5E"/>
    <w:rsid w:val="64F14763"/>
    <w:rsid w:val="65051FBC"/>
    <w:rsid w:val="650C082B"/>
    <w:rsid w:val="65137B25"/>
    <w:rsid w:val="653603C7"/>
    <w:rsid w:val="6545060B"/>
    <w:rsid w:val="655A2308"/>
    <w:rsid w:val="6562626D"/>
    <w:rsid w:val="65685D4E"/>
    <w:rsid w:val="65731234"/>
    <w:rsid w:val="657D1B52"/>
    <w:rsid w:val="657F1D6E"/>
    <w:rsid w:val="658052E3"/>
    <w:rsid w:val="658339A4"/>
    <w:rsid w:val="65841133"/>
    <w:rsid w:val="65960E66"/>
    <w:rsid w:val="659D0447"/>
    <w:rsid w:val="65A05841"/>
    <w:rsid w:val="65BA4B55"/>
    <w:rsid w:val="65CC6FD3"/>
    <w:rsid w:val="65DF6369"/>
    <w:rsid w:val="65E01B3B"/>
    <w:rsid w:val="65FD2C93"/>
    <w:rsid w:val="660E0C4E"/>
    <w:rsid w:val="661164FE"/>
    <w:rsid w:val="66123B22"/>
    <w:rsid w:val="66135881"/>
    <w:rsid w:val="661C75BD"/>
    <w:rsid w:val="66246472"/>
    <w:rsid w:val="664D3C1B"/>
    <w:rsid w:val="66552ACF"/>
    <w:rsid w:val="66560D21"/>
    <w:rsid w:val="665E3732"/>
    <w:rsid w:val="66723681"/>
    <w:rsid w:val="66770C98"/>
    <w:rsid w:val="66842737"/>
    <w:rsid w:val="66A55805"/>
    <w:rsid w:val="66A71CFE"/>
    <w:rsid w:val="66AE1605"/>
    <w:rsid w:val="66BE68C6"/>
    <w:rsid w:val="66ED0F5A"/>
    <w:rsid w:val="66F136C6"/>
    <w:rsid w:val="66F81DD8"/>
    <w:rsid w:val="66F95B50"/>
    <w:rsid w:val="66FB5425"/>
    <w:rsid w:val="670B4B8C"/>
    <w:rsid w:val="67193AFD"/>
    <w:rsid w:val="671D35ED"/>
    <w:rsid w:val="67241800"/>
    <w:rsid w:val="67332E10"/>
    <w:rsid w:val="673821D5"/>
    <w:rsid w:val="673947CF"/>
    <w:rsid w:val="673B1CC5"/>
    <w:rsid w:val="674566A0"/>
    <w:rsid w:val="674A63AC"/>
    <w:rsid w:val="67544B35"/>
    <w:rsid w:val="6760432C"/>
    <w:rsid w:val="67642FCA"/>
    <w:rsid w:val="677719F1"/>
    <w:rsid w:val="67A23AF2"/>
    <w:rsid w:val="67B657F0"/>
    <w:rsid w:val="67BA52E0"/>
    <w:rsid w:val="67C95523"/>
    <w:rsid w:val="67E1461B"/>
    <w:rsid w:val="67E97973"/>
    <w:rsid w:val="67EE4F89"/>
    <w:rsid w:val="6808604B"/>
    <w:rsid w:val="68093B71"/>
    <w:rsid w:val="681542C4"/>
    <w:rsid w:val="683926A8"/>
    <w:rsid w:val="683935A0"/>
    <w:rsid w:val="685079F2"/>
    <w:rsid w:val="68617509"/>
    <w:rsid w:val="686D24D1"/>
    <w:rsid w:val="688109F0"/>
    <w:rsid w:val="68A37B22"/>
    <w:rsid w:val="68A815DC"/>
    <w:rsid w:val="68A9023A"/>
    <w:rsid w:val="68AA5354"/>
    <w:rsid w:val="68C3115B"/>
    <w:rsid w:val="68CA0BEF"/>
    <w:rsid w:val="68D128E1"/>
    <w:rsid w:val="68DB3760"/>
    <w:rsid w:val="68DB7828"/>
    <w:rsid w:val="68E97798"/>
    <w:rsid w:val="68F14D31"/>
    <w:rsid w:val="68F22857"/>
    <w:rsid w:val="69140A20"/>
    <w:rsid w:val="692769A5"/>
    <w:rsid w:val="69401815"/>
    <w:rsid w:val="69422FE4"/>
    <w:rsid w:val="6945507D"/>
    <w:rsid w:val="694A1976"/>
    <w:rsid w:val="6954706E"/>
    <w:rsid w:val="696C623B"/>
    <w:rsid w:val="696F5C56"/>
    <w:rsid w:val="69847953"/>
    <w:rsid w:val="698536CB"/>
    <w:rsid w:val="698C2CAC"/>
    <w:rsid w:val="699A3CBE"/>
    <w:rsid w:val="69A04061"/>
    <w:rsid w:val="69A71894"/>
    <w:rsid w:val="69A91168"/>
    <w:rsid w:val="69B83AA1"/>
    <w:rsid w:val="69CC68E5"/>
    <w:rsid w:val="69D106BF"/>
    <w:rsid w:val="69D75139"/>
    <w:rsid w:val="69DA3A17"/>
    <w:rsid w:val="69DD52B6"/>
    <w:rsid w:val="69E623BC"/>
    <w:rsid w:val="69EB79D2"/>
    <w:rsid w:val="69F21A91"/>
    <w:rsid w:val="69FA5E67"/>
    <w:rsid w:val="6A1D1083"/>
    <w:rsid w:val="6A2627B9"/>
    <w:rsid w:val="6A3C6480"/>
    <w:rsid w:val="6A4175F2"/>
    <w:rsid w:val="6A5F0ECC"/>
    <w:rsid w:val="6A63354D"/>
    <w:rsid w:val="6A6B4A7B"/>
    <w:rsid w:val="6A6E4160"/>
    <w:rsid w:val="6A70612A"/>
    <w:rsid w:val="6A791640"/>
    <w:rsid w:val="6A7C4ACE"/>
    <w:rsid w:val="6A923283"/>
    <w:rsid w:val="6AA81420"/>
    <w:rsid w:val="6AAF6C52"/>
    <w:rsid w:val="6AC00E5F"/>
    <w:rsid w:val="6AC06FC5"/>
    <w:rsid w:val="6AD9782B"/>
    <w:rsid w:val="6AE12B83"/>
    <w:rsid w:val="6AEC0549"/>
    <w:rsid w:val="6AEF34F2"/>
    <w:rsid w:val="6AF26B3F"/>
    <w:rsid w:val="6B007E4F"/>
    <w:rsid w:val="6B032AFA"/>
    <w:rsid w:val="6B0625EA"/>
    <w:rsid w:val="6B07083C"/>
    <w:rsid w:val="6B0C69D4"/>
    <w:rsid w:val="6B0D15D1"/>
    <w:rsid w:val="6B142F59"/>
    <w:rsid w:val="6B2111D2"/>
    <w:rsid w:val="6B27777A"/>
    <w:rsid w:val="6B2849B2"/>
    <w:rsid w:val="6B326610"/>
    <w:rsid w:val="6B3E3B32"/>
    <w:rsid w:val="6B513865"/>
    <w:rsid w:val="6B5E41D4"/>
    <w:rsid w:val="6B60619E"/>
    <w:rsid w:val="6B637A3C"/>
    <w:rsid w:val="6B741C4A"/>
    <w:rsid w:val="6B824366"/>
    <w:rsid w:val="6B8C70BB"/>
    <w:rsid w:val="6B945E48"/>
    <w:rsid w:val="6B9E2823"/>
    <w:rsid w:val="6BAC4F3F"/>
    <w:rsid w:val="6BCE135A"/>
    <w:rsid w:val="6BCE3108"/>
    <w:rsid w:val="6BCF6E80"/>
    <w:rsid w:val="6BE566A3"/>
    <w:rsid w:val="6BF951C8"/>
    <w:rsid w:val="6BFA214F"/>
    <w:rsid w:val="6C144EFF"/>
    <w:rsid w:val="6C375151"/>
    <w:rsid w:val="6C376DB0"/>
    <w:rsid w:val="6C417D7E"/>
    <w:rsid w:val="6C4433CA"/>
    <w:rsid w:val="6C445178"/>
    <w:rsid w:val="6C4D4027"/>
    <w:rsid w:val="6C515AE7"/>
    <w:rsid w:val="6C53185F"/>
    <w:rsid w:val="6C5555D7"/>
    <w:rsid w:val="6C981A47"/>
    <w:rsid w:val="6CB0280D"/>
    <w:rsid w:val="6CBC2034"/>
    <w:rsid w:val="6CBF5146"/>
    <w:rsid w:val="6CC60283"/>
    <w:rsid w:val="6CCD1611"/>
    <w:rsid w:val="6CD96208"/>
    <w:rsid w:val="6CDA5ADC"/>
    <w:rsid w:val="6CDA788A"/>
    <w:rsid w:val="6CDB1F80"/>
    <w:rsid w:val="6CDE381E"/>
    <w:rsid w:val="6CE150BD"/>
    <w:rsid w:val="6CF05300"/>
    <w:rsid w:val="6CF43042"/>
    <w:rsid w:val="6D090170"/>
    <w:rsid w:val="6D140FEE"/>
    <w:rsid w:val="6D1B5EBE"/>
    <w:rsid w:val="6D237483"/>
    <w:rsid w:val="6D282A00"/>
    <w:rsid w:val="6D2B07BA"/>
    <w:rsid w:val="6D340792"/>
    <w:rsid w:val="6D3836D1"/>
    <w:rsid w:val="6D417909"/>
    <w:rsid w:val="6D480C98"/>
    <w:rsid w:val="6D561607"/>
    <w:rsid w:val="6D6D4BA2"/>
    <w:rsid w:val="6D7C5096"/>
    <w:rsid w:val="6DA2484C"/>
    <w:rsid w:val="6DC24EEE"/>
    <w:rsid w:val="6DC81DD9"/>
    <w:rsid w:val="6DD8026E"/>
    <w:rsid w:val="6DE94229"/>
    <w:rsid w:val="6DEF7A6A"/>
    <w:rsid w:val="6E0A419F"/>
    <w:rsid w:val="6E0C43BB"/>
    <w:rsid w:val="6E26547D"/>
    <w:rsid w:val="6E2F3C06"/>
    <w:rsid w:val="6E331948"/>
    <w:rsid w:val="6E3A4A84"/>
    <w:rsid w:val="6E4B4EE4"/>
    <w:rsid w:val="6E5042A8"/>
    <w:rsid w:val="6E5673E4"/>
    <w:rsid w:val="6E625D89"/>
    <w:rsid w:val="6E752E2E"/>
    <w:rsid w:val="6E95615F"/>
    <w:rsid w:val="6EAC5256"/>
    <w:rsid w:val="6EB20ABF"/>
    <w:rsid w:val="6EC6456A"/>
    <w:rsid w:val="6EC66318"/>
    <w:rsid w:val="6ECB7DD2"/>
    <w:rsid w:val="6ECF78C3"/>
    <w:rsid w:val="6ED30A35"/>
    <w:rsid w:val="6EE3511C"/>
    <w:rsid w:val="6EFE1F56"/>
    <w:rsid w:val="6F1A6664"/>
    <w:rsid w:val="6F1E43A6"/>
    <w:rsid w:val="6F375468"/>
    <w:rsid w:val="6F3A0AB4"/>
    <w:rsid w:val="6F3C482C"/>
    <w:rsid w:val="6F4D07E7"/>
    <w:rsid w:val="6F5E47A3"/>
    <w:rsid w:val="6F743FC6"/>
    <w:rsid w:val="6F96218E"/>
    <w:rsid w:val="6FC00FB9"/>
    <w:rsid w:val="6FC82564"/>
    <w:rsid w:val="6FDB5DF3"/>
    <w:rsid w:val="6FDE3B35"/>
    <w:rsid w:val="6FDE58E3"/>
    <w:rsid w:val="6FE85906"/>
    <w:rsid w:val="6FF05BD4"/>
    <w:rsid w:val="6FF3084F"/>
    <w:rsid w:val="6FFD220E"/>
    <w:rsid w:val="6FFE306D"/>
    <w:rsid w:val="701B43BA"/>
    <w:rsid w:val="702E42B2"/>
    <w:rsid w:val="70342B6D"/>
    <w:rsid w:val="70455963"/>
    <w:rsid w:val="705931BC"/>
    <w:rsid w:val="705B6F34"/>
    <w:rsid w:val="7064228D"/>
    <w:rsid w:val="706758D9"/>
    <w:rsid w:val="70733FFD"/>
    <w:rsid w:val="70822713"/>
    <w:rsid w:val="70877D29"/>
    <w:rsid w:val="708E730A"/>
    <w:rsid w:val="70AB3A18"/>
    <w:rsid w:val="70AB46A4"/>
    <w:rsid w:val="70C40F7D"/>
    <w:rsid w:val="70CE7706"/>
    <w:rsid w:val="70D50A94"/>
    <w:rsid w:val="70D70CB1"/>
    <w:rsid w:val="70F07921"/>
    <w:rsid w:val="70F342FD"/>
    <w:rsid w:val="70F829D5"/>
    <w:rsid w:val="71033854"/>
    <w:rsid w:val="71117CAA"/>
    <w:rsid w:val="711B0F3D"/>
    <w:rsid w:val="711D243B"/>
    <w:rsid w:val="71200047"/>
    <w:rsid w:val="7121017E"/>
    <w:rsid w:val="71306613"/>
    <w:rsid w:val="71327C95"/>
    <w:rsid w:val="7137174F"/>
    <w:rsid w:val="71407BFD"/>
    <w:rsid w:val="7143549C"/>
    <w:rsid w:val="71453E6C"/>
    <w:rsid w:val="714B51FB"/>
    <w:rsid w:val="7150636D"/>
    <w:rsid w:val="71526589"/>
    <w:rsid w:val="715776FB"/>
    <w:rsid w:val="715F2A54"/>
    <w:rsid w:val="7164006A"/>
    <w:rsid w:val="716D6F1F"/>
    <w:rsid w:val="71706A0F"/>
    <w:rsid w:val="717E587F"/>
    <w:rsid w:val="718D5813"/>
    <w:rsid w:val="7195741A"/>
    <w:rsid w:val="719646C8"/>
    <w:rsid w:val="719B468D"/>
    <w:rsid w:val="71A75801"/>
    <w:rsid w:val="71AD7C63"/>
    <w:rsid w:val="71B11502"/>
    <w:rsid w:val="71B903B6"/>
    <w:rsid w:val="71C823A7"/>
    <w:rsid w:val="71C8684B"/>
    <w:rsid w:val="71DF634C"/>
    <w:rsid w:val="71FD64F5"/>
    <w:rsid w:val="72023B0B"/>
    <w:rsid w:val="72030E1E"/>
    <w:rsid w:val="720F447A"/>
    <w:rsid w:val="72111FA0"/>
    <w:rsid w:val="7218332F"/>
    <w:rsid w:val="721A015C"/>
    <w:rsid w:val="72221B36"/>
    <w:rsid w:val="72343EE1"/>
    <w:rsid w:val="723F4D5F"/>
    <w:rsid w:val="7249798C"/>
    <w:rsid w:val="725956F5"/>
    <w:rsid w:val="726522EC"/>
    <w:rsid w:val="72693B8A"/>
    <w:rsid w:val="727B38BE"/>
    <w:rsid w:val="72800ED4"/>
    <w:rsid w:val="72832A14"/>
    <w:rsid w:val="72897D89"/>
    <w:rsid w:val="72964253"/>
    <w:rsid w:val="72B34E05"/>
    <w:rsid w:val="72C2773E"/>
    <w:rsid w:val="72D479DD"/>
    <w:rsid w:val="72ED47BB"/>
    <w:rsid w:val="72F47221"/>
    <w:rsid w:val="730970C9"/>
    <w:rsid w:val="730E64E0"/>
    <w:rsid w:val="73104006"/>
    <w:rsid w:val="73191C23"/>
    <w:rsid w:val="731F693F"/>
    <w:rsid w:val="732301DD"/>
    <w:rsid w:val="73335F46"/>
    <w:rsid w:val="73552361"/>
    <w:rsid w:val="735E7467"/>
    <w:rsid w:val="736425A4"/>
    <w:rsid w:val="737C78ED"/>
    <w:rsid w:val="738D1AFA"/>
    <w:rsid w:val="73B54BAD"/>
    <w:rsid w:val="73C20452"/>
    <w:rsid w:val="73DC65DE"/>
    <w:rsid w:val="73E13BF4"/>
    <w:rsid w:val="73EB236A"/>
    <w:rsid w:val="73F05BE5"/>
    <w:rsid w:val="73FC0A2E"/>
    <w:rsid w:val="74033B6B"/>
    <w:rsid w:val="740B2A1F"/>
    <w:rsid w:val="741B5358"/>
    <w:rsid w:val="741C5F62"/>
    <w:rsid w:val="74213FF1"/>
    <w:rsid w:val="742F670E"/>
    <w:rsid w:val="74363F40"/>
    <w:rsid w:val="743E2DF5"/>
    <w:rsid w:val="744523D5"/>
    <w:rsid w:val="74582108"/>
    <w:rsid w:val="745919DD"/>
    <w:rsid w:val="745E47BB"/>
    <w:rsid w:val="74624D35"/>
    <w:rsid w:val="747A0791"/>
    <w:rsid w:val="748A7DE8"/>
    <w:rsid w:val="748D1686"/>
    <w:rsid w:val="749B0696"/>
    <w:rsid w:val="74B354BA"/>
    <w:rsid w:val="74B35591"/>
    <w:rsid w:val="74B9247B"/>
    <w:rsid w:val="74BE7A92"/>
    <w:rsid w:val="74C72AC0"/>
    <w:rsid w:val="74C72DEA"/>
    <w:rsid w:val="74CF1C9F"/>
    <w:rsid w:val="74D26F35"/>
    <w:rsid w:val="74D747CF"/>
    <w:rsid w:val="74EB6AD9"/>
    <w:rsid w:val="7501454E"/>
    <w:rsid w:val="75022074"/>
    <w:rsid w:val="7507768A"/>
    <w:rsid w:val="75271ADB"/>
    <w:rsid w:val="752C70F1"/>
    <w:rsid w:val="75377F70"/>
    <w:rsid w:val="75456E71"/>
    <w:rsid w:val="754601B3"/>
    <w:rsid w:val="75644ADD"/>
    <w:rsid w:val="75734D20"/>
    <w:rsid w:val="75834F63"/>
    <w:rsid w:val="75910ACB"/>
    <w:rsid w:val="75932CCC"/>
    <w:rsid w:val="75A424BD"/>
    <w:rsid w:val="75AB270C"/>
    <w:rsid w:val="75AF222C"/>
    <w:rsid w:val="75B01AD0"/>
    <w:rsid w:val="75B25848"/>
    <w:rsid w:val="75B3511C"/>
    <w:rsid w:val="75B96BD7"/>
    <w:rsid w:val="75C17839"/>
    <w:rsid w:val="75CF0F68"/>
    <w:rsid w:val="75E17EDC"/>
    <w:rsid w:val="75FE45EA"/>
    <w:rsid w:val="75FE6CDF"/>
    <w:rsid w:val="76004806"/>
    <w:rsid w:val="761756AB"/>
    <w:rsid w:val="761E4C8C"/>
    <w:rsid w:val="763C65B9"/>
    <w:rsid w:val="76405F09"/>
    <w:rsid w:val="76432944"/>
    <w:rsid w:val="76501751"/>
    <w:rsid w:val="765D3A06"/>
    <w:rsid w:val="767026A5"/>
    <w:rsid w:val="768216BE"/>
    <w:rsid w:val="768D18BA"/>
    <w:rsid w:val="76936315"/>
    <w:rsid w:val="76992564"/>
    <w:rsid w:val="769B62DC"/>
    <w:rsid w:val="769D103D"/>
    <w:rsid w:val="769D3E02"/>
    <w:rsid w:val="76A666D8"/>
    <w:rsid w:val="76B37921"/>
    <w:rsid w:val="76B61368"/>
    <w:rsid w:val="76BD44A5"/>
    <w:rsid w:val="76D33CC8"/>
    <w:rsid w:val="76DD06A3"/>
    <w:rsid w:val="76E84269"/>
    <w:rsid w:val="76E934EC"/>
    <w:rsid w:val="76EE0B02"/>
    <w:rsid w:val="76F459ED"/>
    <w:rsid w:val="770A5210"/>
    <w:rsid w:val="770B16B4"/>
    <w:rsid w:val="771147F0"/>
    <w:rsid w:val="77147E3D"/>
    <w:rsid w:val="77275DC2"/>
    <w:rsid w:val="772C5186"/>
    <w:rsid w:val="772D7C00"/>
    <w:rsid w:val="774249AA"/>
    <w:rsid w:val="77476464"/>
    <w:rsid w:val="774B1AB0"/>
    <w:rsid w:val="776B5CAF"/>
    <w:rsid w:val="77756B2D"/>
    <w:rsid w:val="777D1E86"/>
    <w:rsid w:val="77813724"/>
    <w:rsid w:val="77A80CB1"/>
    <w:rsid w:val="77A92C7B"/>
    <w:rsid w:val="77B07B65"/>
    <w:rsid w:val="77BC0D78"/>
    <w:rsid w:val="77C47AB5"/>
    <w:rsid w:val="77C825B4"/>
    <w:rsid w:val="77CA22DF"/>
    <w:rsid w:val="77CE6E38"/>
    <w:rsid w:val="77E37F3B"/>
    <w:rsid w:val="77F23935"/>
    <w:rsid w:val="77F51A1C"/>
    <w:rsid w:val="77FE6B23"/>
    <w:rsid w:val="77FF53C6"/>
    <w:rsid w:val="782D7408"/>
    <w:rsid w:val="78395DAD"/>
    <w:rsid w:val="78526387"/>
    <w:rsid w:val="785E5813"/>
    <w:rsid w:val="78861347"/>
    <w:rsid w:val="78877B7E"/>
    <w:rsid w:val="788D434B"/>
    <w:rsid w:val="789B0816"/>
    <w:rsid w:val="78AA38D5"/>
    <w:rsid w:val="78AF606F"/>
    <w:rsid w:val="78B024B8"/>
    <w:rsid w:val="78B2790D"/>
    <w:rsid w:val="78C25DA2"/>
    <w:rsid w:val="78C53AE4"/>
    <w:rsid w:val="78C707A1"/>
    <w:rsid w:val="78CC09CF"/>
    <w:rsid w:val="78D12FC9"/>
    <w:rsid w:val="78D85D20"/>
    <w:rsid w:val="78FB7506"/>
    <w:rsid w:val="79050385"/>
    <w:rsid w:val="790C1713"/>
    <w:rsid w:val="79297BCF"/>
    <w:rsid w:val="79433E9C"/>
    <w:rsid w:val="794A5D98"/>
    <w:rsid w:val="794C38BE"/>
    <w:rsid w:val="794E03CD"/>
    <w:rsid w:val="79573D2A"/>
    <w:rsid w:val="79775F44"/>
    <w:rsid w:val="79915775"/>
    <w:rsid w:val="79B25E17"/>
    <w:rsid w:val="79B7642D"/>
    <w:rsid w:val="79C93160"/>
    <w:rsid w:val="79CB5221"/>
    <w:rsid w:val="79CD432C"/>
    <w:rsid w:val="79DD09BA"/>
    <w:rsid w:val="7A020420"/>
    <w:rsid w:val="7A1556BF"/>
    <w:rsid w:val="7A1642FF"/>
    <w:rsid w:val="7A205476"/>
    <w:rsid w:val="7A301431"/>
    <w:rsid w:val="7A320D06"/>
    <w:rsid w:val="7A32139B"/>
    <w:rsid w:val="7A326F58"/>
    <w:rsid w:val="7A3C7878"/>
    <w:rsid w:val="7A4A5B00"/>
    <w:rsid w:val="7A540C7C"/>
    <w:rsid w:val="7A613399"/>
    <w:rsid w:val="7A65732D"/>
    <w:rsid w:val="7A6B4218"/>
    <w:rsid w:val="7A6D1D3E"/>
    <w:rsid w:val="7A8A28F0"/>
    <w:rsid w:val="7A9B68AB"/>
    <w:rsid w:val="7AA53BCD"/>
    <w:rsid w:val="7AA77622"/>
    <w:rsid w:val="7AAD1D53"/>
    <w:rsid w:val="7AC027B5"/>
    <w:rsid w:val="7AC83418"/>
    <w:rsid w:val="7AD16771"/>
    <w:rsid w:val="7AE00762"/>
    <w:rsid w:val="7AE2272C"/>
    <w:rsid w:val="7AEA5A84"/>
    <w:rsid w:val="7AEC7106"/>
    <w:rsid w:val="7AF206A5"/>
    <w:rsid w:val="7AF67F85"/>
    <w:rsid w:val="7AF75AAB"/>
    <w:rsid w:val="7B0348BD"/>
    <w:rsid w:val="7B0C1557"/>
    <w:rsid w:val="7B0C77A9"/>
    <w:rsid w:val="7B113011"/>
    <w:rsid w:val="7B154433"/>
    <w:rsid w:val="7B19177D"/>
    <w:rsid w:val="7B1F14B5"/>
    <w:rsid w:val="7B2A7C2F"/>
    <w:rsid w:val="7B2E771F"/>
    <w:rsid w:val="7B2F16E9"/>
    <w:rsid w:val="7B503B39"/>
    <w:rsid w:val="7B6B0973"/>
    <w:rsid w:val="7B783090"/>
    <w:rsid w:val="7B8437E3"/>
    <w:rsid w:val="7B9B184E"/>
    <w:rsid w:val="7BB5399C"/>
    <w:rsid w:val="7BBA7205"/>
    <w:rsid w:val="7BC40083"/>
    <w:rsid w:val="7BD302C6"/>
    <w:rsid w:val="7BDA78A7"/>
    <w:rsid w:val="7BDC53CD"/>
    <w:rsid w:val="7BDF4EBD"/>
    <w:rsid w:val="7C02295A"/>
    <w:rsid w:val="7C176405"/>
    <w:rsid w:val="7C1A7CA3"/>
    <w:rsid w:val="7C1F52BA"/>
    <w:rsid w:val="7C200750"/>
    <w:rsid w:val="7C280612"/>
    <w:rsid w:val="7C296138"/>
    <w:rsid w:val="7C2C58EE"/>
    <w:rsid w:val="7C3C2310"/>
    <w:rsid w:val="7C3C70F0"/>
    <w:rsid w:val="7C3E7E36"/>
    <w:rsid w:val="7C4A50EE"/>
    <w:rsid w:val="7C4F6029"/>
    <w:rsid w:val="7C52568F"/>
    <w:rsid w:val="7C745605"/>
    <w:rsid w:val="7C7836AA"/>
    <w:rsid w:val="7C815F74"/>
    <w:rsid w:val="7C896BD7"/>
    <w:rsid w:val="7C920181"/>
    <w:rsid w:val="7C9537CE"/>
    <w:rsid w:val="7CA57EB5"/>
    <w:rsid w:val="7CC65D03"/>
    <w:rsid w:val="7CE64029"/>
    <w:rsid w:val="7CF16C56"/>
    <w:rsid w:val="7CF20C20"/>
    <w:rsid w:val="7CF624BE"/>
    <w:rsid w:val="7D1F5685"/>
    <w:rsid w:val="7D380D29"/>
    <w:rsid w:val="7D391A22"/>
    <w:rsid w:val="7D3D00ED"/>
    <w:rsid w:val="7D4F6073"/>
    <w:rsid w:val="7D64670F"/>
    <w:rsid w:val="7D711B45"/>
    <w:rsid w:val="7D717D97"/>
    <w:rsid w:val="7D747887"/>
    <w:rsid w:val="7D785821"/>
    <w:rsid w:val="7D7A2310"/>
    <w:rsid w:val="7D7D2BE0"/>
    <w:rsid w:val="7D7F0706"/>
    <w:rsid w:val="7D817E5A"/>
    <w:rsid w:val="7D8B77CC"/>
    <w:rsid w:val="7D9817C8"/>
    <w:rsid w:val="7D9A5540"/>
    <w:rsid w:val="7DA168CE"/>
    <w:rsid w:val="7DA737B9"/>
    <w:rsid w:val="7DB008BF"/>
    <w:rsid w:val="7DB13680"/>
    <w:rsid w:val="7DB163E5"/>
    <w:rsid w:val="7DB83C18"/>
    <w:rsid w:val="7DC91981"/>
    <w:rsid w:val="7DCA721C"/>
    <w:rsid w:val="7DCC321F"/>
    <w:rsid w:val="7DEB18F7"/>
    <w:rsid w:val="7DED1B13"/>
    <w:rsid w:val="7DEE13E8"/>
    <w:rsid w:val="7DFA5FDE"/>
    <w:rsid w:val="7E066731"/>
    <w:rsid w:val="7E0D5D12"/>
    <w:rsid w:val="7E176B90"/>
    <w:rsid w:val="7E1E3921"/>
    <w:rsid w:val="7E266DD3"/>
    <w:rsid w:val="7E2D1F10"/>
    <w:rsid w:val="7E464D80"/>
    <w:rsid w:val="7E4C610E"/>
    <w:rsid w:val="7E585886"/>
    <w:rsid w:val="7E671069"/>
    <w:rsid w:val="7E6D661C"/>
    <w:rsid w:val="7E837D82"/>
    <w:rsid w:val="7E861620"/>
    <w:rsid w:val="7EA92FCB"/>
    <w:rsid w:val="7EB17841"/>
    <w:rsid w:val="7EB73ECF"/>
    <w:rsid w:val="7EBA751C"/>
    <w:rsid w:val="7EC20525"/>
    <w:rsid w:val="7EC32874"/>
    <w:rsid w:val="7EC81C39"/>
    <w:rsid w:val="7ED92098"/>
    <w:rsid w:val="7EE13E61"/>
    <w:rsid w:val="7EEA25C1"/>
    <w:rsid w:val="7EF649F8"/>
    <w:rsid w:val="7F304459"/>
    <w:rsid w:val="7F460DAF"/>
    <w:rsid w:val="7F5B0CFF"/>
    <w:rsid w:val="7F5D6825"/>
    <w:rsid w:val="7F664D84"/>
    <w:rsid w:val="7F802513"/>
    <w:rsid w:val="7F875650"/>
    <w:rsid w:val="7FA04963"/>
    <w:rsid w:val="7FC56178"/>
    <w:rsid w:val="7FC917F4"/>
    <w:rsid w:val="7FD840FD"/>
    <w:rsid w:val="7FD91220"/>
    <w:rsid w:val="7FE4706B"/>
    <w:rsid w:val="7FE9455C"/>
    <w:rsid w:val="7FEE373E"/>
    <w:rsid w:val="7FF9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64"/>
    <w:autoRedefine/>
    <w:qFormat/>
    <w:uiPriority w:val="0"/>
    <w:pPr>
      <w:outlineLvl w:val="0"/>
    </w:pPr>
  </w:style>
  <w:style w:type="paragraph" w:styleId="5">
    <w:name w:val="heading 2"/>
    <w:basedOn w:val="1"/>
    <w:next w:val="1"/>
    <w:link w:val="88"/>
    <w:autoRedefine/>
    <w:qFormat/>
    <w:uiPriority w:val="9"/>
    <w:pPr>
      <w:outlineLvl w:val="1"/>
    </w:pPr>
  </w:style>
  <w:style w:type="paragraph" w:styleId="6">
    <w:name w:val="heading 3"/>
    <w:basedOn w:val="1"/>
    <w:next w:val="1"/>
    <w:link w:val="65"/>
    <w:qFormat/>
    <w:uiPriority w:val="0"/>
    <w:pPr>
      <w:outlineLvl w:val="2"/>
    </w:pPr>
  </w:style>
  <w:style w:type="paragraph" w:styleId="7">
    <w:name w:val="heading 4"/>
    <w:basedOn w:val="1"/>
    <w:next w:val="1"/>
    <w:link w:val="85"/>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26"/>
    <w:autoRedefine/>
    <w:qFormat/>
    <w:uiPriority w:val="1"/>
    <w:pPr>
      <w:ind w:right="-26"/>
      <w:jc w:val="center"/>
    </w:pPr>
    <w:rPr>
      <w:rFonts w:hAnsiTheme="minorHAnsi" w:cstheme="minorBidi"/>
      <w:b/>
      <w:bCs/>
      <w:kern w:val="2"/>
      <w:sz w:val="84"/>
      <w:szCs w:val="84"/>
      <w:lang w:val="zh-CN"/>
    </w:rPr>
  </w:style>
  <w:style w:type="paragraph" w:styleId="3">
    <w:name w:val="Body Text First Indent"/>
    <w:basedOn w:val="2"/>
    <w:link w:val="129"/>
    <w:autoRedefine/>
    <w:unhideWhenUsed/>
    <w:qFormat/>
    <w:uiPriority w:val="99"/>
    <w:pPr>
      <w:ind w:firstLine="420" w:firstLineChars="100"/>
    </w:pPr>
  </w:style>
  <w:style w:type="paragraph" w:styleId="8">
    <w:name w:val="toc 7"/>
    <w:basedOn w:val="1"/>
    <w:next w:val="1"/>
    <w:autoRedefine/>
    <w:unhideWhenUsed/>
    <w:qFormat/>
    <w:uiPriority w:val="39"/>
    <w:pPr>
      <w:ind w:left="1440"/>
    </w:pPr>
    <w:rPr>
      <w:rFonts w:ascii="Calibri" w:hAnsi="Calibri" w:cs="Calibri"/>
      <w:sz w:val="18"/>
      <w:szCs w:val="18"/>
    </w:rPr>
  </w:style>
  <w:style w:type="paragraph" w:styleId="9">
    <w:name w:val="Normal Indent"/>
    <w:basedOn w:val="1"/>
    <w:autoRedefine/>
    <w:qFormat/>
    <w:uiPriority w:val="0"/>
    <w:pPr>
      <w:widowControl/>
      <w:autoSpaceDE/>
      <w:autoSpaceDN/>
      <w:adjustRightInd/>
      <w:ind w:firstLine="420" w:firstLineChars="200"/>
    </w:pPr>
    <w:rPr>
      <w:rFonts w:ascii="Times New Roman"/>
      <w:sz w:val="20"/>
      <w:szCs w:val="20"/>
    </w:rPr>
  </w:style>
  <w:style w:type="paragraph" w:styleId="10">
    <w:name w:val="caption"/>
    <w:basedOn w:val="1"/>
    <w:next w:val="1"/>
    <w:autoRedefine/>
    <w:qFormat/>
    <w:uiPriority w:val="35"/>
    <w:pPr>
      <w:spacing w:before="152" w:after="160"/>
    </w:pPr>
    <w:rPr>
      <w:rFonts w:ascii="Arial" w:hAnsi="Arial" w:eastAsia="黑体" w:cs="Arial"/>
      <w:sz w:val="20"/>
      <w:szCs w:val="20"/>
    </w:rPr>
  </w:style>
  <w:style w:type="paragraph" w:styleId="11">
    <w:name w:val="Document Map"/>
    <w:basedOn w:val="1"/>
    <w:link w:val="127"/>
    <w:autoRedefine/>
    <w:semiHidden/>
    <w:qFormat/>
    <w:uiPriority w:val="0"/>
    <w:pPr>
      <w:shd w:val="clear" w:color="auto" w:fill="000080"/>
    </w:pPr>
  </w:style>
  <w:style w:type="paragraph" w:styleId="12">
    <w:name w:val="toa heading"/>
    <w:basedOn w:val="1"/>
    <w:next w:val="1"/>
    <w:autoRedefine/>
    <w:qFormat/>
    <w:uiPriority w:val="0"/>
    <w:pPr>
      <w:snapToGrid w:val="0"/>
      <w:spacing w:before="120" w:line="360" w:lineRule="auto"/>
      <w:jc w:val="both"/>
    </w:pPr>
    <w:rPr>
      <w:rFonts w:ascii="Arial" w:hAnsi="Arial"/>
      <w:snapToGrid w:val="0"/>
      <w:color w:val="000000"/>
      <w:sz w:val="21"/>
      <w:szCs w:val="20"/>
    </w:rPr>
  </w:style>
  <w:style w:type="paragraph" w:styleId="13">
    <w:name w:val="annotation text"/>
    <w:basedOn w:val="1"/>
    <w:link w:val="121"/>
    <w:autoRedefine/>
    <w:unhideWhenUsed/>
    <w:qFormat/>
    <w:uiPriority w:val="0"/>
  </w:style>
  <w:style w:type="paragraph" w:styleId="14">
    <w:name w:val="Body Text 3"/>
    <w:basedOn w:val="1"/>
    <w:link w:val="125"/>
    <w:autoRedefine/>
    <w:qFormat/>
    <w:uiPriority w:val="0"/>
    <w:pPr>
      <w:ind w:right="-26"/>
      <w:jc w:val="center"/>
    </w:pPr>
    <w:rPr>
      <w:b/>
      <w:bCs/>
      <w:color w:val="3366FF"/>
      <w:kern w:val="2"/>
      <w:sz w:val="52"/>
      <w:szCs w:val="52"/>
      <w:lang w:val="zh-CN"/>
    </w:rPr>
  </w:style>
  <w:style w:type="paragraph" w:styleId="15">
    <w:name w:val="Body Text Indent"/>
    <w:basedOn w:val="1"/>
    <w:link w:val="132"/>
    <w:autoRedefine/>
    <w:qFormat/>
    <w:uiPriority w:val="99"/>
    <w:pPr>
      <w:autoSpaceDE/>
      <w:autoSpaceDN/>
      <w:adjustRightInd/>
      <w:ind w:left="567" w:leftChars="270"/>
      <w:jc w:val="both"/>
    </w:pPr>
    <w:rPr>
      <w:rFonts w:ascii="Times New Roman"/>
      <w:kern w:val="2"/>
      <w:sz w:val="21"/>
      <w:szCs w:val="20"/>
    </w:rPr>
  </w:style>
  <w:style w:type="paragraph" w:styleId="16">
    <w:name w:val="toc 5"/>
    <w:basedOn w:val="1"/>
    <w:next w:val="1"/>
    <w:autoRedefine/>
    <w:unhideWhenUsed/>
    <w:qFormat/>
    <w:uiPriority w:val="39"/>
    <w:pPr>
      <w:ind w:left="960"/>
    </w:pPr>
    <w:rPr>
      <w:rFonts w:ascii="Calibri" w:hAnsi="Calibri" w:cs="Calibri"/>
      <w:sz w:val="18"/>
      <w:szCs w:val="18"/>
    </w:rPr>
  </w:style>
  <w:style w:type="paragraph" w:styleId="17">
    <w:name w:val="toc 3"/>
    <w:basedOn w:val="1"/>
    <w:next w:val="1"/>
    <w:autoRedefine/>
    <w:qFormat/>
    <w:uiPriority w:val="39"/>
    <w:pPr>
      <w:ind w:left="480"/>
    </w:pPr>
    <w:rPr>
      <w:rFonts w:ascii="Calibri" w:hAnsi="Calibri" w:cs="Calibri"/>
      <w:i/>
      <w:iCs/>
      <w:sz w:val="20"/>
      <w:szCs w:val="20"/>
    </w:rPr>
  </w:style>
  <w:style w:type="paragraph" w:styleId="18">
    <w:name w:val="Plain Text"/>
    <w:basedOn w:val="1"/>
    <w:link w:val="131"/>
    <w:autoRedefine/>
    <w:qFormat/>
    <w:uiPriority w:val="0"/>
    <w:pPr>
      <w:autoSpaceDE/>
      <w:autoSpaceDN/>
      <w:adjustRightInd/>
      <w:jc w:val="both"/>
    </w:pPr>
    <w:rPr>
      <w:rFonts w:hAnsi="Courier New" w:cstheme="minorBidi"/>
      <w:kern w:val="2"/>
      <w:sz w:val="21"/>
      <w:szCs w:val="22"/>
    </w:rPr>
  </w:style>
  <w:style w:type="paragraph" w:styleId="19">
    <w:name w:val="toc 8"/>
    <w:basedOn w:val="1"/>
    <w:next w:val="1"/>
    <w:autoRedefine/>
    <w:unhideWhenUsed/>
    <w:qFormat/>
    <w:uiPriority w:val="39"/>
    <w:pPr>
      <w:ind w:left="1680"/>
    </w:pPr>
    <w:rPr>
      <w:rFonts w:ascii="Calibri" w:hAnsi="Calibri" w:cs="Calibri"/>
      <w:sz w:val="18"/>
      <w:szCs w:val="18"/>
    </w:rPr>
  </w:style>
  <w:style w:type="paragraph" w:styleId="20">
    <w:name w:val="Date"/>
    <w:basedOn w:val="1"/>
    <w:next w:val="1"/>
    <w:link w:val="134"/>
    <w:autoRedefine/>
    <w:qFormat/>
    <w:uiPriority w:val="0"/>
    <w:pPr>
      <w:ind w:left="100" w:leftChars="2500"/>
    </w:pPr>
    <w:rPr>
      <w:b/>
      <w:bCs/>
      <w:kern w:val="2"/>
      <w:sz w:val="21"/>
      <w:szCs w:val="21"/>
      <w:lang w:val="zh-CN"/>
    </w:rPr>
  </w:style>
  <w:style w:type="paragraph" w:styleId="21">
    <w:name w:val="Body Text Indent 2"/>
    <w:basedOn w:val="1"/>
    <w:link w:val="128"/>
    <w:autoRedefine/>
    <w:qFormat/>
    <w:uiPriority w:val="0"/>
    <w:pPr>
      <w:tabs>
        <w:tab w:val="left" w:pos="8640"/>
      </w:tabs>
      <w:autoSpaceDE/>
      <w:autoSpaceDN/>
      <w:adjustRightInd/>
      <w:ind w:left="1260"/>
      <w:jc w:val="both"/>
    </w:pPr>
    <w:rPr>
      <w:kern w:val="2"/>
      <w:sz w:val="21"/>
      <w:szCs w:val="20"/>
    </w:rPr>
  </w:style>
  <w:style w:type="paragraph" w:styleId="22">
    <w:name w:val="Balloon Text"/>
    <w:basedOn w:val="1"/>
    <w:link w:val="135"/>
    <w:autoRedefine/>
    <w:semiHidden/>
    <w:qFormat/>
    <w:uiPriority w:val="99"/>
    <w:pPr>
      <w:autoSpaceDE/>
      <w:autoSpaceDN/>
      <w:adjustRightInd/>
      <w:jc w:val="both"/>
    </w:pPr>
    <w:rPr>
      <w:rFonts w:ascii="Times New Roman"/>
      <w:kern w:val="2"/>
      <w:sz w:val="18"/>
      <w:szCs w:val="18"/>
    </w:rPr>
  </w:style>
  <w:style w:type="paragraph" w:styleId="23">
    <w:name w:val="footer"/>
    <w:basedOn w:val="1"/>
    <w:link w:val="54"/>
    <w:autoRedefine/>
    <w:unhideWhenUsed/>
    <w:qFormat/>
    <w:uiPriority w:val="99"/>
    <w:pPr>
      <w:tabs>
        <w:tab w:val="center" w:pos="4153"/>
        <w:tab w:val="right" w:pos="8306"/>
      </w:tabs>
      <w:snapToGrid w:val="0"/>
    </w:pPr>
    <w:rPr>
      <w:sz w:val="18"/>
      <w:szCs w:val="18"/>
    </w:rPr>
  </w:style>
  <w:style w:type="paragraph" w:styleId="24">
    <w:name w:val="header"/>
    <w:basedOn w:val="1"/>
    <w:link w:val="5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pPr>
    <w:rPr>
      <w:rFonts w:ascii="Calibri" w:hAnsi="Calibri" w:cs="Calibri"/>
      <w:b/>
      <w:bCs/>
      <w:caps/>
      <w:sz w:val="20"/>
      <w:szCs w:val="20"/>
    </w:rPr>
  </w:style>
  <w:style w:type="paragraph" w:styleId="26">
    <w:name w:val="toc 4"/>
    <w:basedOn w:val="1"/>
    <w:next w:val="1"/>
    <w:autoRedefine/>
    <w:unhideWhenUsed/>
    <w:qFormat/>
    <w:uiPriority w:val="39"/>
    <w:pPr>
      <w:ind w:left="720"/>
    </w:pPr>
    <w:rPr>
      <w:rFonts w:ascii="Calibri" w:hAnsi="Calibri" w:cs="Calibri"/>
      <w:sz w:val="18"/>
      <w:szCs w:val="18"/>
    </w:rPr>
  </w:style>
  <w:style w:type="paragraph" w:styleId="27">
    <w:name w:val="List"/>
    <w:basedOn w:val="1"/>
    <w:autoRedefine/>
    <w:unhideWhenUsed/>
    <w:qFormat/>
    <w:uiPriority w:val="0"/>
    <w:pPr>
      <w:ind w:left="200" w:hanging="200" w:hangingChars="200"/>
      <w:contextualSpacing/>
    </w:pPr>
  </w:style>
  <w:style w:type="paragraph" w:styleId="28">
    <w:name w:val="toc 6"/>
    <w:basedOn w:val="1"/>
    <w:next w:val="1"/>
    <w:autoRedefine/>
    <w:unhideWhenUsed/>
    <w:qFormat/>
    <w:uiPriority w:val="39"/>
    <w:pPr>
      <w:ind w:left="1200"/>
    </w:pPr>
    <w:rPr>
      <w:rFonts w:ascii="Calibri" w:hAnsi="Calibri" w:cs="Calibri"/>
      <w:sz w:val="18"/>
      <w:szCs w:val="18"/>
    </w:rPr>
  </w:style>
  <w:style w:type="paragraph" w:styleId="29">
    <w:name w:val="Body Text Indent 3"/>
    <w:basedOn w:val="1"/>
    <w:link w:val="130"/>
    <w:autoRedefine/>
    <w:qFormat/>
    <w:uiPriority w:val="0"/>
    <w:pPr>
      <w:spacing w:line="360" w:lineRule="auto"/>
      <w:ind w:firstLine="480" w:firstLineChars="200"/>
    </w:pPr>
  </w:style>
  <w:style w:type="paragraph" w:styleId="30">
    <w:name w:val="toc 2"/>
    <w:basedOn w:val="1"/>
    <w:next w:val="1"/>
    <w:autoRedefine/>
    <w:unhideWhenUsed/>
    <w:qFormat/>
    <w:uiPriority w:val="39"/>
    <w:pPr>
      <w:ind w:left="240"/>
    </w:pPr>
    <w:rPr>
      <w:rFonts w:ascii="Calibri" w:hAnsi="Calibri" w:cs="Calibri"/>
      <w:smallCaps/>
      <w:sz w:val="20"/>
      <w:szCs w:val="20"/>
    </w:rPr>
  </w:style>
  <w:style w:type="paragraph" w:styleId="31">
    <w:name w:val="toc 9"/>
    <w:basedOn w:val="1"/>
    <w:next w:val="1"/>
    <w:autoRedefine/>
    <w:unhideWhenUsed/>
    <w:qFormat/>
    <w:uiPriority w:val="39"/>
    <w:pPr>
      <w:ind w:left="1920"/>
    </w:pPr>
    <w:rPr>
      <w:rFonts w:ascii="Calibri" w:hAnsi="Calibri" w:cs="Calibri"/>
      <w:sz w:val="18"/>
      <w:szCs w:val="18"/>
    </w:rPr>
  </w:style>
  <w:style w:type="paragraph" w:styleId="32">
    <w:name w:val="Body Text 2"/>
    <w:basedOn w:val="1"/>
    <w:link w:val="133"/>
    <w:autoRedefine/>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33">
    <w:name w:val="HTML Preformatted"/>
    <w:basedOn w:val="1"/>
    <w:link w:val="12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cs="Arial"/>
      <w:kern w:val="2"/>
      <w:sz w:val="21"/>
      <w:szCs w:val="21"/>
    </w:rPr>
  </w:style>
  <w:style w:type="paragraph" w:styleId="34">
    <w:name w:val="Normal (Web)"/>
    <w:basedOn w:val="1"/>
    <w:link w:val="67"/>
    <w:autoRedefine/>
    <w:qFormat/>
    <w:uiPriority w:val="99"/>
    <w:pPr>
      <w:widowControl/>
      <w:autoSpaceDE/>
      <w:autoSpaceDN/>
      <w:adjustRightInd/>
      <w:spacing w:before="100" w:beforeAutospacing="1" w:after="100" w:afterAutospacing="1"/>
    </w:pPr>
    <w:rPr>
      <w:rFonts w:hAnsi="宋体" w:eastAsiaTheme="minorEastAsia" w:cstheme="minorBidi"/>
      <w:kern w:val="2"/>
      <w:sz w:val="15"/>
      <w:szCs w:val="15"/>
    </w:rPr>
  </w:style>
  <w:style w:type="paragraph" w:styleId="35">
    <w:name w:val="Title"/>
    <w:basedOn w:val="1"/>
    <w:next w:val="1"/>
    <w:link w:val="123"/>
    <w:autoRedefine/>
    <w:qFormat/>
    <w:uiPriority w:val="10"/>
    <w:pPr>
      <w:spacing w:before="240" w:after="60"/>
      <w:jc w:val="center"/>
      <w:outlineLvl w:val="0"/>
    </w:pPr>
    <w:rPr>
      <w:rFonts w:ascii="Cambria" w:hAnsi="Cambria" w:eastAsiaTheme="minorEastAsia" w:cstheme="minorBidi"/>
      <w:b/>
      <w:bCs/>
      <w:kern w:val="2"/>
      <w:sz w:val="32"/>
      <w:szCs w:val="32"/>
    </w:rPr>
  </w:style>
  <w:style w:type="paragraph" w:styleId="36">
    <w:name w:val="annotation subject"/>
    <w:basedOn w:val="13"/>
    <w:next w:val="13"/>
    <w:link w:val="122"/>
    <w:autoRedefine/>
    <w:semiHidden/>
    <w:qFormat/>
    <w:uiPriority w:val="99"/>
    <w:rPr>
      <w:b/>
      <w:bCs/>
    </w:rPr>
  </w:style>
  <w:style w:type="table" w:styleId="38">
    <w:name w:val="Table Grid"/>
    <w:basedOn w:val="37"/>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99"/>
    <w:rPr>
      <w:color w:val="800080" w:themeColor="followedHyperlink"/>
      <w:u w:val="single"/>
      <w14:textFill>
        <w14:solidFill>
          <w14:schemeClr w14:val="folHlink"/>
        </w14:solidFill>
      </w14:textFill>
    </w:rPr>
  </w:style>
  <w:style w:type="character" w:styleId="43">
    <w:name w:val="Emphasis"/>
    <w:autoRedefine/>
    <w:qFormat/>
    <w:uiPriority w:val="20"/>
    <w:rPr>
      <w:i/>
      <w:iCs/>
    </w:rPr>
  </w:style>
  <w:style w:type="character" w:styleId="44">
    <w:name w:val="HTML Definition"/>
    <w:autoRedefine/>
    <w:unhideWhenUsed/>
    <w:qFormat/>
    <w:uiPriority w:val="99"/>
  </w:style>
  <w:style w:type="character" w:styleId="45">
    <w:name w:val="HTML Variable"/>
    <w:autoRedefine/>
    <w:unhideWhenUsed/>
    <w:qFormat/>
    <w:uiPriority w:val="99"/>
  </w:style>
  <w:style w:type="character" w:styleId="46">
    <w:name w:val="Hyperlink"/>
    <w:autoRedefine/>
    <w:qFormat/>
    <w:uiPriority w:val="99"/>
    <w:rPr>
      <w:rFonts w:hint="default" w:ascii="Arial" w:hAnsi="Arial" w:cs="Arial"/>
      <w:color w:val="000000"/>
      <w:sz w:val="20"/>
      <w:szCs w:val="20"/>
      <w:u w:val="none"/>
    </w:rPr>
  </w:style>
  <w:style w:type="character" w:styleId="47">
    <w:name w:val="HTML Code"/>
    <w:autoRedefine/>
    <w:unhideWhenUsed/>
    <w:qFormat/>
    <w:uiPriority w:val="99"/>
    <w:rPr>
      <w:rFonts w:hint="default" w:ascii="monospace" w:hAnsi="monospace" w:eastAsia="monospace" w:cs="monospace"/>
      <w:sz w:val="21"/>
      <w:szCs w:val="21"/>
    </w:rPr>
  </w:style>
  <w:style w:type="character" w:styleId="48">
    <w:name w:val="annotation reference"/>
    <w:basedOn w:val="39"/>
    <w:autoRedefine/>
    <w:qFormat/>
    <w:uiPriority w:val="99"/>
    <w:rPr>
      <w:sz w:val="21"/>
      <w:szCs w:val="21"/>
    </w:rPr>
  </w:style>
  <w:style w:type="character" w:styleId="49">
    <w:name w:val="HTML Cite"/>
    <w:autoRedefine/>
    <w:unhideWhenUsed/>
    <w:qFormat/>
    <w:uiPriority w:val="99"/>
  </w:style>
  <w:style w:type="character" w:styleId="50">
    <w:name w:val="HTML Keyboard"/>
    <w:autoRedefine/>
    <w:unhideWhenUsed/>
    <w:qFormat/>
    <w:uiPriority w:val="99"/>
    <w:rPr>
      <w:rFonts w:ascii="monospace" w:hAnsi="monospace" w:eastAsia="monospace" w:cs="monospace"/>
      <w:sz w:val="21"/>
      <w:szCs w:val="21"/>
    </w:rPr>
  </w:style>
  <w:style w:type="character" w:styleId="51">
    <w:name w:val="HTML Sample"/>
    <w:autoRedefine/>
    <w:unhideWhenUsed/>
    <w:qFormat/>
    <w:uiPriority w:val="99"/>
    <w:rPr>
      <w:rFonts w:hint="default" w:ascii="monospace" w:hAnsi="monospace" w:eastAsia="monospace" w:cs="monospace"/>
      <w:sz w:val="21"/>
      <w:szCs w:val="21"/>
    </w:rPr>
  </w:style>
  <w:style w:type="paragraph" w:customStyle="1" w:styleId="52">
    <w:name w:val="文档正文"/>
    <w:basedOn w:val="1"/>
    <w:autoRedefine/>
    <w:qFormat/>
    <w:uiPriority w:val="0"/>
    <w:pPr>
      <w:spacing w:line="360" w:lineRule="auto"/>
    </w:pPr>
    <w:rPr>
      <w:rFonts w:cs="Arial"/>
      <w:bCs/>
    </w:rPr>
  </w:style>
  <w:style w:type="character" w:customStyle="1" w:styleId="53">
    <w:name w:val="页眉 字符1"/>
    <w:basedOn w:val="39"/>
    <w:link w:val="24"/>
    <w:autoRedefine/>
    <w:qFormat/>
    <w:uiPriority w:val="99"/>
    <w:rPr>
      <w:sz w:val="18"/>
      <w:szCs w:val="18"/>
    </w:rPr>
  </w:style>
  <w:style w:type="character" w:customStyle="1" w:styleId="54">
    <w:name w:val="页脚 字符1"/>
    <w:basedOn w:val="39"/>
    <w:link w:val="23"/>
    <w:autoRedefine/>
    <w:qFormat/>
    <w:uiPriority w:val="99"/>
    <w:rPr>
      <w:sz w:val="18"/>
      <w:szCs w:val="18"/>
    </w:rPr>
  </w:style>
  <w:style w:type="character" w:customStyle="1" w:styleId="55">
    <w:name w:val="标题 1 Char"/>
    <w:basedOn w:val="39"/>
    <w:autoRedefine/>
    <w:qFormat/>
    <w:uiPriority w:val="9"/>
    <w:rPr>
      <w:rFonts w:ascii="宋体" w:hAnsi="Times New Roman" w:eastAsia="宋体" w:cs="Times New Roman"/>
      <w:b/>
      <w:bCs/>
      <w:kern w:val="44"/>
      <w:sz w:val="44"/>
      <w:szCs w:val="44"/>
    </w:rPr>
  </w:style>
  <w:style w:type="character" w:customStyle="1" w:styleId="56">
    <w:name w:val="标题 2 Char"/>
    <w:basedOn w:val="39"/>
    <w:autoRedefine/>
    <w:qFormat/>
    <w:uiPriority w:val="9"/>
    <w:rPr>
      <w:rFonts w:asciiTheme="majorHAnsi" w:hAnsiTheme="majorHAnsi" w:eastAsiaTheme="majorEastAsia" w:cstheme="majorBidi"/>
      <w:b/>
      <w:bCs/>
      <w:kern w:val="0"/>
      <w:sz w:val="32"/>
      <w:szCs w:val="32"/>
    </w:rPr>
  </w:style>
  <w:style w:type="character" w:customStyle="1" w:styleId="57">
    <w:name w:val="标题 3 Char"/>
    <w:basedOn w:val="39"/>
    <w:autoRedefine/>
    <w:semiHidden/>
    <w:qFormat/>
    <w:uiPriority w:val="9"/>
    <w:rPr>
      <w:rFonts w:ascii="宋体" w:hAnsi="Times New Roman" w:eastAsia="宋体" w:cs="Times New Roman"/>
      <w:b/>
      <w:bCs/>
      <w:kern w:val="0"/>
      <w:sz w:val="32"/>
      <w:szCs w:val="32"/>
    </w:rPr>
  </w:style>
  <w:style w:type="character" w:customStyle="1" w:styleId="58">
    <w:name w:val="标题 4 Char"/>
    <w:basedOn w:val="39"/>
    <w:autoRedefine/>
    <w:semiHidden/>
    <w:qFormat/>
    <w:uiPriority w:val="9"/>
    <w:rPr>
      <w:rFonts w:asciiTheme="majorHAnsi" w:hAnsiTheme="majorHAnsi" w:eastAsiaTheme="majorEastAsia" w:cstheme="majorBidi"/>
      <w:b/>
      <w:bCs/>
      <w:kern w:val="0"/>
      <w:sz w:val="28"/>
      <w:szCs w:val="28"/>
    </w:rPr>
  </w:style>
  <w:style w:type="paragraph" w:customStyle="1" w:styleId="59">
    <w:name w:val="_Style 17"/>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60">
    <w:name w:val="正文文本 2 Char1"/>
    <w:autoRedefine/>
    <w:qFormat/>
    <w:uiPriority w:val="0"/>
    <w:rPr>
      <w:rFonts w:ascii="Arial" w:hAnsi="Arial" w:eastAsia="宋体" w:cs="Times New Roman"/>
      <w:color w:val="000000"/>
      <w:szCs w:val="24"/>
    </w:rPr>
  </w:style>
  <w:style w:type="character" w:customStyle="1" w:styleId="61">
    <w:name w:val="纯文本 Char2"/>
    <w:autoRedefine/>
    <w:qFormat/>
    <w:uiPriority w:val="0"/>
    <w:rPr>
      <w:rFonts w:ascii="宋体" w:hAnsi="Courier New" w:eastAsia="宋体"/>
    </w:rPr>
  </w:style>
  <w:style w:type="character" w:customStyle="1" w:styleId="62">
    <w:name w:val="正文文本 3 Char1"/>
    <w:autoRedefine/>
    <w:qFormat/>
    <w:uiPriority w:val="0"/>
    <w:rPr>
      <w:rFonts w:ascii="宋体" w:hAnsi="Times New Roman" w:eastAsia="宋体" w:cs="Times New Roman"/>
      <w:b/>
      <w:bCs/>
      <w:color w:val="3366FF"/>
      <w:sz w:val="52"/>
      <w:szCs w:val="52"/>
      <w:lang w:val="zh-CN"/>
    </w:rPr>
  </w:style>
  <w:style w:type="character" w:customStyle="1" w:styleId="63">
    <w:name w:val="style61"/>
    <w:autoRedefine/>
    <w:qFormat/>
    <w:uiPriority w:val="0"/>
    <w:rPr>
      <w:b/>
      <w:bCs/>
    </w:rPr>
  </w:style>
  <w:style w:type="character" w:customStyle="1" w:styleId="64">
    <w:name w:val="标题 1 字符"/>
    <w:link w:val="4"/>
    <w:autoRedefine/>
    <w:qFormat/>
    <w:uiPriority w:val="0"/>
    <w:rPr>
      <w:rFonts w:ascii="宋体" w:hAnsi="Times New Roman" w:eastAsia="宋体" w:cs="Times New Roman"/>
      <w:kern w:val="0"/>
      <w:sz w:val="24"/>
      <w:szCs w:val="24"/>
    </w:rPr>
  </w:style>
  <w:style w:type="character" w:customStyle="1" w:styleId="65">
    <w:name w:val="标题 3 字符"/>
    <w:link w:val="6"/>
    <w:autoRedefine/>
    <w:qFormat/>
    <w:uiPriority w:val="0"/>
    <w:rPr>
      <w:rFonts w:ascii="宋体" w:hAnsi="Times New Roman" w:eastAsia="宋体" w:cs="Times New Roman"/>
      <w:kern w:val="0"/>
      <w:sz w:val="24"/>
      <w:szCs w:val="24"/>
    </w:rPr>
  </w:style>
  <w:style w:type="character" w:customStyle="1" w:styleId="66">
    <w:name w:val="正文文本 Char1"/>
    <w:autoRedefine/>
    <w:semiHidden/>
    <w:qFormat/>
    <w:uiPriority w:val="99"/>
    <w:rPr>
      <w:rFonts w:ascii="宋体" w:hAnsi="Times New Roman" w:eastAsia="宋体" w:cs="Times New Roman"/>
      <w:kern w:val="0"/>
      <w:sz w:val="24"/>
      <w:szCs w:val="24"/>
    </w:rPr>
  </w:style>
  <w:style w:type="character" w:customStyle="1" w:styleId="67">
    <w:name w:val="普通(网站) 字符"/>
    <w:link w:val="34"/>
    <w:autoRedefine/>
    <w:qFormat/>
    <w:locked/>
    <w:uiPriority w:val="99"/>
    <w:rPr>
      <w:rFonts w:ascii="宋体" w:hAnsi="宋体"/>
      <w:sz w:val="15"/>
      <w:szCs w:val="15"/>
    </w:rPr>
  </w:style>
  <w:style w:type="character" w:customStyle="1" w:styleId="68">
    <w:name w:val="正文文本缩进 Char"/>
    <w:autoRedefine/>
    <w:qFormat/>
    <w:uiPriority w:val="0"/>
  </w:style>
  <w:style w:type="character" w:customStyle="1" w:styleId="69">
    <w:name w:val="neir1"/>
    <w:autoRedefine/>
    <w:qFormat/>
    <w:uiPriority w:val="0"/>
    <w:rPr>
      <w:rFonts w:hint="default" w:ascii="ˎ̥" w:hAnsi="ˎ̥"/>
      <w:color w:val="333333"/>
      <w:sz w:val="21"/>
      <w:szCs w:val="21"/>
      <w:u w:val="none"/>
    </w:rPr>
  </w:style>
  <w:style w:type="character" w:customStyle="1" w:styleId="70">
    <w:name w:val="正文文本 Char2"/>
    <w:autoRedefine/>
    <w:qFormat/>
    <w:uiPriority w:val="1"/>
    <w:rPr>
      <w:rFonts w:ascii="宋体" w:eastAsia="宋体"/>
      <w:b/>
      <w:bCs/>
      <w:sz w:val="84"/>
      <w:szCs w:val="84"/>
      <w:lang w:val="zh-CN"/>
    </w:rPr>
  </w:style>
  <w:style w:type="character" w:customStyle="1" w:styleId="71">
    <w:name w:val="font61"/>
    <w:autoRedefine/>
    <w:qFormat/>
    <w:uiPriority w:val="0"/>
    <w:rPr>
      <w:rFonts w:hint="eastAsia" w:ascii="宋体" w:hAnsi="宋体" w:eastAsia="宋体" w:cs="宋体"/>
      <w:color w:val="000000"/>
      <w:sz w:val="21"/>
      <w:szCs w:val="21"/>
      <w:u w:val="none"/>
    </w:rPr>
  </w:style>
  <w:style w:type="character" w:customStyle="1" w:styleId="72">
    <w:name w:val="font71"/>
    <w:autoRedefine/>
    <w:qFormat/>
    <w:uiPriority w:val="0"/>
    <w:rPr>
      <w:rFonts w:hint="eastAsia" w:ascii="宋体" w:hAnsi="宋体" w:eastAsia="宋体" w:cs="宋体"/>
      <w:color w:val="000000"/>
      <w:sz w:val="20"/>
      <w:szCs w:val="20"/>
      <w:u w:val="none"/>
    </w:rPr>
  </w:style>
  <w:style w:type="character" w:customStyle="1" w:styleId="73">
    <w:name w:val="img9"/>
    <w:basedOn w:val="39"/>
    <w:autoRedefine/>
    <w:qFormat/>
    <w:uiPriority w:val="0"/>
  </w:style>
  <w:style w:type="character" w:customStyle="1" w:styleId="74">
    <w:name w:val="List Paragraph Char"/>
    <w:link w:val="75"/>
    <w:autoRedefine/>
    <w:qFormat/>
    <w:locked/>
    <w:uiPriority w:val="34"/>
    <w:rPr>
      <w:rFonts w:ascii="Calibri" w:hAnsi="Calibri"/>
    </w:rPr>
  </w:style>
  <w:style w:type="paragraph" w:customStyle="1" w:styleId="75">
    <w:name w:val="列出段落1"/>
    <w:basedOn w:val="1"/>
    <w:link w:val="74"/>
    <w:autoRedefine/>
    <w:qFormat/>
    <w:uiPriority w:val="34"/>
    <w:pPr>
      <w:autoSpaceDE/>
      <w:autoSpaceDN/>
      <w:adjustRightInd/>
      <w:ind w:firstLine="420" w:firstLineChars="200"/>
      <w:jc w:val="both"/>
    </w:pPr>
    <w:rPr>
      <w:rFonts w:ascii="Calibri" w:hAnsi="Calibri" w:eastAsiaTheme="minorEastAsia" w:cstheme="minorBidi"/>
      <w:kern w:val="2"/>
      <w:sz w:val="21"/>
      <w:szCs w:val="22"/>
    </w:rPr>
  </w:style>
  <w:style w:type="character" w:customStyle="1" w:styleId="76">
    <w:name w:val="批注文字 字符"/>
    <w:autoRedefine/>
    <w:qFormat/>
    <w:uiPriority w:val="0"/>
    <w:rPr>
      <w:rFonts w:ascii="宋体" w:hAnsi="Times New Roman" w:eastAsia="宋体" w:cs="Times New Roman"/>
      <w:kern w:val="0"/>
      <w:sz w:val="24"/>
      <w:szCs w:val="24"/>
    </w:rPr>
  </w:style>
  <w:style w:type="character" w:customStyle="1" w:styleId="77">
    <w:name w:val="批注文字 Char3"/>
    <w:autoRedefine/>
    <w:qFormat/>
    <w:uiPriority w:val="0"/>
    <w:rPr>
      <w:rFonts w:ascii="宋体" w:hAnsi="Times New Roman" w:eastAsia="宋体" w:cs="Times New Roman"/>
      <w:kern w:val="0"/>
      <w:sz w:val="24"/>
      <w:szCs w:val="24"/>
      <w:lang w:val="en-US" w:eastAsia="zh-CN"/>
    </w:rPr>
  </w:style>
  <w:style w:type="character" w:customStyle="1" w:styleId="78">
    <w:name w:val="普通(网站) 字符1"/>
    <w:autoRedefine/>
    <w:qFormat/>
    <w:locked/>
    <w:uiPriority w:val="0"/>
    <w:rPr>
      <w:rFonts w:ascii="宋体" w:hAnsi="宋体"/>
      <w:sz w:val="15"/>
      <w:szCs w:val="15"/>
    </w:rPr>
  </w:style>
  <w:style w:type="character" w:customStyle="1" w:styleId="79">
    <w:name w:val="页眉 字符"/>
    <w:autoRedefine/>
    <w:qFormat/>
    <w:uiPriority w:val="99"/>
    <w:rPr>
      <w:rFonts w:ascii="宋体" w:eastAsia="宋体"/>
      <w:sz w:val="18"/>
      <w:szCs w:val="18"/>
    </w:rPr>
  </w:style>
  <w:style w:type="character" w:customStyle="1" w:styleId="80">
    <w:name w:val="DAS正文 Char"/>
    <w:autoRedefine/>
    <w:qFormat/>
    <w:uiPriority w:val="0"/>
    <w:rPr>
      <w:rFonts w:ascii="Verdana" w:hAnsi="Verdana" w:eastAsia="宋体"/>
      <w:kern w:val="2"/>
      <w:sz w:val="21"/>
      <w:szCs w:val="21"/>
      <w:lang w:val="en-US" w:eastAsia="zh-CN" w:bidi="ar-SA"/>
    </w:rPr>
  </w:style>
  <w:style w:type="character" w:customStyle="1" w:styleId="81">
    <w:name w:val="hover23"/>
    <w:autoRedefine/>
    <w:qFormat/>
    <w:uiPriority w:val="0"/>
    <w:rPr>
      <w:color w:val="D52222"/>
    </w:rPr>
  </w:style>
  <w:style w:type="character" w:customStyle="1" w:styleId="82">
    <w:name w:val="keyfeatures1"/>
    <w:autoRedefine/>
    <w:qFormat/>
    <w:uiPriority w:val="0"/>
    <w:rPr>
      <w:rFonts w:hint="default" w:ascii="Arial" w:hAnsi="Arial" w:cs="Arial"/>
      <w:color w:val="003366"/>
      <w:sz w:val="17"/>
      <w:szCs w:val="17"/>
      <w:u w:val="none"/>
    </w:rPr>
  </w:style>
  <w:style w:type="character" w:customStyle="1" w:styleId="83">
    <w:name w:val="正文文本缩进 Char2"/>
    <w:autoRedefine/>
    <w:qFormat/>
    <w:uiPriority w:val="99"/>
    <w:rPr>
      <w:rFonts w:ascii="Times New Roman" w:hAnsi="Times New Roman" w:eastAsia="宋体" w:cs="Times New Roman"/>
      <w:szCs w:val="20"/>
    </w:rPr>
  </w:style>
  <w:style w:type="character" w:customStyle="1" w:styleId="84">
    <w:name w:val="正文文本缩进 3 Char1"/>
    <w:autoRedefine/>
    <w:qFormat/>
    <w:uiPriority w:val="0"/>
    <w:rPr>
      <w:rFonts w:ascii="宋体" w:hAnsi="Times New Roman" w:eastAsia="宋体" w:cs="Times New Roman"/>
      <w:kern w:val="0"/>
      <w:sz w:val="24"/>
      <w:szCs w:val="24"/>
    </w:rPr>
  </w:style>
  <w:style w:type="character" w:customStyle="1" w:styleId="85">
    <w:name w:val="标题 4 字符"/>
    <w:link w:val="7"/>
    <w:autoRedefine/>
    <w:qFormat/>
    <w:uiPriority w:val="0"/>
    <w:rPr>
      <w:rFonts w:ascii="Arial" w:hAnsi="Arial" w:eastAsia="黑体" w:cs="Times New Roman"/>
      <w:b/>
      <w:bCs/>
      <w:kern w:val="0"/>
      <w:sz w:val="28"/>
      <w:szCs w:val="28"/>
    </w:rPr>
  </w:style>
  <w:style w:type="character" w:customStyle="1" w:styleId="86">
    <w:name w:val="页脚 字符"/>
    <w:autoRedefine/>
    <w:qFormat/>
    <w:uiPriority w:val="99"/>
    <w:rPr>
      <w:rFonts w:ascii="宋体" w:eastAsia="宋体"/>
      <w:sz w:val="18"/>
      <w:szCs w:val="18"/>
    </w:rPr>
  </w:style>
  <w:style w:type="character" w:customStyle="1" w:styleId="87">
    <w:name w:val="font101"/>
    <w:autoRedefine/>
    <w:qFormat/>
    <w:uiPriority w:val="0"/>
    <w:rPr>
      <w:rFonts w:hint="default" w:ascii="Times New Roman" w:hAnsi="Times New Roman" w:cs="Times New Roman"/>
      <w:color w:val="000000"/>
      <w:sz w:val="21"/>
      <w:szCs w:val="21"/>
      <w:u w:val="none"/>
    </w:rPr>
  </w:style>
  <w:style w:type="character" w:customStyle="1" w:styleId="88">
    <w:name w:val="标题 2 字符"/>
    <w:link w:val="5"/>
    <w:autoRedefine/>
    <w:qFormat/>
    <w:uiPriority w:val="9"/>
    <w:rPr>
      <w:rFonts w:ascii="宋体" w:hAnsi="Times New Roman" w:eastAsia="宋体" w:cs="Times New Roman"/>
      <w:kern w:val="0"/>
      <w:sz w:val="24"/>
      <w:szCs w:val="24"/>
    </w:rPr>
  </w:style>
  <w:style w:type="character" w:customStyle="1" w:styleId="89">
    <w:name w:val="文档结构图 Char1"/>
    <w:autoRedefine/>
    <w:semiHidden/>
    <w:qFormat/>
    <w:uiPriority w:val="0"/>
    <w:rPr>
      <w:rFonts w:ascii="宋体" w:hAnsi="Times New Roman" w:eastAsia="宋体" w:cs="Times New Roman"/>
      <w:kern w:val="0"/>
      <w:sz w:val="24"/>
      <w:szCs w:val="24"/>
      <w:shd w:val="clear" w:color="auto" w:fill="000080"/>
    </w:rPr>
  </w:style>
  <w:style w:type="character" w:customStyle="1" w:styleId="90">
    <w:name w:val="font51"/>
    <w:autoRedefine/>
    <w:qFormat/>
    <w:uiPriority w:val="0"/>
    <w:rPr>
      <w:rFonts w:hint="default" w:ascii="Times New Roman" w:hAnsi="Times New Roman" w:cs="Times New Roman"/>
      <w:color w:val="000000"/>
      <w:sz w:val="20"/>
      <w:szCs w:val="20"/>
      <w:u w:val="none"/>
    </w:rPr>
  </w:style>
  <w:style w:type="character" w:customStyle="1" w:styleId="91">
    <w:name w:val="批注框文本 Char1"/>
    <w:autoRedefine/>
    <w:semiHidden/>
    <w:qFormat/>
    <w:uiPriority w:val="99"/>
    <w:rPr>
      <w:rFonts w:ascii="Times New Roman" w:hAnsi="Times New Roman" w:eastAsia="宋体" w:cs="Times New Roman"/>
      <w:sz w:val="18"/>
      <w:szCs w:val="18"/>
    </w:rPr>
  </w:style>
  <w:style w:type="character" w:customStyle="1" w:styleId="9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93">
    <w:name w:val="纯文本 Char1"/>
    <w:autoRedefine/>
    <w:semiHidden/>
    <w:qFormat/>
    <w:uiPriority w:val="99"/>
    <w:rPr>
      <w:rFonts w:ascii="宋体" w:hAnsi="Courier New" w:eastAsia="宋体" w:cs="Courier New"/>
      <w:kern w:val="0"/>
      <w:szCs w:val="21"/>
    </w:rPr>
  </w:style>
  <w:style w:type="character" w:customStyle="1" w:styleId="94">
    <w:name w:val="正文缩进2格 Char"/>
    <w:link w:val="95"/>
    <w:autoRedefine/>
    <w:qFormat/>
    <w:uiPriority w:val="0"/>
    <w:rPr>
      <w:rFonts w:ascii="仿宋_GB2312" w:hAnsi="宋体" w:eastAsia="仿宋_GB2312"/>
      <w:sz w:val="31"/>
      <w:szCs w:val="28"/>
    </w:rPr>
  </w:style>
  <w:style w:type="paragraph" w:customStyle="1" w:styleId="95">
    <w:name w:val="正文缩进2格"/>
    <w:basedOn w:val="1"/>
    <w:link w:val="94"/>
    <w:autoRedefine/>
    <w:qFormat/>
    <w:uiPriority w:val="0"/>
    <w:pPr>
      <w:autoSpaceDE/>
      <w:autoSpaceDN/>
      <w:adjustRightInd/>
      <w:spacing w:line="600" w:lineRule="exact"/>
      <w:ind w:firstLine="639" w:firstLineChars="206"/>
      <w:jc w:val="both"/>
    </w:pPr>
    <w:rPr>
      <w:rFonts w:ascii="仿宋_GB2312" w:hAnsi="宋体" w:eastAsia="仿宋_GB2312" w:cstheme="minorBidi"/>
      <w:kern w:val="2"/>
      <w:sz w:val="31"/>
      <w:szCs w:val="28"/>
    </w:rPr>
  </w:style>
  <w:style w:type="character" w:customStyle="1" w:styleId="96">
    <w:name w:val="font11"/>
    <w:autoRedefine/>
    <w:qFormat/>
    <w:uiPriority w:val="0"/>
    <w:rPr>
      <w:rFonts w:hint="eastAsia" w:ascii="宋体" w:hAnsi="宋体" w:eastAsia="宋体" w:cs="宋体"/>
      <w:color w:val="000000"/>
      <w:sz w:val="21"/>
      <w:szCs w:val="21"/>
      <w:u w:val="none"/>
    </w:rPr>
  </w:style>
  <w:style w:type="character" w:customStyle="1" w:styleId="97">
    <w:name w:val="font21"/>
    <w:autoRedefine/>
    <w:qFormat/>
    <w:uiPriority w:val="0"/>
    <w:rPr>
      <w:rFonts w:hint="eastAsia" w:ascii="宋体" w:hAnsi="宋体" w:eastAsia="宋体" w:cs="宋体"/>
      <w:color w:val="000000"/>
      <w:sz w:val="20"/>
      <w:szCs w:val="20"/>
      <w:u w:val="none"/>
    </w:rPr>
  </w:style>
  <w:style w:type="character" w:customStyle="1" w:styleId="98">
    <w:name w:val="标书正文 字符"/>
    <w:link w:val="99"/>
    <w:autoRedefine/>
    <w:qFormat/>
    <w:uiPriority w:val="34"/>
    <w:rPr>
      <w:rFonts w:ascii="Calibri" w:hAnsi="Calibri" w:eastAsia="仿宋"/>
      <w:sz w:val="24"/>
      <w:szCs w:val="21"/>
    </w:rPr>
  </w:style>
  <w:style w:type="paragraph" w:customStyle="1" w:styleId="99">
    <w:name w:val="标书正文"/>
    <w:basedOn w:val="1"/>
    <w:link w:val="98"/>
    <w:autoRedefine/>
    <w:qFormat/>
    <w:uiPriority w:val="34"/>
    <w:pPr>
      <w:autoSpaceDE/>
      <w:autoSpaceDN/>
      <w:snapToGrid w:val="0"/>
      <w:spacing w:beforeLines="50" w:line="360" w:lineRule="auto"/>
      <w:ind w:firstLine="200" w:firstLineChars="200"/>
      <w:jc w:val="both"/>
    </w:pPr>
    <w:rPr>
      <w:rFonts w:ascii="Calibri" w:hAnsi="Calibri" w:eastAsia="仿宋" w:cstheme="minorBidi"/>
      <w:kern w:val="2"/>
      <w:szCs w:val="21"/>
    </w:rPr>
  </w:style>
  <w:style w:type="character" w:customStyle="1" w:styleId="100">
    <w:name w:val="批注主题 Char1"/>
    <w:autoRedefine/>
    <w:semiHidden/>
    <w:qFormat/>
    <w:uiPriority w:val="99"/>
    <w:rPr>
      <w:rFonts w:ascii="宋体" w:hAnsi="Times New Roman" w:eastAsia="宋体" w:cs="Times New Roman"/>
      <w:b/>
      <w:bCs/>
      <w:kern w:val="0"/>
      <w:sz w:val="24"/>
      <w:szCs w:val="24"/>
    </w:rPr>
  </w:style>
  <w:style w:type="character" w:customStyle="1" w:styleId="101">
    <w:name w:val="fontborder"/>
    <w:autoRedefine/>
    <w:qFormat/>
    <w:uiPriority w:val="0"/>
    <w:rPr>
      <w:bdr w:val="single" w:color="000000" w:sz="6" w:space="0"/>
    </w:rPr>
  </w:style>
  <w:style w:type="character" w:customStyle="1" w:styleId="102">
    <w:name w:val="标题 3.1 Char"/>
    <w:link w:val="103"/>
    <w:autoRedefine/>
    <w:qFormat/>
    <w:uiPriority w:val="0"/>
    <w:rPr>
      <w:rFonts w:ascii="宋体" w:hAnsi="宋体"/>
      <w:b/>
      <w:bCs/>
      <w:sz w:val="32"/>
      <w:szCs w:val="32"/>
    </w:rPr>
  </w:style>
  <w:style w:type="paragraph" w:customStyle="1" w:styleId="103">
    <w:name w:val="标题 3.1"/>
    <w:basedOn w:val="6"/>
    <w:link w:val="102"/>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4">
    <w:name w:val="标题 2 字符1"/>
    <w:autoRedefine/>
    <w:qFormat/>
    <w:uiPriority w:val="0"/>
    <w:rPr>
      <w:rFonts w:ascii="Arial" w:hAnsi="Arial" w:eastAsia="黑体"/>
      <w:b/>
      <w:bCs/>
      <w:kern w:val="2"/>
      <w:sz w:val="32"/>
      <w:szCs w:val="32"/>
      <w:lang w:val="en-US" w:eastAsia="zh-CN" w:bidi="ar-SA"/>
    </w:rPr>
  </w:style>
  <w:style w:type="character" w:customStyle="1" w:styleId="105">
    <w:name w:val="正文文本缩进 2 Char1"/>
    <w:autoRedefine/>
    <w:qFormat/>
    <w:uiPriority w:val="0"/>
    <w:rPr>
      <w:rFonts w:ascii="宋体" w:hAnsi="Times New Roman" w:eastAsia="宋体" w:cs="Times New Roman"/>
      <w:szCs w:val="20"/>
    </w:rPr>
  </w:style>
  <w:style w:type="character" w:customStyle="1" w:styleId="106">
    <w:name w:val="日期 Char1"/>
    <w:autoRedefine/>
    <w:qFormat/>
    <w:uiPriority w:val="0"/>
    <w:rPr>
      <w:rFonts w:ascii="宋体" w:hAnsi="Times New Roman" w:eastAsia="宋体" w:cs="Times New Roman"/>
      <w:b/>
      <w:bCs/>
      <w:szCs w:val="21"/>
      <w:lang w:val="zh-CN"/>
    </w:rPr>
  </w:style>
  <w:style w:type="character" w:customStyle="1" w:styleId="107">
    <w:name w:val="小 Char"/>
    <w:autoRedefine/>
    <w:qFormat/>
    <w:uiPriority w:val="0"/>
    <w:rPr>
      <w:rFonts w:ascii="宋体" w:hAnsi="Courier New" w:eastAsia="宋体"/>
      <w:kern w:val="2"/>
      <w:sz w:val="21"/>
      <w:lang w:val="en-US" w:eastAsia="zh-CN" w:bidi="ar-SA"/>
    </w:rPr>
  </w:style>
  <w:style w:type="character" w:customStyle="1" w:styleId="108">
    <w:name w:val="hover22"/>
    <w:autoRedefine/>
    <w:qFormat/>
    <w:uiPriority w:val="0"/>
    <w:rPr>
      <w:color w:val="2B84B5"/>
    </w:rPr>
  </w:style>
  <w:style w:type="character" w:customStyle="1" w:styleId="109">
    <w:name w:val="fontstrikethrough"/>
    <w:autoRedefine/>
    <w:qFormat/>
    <w:uiPriority w:val="0"/>
    <w:rPr>
      <w:strike/>
    </w:rPr>
  </w:style>
  <w:style w:type="character" w:customStyle="1" w:styleId="110">
    <w:name w:val="纯文本 字符1"/>
    <w:autoRedefine/>
    <w:qFormat/>
    <w:uiPriority w:val="0"/>
    <w:rPr>
      <w:rFonts w:ascii="宋体" w:hAnsi="Courier New" w:eastAsia="宋体"/>
      <w:szCs w:val="24"/>
    </w:rPr>
  </w:style>
  <w:style w:type="character" w:customStyle="1" w:styleId="111">
    <w:name w:val="font81"/>
    <w:autoRedefine/>
    <w:qFormat/>
    <w:uiPriority w:val="0"/>
    <w:rPr>
      <w:rFonts w:hint="default" w:ascii="Times New Roman" w:hAnsi="Times New Roman" w:cs="Times New Roman"/>
      <w:color w:val="000000"/>
      <w:sz w:val="20"/>
      <w:szCs w:val="20"/>
      <w:u w:val="none"/>
    </w:rPr>
  </w:style>
  <w:style w:type="character" w:customStyle="1" w:styleId="112">
    <w:name w:val="font91"/>
    <w:autoRedefine/>
    <w:qFormat/>
    <w:uiPriority w:val="0"/>
    <w:rPr>
      <w:rFonts w:hint="default" w:ascii="Times New Roman" w:hAnsi="Times New Roman" w:cs="Times New Roman"/>
      <w:color w:val="000000"/>
      <w:sz w:val="21"/>
      <w:szCs w:val="21"/>
      <w:u w:val="none"/>
      <w:vertAlign w:val="subscript"/>
    </w:rPr>
  </w:style>
  <w:style w:type="character" w:customStyle="1" w:styleId="113">
    <w:name w:val="页眉 Char1"/>
    <w:autoRedefine/>
    <w:semiHidden/>
    <w:qFormat/>
    <w:uiPriority w:val="99"/>
    <w:rPr>
      <w:rFonts w:ascii="宋体" w:hAnsi="Times New Roman" w:eastAsia="宋体" w:cs="Times New Roman"/>
      <w:kern w:val="0"/>
      <w:sz w:val="18"/>
      <w:szCs w:val="18"/>
    </w:rPr>
  </w:style>
  <w:style w:type="character" w:customStyle="1" w:styleId="114">
    <w:name w:val="font41"/>
    <w:autoRedefine/>
    <w:qFormat/>
    <w:uiPriority w:val="0"/>
    <w:rPr>
      <w:rFonts w:hint="default" w:ascii="Times New Roman" w:hAnsi="Times New Roman" w:cs="Times New Roman"/>
      <w:color w:val="000000"/>
      <w:sz w:val="21"/>
      <w:szCs w:val="21"/>
      <w:u w:val="none"/>
    </w:rPr>
  </w:style>
  <w:style w:type="character" w:customStyle="1" w:styleId="115">
    <w:name w:val="页脚 Char1"/>
    <w:autoRedefine/>
    <w:semiHidden/>
    <w:qFormat/>
    <w:uiPriority w:val="99"/>
    <w:rPr>
      <w:rFonts w:ascii="宋体" w:hAnsi="Times New Roman" w:eastAsia="宋体" w:cs="Times New Roman"/>
      <w:kern w:val="0"/>
      <w:sz w:val="18"/>
      <w:szCs w:val="18"/>
    </w:rPr>
  </w:style>
  <w:style w:type="character" w:customStyle="1" w:styleId="116">
    <w:name w:val="HTML Markup"/>
    <w:autoRedefine/>
    <w:qFormat/>
    <w:uiPriority w:val="0"/>
    <w:rPr>
      <w:vanish/>
      <w:color w:val="FF0000"/>
    </w:rPr>
  </w:style>
  <w:style w:type="character" w:customStyle="1" w:styleId="117">
    <w:name w:val="标题 Char1"/>
    <w:autoRedefine/>
    <w:qFormat/>
    <w:uiPriority w:val="10"/>
    <w:rPr>
      <w:rFonts w:ascii="Cambria" w:hAnsi="Cambria"/>
      <w:b/>
      <w:bCs/>
      <w:sz w:val="32"/>
      <w:szCs w:val="32"/>
      <w:lang w:val="en-US" w:eastAsia="zh-CN"/>
    </w:rPr>
  </w:style>
  <w:style w:type="character" w:customStyle="1" w:styleId="118">
    <w:name w:val="img8"/>
    <w:basedOn w:val="39"/>
    <w:autoRedefine/>
    <w:qFormat/>
    <w:uiPriority w:val="0"/>
  </w:style>
  <w:style w:type="character" w:customStyle="1" w:styleId="119">
    <w:name w:val="HTML 预设格式 Char1"/>
    <w:autoRedefine/>
    <w:semiHidden/>
    <w:qFormat/>
    <w:uiPriority w:val="99"/>
    <w:rPr>
      <w:rFonts w:ascii="Courier New" w:hAnsi="Courier New" w:eastAsia="宋体" w:cs="Courier New"/>
      <w:kern w:val="0"/>
      <w:sz w:val="20"/>
      <w:szCs w:val="20"/>
    </w:rPr>
  </w:style>
  <w:style w:type="character" w:customStyle="1" w:styleId="120">
    <w:name w:val="HTML 预设格式 Char2"/>
    <w:autoRedefine/>
    <w:qFormat/>
    <w:uiPriority w:val="99"/>
    <w:rPr>
      <w:rFonts w:ascii="Arial" w:hAnsi="Arial" w:eastAsia="宋体" w:cs="Arial"/>
      <w:szCs w:val="21"/>
    </w:rPr>
  </w:style>
  <w:style w:type="character" w:customStyle="1" w:styleId="121">
    <w:name w:val="批注文字 字符1"/>
    <w:basedOn w:val="39"/>
    <w:link w:val="13"/>
    <w:autoRedefine/>
    <w:semiHidden/>
    <w:qFormat/>
    <w:uiPriority w:val="99"/>
    <w:rPr>
      <w:rFonts w:ascii="宋体" w:hAnsi="Times New Roman" w:eastAsia="宋体" w:cs="Times New Roman"/>
      <w:kern w:val="0"/>
      <w:sz w:val="24"/>
      <w:szCs w:val="24"/>
    </w:rPr>
  </w:style>
  <w:style w:type="character" w:customStyle="1" w:styleId="122">
    <w:name w:val="批注主题 字符"/>
    <w:basedOn w:val="121"/>
    <w:link w:val="36"/>
    <w:autoRedefine/>
    <w:semiHidden/>
    <w:qFormat/>
    <w:uiPriority w:val="99"/>
    <w:rPr>
      <w:rFonts w:ascii="宋体" w:hAnsi="Times New Roman" w:eastAsia="宋体" w:cs="Times New Roman"/>
      <w:b/>
      <w:bCs/>
      <w:kern w:val="0"/>
      <w:sz w:val="24"/>
      <w:szCs w:val="24"/>
    </w:rPr>
  </w:style>
  <w:style w:type="character" w:customStyle="1" w:styleId="123">
    <w:name w:val="标题 字符"/>
    <w:basedOn w:val="39"/>
    <w:link w:val="35"/>
    <w:autoRedefine/>
    <w:qFormat/>
    <w:uiPriority w:val="10"/>
    <w:rPr>
      <w:rFonts w:eastAsia="宋体" w:asciiTheme="majorHAnsi" w:hAnsiTheme="majorHAnsi" w:cstheme="majorBidi"/>
      <w:b/>
      <w:bCs/>
      <w:kern w:val="0"/>
      <w:sz w:val="32"/>
      <w:szCs w:val="32"/>
    </w:rPr>
  </w:style>
  <w:style w:type="character" w:customStyle="1" w:styleId="124">
    <w:name w:val="HTML 预设格式 字符"/>
    <w:basedOn w:val="39"/>
    <w:link w:val="33"/>
    <w:autoRedefine/>
    <w:semiHidden/>
    <w:qFormat/>
    <w:uiPriority w:val="99"/>
    <w:rPr>
      <w:rFonts w:ascii="Courier New" w:hAnsi="Courier New" w:eastAsia="宋体" w:cs="Courier New"/>
      <w:kern w:val="0"/>
      <w:sz w:val="20"/>
      <w:szCs w:val="20"/>
    </w:rPr>
  </w:style>
  <w:style w:type="character" w:customStyle="1" w:styleId="125">
    <w:name w:val="正文文本 3 字符"/>
    <w:basedOn w:val="39"/>
    <w:link w:val="14"/>
    <w:autoRedefine/>
    <w:semiHidden/>
    <w:qFormat/>
    <w:uiPriority w:val="99"/>
    <w:rPr>
      <w:rFonts w:ascii="宋体" w:hAnsi="Times New Roman" w:eastAsia="宋体" w:cs="Times New Roman"/>
      <w:kern w:val="0"/>
      <w:sz w:val="16"/>
      <w:szCs w:val="16"/>
    </w:rPr>
  </w:style>
  <w:style w:type="character" w:customStyle="1" w:styleId="126">
    <w:name w:val="正文文本 字符"/>
    <w:basedOn w:val="39"/>
    <w:link w:val="2"/>
    <w:autoRedefine/>
    <w:semiHidden/>
    <w:qFormat/>
    <w:uiPriority w:val="99"/>
    <w:rPr>
      <w:rFonts w:ascii="宋体" w:hAnsi="Times New Roman" w:eastAsia="宋体" w:cs="Times New Roman"/>
      <w:kern w:val="0"/>
      <w:sz w:val="24"/>
      <w:szCs w:val="24"/>
    </w:rPr>
  </w:style>
  <w:style w:type="character" w:customStyle="1" w:styleId="127">
    <w:name w:val="文档结构图 字符"/>
    <w:basedOn w:val="39"/>
    <w:link w:val="11"/>
    <w:autoRedefine/>
    <w:semiHidden/>
    <w:qFormat/>
    <w:uiPriority w:val="99"/>
    <w:rPr>
      <w:rFonts w:ascii="宋体" w:hAnsi="Times New Roman" w:eastAsia="宋体" w:cs="Times New Roman"/>
      <w:kern w:val="0"/>
      <w:sz w:val="18"/>
      <w:szCs w:val="18"/>
    </w:rPr>
  </w:style>
  <w:style w:type="character" w:customStyle="1" w:styleId="128">
    <w:name w:val="正文文本缩进 2 字符"/>
    <w:basedOn w:val="39"/>
    <w:link w:val="21"/>
    <w:autoRedefine/>
    <w:semiHidden/>
    <w:qFormat/>
    <w:uiPriority w:val="99"/>
    <w:rPr>
      <w:rFonts w:ascii="宋体" w:hAnsi="Times New Roman" w:eastAsia="宋体" w:cs="Times New Roman"/>
      <w:kern w:val="0"/>
      <w:sz w:val="24"/>
      <w:szCs w:val="24"/>
    </w:rPr>
  </w:style>
  <w:style w:type="character" w:customStyle="1" w:styleId="129">
    <w:name w:val="正文文本首行缩进 字符"/>
    <w:basedOn w:val="126"/>
    <w:link w:val="3"/>
    <w:autoRedefine/>
    <w:qFormat/>
    <w:uiPriority w:val="99"/>
    <w:rPr>
      <w:rFonts w:ascii="宋体" w:hAnsi="Times New Roman" w:eastAsia="宋体" w:cs="Times New Roman"/>
      <w:b/>
      <w:bCs/>
      <w:kern w:val="0"/>
      <w:sz w:val="84"/>
      <w:szCs w:val="84"/>
      <w:lang w:val="zh-CN"/>
    </w:rPr>
  </w:style>
  <w:style w:type="character" w:customStyle="1" w:styleId="130">
    <w:name w:val="正文文本缩进 3 字符"/>
    <w:basedOn w:val="39"/>
    <w:link w:val="29"/>
    <w:autoRedefine/>
    <w:semiHidden/>
    <w:qFormat/>
    <w:uiPriority w:val="99"/>
    <w:rPr>
      <w:rFonts w:ascii="宋体" w:hAnsi="Times New Roman" w:eastAsia="宋体" w:cs="Times New Roman"/>
      <w:kern w:val="0"/>
      <w:sz w:val="16"/>
      <w:szCs w:val="16"/>
    </w:rPr>
  </w:style>
  <w:style w:type="character" w:customStyle="1" w:styleId="131">
    <w:name w:val="纯文本 字符"/>
    <w:basedOn w:val="39"/>
    <w:link w:val="18"/>
    <w:autoRedefine/>
    <w:semiHidden/>
    <w:qFormat/>
    <w:uiPriority w:val="99"/>
    <w:rPr>
      <w:rFonts w:ascii="宋体" w:hAnsi="Courier New" w:eastAsia="宋体" w:cs="Courier New"/>
      <w:kern w:val="0"/>
      <w:szCs w:val="21"/>
    </w:rPr>
  </w:style>
  <w:style w:type="character" w:customStyle="1" w:styleId="132">
    <w:name w:val="正文文本缩进 字符"/>
    <w:basedOn w:val="39"/>
    <w:link w:val="15"/>
    <w:autoRedefine/>
    <w:semiHidden/>
    <w:qFormat/>
    <w:uiPriority w:val="99"/>
    <w:rPr>
      <w:rFonts w:ascii="宋体" w:hAnsi="Times New Roman" w:eastAsia="宋体" w:cs="Times New Roman"/>
      <w:kern w:val="0"/>
      <w:sz w:val="24"/>
      <w:szCs w:val="24"/>
    </w:rPr>
  </w:style>
  <w:style w:type="character" w:customStyle="1" w:styleId="133">
    <w:name w:val="正文文本 2 字符"/>
    <w:basedOn w:val="39"/>
    <w:link w:val="32"/>
    <w:autoRedefine/>
    <w:semiHidden/>
    <w:qFormat/>
    <w:uiPriority w:val="99"/>
    <w:rPr>
      <w:rFonts w:ascii="宋体" w:hAnsi="Times New Roman" w:eastAsia="宋体" w:cs="Times New Roman"/>
      <w:kern w:val="0"/>
      <w:sz w:val="24"/>
      <w:szCs w:val="24"/>
    </w:rPr>
  </w:style>
  <w:style w:type="character" w:customStyle="1" w:styleId="134">
    <w:name w:val="日期 字符"/>
    <w:basedOn w:val="39"/>
    <w:link w:val="20"/>
    <w:autoRedefine/>
    <w:semiHidden/>
    <w:qFormat/>
    <w:uiPriority w:val="99"/>
    <w:rPr>
      <w:rFonts w:ascii="宋体" w:hAnsi="Times New Roman" w:eastAsia="宋体" w:cs="Times New Roman"/>
      <w:kern w:val="0"/>
      <w:sz w:val="24"/>
      <w:szCs w:val="24"/>
    </w:rPr>
  </w:style>
  <w:style w:type="character" w:customStyle="1" w:styleId="135">
    <w:name w:val="批注框文本 字符"/>
    <w:basedOn w:val="39"/>
    <w:link w:val="22"/>
    <w:autoRedefine/>
    <w:semiHidden/>
    <w:qFormat/>
    <w:uiPriority w:val="99"/>
    <w:rPr>
      <w:rFonts w:ascii="宋体" w:hAnsi="Times New Roman" w:eastAsia="宋体" w:cs="Times New Roman"/>
      <w:kern w:val="0"/>
      <w:sz w:val="18"/>
      <w:szCs w:val="18"/>
    </w:rPr>
  </w:style>
  <w:style w:type="paragraph" w:customStyle="1" w:styleId="136">
    <w:name w:val="表头"/>
    <w:basedOn w:val="10"/>
    <w:autoRedefine/>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37">
    <w:name w:val="列出段落2"/>
    <w:basedOn w:val="1"/>
    <w:autoRedefine/>
    <w:unhideWhenUsed/>
    <w:qFormat/>
    <w:uiPriority w:val="99"/>
    <w:pPr>
      <w:ind w:firstLine="420" w:firstLineChars="200"/>
    </w:pPr>
  </w:style>
  <w:style w:type="paragraph" w:customStyle="1" w:styleId="138">
    <w:name w:val="样式 标题 3 + (中文) 黑体 小四 非加粗 段前: 7.8 磅 段后: 0 磅 行距: 固定值 20 磅"/>
    <w:basedOn w:val="6"/>
    <w:autoRedefine/>
    <w:qFormat/>
    <w:uiPriority w:val="0"/>
    <w:pPr>
      <w:keepNext/>
      <w:keepLines/>
      <w:autoSpaceDE/>
      <w:autoSpaceDN/>
      <w:adjustRightInd/>
      <w:spacing w:line="400" w:lineRule="exact"/>
      <w:ind w:firstLine="137" w:firstLineChars="49"/>
      <w:jc w:val="both"/>
    </w:pPr>
    <w:rPr>
      <w:rFonts w:ascii="黑体" w:hAnsi="黑体" w:eastAsia="黑体" w:cs="宋体"/>
      <w:kern w:val="2"/>
      <w:szCs w:val="20"/>
    </w:rPr>
  </w:style>
  <w:style w:type="paragraph" w:customStyle="1" w:styleId="139">
    <w:name w:val="正文缩进4格"/>
    <w:basedOn w:val="95"/>
    <w:autoRedefine/>
    <w:qFormat/>
    <w:uiPriority w:val="0"/>
    <w:pPr>
      <w:spacing w:line="360" w:lineRule="auto"/>
      <w:ind w:left="964" w:leftChars="314" w:hanging="210" w:hangingChars="100"/>
    </w:pPr>
    <w:rPr>
      <w:rFonts w:ascii="宋体" w:eastAsia="宋体"/>
      <w:sz w:val="21"/>
      <w:szCs w:val="21"/>
      <w:lang w:val="zh-CN"/>
    </w:rPr>
  </w:style>
  <w:style w:type="paragraph" w:customStyle="1" w:styleId="140">
    <w:name w:val="p0"/>
    <w:basedOn w:val="1"/>
    <w:autoRedefine/>
    <w:qFormat/>
    <w:uiPriority w:val="99"/>
    <w:pPr>
      <w:widowControl/>
      <w:autoSpaceDE/>
      <w:autoSpaceDN/>
      <w:adjustRightInd/>
      <w:jc w:val="both"/>
    </w:pPr>
    <w:rPr>
      <w:rFonts w:ascii="Times New Roman" w:hAnsi="Calibri"/>
      <w:sz w:val="21"/>
      <w:szCs w:val="20"/>
    </w:rPr>
  </w:style>
  <w:style w:type="paragraph" w:customStyle="1" w:styleId="141">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42">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4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4">
    <w:name w:val="列出段落11"/>
    <w:basedOn w:val="1"/>
    <w:autoRedefine/>
    <w:qFormat/>
    <w:uiPriority w:val="34"/>
    <w:pPr>
      <w:ind w:firstLine="420" w:firstLineChars="200"/>
    </w:pPr>
  </w:style>
  <w:style w:type="paragraph" w:customStyle="1" w:styleId="145">
    <w:name w:val="图"/>
    <w:basedOn w:val="1"/>
    <w:autoRedefine/>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styleId="146">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48">
    <w:name w:val="规正文"/>
    <w:basedOn w:val="1"/>
    <w:autoRedefine/>
    <w:qFormat/>
    <w:uiPriority w:val="0"/>
    <w:pPr>
      <w:autoSpaceDE/>
      <w:autoSpaceDN/>
      <w:adjustRightInd/>
      <w:ind w:firstLine="560" w:firstLineChars="200"/>
      <w:jc w:val="both"/>
    </w:pPr>
    <w:rPr>
      <w:rFonts w:ascii="Calibri" w:hAnsi="Calibri"/>
      <w:kern w:val="2"/>
      <w:sz w:val="28"/>
      <w:szCs w:val="28"/>
    </w:rPr>
  </w:style>
  <w:style w:type="paragraph" w:customStyle="1" w:styleId="149">
    <w:name w:val="_Style 3"/>
    <w:basedOn w:val="1"/>
    <w:autoRedefine/>
    <w:qFormat/>
    <w:uiPriority w:val="34"/>
    <w:pPr>
      <w:ind w:firstLine="420" w:firstLineChars="200"/>
    </w:pPr>
    <w:rPr>
      <w:kern w:val="2"/>
      <w:sz w:val="21"/>
    </w:rPr>
  </w:style>
  <w:style w:type="paragraph" w:customStyle="1" w:styleId="150">
    <w:name w:val="TOC 标题1"/>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51">
    <w:name w:val="正文 + 仿宋_GB2312"/>
    <w:basedOn w:val="1"/>
    <w:autoRedefine/>
    <w:qFormat/>
    <w:uiPriority w:val="99"/>
    <w:pPr>
      <w:tabs>
        <w:tab w:val="left" w:pos="-720"/>
      </w:tabs>
      <w:spacing w:line="360" w:lineRule="auto"/>
      <w:ind w:firstLine="620"/>
    </w:pPr>
    <w:rPr>
      <w:rFonts w:ascii="仿宋_GB2312" w:hAnsi="宋体" w:cs="宋体"/>
      <w:bCs/>
      <w:sz w:val="31"/>
      <w:szCs w:val="31"/>
    </w:rPr>
  </w:style>
  <w:style w:type="paragraph" w:customStyle="1" w:styleId="152">
    <w:name w:val="规2"/>
    <w:basedOn w:val="1"/>
    <w:autoRedefine/>
    <w:qFormat/>
    <w:uiPriority w:val="0"/>
    <w:pPr>
      <w:autoSpaceDE/>
      <w:autoSpaceDN/>
      <w:adjustRightInd/>
      <w:jc w:val="both"/>
      <w:outlineLvl w:val="1"/>
    </w:pPr>
    <w:rPr>
      <w:rFonts w:ascii="Calibri" w:hAnsi="Calibri" w:eastAsia="黑体"/>
      <w:kern w:val="2"/>
      <w:sz w:val="28"/>
      <w:szCs w:val="28"/>
    </w:rPr>
  </w:style>
  <w:style w:type="paragraph" w:customStyle="1" w:styleId="153">
    <w:name w:val="Char"/>
    <w:basedOn w:val="1"/>
    <w:autoRedefine/>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4">
    <w:name w:val="_Style 6"/>
    <w:basedOn w:val="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155">
    <w:name w:val="修订3"/>
    <w:autoRedefine/>
    <w:qFormat/>
    <w:uiPriority w:val="99"/>
    <w:rPr>
      <w:rFonts w:ascii="宋体" w:hAnsi="Times New Roman" w:eastAsia="宋体" w:cs="Times New Roman"/>
      <w:sz w:val="24"/>
      <w:szCs w:val="24"/>
      <w:lang w:val="en-US" w:eastAsia="zh-CN" w:bidi="ar-SA"/>
    </w:rPr>
  </w:style>
  <w:style w:type="paragraph" w:styleId="156">
    <w:name w:val="List Paragraph"/>
    <w:basedOn w:val="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157">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8">
    <w:name w:val="Revision"/>
    <w:autoRedefine/>
    <w:hidden/>
    <w:semiHidden/>
    <w:qFormat/>
    <w:uiPriority w:val="99"/>
    <w:rPr>
      <w:rFonts w:ascii="宋体" w:hAnsi="Times New Roman" w:eastAsia="宋体" w:cs="Times New Roman"/>
      <w:sz w:val="24"/>
      <w:szCs w:val="24"/>
      <w:lang w:val="en-US" w:eastAsia="zh-CN" w:bidi="ar-SA"/>
    </w:rPr>
  </w:style>
  <w:style w:type="character" w:customStyle="1" w:styleId="159">
    <w:name w:val="Unresolved Mention"/>
    <w:basedOn w:val="39"/>
    <w:autoRedefine/>
    <w:semiHidden/>
    <w:unhideWhenUsed/>
    <w:qFormat/>
    <w:uiPriority w:val="99"/>
    <w:rPr>
      <w:color w:val="605E5C"/>
      <w:shd w:val="clear" w:color="auto" w:fill="E1DFDD"/>
    </w:rPr>
  </w:style>
  <w:style w:type="paragraph" w:customStyle="1" w:styleId="160">
    <w:name w:val="Heading2"/>
    <w:basedOn w:val="1"/>
    <w:next w:val="1"/>
    <w:autoRedefine/>
    <w:qFormat/>
    <w:uiPriority w:val="0"/>
    <w:pPr>
      <w:jc w:val="left"/>
    </w:pPr>
    <w:rPr>
      <w:rFonts w:ascii="宋体" w:hAnsi="Times New Roman"/>
      <w:kern w:val="0"/>
      <w:sz w:val="24"/>
      <w:szCs w:val="24"/>
    </w:rPr>
  </w:style>
  <w:style w:type="character" w:customStyle="1" w:styleId="161">
    <w:name w:val="NormalCharacter"/>
    <w:autoRedefine/>
    <w:qFormat/>
    <w:uiPriority w:val="0"/>
    <w:rPr>
      <w:rFonts w:ascii="Calibri" w:hAnsi="Calibri" w:eastAsia="宋体"/>
    </w:rPr>
  </w:style>
  <w:style w:type="character" w:customStyle="1" w:styleId="162">
    <w:name w:val="font31"/>
    <w:basedOn w:val="39"/>
    <w:autoRedefine/>
    <w:qFormat/>
    <w:uiPriority w:val="0"/>
    <w:rPr>
      <w:rFonts w:hint="default" w:ascii="Times New Roman" w:hAnsi="Times New Roman" w:cs="Times New Roman"/>
      <w:color w:val="000000"/>
      <w:sz w:val="24"/>
      <w:szCs w:val="24"/>
      <w:u w:val="none"/>
    </w:rPr>
  </w:style>
  <w:style w:type="paragraph" w:customStyle="1" w:styleId="163">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58</Pages>
  <Words>43727</Words>
  <Characters>45021</Characters>
  <Lines>1</Lines>
  <Paragraphs>1</Paragraphs>
  <TotalTime>6</TotalTime>
  <ScaleCrop>false</ScaleCrop>
  <LinksUpToDate>false</LinksUpToDate>
  <CharactersWithSpaces>47367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2021-02-01T12:28:00Z</dcterms:created>
  <dc:creator>V</dc:creator>
  <cp:lastModifiedBy>peixin</cp:lastModifiedBy>
  <cp:lastPrinted>2025-06-20T07:38:07Z</cp:lastPrinted>
  <dcterms:modified xsi:type="dcterms:W3CDTF">2025-06-20T07:41:32Z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E414034815BA469D951C73440FD75BC6_13</vt:lpwstr>
  </property>
  <property fmtid="{D5CDD505-2E9C-101B-9397-08002B2CF9AE}" pid="4" name="KSOTemplateDocerSaveRecord">
    <vt:lpwstr>eyJoZGlkIjoiNTBkZjg0MTczYWI2OTU4ZWUxNjM1Y2EzMWZmZDZmNDUiLCJ1c2VySWQiOiIxNjAzNDQ0NzIxIn0=</vt:lpwstr>
  </property>
</Properties>
</file>