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tabs>
          <w:tab w:val="left" w:pos="1080"/>
        </w:tabs>
        <w:autoSpaceDE w:val="0"/>
        <w:autoSpaceDN w:val="0"/>
        <w:adjustRightInd w:val="0"/>
        <w:spacing w:line="360" w:lineRule="auto"/>
        <w:ind w:left="357" w:leftChars="-100" w:hanging="567"/>
        <w:jc w:val="center"/>
        <w:outlineLvl w:val="1"/>
        <w:rPr>
          <w:rFonts w:ascii="宋体" w:hAnsi="宋体" w:eastAsia="宋体" w:cs="宋体"/>
          <w:b/>
          <w:bCs/>
          <w:color w:val="auto"/>
          <w:kern w:val="44"/>
          <w:sz w:val="32"/>
          <w:szCs w:val="32"/>
          <w:highlight w:val="none"/>
          <w:lang w:val="zh-CN"/>
        </w:rPr>
      </w:pPr>
      <w:bookmarkStart w:id="0" w:name="_Toc22810"/>
      <w:bookmarkStart w:id="1" w:name="_Toc486167706"/>
      <w:bookmarkStart w:id="2" w:name="_Toc450662891"/>
      <w:bookmarkStart w:id="3" w:name="_Toc27939_WPSOffice_Level1"/>
      <w:bookmarkStart w:id="4" w:name="_Toc142508358"/>
      <w:bookmarkStart w:id="5" w:name="_Toc4217"/>
      <w:bookmarkStart w:id="6" w:name="_Toc29361"/>
      <w:bookmarkStart w:id="7" w:name="_Toc28218"/>
      <w:r>
        <w:rPr>
          <w:rFonts w:hint="eastAsia" w:ascii="宋体" w:hAnsi="宋体" w:eastAsia="宋体" w:cs="宋体"/>
          <w:b/>
          <w:bCs/>
          <w:color w:val="auto"/>
          <w:kern w:val="44"/>
          <w:sz w:val="32"/>
          <w:szCs w:val="32"/>
          <w:highlight w:val="none"/>
          <w:lang w:val="zh-CN"/>
        </w:rPr>
        <w:t>东莞市水务集团净水有限公司2026年</w:t>
      </w:r>
      <w:r>
        <w:rPr>
          <w:rFonts w:hint="eastAsia" w:ascii="宋体" w:hAnsi="宋体" w:eastAsia="宋体" w:cs="宋体"/>
          <w:b/>
          <w:bCs/>
          <w:color w:val="auto"/>
          <w:kern w:val="44"/>
          <w:sz w:val="32"/>
          <w:szCs w:val="32"/>
          <w:highlight w:val="none"/>
          <w:lang w:val="en-US" w:eastAsia="zh-CN"/>
        </w:rPr>
        <w:t>-2027年</w:t>
      </w:r>
      <w:r>
        <w:rPr>
          <w:rFonts w:hint="eastAsia" w:ascii="宋体" w:hAnsi="宋体" w:eastAsia="宋体" w:cs="宋体"/>
          <w:b/>
          <w:bCs/>
          <w:color w:val="auto"/>
          <w:kern w:val="44"/>
          <w:sz w:val="32"/>
          <w:szCs w:val="32"/>
          <w:highlight w:val="none"/>
          <w:lang w:val="zh-CN"/>
        </w:rPr>
        <w:t>生产药剂液体复合碳源采购项目用户需求书</w:t>
      </w:r>
      <w:bookmarkEnd w:id="0"/>
    </w:p>
    <w:p>
      <w:pPr>
        <w:numPr>
          <w:ilvl w:val="0"/>
          <w:numId w:val="1"/>
        </w:numPr>
        <w:autoSpaceDE/>
        <w:autoSpaceDN/>
        <w:adjustRightInd/>
        <w:spacing w:line="360" w:lineRule="auto"/>
        <w:jc w:val="both"/>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基本招标要求</w:t>
      </w:r>
    </w:p>
    <w:p>
      <w:pPr>
        <w:pStyle w:val="129"/>
        <w:autoSpaceDE/>
        <w:autoSpaceDN/>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本次采购东莞市</w:t>
      </w:r>
      <w:r>
        <w:rPr>
          <w:rFonts w:hint="eastAsia" w:ascii="宋体" w:hAnsi="宋体" w:eastAsia="宋体" w:cs="宋体"/>
          <w:color w:val="auto"/>
          <w:sz w:val="21"/>
          <w:szCs w:val="21"/>
          <w:highlight w:val="none"/>
          <w:lang w:val="en-US" w:eastAsia="zh-CN"/>
        </w:rPr>
        <w:t>水务集团净水有限</w:t>
      </w:r>
      <w:r>
        <w:rPr>
          <w:rFonts w:hint="eastAsia" w:ascii="宋体" w:hAnsi="宋体" w:eastAsia="宋体" w:cs="宋体"/>
          <w:color w:val="auto"/>
          <w:sz w:val="21"/>
          <w:szCs w:val="21"/>
          <w:highlight w:val="none"/>
        </w:rPr>
        <w:t>公司旗下运营项目所需生产药剂：液体复合碳源。根据实际运营中药剂使用情况，招标人目前有</w:t>
      </w:r>
      <w:r>
        <w:rPr>
          <w:rFonts w:hint="eastAsia" w:ascii="宋体" w:hAnsi="宋体" w:eastAsia="宋体" w:cs="宋体"/>
          <w:color w:val="auto"/>
          <w:sz w:val="21"/>
          <w:szCs w:val="21"/>
          <w:highlight w:val="none"/>
          <w:lang w:val="en-US" w:eastAsia="zh-CN"/>
        </w:rPr>
        <w:t>塘厦白泥湖</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市区厂提标</w:t>
      </w:r>
      <w:r>
        <w:rPr>
          <w:rFonts w:hint="eastAsia" w:ascii="宋体" w:hAnsi="宋体" w:eastAsia="宋体" w:cs="宋体"/>
          <w:color w:val="auto"/>
          <w:sz w:val="21"/>
          <w:szCs w:val="21"/>
          <w:highlight w:val="none"/>
        </w:rPr>
        <w:t>等污水处理厂及污水处理厂提标项目（以下称作“运营项目”）使用液体复合碳源（以下简称“生产药剂”）作为外加碳源。具体供货项目和供货量根据实际运营需求，并结合招标人运营项目使用中标</w:t>
      </w:r>
      <w:r>
        <w:rPr>
          <w:rFonts w:hint="eastAsia" w:ascii="宋体" w:hAnsi="宋体" w:eastAsia="宋体" w:cs="宋体"/>
          <w:color w:val="auto"/>
          <w:sz w:val="21"/>
          <w:szCs w:val="21"/>
          <w:highlight w:val="none"/>
          <w:lang w:val="en-US" w:eastAsia="zh-CN"/>
        </w:rPr>
        <w:t>人</w:t>
      </w:r>
      <w:r>
        <w:rPr>
          <w:rFonts w:hint="eastAsia" w:ascii="宋体" w:hAnsi="宋体" w:eastAsia="宋体" w:cs="宋体"/>
          <w:color w:val="auto"/>
          <w:sz w:val="21"/>
          <w:szCs w:val="21"/>
          <w:highlight w:val="none"/>
        </w:rPr>
        <w:t>提供的药剂样品所做的小试、项目实际使用效果确定。</w:t>
      </w:r>
    </w:p>
    <w:p>
      <w:pPr>
        <w:pStyle w:val="129"/>
        <w:autoSpaceDE/>
        <w:autoSpaceDN/>
        <w:adjustRightInd/>
        <w:spacing w:line="360" w:lineRule="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本次招标人以公开招标方式确定1家供货单位，分别向招标人运营项目供货。</w:t>
      </w:r>
      <w:bookmarkStart w:id="8" w:name="OLE_LINK13"/>
      <w:r>
        <w:rPr>
          <w:rFonts w:hint="eastAsia" w:ascii="宋体" w:hAnsi="宋体" w:eastAsia="宋体" w:cs="宋体"/>
          <w:color w:val="auto"/>
          <w:sz w:val="21"/>
          <w:szCs w:val="21"/>
          <w:highlight w:val="none"/>
          <w:lang w:val="en-US" w:eastAsia="zh-CN"/>
        </w:rPr>
        <w:t>招标人或招标人权属子公司与中标人签订采购合同。</w:t>
      </w:r>
      <w:bookmarkEnd w:id="8"/>
    </w:p>
    <w:p>
      <w:pPr>
        <w:spacing w:line="360" w:lineRule="auto"/>
        <w:ind w:firstLine="420" w:firstLineChars="200"/>
        <w:rPr>
          <w:rFonts w:ascii="宋体" w:hAnsi="宋体" w:eastAsia="宋体" w:cs="宋体"/>
          <w:szCs w:val="21"/>
        </w:rPr>
      </w:pPr>
      <w:r>
        <w:rPr>
          <w:rFonts w:hint="eastAsia" w:ascii="宋体" w:hAnsi="宋体" w:eastAsia="宋体" w:cs="宋体"/>
          <w:szCs w:val="21"/>
        </w:rPr>
        <w:t>供货期自202</w:t>
      </w:r>
      <w:r>
        <w:rPr>
          <w:rFonts w:hint="eastAsia" w:ascii="宋体" w:hAnsi="宋体" w:eastAsia="宋体" w:cs="宋体"/>
          <w:szCs w:val="21"/>
          <w:lang w:val="en-US" w:eastAsia="zh-CN"/>
        </w:rPr>
        <w:t>6</w:t>
      </w:r>
      <w:r>
        <w:rPr>
          <w:rFonts w:hint="eastAsia" w:ascii="宋体" w:hAnsi="宋体" w:eastAsia="宋体" w:cs="宋体"/>
          <w:szCs w:val="21"/>
        </w:rPr>
        <w:t>年1月1日或合同签订之日起（以较晚时间为准）至202</w:t>
      </w:r>
      <w:r>
        <w:rPr>
          <w:rFonts w:hint="eastAsia" w:ascii="宋体" w:hAnsi="宋体" w:eastAsia="宋体" w:cs="宋体"/>
          <w:szCs w:val="21"/>
          <w:lang w:val="en-US" w:eastAsia="zh-CN"/>
        </w:rPr>
        <w:t>7</w:t>
      </w:r>
      <w:r>
        <w:rPr>
          <w:rFonts w:hint="eastAsia" w:ascii="宋体" w:hAnsi="宋体" w:eastAsia="宋体" w:cs="宋体"/>
          <w:szCs w:val="21"/>
        </w:rPr>
        <w:t>年</w:t>
      </w:r>
      <w:r>
        <w:rPr>
          <w:rFonts w:hint="eastAsia" w:ascii="宋体" w:hAnsi="宋体" w:eastAsia="宋体" w:cs="宋体"/>
          <w:szCs w:val="21"/>
          <w:lang w:val="en-US" w:eastAsia="zh-CN"/>
        </w:rPr>
        <w:t>6</w:t>
      </w:r>
      <w:r>
        <w:rPr>
          <w:rFonts w:hint="eastAsia" w:ascii="宋体" w:hAnsi="宋体" w:eastAsia="宋体" w:cs="宋体"/>
          <w:szCs w:val="21"/>
        </w:rPr>
        <w:t>月</w:t>
      </w:r>
      <w:r>
        <w:rPr>
          <w:rFonts w:hint="eastAsia" w:ascii="宋体" w:hAnsi="宋体" w:eastAsia="宋体" w:cs="宋体"/>
          <w:szCs w:val="21"/>
          <w:lang w:val="en-US" w:eastAsia="zh-CN"/>
        </w:rPr>
        <w:t>30</w:t>
      </w:r>
      <w:r>
        <w:rPr>
          <w:rFonts w:hint="eastAsia" w:ascii="宋体" w:hAnsi="宋体" w:eastAsia="宋体" w:cs="宋体"/>
          <w:szCs w:val="21"/>
        </w:rPr>
        <w:t>日止</w:t>
      </w:r>
      <w:r>
        <w:rPr>
          <w:rFonts w:hint="eastAsia" w:ascii="宋体" w:hAnsi="宋体" w:eastAsia="宋体" w:cs="宋体"/>
          <w:color w:val="auto"/>
          <w:szCs w:val="21"/>
          <w:lang w:eastAsia="zh-CN"/>
        </w:rPr>
        <w:t>。</w:t>
      </w:r>
      <w:r>
        <w:rPr>
          <w:rFonts w:hint="eastAsia" w:ascii="宋体" w:hAnsi="宋体" w:eastAsia="宋体" w:cs="宋体"/>
          <w:szCs w:val="21"/>
          <w:lang w:val="en-US" w:eastAsia="zh-CN"/>
        </w:rPr>
        <w:t>中标人</w:t>
      </w:r>
      <w:r>
        <w:rPr>
          <w:rFonts w:hint="eastAsia" w:ascii="宋体" w:hAnsi="宋体" w:eastAsia="宋体" w:cs="宋体"/>
          <w:szCs w:val="21"/>
        </w:rPr>
        <w:t>收到招标人通知后必须无条件按照招标人的要求开始供货</w:t>
      </w:r>
      <w:r>
        <w:rPr>
          <w:rFonts w:ascii="宋体" w:hAnsi="宋体" w:eastAsia="宋体" w:cs="宋体"/>
          <w:szCs w:val="21"/>
        </w:rPr>
        <w:t>。</w:t>
      </w:r>
    </w:p>
    <w:p>
      <w:pPr>
        <w:numPr>
          <w:ilvl w:val="0"/>
          <w:numId w:val="1"/>
        </w:numPr>
        <w:autoSpaceDE/>
        <w:autoSpaceDN/>
        <w:adjustRightInd/>
        <w:spacing w:line="360" w:lineRule="auto"/>
        <w:jc w:val="both"/>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标的物</w:t>
      </w:r>
    </w:p>
    <w:p>
      <w:pPr>
        <w:numPr>
          <w:ilvl w:val="0"/>
          <w:numId w:val="2"/>
        </w:numPr>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产品名称：液体复合碳源</w:t>
      </w:r>
    </w:p>
    <w:p>
      <w:pPr>
        <w:numPr>
          <w:ilvl w:val="0"/>
          <w:numId w:val="2"/>
        </w:numPr>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暂定采购数量：</w:t>
      </w:r>
      <w:r>
        <w:rPr>
          <w:rFonts w:hint="eastAsia" w:ascii="宋体" w:hAnsi="宋体" w:eastAsia="宋体" w:cs="宋体"/>
          <w:color w:val="auto"/>
          <w:szCs w:val="21"/>
          <w:highlight w:val="none"/>
        </w:rPr>
        <w:t>23366.693</w:t>
      </w:r>
      <w:r>
        <w:rPr>
          <w:rFonts w:hint="eastAsia" w:ascii="宋体" w:hAnsi="宋体" w:eastAsia="宋体" w:cs="宋体"/>
          <w:color w:val="auto"/>
          <w:sz w:val="21"/>
          <w:szCs w:val="21"/>
          <w:highlight w:val="none"/>
        </w:rPr>
        <w:t>吨</w:t>
      </w:r>
    </w:p>
    <w:p>
      <w:pPr>
        <w:autoSpaceDE/>
        <w:autoSpaceDN/>
        <w:adjustRightInd/>
        <w:spacing w:line="360" w:lineRule="auto"/>
        <w:ind w:firstLine="422" w:firstLineChars="200"/>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★3、本次采购涉及招标人运营项目及采购数量为暂定，仅为便于计算暂定总合同价使用，不作为招标人最终采购数量的保证</w:t>
      </w:r>
      <w:bookmarkStart w:id="9" w:name="OLE_LINK40"/>
      <w:bookmarkStart w:id="10" w:name="OLE_LINK24"/>
      <w:r>
        <w:rPr>
          <w:rFonts w:hint="eastAsia" w:ascii="宋体" w:hAnsi="宋体" w:eastAsia="宋体" w:cs="宋体"/>
          <w:b/>
          <w:color w:val="auto"/>
          <w:sz w:val="21"/>
          <w:szCs w:val="21"/>
          <w:highlight w:val="none"/>
        </w:rPr>
        <w:t>，招标人保留根据运营项目及新增运营项目实际情况，对采购数量进行灵活调整的权利。</w:t>
      </w:r>
      <w:bookmarkEnd w:id="9"/>
      <w:bookmarkStart w:id="11" w:name="OLE_LINK38"/>
      <w:r>
        <w:rPr>
          <w:rFonts w:hint="eastAsia" w:ascii="宋体" w:hAnsi="宋体" w:eastAsia="宋体" w:cs="宋体"/>
          <w:b/>
          <w:color w:val="auto"/>
          <w:sz w:val="21"/>
          <w:szCs w:val="21"/>
          <w:highlight w:val="none"/>
        </w:rPr>
        <w:t>合同履约过程中，如</w:t>
      </w:r>
      <w:r>
        <w:rPr>
          <w:rFonts w:hint="eastAsia" w:ascii="宋体" w:hAnsi="宋体" w:eastAsia="宋体" w:cs="宋体"/>
          <w:b/>
          <w:color w:val="auto"/>
          <w:sz w:val="21"/>
          <w:szCs w:val="21"/>
          <w:highlight w:val="none"/>
          <w:lang w:val="en-US" w:eastAsia="zh-CN"/>
        </w:rPr>
        <w:t>本项目</w:t>
      </w:r>
      <w:r>
        <w:rPr>
          <w:rFonts w:hint="eastAsia" w:ascii="宋体" w:hAnsi="宋体" w:eastAsia="宋体" w:cs="宋体"/>
          <w:b/>
          <w:color w:val="auto"/>
          <w:sz w:val="21"/>
          <w:szCs w:val="21"/>
          <w:highlight w:val="none"/>
        </w:rPr>
        <w:t>因</w:t>
      </w:r>
      <w:bookmarkStart w:id="12" w:name="OLE_LINK33"/>
      <w:r>
        <w:rPr>
          <w:rFonts w:hint="eastAsia" w:ascii="宋体" w:hAnsi="宋体" w:eastAsia="宋体" w:cs="宋体"/>
          <w:b/>
          <w:color w:val="auto"/>
          <w:sz w:val="21"/>
          <w:szCs w:val="21"/>
          <w:highlight w:val="none"/>
        </w:rPr>
        <w:t>新增合同主体</w:t>
      </w:r>
      <w:bookmarkEnd w:id="12"/>
      <w:r>
        <w:rPr>
          <w:rFonts w:hint="eastAsia" w:ascii="宋体" w:hAnsi="宋体" w:eastAsia="宋体" w:cs="宋体"/>
          <w:b/>
          <w:color w:val="auto"/>
          <w:sz w:val="21"/>
          <w:szCs w:val="21"/>
          <w:highlight w:val="none"/>
        </w:rPr>
        <w:t>需要额外供货，</w:t>
      </w:r>
      <w:bookmarkStart w:id="13" w:name="OLE_LINK1"/>
      <w:r>
        <w:rPr>
          <w:rFonts w:hint="eastAsia" w:ascii="宋体" w:hAnsi="宋体" w:eastAsia="宋体" w:cs="宋体"/>
          <w:b/>
          <w:color w:val="auto"/>
          <w:sz w:val="21"/>
          <w:szCs w:val="21"/>
          <w:highlight w:val="none"/>
          <w:lang w:val="en-US" w:eastAsia="zh-CN"/>
        </w:rPr>
        <w:t>招标人权属子公司</w:t>
      </w:r>
      <w:bookmarkEnd w:id="13"/>
      <w:r>
        <w:rPr>
          <w:rFonts w:hint="eastAsia" w:ascii="宋体" w:hAnsi="宋体" w:eastAsia="宋体" w:cs="宋体"/>
          <w:b/>
          <w:color w:val="auto"/>
          <w:sz w:val="21"/>
          <w:szCs w:val="21"/>
          <w:highlight w:val="none"/>
          <w:lang w:val="en-US" w:eastAsia="zh-CN"/>
        </w:rPr>
        <w:t>、</w:t>
      </w:r>
      <w:r>
        <w:rPr>
          <w:rFonts w:hint="eastAsia" w:ascii="宋体" w:hAnsi="宋体" w:eastAsia="宋体" w:cs="Times New Roman"/>
          <w:b/>
          <w:bCs/>
          <w:snapToGrid/>
          <w:color w:val="auto"/>
          <w:kern w:val="2"/>
          <w:szCs w:val="21"/>
          <w:highlight w:val="none"/>
          <w:lang w:val="zh-CN"/>
        </w:rPr>
        <w:t>招标人权属子公司</w:t>
      </w:r>
      <w:r>
        <w:rPr>
          <w:rFonts w:hint="eastAsia" w:ascii="宋体" w:hAnsi="宋体" w:eastAsia="宋体" w:cs="Times New Roman"/>
          <w:b/>
          <w:bCs/>
          <w:snapToGrid/>
          <w:color w:val="auto"/>
          <w:kern w:val="2"/>
          <w:szCs w:val="21"/>
          <w:highlight w:val="none"/>
          <w:lang w:val="en-US" w:eastAsia="zh-CN"/>
        </w:rPr>
        <w:t>关联公司</w:t>
      </w:r>
      <w:r>
        <w:rPr>
          <w:rFonts w:hint="eastAsia" w:ascii="宋体" w:hAnsi="宋体" w:eastAsia="宋体" w:cs="宋体"/>
          <w:b/>
          <w:color w:val="auto"/>
          <w:sz w:val="21"/>
          <w:szCs w:val="21"/>
          <w:highlight w:val="none"/>
        </w:rPr>
        <w:t>有权依据不含税中标综合单价与中标人协商并签订补充协议，并确保其作为原合同的有效补充。中标人应充分理解并接受</w:t>
      </w:r>
      <w:r>
        <w:rPr>
          <w:rFonts w:hint="eastAsia" w:ascii="宋体" w:hAnsi="宋体" w:eastAsia="宋体" w:cs="宋体"/>
          <w:b/>
          <w:color w:val="auto"/>
          <w:sz w:val="21"/>
          <w:szCs w:val="21"/>
          <w:highlight w:val="none"/>
          <w:lang w:val="en-US" w:eastAsia="zh-CN"/>
        </w:rPr>
        <w:t>本项目</w:t>
      </w:r>
      <w:r>
        <w:rPr>
          <w:rFonts w:hint="eastAsia" w:ascii="宋体" w:hAnsi="宋体" w:eastAsia="宋体" w:cs="宋体"/>
          <w:b/>
          <w:color w:val="auto"/>
          <w:sz w:val="21"/>
          <w:szCs w:val="21"/>
          <w:highlight w:val="none"/>
        </w:rPr>
        <w:t>在合同履约期间可能新增合同主体的可能性，并承诺在接到</w:t>
      </w:r>
      <w:r>
        <w:rPr>
          <w:rFonts w:hint="eastAsia" w:ascii="宋体" w:hAnsi="宋体" w:eastAsia="宋体" w:cs="宋体"/>
          <w:b/>
          <w:color w:val="auto"/>
          <w:sz w:val="21"/>
          <w:szCs w:val="21"/>
          <w:highlight w:val="none"/>
          <w:lang w:val="en-US" w:eastAsia="zh-CN"/>
        </w:rPr>
        <w:t>招标人权属子公司、</w:t>
      </w:r>
      <w:r>
        <w:rPr>
          <w:rFonts w:hint="eastAsia" w:ascii="宋体" w:hAnsi="宋体" w:eastAsia="宋体" w:cs="Times New Roman"/>
          <w:b/>
          <w:bCs/>
          <w:snapToGrid/>
          <w:color w:val="auto"/>
          <w:kern w:val="2"/>
          <w:szCs w:val="21"/>
          <w:highlight w:val="none"/>
          <w:lang w:val="zh-CN"/>
        </w:rPr>
        <w:t>招标人权属子公司</w:t>
      </w:r>
      <w:r>
        <w:rPr>
          <w:rFonts w:hint="eastAsia" w:ascii="宋体" w:hAnsi="宋体" w:eastAsia="宋体" w:cs="Times New Roman"/>
          <w:b/>
          <w:bCs/>
          <w:snapToGrid/>
          <w:color w:val="auto"/>
          <w:kern w:val="2"/>
          <w:szCs w:val="21"/>
          <w:highlight w:val="none"/>
          <w:lang w:val="en-US" w:eastAsia="zh-CN"/>
        </w:rPr>
        <w:t>关联公司</w:t>
      </w:r>
      <w:r>
        <w:rPr>
          <w:rFonts w:hint="eastAsia" w:ascii="宋体" w:hAnsi="宋体" w:eastAsia="宋体" w:cs="宋体"/>
          <w:b/>
          <w:color w:val="auto"/>
          <w:sz w:val="21"/>
          <w:szCs w:val="21"/>
          <w:highlight w:val="none"/>
        </w:rPr>
        <w:t>关于新增</w:t>
      </w:r>
      <w:r>
        <w:rPr>
          <w:rFonts w:hint="eastAsia" w:ascii="宋体" w:hAnsi="宋体" w:eastAsia="宋体" w:cs="宋体"/>
          <w:b/>
          <w:color w:val="auto"/>
          <w:sz w:val="21"/>
          <w:szCs w:val="21"/>
          <w:highlight w:val="none"/>
          <w:lang w:val="en-US" w:eastAsia="zh-CN"/>
        </w:rPr>
        <w:t>合同主体</w:t>
      </w:r>
      <w:r>
        <w:rPr>
          <w:rFonts w:hint="eastAsia" w:ascii="宋体" w:hAnsi="宋体" w:eastAsia="宋体" w:cs="宋体"/>
          <w:b/>
          <w:color w:val="auto"/>
          <w:sz w:val="21"/>
          <w:szCs w:val="21"/>
          <w:highlight w:val="none"/>
        </w:rPr>
        <w:t>的供货通知及签订补充协议的要求时，积极配合并履行相应的供货义务，确保供货的及时性和质量等符合原合同的要求</w:t>
      </w:r>
      <w:bookmarkEnd w:id="10"/>
      <w:r>
        <w:rPr>
          <w:rFonts w:hint="eastAsia" w:ascii="宋体" w:hAnsi="宋体" w:eastAsia="宋体" w:cs="宋体"/>
          <w:b/>
          <w:color w:val="auto"/>
          <w:sz w:val="21"/>
          <w:szCs w:val="21"/>
          <w:highlight w:val="none"/>
        </w:rPr>
        <w:t>。</w:t>
      </w:r>
      <w:bookmarkEnd w:id="11"/>
      <w:r>
        <w:rPr>
          <w:rFonts w:hint="eastAsia" w:ascii="宋体" w:hAnsi="宋体" w:eastAsia="宋体" w:cs="宋体"/>
          <w:b/>
          <w:color w:val="auto"/>
          <w:sz w:val="21"/>
          <w:szCs w:val="21"/>
          <w:highlight w:val="none"/>
        </w:rPr>
        <w:t>实际</w:t>
      </w:r>
      <w:r>
        <w:rPr>
          <w:rFonts w:hint="eastAsia" w:ascii="宋体" w:hAnsi="宋体" w:eastAsia="宋体" w:cs="宋体"/>
          <w:b/>
          <w:bCs/>
          <w:color w:val="auto"/>
          <w:kern w:val="2"/>
          <w:sz w:val="21"/>
          <w:szCs w:val="21"/>
          <w:highlight w:val="none"/>
        </w:rPr>
        <w:t>招标人运营项目</w:t>
      </w:r>
      <w:r>
        <w:rPr>
          <w:rFonts w:hint="eastAsia" w:ascii="宋体" w:hAnsi="宋体" w:eastAsia="宋体" w:cs="宋体"/>
          <w:b/>
          <w:color w:val="auto"/>
          <w:sz w:val="21"/>
          <w:szCs w:val="21"/>
          <w:highlight w:val="none"/>
        </w:rPr>
        <w:t>根据项目工艺及性质，结合小试及项目实际使用效果选用，招标人的实际需求数量以招标人运营项目每次的供货通知为准，在供货期内</w:t>
      </w:r>
      <w:r>
        <w:rPr>
          <w:rFonts w:hint="eastAsia" w:ascii="宋体" w:hAnsi="宋体" w:eastAsia="宋体" w:cs="宋体"/>
          <w:b/>
          <w:color w:val="auto"/>
          <w:sz w:val="21"/>
          <w:szCs w:val="21"/>
          <w:highlight w:val="none"/>
          <w:lang w:eastAsia="zh-CN"/>
        </w:rPr>
        <w:t>中标人</w:t>
      </w:r>
      <w:r>
        <w:rPr>
          <w:rFonts w:hint="eastAsia" w:ascii="宋体" w:hAnsi="宋体" w:eastAsia="宋体" w:cs="宋体"/>
          <w:b/>
          <w:color w:val="auto"/>
          <w:sz w:val="21"/>
          <w:szCs w:val="21"/>
          <w:highlight w:val="none"/>
        </w:rPr>
        <w:t>不得因招标人实际采购数量的减少或增加而要求提供任何形式的补偿或赔偿，或要求招标人按暂定采购数量采购相应货物。</w:t>
      </w:r>
    </w:p>
    <w:p>
      <w:pPr>
        <w:autoSpaceDE/>
        <w:autoSpaceDN/>
        <w:adjustRightInd/>
        <w:spacing w:line="360" w:lineRule="auto"/>
        <w:ind w:firstLine="422" w:firstLineChars="200"/>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★4、主要技术指标</w:t>
      </w:r>
    </w:p>
    <w:p>
      <w:pPr>
        <w:spacing w:line="360" w:lineRule="auto"/>
        <w:ind w:firstLine="422" w:firstLineChars="200"/>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（1）液体复合碳源产品外观为无色至微黄色透明液体。</w:t>
      </w:r>
    </w:p>
    <w:p>
      <w:pPr>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（2）液体复合碳源产品必须符合《废（污）水处理用复合碳源》（HG/T 5960-2021）质量及检测标准，主要技术指标要求如下：</w:t>
      </w:r>
    </w:p>
    <w:p>
      <w:pPr>
        <w:spacing w:line="360" w:lineRule="auto"/>
        <w:ind w:firstLine="276" w:firstLineChars="131"/>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表1  液体复合碳源主要技术指标</w:t>
      </w:r>
    </w:p>
    <w:tbl>
      <w:tblPr>
        <w:tblStyle w:val="37"/>
        <w:tblW w:w="9788"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7"/>
        <w:gridCol w:w="4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5507" w:type="dxa"/>
            <w:noWrap w:val="0"/>
            <w:vAlign w:val="center"/>
          </w:tcPr>
          <w:p>
            <w:pPr>
              <w:spacing w:line="360" w:lineRule="auto"/>
              <w:ind w:firstLine="276" w:firstLineChars="131"/>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指标项目</w:t>
            </w:r>
          </w:p>
        </w:tc>
        <w:tc>
          <w:tcPr>
            <w:tcW w:w="4281" w:type="dxa"/>
            <w:noWrap w:val="0"/>
            <w:vAlign w:val="center"/>
          </w:tcPr>
          <w:p>
            <w:pPr>
              <w:spacing w:line="360" w:lineRule="auto"/>
              <w:ind w:firstLine="276" w:firstLineChars="131"/>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7" w:type="dxa"/>
            <w:noWrap w:val="0"/>
            <w:vAlign w:val="center"/>
          </w:tcPr>
          <w:p>
            <w:pPr>
              <w:spacing w:line="360" w:lineRule="auto"/>
              <w:ind w:firstLine="276" w:firstLineChars="131"/>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化学需氧量（COD</w:t>
            </w:r>
            <w:r>
              <w:rPr>
                <w:rFonts w:hint="eastAsia" w:ascii="宋体" w:hAnsi="宋体" w:eastAsia="宋体" w:cs="宋体"/>
                <w:b/>
                <w:color w:val="auto"/>
                <w:sz w:val="21"/>
                <w:szCs w:val="21"/>
                <w:highlight w:val="none"/>
                <w:vertAlign w:val="subscript"/>
              </w:rPr>
              <w:t>Cr</w:t>
            </w:r>
            <w:r>
              <w:rPr>
                <w:rFonts w:hint="eastAsia" w:ascii="宋体" w:hAnsi="宋体" w:eastAsia="宋体" w:cs="宋体"/>
                <w:b/>
                <w:color w:val="auto"/>
                <w:sz w:val="21"/>
                <w:szCs w:val="21"/>
                <w:highlight w:val="none"/>
              </w:rPr>
              <w:t>），mg/L</w:t>
            </w:r>
          </w:p>
        </w:tc>
        <w:tc>
          <w:tcPr>
            <w:tcW w:w="4281" w:type="dxa"/>
            <w:noWrap w:val="0"/>
            <w:vAlign w:val="center"/>
          </w:tcPr>
          <w:p>
            <w:pPr>
              <w:spacing w:line="360" w:lineRule="auto"/>
              <w:ind w:firstLine="276" w:firstLineChars="131"/>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≥2.5×10</w:t>
            </w:r>
            <w:r>
              <w:rPr>
                <w:rFonts w:hint="eastAsia" w:ascii="宋体" w:hAnsi="宋体" w:eastAsia="宋体" w:cs="宋体"/>
                <w:b/>
                <w:color w:val="auto"/>
                <w:sz w:val="21"/>
                <w:szCs w:val="21"/>
                <w:highlight w:val="none"/>
                <w:vertAlign w:val="superscript"/>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7" w:type="dxa"/>
            <w:noWrap w:val="0"/>
            <w:vAlign w:val="center"/>
          </w:tcPr>
          <w:p>
            <w:pPr>
              <w:spacing w:line="360" w:lineRule="auto"/>
              <w:ind w:firstLine="276" w:firstLineChars="131"/>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BOD</w:t>
            </w:r>
            <w:r>
              <w:rPr>
                <w:rFonts w:hint="eastAsia" w:ascii="宋体" w:hAnsi="宋体" w:eastAsia="宋体" w:cs="宋体"/>
                <w:b/>
                <w:color w:val="auto"/>
                <w:sz w:val="21"/>
                <w:szCs w:val="21"/>
                <w:highlight w:val="none"/>
                <w:vertAlign w:val="subscript"/>
              </w:rPr>
              <w:t>5</w:t>
            </w:r>
            <w:r>
              <w:rPr>
                <w:rFonts w:hint="eastAsia" w:ascii="宋体" w:hAnsi="宋体" w:eastAsia="宋体" w:cs="宋体"/>
                <w:b/>
                <w:color w:val="auto"/>
                <w:sz w:val="21"/>
                <w:szCs w:val="21"/>
                <w:highlight w:val="none"/>
              </w:rPr>
              <w:t>/COD</w:t>
            </w:r>
            <w:r>
              <w:rPr>
                <w:rFonts w:hint="eastAsia" w:ascii="宋体" w:hAnsi="宋体" w:eastAsia="宋体" w:cs="宋体"/>
                <w:b/>
                <w:color w:val="auto"/>
                <w:sz w:val="21"/>
                <w:szCs w:val="21"/>
                <w:highlight w:val="none"/>
                <w:vertAlign w:val="subscript"/>
              </w:rPr>
              <w:t>Cr</w:t>
            </w:r>
          </w:p>
        </w:tc>
        <w:tc>
          <w:tcPr>
            <w:tcW w:w="4281" w:type="dxa"/>
            <w:noWrap w:val="0"/>
            <w:vAlign w:val="center"/>
          </w:tcPr>
          <w:p>
            <w:pPr>
              <w:spacing w:line="360" w:lineRule="auto"/>
              <w:ind w:firstLine="276" w:firstLineChars="131"/>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7" w:type="dxa"/>
            <w:noWrap w:val="0"/>
            <w:vAlign w:val="center"/>
          </w:tcPr>
          <w:p>
            <w:pPr>
              <w:spacing w:line="360" w:lineRule="auto"/>
              <w:ind w:firstLine="276" w:firstLineChars="131"/>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pH值</w:t>
            </w:r>
          </w:p>
        </w:tc>
        <w:tc>
          <w:tcPr>
            <w:tcW w:w="4281" w:type="dxa"/>
            <w:noWrap w:val="0"/>
            <w:vAlign w:val="center"/>
          </w:tcPr>
          <w:p>
            <w:pPr>
              <w:spacing w:line="360" w:lineRule="auto"/>
              <w:ind w:firstLine="276" w:firstLineChars="131"/>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4.0~9.0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7" w:type="dxa"/>
            <w:noWrap w:val="0"/>
            <w:vAlign w:val="center"/>
          </w:tcPr>
          <w:p>
            <w:pPr>
              <w:spacing w:line="360" w:lineRule="auto"/>
              <w:ind w:firstLine="276" w:firstLineChars="131"/>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水不溶物的质量分数，%</w:t>
            </w:r>
          </w:p>
        </w:tc>
        <w:tc>
          <w:tcPr>
            <w:tcW w:w="4281" w:type="dxa"/>
            <w:noWrap w:val="0"/>
            <w:vAlign w:val="center"/>
          </w:tcPr>
          <w:p>
            <w:pPr>
              <w:spacing w:line="360" w:lineRule="auto"/>
              <w:ind w:firstLine="276" w:firstLineChars="131"/>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7" w:type="dxa"/>
            <w:noWrap w:val="0"/>
            <w:vAlign w:val="center"/>
          </w:tcPr>
          <w:p>
            <w:pPr>
              <w:spacing w:line="360" w:lineRule="auto"/>
              <w:ind w:firstLine="276" w:firstLineChars="131"/>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氯化物（Cl）的质量分数，%</w:t>
            </w:r>
          </w:p>
        </w:tc>
        <w:tc>
          <w:tcPr>
            <w:tcW w:w="4281" w:type="dxa"/>
            <w:noWrap w:val="0"/>
            <w:vAlign w:val="center"/>
          </w:tcPr>
          <w:p>
            <w:pPr>
              <w:spacing w:line="360" w:lineRule="auto"/>
              <w:ind w:firstLine="276" w:firstLineChars="131"/>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≤0.025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7" w:type="dxa"/>
            <w:noWrap w:val="0"/>
            <w:vAlign w:val="center"/>
          </w:tcPr>
          <w:p>
            <w:pPr>
              <w:spacing w:line="360" w:lineRule="auto"/>
              <w:ind w:firstLine="276" w:firstLineChars="131"/>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硫酸盐（SO</w:t>
            </w:r>
            <w:r>
              <w:rPr>
                <w:rFonts w:hint="eastAsia" w:ascii="宋体" w:hAnsi="宋体" w:eastAsia="宋体" w:cs="宋体"/>
                <w:b/>
                <w:color w:val="auto"/>
                <w:sz w:val="21"/>
                <w:szCs w:val="21"/>
                <w:highlight w:val="none"/>
                <w:vertAlign w:val="subscript"/>
              </w:rPr>
              <w:t>4</w:t>
            </w:r>
            <w:r>
              <w:rPr>
                <w:rFonts w:hint="eastAsia" w:ascii="宋体" w:hAnsi="宋体" w:eastAsia="宋体" w:cs="宋体"/>
                <w:b/>
                <w:color w:val="auto"/>
                <w:sz w:val="21"/>
                <w:szCs w:val="21"/>
                <w:highlight w:val="none"/>
              </w:rPr>
              <w:t>）的质量分数，%</w:t>
            </w:r>
          </w:p>
        </w:tc>
        <w:tc>
          <w:tcPr>
            <w:tcW w:w="4281" w:type="dxa"/>
            <w:noWrap w:val="0"/>
            <w:vAlign w:val="center"/>
          </w:tcPr>
          <w:p>
            <w:pPr>
              <w:spacing w:line="360" w:lineRule="auto"/>
              <w:ind w:firstLine="276" w:firstLineChars="131"/>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≤0.025</w:t>
            </w:r>
          </w:p>
        </w:tc>
      </w:tr>
    </w:tbl>
    <w:p>
      <w:pPr>
        <w:autoSpaceDE/>
        <w:autoSpaceDN/>
        <w:adjustRightInd/>
        <w:spacing w:line="360" w:lineRule="auto"/>
        <w:ind w:firstLine="422" w:firstLineChars="200"/>
        <w:jc w:val="both"/>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（3）供货期间，如有发布最新的行业标准或国家标准，招标人有权根据招标人运营项目实际情况及有关行业标准或国家标准对合同的主要技术指标进行变更调整，投标人应无条件接受。</w:t>
      </w:r>
    </w:p>
    <w:p>
      <w:pPr>
        <w:autoSpaceDE/>
        <w:autoSpaceDN/>
        <w:adjustRightInd/>
        <w:spacing w:line="360" w:lineRule="auto"/>
        <w:ind w:firstLine="422" w:firstLineChars="200"/>
        <w:jc w:val="both"/>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w:t>
      </w:r>
      <w:r>
        <w:rPr>
          <w:rFonts w:hint="eastAsia" w:ascii="宋体" w:hAnsi="宋体" w:eastAsia="宋体" w:cs="宋体"/>
          <w:b/>
          <w:bCs w:val="0"/>
          <w:color w:val="auto"/>
          <w:sz w:val="21"/>
          <w:szCs w:val="21"/>
          <w:highlight w:val="none"/>
          <w:lang w:val="en-US" w:eastAsia="zh-CN"/>
        </w:rPr>
        <w:t>4</w:t>
      </w:r>
      <w:r>
        <w:rPr>
          <w:rFonts w:hint="eastAsia" w:ascii="宋体" w:hAnsi="宋体" w:eastAsia="宋体" w:cs="宋体"/>
          <w:b/>
          <w:bCs w:val="0"/>
          <w:color w:val="auto"/>
          <w:sz w:val="21"/>
          <w:szCs w:val="21"/>
          <w:highlight w:val="none"/>
        </w:rPr>
        <w:t>）投标人的投标产品必须是无安全风险、稳定、各成分无化学反应的产品。</w:t>
      </w:r>
    </w:p>
    <w:p>
      <w:pPr>
        <w:autoSpaceDE/>
        <w:autoSpaceDN/>
        <w:adjustRightInd/>
        <w:spacing w:line="360" w:lineRule="auto"/>
        <w:ind w:firstLine="422" w:firstLineChars="200"/>
        <w:jc w:val="both"/>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w:t>
      </w:r>
      <w:r>
        <w:rPr>
          <w:rFonts w:hint="eastAsia" w:ascii="宋体" w:hAnsi="宋体" w:eastAsia="宋体" w:cs="宋体"/>
          <w:b/>
          <w:bCs w:val="0"/>
          <w:color w:val="auto"/>
          <w:sz w:val="21"/>
          <w:szCs w:val="21"/>
          <w:highlight w:val="none"/>
          <w:lang w:val="en-US" w:eastAsia="zh-CN"/>
        </w:rPr>
        <w:t>5</w:t>
      </w:r>
      <w:r>
        <w:rPr>
          <w:rFonts w:hint="eastAsia" w:ascii="宋体" w:hAnsi="宋体" w:eastAsia="宋体" w:cs="宋体"/>
          <w:b/>
          <w:bCs w:val="0"/>
          <w:color w:val="auto"/>
          <w:sz w:val="21"/>
          <w:szCs w:val="21"/>
          <w:highlight w:val="none"/>
        </w:rPr>
        <w:t>）投标人的投标产品不得对招标人运营项目活性污泥微生物造成有毒有害影响，不得影响招标人运营项目出水总氮、总磷等指标。</w:t>
      </w:r>
    </w:p>
    <w:p>
      <w:pPr>
        <w:autoSpaceDE/>
        <w:autoSpaceDN/>
        <w:adjustRightInd/>
        <w:spacing w:line="360" w:lineRule="auto"/>
        <w:ind w:firstLine="422" w:firstLineChars="200"/>
        <w:jc w:val="both"/>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w:t>
      </w:r>
      <w:r>
        <w:rPr>
          <w:rFonts w:hint="eastAsia" w:ascii="宋体" w:hAnsi="宋体" w:eastAsia="宋体" w:cs="宋体"/>
          <w:b/>
          <w:bCs w:val="0"/>
          <w:color w:val="auto"/>
          <w:sz w:val="21"/>
          <w:szCs w:val="21"/>
          <w:highlight w:val="none"/>
          <w:lang w:val="en-US" w:eastAsia="zh-CN"/>
        </w:rPr>
        <w:t>6</w:t>
      </w:r>
      <w:r>
        <w:rPr>
          <w:rFonts w:hint="eastAsia" w:ascii="宋体" w:hAnsi="宋体" w:eastAsia="宋体" w:cs="宋体"/>
          <w:b/>
          <w:bCs w:val="0"/>
          <w:color w:val="auto"/>
          <w:sz w:val="21"/>
          <w:szCs w:val="21"/>
          <w:highlight w:val="none"/>
        </w:rPr>
        <w:t>）投标人所供产品的真实质量，必须满足本用户需求书的所有技术指标。</w:t>
      </w:r>
    </w:p>
    <w:p>
      <w:pPr>
        <w:autoSpaceDE/>
        <w:autoSpaceDN/>
        <w:adjustRightInd/>
        <w:spacing w:line="360" w:lineRule="auto"/>
        <w:ind w:firstLine="422" w:firstLineChars="200"/>
        <w:jc w:val="both"/>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w:t>
      </w:r>
      <w:r>
        <w:rPr>
          <w:rFonts w:hint="eastAsia" w:ascii="宋体" w:hAnsi="宋体" w:eastAsia="宋体" w:cs="宋体"/>
          <w:b/>
          <w:bCs w:val="0"/>
          <w:color w:val="auto"/>
          <w:sz w:val="21"/>
          <w:szCs w:val="21"/>
          <w:highlight w:val="none"/>
          <w:lang w:val="en-US" w:eastAsia="zh-CN"/>
        </w:rPr>
        <w:t>7</w:t>
      </w:r>
      <w:r>
        <w:rPr>
          <w:rFonts w:hint="eastAsia" w:ascii="宋体" w:hAnsi="宋体" w:eastAsia="宋体" w:cs="宋体"/>
          <w:b/>
          <w:bCs w:val="0"/>
          <w:color w:val="auto"/>
          <w:sz w:val="21"/>
          <w:szCs w:val="21"/>
          <w:highlight w:val="none"/>
        </w:rPr>
        <w:t>）投标人须根据招标人运营项目的情况，提供满足各运营项目正常生产运营的投标产品。</w:t>
      </w:r>
    </w:p>
    <w:p>
      <w:pPr>
        <w:numPr>
          <w:ilvl w:val="0"/>
          <w:numId w:val="1"/>
        </w:numPr>
        <w:autoSpaceDE/>
        <w:autoSpaceDN/>
        <w:adjustRightInd/>
        <w:spacing w:line="360" w:lineRule="auto"/>
        <w:jc w:val="both"/>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交货要求</w:t>
      </w:r>
    </w:p>
    <w:p>
      <w:pPr>
        <w:spacing w:line="360" w:lineRule="auto"/>
        <w:ind w:firstLine="420" w:firstLineChars="200"/>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1、交货地点：招标人</w:t>
      </w:r>
      <w:r>
        <w:rPr>
          <w:rFonts w:hint="eastAsia" w:ascii="宋体" w:hAnsi="宋体" w:eastAsia="宋体" w:cs="宋体"/>
          <w:color w:val="auto"/>
          <w:kern w:val="2"/>
          <w:sz w:val="21"/>
          <w:szCs w:val="21"/>
          <w:highlight w:val="none"/>
        </w:rPr>
        <w:t>在东莞市范围内的</w:t>
      </w:r>
      <w:r>
        <w:rPr>
          <w:rFonts w:hint="eastAsia" w:ascii="宋体" w:hAnsi="宋体" w:eastAsia="宋体" w:cs="宋体"/>
          <w:color w:val="auto"/>
          <w:sz w:val="21"/>
          <w:szCs w:val="21"/>
          <w:highlight w:val="none"/>
        </w:rPr>
        <w:t>运营项目。</w:t>
      </w:r>
    </w:p>
    <w:p>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2、交货时间：日常供货（非加急供货</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为接到供货通知24小时内，加急供货为接到供货通知4小时内，具体交货时间以招标人运营项目供货通知为准。招标人无需因加急供货而额外支付任何费用。</w:t>
      </w:r>
    </w:p>
    <w:p>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w:t>
      </w:r>
      <w:r>
        <w:rPr>
          <w:rFonts w:hint="eastAsia" w:ascii="宋体" w:hAnsi="宋体" w:eastAsia="宋体" w:cs="宋体"/>
          <w:color w:val="auto"/>
          <w:kern w:val="2"/>
          <w:sz w:val="21"/>
          <w:szCs w:val="21"/>
          <w:highlight w:val="none"/>
          <w:lang w:eastAsia="zh-CN"/>
        </w:rPr>
        <w:t>中标人</w:t>
      </w:r>
      <w:r>
        <w:rPr>
          <w:rFonts w:hint="eastAsia" w:ascii="宋体" w:hAnsi="宋体" w:eastAsia="宋体" w:cs="宋体"/>
          <w:color w:val="auto"/>
          <w:kern w:val="2"/>
          <w:sz w:val="21"/>
          <w:szCs w:val="21"/>
          <w:highlight w:val="none"/>
        </w:rPr>
        <w:t>自行负责将生产药剂运送至招标人运营项目指定位置（生产药剂储存罐），未经招标人书面同意，</w:t>
      </w:r>
      <w:r>
        <w:rPr>
          <w:rFonts w:hint="eastAsia" w:ascii="宋体" w:hAnsi="宋体" w:eastAsia="宋体" w:cs="宋体"/>
          <w:color w:val="auto"/>
          <w:kern w:val="2"/>
          <w:sz w:val="21"/>
          <w:szCs w:val="21"/>
          <w:highlight w:val="none"/>
          <w:lang w:eastAsia="zh-CN"/>
        </w:rPr>
        <w:t>中标人</w:t>
      </w:r>
      <w:r>
        <w:rPr>
          <w:rFonts w:hint="eastAsia" w:ascii="宋体" w:hAnsi="宋体" w:eastAsia="宋体" w:cs="宋体"/>
          <w:color w:val="auto"/>
          <w:kern w:val="2"/>
          <w:sz w:val="21"/>
          <w:szCs w:val="21"/>
          <w:highlight w:val="none"/>
        </w:rPr>
        <w:t>不得私自将本合同项下的货物运输义务委托第三方个人或企业。</w:t>
      </w:r>
      <w:r>
        <w:rPr>
          <w:rFonts w:hint="eastAsia" w:ascii="宋体" w:hAnsi="宋体" w:eastAsia="宋体" w:cs="宋体"/>
          <w:color w:val="auto"/>
          <w:kern w:val="2"/>
          <w:sz w:val="21"/>
          <w:szCs w:val="21"/>
          <w:highlight w:val="none"/>
          <w:lang w:eastAsia="zh-CN"/>
        </w:rPr>
        <w:t>中标人</w:t>
      </w:r>
      <w:r>
        <w:rPr>
          <w:rFonts w:hint="eastAsia" w:ascii="宋体" w:hAnsi="宋体" w:eastAsia="宋体" w:cs="宋体"/>
          <w:color w:val="auto"/>
          <w:kern w:val="2"/>
          <w:sz w:val="21"/>
          <w:szCs w:val="21"/>
          <w:highlight w:val="none"/>
        </w:rPr>
        <w:t>承担相应的运输、装卸等费用，运输人员应配备足够防护器具。如在运输及装卸过程中，生产药剂发生泄漏，应由</w:t>
      </w:r>
      <w:r>
        <w:rPr>
          <w:rFonts w:hint="eastAsia" w:ascii="宋体" w:hAnsi="宋体" w:eastAsia="宋体" w:cs="宋体"/>
          <w:color w:val="auto"/>
          <w:kern w:val="2"/>
          <w:sz w:val="21"/>
          <w:szCs w:val="21"/>
          <w:highlight w:val="none"/>
          <w:lang w:eastAsia="zh-CN"/>
        </w:rPr>
        <w:t>中标人</w:t>
      </w:r>
      <w:r>
        <w:rPr>
          <w:rFonts w:hint="eastAsia" w:ascii="宋体" w:hAnsi="宋体" w:eastAsia="宋体" w:cs="宋体"/>
          <w:color w:val="auto"/>
          <w:kern w:val="2"/>
          <w:sz w:val="21"/>
          <w:szCs w:val="21"/>
          <w:highlight w:val="none"/>
        </w:rPr>
        <w:t>负责清理收集，避免造成人员伤害或环境污染。</w:t>
      </w:r>
    </w:p>
    <w:p>
      <w:pPr>
        <w:autoSpaceDE/>
        <w:autoSpaceDN/>
        <w:adjustRightInd/>
        <w:spacing w:line="360" w:lineRule="auto"/>
        <w:ind w:firstLine="420" w:firstLineChars="2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4、每次送货，</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须提供电子地磅的称重单（含载货时的称重单和卸货后的称重单），相关费用由</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承担。实际供货数量以招标人运营项目和</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双方确认的电子地磅的称重单为准。</w:t>
      </w:r>
      <w:r>
        <w:rPr>
          <w:rFonts w:hint="eastAsia" w:ascii="宋体" w:hAnsi="宋体" w:eastAsia="宋体" w:cs="宋体"/>
          <w:color w:val="auto"/>
          <w:kern w:val="2"/>
          <w:sz w:val="21"/>
          <w:szCs w:val="21"/>
          <w:highlight w:val="none"/>
        </w:rPr>
        <w:t>招标人运营项目</w:t>
      </w:r>
      <w:r>
        <w:rPr>
          <w:rFonts w:hint="eastAsia" w:ascii="宋体" w:hAnsi="宋体" w:eastAsia="宋体" w:cs="宋体"/>
          <w:color w:val="auto"/>
          <w:kern w:val="2"/>
          <w:sz w:val="21"/>
          <w:szCs w:val="21"/>
          <w:highlight w:val="none"/>
          <w:lang w:val="en-US" w:eastAsia="zh-CN"/>
        </w:rPr>
        <w:t>有电子地磅的，原则上在招标人运营项目过磅；招标人运营项目无电子地磅或电子地磅因检修等原因不可用的，在</w:t>
      </w:r>
      <w:r>
        <w:rPr>
          <w:rFonts w:hint="eastAsia" w:ascii="宋体" w:hAnsi="宋体" w:eastAsia="宋体" w:cs="宋体"/>
          <w:color w:val="auto"/>
          <w:kern w:val="2"/>
          <w:sz w:val="21"/>
          <w:szCs w:val="21"/>
          <w:highlight w:val="none"/>
        </w:rPr>
        <w:t>交货地点附近的</w:t>
      </w:r>
      <w:r>
        <w:rPr>
          <w:rFonts w:hint="eastAsia" w:ascii="宋体" w:hAnsi="宋体" w:eastAsia="宋体" w:cs="宋体"/>
          <w:color w:val="auto"/>
          <w:kern w:val="2"/>
          <w:sz w:val="21"/>
          <w:szCs w:val="21"/>
          <w:highlight w:val="none"/>
          <w:lang w:val="en-US" w:eastAsia="zh-CN"/>
        </w:rPr>
        <w:t>电子地磅过磅。</w:t>
      </w:r>
      <w:r>
        <w:rPr>
          <w:rFonts w:hint="eastAsia" w:ascii="宋体" w:hAnsi="宋体" w:eastAsia="宋体" w:cs="宋体"/>
          <w:color w:val="auto"/>
          <w:szCs w:val="21"/>
        </w:rPr>
        <w:t>招标人电子地磅的称重服务不含税单价为1.51元/吨，称重服务相关条款由招标人或招标人权属子公司与中标人签订称重服务合同另行约定。</w:t>
      </w:r>
    </w:p>
    <w:p>
      <w:pPr>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5、</w:t>
      </w:r>
      <w:r>
        <w:rPr>
          <w:rFonts w:hint="eastAsia" w:ascii="宋体" w:hAnsi="宋体" w:eastAsia="宋体" w:cs="宋体"/>
          <w:color w:val="auto"/>
          <w:sz w:val="21"/>
          <w:szCs w:val="21"/>
          <w:highlight w:val="none"/>
        </w:rPr>
        <w:t>每次送货，</w:t>
      </w:r>
      <w:r>
        <w:rPr>
          <w:rFonts w:hint="eastAsia" w:ascii="宋体" w:hAnsi="宋体" w:eastAsia="宋体" w:cs="宋体"/>
          <w:color w:val="auto"/>
          <w:kern w:val="2"/>
          <w:sz w:val="21"/>
          <w:szCs w:val="21"/>
          <w:highlight w:val="none"/>
          <w:lang w:eastAsia="zh-CN"/>
        </w:rPr>
        <w:t>中标人</w:t>
      </w:r>
      <w:r>
        <w:rPr>
          <w:rFonts w:hint="eastAsia" w:ascii="宋体" w:hAnsi="宋体" w:eastAsia="宋体" w:cs="宋体"/>
          <w:color w:val="auto"/>
          <w:kern w:val="2"/>
          <w:sz w:val="21"/>
          <w:szCs w:val="21"/>
          <w:highlight w:val="none"/>
        </w:rPr>
        <w:t>须随货提供生产厂家出具的具有</w:t>
      </w:r>
      <w:r>
        <w:rPr>
          <w:rFonts w:hint="eastAsia" w:ascii="宋体" w:hAnsi="宋体" w:eastAsia="宋体" w:cs="宋体"/>
          <w:b/>
          <w:bCs/>
          <w:color w:val="auto"/>
          <w:kern w:val="2"/>
          <w:sz w:val="21"/>
          <w:szCs w:val="21"/>
          <w:highlight w:val="none"/>
        </w:rPr>
        <w:t>生产厂家、出厂批号、化学需氧量（COD</w:t>
      </w:r>
      <w:r>
        <w:rPr>
          <w:rFonts w:hint="eastAsia" w:ascii="宋体" w:hAnsi="宋体" w:eastAsia="宋体" w:cs="宋体"/>
          <w:b/>
          <w:bCs/>
          <w:color w:val="auto"/>
          <w:kern w:val="2"/>
          <w:sz w:val="21"/>
          <w:szCs w:val="21"/>
          <w:highlight w:val="none"/>
          <w:vertAlign w:val="subscript"/>
        </w:rPr>
        <w:t>Cr</w:t>
      </w:r>
      <w:r>
        <w:rPr>
          <w:rFonts w:hint="eastAsia" w:ascii="宋体" w:hAnsi="宋体" w:eastAsia="宋体" w:cs="宋体"/>
          <w:b/>
          <w:bCs/>
          <w:color w:val="auto"/>
          <w:kern w:val="2"/>
          <w:sz w:val="21"/>
          <w:szCs w:val="21"/>
          <w:highlight w:val="none"/>
        </w:rPr>
        <w:t>）、pH值、水不溶物、氯化物等主要信息</w:t>
      </w:r>
      <w:r>
        <w:rPr>
          <w:rFonts w:hint="eastAsia" w:ascii="宋体" w:hAnsi="宋体" w:eastAsia="宋体" w:cs="宋体"/>
          <w:color w:val="auto"/>
          <w:kern w:val="2"/>
          <w:sz w:val="21"/>
          <w:szCs w:val="21"/>
          <w:highlight w:val="none"/>
        </w:rPr>
        <w:t>的</w:t>
      </w:r>
      <w:r>
        <w:rPr>
          <w:rFonts w:hint="eastAsia" w:ascii="宋体" w:hAnsi="宋体" w:eastAsia="宋体" w:cs="宋体"/>
          <w:color w:val="auto"/>
          <w:szCs w:val="21"/>
          <w:highlight w:val="none"/>
        </w:rPr>
        <w:t>符合表1《液体复合碳源主要技术指标》要求的</w:t>
      </w:r>
      <w:r>
        <w:rPr>
          <w:rFonts w:hint="eastAsia" w:ascii="宋体" w:hAnsi="宋体" w:eastAsia="宋体" w:cs="宋体"/>
          <w:color w:val="auto"/>
          <w:kern w:val="2"/>
          <w:sz w:val="21"/>
          <w:szCs w:val="21"/>
          <w:highlight w:val="none"/>
        </w:rPr>
        <w:t>产品质量检验报告（如出厂检验报告、质量检验报告等）、供货单据等资料</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提供的检验报告只作为招标人</w:t>
      </w:r>
      <w:r>
        <w:rPr>
          <w:rFonts w:hint="eastAsia" w:ascii="宋体" w:hAnsi="宋体" w:eastAsia="宋体" w:cs="宋体"/>
          <w:color w:val="auto"/>
          <w:kern w:val="2"/>
          <w:sz w:val="21"/>
          <w:szCs w:val="21"/>
          <w:highlight w:val="none"/>
        </w:rPr>
        <w:t>运营项目</w:t>
      </w:r>
      <w:r>
        <w:rPr>
          <w:rFonts w:hint="eastAsia" w:ascii="宋体" w:hAnsi="宋体" w:eastAsia="宋体" w:cs="宋体"/>
          <w:color w:val="auto"/>
          <w:sz w:val="21"/>
          <w:szCs w:val="21"/>
          <w:highlight w:val="none"/>
        </w:rPr>
        <w:t>参考。</w:t>
      </w:r>
    </w:p>
    <w:p>
      <w:pPr>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6、供货期间，在收到招标人</w:t>
      </w:r>
      <w:r>
        <w:rPr>
          <w:rFonts w:hint="eastAsia" w:ascii="宋体" w:hAnsi="宋体" w:eastAsia="宋体" w:cs="宋体"/>
          <w:color w:val="auto"/>
          <w:kern w:val="2"/>
          <w:sz w:val="21"/>
          <w:szCs w:val="21"/>
          <w:highlight w:val="none"/>
        </w:rPr>
        <w:t>运营项目供货</w:t>
      </w:r>
      <w:r>
        <w:rPr>
          <w:rFonts w:hint="eastAsia" w:ascii="宋体" w:hAnsi="宋体" w:eastAsia="宋体" w:cs="宋体"/>
          <w:color w:val="auto"/>
          <w:sz w:val="21"/>
          <w:szCs w:val="21"/>
          <w:highlight w:val="none"/>
        </w:rPr>
        <w:t>通知前，</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无需为合同履行做准备工作。招标人运营项目相关信息见附件，仅供投标人报价参考。</w:t>
      </w:r>
    </w:p>
    <w:p>
      <w:pPr>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7、关于生产药剂的贮存装置、贮存条件等要求，</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应</w:t>
      </w:r>
      <w:r>
        <w:rPr>
          <w:rFonts w:hint="eastAsia" w:ascii="宋体" w:hAnsi="宋体" w:eastAsia="宋体" w:cs="宋体"/>
          <w:color w:val="auto"/>
          <w:kern w:val="2"/>
          <w:sz w:val="21"/>
          <w:szCs w:val="21"/>
          <w:highlight w:val="none"/>
        </w:rPr>
        <w:t>以书面形式</w:t>
      </w:r>
      <w:r>
        <w:rPr>
          <w:rFonts w:hint="eastAsia" w:ascii="宋体" w:hAnsi="宋体" w:eastAsia="宋体" w:cs="宋体"/>
          <w:color w:val="auto"/>
          <w:sz w:val="21"/>
          <w:szCs w:val="21"/>
          <w:highlight w:val="none"/>
        </w:rPr>
        <w:t>详细告知招标人</w:t>
      </w:r>
      <w:r>
        <w:rPr>
          <w:rFonts w:hint="eastAsia" w:ascii="宋体" w:hAnsi="宋体" w:eastAsia="宋体" w:cs="宋体"/>
          <w:color w:val="auto"/>
          <w:kern w:val="2"/>
          <w:sz w:val="21"/>
          <w:szCs w:val="21"/>
          <w:highlight w:val="none"/>
        </w:rPr>
        <w:t>运营项目</w:t>
      </w:r>
      <w:r>
        <w:rPr>
          <w:rFonts w:hint="eastAsia" w:ascii="宋体" w:hAnsi="宋体" w:eastAsia="宋体" w:cs="宋体"/>
          <w:color w:val="auto"/>
          <w:sz w:val="21"/>
          <w:szCs w:val="21"/>
          <w:highlight w:val="none"/>
        </w:rPr>
        <w:t>。</w:t>
      </w:r>
    </w:p>
    <w:p>
      <w:pPr>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生产药剂的运送及输送方式应符合国家或行业规范标准。液体药剂采用聚乙烯塑料桶或专用耐酸碱耐腐蚀贮罐等密闭容器装运,运输过程防止药剂泄漏并避免有毒物品的污染，不得与有腐蚀性及强氧化性的物品混装、混运，且</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或其委托的运输单位应当具备国家及行业规定的运输资质。</w:t>
      </w:r>
    </w:p>
    <w:p>
      <w:pPr>
        <w:numPr>
          <w:ilvl w:val="0"/>
          <w:numId w:val="1"/>
        </w:numPr>
        <w:autoSpaceDE/>
        <w:autoSpaceDN/>
        <w:adjustRightInd/>
        <w:spacing w:line="360" w:lineRule="auto"/>
        <w:jc w:val="both"/>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验收要求</w:t>
      </w:r>
    </w:p>
    <w:p>
      <w:pPr>
        <w:autoSpaceDE/>
        <w:autoSpaceDN/>
        <w:adjustRightInd/>
        <w:spacing w:line="360" w:lineRule="auto"/>
        <w:ind w:firstLine="420" w:firstLineChars="200"/>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1、验收分为货到交货地点的初步验收，和货物检验合格后的最终验收。</w:t>
      </w:r>
    </w:p>
    <w:p>
      <w:pPr>
        <w:autoSpaceDE/>
        <w:autoSpaceDN/>
        <w:adjustRightInd/>
        <w:spacing w:line="360" w:lineRule="auto"/>
        <w:ind w:firstLine="422" w:firstLineChars="200"/>
        <w:jc w:val="both"/>
        <w:outlineLvl w:val="9"/>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（1）初步验收：</w:t>
      </w:r>
    </w:p>
    <w:p>
      <w:pPr>
        <w:autoSpaceDE/>
        <w:autoSpaceDN/>
        <w:adjustRightInd/>
        <w:spacing w:line="360" w:lineRule="auto"/>
        <w:ind w:firstLine="420" w:firstLineChars="200"/>
        <w:jc w:val="both"/>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1）货物运抵交货地点，招标人运营项目、</w:t>
      </w:r>
      <w:r>
        <w:rPr>
          <w:rFonts w:hint="eastAsia" w:ascii="宋体" w:hAnsi="宋体" w:eastAsia="宋体" w:cs="宋体"/>
          <w:color w:val="auto"/>
          <w:kern w:val="2"/>
          <w:sz w:val="21"/>
          <w:szCs w:val="21"/>
          <w:highlight w:val="none"/>
          <w:lang w:eastAsia="zh-CN"/>
        </w:rPr>
        <w:t>中标人</w:t>
      </w:r>
      <w:r>
        <w:rPr>
          <w:rFonts w:hint="eastAsia" w:ascii="宋体" w:hAnsi="宋体" w:eastAsia="宋体" w:cs="宋体"/>
          <w:color w:val="auto"/>
          <w:kern w:val="2"/>
          <w:sz w:val="21"/>
          <w:szCs w:val="21"/>
          <w:highlight w:val="none"/>
        </w:rPr>
        <w:t>共同验货。招标人运营项目按照本项目合同及招标文件，对货物的数量、品种、随车产品质量检验报告、供货单据等进行核对。</w:t>
      </w:r>
    </w:p>
    <w:p>
      <w:pPr>
        <w:autoSpaceDE/>
        <w:autoSpaceDN/>
        <w:adjustRightInd/>
        <w:spacing w:line="360" w:lineRule="auto"/>
        <w:ind w:firstLine="420" w:firstLineChars="200"/>
        <w:jc w:val="both"/>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2）初步验收合格后，招标人运营项目、</w:t>
      </w:r>
      <w:r>
        <w:rPr>
          <w:rFonts w:hint="eastAsia" w:ascii="宋体" w:hAnsi="宋体" w:eastAsia="宋体" w:cs="宋体"/>
          <w:color w:val="auto"/>
          <w:kern w:val="2"/>
          <w:sz w:val="21"/>
          <w:szCs w:val="21"/>
          <w:highlight w:val="none"/>
          <w:lang w:eastAsia="zh-CN"/>
        </w:rPr>
        <w:t>中标人</w:t>
      </w:r>
      <w:r>
        <w:rPr>
          <w:rFonts w:hint="eastAsia" w:ascii="宋体" w:hAnsi="宋体" w:eastAsia="宋体" w:cs="宋体"/>
          <w:color w:val="auto"/>
          <w:kern w:val="2"/>
          <w:sz w:val="21"/>
          <w:szCs w:val="21"/>
          <w:highlight w:val="none"/>
        </w:rPr>
        <w:t>双方进行相关签收手续。</w:t>
      </w:r>
    </w:p>
    <w:p>
      <w:pPr>
        <w:autoSpaceDE/>
        <w:autoSpaceDN/>
        <w:adjustRightInd/>
        <w:spacing w:line="360" w:lineRule="auto"/>
        <w:ind w:firstLine="422" w:firstLineChars="200"/>
        <w:jc w:val="both"/>
        <w:outlineLvl w:val="9"/>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（2）最终验收</w:t>
      </w:r>
    </w:p>
    <w:p>
      <w:pPr>
        <w:autoSpaceDE/>
        <w:autoSpaceDN/>
        <w:adjustRightInd/>
        <w:spacing w:line="360" w:lineRule="auto"/>
        <w:ind w:firstLine="420" w:firstLineChars="200"/>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1）招标人</w:t>
      </w:r>
      <w:r>
        <w:rPr>
          <w:rFonts w:hint="eastAsia" w:ascii="宋体" w:hAnsi="宋体" w:eastAsia="宋体" w:cs="宋体"/>
          <w:color w:val="auto"/>
          <w:kern w:val="2"/>
          <w:sz w:val="21"/>
          <w:szCs w:val="21"/>
          <w:highlight w:val="none"/>
        </w:rPr>
        <w:t>运营项目</w:t>
      </w:r>
      <w:r>
        <w:rPr>
          <w:rFonts w:hint="eastAsia" w:ascii="宋体" w:hAnsi="宋体" w:eastAsia="宋体" w:cs="宋体"/>
          <w:color w:val="auto"/>
          <w:sz w:val="21"/>
          <w:szCs w:val="21"/>
          <w:highlight w:val="none"/>
        </w:rPr>
        <w:t>对每次供货货物检验，检验指标由招标人在表1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液体复合碳源主要技术指标</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中选择，其中化学需氧量、</w:t>
      </w:r>
      <w:r>
        <w:rPr>
          <w:rFonts w:hint="eastAsia" w:ascii="宋体" w:hAnsi="宋体" w:eastAsia="宋体" w:cs="宋体"/>
          <w:bCs/>
          <w:color w:val="auto"/>
          <w:sz w:val="21"/>
          <w:szCs w:val="21"/>
          <w:highlight w:val="none"/>
        </w:rPr>
        <w:t>BOD</w:t>
      </w:r>
      <w:r>
        <w:rPr>
          <w:rFonts w:hint="eastAsia" w:ascii="宋体" w:hAnsi="宋体" w:eastAsia="宋体" w:cs="宋体"/>
          <w:bCs/>
          <w:color w:val="auto"/>
          <w:sz w:val="21"/>
          <w:szCs w:val="21"/>
          <w:highlight w:val="none"/>
          <w:vertAlign w:val="subscript"/>
        </w:rPr>
        <w:t>5</w:t>
      </w:r>
      <w:r>
        <w:rPr>
          <w:rFonts w:hint="eastAsia" w:ascii="宋体" w:hAnsi="宋体" w:eastAsia="宋体" w:cs="宋体"/>
          <w:bCs/>
          <w:color w:val="auto"/>
          <w:sz w:val="21"/>
          <w:szCs w:val="21"/>
          <w:highlight w:val="none"/>
        </w:rPr>
        <w:t>/COD</w:t>
      </w:r>
      <w:r>
        <w:rPr>
          <w:rFonts w:hint="eastAsia" w:ascii="宋体" w:hAnsi="宋体" w:eastAsia="宋体" w:cs="宋体"/>
          <w:bCs/>
          <w:color w:val="auto"/>
          <w:sz w:val="21"/>
          <w:szCs w:val="21"/>
          <w:highlight w:val="none"/>
          <w:vertAlign w:val="subscript"/>
        </w:rPr>
        <w:t>Cr</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rPr>
        <w:t>pH为每次供货货物的批检检验指标，其余指标为招标人根据需要抽检的按需检验指标，货物批检检验指标和按需检验指标由招标人根据招标人</w:t>
      </w:r>
      <w:r>
        <w:rPr>
          <w:rFonts w:hint="eastAsia" w:ascii="宋体" w:hAnsi="宋体" w:eastAsia="宋体" w:cs="宋体"/>
          <w:color w:val="auto"/>
          <w:sz w:val="21"/>
          <w:szCs w:val="21"/>
          <w:highlight w:val="none"/>
          <w:lang w:bidi="ar"/>
        </w:rPr>
        <w:t>关于药剂的管理制度及要求适时调整。</w:t>
      </w:r>
      <w:r>
        <w:rPr>
          <w:rFonts w:hint="eastAsia" w:ascii="宋体" w:hAnsi="宋体" w:eastAsia="宋体" w:cs="宋体"/>
          <w:color w:val="auto"/>
          <w:sz w:val="21"/>
          <w:szCs w:val="21"/>
          <w:highlight w:val="none"/>
        </w:rPr>
        <w:t>每次货到现场时可由双方共同取样，供货货物合格判定以招标人</w:t>
      </w:r>
      <w:r>
        <w:rPr>
          <w:rFonts w:hint="eastAsia" w:ascii="宋体" w:hAnsi="宋体" w:eastAsia="宋体" w:cs="宋体"/>
          <w:color w:val="auto"/>
          <w:kern w:val="2"/>
          <w:sz w:val="21"/>
          <w:szCs w:val="21"/>
          <w:highlight w:val="none"/>
        </w:rPr>
        <w:t>运营项目</w:t>
      </w:r>
      <w:r>
        <w:rPr>
          <w:rFonts w:hint="eastAsia" w:ascii="宋体" w:hAnsi="宋体" w:eastAsia="宋体" w:cs="宋体"/>
          <w:color w:val="auto"/>
          <w:sz w:val="21"/>
          <w:szCs w:val="21"/>
          <w:highlight w:val="none"/>
        </w:rPr>
        <w:t>实验室检验结果为准。招标人根据需要可委托具有CMA认证资质的第三方检测机构检测，招标人委托的具有CMA认证资质的第三方检测机构的检验结果与招标人运营项目实验室不一致的，该次的供货货物质量判定以招标人委托的具有CMA认证资质的第三方检测机构的检验结果为准。</w:t>
      </w:r>
    </w:p>
    <w:p>
      <w:pPr>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2）货物检验方法按《废（污）水处理用复合碳源》（HG/T 5960-2021）中的检测方法进行。供货期间，如有发布最新的行业标准或国家标准，货物检验方法按发布的最新行业标准或国家标准执行。</w:t>
      </w:r>
    </w:p>
    <w:p>
      <w:pPr>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3）如供货货物符合表1《液体复合碳源主要技术指标》要求则最终验收合格。</w:t>
      </w:r>
    </w:p>
    <w:p>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2、货物按上述程序验收后，招标人运营项目向</w:t>
      </w:r>
      <w:r>
        <w:rPr>
          <w:rFonts w:hint="eastAsia" w:ascii="宋体" w:hAnsi="宋体" w:eastAsia="宋体" w:cs="宋体"/>
          <w:color w:val="auto"/>
          <w:kern w:val="2"/>
          <w:sz w:val="21"/>
          <w:szCs w:val="21"/>
          <w:highlight w:val="none"/>
          <w:lang w:eastAsia="zh-CN"/>
        </w:rPr>
        <w:t>中标人</w:t>
      </w:r>
      <w:r>
        <w:rPr>
          <w:rFonts w:hint="eastAsia" w:ascii="宋体" w:hAnsi="宋体" w:eastAsia="宋体" w:cs="宋体"/>
          <w:color w:val="auto"/>
          <w:kern w:val="2"/>
          <w:sz w:val="21"/>
          <w:szCs w:val="21"/>
          <w:highlight w:val="none"/>
        </w:rPr>
        <w:t>出具书面的验收报告，</w:t>
      </w:r>
      <w:r>
        <w:rPr>
          <w:rFonts w:hint="eastAsia" w:ascii="宋体" w:hAnsi="宋体" w:eastAsia="宋体" w:cs="宋体"/>
          <w:color w:val="auto"/>
          <w:kern w:val="2"/>
          <w:sz w:val="21"/>
          <w:szCs w:val="21"/>
          <w:highlight w:val="none"/>
          <w:lang w:eastAsia="zh-CN"/>
        </w:rPr>
        <w:t>中标人</w:t>
      </w:r>
      <w:r>
        <w:rPr>
          <w:rFonts w:hint="eastAsia" w:ascii="宋体" w:hAnsi="宋体" w:eastAsia="宋体" w:cs="宋体"/>
          <w:color w:val="auto"/>
          <w:kern w:val="2"/>
          <w:sz w:val="21"/>
          <w:szCs w:val="21"/>
          <w:highlight w:val="none"/>
        </w:rPr>
        <w:t>需对验收报告盖章确认。验收报告作为对货物供货数量及主要技术指标验收的证明，不代表对货物使用效果的认可。</w:t>
      </w:r>
    </w:p>
    <w:p>
      <w:pPr>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3、招标人运营项目根据本条规定对货物所做出的验收，仅作为起算付款及质保期之用，不视为双方对于货物质量的最终认可，</w:t>
      </w:r>
      <w:r>
        <w:rPr>
          <w:rFonts w:hint="eastAsia" w:ascii="宋体" w:hAnsi="宋体" w:eastAsia="宋体" w:cs="宋体"/>
          <w:color w:val="auto"/>
          <w:kern w:val="2"/>
          <w:sz w:val="21"/>
          <w:szCs w:val="21"/>
          <w:highlight w:val="none"/>
          <w:lang w:eastAsia="zh-CN"/>
        </w:rPr>
        <w:t>中标人</w:t>
      </w:r>
      <w:r>
        <w:rPr>
          <w:rFonts w:hint="eastAsia" w:ascii="宋体" w:hAnsi="宋体" w:eastAsia="宋体" w:cs="宋体"/>
          <w:color w:val="auto"/>
          <w:kern w:val="2"/>
          <w:sz w:val="21"/>
          <w:szCs w:val="21"/>
          <w:highlight w:val="none"/>
        </w:rPr>
        <w:t>仍应在质保期内对产品质量承担保证责任。</w:t>
      </w:r>
    </w:p>
    <w:p>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4、货物在经最终验收合格前，其损耗、毁损、灭失等风险及责任由</w:t>
      </w:r>
      <w:r>
        <w:rPr>
          <w:rFonts w:hint="eastAsia" w:ascii="宋体" w:hAnsi="宋体" w:eastAsia="宋体" w:cs="宋体"/>
          <w:color w:val="auto"/>
          <w:kern w:val="2"/>
          <w:sz w:val="21"/>
          <w:szCs w:val="21"/>
          <w:highlight w:val="none"/>
          <w:lang w:eastAsia="zh-CN"/>
        </w:rPr>
        <w:t>中标人</w:t>
      </w:r>
      <w:r>
        <w:rPr>
          <w:rFonts w:hint="eastAsia" w:ascii="宋体" w:hAnsi="宋体" w:eastAsia="宋体" w:cs="宋体"/>
          <w:color w:val="auto"/>
          <w:kern w:val="2"/>
          <w:sz w:val="21"/>
          <w:szCs w:val="21"/>
          <w:highlight w:val="none"/>
        </w:rPr>
        <w:t>承担，如因发生前述情形，导致</w:t>
      </w:r>
      <w:r>
        <w:rPr>
          <w:rFonts w:hint="eastAsia" w:ascii="宋体" w:hAnsi="宋体" w:eastAsia="宋体" w:cs="宋体"/>
          <w:color w:val="auto"/>
          <w:kern w:val="2"/>
          <w:sz w:val="21"/>
          <w:szCs w:val="21"/>
          <w:highlight w:val="none"/>
          <w:lang w:eastAsia="zh-CN"/>
        </w:rPr>
        <w:t>中标人</w:t>
      </w:r>
      <w:r>
        <w:rPr>
          <w:rFonts w:hint="eastAsia" w:ascii="宋体" w:hAnsi="宋体" w:eastAsia="宋体" w:cs="宋体"/>
          <w:color w:val="auto"/>
          <w:kern w:val="2"/>
          <w:sz w:val="21"/>
          <w:szCs w:val="21"/>
          <w:highlight w:val="none"/>
        </w:rPr>
        <w:t>所提供的货物不能通过招标人运营项目验收的，</w:t>
      </w:r>
      <w:r>
        <w:rPr>
          <w:rFonts w:hint="eastAsia" w:ascii="宋体" w:hAnsi="宋体" w:eastAsia="宋体" w:cs="宋体"/>
          <w:color w:val="auto"/>
          <w:kern w:val="2"/>
          <w:sz w:val="21"/>
          <w:szCs w:val="21"/>
          <w:highlight w:val="none"/>
          <w:lang w:eastAsia="zh-CN"/>
        </w:rPr>
        <w:t>中标人</w:t>
      </w:r>
      <w:r>
        <w:rPr>
          <w:rFonts w:hint="eastAsia" w:ascii="宋体" w:hAnsi="宋体" w:eastAsia="宋体" w:cs="宋体"/>
          <w:color w:val="auto"/>
          <w:kern w:val="2"/>
          <w:sz w:val="21"/>
          <w:szCs w:val="21"/>
          <w:highlight w:val="none"/>
        </w:rPr>
        <w:t>应按招标人运营项目要求无条件予以退换货，给招标人造成损失的</w:t>
      </w:r>
      <w:r>
        <w:rPr>
          <w:rFonts w:hint="eastAsia" w:ascii="宋体" w:hAnsi="宋体" w:eastAsia="宋体" w:cs="宋体"/>
          <w:color w:val="auto"/>
          <w:kern w:val="2"/>
          <w:sz w:val="21"/>
          <w:szCs w:val="21"/>
          <w:highlight w:val="none"/>
          <w:lang w:eastAsia="zh-CN"/>
        </w:rPr>
        <w:t>中标人</w:t>
      </w:r>
      <w:r>
        <w:rPr>
          <w:rFonts w:hint="eastAsia" w:ascii="宋体" w:hAnsi="宋体" w:eastAsia="宋体" w:cs="宋体"/>
          <w:color w:val="auto"/>
          <w:kern w:val="2"/>
          <w:sz w:val="21"/>
          <w:szCs w:val="21"/>
          <w:highlight w:val="none"/>
        </w:rPr>
        <w:t>须承担全部的赔偿责任。</w:t>
      </w:r>
    </w:p>
    <w:p>
      <w:pPr>
        <w:autoSpaceDE/>
        <w:autoSpaceDN/>
        <w:adjustRightInd/>
        <w:spacing w:line="360" w:lineRule="auto"/>
        <w:jc w:val="both"/>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五、</w:t>
      </w:r>
      <w:bookmarkStart w:id="14" w:name="OLE_LINK11"/>
      <w:r>
        <w:rPr>
          <w:rFonts w:hint="eastAsia" w:ascii="宋体" w:hAnsi="宋体" w:eastAsia="宋体" w:cs="宋体"/>
          <w:b/>
          <w:color w:val="auto"/>
          <w:sz w:val="21"/>
          <w:szCs w:val="21"/>
          <w:highlight w:val="none"/>
        </w:rPr>
        <w:t>资料要求</w:t>
      </w:r>
      <w:bookmarkEnd w:id="14"/>
    </w:p>
    <w:p>
      <w:pPr>
        <w:snapToGrid w:val="0"/>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需向招标人运营项目提供但不限于下述技术资料：</w:t>
      </w: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（1）符合第三条交货要求第5点要求的</w:t>
      </w:r>
      <w:r>
        <w:rPr>
          <w:rFonts w:hint="eastAsia" w:ascii="宋体" w:hAnsi="宋体" w:eastAsia="宋体" w:cs="宋体"/>
          <w:color w:val="auto"/>
          <w:kern w:val="2"/>
          <w:sz w:val="21"/>
          <w:szCs w:val="21"/>
          <w:highlight w:val="none"/>
        </w:rPr>
        <w:t>产品质量检验报告（如出厂检验报告、质量检验报告等）</w:t>
      </w:r>
      <w:r>
        <w:rPr>
          <w:rFonts w:hint="eastAsia" w:ascii="宋体" w:hAnsi="宋体" w:eastAsia="宋体" w:cs="宋体"/>
          <w:color w:val="auto"/>
          <w:sz w:val="21"/>
          <w:szCs w:val="21"/>
          <w:highlight w:val="none"/>
        </w:rPr>
        <w:t>、供货单据；</w:t>
      </w: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（2）验收报告；</w:t>
      </w: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（3）与货物使用相关的其他文件；</w:t>
      </w: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（4）招标人运营项目要求提供的其他技术资料。</w:t>
      </w: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需将上述资料（若上述资料为复印件的，则须加盖</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公章）在交货时交给招标人运营项目，有关资料的收集和整理由</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负责，招标人运营项目予以配合。</w:t>
      </w:r>
    </w:p>
    <w:p>
      <w:pPr>
        <w:autoSpaceDE/>
        <w:autoSpaceDN/>
        <w:adjustRightInd/>
        <w:snapToGrid w:val="0"/>
        <w:spacing w:line="360" w:lineRule="auto"/>
        <w:ind w:firstLine="420" w:firstLineChars="200"/>
        <w:jc w:val="both"/>
        <w:rPr>
          <w:rFonts w:hint="eastAsia" w:ascii="宋体" w:hAnsi="宋体" w:eastAsia="宋体" w:cs="宋体"/>
          <w:b/>
          <w:bCs/>
          <w:color w:val="auto"/>
          <w:kern w:val="2"/>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kern w:val="2"/>
          <w:sz w:val="21"/>
          <w:szCs w:val="21"/>
          <w:highlight w:val="none"/>
        </w:rPr>
        <w:t>供货期内，</w:t>
      </w:r>
      <w:r>
        <w:rPr>
          <w:rFonts w:hint="eastAsia" w:ascii="宋体" w:hAnsi="宋体" w:eastAsia="宋体" w:cs="宋体"/>
          <w:color w:val="auto"/>
          <w:kern w:val="2"/>
          <w:sz w:val="21"/>
          <w:szCs w:val="21"/>
          <w:highlight w:val="none"/>
          <w:lang w:eastAsia="zh-CN"/>
        </w:rPr>
        <w:t>中标人</w:t>
      </w:r>
      <w:r>
        <w:rPr>
          <w:rFonts w:hint="eastAsia" w:ascii="宋体" w:hAnsi="宋体" w:eastAsia="宋体" w:cs="宋体"/>
          <w:color w:val="auto"/>
          <w:kern w:val="2"/>
          <w:sz w:val="21"/>
          <w:szCs w:val="21"/>
          <w:highlight w:val="none"/>
        </w:rPr>
        <w:t>需每季度委托具有CMA认证资质的第三方检测机构对供货期间所供货物进行检测，并提供第三方检测机构出具的</w:t>
      </w:r>
      <w:bookmarkStart w:id="15" w:name="OLE_LINK29"/>
      <w:r>
        <w:rPr>
          <w:rFonts w:hint="eastAsia" w:ascii="宋体" w:hAnsi="宋体" w:eastAsia="宋体" w:cs="宋体"/>
          <w:color w:val="auto"/>
          <w:szCs w:val="21"/>
          <w:highlight w:val="none"/>
        </w:rPr>
        <w:t>符合表1《液体复合碳源主要技术指标》要求的</w:t>
      </w:r>
      <w:bookmarkEnd w:id="15"/>
      <w:r>
        <w:rPr>
          <w:rFonts w:hint="eastAsia" w:ascii="宋体" w:hAnsi="宋体" w:eastAsia="宋体" w:cs="宋体"/>
          <w:color w:val="auto"/>
          <w:kern w:val="2"/>
          <w:sz w:val="21"/>
          <w:szCs w:val="21"/>
          <w:highlight w:val="none"/>
        </w:rPr>
        <w:t>检验报告，检验报告上的标徽应包括但不限于CMA认证标徽，</w:t>
      </w:r>
      <w:r>
        <w:rPr>
          <w:rFonts w:hint="eastAsia" w:ascii="宋体" w:hAnsi="宋体" w:eastAsia="宋体" w:cs="宋体"/>
          <w:b/>
          <w:bCs/>
          <w:color w:val="auto"/>
          <w:sz w:val="21"/>
          <w:szCs w:val="21"/>
          <w:highlight w:val="none"/>
        </w:rPr>
        <w:t>检验报告需体现委托方、生产厂家、送检样品的产品名称、生产批号或生产日期</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表1</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液体复合碳源主要技术指标</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中各指标</w:t>
      </w:r>
      <w:r>
        <w:rPr>
          <w:rFonts w:hint="eastAsia" w:ascii="宋体" w:hAnsi="宋体" w:eastAsia="宋体" w:cs="宋体"/>
          <w:b/>
          <w:bCs/>
          <w:color w:val="auto"/>
          <w:sz w:val="21"/>
          <w:szCs w:val="21"/>
          <w:highlight w:val="none"/>
          <w:lang w:val="en-US" w:eastAsia="zh-CN"/>
        </w:rPr>
        <w:t>项目</w:t>
      </w:r>
      <w:r>
        <w:rPr>
          <w:rFonts w:hint="eastAsia" w:ascii="宋体" w:hAnsi="宋体" w:eastAsia="宋体" w:cs="宋体"/>
          <w:b/>
          <w:bCs/>
          <w:color w:val="auto"/>
          <w:sz w:val="21"/>
          <w:szCs w:val="21"/>
          <w:highlight w:val="none"/>
        </w:rPr>
        <w:t>检测结果，检验报告</w:t>
      </w:r>
      <w:r>
        <w:rPr>
          <w:rFonts w:hint="eastAsia" w:ascii="宋体" w:hAnsi="宋体" w:eastAsia="宋体" w:cs="宋体"/>
          <w:b/>
          <w:bCs/>
          <w:color w:val="auto"/>
          <w:kern w:val="2"/>
          <w:sz w:val="21"/>
          <w:szCs w:val="21"/>
          <w:highlight w:val="none"/>
        </w:rPr>
        <w:t>使用的检测方法需符合《废（污）水处理用复合碳源》（HG/T 5960-2021）</w:t>
      </w:r>
      <w:r>
        <w:rPr>
          <w:rFonts w:hint="eastAsia" w:ascii="宋体" w:hAnsi="宋体" w:eastAsia="宋体" w:cs="宋体"/>
          <w:b/>
          <w:bCs/>
          <w:color w:val="auto"/>
          <w:sz w:val="21"/>
          <w:szCs w:val="21"/>
          <w:highlight w:val="none"/>
        </w:rPr>
        <w:t>，</w:t>
      </w:r>
      <w:r>
        <w:rPr>
          <w:rFonts w:hint="eastAsia" w:ascii="宋体" w:hAnsi="宋体" w:eastAsia="宋体" w:cs="宋体"/>
          <w:b/>
          <w:bCs/>
          <w:color w:val="auto"/>
          <w:kern w:val="2"/>
          <w:sz w:val="21"/>
          <w:szCs w:val="21"/>
          <w:highlight w:val="none"/>
        </w:rPr>
        <w:t>检验报告中样品送检时间需在供货期内。</w:t>
      </w:r>
      <w:r>
        <w:rPr>
          <w:rFonts w:hint="eastAsia" w:ascii="宋体" w:hAnsi="宋体" w:eastAsia="宋体" w:cs="宋体"/>
          <w:color w:val="auto"/>
          <w:kern w:val="2"/>
          <w:sz w:val="21"/>
          <w:szCs w:val="21"/>
          <w:highlight w:val="none"/>
        </w:rPr>
        <w:t>供货期间，如有发布最新的行业标准或国家标准，货物检验方法按发布的最新行业标准或国家标准执行。</w:t>
      </w:r>
    </w:p>
    <w:p>
      <w:pPr>
        <w:autoSpaceDE/>
        <w:autoSpaceDN/>
        <w:adjustRightInd/>
        <w:snapToGrid w:val="0"/>
        <w:spacing w:line="360" w:lineRule="auto"/>
        <w:ind w:firstLine="42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w:t>
      </w:r>
      <w:r>
        <w:rPr>
          <w:rFonts w:hint="eastAsia" w:ascii="宋体" w:hAnsi="宋体" w:eastAsia="宋体" w:cs="宋体"/>
          <w:color w:val="auto"/>
          <w:kern w:val="2"/>
          <w:sz w:val="21"/>
          <w:szCs w:val="21"/>
          <w:highlight w:val="none"/>
          <w:lang w:eastAsia="zh-CN"/>
        </w:rPr>
        <w:t>中标人</w:t>
      </w:r>
      <w:r>
        <w:rPr>
          <w:rFonts w:hint="eastAsia" w:ascii="宋体" w:hAnsi="宋体" w:eastAsia="宋体" w:cs="宋体"/>
          <w:color w:val="auto"/>
          <w:kern w:val="2"/>
          <w:sz w:val="21"/>
          <w:szCs w:val="21"/>
          <w:highlight w:val="none"/>
        </w:rPr>
        <w:t>提交的技术资料在出现遗漏或发现错误时，应及时补充或更正后提交招标人运营项目。</w:t>
      </w:r>
    </w:p>
    <w:p>
      <w:pPr>
        <w:autoSpaceDE/>
        <w:autoSpaceDN/>
        <w:adjustRightInd/>
        <w:spacing w:line="360" w:lineRule="auto"/>
        <w:jc w:val="both"/>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六、质量保证及售后要求</w:t>
      </w:r>
    </w:p>
    <w:p>
      <w:pPr>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1、药剂保质期：</w:t>
      </w:r>
      <w:r>
        <w:rPr>
          <w:rFonts w:hint="eastAsia" w:ascii="宋体" w:hAnsi="宋体" w:eastAsia="宋体" w:cs="宋体"/>
          <w:b/>
          <w:color w:val="auto"/>
          <w:sz w:val="21"/>
          <w:szCs w:val="21"/>
          <w:highlight w:val="none"/>
        </w:rPr>
        <w:t>以货到现场之日算起六个月</w:t>
      </w:r>
      <w:r>
        <w:rPr>
          <w:rFonts w:hint="eastAsia" w:ascii="宋体" w:hAnsi="宋体" w:eastAsia="宋体" w:cs="宋体"/>
          <w:color w:val="auto"/>
          <w:sz w:val="21"/>
          <w:szCs w:val="21"/>
          <w:highlight w:val="none"/>
        </w:rPr>
        <w:t>，保质期内产品质量须达到本用户需求书所有技术指标要求。</w:t>
      </w:r>
    </w:p>
    <w:p>
      <w:pPr>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2、投标人应具有相应的技术人员，具备供货及售前售后的服务能力。</w:t>
      </w:r>
    </w:p>
    <w:p>
      <w:pPr>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在接到质量问题通知后 4 小时内自费派工程师到达现场对问题进行处理。</w:t>
      </w:r>
    </w:p>
    <w:p>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w:t>
      </w:r>
      <w:r>
        <w:rPr>
          <w:rFonts w:hint="eastAsia" w:ascii="宋体" w:hAnsi="宋体" w:eastAsia="宋体" w:cs="宋体"/>
          <w:color w:val="auto"/>
          <w:kern w:val="2"/>
          <w:sz w:val="21"/>
          <w:szCs w:val="21"/>
          <w:highlight w:val="none"/>
          <w:lang w:eastAsia="zh-CN"/>
        </w:rPr>
        <w:t>中标人</w:t>
      </w:r>
      <w:r>
        <w:rPr>
          <w:rFonts w:hint="eastAsia" w:ascii="宋体" w:hAnsi="宋体" w:eastAsia="宋体" w:cs="宋体"/>
          <w:color w:val="auto"/>
          <w:kern w:val="2"/>
          <w:sz w:val="21"/>
          <w:szCs w:val="21"/>
          <w:highlight w:val="none"/>
        </w:rPr>
        <w:t>应根据招标人</w:t>
      </w:r>
      <w:r>
        <w:rPr>
          <w:rFonts w:hint="eastAsia" w:ascii="宋体" w:hAnsi="宋体" w:eastAsia="宋体" w:cs="宋体"/>
          <w:color w:val="auto"/>
          <w:sz w:val="21"/>
          <w:szCs w:val="21"/>
          <w:highlight w:val="none"/>
        </w:rPr>
        <w:t>运营项目</w:t>
      </w:r>
      <w:r>
        <w:rPr>
          <w:rFonts w:hint="eastAsia" w:ascii="宋体" w:hAnsi="宋体" w:eastAsia="宋体" w:cs="宋体"/>
          <w:color w:val="auto"/>
          <w:kern w:val="2"/>
          <w:sz w:val="21"/>
          <w:szCs w:val="21"/>
          <w:highlight w:val="none"/>
        </w:rPr>
        <w:t>需要免费提供培训，相关费用已计入综合单价，招标人无需另行支付任何费用。</w:t>
      </w:r>
    </w:p>
    <w:p>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5、培训地点、规模及时间由招标人运营项目指定，根据培训内容复杂程度，招标人</w:t>
      </w:r>
      <w:r>
        <w:rPr>
          <w:rFonts w:hint="eastAsia" w:ascii="宋体" w:hAnsi="宋体" w:eastAsia="宋体" w:cs="宋体"/>
          <w:color w:val="auto"/>
          <w:sz w:val="21"/>
          <w:szCs w:val="21"/>
          <w:highlight w:val="none"/>
        </w:rPr>
        <w:t>运营项目</w:t>
      </w:r>
      <w:r>
        <w:rPr>
          <w:rFonts w:hint="eastAsia" w:ascii="宋体" w:hAnsi="宋体" w:eastAsia="宋体" w:cs="宋体"/>
          <w:color w:val="auto"/>
          <w:kern w:val="2"/>
          <w:sz w:val="21"/>
          <w:szCs w:val="21"/>
          <w:highlight w:val="none"/>
        </w:rPr>
        <w:t>有权要求</w:t>
      </w:r>
      <w:r>
        <w:rPr>
          <w:rFonts w:hint="eastAsia" w:ascii="宋体" w:hAnsi="宋体" w:eastAsia="宋体" w:cs="宋体"/>
          <w:color w:val="auto"/>
          <w:kern w:val="2"/>
          <w:sz w:val="21"/>
          <w:szCs w:val="21"/>
          <w:highlight w:val="none"/>
          <w:lang w:eastAsia="zh-CN"/>
        </w:rPr>
        <w:t>中标人</w:t>
      </w:r>
      <w:r>
        <w:rPr>
          <w:rFonts w:hint="eastAsia" w:ascii="宋体" w:hAnsi="宋体" w:eastAsia="宋体" w:cs="宋体"/>
          <w:color w:val="auto"/>
          <w:kern w:val="2"/>
          <w:sz w:val="21"/>
          <w:szCs w:val="21"/>
          <w:highlight w:val="none"/>
        </w:rPr>
        <w:t>提供完整的书面培训计划和方案，列明提供培训的技术人员名单及资质，以及培训完成后招标人</w:t>
      </w:r>
      <w:r>
        <w:rPr>
          <w:rFonts w:hint="eastAsia" w:ascii="宋体" w:hAnsi="宋体" w:eastAsia="宋体" w:cs="宋体"/>
          <w:color w:val="auto"/>
          <w:sz w:val="21"/>
          <w:szCs w:val="21"/>
          <w:highlight w:val="none"/>
        </w:rPr>
        <w:t>运营项目</w:t>
      </w:r>
      <w:r>
        <w:rPr>
          <w:rFonts w:hint="eastAsia" w:ascii="宋体" w:hAnsi="宋体" w:eastAsia="宋体" w:cs="宋体"/>
          <w:color w:val="auto"/>
          <w:kern w:val="2"/>
          <w:sz w:val="21"/>
          <w:szCs w:val="21"/>
          <w:highlight w:val="none"/>
        </w:rPr>
        <w:t>人员可达到的水平等。</w:t>
      </w:r>
    </w:p>
    <w:p>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6、在交货或合同履行过程中，若因所交货物（包括但不限于品种、型号、规格、质量）不符合招标人运营项目要求、或货物使用过程中出现质量问题，导致</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提供的生产药剂如不能通过招标人运营项目验收的，招标人运营项目可拒绝收货或要求</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承担退换货责任。原则上</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应该在不影响招标人运营项目正常生产的情况下，自招标人运营项目</w:t>
      </w:r>
      <w:r>
        <w:rPr>
          <w:rFonts w:hint="eastAsia" w:ascii="宋体" w:hAnsi="宋体" w:eastAsia="宋体" w:cs="宋体"/>
          <w:color w:val="auto"/>
          <w:kern w:val="2"/>
          <w:sz w:val="21"/>
          <w:szCs w:val="21"/>
          <w:highlight w:val="none"/>
        </w:rPr>
        <w:t>通知之时起</w:t>
      </w:r>
      <w:r>
        <w:rPr>
          <w:rFonts w:hint="eastAsia" w:ascii="宋体" w:hAnsi="宋体" w:eastAsia="宋体" w:cs="宋体"/>
          <w:color w:val="auto"/>
          <w:sz w:val="21"/>
          <w:szCs w:val="21"/>
          <w:highlight w:val="none"/>
        </w:rPr>
        <w:t>4小时内无条件予以退换货，招标人不承担因验收造成的货物损耗</w:t>
      </w:r>
      <w:r>
        <w:rPr>
          <w:rFonts w:hint="eastAsia" w:ascii="宋体" w:hAnsi="宋体" w:eastAsia="宋体" w:cs="宋体"/>
          <w:color w:val="auto"/>
          <w:kern w:val="2"/>
          <w:sz w:val="21"/>
          <w:szCs w:val="21"/>
          <w:highlight w:val="none"/>
        </w:rPr>
        <w:t>及运输等一切</w:t>
      </w:r>
      <w:r>
        <w:rPr>
          <w:rFonts w:hint="eastAsia" w:ascii="宋体" w:hAnsi="宋体" w:eastAsia="宋体" w:cs="宋体"/>
          <w:color w:val="auto"/>
          <w:sz w:val="21"/>
          <w:szCs w:val="21"/>
          <w:highlight w:val="none"/>
        </w:rPr>
        <w:t>费用且不对货物承担保管责任，因此产生的费用及风险由</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承担。</w:t>
      </w:r>
    </w:p>
    <w:p>
      <w:pPr>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7、自招标人</w:t>
      </w:r>
      <w:r>
        <w:rPr>
          <w:rFonts w:hint="eastAsia" w:ascii="宋体" w:hAnsi="宋体" w:eastAsia="宋体" w:cs="宋体"/>
          <w:color w:val="auto"/>
          <w:kern w:val="2"/>
          <w:sz w:val="21"/>
          <w:szCs w:val="21"/>
          <w:highlight w:val="none"/>
        </w:rPr>
        <w:t>运营项目</w:t>
      </w:r>
      <w:r>
        <w:rPr>
          <w:rFonts w:hint="eastAsia" w:ascii="宋体" w:hAnsi="宋体" w:eastAsia="宋体" w:cs="宋体"/>
          <w:color w:val="auto"/>
          <w:sz w:val="21"/>
          <w:szCs w:val="21"/>
          <w:highlight w:val="none"/>
        </w:rPr>
        <w:t>通知货物检验不合格或货物使用过程中出现质量问题而要求</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按照前述条款进行退换货之时起4小时之内</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未将不合格货物运离招标人</w:t>
      </w:r>
      <w:r>
        <w:rPr>
          <w:rFonts w:hint="eastAsia" w:ascii="宋体" w:hAnsi="宋体" w:eastAsia="宋体" w:cs="宋体"/>
          <w:color w:val="auto"/>
          <w:kern w:val="2"/>
          <w:sz w:val="21"/>
          <w:szCs w:val="21"/>
          <w:highlight w:val="none"/>
        </w:rPr>
        <w:t>运营项目</w:t>
      </w:r>
      <w:r>
        <w:rPr>
          <w:rFonts w:hint="eastAsia" w:ascii="宋体" w:hAnsi="宋体" w:eastAsia="宋体" w:cs="宋体"/>
          <w:color w:val="auto"/>
          <w:sz w:val="21"/>
          <w:szCs w:val="21"/>
          <w:highlight w:val="none"/>
        </w:rPr>
        <w:t>仓库，招标人</w:t>
      </w:r>
      <w:r>
        <w:rPr>
          <w:rFonts w:hint="eastAsia" w:ascii="宋体" w:hAnsi="宋体" w:eastAsia="宋体" w:cs="宋体"/>
          <w:color w:val="auto"/>
          <w:kern w:val="2"/>
          <w:sz w:val="21"/>
          <w:szCs w:val="21"/>
          <w:highlight w:val="none"/>
        </w:rPr>
        <w:t>运营项目</w:t>
      </w:r>
      <w:r>
        <w:rPr>
          <w:rFonts w:hint="eastAsia" w:ascii="宋体" w:hAnsi="宋体" w:eastAsia="宋体" w:cs="宋体"/>
          <w:color w:val="auto"/>
          <w:sz w:val="21"/>
          <w:szCs w:val="21"/>
          <w:highlight w:val="none"/>
        </w:rPr>
        <w:t>可自行或委托第三方对不合格货物进行处置，</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须承担招标人处置该次不合格货物所需的全部费用，以及给招标人造成的一切损失。</w:t>
      </w:r>
    </w:p>
    <w:p>
      <w:pPr>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8、自招标人</w:t>
      </w:r>
      <w:r>
        <w:rPr>
          <w:rFonts w:hint="eastAsia" w:ascii="宋体" w:hAnsi="宋体" w:eastAsia="宋体" w:cs="宋体"/>
          <w:color w:val="auto"/>
          <w:kern w:val="2"/>
          <w:sz w:val="21"/>
          <w:szCs w:val="21"/>
          <w:highlight w:val="none"/>
        </w:rPr>
        <w:t>运营项目</w:t>
      </w:r>
      <w:r>
        <w:rPr>
          <w:rFonts w:hint="eastAsia" w:ascii="宋体" w:hAnsi="宋体" w:eastAsia="宋体" w:cs="宋体"/>
          <w:color w:val="auto"/>
          <w:sz w:val="21"/>
          <w:szCs w:val="21"/>
          <w:highlight w:val="none"/>
        </w:rPr>
        <w:t>通知</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货物检验不合格或货物使用过程中出现质量问题之时起，招标人</w:t>
      </w:r>
      <w:r>
        <w:rPr>
          <w:rFonts w:hint="eastAsia" w:ascii="宋体" w:hAnsi="宋体" w:eastAsia="宋体" w:cs="宋体"/>
          <w:color w:val="auto"/>
          <w:kern w:val="2"/>
          <w:sz w:val="21"/>
          <w:szCs w:val="21"/>
          <w:highlight w:val="none"/>
        </w:rPr>
        <w:t>运营项目</w:t>
      </w:r>
      <w:r>
        <w:rPr>
          <w:rFonts w:hint="eastAsia" w:ascii="宋体" w:hAnsi="宋体" w:eastAsia="宋体" w:cs="宋体"/>
          <w:color w:val="auto"/>
          <w:sz w:val="21"/>
          <w:szCs w:val="21"/>
          <w:highlight w:val="none"/>
        </w:rPr>
        <w:t>有权要求</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按照加急供货的规定，将等量的合格货物送交招标人</w:t>
      </w:r>
      <w:r>
        <w:rPr>
          <w:rFonts w:hint="eastAsia" w:ascii="宋体" w:hAnsi="宋体" w:eastAsia="宋体" w:cs="宋体"/>
          <w:color w:val="auto"/>
          <w:kern w:val="2"/>
          <w:sz w:val="21"/>
          <w:szCs w:val="21"/>
          <w:highlight w:val="none"/>
        </w:rPr>
        <w:t>运营项目</w:t>
      </w:r>
      <w:r>
        <w:rPr>
          <w:rFonts w:hint="eastAsia" w:ascii="宋体" w:hAnsi="宋体" w:eastAsia="宋体" w:cs="宋体"/>
          <w:color w:val="auto"/>
          <w:sz w:val="21"/>
          <w:szCs w:val="21"/>
          <w:highlight w:val="none"/>
        </w:rPr>
        <w:t>，否则按加急供货的违约规定进行处理。</w:t>
      </w:r>
    </w:p>
    <w:p>
      <w:pPr>
        <w:autoSpaceDE/>
        <w:autoSpaceDN/>
        <w:adjustRightInd/>
        <w:spacing w:line="360" w:lineRule="auto"/>
        <w:jc w:val="both"/>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七、货物的结算</w:t>
      </w:r>
    </w:p>
    <w:p>
      <w:pPr>
        <w:pStyle w:val="129"/>
        <w:autoSpaceDE/>
        <w:autoSpaceDN/>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双方一致同意，</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按规定提供了履约担保后，招标人通过以下方式以人民币支付合同款项给</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w:t>
      </w:r>
    </w:p>
    <w:p>
      <w:pPr>
        <w:pStyle w:val="129"/>
        <w:autoSpaceDE/>
        <w:autoSpaceDN/>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1、合同的履约过程中，</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根据本项目合同书约定需向招标人</w:t>
      </w:r>
      <w:bookmarkStart w:id="16" w:name="OLE_LINK27"/>
      <w:r>
        <w:rPr>
          <w:rFonts w:hint="eastAsia" w:ascii="宋体" w:hAnsi="宋体" w:eastAsia="宋体" w:cs="Times New Roman"/>
          <w:b w:val="0"/>
          <w:bCs/>
          <w:color w:val="auto"/>
          <w:szCs w:val="21"/>
          <w:highlight w:val="none"/>
          <w:u w:val="none"/>
          <w:lang w:val="en-US" w:eastAsia="zh-CN"/>
        </w:rPr>
        <w:t>或招标人权属子公司</w:t>
      </w:r>
      <w:bookmarkEnd w:id="16"/>
      <w:r>
        <w:rPr>
          <w:rFonts w:hint="eastAsia" w:ascii="宋体" w:hAnsi="宋体" w:eastAsia="宋体" w:cs="宋体"/>
          <w:color w:val="auto"/>
          <w:sz w:val="21"/>
          <w:szCs w:val="21"/>
          <w:highlight w:val="none"/>
        </w:rPr>
        <w:t>支付违约金、赔偿金、或其他应付费用等款项的，</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必须向招标人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支付完相关款项后，招标人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才根据合同书约定向</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支付合同价和税额。若因</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未能支付前述费用，影响项目实施的，招标人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有权启用履约担保或直接从未付合同款项中直接扣除，且</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必须按照扣除前述费用前的合同价（销售额）开具增值税专用发票，保证增值税税额符合法律规定。</w:t>
      </w:r>
    </w:p>
    <w:p>
      <w:pPr>
        <w:pStyle w:val="129"/>
        <w:autoSpaceDE/>
        <w:autoSpaceDN/>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2、货物供货的款项按招标人运营项目进行支付、结算。货物供货的款项每月按实结算。招标人运营项目收到货物并最终验收合格后，每月中旬办理支付上月实际供货量的款项。</w:t>
      </w:r>
    </w:p>
    <w:p>
      <w:pPr>
        <w:pStyle w:val="129"/>
        <w:autoSpaceDE/>
        <w:autoSpaceDN/>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向招标人运营项目提交请款报告和请款金额等额的合法、有效的增值税专用发票，招标人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在收到前述材料并确认无误后30个工作日内支付结算上月实际供货量的</w:t>
      </w:r>
      <w:r>
        <w:rPr>
          <w:rFonts w:hint="eastAsia" w:ascii="宋体" w:hAnsi="宋体" w:eastAsia="宋体" w:cs="宋体"/>
          <w:color w:val="auto"/>
          <w:sz w:val="21"/>
          <w:szCs w:val="21"/>
          <w:highlight w:val="none"/>
          <w:lang w:val="en-US" w:eastAsia="zh-CN"/>
        </w:rPr>
        <w:t>应付</w:t>
      </w:r>
      <w:r>
        <w:rPr>
          <w:rFonts w:hint="eastAsia" w:ascii="宋体" w:hAnsi="宋体" w:eastAsia="宋体" w:cs="宋体"/>
          <w:color w:val="auto"/>
          <w:sz w:val="21"/>
          <w:szCs w:val="21"/>
          <w:highlight w:val="none"/>
        </w:rPr>
        <w:t>货款和该货款对应的税额给</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w:t>
      </w:r>
    </w:p>
    <w:p>
      <w:pPr>
        <w:pStyle w:val="129"/>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4、支付方式：支付方式为银行转账或银行承兑汇票，汇票期限不超过三个月，每期款项支付方式由</w:t>
      </w:r>
      <w:bookmarkStart w:id="17" w:name="OLE_LINK28"/>
      <w:r>
        <w:rPr>
          <w:rFonts w:hint="eastAsia" w:ascii="宋体" w:hAnsi="宋体" w:eastAsia="宋体" w:cs="宋体"/>
          <w:color w:val="auto"/>
          <w:sz w:val="21"/>
          <w:szCs w:val="21"/>
          <w:highlight w:val="none"/>
          <w:lang w:val="en-US" w:eastAsia="zh-CN"/>
        </w:rPr>
        <w:t>招标人</w:t>
      </w:r>
      <w:r>
        <w:rPr>
          <w:rFonts w:hint="eastAsia" w:ascii="宋体" w:hAnsi="宋体" w:eastAsia="宋体" w:cs="Times New Roman"/>
          <w:b w:val="0"/>
          <w:bCs/>
          <w:color w:val="auto"/>
          <w:szCs w:val="21"/>
          <w:highlight w:val="none"/>
          <w:u w:val="none"/>
          <w:lang w:val="en-US" w:eastAsia="zh-CN"/>
        </w:rPr>
        <w:t>或招标人权属子公司</w:t>
      </w:r>
      <w:bookmarkEnd w:id="17"/>
      <w:r>
        <w:rPr>
          <w:rFonts w:hint="eastAsia" w:ascii="宋体" w:hAnsi="宋体" w:eastAsia="宋体" w:cs="宋体"/>
          <w:color w:val="auto"/>
          <w:sz w:val="21"/>
          <w:szCs w:val="21"/>
          <w:highlight w:val="none"/>
          <w:lang w:val="en-US" w:eastAsia="zh-CN"/>
        </w:rPr>
        <w:t>决定。</w:t>
      </w:r>
    </w:p>
    <w:p>
      <w:pPr>
        <w:pStyle w:val="129"/>
        <w:autoSpaceDE/>
        <w:autoSpaceDN/>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迟延提供发票或提供的请款报告、发票不符合要求的，招标人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的付款时间可相应顺延，且招标人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不因此承担任何责任。因支付产生的相关银行手续费用，根据有关银行规定执行，如不能明确的，由双方各承担50%。由于</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提供的发票不符合税法规定，给招标人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造成的损失由</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承担全部的赔偿责任。</w:t>
      </w:r>
    </w:p>
    <w:p>
      <w:pPr>
        <w:autoSpaceDE/>
        <w:autoSpaceDN/>
        <w:adjustRightInd/>
        <w:spacing w:line="360" w:lineRule="auto"/>
        <w:jc w:val="both"/>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八、其它要求</w:t>
      </w:r>
    </w:p>
    <w:p>
      <w:pPr>
        <w:pStyle w:val="129"/>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1、日常供货（非加急供货）时，</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lang w:bidi="ar"/>
        </w:rPr>
        <w:t>未在约定的时间内完成交货，或未在规定的时间内承担相应的更换、退货责任的</w:t>
      </w:r>
      <w:r>
        <w:rPr>
          <w:rFonts w:hint="eastAsia" w:ascii="宋体" w:hAnsi="宋体" w:eastAsia="宋体" w:cs="宋体"/>
          <w:color w:val="auto"/>
          <w:sz w:val="21"/>
          <w:szCs w:val="21"/>
          <w:highlight w:val="none"/>
        </w:rPr>
        <w:t>，每逾期2小时，招标人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有权要求</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按该次货物</w:t>
      </w:r>
      <w:r>
        <w:rPr>
          <w:rFonts w:hint="eastAsia" w:ascii="宋体" w:hAnsi="宋体" w:eastAsia="宋体" w:cs="宋体"/>
          <w:color w:val="auto"/>
          <w:sz w:val="21"/>
          <w:szCs w:val="21"/>
          <w:highlight w:val="none"/>
          <w:lang w:val="en-US" w:eastAsia="zh-CN"/>
        </w:rPr>
        <w:t>含税应付</w:t>
      </w:r>
      <w:r>
        <w:rPr>
          <w:rFonts w:hint="eastAsia" w:ascii="宋体" w:hAnsi="宋体" w:eastAsia="宋体" w:cs="宋体"/>
          <w:color w:val="auto"/>
          <w:sz w:val="21"/>
          <w:szCs w:val="21"/>
          <w:highlight w:val="none"/>
        </w:rPr>
        <w:t>货款的1%向招标人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支付违约金。</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逾期超过12小时的，招标人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有权单方解除合同，并且没收</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的部分或全部履约担保，</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除支付前述逾期违约金外，招标人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有权要求</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额外按该次货物</w:t>
      </w:r>
      <w:r>
        <w:rPr>
          <w:rFonts w:hint="eastAsia" w:ascii="宋体" w:hAnsi="宋体" w:eastAsia="宋体" w:cs="Times New Roman"/>
          <w:b w:val="0"/>
          <w:bCs/>
          <w:color w:val="auto"/>
          <w:szCs w:val="21"/>
          <w:highlight w:val="none"/>
          <w:u w:val="none"/>
          <w:lang w:val="en-US" w:eastAsia="zh-CN"/>
        </w:rPr>
        <w:t>含税应付</w:t>
      </w:r>
      <w:r>
        <w:rPr>
          <w:rFonts w:hint="eastAsia" w:ascii="宋体" w:hAnsi="宋体" w:eastAsia="宋体" w:cs="宋体"/>
          <w:color w:val="auto"/>
          <w:sz w:val="21"/>
          <w:szCs w:val="21"/>
          <w:highlight w:val="none"/>
        </w:rPr>
        <w:t>货款的5%向招标人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支付违约金，违约金不足以赔偿招标人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损失的，</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需另行赔偿。</w:t>
      </w:r>
    </w:p>
    <w:p>
      <w:pPr>
        <w:pStyle w:val="129"/>
        <w:autoSpaceDE/>
        <w:autoSpaceDN/>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2、加急供货时，</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未在约定的时间内完成交货的，或未在规定的时间内承担相应的更换、退货责任的，每逾期1小时，招标人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有权要求</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按该次货物</w:t>
      </w:r>
      <w:r>
        <w:rPr>
          <w:rFonts w:hint="eastAsia" w:ascii="宋体" w:hAnsi="宋体" w:eastAsia="宋体" w:cs="宋体"/>
          <w:color w:val="auto"/>
          <w:sz w:val="21"/>
          <w:szCs w:val="21"/>
          <w:highlight w:val="none"/>
          <w:lang w:val="en-US" w:eastAsia="zh-CN"/>
        </w:rPr>
        <w:t>含税应付</w:t>
      </w:r>
      <w:r>
        <w:rPr>
          <w:rFonts w:hint="eastAsia" w:ascii="宋体" w:hAnsi="宋体" w:eastAsia="宋体" w:cs="宋体"/>
          <w:color w:val="auto"/>
          <w:sz w:val="21"/>
          <w:szCs w:val="21"/>
          <w:highlight w:val="none"/>
        </w:rPr>
        <w:t>货款的10%向招标人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支付违约金，</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逾期超过4小时的，招标人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有权单方解除合同，并且没收</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的部分或全部履约担保，</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除前述逾期违约金外，招标人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有权要求</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额外按该次货物</w:t>
      </w:r>
      <w:r>
        <w:rPr>
          <w:rFonts w:hint="eastAsia" w:ascii="宋体" w:hAnsi="宋体" w:eastAsia="宋体" w:cs="宋体"/>
          <w:color w:val="auto"/>
          <w:sz w:val="21"/>
          <w:szCs w:val="21"/>
          <w:highlight w:val="none"/>
          <w:lang w:val="en-US" w:eastAsia="zh-CN"/>
        </w:rPr>
        <w:t>含税应付</w:t>
      </w:r>
      <w:r>
        <w:rPr>
          <w:rFonts w:hint="eastAsia" w:ascii="宋体" w:hAnsi="宋体" w:eastAsia="宋体" w:cs="宋体"/>
          <w:color w:val="auto"/>
          <w:sz w:val="21"/>
          <w:szCs w:val="21"/>
          <w:highlight w:val="none"/>
        </w:rPr>
        <w:t>货款的20%向招标人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支付违约金，违约金不足以赔偿招标人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损失的，</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需另行赔偿。</w:t>
      </w:r>
    </w:p>
    <w:p>
      <w:pPr>
        <w:pStyle w:val="129"/>
        <w:autoSpaceDE/>
        <w:autoSpaceDN/>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bookmarkStart w:id="18" w:name="OLE_LINK6"/>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所交货物经招标人运营项目实验室或招标人委托的第三方检测机构检验累计出现3次（含）</w:t>
      </w:r>
      <w:bookmarkEnd w:id="18"/>
      <w:r>
        <w:rPr>
          <w:rFonts w:hint="eastAsia" w:ascii="宋体" w:hAnsi="宋体" w:eastAsia="宋体" w:cs="宋体"/>
          <w:color w:val="auto"/>
          <w:sz w:val="21"/>
          <w:szCs w:val="21"/>
          <w:highlight w:val="none"/>
        </w:rPr>
        <w:t>以上不合格的，招标人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有权单方中止或解除合同，暂停或取消</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的供货资格，并根据对生产造成影响的严重程度，没收</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的部分或全部履约担保。</w:t>
      </w:r>
    </w:p>
    <w:p>
      <w:pPr>
        <w:pStyle w:val="129"/>
        <w:autoSpaceDE/>
        <w:autoSpaceDN/>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应根据招标人运营项目工艺以及性质，配合招标人运营项目进行小试、中试，提供符合技术指标的药剂，保证供货的药剂在招标人运营项目良好的使用效果。</w:t>
      </w:r>
    </w:p>
    <w:p>
      <w:pPr>
        <w:pStyle w:val="129"/>
        <w:autoSpaceDE/>
        <w:autoSpaceDN/>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如因药剂问题对招标人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生产、成本造成影响，招标人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有权要求</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按该次货物</w:t>
      </w:r>
      <w:r>
        <w:rPr>
          <w:rFonts w:hint="eastAsia" w:ascii="宋体" w:hAnsi="宋体" w:eastAsia="宋体" w:cs="宋体"/>
          <w:color w:val="auto"/>
          <w:sz w:val="21"/>
          <w:szCs w:val="21"/>
          <w:highlight w:val="none"/>
          <w:lang w:val="en-US" w:eastAsia="zh-CN"/>
        </w:rPr>
        <w:t>含税应付</w:t>
      </w:r>
      <w:r>
        <w:rPr>
          <w:rFonts w:hint="eastAsia" w:ascii="宋体" w:hAnsi="宋体" w:eastAsia="宋体" w:cs="宋体"/>
          <w:color w:val="auto"/>
          <w:sz w:val="21"/>
          <w:szCs w:val="21"/>
          <w:highlight w:val="none"/>
        </w:rPr>
        <w:t>货款的20%向招标人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支付违约金，违约金不足以赔偿招标人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损失的，</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需另行赔偿，同时根据对招标人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生产、成本造成影响的严重程度，招标人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有权没收</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的部分或全部履约担保。</w:t>
      </w:r>
    </w:p>
    <w:p>
      <w:pPr>
        <w:pStyle w:val="129"/>
        <w:autoSpaceDE/>
        <w:autoSpaceDN/>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、如</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提供的药剂严重影响招标人运营项目生产或造成招标人运营项目出水水质指标超标的情况，招标人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有权追究</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由此造成的损失，并有权单方面中止或解除合同，取消其供货资格，没收全部履约</w:t>
      </w:r>
      <w:r>
        <w:rPr>
          <w:rFonts w:hint="eastAsia" w:ascii="宋体" w:hAnsi="宋体" w:eastAsia="宋体" w:cs="宋体"/>
          <w:color w:val="auto"/>
          <w:sz w:val="21"/>
          <w:szCs w:val="21"/>
          <w:highlight w:val="none"/>
          <w:lang w:val="en-US" w:eastAsia="zh-CN"/>
        </w:rPr>
        <w:t>担保</w:t>
      </w:r>
      <w:r>
        <w:rPr>
          <w:rFonts w:hint="eastAsia" w:ascii="宋体" w:hAnsi="宋体" w:eastAsia="宋体" w:cs="宋体"/>
          <w:color w:val="auto"/>
          <w:sz w:val="21"/>
          <w:szCs w:val="21"/>
          <w:highlight w:val="none"/>
        </w:rPr>
        <w:t>。</w:t>
      </w:r>
    </w:p>
    <w:p>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7</w:t>
      </w:r>
      <w:r>
        <w:rPr>
          <w:rFonts w:hint="eastAsia" w:ascii="宋体" w:hAnsi="宋体" w:eastAsia="宋体" w:cs="宋体"/>
          <w:color w:val="auto"/>
          <w:kern w:val="2"/>
          <w:sz w:val="21"/>
          <w:szCs w:val="21"/>
          <w:highlight w:val="none"/>
        </w:rPr>
        <w:t>、对于货物最终验收不合格且招标人运营项目已经开始使用或者使用完毕无法退换的，货款按照以下方式处理：①若招标人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kern w:val="2"/>
          <w:sz w:val="21"/>
          <w:szCs w:val="21"/>
          <w:highlight w:val="none"/>
        </w:rPr>
        <w:t>已支付货款的，则</w:t>
      </w:r>
      <w:r>
        <w:rPr>
          <w:rFonts w:hint="eastAsia" w:ascii="宋体" w:hAnsi="宋体" w:eastAsia="宋体" w:cs="宋体"/>
          <w:color w:val="auto"/>
          <w:kern w:val="2"/>
          <w:sz w:val="21"/>
          <w:szCs w:val="21"/>
          <w:highlight w:val="none"/>
          <w:lang w:eastAsia="zh-CN"/>
        </w:rPr>
        <w:t>中标人</w:t>
      </w:r>
      <w:r>
        <w:rPr>
          <w:rFonts w:hint="eastAsia" w:ascii="宋体" w:hAnsi="宋体" w:eastAsia="宋体" w:cs="宋体"/>
          <w:color w:val="auto"/>
          <w:kern w:val="2"/>
          <w:sz w:val="21"/>
          <w:szCs w:val="21"/>
          <w:highlight w:val="none"/>
        </w:rPr>
        <w:t>应向招标人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kern w:val="2"/>
          <w:sz w:val="21"/>
          <w:szCs w:val="21"/>
          <w:highlight w:val="none"/>
        </w:rPr>
        <w:t>退还已支付的货款；②若招标人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kern w:val="2"/>
          <w:sz w:val="21"/>
          <w:szCs w:val="21"/>
          <w:highlight w:val="none"/>
        </w:rPr>
        <w:t>未支付货款的，则招标人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kern w:val="2"/>
          <w:sz w:val="21"/>
          <w:szCs w:val="21"/>
          <w:highlight w:val="none"/>
        </w:rPr>
        <w:t>无需支付货款。</w:t>
      </w:r>
    </w:p>
    <w:p>
      <w:pPr>
        <w:pStyle w:val="129"/>
        <w:autoSpaceDE/>
        <w:autoSpaceDN/>
        <w:adjustRightInd/>
        <w:spacing w:line="360" w:lineRule="auto"/>
        <w:ind w:firstLine="283" w:firstLineChars="13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、若</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对招标人</w:t>
      </w:r>
      <w:r>
        <w:rPr>
          <w:rFonts w:hint="eastAsia" w:ascii="宋体" w:hAnsi="宋体" w:eastAsia="宋体" w:cs="宋体"/>
          <w:color w:val="auto"/>
          <w:sz w:val="21"/>
          <w:szCs w:val="21"/>
          <w:highlight w:val="none"/>
          <w:lang w:bidi="ar"/>
        </w:rPr>
        <w:t>运营项目</w:t>
      </w:r>
      <w:r>
        <w:rPr>
          <w:rFonts w:hint="eastAsia" w:ascii="宋体" w:hAnsi="宋体" w:eastAsia="宋体" w:cs="宋体"/>
          <w:color w:val="auto"/>
          <w:sz w:val="21"/>
          <w:szCs w:val="21"/>
          <w:highlight w:val="none"/>
        </w:rPr>
        <w:t>验收结果有异议，</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应自招标人</w:t>
      </w:r>
      <w:r>
        <w:rPr>
          <w:rFonts w:hint="eastAsia" w:ascii="宋体" w:hAnsi="宋体" w:eastAsia="宋体" w:cs="Times New Roman"/>
          <w:b w:val="0"/>
          <w:bCs/>
          <w:color w:val="auto"/>
          <w:szCs w:val="21"/>
          <w:highlight w:val="none"/>
          <w:u w:val="none"/>
          <w:lang w:val="en-US" w:eastAsia="zh-CN"/>
        </w:rPr>
        <w:t>运营项目</w:t>
      </w:r>
      <w:r>
        <w:rPr>
          <w:rFonts w:hint="eastAsia" w:ascii="宋体" w:hAnsi="宋体" w:eastAsia="宋体" w:cs="宋体"/>
          <w:color w:val="auto"/>
          <w:sz w:val="21"/>
          <w:szCs w:val="21"/>
          <w:highlight w:val="none"/>
        </w:rPr>
        <w:t>书面告知</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检验结果24小时内，书面要求通过</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和招标人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双方确认的具有检测产品CMA认证资质的第三方单位对留样货物进行检测，最终供货产品质量判定以</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和招标人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双方确认的具有检测产品CMA认证资质的第三方检测机构检验结果为准；因此产生的检测费、运输费等全部费用均由</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承担。</w:t>
      </w:r>
    </w:p>
    <w:p>
      <w:pPr>
        <w:pStyle w:val="129"/>
        <w:autoSpaceDE/>
        <w:autoSpaceDN/>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、授予合同前或合同履行中，招标人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有权实地核查</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在投标时提供的分支机构或服务机构的场地、生产/储存/运输设备设施及能力等材料的符合性，若发现虚假将取消中标资格，且招标人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有权终止合同。因此给招标人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造成损失的，全部由</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承担。</w:t>
      </w:r>
    </w:p>
    <w:p>
      <w:pPr>
        <w:pStyle w:val="129"/>
        <w:autoSpaceDE/>
        <w:autoSpaceDN/>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在招标文件</w:t>
      </w:r>
      <w:r>
        <w:rPr>
          <w:rFonts w:hint="eastAsia" w:ascii="宋体" w:hAnsi="宋体" w:eastAsia="宋体" w:cs="宋体"/>
          <w:color w:val="auto"/>
          <w:sz w:val="21"/>
          <w:szCs w:val="21"/>
          <w:highlight w:val="none"/>
          <w:lang w:val="en-US" w:eastAsia="zh-CN"/>
        </w:rPr>
        <w:t>及合同</w:t>
      </w:r>
      <w:r>
        <w:rPr>
          <w:rFonts w:hint="eastAsia" w:ascii="宋体" w:hAnsi="宋体" w:eastAsia="宋体" w:cs="宋体"/>
          <w:color w:val="auto"/>
          <w:sz w:val="21"/>
          <w:szCs w:val="21"/>
          <w:highlight w:val="none"/>
        </w:rPr>
        <w:t>约定的供货期限和采购范围内，招标人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有权根据项目实际情况及有关法律法规、政策的规定进行变更调整。在变更调整后，</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应遵照执行。</w:t>
      </w:r>
    </w:p>
    <w:p>
      <w:pPr>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应当为其工作人员投保足额的社会保险、商业保险及为货物的运输投保足额的商业保险，如在运输及装卸过程中，相关生产药剂发生泄漏而导致的一切人员伤亡或财产损失事故，因此产生的赔偿责任或相关法律责任均由</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自行承担。凡由于货物包装不良、运输方式不当或非法运输造成的事故、损失、行政处罚和由此产生的其他全部费用均由</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全部承担。</w:t>
      </w:r>
    </w:p>
    <w:p>
      <w:pPr>
        <w:pStyle w:val="129"/>
        <w:widowControl/>
        <w:autoSpaceDE/>
        <w:autoSpaceDN/>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bidi="ar"/>
        </w:rPr>
        <w:t>12</w:t>
      </w:r>
      <w:r>
        <w:rPr>
          <w:rFonts w:hint="eastAsia" w:ascii="宋体" w:hAnsi="宋体" w:eastAsia="宋体" w:cs="宋体"/>
          <w:color w:val="auto"/>
          <w:sz w:val="21"/>
          <w:szCs w:val="21"/>
          <w:highlight w:val="none"/>
          <w:lang w:bidi="ar"/>
        </w:rPr>
        <w:t>、</w:t>
      </w:r>
      <w:r>
        <w:rPr>
          <w:rFonts w:hint="eastAsia" w:ascii="宋体" w:hAnsi="宋体" w:eastAsia="宋体" w:cs="宋体"/>
          <w:color w:val="auto"/>
          <w:sz w:val="21"/>
          <w:szCs w:val="21"/>
          <w:highlight w:val="none"/>
          <w:lang w:eastAsia="zh-CN" w:bidi="ar"/>
        </w:rPr>
        <w:t>中标人</w:t>
      </w:r>
      <w:r>
        <w:rPr>
          <w:rFonts w:hint="eastAsia" w:ascii="宋体" w:hAnsi="宋体" w:eastAsia="宋体" w:cs="宋体"/>
          <w:color w:val="auto"/>
          <w:sz w:val="21"/>
          <w:szCs w:val="21"/>
          <w:highlight w:val="none"/>
          <w:lang w:bidi="ar"/>
        </w:rPr>
        <w:t>有义务接受招标人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lang w:bidi="ar"/>
        </w:rPr>
        <w:t>的监督、评价及考核，且同意招标人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lang w:bidi="ar"/>
        </w:rPr>
        <w:t xml:space="preserve">关于供货资格供应商的管理规则及要求。 </w:t>
      </w:r>
    </w:p>
    <w:p>
      <w:pPr>
        <w:pStyle w:val="129"/>
        <w:widowControl/>
        <w:autoSpaceDE/>
        <w:autoSpaceDN/>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bidi="ar"/>
        </w:rPr>
        <w:t>13</w:t>
      </w:r>
      <w:r>
        <w:rPr>
          <w:rFonts w:hint="eastAsia" w:ascii="宋体" w:hAnsi="宋体" w:eastAsia="宋体" w:cs="宋体"/>
          <w:color w:val="auto"/>
          <w:sz w:val="21"/>
          <w:szCs w:val="21"/>
          <w:highlight w:val="none"/>
          <w:lang w:bidi="ar"/>
        </w:rPr>
        <w:t>、招标人运营项目每月在付款手续前对</w:t>
      </w:r>
      <w:r>
        <w:rPr>
          <w:rFonts w:hint="eastAsia" w:ascii="宋体" w:hAnsi="宋体" w:eastAsia="宋体" w:cs="宋体"/>
          <w:color w:val="auto"/>
          <w:sz w:val="21"/>
          <w:szCs w:val="21"/>
          <w:highlight w:val="none"/>
          <w:lang w:eastAsia="zh-CN" w:bidi="ar"/>
        </w:rPr>
        <w:t>中标人</w:t>
      </w:r>
      <w:r>
        <w:rPr>
          <w:rFonts w:hint="eastAsia" w:ascii="宋体" w:hAnsi="宋体" w:eastAsia="宋体" w:cs="宋体"/>
          <w:color w:val="auto"/>
          <w:sz w:val="21"/>
          <w:szCs w:val="21"/>
          <w:highlight w:val="none"/>
          <w:lang w:bidi="ar"/>
        </w:rPr>
        <w:t>的履约情况进行评价，填写《</w:t>
      </w:r>
      <w:bookmarkStart w:id="19" w:name="OLE_LINK15"/>
      <w:r>
        <w:rPr>
          <w:rFonts w:hint="eastAsia" w:ascii="宋体" w:hAnsi="宋体" w:eastAsia="宋体" w:cs="宋体"/>
          <w:color w:val="auto"/>
          <w:sz w:val="21"/>
          <w:szCs w:val="21"/>
          <w:highlight w:val="none"/>
          <w:lang w:bidi="ar"/>
        </w:rPr>
        <w:t>供应商履约评价表</w:t>
      </w:r>
      <w:bookmarkEnd w:id="19"/>
      <w:r>
        <w:rPr>
          <w:rFonts w:hint="eastAsia" w:ascii="宋体" w:hAnsi="宋体" w:eastAsia="宋体" w:cs="宋体"/>
          <w:color w:val="auto"/>
          <w:sz w:val="21"/>
          <w:szCs w:val="21"/>
          <w:highlight w:val="none"/>
          <w:lang w:bidi="ar"/>
        </w:rPr>
        <w:t>》</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val="en-US" w:eastAsia="zh-CN" w:bidi="ar"/>
        </w:rPr>
        <w:t>详见第四篇 合同条款格式 附件2</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。考核评分满分为100分，考核评分分数低于80分、达到60分时，</w:t>
      </w:r>
      <w:r>
        <w:rPr>
          <w:rFonts w:hint="eastAsia" w:ascii="宋体" w:hAnsi="宋体" w:eastAsia="宋体" w:cs="宋体"/>
          <w:color w:val="auto"/>
          <w:sz w:val="21"/>
          <w:szCs w:val="21"/>
          <w:highlight w:val="none"/>
          <w:lang w:eastAsia="zh-CN" w:bidi="ar"/>
        </w:rPr>
        <w:t>中标人</w:t>
      </w:r>
      <w:r>
        <w:rPr>
          <w:rFonts w:hint="eastAsia" w:ascii="宋体" w:hAnsi="宋体" w:eastAsia="宋体" w:cs="宋体"/>
          <w:color w:val="auto"/>
          <w:sz w:val="21"/>
          <w:szCs w:val="21"/>
          <w:highlight w:val="none"/>
          <w:lang w:bidi="ar"/>
        </w:rPr>
        <w:t>应按该</w:t>
      </w:r>
      <w:r>
        <w:rPr>
          <w:rFonts w:hint="eastAsia" w:ascii="宋体" w:hAnsi="宋体" w:eastAsia="宋体" w:cs="宋体"/>
          <w:color w:val="auto"/>
          <w:sz w:val="21"/>
          <w:szCs w:val="21"/>
          <w:highlight w:val="none"/>
          <w:lang w:val="en-US" w:eastAsia="zh-CN" w:bidi="ar"/>
        </w:rPr>
        <w:t>月</w:t>
      </w:r>
      <w:r>
        <w:rPr>
          <w:rFonts w:hint="eastAsia" w:ascii="宋体" w:hAnsi="宋体" w:eastAsia="宋体" w:cs="宋体"/>
          <w:color w:val="auto"/>
          <w:sz w:val="21"/>
          <w:szCs w:val="21"/>
          <w:highlight w:val="none"/>
          <w:lang w:bidi="ar"/>
        </w:rPr>
        <w:t>货物</w:t>
      </w:r>
      <w:bookmarkStart w:id="20" w:name="OLE_LINK30"/>
      <w:r>
        <w:rPr>
          <w:rFonts w:hint="eastAsia" w:ascii="宋体" w:hAnsi="宋体" w:eastAsia="宋体" w:cs="宋体"/>
          <w:color w:val="auto"/>
          <w:sz w:val="21"/>
          <w:szCs w:val="21"/>
          <w:highlight w:val="none"/>
          <w:lang w:val="en-US" w:eastAsia="zh-CN" w:bidi="ar"/>
        </w:rPr>
        <w:t>含税</w:t>
      </w:r>
      <w:bookmarkEnd w:id="20"/>
      <w:r>
        <w:rPr>
          <w:rFonts w:hint="eastAsia" w:ascii="宋体" w:hAnsi="宋体" w:eastAsia="宋体" w:cs="宋体"/>
          <w:color w:val="auto"/>
          <w:sz w:val="21"/>
          <w:szCs w:val="21"/>
          <w:highlight w:val="none"/>
          <w:lang w:val="en-US" w:eastAsia="zh-CN" w:bidi="ar"/>
        </w:rPr>
        <w:t>应付</w:t>
      </w:r>
      <w:r>
        <w:rPr>
          <w:rFonts w:hint="eastAsia" w:ascii="宋体" w:hAnsi="宋体" w:eastAsia="宋体" w:cs="宋体"/>
          <w:color w:val="auto"/>
          <w:sz w:val="21"/>
          <w:szCs w:val="21"/>
          <w:highlight w:val="none"/>
          <w:lang w:bidi="ar"/>
        </w:rPr>
        <w:t>货款的20%向</w:t>
      </w:r>
      <w:bookmarkStart w:id="21" w:name="OLE_LINK10"/>
      <w:r>
        <w:rPr>
          <w:rFonts w:hint="eastAsia" w:ascii="宋体" w:hAnsi="宋体" w:eastAsia="宋体" w:cs="宋体"/>
          <w:color w:val="auto"/>
          <w:sz w:val="21"/>
          <w:szCs w:val="21"/>
          <w:highlight w:val="none"/>
          <w:lang w:bidi="ar"/>
        </w:rPr>
        <w:t>招标人</w:t>
      </w:r>
      <w:r>
        <w:rPr>
          <w:rFonts w:hint="eastAsia" w:ascii="宋体" w:hAnsi="宋体" w:eastAsia="宋体" w:cs="Times New Roman"/>
          <w:b w:val="0"/>
          <w:bCs/>
          <w:color w:val="auto"/>
          <w:szCs w:val="21"/>
          <w:highlight w:val="none"/>
          <w:u w:val="none"/>
          <w:lang w:val="en-US" w:eastAsia="zh-CN"/>
        </w:rPr>
        <w:t>或招标人权属子公司</w:t>
      </w:r>
      <w:bookmarkEnd w:id="21"/>
      <w:r>
        <w:rPr>
          <w:rFonts w:hint="eastAsia" w:ascii="宋体" w:hAnsi="宋体" w:eastAsia="宋体" w:cs="宋体"/>
          <w:color w:val="auto"/>
          <w:sz w:val="21"/>
          <w:szCs w:val="21"/>
          <w:highlight w:val="none"/>
          <w:lang w:bidi="ar"/>
        </w:rPr>
        <w:t>支付违约金；考核评分分数低于60分时，</w:t>
      </w:r>
      <w:r>
        <w:rPr>
          <w:rFonts w:hint="eastAsia" w:ascii="宋体" w:hAnsi="宋体" w:eastAsia="宋体" w:cs="宋体"/>
          <w:color w:val="auto"/>
          <w:sz w:val="21"/>
          <w:szCs w:val="21"/>
          <w:highlight w:val="none"/>
          <w:lang w:eastAsia="zh-CN" w:bidi="ar"/>
        </w:rPr>
        <w:t>中标人</w:t>
      </w:r>
      <w:r>
        <w:rPr>
          <w:rFonts w:hint="eastAsia" w:ascii="宋体" w:hAnsi="宋体" w:eastAsia="宋体" w:cs="宋体"/>
          <w:color w:val="auto"/>
          <w:sz w:val="21"/>
          <w:szCs w:val="21"/>
          <w:highlight w:val="none"/>
          <w:lang w:bidi="ar"/>
        </w:rPr>
        <w:t>应按该</w:t>
      </w:r>
      <w:r>
        <w:rPr>
          <w:rFonts w:hint="eastAsia" w:ascii="宋体" w:hAnsi="宋体" w:eastAsia="宋体" w:cs="宋体"/>
          <w:color w:val="auto"/>
          <w:sz w:val="21"/>
          <w:szCs w:val="21"/>
          <w:highlight w:val="none"/>
          <w:lang w:val="en-US" w:eastAsia="zh-CN" w:bidi="ar"/>
        </w:rPr>
        <w:t>月</w:t>
      </w:r>
      <w:r>
        <w:rPr>
          <w:rFonts w:hint="eastAsia" w:ascii="宋体" w:hAnsi="宋体" w:eastAsia="宋体" w:cs="宋体"/>
          <w:color w:val="auto"/>
          <w:sz w:val="21"/>
          <w:szCs w:val="21"/>
          <w:highlight w:val="none"/>
          <w:lang w:bidi="ar"/>
        </w:rPr>
        <w:t>货物</w:t>
      </w:r>
      <w:r>
        <w:rPr>
          <w:rFonts w:hint="eastAsia" w:ascii="宋体" w:hAnsi="宋体" w:eastAsia="宋体" w:cs="宋体"/>
          <w:color w:val="auto"/>
          <w:sz w:val="21"/>
          <w:szCs w:val="21"/>
          <w:highlight w:val="none"/>
          <w:lang w:val="en-US" w:eastAsia="zh-CN" w:bidi="ar"/>
        </w:rPr>
        <w:t>含税应付</w:t>
      </w:r>
      <w:r>
        <w:rPr>
          <w:rFonts w:hint="eastAsia" w:ascii="宋体" w:hAnsi="宋体" w:eastAsia="宋体" w:cs="宋体"/>
          <w:color w:val="auto"/>
          <w:sz w:val="21"/>
          <w:szCs w:val="21"/>
          <w:highlight w:val="none"/>
          <w:lang w:bidi="ar"/>
        </w:rPr>
        <w:t>货款的30%向招标人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lang w:bidi="ar"/>
        </w:rPr>
        <w:t>支付违约金。若供货期内累计出现3次</w:t>
      </w:r>
      <w:r>
        <w:rPr>
          <w:rFonts w:hint="eastAsia" w:ascii="宋体" w:hAnsi="宋体" w:eastAsia="宋体" w:cs="宋体"/>
          <w:color w:val="auto"/>
          <w:kern w:val="2"/>
          <w:sz w:val="21"/>
          <w:szCs w:val="21"/>
          <w:highlight w:val="none"/>
        </w:rPr>
        <w:t>（含）以上</w:t>
      </w:r>
      <w:r>
        <w:rPr>
          <w:rFonts w:hint="eastAsia" w:ascii="宋体" w:hAnsi="宋体" w:eastAsia="宋体" w:cs="宋体"/>
          <w:color w:val="auto"/>
          <w:sz w:val="21"/>
          <w:szCs w:val="21"/>
          <w:highlight w:val="none"/>
          <w:lang w:bidi="ar"/>
        </w:rPr>
        <w:t>评审结论为不合格的，招标人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lang w:bidi="ar"/>
        </w:rPr>
        <w:t>有权取消</w:t>
      </w:r>
      <w:r>
        <w:rPr>
          <w:rFonts w:hint="eastAsia" w:ascii="宋体" w:hAnsi="宋体" w:eastAsia="宋体" w:cs="宋体"/>
          <w:color w:val="auto"/>
          <w:sz w:val="21"/>
          <w:szCs w:val="21"/>
          <w:highlight w:val="none"/>
          <w:lang w:eastAsia="zh-CN" w:bidi="ar"/>
        </w:rPr>
        <w:t>中标人</w:t>
      </w:r>
      <w:r>
        <w:rPr>
          <w:rFonts w:hint="eastAsia" w:ascii="宋体" w:hAnsi="宋体" w:eastAsia="宋体" w:cs="宋体"/>
          <w:color w:val="auto"/>
          <w:sz w:val="21"/>
          <w:szCs w:val="21"/>
          <w:highlight w:val="none"/>
          <w:lang w:bidi="ar"/>
        </w:rPr>
        <w:t>的供货资格并单方解除合同、没收</w:t>
      </w:r>
      <w:r>
        <w:rPr>
          <w:rFonts w:hint="eastAsia" w:ascii="宋体" w:hAnsi="宋体" w:eastAsia="宋体" w:cs="宋体"/>
          <w:color w:val="auto"/>
          <w:sz w:val="21"/>
          <w:szCs w:val="21"/>
          <w:highlight w:val="none"/>
          <w:lang w:eastAsia="zh-CN" w:bidi="ar"/>
        </w:rPr>
        <w:t>中标人</w:t>
      </w:r>
      <w:r>
        <w:rPr>
          <w:rFonts w:hint="eastAsia" w:ascii="宋体" w:hAnsi="宋体" w:eastAsia="宋体" w:cs="宋体"/>
          <w:color w:val="auto"/>
          <w:sz w:val="21"/>
          <w:szCs w:val="21"/>
          <w:highlight w:val="none"/>
          <w:lang w:bidi="ar"/>
        </w:rPr>
        <w:t>部分或全部履约担保。</w:t>
      </w:r>
    </w:p>
    <w:p>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w:t>
      </w:r>
      <w:r>
        <w:rPr>
          <w:rFonts w:hint="eastAsia" w:ascii="宋体" w:hAnsi="宋体" w:eastAsia="宋体" w:cs="宋体"/>
          <w:color w:val="auto"/>
          <w:kern w:val="2"/>
          <w:sz w:val="21"/>
          <w:szCs w:val="21"/>
          <w:highlight w:val="none"/>
          <w:lang w:val="en-US" w:eastAsia="zh-CN"/>
        </w:rPr>
        <w:t>1</w:t>
      </w:r>
      <w:r>
        <w:rPr>
          <w:rFonts w:hint="eastAsia" w:ascii="宋体" w:hAnsi="宋体" w:eastAsia="宋体" w:cs="宋体"/>
          <w:color w:val="auto"/>
          <w:kern w:val="2"/>
          <w:sz w:val="21"/>
          <w:szCs w:val="21"/>
          <w:highlight w:val="none"/>
        </w:rPr>
        <w:t>：招标人运营项目相关信息</w:t>
      </w:r>
    </w:p>
    <w:p>
      <w:pPr>
        <w:spacing w:line="360" w:lineRule="auto"/>
        <w:ind w:firstLine="420" w:firstLineChars="20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附件2：验收报告（模板）</w:t>
      </w:r>
    </w:p>
    <w:p>
      <w:pPr>
        <w:spacing w:line="360" w:lineRule="auto"/>
        <w:ind w:firstLine="420" w:firstLineChars="200"/>
        <w:rPr>
          <w:rFonts w:hint="eastAsia" w:ascii="宋体" w:hAnsi="宋体" w:eastAsia="宋体" w:cs="宋体"/>
          <w:color w:val="auto"/>
          <w:szCs w:val="21"/>
          <w:lang w:bidi="ar"/>
        </w:rPr>
        <w:sectPr>
          <w:footerReference r:id="rId4" w:type="first"/>
          <w:footerReference r:id="rId3" w:type="default"/>
          <w:pgSz w:w="12240" w:h="15840"/>
          <w:pgMar w:top="1191" w:right="1043" w:bottom="1191" w:left="1043" w:header="720" w:footer="720" w:gutter="0"/>
          <w:cols w:space="720" w:num="1"/>
          <w:titlePg/>
          <w:docGrid w:linePitch="326" w:charSpace="0"/>
        </w:sectPr>
      </w:pPr>
      <w:r>
        <w:rPr>
          <w:rFonts w:hint="eastAsia" w:ascii="宋体" w:hAnsi="宋体" w:eastAsia="宋体" w:cs="宋体"/>
          <w:color w:val="auto"/>
          <w:szCs w:val="21"/>
          <w:lang w:val="en-US" w:eastAsia="zh-CN"/>
        </w:rPr>
        <w:t>附件3：</w:t>
      </w:r>
      <w:r>
        <w:rPr>
          <w:rFonts w:hint="eastAsia" w:ascii="宋体" w:hAnsi="宋体" w:eastAsia="宋体" w:cs="宋体"/>
          <w:color w:val="auto"/>
          <w:szCs w:val="21"/>
          <w:lang w:bidi="ar"/>
        </w:rPr>
        <w:t>供应商履约评价表</w:t>
      </w:r>
    </w:p>
    <w:p>
      <w:pPr>
        <w:pageBreakBefore/>
        <w:snapToGrid w:val="0"/>
        <w:spacing w:line="360" w:lineRule="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zh-CN"/>
        </w:rPr>
        <w:t>附件</w:t>
      </w:r>
      <w:r>
        <w:rPr>
          <w:rFonts w:hint="eastAsia" w:ascii="宋体" w:hAnsi="宋体" w:eastAsia="宋体" w:cs="宋体"/>
          <w:b/>
          <w:color w:val="auto"/>
          <w:sz w:val="21"/>
          <w:szCs w:val="21"/>
          <w:highlight w:val="none"/>
          <w:lang w:val="en-US" w:eastAsia="zh-CN"/>
        </w:rPr>
        <w:t>1</w:t>
      </w:r>
      <w:r>
        <w:rPr>
          <w:rFonts w:hint="eastAsia" w:ascii="宋体" w:hAnsi="宋体" w:eastAsia="宋体" w:cs="宋体"/>
          <w:b/>
          <w:color w:val="auto"/>
          <w:sz w:val="21"/>
          <w:szCs w:val="21"/>
          <w:highlight w:val="none"/>
          <w:lang w:val="zh-CN"/>
        </w:rPr>
        <w:t>：</w:t>
      </w:r>
      <w:r>
        <w:rPr>
          <w:rFonts w:hint="eastAsia" w:ascii="宋体" w:hAnsi="宋体" w:eastAsia="宋体" w:cs="宋体"/>
          <w:b/>
          <w:color w:val="auto"/>
          <w:sz w:val="21"/>
          <w:szCs w:val="21"/>
          <w:highlight w:val="none"/>
        </w:rPr>
        <w:t>招标人</w:t>
      </w:r>
      <w:r>
        <w:rPr>
          <w:rFonts w:hint="eastAsia" w:ascii="宋体" w:hAnsi="宋体" w:eastAsia="宋体" w:cs="宋体"/>
          <w:b/>
          <w:color w:val="auto"/>
          <w:sz w:val="21"/>
          <w:szCs w:val="21"/>
          <w:highlight w:val="none"/>
          <w:lang w:val="zh-CN"/>
        </w:rPr>
        <w:t>运营项目</w:t>
      </w:r>
      <w:r>
        <w:rPr>
          <w:rFonts w:hint="eastAsia" w:ascii="宋体" w:hAnsi="宋体" w:eastAsia="宋体" w:cs="宋体"/>
          <w:b/>
          <w:color w:val="auto"/>
          <w:sz w:val="21"/>
          <w:szCs w:val="21"/>
          <w:highlight w:val="none"/>
        </w:rPr>
        <w:t>相关信息</w:t>
      </w:r>
    </w:p>
    <w:tbl>
      <w:tblPr>
        <w:tblStyle w:val="37"/>
        <w:tblW w:w="4701"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67"/>
        <w:gridCol w:w="3637"/>
        <w:gridCol w:w="3436"/>
        <w:gridCol w:w="20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jc w:val="center"/>
        </w:trPr>
        <w:tc>
          <w:tcPr>
            <w:tcW w:w="3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bookmarkStart w:id="29" w:name="_GoBack"/>
            <w:r>
              <w:rPr>
                <w:rFonts w:hint="eastAsia" w:ascii="宋体" w:hAnsi="宋体" w:eastAsia="宋体" w:cs="宋体"/>
                <w:b/>
                <w:bCs/>
                <w:i w:val="0"/>
                <w:iCs w:val="0"/>
                <w:color w:val="auto"/>
                <w:kern w:val="0"/>
                <w:sz w:val="21"/>
                <w:szCs w:val="21"/>
                <w:highlight w:val="none"/>
                <w:u w:val="none"/>
                <w:lang w:val="en-US" w:eastAsia="zh-CN" w:bidi="ar"/>
              </w:rPr>
              <w:t>序号</w:t>
            </w:r>
          </w:p>
        </w:tc>
        <w:tc>
          <w:tcPr>
            <w:tcW w:w="18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项目名称</w:t>
            </w:r>
          </w:p>
        </w:tc>
        <w:tc>
          <w:tcPr>
            <w:tcW w:w="176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项目地址</w:t>
            </w:r>
          </w:p>
        </w:tc>
        <w:tc>
          <w:tcPr>
            <w:tcW w:w="103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bookmarkStart w:id="22" w:name="OLE_LINK2"/>
            <w:r>
              <w:rPr>
                <w:rFonts w:hint="eastAsia" w:ascii="宋体" w:hAnsi="宋体" w:eastAsia="宋体" w:cs="宋体"/>
                <w:b/>
                <w:bCs w:val="0"/>
                <w:color w:val="auto"/>
                <w:kern w:val="2"/>
                <w:sz w:val="21"/>
                <w:szCs w:val="21"/>
                <w:highlight w:val="none"/>
                <w:vertAlign w:val="baseline"/>
                <w:lang w:val="en-US" w:eastAsia="zh-CN"/>
              </w:rPr>
              <w:t>预计年送货量（吨</w:t>
            </w:r>
            <w:r>
              <w:rPr>
                <w:rFonts w:hint="eastAsia" w:ascii="宋体" w:hAnsi="宋体" w:eastAsia="宋体" w:cs="宋体"/>
                <w:b/>
                <w:bCs/>
                <w:color w:val="auto"/>
                <w:kern w:val="0"/>
                <w:sz w:val="21"/>
                <w:szCs w:val="21"/>
                <w:vertAlign w:val="baseline"/>
                <w:lang w:val="en-US" w:eastAsia="zh-CN" w:bidi="ar"/>
              </w:rPr>
              <w:t>）</w:t>
            </w:r>
            <w:bookmarkEnd w:id="22"/>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jc w:val="center"/>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一、污水处理厂项目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3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8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万江污水处理厂二期</w:t>
            </w:r>
          </w:p>
        </w:tc>
        <w:tc>
          <w:tcPr>
            <w:tcW w:w="176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东莞市万江区流涌尾村大兴工业路3号</w:t>
            </w:r>
          </w:p>
        </w:tc>
        <w:tc>
          <w:tcPr>
            <w:tcW w:w="103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258.967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3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8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中堂污水处理厂二期</w:t>
            </w:r>
          </w:p>
        </w:tc>
        <w:tc>
          <w:tcPr>
            <w:tcW w:w="176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中堂镇东向村滨河东路68号101室</w:t>
            </w:r>
          </w:p>
        </w:tc>
        <w:tc>
          <w:tcPr>
            <w:tcW w:w="103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19.431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3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8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麻涌污水处理厂二期</w:t>
            </w:r>
          </w:p>
        </w:tc>
        <w:tc>
          <w:tcPr>
            <w:tcW w:w="176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东莞市麻涌镇新沙公园南一路9号</w:t>
            </w:r>
          </w:p>
        </w:tc>
        <w:tc>
          <w:tcPr>
            <w:tcW w:w="103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72.291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jc w:val="center"/>
        </w:trPr>
        <w:tc>
          <w:tcPr>
            <w:tcW w:w="3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18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高埗污水处理厂二期</w:t>
            </w:r>
          </w:p>
        </w:tc>
        <w:tc>
          <w:tcPr>
            <w:tcW w:w="176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东莞市高埗镇高埗洲头路13号</w:t>
            </w:r>
          </w:p>
        </w:tc>
        <w:tc>
          <w:tcPr>
            <w:tcW w:w="103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1278.123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jc w:val="center"/>
        </w:trPr>
        <w:tc>
          <w:tcPr>
            <w:tcW w:w="3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8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长安新区污水处理厂</w:t>
            </w:r>
          </w:p>
        </w:tc>
        <w:tc>
          <w:tcPr>
            <w:tcW w:w="176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东莞市长安镇乌沙社区兴发南路尽头</w:t>
            </w:r>
          </w:p>
        </w:tc>
        <w:tc>
          <w:tcPr>
            <w:tcW w:w="103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45.618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jc w:val="center"/>
        </w:trPr>
        <w:tc>
          <w:tcPr>
            <w:tcW w:w="3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18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厚街沙塘污水处理厂二期</w:t>
            </w:r>
          </w:p>
        </w:tc>
        <w:tc>
          <w:tcPr>
            <w:tcW w:w="176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东莞市厚街镇沙塘村沙隆路39号</w:t>
            </w:r>
          </w:p>
        </w:tc>
        <w:tc>
          <w:tcPr>
            <w:tcW w:w="103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11.120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jc w:val="center"/>
        </w:trPr>
        <w:tc>
          <w:tcPr>
            <w:tcW w:w="3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18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虎门宁洲污水处理厂三期</w:t>
            </w:r>
          </w:p>
        </w:tc>
        <w:tc>
          <w:tcPr>
            <w:tcW w:w="176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虎门镇南栅社区民昌路第六工业区九巷5号</w:t>
            </w:r>
          </w:p>
        </w:tc>
        <w:tc>
          <w:tcPr>
            <w:tcW w:w="103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342.039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3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18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沙田福禄沙污水处理厂二期</w:t>
            </w:r>
          </w:p>
        </w:tc>
        <w:tc>
          <w:tcPr>
            <w:tcW w:w="17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东莞市沙田镇洲仔路1号2栋101室</w:t>
            </w:r>
          </w:p>
        </w:tc>
        <w:tc>
          <w:tcPr>
            <w:tcW w:w="10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212.743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3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18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大岭山连马污水处理厂二期</w:t>
            </w:r>
          </w:p>
        </w:tc>
        <w:tc>
          <w:tcPr>
            <w:tcW w:w="176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东莞市大岭山镇连马路159号102室</w:t>
            </w:r>
          </w:p>
        </w:tc>
        <w:tc>
          <w:tcPr>
            <w:tcW w:w="103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1167.074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jc w:val="center"/>
        </w:trPr>
        <w:tc>
          <w:tcPr>
            <w:tcW w:w="3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18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东城温塘污水处理厂</w:t>
            </w:r>
          </w:p>
        </w:tc>
        <w:tc>
          <w:tcPr>
            <w:tcW w:w="176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东莞市东城街道创盈路东城段86号</w:t>
            </w:r>
          </w:p>
        </w:tc>
        <w:tc>
          <w:tcPr>
            <w:tcW w:w="103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26.343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3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18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东城温塘污水处理厂二期</w:t>
            </w:r>
          </w:p>
        </w:tc>
        <w:tc>
          <w:tcPr>
            <w:tcW w:w="176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东莞市东城街道创盈路东城段86号</w:t>
            </w:r>
          </w:p>
        </w:tc>
        <w:tc>
          <w:tcPr>
            <w:tcW w:w="103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136.305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3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18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黄江污水处理厂二期</w:t>
            </w:r>
          </w:p>
        </w:tc>
        <w:tc>
          <w:tcPr>
            <w:tcW w:w="176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东莞市黄江镇合路村创业一路一号</w:t>
            </w:r>
          </w:p>
        </w:tc>
        <w:tc>
          <w:tcPr>
            <w:tcW w:w="103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4.323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3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18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寮步竹园污水处理厂二期</w:t>
            </w:r>
          </w:p>
        </w:tc>
        <w:tc>
          <w:tcPr>
            <w:tcW w:w="176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东莞市寮步镇竹园村横岭工业区18号</w:t>
            </w:r>
          </w:p>
        </w:tc>
        <w:tc>
          <w:tcPr>
            <w:tcW w:w="103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322.558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3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w:t>
            </w:r>
          </w:p>
        </w:tc>
        <w:tc>
          <w:tcPr>
            <w:tcW w:w="18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寮步竹园污水处理厂三期</w:t>
            </w:r>
          </w:p>
        </w:tc>
        <w:tc>
          <w:tcPr>
            <w:tcW w:w="176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东莞市寮步镇竹园村横岭工业区18号</w:t>
            </w:r>
          </w:p>
        </w:tc>
        <w:tc>
          <w:tcPr>
            <w:tcW w:w="103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289.572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jc w:val="center"/>
        </w:trPr>
        <w:tc>
          <w:tcPr>
            <w:tcW w:w="3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18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大朗松山湖南部污水处理厂二期</w:t>
            </w:r>
          </w:p>
        </w:tc>
        <w:tc>
          <w:tcPr>
            <w:tcW w:w="176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东莞市大朗镇沙步村杨沙路153号十三栋101室</w:t>
            </w:r>
          </w:p>
        </w:tc>
        <w:tc>
          <w:tcPr>
            <w:tcW w:w="103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948.191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jc w:val="center"/>
        </w:trPr>
        <w:tc>
          <w:tcPr>
            <w:tcW w:w="3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18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常平东污水处理厂二期</w:t>
            </w:r>
          </w:p>
        </w:tc>
        <w:tc>
          <w:tcPr>
            <w:tcW w:w="176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东莞市常平镇沙湖口村污水处理厂二期</w:t>
            </w:r>
          </w:p>
        </w:tc>
        <w:tc>
          <w:tcPr>
            <w:tcW w:w="103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306.481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jc w:val="center"/>
        </w:trPr>
        <w:tc>
          <w:tcPr>
            <w:tcW w:w="3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w:t>
            </w:r>
          </w:p>
        </w:tc>
        <w:tc>
          <w:tcPr>
            <w:tcW w:w="18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常平西污水处理厂二期</w:t>
            </w:r>
          </w:p>
        </w:tc>
        <w:tc>
          <w:tcPr>
            <w:tcW w:w="176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东莞市常平镇常平沿河东一路20号</w:t>
            </w:r>
          </w:p>
        </w:tc>
        <w:tc>
          <w:tcPr>
            <w:tcW w:w="103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270.000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jc w:val="center"/>
        </w:trPr>
        <w:tc>
          <w:tcPr>
            <w:tcW w:w="3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18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横沥东坑污水处理厂二期</w:t>
            </w:r>
          </w:p>
        </w:tc>
        <w:tc>
          <w:tcPr>
            <w:tcW w:w="176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东莞市横沥镇石涌恒富路1号1号楼101室</w:t>
            </w:r>
          </w:p>
        </w:tc>
        <w:tc>
          <w:tcPr>
            <w:tcW w:w="103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545.359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jc w:val="center"/>
        </w:trPr>
        <w:tc>
          <w:tcPr>
            <w:tcW w:w="3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w:t>
            </w:r>
          </w:p>
        </w:tc>
        <w:tc>
          <w:tcPr>
            <w:tcW w:w="18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桥头污水处理厂二期</w:t>
            </w:r>
          </w:p>
        </w:tc>
        <w:tc>
          <w:tcPr>
            <w:tcW w:w="17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东莞市桥头镇东深路桥头段6号2号楼</w:t>
            </w:r>
          </w:p>
        </w:tc>
        <w:tc>
          <w:tcPr>
            <w:tcW w:w="10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85.929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jc w:val="center"/>
        </w:trPr>
        <w:tc>
          <w:tcPr>
            <w:tcW w:w="3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18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谢岗污水处理厂二期</w:t>
            </w:r>
          </w:p>
        </w:tc>
        <w:tc>
          <w:tcPr>
            <w:tcW w:w="176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东莞市谢岗镇禾尚岗路16号</w:t>
            </w:r>
          </w:p>
        </w:tc>
        <w:tc>
          <w:tcPr>
            <w:tcW w:w="103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11.609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jc w:val="center"/>
        </w:trPr>
        <w:tc>
          <w:tcPr>
            <w:tcW w:w="3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w:t>
            </w:r>
          </w:p>
        </w:tc>
        <w:tc>
          <w:tcPr>
            <w:tcW w:w="18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塘厦林村污水处理厂二期</w:t>
            </w:r>
          </w:p>
        </w:tc>
        <w:tc>
          <w:tcPr>
            <w:tcW w:w="176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塘厦镇林村村委会鸡爪桥猪仔沥</w:t>
            </w:r>
          </w:p>
        </w:tc>
        <w:tc>
          <w:tcPr>
            <w:tcW w:w="103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5.962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jc w:val="center"/>
        </w:trPr>
        <w:tc>
          <w:tcPr>
            <w:tcW w:w="3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w:t>
            </w:r>
          </w:p>
        </w:tc>
        <w:tc>
          <w:tcPr>
            <w:tcW w:w="18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樟木头污水处理厂三期</w:t>
            </w:r>
          </w:p>
        </w:tc>
        <w:tc>
          <w:tcPr>
            <w:tcW w:w="176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樟木头镇柏地社区柏峰路169号</w:t>
            </w:r>
          </w:p>
        </w:tc>
        <w:tc>
          <w:tcPr>
            <w:tcW w:w="103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387.667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3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w:t>
            </w:r>
          </w:p>
        </w:tc>
        <w:tc>
          <w:tcPr>
            <w:tcW w:w="18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樟木头裕丰</w:t>
            </w:r>
          </w:p>
        </w:tc>
        <w:tc>
          <w:tcPr>
            <w:tcW w:w="176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东莞市樟木头镇裕丰社区莞樟东路西侧</w:t>
            </w:r>
          </w:p>
        </w:tc>
        <w:tc>
          <w:tcPr>
            <w:tcW w:w="103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123.905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jc w:val="center"/>
        </w:trPr>
        <w:tc>
          <w:tcPr>
            <w:tcW w:w="3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w:t>
            </w:r>
          </w:p>
        </w:tc>
        <w:tc>
          <w:tcPr>
            <w:tcW w:w="18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塘厦白泥湖水质净化厂改造工程</w:t>
            </w:r>
          </w:p>
        </w:tc>
        <w:tc>
          <w:tcPr>
            <w:tcW w:w="176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东莞市塘厦镇塘厦南一横路21号</w:t>
            </w:r>
          </w:p>
        </w:tc>
        <w:tc>
          <w:tcPr>
            <w:tcW w:w="103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156.429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jc w:val="center"/>
        </w:trPr>
        <w:tc>
          <w:tcPr>
            <w:tcW w:w="3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18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清溪厦坭污水处理厂二期</w:t>
            </w:r>
          </w:p>
        </w:tc>
        <w:tc>
          <w:tcPr>
            <w:tcW w:w="176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东莞市清溪镇江背路33号</w:t>
            </w:r>
          </w:p>
        </w:tc>
        <w:tc>
          <w:tcPr>
            <w:tcW w:w="103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535.205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jc w:val="center"/>
        </w:trPr>
        <w:tc>
          <w:tcPr>
            <w:tcW w:w="3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w:t>
            </w:r>
          </w:p>
        </w:tc>
        <w:tc>
          <w:tcPr>
            <w:tcW w:w="18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color w:val="auto"/>
                <w:kern w:val="0"/>
                <w:szCs w:val="21"/>
                <w:highlight w:val="none"/>
                <w:u w:val="none"/>
                <w:lang w:bidi="ar"/>
              </w:rPr>
              <w:t>松山湖工业改造项目</w:t>
            </w:r>
          </w:p>
        </w:tc>
        <w:tc>
          <w:tcPr>
            <w:tcW w:w="176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color w:val="auto"/>
                <w:szCs w:val="21"/>
                <w:highlight w:val="none"/>
                <w:u w:val="none"/>
              </w:rPr>
              <w:t>东莞市松山湖阿里山路12号</w:t>
            </w:r>
          </w:p>
        </w:tc>
        <w:tc>
          <w:tcPr>
            <w:tcW w:w="103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36.582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jc w:val="center"/>
        </w:trPr>
        <w:tc>
          <w:tcPr>
            <w:tcW w:w="3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27</w:t>
            </w:r>
          </w:p>
        </w:tc>
        <w:tc>
          <w:tcPr>
            <w:tcW w:w="18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黄江梅塘污水处理厂</w:t>
            </w:r>
          </w:p>
        </w:tc>
        <w:tc>
          <w:tcPr>
            <w:tcW w:w="176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广东省东莞市黄江镇星光村附件</w:t>
            </w:r>
          </w:p>
        </w:tc>
        <w:tc>
          <w:tcPr>
            <w:tcW w:w="103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1064.402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3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w:t>
            </w:r>
          </w:p>
        </w:tc>
        <w:tc>
          <w:tcPr>
            <w:tcW w:w="18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塘厦大坪污水处理厂一期</w:t>
            </w:r>
          </w:p>
        </w:tc>
        <w:tc>
          <w:tcPr>
            <w:tcW w:w="176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w:t>
            </w:r>
          </w:p>
        </w:tc>
        <w:tc>
          <w:tcPr>
            <w:tcW w:w="103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3003.000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二、提标项目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jc w:val="center"/>
        </w:trPr>
        <w:tc>
          <w:tcPr>
            <w:tcW w:w="3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8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石碣沙腰污水处理厂二期提标</w:t>
            </w:r>
          </w:p>
        </w:tc>
        <w:tc>
          <w:tcPr>
            <w:tcW w:w="176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东莞市石碣镇沙腰村沿江西路2号</w:t>
            </w:r>
          </w:p>
        </w:tc>
        <w:tc>
          <w:tcPr>
            <w:tcW w:w="103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72.390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jc w:val="center"/>
        </w:trPr>
        <w:tc>
          <w:tcPr>
            <w:tcW w:w="3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8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市区污水处理厂提标工程</w:t>
            </w:r>
          </w:p>
        </w:tc>
        <w:tc>
          <w:tcPr>
            <w:tcW w:w="176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东莞市南城街道滨河路100号</w:t>
            </w:r>
          </w:p>
        </w:tc>
        <w:tc>
          <w:tcPr>
            <w:tcW w:w="103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9226.600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jc w:val="center"/>
        </w:trPr>
        <w:tc>
          <w:tcPr>
            <w:tcW w:w="3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8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清溪厦坭污水处理厂一期提标工程</w:t>
            </w:r>
          </w:p>
        </w:tc>
        <w:tc>
          <w:tcPr>
            <w:tcW w:w="176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东莞市清溪镇厦坭村江背路75号</w:t>
            </w:r>
          </w:p>
        </w:tc>
        <w:tc>
          <w:tcPr>
            <w:tcW w:w="103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FF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2003.333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jc w:val="center"/>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三、分散式及一体化项目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jc w:val="center"/>
        </w:trPr>
        <w:tc>
          <w:tcPr>
            <w:tcW w:w="3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w:t>
            </w:r>
          </w:p>
        </w:tc>
        <w:tc>
          <w:tcPr>
            <w:tcW w:w="18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0"/>
                <w:szCs w:val="21"/>
                <w:highlight w:val="none"/>
                <w:u w:val="none"/>
                <w:lang w:bidi="ar"/>
              </w:rPr>
              <w:t>东莞市中堂镇江南分散式污水处理站</w:t>
            </w:r>
          </w:p>
        </w:tc>
        <w:tc>
          <w:tcPr>
            <w:tcW w:w="176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w:t>
            </w:r>
          </w:p>
        </w:tc>
        <w:tc>
          <w:tcPr>
            <w:tcW w:w="103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397.142 </w:t>
            </w:r>
          </w:p>
        </w:tc>
      </w:tr>
      <w:bookmarkEnd w:id="29"/>
    </w:tbl>
    <w:p>
      <w:pPr>
        <w:widowControl/>
        <w:autoSpaceDE/>
        <w:autoSpaceDN/>
        <w:adjustRightInd/>
        <w:spacing w:line="360" w:lineRule="auto"/>
        <w:ind w:left="0" w:leftChars="0" w:firstLine="0" w:firstLineChars="0"/>
        <w:jc w:val="left"/>
        <w:rPr>
          <w:rFonts w:hint="eastAsia" w:ascii="宋体" w:hAnsi="宋体" w:eastAsia="宋体" w:cs="宋体"/>
          <w:b/>
          <w:bCs/>
          <w:color w:val="auto"/>
          <w:sz w:val="21"/>
          <w:szCs w:val="21"/>
          <w:highlight w:val="none"/>
        </w:rPr>
        <w:sectPr>
          <w:headerReference r:id="rId5" w:type="first"/>
          <w:footerReference r:id="rId7" w:type="first"/>
          <w:footerReference r:id="rId6" w:type="default"/>
          <w:pgSz w:w="12240" w:h="15840"/>
          <w:pgMar w:top="1191" w:right="1043" w:bottom="1191" w:left="1043" w:header="720" w:footer="720" w:gutter="0"/>
          <w:cols w:space="720" w:num="1"/>
          <w:titlePg/>
          <w:docGrid w:linePitch="326" w:charSpace="0"/>
        </w:sectPr>
      </w:pPr>
      <w:r>
        <w:rPr>
          <w:rFonts w:hint="eastAsia" w:ascii="宋体" w:hAnsi="宋体" w:eastAsia="宋体" w:cs="宋体"/>
          <w:b/>
          <w:bCs/>
          <w:color w:val="auto"/>
          <w:sz w:val="21"/>
          <w:szCs w:val="21"/>
          <w:highlight w:val="none"/>
        </w:rPr>
        <w:t>备注：</w:t>
      </w:r>
      <w:r>
        <w:rPr>
          <w:rFonts w:hint="eastAsia" w:ascii="宋体" w:hAnsi="宋体" w:eastAsia="宋体" w:cs="宋体"/>
          <w:b/>
          <w:color w:val="auto"/>
          <w:kern w:val="2"/>
          <w:sz w:val="21"/>
          <w:szCs w:val="21"/>
          <w:highlight w:val="none"/>
        </w:rPr>
        <w:t>以上</w:t>
      </w:r>
      <w:r>
        <w:rPr>
          <w:rFonts w:hint="eastAsia" w:ascii="宋体" w:hAnsi="宋体" w:eastAsia="宋体" w:cs="宋体"/>
          <w:b/>
          <w:color w:val="auto"/>
          <w:kern w:val="2"/>
          <w:sz w:val="21"/>
          <w:szCs w:val="21"/>
          <w:highlight w:val="none"/>
          <w:lang w:val="en-US" w:eastAsia="zh-CN"/>
        </w:rPr>
        <w:t>运营项目为暂定，</w:t>
      </w:r>
      <w:r>
        <w:rPr>
          <w:rFonts w:hint="eastAsia" w:ascii="宋体" w:hAnsi="宋体" w:eastAsia="宋体" w:cs="宋体"/>
          <w:b/>
          <w:bCs/>
          <w:color w:val="auto"/>
          <w:sz w:val="21"/>
          <w:szCs w:val="21"/>
          <w:highlight w:val="none"/>
        </w:rPr>
        <w:t>具体情况以实际为准，如有疑问可实地考察。</w:t>
      </w:r>
    </w:p>
    <w:p>
      <w:pPr>
        <w:spacing w:line="240" w:lineRule="auto"/>
        <w:ind w:firstLine="0" w:firstLineChars="0"/>
        <w:rPr>
          <w:rFonts w:hint="eastAsia" w:ascii="宋体" w:hAnsi="宋体" w:eastAsia="宋体" w:cs="宋体"/>
          <w:b/>
          <w:color w:val="auto"/>
          <w:szCs w:val="21"/>
          <w:lang w:val="en-US" w:eastAsia="zh-CN"/>
        </w:rPr>
      </w:pPr>
      <w:r>
        <w:rPr>
          <w:rFonts w:hint="eastAsia" w:ascii="宋体" w:hAnsi="宋体" w:eastAsia="宋体" w:cs="宋体"/>
          <w:b/>
          <w:color w:val="auto"/>
          <w:szCs w:val="21"/>
          <w:lang w:val="en-US" w:eastAsia="zh-CN"/>
        </w:rPr>
        <w:t>附件2：验收报告（模板）</w:t>
      </w:r>
    </w:p>
    <w:p>
      <w:pPr>
        <w:pStyle w:val="2"/>
        <w:rPr>
          <w:lang w:val="zh-CN"/>
        </w:rPr>
      </w:pPr>
    </w:p>
    <w:p>
      <w:pPr>
        <w:jc w:val="center"/>
        <w:rPr>
          <w:rFonts w:ascii="方正小标宋简体" w:eastAsia="方正小标宋简体"/>
          <w:sz w:val="44"/>
          <w:szCs w:val="44"/>
        </w:rPr>
      </w:pPr>
      <w:r>
        <w:rPr>
          <w:rFonts w:hint="eastAsia" w:ascii="方正小标宋简体" w:eastAsia="方正小标宋简体"/>
          <w:sz w:val="44"/>
          <w:szCs w:val="44"/>
        </w:rPr>
        <w:t>验收报告</w:t>
      </w:r>
    </w:p>
    <w:tbl>
      <w:tblPr>
        <w:tblStyle w:val="37"/>
        <w:tblpPr w:leftFromText="180" w:rightFromText="180" w:vertAnchor="text" w:horzAnchor="page" w:tblpXSpec="center" w:tblpY="292"/>
        <w:tblOverlap w:val="never"/>
        <w:tblW w:w="100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71"/>
        <w:gridCol w:w="1072"/>
        <w:gridCol w:w="1572"/>
        <w:gridCol w:w="1572"/>
        <w:gridCol w:w="1572"/>
        <w:gridCol w:w="632"/>
        <w:gridCol w:w="940"/>
        <w:gridCol w:w="15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2143"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widowControl/>
              <w:jc w:val="center"/>
              <w:textAlignment w:val="center"/>
              <w:rPr>
                <w:rFonts w:ascii="宋体" w:hAnsi="宋体"/>
                <w:b/>
                <w:color w:val="000000"/>
                <w:sz w:val="24"/>
              </w:rPr>
            </w:pPr>
            <w:r>
              <w:rPr>
                <w:rFonts w:hint="eastAsia" w:ascii="宋体" w:hAnsi="宋体" w:eastAsia="宋体" w:cs="宋体"/>
                <w:b/>
                <w:color w:val="000000"/>
                <w:sz w:val="24"/>
              </w:rPr>
              <w:t>合同名称</w:t>
            </w:r>
          </w:p>
        </w:tc>
        <w:tc>
          <w:tcPr>
            <w:tcW w:w="7864" w:type="dxa"/>
            <w:gridSpan w:val="6"/>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widowControl/>
              <w:jc w:val="center"/>
              <w:textAlignment w:val="center"/>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2143"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widowControl/>
              <w:jc w:val="center"/>
              <w:textAlignment w:val="center"/>
              <w:rPr>
                <w:rFonts w:ascii="宋体" w:hAnsi="宋体"/>
                <w:b/>
                <w:color w:val="000000"/>
                <w:sz w:val="24"/>
              </w:rPr>
            </w:pPr>
            <w:r>
              <w:rPr>
                <w:rFonts w:hint="eastAsia" w:ascii="宋体" w:hAnsi="宋体" w:eastAsia="宋体" w:cs="宋体"/>
                <w:b/>
                <w:color w:val="000000"/>
                <w:sz w:val="24"/>
              </w:rPr>
              <w:t>合同编号</w:t>
            </w:r>
          </w:p>
        </w:tc>
        <w:tc>
          <w:tcPr>
            <w:tcW w:w="7864" w:type="dxa"/>
            <w:gridSpan w:val="6"/>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widowControl/>
              <w:jc w:val="center"/>
              <w:textAlignment w:val="center"/>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2143"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widowControl/>
              <w:jc w:val="center"/>
              <w:textAlignment w:val="center"/>
              <w:rPr>
                <w:rFonts w:ascii="宋体" w:hAnsi="宋体" w:eastAsia="宋体" w:cs="宋体"/>
                <w:b/>
                <w:color w:val="000000"/>
                <w:sz w:val="24"/>
              </w:rPr>
            </w:pPr>
            <w:r>
              <w:rPr>
                <w:rFonts w:hint="eastAsia" w:ascii="宋体" w:hAnsi="宋体" w:eastAsia="宋体" w:cs="宋体"/>
                <w:b/>
                <w:color w:val="000000"/>
                <w:sz w:val="24"/>
              </w:rPr>
              <w:t>供货单位</w:t>
            </w:r>
          </w:p>
        </w:tc>
        <w:tc>
          <w:tcPr>
            <w:tcW w:w="7864" w:type="dxa"/>
            <w:gridSpan w:val="6"/>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widowControl/>
              <w:jc w:val="center"/>
              <w:textAlignment w:val="center"/>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2143"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widowControl/>
              <w:jc w:val="center"/>
              <w:textAlignment w:val="center"/>
              <w:rPr>
                <w:rFonts w:ascii="宋体" w:hAnsi="宋体" w:eastAsia="宋体" w:cs="宋体"/>
                <w:b/>
                <w:color w:val="000000"/>
                <w:sz w:val="24"/>
              </w:rPr>
            </w:pPr>
            <w:r>
              <w:rPr>
                <w:rFonts w:hint="eastAsia" w:ascii="宋体" w:hAnsi="宋体" w:eastAsia="宋体" w:cs="宋体"/>
                <w:b/>
                <w:color w:val="000000"/>
                <w:sz w:val="24"/>
              </w:rPr>
              <w:t>合同供货期</w:t>
            </w:r>
          </w:p>
        </w:tc>
        <w:tc>
          <w:tcPr>
            <w:tcW w:w="7864" w:type="dxa"/>
            <w:gridSpan w:val="6"/>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widowControl/>
              <w:jc w:val="center"/>
              <w:textAlignment w:val="center"/>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2143"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widowControl/>
              <w:jc w:val="center"/>
              <w:textAlignment w:val="center"/>
              <w:rPr>
                <w:rFonts w:ascii="宋体" w:hAnsi="宋体"/>
                <w:b/>
                <w:color w:val="000000"/>
                <w:sz w:val="24"/>
              </w:rPr>
            </w:pPr>
            <w:r>
              <w:rPr>
                <w:rFonts w:hint="eastAsia" w:ascii="宋体" w:hAnsi="宋体" w:eastAsia="宋体" w:cs="宋体"/>
                <w:b/>
                <w:color w:val="000000"/>
                <w:sz w:val="24"/>
              </w:rPr>
              <w:t>药剂名称</w:t>
            </w:r>
          </w:p>
        </w:tc>
        <w:tc>
          <w:tcPr>
            <w:tcW w:w="3144"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widowControl/>
              <w:jc w:val="center"/>
              <w:textAlignment w:val="center"/>
              <w:rPr>
                <w:rFonts w:ascii="宋体" w:hAnsi="宋体" w:eastAsia="宋体" w:cs="宋体"/>
                <w:b/>
                <w:color w:val="000000"/>
                <w:sz w:val="24"/>
              </w:rPr>
            </w:pPr>
          </w:p>
        </w:tc>
        <w:tc>
          <w:tcPr>
            <w:tcW w:w="2204"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widowControl/>
              <w:jc w:val="center"/>
              <w:textAlignment w:val="center"/>
              <w:rPr>
                <w:rFonts w:ascii="宋体" w:hAnsi="宋体" w:eastAsia="宋体" w:cs="宋体"/>
                <w:b/>
                <w:color w:val="000000"/>
                <w:sz w:val="24"/>
              </w:rPr>
            </w:pPr>
            <w:r>
              <w:rPr>
                <w:rFonts w:hint="eastAsia" w:ascii="宋体" w:hAnsi="宋体" w:eastAsia="宋体" w:cs="宋体"/>
                <w:b/>
                <w:color w:val="000000"/>
                <w:sz w:val="24"/>
              </w:rPr>
              <w:t>品    牌</w:t>
            </w:r>
          </w:p>
        </w:tc>
        <w:tc>
          <w:tcPr>
            <w:tcW w:w="2516"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widowControl/>
              <w:jc w:val="center"/>
              <w:textAlignment w:val="center"/>
              <w:rPr>
                <w:rFonts w:ascii="宋体" w:hAnsi="宋体" w:eastAsia="宋体" w:cs="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2143"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widowControl/>
              <w:jc w:val="center"/>
              <w:textAlignment w:val="center"/>
              <w:rPr>
                <w:rFonts w:ascii="宋体" w:hAnsi="宋体" w:eastAsia="宋体" w:cs="宋体"/>
                <w:b/>
                <w:color w:val="000000"/>
                <w:sz w:val="24"/>
              </w:rPr>
            </w:pPr>
            <w:r>
              <w:rPr>
                <w:rFonts w:hint="eastAsia" w:ascii="宋体" w:hAnsi="宋体" w:eastAsia="宋体" w:cs="宋体"/>
                <w:b/>
                <w:color w:val="000000"/>
                <w:sz w:val="24"/>
              </w:rPr>
              <w:t>供货时间</w:t>
            </w:r>
          </w:p>
        </w:tc>
        <w:tc>
          <w:tcPr>
            <w:tcW w:w="3144"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widowControl/>
              <w:jc w:val="center"/>
              <w:textAlignment w:val="center"/>
              <w:rPr>
                <w:rFonts w:ascii="宋体" w:hAnsi="宋体" w:eastAsia="宋体" w:cs="宋体"/>
                <w:b/>
                <w:color w:val="000000"/>
                <w:sz w:val="24"/>
              </w:rPr>
            </w:pPr>
          </w:p>
        </w:tc>
        <w:tc>
          <w:tcPr>
            <w:tcW w:w="2204"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widowControl/>
              <w:jc w:val="center"/>
              <w:textAlignment w:val="center"/>
              <w:rPr>
                <w:rFonts w:ascii="宋体" w:hAnsi="宋体" w:eastAsia="宋体" w:cs="宋体"/>
                <w:b/>
                <w:color w:val="000000"/>
                <w:sz w:val="24"/>
              </w:rPr>
            </w:pPr>
            <w:r>
              <w:rPr>
                <w:rFonts w:hint="eastAsia" w:ascii="宋体" w:hAnsi="宋体" w:eastAsia="宋体" w:cs="宋体"/>
                <w:b/>
                <w:color w:val="000000"/>
                <w:sz w:val="24"/>
              </w:rPr>
              <w:t>供货数量（吨）</w:t>
            </w:r>
          </w:p>
        </w:tc>
        <w:tc>
          <w:tcPr>
            <w:tcW w:w="2516"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widowControl/>
              <w:jc w:val="center"/>
              <w:textAlignment w:val="center"/>
              <w:rPr>
                <w:rFonts w:ascii="宋体" w:hAnsi="宋体" w:eastAsia="宋体" w:cs="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1071" w:type="dxa"/>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widowControl/>
              <w:jc w:val="center"/>
              <w:textAlignment w:val="center"/>
              <w:rPr>
                <w:rFonts w:ascii="宋体" w:hAnsi="宋体" w:eastAsia="宋体" w:cs="宋体"/>
                <w:b/>
                <w:color w:val="000000"/>
                <w:sz w:val="24"/>
              </w:rPr>
            </w:pPr>
            <w:r>
              <w:rPr>
                <w:rFonts w:hint="eastAsia" w:ascii="宋体" w:hAnsi="宋体" w:eastAsia="宋体" w:cs="宋体"/>
                <w:b/>
                <w:color w:val="000000"/>
                <w:sz w:val="24"/>
              </w:rPr>
              <w:t>序号</w:t>
            </w:r>
          </w:p>
        </w:tc>
        <w:tc>
          <w:tcPr>
            <w:tcW w:w="4216" w:type="dxa"/>
            <w:gridSpan w:val="3"/>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widowControl/>
              <w:jc w:val="center"/>
              <w:textAlignment w:val="center"/>
              <w:rPr>
                <w:rFonts w:ascii="Times New Roman" w:hAnsi="Times New Roman" w:eastAsia="宋体" w:cs="Times New Roman"/>
                <w:color w:val="000000"/>
                <w:sz w:val="24"/>
              </w:rPr>
            </w:pPr>
            <w:r>
              <w:rPr>
                <w:rFonts w:hint="eastAsia" w:ascii="Times New Roman" w:hAnsi="Times New Roman" w:eastAsia="宋体" w:cs="Times New Roman"/>
                <w:b/>
                <w:bCs/>
                <w:color w:val="000000"/>
                <w:sz w:val="24"/>
              </w:rPr>
              <w:t>指标信息</w:t>
            </w:r>
          </w:p>
        </w:tc>
        <w:tc>
          <w:tcPr>
            <w:tcW w:w="2204"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widowControl/>
              <w:jc w:val="center"/>
              <w:textAlignment w:val="center"/>
              <w:rPr>
                <w:rFonts w:ascii="宋体" w:hAnsi="宋体" w:eastAsia="宋体" w:cs="宋体"/>
                <w:b/>
                <w:color w:val="000000"/>
                <w:sz w:val="24"/>
              </w:rPr>
            </w:pPr>
            <w:r>
              <w:rPr>
                <w:rFonts w:hint="eastAsia" w:ascii="宋体" w:hAnsi="宋体" w:eastAsia="宋体" w:cs="宋体"/>
                <w:b/>
                <w:color w:val="000000"/>
                <w:sz w:val="24"/>
              </w:rPr>
              <w:t>合同值</w:t>
            </w:r>
          </w:p>
        </w:tc>
        <w:tc>
          <w:tcPr>
            <w:tcW w:w="2516"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widowControl/>
              <w:jc w:val="center"/>
              <w:textAlignment w:val="center"/>
              <w:rPr>
                <w:rFonts w:ascii="Times New Roman" w:hAnsi="Times New Roman" w:eastAsia="宋体" w:cs="Times New Roman"/>
                <w:color w:val="000000"/>
                <w:sz w:val="24"/>
              </w:rPr>
            </w:pPr>
            <w:r>
              <w:rPr>
                <w:rFonts w:hint="eastAsia" w:ascii="Times New Roman" w:hAnsi="Times New Roman" w:eastAsia="宋体" w:cs="Times New Roman"/>
                <w:b/>
                <w:bCs/>
                <w:color w:val="000000"/>
                <w:sz w:val="24"/>
              </w:rPr>
              <w:t>检测值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1071" w:type="dxa"/>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widowControl/>
              <w:jc w:val="center"/>
              <w:textAlignment w:val="center"/>
              <w:rPr>
                <w:rFonts w:ascii="宋体" w:hAnsi="宋体" w:eastAsia="宋体" w:cs="宋体"/>
                <w:bCs/>
                <w:color w:val="000000"/>
                <w:sz w:val="24"/>
              </w:rPr>
            </w:pPr>
            <w:r>
              <w:rPr>
                <w:rFonts w:ascii="宋体" w:hAnsi="宋体" w:eastAsia="宋体" w:cs="宋体"/>
                <w:bCs/>
                <w:color w:val="000000"/>
                <w:sz w:val="24"/>
              </w:rPr>
              <w:t>1</w:t>
            </w:r>
          </w:p>
        </w:tc>
        <w:tc>
          <w:tcPr>
            <w:tcW w:w="4216" w:type="dxa"/>
            <w:gridSpan w:val="3"/>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widowControl/>
              <w:jc w:val="center"/>
              <w:textAlignment w:val="center"/>
              <w:rPr>
                <w:rFonts w:ascii="Times New Roman" w:hAnsi="Times New Roman" w:eastAsia="宋体" w:cs="Times New Roman"/>
                <w:b/>
                <w:bCs/>
                <w:color w:val="000000"/>
                <w:sz w:val="24"/>
              </w:rPr>
            </w:pPr>
          </w:p>
        </w:tc>
        <w:tc>
          <w:tcPr>
            <w:tcW w:w="2204"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widowControl/>
              <w:jc w:val="center"/>
              <w:textAlignment w:val="center"/>
              <w:rPr>
                <w:rFonts w:ascii="宋体" w:hAnsi="宋体" w:eastAsia="宋体" w:cs="宋体"/>
                <w:b/>
                <w:color w:val="000000"/>
                <w:sz w:val="24"/>
              </w:rPr>
            </w:pPr>
          </w:p>
        </w:tc>
        <w:tc>
          <w:tcPr>
            <w:tcW w:w="2516"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widowControl/>
              <w:jc w:val="center"/>
              <w:textAlignment w:val="center"/>
              <w:rPr>
                <w:rFonts w:cs="Times New Roman" w:asciiTheme="majorEastAsia" w:hAnsiTheme="majorEastAsia" w:eastAsiaTheme="major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1071" w:type="dxa"/>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widowControl/>
              <w:jc w:val="center"/>
              <w:textAlignment w:val="center"/>
              <w:rPr>
                <w:rFonts w:ascii="宋体" w:hAnsi="宋体" w:eastAsia="宋体" w:cs="宋体"/>
                <w:bCs/>
                <w:color w:val="000000"/>
                <w:sz w:val="24"/>
              </w:rPr>
            </w:pPr>
            <w:r>
              <w:rPr>
                <w:rFonts w:ascii="宋体" w:hAnsi="宋体" w:eastAsia="宋体" w:cs="宋体"/>
                <w:bCs/>
                <w:color w:val="000000"/>
                <w:sz w:val="24"/>
              </w:rPr>
              <w:t>2</w:t>
            </w:r>
          </w:p>
        </w:tc>
        <w:tc>
          <w:tcPr>
            <w:tcW w:w="4216" w:type="dxa"/>
            <w:gridSpan w:val="3"/>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widowControl/>
              <w:jc w:val="center"/>
              <w:textAlignment w:val="center"/>
              <w:rPr>
                <w:rFonts w:ascii="Times New Roman" w:hAnsi="Times New Roman" w:eastAsia="宋体" w:cs="Times New Roman"/>
                <w:b/>
                <w:bCs/>
                <w:color w:val="000000"/>
                <w:sz w:val="24"/>
              </w:rPr>
            </w:pPr>
          </w:p>
        </w:tc>
        <w:tc>
          <w:tcPr>
            <w:tcW w:w="2204"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widowControl/>
              <w:jc w:val="center"/>
              <w:textAlignment w:val="center"/>
              <w:rPr>
                <w:rFonts w:ascii="宋体" w:hAnsi="宋体" w:eastAsia="宋体" w:cs="宋体"/>
                <w:b/>
                <w:color w:val="000000"/>
                <w:sz w:val="24"/>
              </w:rPr>
            </w:pPr>
          </w:p>
        </w:tc>
        <w:tc>
          <w:tcPr>
            <w:tcW w:w="2516"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widowControl/>
              <w:jc w:val="center"/>
              <w:textAlignment w:val="center"/>
              <w:rPr>
                <w:rFonts w:cs="Times New Roman" w:asciiTheme="majorEastAsia" w:hAnsiTheme="majorEastAsia" w:eastAsiaTheme="major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2143"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widowControl/>
              <w:jc w:val="center"/>
              <w:textAlignment w:val="center"/>
              <w:rPr>
                <w:rFonts w:ascii="宋体" w:hAnsi="宋体" w:eastAsia="宋体" w:cs="宋体"/>
                <w:b/>
                <w:color w:val="000000"/>
                <w:sz w:val="24"/>
              </w:rPr>
            </w:pPr>
            <w:r>
              <w:rPr>
                <w:rFonts w:hint="eastAsia" w:ascii="宋体" w:hAnsi="宋体" w:eastAsia="宋体" w:cs="宋体"/>
                <w:b/>
                <w:color w:val="000000"/>
                <w:sz w:val="24"/>
              </w:rPr>
              <w:t>验收结论</w:t>
            </w:r>
          </w:p>
        </w:tc>
        <w:tc>
          <w:tcPr>
            <w:tcW w:w="7864" w:type="dxa"/>
            <w:gridSpan w:val="6"/>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widowControl/>
              <w:jc w:val="center"/>
              <w:textAlignment w:val="center"/>
              <w:rPr>
                <w:rFonts w:ascii="Times New Roman" w:hAnsi="Times New Roman" w:eastAsia="宋体"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2143"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widowControl/>
              <w:jc w:val="center"/>
              <w:textAlignment w:val="center"/>
              <w:rPr>
                <w:rFonts w:ascii="宋体" w:hAnsi="宋体" w:eastAsia="宋体" w:cs="宋体"/>
                <w:b/>
                <w:color w:val="000000"/>
                <w:sz w:val="24"/>
              </w:rPr>
            </w:pPr>
            <w:r>
              <w:rPr>
                <w:rFonts w:hint="eastAsia" w:ascii="宋体" w:hAnsi="宋体" w:eastAsia="宋体" w:cs="宋体"/>
                <w:b/>
                <w:color w:val="000000"/>
                <w:sz w:val="24"/>
              </w:rPr>
              <w:t>备注</w:t>
            </w:r>
          </w:p>
        </w:tc>
        <w:tc>
          <w:tcPr>
            <w:tcW w:w="7864" w:type="dxa"/>
            <w:gridSpan w:val="6"/>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widowControl/>
              <w:jc w:val="center"/>
              <w:textAlignment w:val="center"/>
              <w:rPr>
                <w:rFonts w:ascii="Times New Roman" w:hAnsi="Times New Roman" w:eastAsia="宋体"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2143"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widowControl/>
              <w:jc w:val="center"/>
              <w:textAlignment w:val="center"/>
              <w:rPr>
                <w:rFonts w:ascii="宋体" w:hAnsi="宋体" w:eastAsia="宋体" w:cs="宋体"/>
                <w:b/>
                <w:color w:val="000000"/>
                <w:sz w:val="24"/>
              </w:rPr>
            </w:pPr>
            <w:r>
              <w:rPr>
                <w:rFonts w:hint="eastAsia" w:ascii="宋体" w:hAnsi="宋体" w:eastAsia="宋体" w:cs="宋体"/>
                <w:b/>
                <w:color w:val="000000"/>
                <w:sz w:val="24"/>
              </w:rPr>
              <w:t>合同单价</w:t>
            </w:r>
          </w:p>
        </w:tc>
        <w:tc>
          <w:tcPr>
            <w:tcW w:w="1572" w:type="dxa"/>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widowControl/>
              <w:jc w:val="center"/>
              <w:textAlignment w:val="center"/>
              <w:rPr>
                <w:rFonts w:ascii="Times New Roman" w:hAnsi="Times New Roman" w:eastAsia="宋体" w:cs="Times New Roman"/>
                <w:color w:val="000000"/>
                <w:sz w:val="24"/>
              </w:rPr>
            </w:pPr>
          </w:p>
        </w:tc>
        <w:tc>
          <w:tcPr>
            <w:tcW w:w="1572" w:type="dxa"/>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widowControl/>
              <w:jc w:val="center"/>
              <w:textAlignment w:val="center"/>
              <w:rPr>
                <w:rFonts w:ascii="Times New Roman" w:hAnsi="Times New Roman" w:eastAsia="宋体" w:cs="Times New Roman"/>
                <w:color w:val="000000"/>
                <w:sz w:val="24"/>
              </w:rPr>
            </w:pPr>
            <w:r>
              <w:rPr>
                <w:rFonts w:hint="eastAsia" w:ascii="Times New Roman" w:hAnsi="Times New Roman" w:eastAsia="宋体" w:cs="Times New Roman"/>
                <w:b/>
                <w:bCs/>
                <w:color w:val="000000"/>
                <w:sz w:val="24"/>
              </w:rPr>
              <w:t>验收单价</w:t>
            </w:r>
          </w:p>
        </w:tc>
        <w:tc>
          <w:tcPr>
            <w:tcW w:w="1572" w:type="dxa"/>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widowControl/>
              <w:jc w:val="center"/>
              <w:textAlignment w:val="center"/>
              <w:rPr>
                <w:rFonts w:ascii="Times New Roman" w:hAnsi="Times New Roman" w:eastAsia="宋体" w:cs="Times New Roman"/>
                <w:color w:val="000000"/>
                <w:sz w:val="24"/>
              </w:rPr>
            </w:pPr>
          </w:p>
        </w:tc>
        <w:tc>
          <w:tcPr>
            <w:tcW w:w="1572"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widowControl/>
              <w:jc w:val="center"/>
              <w:textAlignment w:val="center"/>
              <w:rPr>
                <w:rFonts w:ascii="Times New Roman" w:hAnsi="Times New Roman" w:eastAsia="宋体" w:cs="Times New Roman"/>
                <w:color w:val="000000"/>
                <w:sz w:val="24"/>
              </w:rPr>
            </w:pPr>
            <w:r>
              <w:rPr>
                <w:rFonts w:hint="eastAsia" w:ascii="Times New Roman" w:hAnsi="Times New Roman" w:eastAsia="宋体" w:cs="Times New Roman"/>
                <w:b/>
                <w:bCs/>
                <w:color w:val="000000"/>
                <w:sz w:val="24"/>
              </w:rPr>
              <w:t>验收金额</w:t>
            </w:r>
          </w:p>
        </w:tc>
        <w:tc>
          <w:tcPr>
            <w:tcW w:w="1576" w:type="dxa"/>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widowControl/>
              <w:jc w:val="center"/>
              <w:textAlignment w:val="center"/>
              <w:rPr>
                <w:rFonts w:ascii="Times New Roman" w:hAnsi="Times New Roman" w:eastAsia="宋体"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01" w:hRule="atLeast"/>
          <w:jc w:val="center"/>
        </w:trPr>
        <w:tc>
          <w:tcPr>
            <w:tcW w:w="5287" w:type="dxa"/>
            <w:gridSpan w:val="4"/>
            <w:shd w:val="clear" w:color="auto" w:fill="auto"/>
            <w:noWrap/>
            <w:tcMar>
              <w:top w:w="15" w:type="dxa"/>
              <w:left w:w="15" w:type="dxa"/>
              <w:right w:w="15" w:type="dxa"/>
            </w:tcMar>
          </w:tcPr>
          <w:p>
            <w:pPr>
              <w:jc w:val="center"/>
              <w:rPr>
                <w:b/>
                <w:bCs/>
              </w:rPr>
            </w:pPr>
          </w:p>
          <w:p>
            <w:pPr>
              <w:widowControl/>
              <w:ind w:firstLine="211" w:firstLineChars="100"/>
              <w:jc w:val="left"/>
              <w:textAlignment w:val="center"/>
              <w:rPr>
                <w:rFonts w:hint="eastAsia" w:ascii="宋体" w:hAnsi="宋体" w:eastAsia="宋体" w:cs="宋体"/>
                <w:b/>
                <w:bCs w:val="0"/>
                <w:color w:val="000000"/>
                <w:sz w:val="21"/>
                <w:szCs w:val="21"/>
              </w:rPr>
            </w:pPr>
            <w:r>
              <w:rPr>
                <w:rFonts w:hint="eastAsia" w:ascii="宋体" w:hAnsi="宋体" w:eastAsia="宋体" w:cs="宋体"/>
                <w:b/>
                <w:bCs w:val="0"/>
                <w:color w:val="000000"/>
                <w:sz w:val="21"/>
                <w:szCs w:val="21"/>
              </w:rPr>
              <w:t>验收单位：</w:t>
            </w:r>
          </w:p>
          <w:p>
            <w:pPr>
              <w:widowControl/>
              <w:ind w:firstLine="0" w:firstLineChars="0"/>
              <w:jc w:val="left"/>
              <w:textAlignment w:val="center"/>
              <w:rPr>
                <w:rFonts w:hint="eastAsia" w:ascii="宋体" w:hAnsi="宋体" w:eastAsia="宋体" w:cs="宋体"/>
                <w:b/>
                <w:bCs w:val="0"/>
                <w:color w:val="000000"/>
                <w:sz w:val="21"/>
                <w:szCs w:val="21"/>
              </w:rPr>
            </w:pPr>
          </w:p>
          <w:p>
            <w:pPr>
              <w:widowControl/>
              <w:ind w:firstLine="211" w:firstLineChars="100"/>
              <w:jc w:val="left"/>
              <w:textAlignment w:val="center"/>
              <w:rPr>
                <w:rFonts w:hint="eastAsia" w:ascii="宋体" w:hAnsi="宋体" w:eastAsia="宋体" w:cs="宋体"/>
                <w:b/>
                <w:bCs w:val="0"/>
                <w:color w:val="000000"/>
                <w:sz w:val="21"/>
                <w:szCs w:val="21"/>
              </w:rPr>
            </w:pPr>
            <w:r>
              <w:rPr>
                <w:rFonts w:hint="eastAsia" w:ascii="宋体" w:hAnsi="宋体" w:eastAsia="宋体" w:cs="宋体"/>
                <w:b/>
                <w:bCs w:val="0"/>
                <w:color w:val="000000"/>
                <w:sz w:val="21"/>
                <w:szCs w:val="21"/>
              </w:rPr>
              <w:t>生产主管（签名）：</w:t>
            </w:r>
          </w:p>
          <w:p>
            <w:pPr>
              <w:widowControl/>
              <w:ind w:firstLine="0" w:firstLineChars="0"/>
              <w:jc w:val="left"/>
              <w:textAlignment w:val="center"/>
              <w:rPr>
                <w:rFonts w:hint="eastAsia" w:ascii="宋体" w:hAnsi="宋体" w:eastAsia="宋体" w:cs="宋体"/>
                <w:b/>
                <w:bCs w:val="0"/>
                <w:color w:val="000000"/>
                <w:sz w:val="21"/>
                <w:szCs w:val="21"/>
              </w:rPr>
            </w:pPr>
          </w:p>
          <w:p>
            <w:pPr>
              <w:widowControl/>
              <w:jc w:val="left"/>
              <w:textAlignment w:val="center"/>
              <w:rPr>
                <w:b/>
                <w:bCs/>
              </w:rPr>
            </w:pPr>
            <w:r>
              <w:rPr>
                <w:rFonts w:hint="eastAsia" w:ascii="宋体" w:hAnsi="宋体" w:eastAsia="宋体" w:cs="宋体"/>
                <w:b/>
                <w:color w:val="000000"/>
                <w:sz w:val="21"/>
                <w:szCs w:val="21"/>
              </w:rPr>
              <w:t xml:space="preserve">  </w:t>
            </w:r>
            <w:r>
              <w:rPr>
                <w:rFonts w:hint="eastAsia" w:ascii="宋体" w:hAnsi="宋体" w:eastAsia="宋体" w:cs="宋体"/>
                <w:b/>
                <w:bCs w:val="0"/>
                <w:color w:val="000000"/>
                <w:sz w:val="21"/>
                <w:szCs w:val="21"/>
              </w:rPr>
              <w:t xml:space="preserve">单位负责人（签名）： </w:t>
            </w:r>
          </w:p>
        </w:tc>
        <w:tc>
          <w:tcPr>
            <w:tcW w:w="4720" w:type="dxa"/>
            <w:gridSpan w:val="4"/>
            <w:shd w:val="clear" w:color="auto" w:fill="auto"/>
            <w:noWrap/>
            <w:tcMar>
              <w:top w:w="15" w:type="dxa"/>
              <w:left w:w="15" w:type="dxa"/>
              <w:right w:w="15" w:type="dxa"/>
            </w:tcMar>
          </w:tcPr>
          <w:p>
            <w:pPr>
              <w:jc w:val="center"/>
              <w:rPr>
                <w:b/>
                <w:bCs/>
              </w:rPr>
            </w:pPr>
          </w:p>
          <w:p>
            <w:pPr>
              <w:ind w:firstLine="211" w:firstLineChars="100"/>
              <w:jc w:val="left"/>
              <w:rPr>
                <w:rFonts w:hint="eastAsia" w:ascii="宋体" w:hAnsi="宋体" w:eastAsia="宋体" w:cs="宋体"/>
                <w:b/>
                <w:bCs w:val="0"/>
                <w:color w:val="000000"/>
                <w:szCs w:val="21"/>
              </w:rPr>
            </w:pPr>
            <w:r>
              <w:rPr>
                <w:rFonts w:hint="eastAsia" w:ascii="宋体" w:hAnsi="宋体" w:eastAsia="宋体" w:cs="宋体"/>
                <w:b/>
                <w:bCs w:val="0"/>
                <w:color w:val="000000"/>
                <w:szCs w:val="21"/>
              </w:rPr>
              <w:t>供货单位（盖章）：</w:t>
            </w:r>
          </w:p>
          <w:p>
            <w:pPr>
              <w:pStyle w:val="2"/>
              <w:rPr>
                <w:rFonts w:hint="eastAsia" w:ascii="宋体" w:hAnsi="宋体" w:eastAsia="宋体" w:cs="宋体"/>
                <w:b/>
                <w:bCs w:val="0"/>
                <w:color w:val="000000"/>
                <w:szCs w:val="21"/>
              </w:rPr>
            </w:pPr>
          </w:p>
          <w:p>
            <w:pPr>
              <w:ind w:firstLine="211" w:firstLineChars="100"/>
            </w:pPr>
            <w:r>
              <w:rPr>
                <w:rFonts w:hint="eastAsia" w:ascii="宋体" w:hAnsi="宋体" w:eastAsia="宋体" w:cs="宋体"/>
                <w:b/>
                <w:bCs w:val="0"/>
                <w:color w:val="000000"/>
                <w:sz w:val="21"/>
                <w:szCs w:val="21"/>
                <w:lang w:val="en-US" w:eastAsia="zh-CN"/>
              </w:rPr>
              <w:t>供货单位代表</w:t>
            </w:r>
            <w:r>
              <w:rPr>
                <w:rFonts w:hint="eastAsia" w:ascii="宋体" w:hAnsi="宋体" w:eastAsia="宋体" w:cs="宋体"/>
                <w:b/>
                <w:bCs w:val="0"/>
                <w:color w:val="000000"/>
                <w:sz w:val="21"/>
                <w:szCs w:val="21"/>
              </w:rPr>
              <w:t>（签名）</w:t>
            </w:r>
            <w:r>
              <w:rPr>
                <w:rFonts w:hint="eastAsia" w:ascii="宋体" w:hAnsi="宋体" w:eastAsia="宋体" w:cs="宋体"/>
                <w:b/>
                <w:bCs w:val="0"/>
                <w:color w:val="000000"/>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1" w:hRule="atLeast"/>
          <w:jc w:val="center"/>
        </w:trPr>
        <w:tc>
          <w:tcPr>
            <w:tcW w:w="5287" w:type="dxa"/>
            <w:gridSpan w:val="4"/>
            <w:shd w:val="clear" w:color="auto" w:fill="auto"/>
            <w:noWrap/>
            <w:tcMar>
              <w:top w:w="15" w:type="dxa"/>
              <w:left w:w="15" w:type="dxa"/>
              <w:right w:w="15" w:type="dxa"/>
            </w:tcMar>
            <w:vAlign w:val="center"/>
          </w:tcPr>
          <w:p>
            <w:pPr>
              <w:ind w:firstLine="422" w:firstLineChars="200"/>
              <w:rPr>
                <w:rFonts w:ascii="Times New Roman" w:hAnsi="Times New Roman" w:eastAsia="宋体" w:cs="Times New Roman"/>
                <w:color w:val="000000"/>
                <w:sz w:val="24"/>
              </w:rPr>
            </w:pPr>
            <w:r>
              <w:rPr>
                <w:rFonts w:hint="eastAsia" w:ascii="宋体" w:hAnsi="宋体" w:eastAsia="宋体" w:cs="宋体"/>
                <w:b/>
                <w:bCs w:val="0"/>
                <w:color w:val="000000"/>
                <w:szCs w:val="21"/>
              </w:rPr>
              <w:t>日期：</w:t>
            </w:r>
          </w:p>
        </w:tc>
        <w:tc>
          <w:tcPr>
            <w:tcW w:w="4720" w:type="dxa"/>
            <w:gridSpan w:val="4"/>
            <w:shd w:val="clear" w:color="auto" w:fill="auto"/>
            <w:noWrap/>
            <w:tcMar>
              <w:top w:w="15" w:type="dxa"/>
              <w:left w:w="15" w:type="dxa"/>
              <w:right w:w="15" w:type="dxa"/>
            </w:tcMar>
            <w:vAlign w:val="center"/>
          </w:tcPr>
          <w:p>
            <w:pPr>
              <w:ind w:firstLine="422" w:firstLineChars="200"/>
              <w:rPr>
                <w:rFonts w:ascii="Times New Roman" w:hAnsi="Times New Roman" w:eastAsia="宋体" w:cs="Times New Roman"/>
                <w:color w:val="000000"/>
                <w:sz w:val="24"/>
              </w:rPr>
            </w:pPr>
            <w:r>
              <w:rPr>
                <w:rFonts w:hint="eastAsia" w:ascii="宋体" w:hAnsi="宋体" w:eastAsia="宋体" w:cs="宋体"/>
                <w:b/>
                <w:bCs w:val="0"/>
                <w:color w:val="000000"/>
                <w:szCs w:val="21"/>
              </w:rPr>
              <w:t>日期：</w:t>
            </w:r>
          </w:p>
        </w:tc>
      </w:tr>
    </w:tbl>
    <w:p>
      <w:pPr>
        <w:rPr>
          <w:lang w:val="zh-CN"/>
        </w:rPr>
        <w:sectPr>
          <w:pgSz w:w="12240" w:h="15840"/>
          <w:pgMar w:top="1191" w:right="1043" w:bottom="1191" w:left="1043" w:header="720" w:footer="720" w:gutter="0"/>
          <w:cols w:space="720" w:num="1"/>
          <w:titlePg/>
          <w:docGrid w:linePitch="326" w:charSpace="0"/>
        </w:sectPr>
      </w:pPr>
    </w:p>
    <w:p>
      <w:pPr>
        <w:spacing w:line="240" w:lineRule="auto"/>
        <w:ind w:firstLine="0" w:firstLineChars="0"/>
        <w:rPr>
          <w:rFonts w:hint="eastAsia" w:ascii="宋体" w:hAnsi="宋体" w:eastAsia="宋体" w:cs="宋体"/>
          <w:b/>
          <w:color w:val="auto"/>
          <w:szCs w:val="21"/>
          <w:lang w:bidi="ar"/>
        </w:rPr>
      </w:pPr>
      <w:r>
        <w:rPr>
          <w:rFonts w:hint="eastAsia" w:ascii="宋体" w:hAnsi="宋体" w:eastAsia="宋体" w:cs="宋体"/>
          <w:b/>
          <w:color w:val="auto"/>
          <w:szCs w:val="21"/>
          <w:lang w:val="en-US" w:eastAsia="zh-CN"/>
        </w:rPr>
        <w:t>附件3：</w:t>
      </w:r>
      <w:r>
        <w:rPr>
          <w:rFonts w:hint="eastAsia" w:ascii="宋体" w:hAnsi="宋体" w:eastAsia="宋体" w:cs="宋体"/>
          <w:b/>
          <w:color w:val="auto"/>
          <w:szCs w:val="21"/>
          <w:lang w:bidi="ar"/>
        </w:rPr>
        <w:t>供应商履约评价表</w:t>
      </w:r>
    </w:p>
    <w:p>
      <w:pPr>
        <w:spacing w:line="360" w:lineRule="auto"/>
        <w:jc w:val="center"/>
        <w:rPr>
          <w:rFonts w:ascii="宋体" w:hAnsi="宋体" w:eastAsia="宋体" w:cs="宋体"/>
          <w:b/>
          <w:sz w:val="32"/>
          <w:szCs w:val="21"/>
          <w:highlight w:val="none"/>
        </w:rPr>
      </w:pPr>
      <w:r>
        <w:rPr>
          <w:rFonts w:hint="eastAsia" w:ascii="宋体" w:hAnsi="宋体" w:eastAsia="宋体" w:cs="宋体"/>
          <w:b/>
          <w:sz w:val="32"/>
          <w:szCs w:val="21"/>
          <w:highlight w:val="none"/>
        </w:rPr>
        <w:t>供应商履约评价表</w:t>
      </w:r>
    </w:p>
    <w:tbl>
      <w:tblPr>
        <w:tblStyle w:val="37"/>
        <w:tblW w:w="99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
        <w:gridCol w:w="1735"/>
        <w:gridCol w:w="3836"/>
        <w:gridCol w:w="4"/>
        <w:gridCol w:w="1824"/>
        <w:gridCol w:w="733"/>
        <w:gridCol w:w="705"/>
        <w:gridCol w:w="719"/>
        <w:gridCol w:w="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54" w:hRule="atLeast"/>
          <w:jc w:val="center"/>
        </w:trPr>
        <w:tc>
          <w:tcPr>
            <w:tcW w:w="2160" w:type="dxa"/>
            <w:gridSpan w:val="2"/>
            <w:vAlign w:val="center"/>
          </w:tcPr>
          <w:p>
            <w:pPr>
              <w:widowControl/>
              <w:snapToGrid w:val="0"/>
              <w:jc w:val="center"/>
              <w:rPr>
                <w:rFonts w:ascii="宋体" w:hAnsi="宋体" w:eastAsia="宋体"/>
                <w:highlight w:val="none"/>
              </w:rPr>
            </w:pPr>
            <w:r>
              <w:rPr>
                <w:rFonts w:hint="eastAsia" w:ascii="宋体" w:hAnsi="宋体" w:eastAsia="宋体"/>
                <w:bCs/>
                <w:highlight w:val="none"/>
              </w:rPr>
              <w:t>合同名称</w:t>
            </w:r>
          </w:p>
        </w:tc>
        <w:tc>
          <w:tcPr>
            <w:tcW w:w="7821" w:type="dxa"/>
            <w:gridSpan w:val="6"/>
            <w:vAlign w:val="center"/>
          </w:tcPr>
          <w:p>
            <w:pPr>
              <w:widowControl/>
              <w:snapToGrid w:val="0"/>
              <w:jc w:val="center"/>
              <w:rPr>
                <w:rFonts w:hint="default" w:ascii="宋体" w:hAnsi="宋体" w:eastAsia="宋体"/>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54" w:hRule="atLeast"/>
          <w:jc w:val="center"/>
        </w:trPr>
        <w:tc>
          <w:tcPr>
            <w:tcW w:w="2160" w:type="dxa"/>
            <w:gridSpan w:val="2"/>
            <w:vAlign w:val="center"/>
          </w:tcPr>
          <w:p>
            <w:pPr>
              <w:widowControl/>
              <w:snapToGrid w:val="0"/>
              <w:jc w:val="center"/>
              <w:rPr>
                <w:rFonts w:ascii="宋体" w:hAnsi="宋体" w:eastAsia="宋体"/>
                <w:highlight w:val="none"/>
              </w:rPr>
            </w:pPr>
            <w:r>
              <w:rPr>
                <w:rFonts w:hint="eastAsia" w:ascii="宋体" w:hAnsi="宋体" w:eastAsia="宋体"/>
                <w:bCs/>
                <w:highlight w:val="none"/>
              </w:rPr>
              <w:t>合同编号</w:t>
            </w:r>
          </w:p>
        </w:tc>
        <w:tc>
          <w:tcPr>
            <w:tcW w:w="7821" w:type="dxa"/>
            <w:gridSpan w:val="6"/>
            <w:vAlign w:val="center"/>
          </w:tcPr>
          <w:p>
            <w:pPr>
              <w:widowControl/>
              <w:snapToGrid w:val="0"/>
              <w:rPr>
                <w:rFonts w:ascii="宋体" w:hAnsi="宋体" w:eastAsia="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54" w:hRule="atLeast"/>
          <w:jc w:val="center"/>
        </w:trPr>
        <w:tc>
          <w:tcPr>
            <w:tcW w:w="2160" w:type="dxa"/>
            <w:gridSpan w:val="2"/>
            <w:vAlign w:val="center"/>
          </w:tcPr>
          <w:p>
            <w:pPr>
              <w:widowControl/>
              <w:snapToGrid w:val="0"/>
              <w:jc w:val="center"/>
              <w:rPr>
                <w:rFonts w:ascii="宋体" w:hAnsi="宋体" w:eastAsia="宋体"/>
                <w:bCs/>
                <w:highlight w:val="none"/>
              </w:rPr>
            </w:pPr>
            <w:r>
              <w:rPr>
                <w:rFonts w:hint="eastAsia" w:ascii="宋体" w:hAnsi="宋体" w:eastAsia="宋体"/>
                <w:bCs/>
                <w:highlight w:val="none"/>
              </w:rPr>
              <w:t>甲方名称</w:t>
            </w:r>
          </w:p>
        </w:tc>
        <w:tc>
          <w:tcPr>
            <w:tcW w:w="7821" w:type="dxa"/>
            <w:gridSpan w:val="6"/>
            <w:vAlign w:val="center"/>
          </w:tcPr>
          <w:p>
            <w:pPr>
              <w:widowControl/>
              <w:snapToGrid w:val="0"/>
              <w:jc w:val="center"/>
              <w:rPr>
                <w:rFonts w:ascii="宋体" w:hAnsi="宋体" w:eastAsia="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54" w:hRule="atLeast"/>
          <w:jc w:val="center"/>
        </w:trPr>
        <w:tc>
          <w:tcPr>
            <w:tcW w:w="2160" w:type="dxa"/>
            <w:gridSpan w:val="2"/>
            <w:vAlign w:val="center"/>
          </w:tcPr>
          <w:p>
            <w:pPr>
              <w:widowControl/>
              <w:snapToGrid w:val="0"/>
              <w:jc w:val="center"/>
              <w:rPr>
                <w:rFonts w:ascii="宋体" w:hAnsi="宋体" w:eastAsia="宋体"/>
                <w:highlight w:val="none"/>
              </w:rPr>
            </w:pPr>
            <w:r>
              <w:rPr>
                <w:rFonts w:hint="eastAsia" w:ascii="宋体" w:hAnsi="宋体" w:eastAsia="宋体"/>
                <w:bCs/>
                <w:highlight w:val="none"/>
              </w:rPr>
              <w:t>供应商</w:t>
            </w:r>
            <w:r>
              <w:rPr>
                <w:rFonts w:hint="eastAsia" w:ascii="宋体" w:hAnsi="宋体" w:eastAsia="宋体"/>
                <w:highlight w:val="none"/>
              </w:rPr>
              <w:t>名称</w:t>
            </w:r>
          </w:p>
        </w:tc>
        <w:tc>
          <w:tcPr>
            <w:tcW w:w="7821" w:type="dxa"/>
            <w:gridSpan w:val="6"/>
            <w:vAlign w:val="center"/>
          </w:tcPr>
          <w:p>
            <w:pPr>
              <w:widowControl/>
              <w:snapToGrid w:val="0"/>
              <w:jc w:val="center"/>
              <w:rPr>
                <w:rFonts w:ascii="宋体" w:hAnsi="宋体" w:eastAsia="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54" w:hRule="atLeast"/>
          <w:jc w:val="center"/>
        </w:trPr>
        <w:tc>
          <w:tcPr>
            <w:tcW w:w="2160" w:type="dxa"/>
            <w:gridSpan w:val="2"/>
            <w:vAlign w:val="center"/>
          </w:tcPr>
          <w:p>
            <w:pPr>
              <w:widowControl/>
              <w:snapToGrid w:val="0"/>
              <w:jc w:val="center"/>
              <w:rPr>
                <w:rFonts w:ascii="宋体" w:hAnsi="宋体" w:eastAsia="宋体"/>
                <w:bCs/>
                <w:highlight w:val="none"/>
              </w:rPr>
            </w:pPr>
            <w:r>
              <w:rPr>
                <w:rFonts w:hint="eastAsia" w:ascii="宋体" w:hAnsi="宋体" w:eastAsia="宋体"/>
                <w:bCs/>
                <w:highlight w:val="none"/>
              </w:rPr>
              <w:t>供应货物名称</w:t>
            </w:r>
          </w:p>
        </w:tc>
        <w:tc>
          <w:tcPr>
            <w:tcW w:w="7821" w:type="dxa"/>
            <w:gridSpan w:val="6"/>
            <w:vAlign w:val="center"/>
          </w:tcPr>
          <w:p>
            <w:pPr>
              <w:widowControl/>
              <w:snapToGrid w:val="0"/>
              <w:jc w:val="center"/>
              <w:rPr>
                <w:rFonts w:ascii="宋体" w:hAnsi="宋体" w:eastAsia="宋体"/>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54" w:hRule="atLeast"/>
          <w:jc w:val="center"/>
        </w:trPr>
        <w:tc>
          <w:tcPr>
            <w:tcW w:w="2160" w:type="dxa"/>
            <w:gridSpan w:val="2"/>
            <w:vAlign w:val="center"/>
          </w:tcPr>
          <w:p>
            <w:pPr>
              <w:widowControl/>
              <w:snapToGrid w:val="0"/>
              <w:jc w:val="center"/>
              <w:rPr>
                <w:rFonts w:hint="eastAsia" w:ascii="宋体" w:hAnsi="宋体" w:eastAsia="宋体"/>
                <w:bCs/>
                <w:highlight w:val="none"/>
              </w:rPr>
            </w:pPr>
            <w:r>
              <w:rPr>
                <w:rFonts w:hint="eastAsia" w:ascii="宋体" w:hAnsi="宋体" w:eastAsia="宋体"/>
                <w:bCs/>
                <w:highlight w:val="none"/>
                <w:lang w:val="en-US" w:eastAsia="zh-CN"/>
              </w:rPr>
              <w:t>交货地点</w:t>
            </w:r>
          </w:p>
        </w:tc>
        <w:tc>
          <w:tcPr>
            <w:tcW w:w="7821" w:type="dxa"/>
            <w:gridSpan w:val="6"/>
            <w:vAlign w:val="center"/>
          </w:tcPr>
          <w:p>
            <w:pPr>
              <w:widowControl/>
              <w:snapToGrid w:val="0"/>
              <w:jc w:val="center"/>
              <w:rPr>
                <w:rFonts w:ascii="宋体" w:hAnsi="宋体" w:eastAsia="宋体"/>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jc w:val="center"/>
        </w:trPr>
        <w:tc>
          <w:tcPr>
            <w:tcW w:w="425" w:type="dxa"/>
            <w:vAlign w:val="center"/>
          </w:tcPr>
          <w:p>
            <w:pPr>
              <w:widowControl/>
              <w:snapToGrid w:val="0"/>
              <w:jc w:val="center"/>
              <w:rPr>
                <w:rFonts w:ascii="宋体" w:hAnsi="宋体" w:eastAsia="宋体"/>
                <w:bCs/>
                <w:highlight w:val="none"/>
              </w:rPr>
            </w:pPr>
            <w:r>
              <w:rPr>
                <w:rFonts w:hint="eastAsia" w:ascii="宋体" w:hAnsi="宋体" w:eastAsia="宋体"/>
                <w:bCs/>
                <w:highlight w:val="none"/>
              </w:rPr>
              <w:t>序号</w:t>
            </w:r>
          </w:p>
        </w:tc>
        <w:tc>
          <w:tcPr>
            <w:tcW w:w="1735" w:type="dxa"/>
            <w:vAlign w:val="center"/>
          </w:tcPr>
          <w:p>
            <w:pPr>
              <w:widowControl/>
              <w:snapToGrid w:val="0"/>
              <w:jc w:val="center"/>
              <w:rPr>
                <w:rFonts w:ascii="宋体" w:hAnsi="宋体" w:eastAsia="宋体"/>
                <w:bCs/>
                <w:highlight w:val="none"/>
              </w:rPr>
            </w:pPr>
            <w:r>
              <w:rPr>
                <w:rFonts w:hint="eastAsia" w:ascii="宋体" w:hAnsi="宋体" w:eastAsia="宋体"/>
                <w:bCs/>
                <w:highlight w:val="none"/>
              </w:rPr>
              <w:t>履约评价项目</w:t>
            </w:r>
          </w:p>
        </w:tc>
        <w:tc>
          <w:tcPr>
            <w:tcW w:w="3836" w:type="dxa"/>
            <w:vAlign w:val="center"/>
          </w:tcPr>
          <w:p>
            <w:pPr>
              <w:widowControl/>
              <w:snapToGrid w:val="0"/>
              <w:jc w:val="center"/>
              <w:rPr>
                <w:rFonts w:ascii="宋体" w:hAnsi="宋体" w:eastAsia="宋体"/>
                <w:bCs/>
                <w:highlight w:val="none"/>
              </w:rPr>
            </w:pPr>
            <w:r>
              <w:rPr>
                <w:rFonts w:hint="eastAsia" w:ascii="宋体" w:hAnsi="宋体" w:eastAsia="宋体"/>
                <w:bCs/>
                <w:highlight w:val="none"/>
              </w:rPr>
              <w:t>评价标准</w:t>
            </w:r>
          </w:p>
        </w:tc>
        <w:tc>
          <w:tcPr>
            <w:tcW w:w="1828" w:type="dxa"/>
            <w:gridSpan w:val="2"/>
            <w:vAlign w:val="center"/>
          </w:tcPr>
          <w:p>
            <w:pPr>
              <w:widowControl/>
              <w:snapToGrid w:val="0"/>
              <w:jc w:val="center"/>
              <w:rPr>
                <w:rFonts w:ascii="宋体" w:hAnsi="宋体" w:eastAsia="宋体"/>
                <w:bCs/>
                <w:highlight w:val="none"/>
              </w:rPr>
            </w:pPr>
            <w:r>
              <w:rPr>
                <w:rFonts w:hint="eastAsia" w:ascii="宋体" w:hAnsi="宋体" w:eastAsia="宋体"/>
                <w:bCs/>
                <w:highlight w:val="none"/>
              </w:rPr>
              <w:t>评分说明</w:t>
            </w:r>
          </w:p>
        </w:tc>
        <w:tc>
          <w:tcPr>
            <w:tcW w:w="733" w:type="dxa"/>
            <w:vAlign w:val="center"/>
          </w:tcPr>
          <w:p>
            <w:pPr>
              <w:widowControl/>
              <w:snapToGrid w:val="0"/>
              <w:jc w:val="center"/>
              <w:rPr>
                <w:rFonts w:ascii="宋体" w:hAnsi="宋体" w:eastAsia="宋体"/>
                <w:bCs/>
                <w:highlight w:val="none"/>
              </w:rPr>
            </w:pPr>
            <w:r>
              <w:rPr>
                <w:rFonts w:hint="eastAsia" w:ascii="宋体" w:hAnsi="宋体" w:eastAsia="宋体"/>
                <w:bCs/>
                <w:highlight w:val="none"/>
              </w:rPr>
              <w:t>分值</w:t>
            </w:r>
          </w:p>
        </w:tc>
        <w:tc>
          <w:tcPr>
            <w:tcW w:w="705" w:type="dxa"/>
            <w:vAlign w:val="center"/>
          </w:tcPr>
          <w:p>
            <w:pPr>
              <w:widowControl/>
              <w:snapToGrid w:val="0"/>
              <w:jc w:val="center"/>
              <w:rPr>
                <w:rFonts w:ascii="宋体" w:hAnsi="宋体" w:eastAsia="宋体"/>
                <w:bCs/>
                <w:highlight w:val="none"/>
              </w:rPr>
            </w:pPr>
            <w:r>
              <w:rPr>
                <w:rFonts w:hint="eastAsia" w:ascii="宋体" w:hAnsi="宋体" w:eastAsia="宋体"/>
                <w:bCs/>
                <w:highlight w:val="none"/>
              </w:rPr>
              <w:t>实得分</w:t>
            </w:r>
          </w:p>
        </w:tc>
        <w:tc>
          <w:tcPr>
            <w:tcW w:w="719" w:type="dxa"/>
            <w:vAlign w:val="center"/>
          </w:tcPr>
          <w:p>
            <w:pPr>
              <w:widowControl/>
              <w:rPr>
                <w:rFonts w:ascii="宋体" w:hAnsi="宋体" w:eastAsia="宋体"/>
                <w:bCs/>
                <w:highlight w:val="none"/>
              </w:rPr>
            </w:pPr>
            <w:r>
              <w:rPr>
                <w:rFonts w:hint="eastAsia" w:ascii="宋体" w:hAnsi="宋体" w:eastAsia="宋体"/>
                <w:bCs/>
                <w:highlight w:val="none"/>
              </w:rPr>
              <w:t>扣分情况说明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2218" w:hRule="atLeast"/>
          <w:jc w:val="center"/>
        </w:trPr>
        <w:tc>
          <w:tcPr>
            <w:tcW w:w="425" w:type="dxa"/>
            <w:vAlign w:val="center"/>
          </w:tcPr>
          <w:p>
            <w:pPr>
              <w:widowControl/>
              <w:snapToGrid w:val="0"/>
              <w:jc w:val="center"/>
              <w:rPr>
                <w:rFonts w:ascii="宋体" w:hAnsi="宋体" w:eastAsia="宋体"/>
                <w:bCs/>
                <w:highlight w:val="none"/>
              </w:rPr>
            </w:pPr>
            <w:r>
              <w:rPr>
                <w:rFonts w:hint="eastAsia" w:ascii="宋体" w:hAnsi="宋体" w:eastAsia="宋体"/>
                <w:bCs/>
                <w:highlight w:val="none"/>
              </w:rPr>
              <w:t>1</w:t>
            </w:r>
          </w:p>
        </w:tc>
        <w:tc>
          <w:tcPr>
            <w:tcW w:w="1735" w:type="dxa"/>
            <w:vAlign w:val="center"/>
          </w:tcPr>
          <w:p>
            <w:pPr>
              <w:widowControl/>
              <w:snapToGrid w:val="0"/>
              <w:jc w:val="center"/>
              <w:rPr>
                <w:rFonts w:ascii="宋体" w:hAnsi="宋体" w:eastAsia="宋体"/>
                <w:bCs/>
                <w:highlight w:val="none"/>
              </w:rPr>
            </w:pPr>
            <w:r>
              <w:rPr>
                <w:rFonts w:hint="eastAsia" w:ascii="宋体" w:hAnsi="宋体" w:eastAsia="宋体"/>
                <w:bCs/>
                <w:highlight w:val="none"/>
              </w:rPr>
              <w:t>质量</w:t>
            </w:r>
          </w:p>
        </w:tc>
        <w:tc>
          <w:tcPr>
            <w:tcW w:w="3836" w:type="dxa"/>
            <w:vAlign w:val="center"/>
          </w:tcPr>
          <w:p>
            <w:pPr>
              <w:widowControl/>
              <w:snapToGrid w:val="0"/>
              <w:rPr>
                <w:rFonts w:ascii="宋体" w:hAnsi="宋体" w:eastAsia="宋体"/>
                <w:bCs/>
                <w:highlight w:val="none"/>
              </w:rPr>
            </w:pPr>
            <w:r>
              <w:rPr>
                <w:rFonts w:hint="eastAsia" w:ascii="宋体" w:hAnsi="宋体" w:eastAsia="宋体"/>
                <w:bCs/>
                <w:highlight w:val="none"/>
              </w:rPr>
              <w:t>（1）货物未出现全部拒收或换货等质量问题；</w:t>
            </w:r>
          </w:p>
          <w:p>
            <w:pPr>
              <w:widowControl/>
              <w:snapToGrid w:val="0"/>
              <w:rPr>
                <w:rFonts w:ascii="宋体" w:hAnsi="宋体" w:eastAsia="宋体"/>
                <w:bCs/>
                <w:highlight w:val="none"/>
              </w:rPr>
            </w:pPr>
            <w:r>
              <w:rPr>
                <w:rFonts w:hint="eastAsia" w:ascii="宋体" w:hAnsi="宋体" w:eastAsia="宋体"/>
                <w:bCs/>
                <w:highlight w:val="none"/>
              </w:rPr>
              <w:t>（2）货物主要技术指标符合合同规定；</w:t>
            </w:r>
          </w:p>
          <w:p>
            <w:pPr>
              <w:widowControl/>
              <w:snapToGrid w:val="0"/>
              <w:rPr>
                <w:rFonts w:ascii="宋体" w:hAnsi="宋体" w:eastAsia="宋体"/>
                <w:bCs/>
                <w:highlight w:val="none"/>
              </w:rPr>
            </w:pPr>
            <w:r>
              <w:rPr>
                <w:rFonts w:hint="eastAsia" w:ascii="宋体" w:hAnsi="宋体" w:eastAsia="宋体"/>
                <w:bCs/>
                <w:highlight w:val="none"/>
              </w:rPr>
              <w:t>（3）每次货物质量稳定，投加效果良好，未出现由于每次货物质量参差不齐导致厂区药剂投加量增加或产生出水水质风险等情况。</w:t>
            </w:r>
          </w:p>
        </w:tc>
        <w:tc>
          <w:tcPr>
            <w:tcW w:w="1828" w:type="dxa"/>
            <w:gridSpan w:val="2"/>
            <w:vAlign w:val="center"/>
          </w:tcPr>
          <w:p>
            <w:pPr>
              <w:widowControl/>
              <w:snapToGrid w:val="0"/>
              <w:rPr>
                <w:rFonts w:ascii="宋体" w:hAnsi="宋体" w:eastAsia="宋体"/>
                <w:highlight w:val="none"/>
              </w:rPr>
            </w:pPr>
            <w:r>
              <w:rPr>
                <w:rFonts w:hint="eastAsia" w:ascii="宋体" w:hAnsi="宋体" w:eastAsia="宋体"/>
                <w:bCs/>
                <w:highlight w:val="none"/>
              </w:rPr>
              <w:t>达到标准的得满分，每月每次货物有一项未达到标准的扣4分，每次货物最多扣4分。</w:t>
            </w:r>
          </w:p>
        </w:tc>
        <w:tc>
          <w:tcPr>
            <w:tcW w:w="733" w:type="dxa"/>
            <w:vAlign w:val="center"/>
          </w:tcPr>
          <w:p>
            <w:pPr>
              <w:widowControl/>
              <w:snapToGrid w:val="0"/>
              <w:jc w:val="center"/>
              <w:rPr>
                <w:rFonts w:ascii="宋体" w:hAnsi="宋体" w:eastAsia="宋体"/>
                <w:highlight w:val="none"/>
              </w:rPr>
            </w:pPr>
            <w:r>
              <w:rPr>
                <w:rFonts w:hint="eastAsia" w:ascii="宋体" w:hAnsi="宋体" w:eastAsia="宋体"/>
                <w:highlight w:val="none"/>
              </w:rPr>
              <w:t>20</w:t>
            </w:r>
          </w:p>
        </w:tc>
        <w:tc>
          <w:tcPr>
            <w:tcW w:w="705" w:type="dxa"/>
            <w:vAlign w:val="center"/>
          </w:tcPr>
          <w:p>
            <w:pPr>
              <w:widowControl/>
              <w:snapToGrid w:val="0"/>
              <w:jc w:val="center"/>
              <w:rPr>
                <w:rFonts w:ascii="宋体" w:hAnsi="宋体" w:eastAsia="宋体"/>
                <w:bCs/>
                <w:highlight w:val="none"/>
              </w:rPr>
            </w:pPr>
          </w:p>
        </w:tc>
        <w:tc>
          <w:tcPr>
            <w:tcW w:w="719" w:type="dxa"/>
            <w:vAlign w:val="center"/>
          </w:tcPr>
          <w:p>
            <w:pPr>
              <w:widowControl/>
              <w:snapToGrid w:val="0"/>
              <w:jc w:val="center"/>
              <w:rPr>
                <w:rFonts w:ascii="宋体" w:hAnsi="宋体" w:eastAsia="宋体"/>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2252" w:hRule="atLeast"/>
          <w:jc w:val="center"/>
        </w:trPr>
        <w:tc>
          <w:tcPr>
            <w:tcW w:w="425" w:type="dxa"/>
            <w:vAlign w:val="center"/>
          </w:tcPr>
          <w:p>
            <w:pPr>
              <w:widowControl/>
              <w:snapToGrid w:val="0"/>
              <w:jc w:val="center"/>
              <w:rPr>
                <w:rFonts w:ascii="宋体" w:hAnsi="宋体" w:eastAsia="宋体"/>
                <w:bCs/>
                <w:highlight w:val="none"/>
              </w:rPr>
            </w:pPr>
            <w:r>
              <w:rPr>
                <w:rFonts w:hint="eastAsia" w:ascii="宋体" w:hAnsi="宋体" w:eastAsia="宋体"/>
                <w:bCs/>
                <w:highlight w:val="none"/>
              </w:rPr>
              <w:t>2</w:t>
            </w:r>
          </w:p>
        </w:tc>
        <w:tc>
          <w:tcPr>
            <w:tcW w:w="1735" w:type="dxa"/>
            <w:vAlign w:val="center"/>
          </w:tcPr>
          <w:p>
            <w:pPr>
              <w:widowControl/>
              <w:snapToGrid w:val="0"/>
              <w:jc w:val="center"/>
              <w:rPr>
                <w:rFonts w:ascii="宋体" w:hAnsi="宋体" w:eastAsia="宋体"/>
                <w:bCs/>
                <w:highlight w:val="none"/>
              </w:rPr>
            </w:pPr>
            <w:r>
              <w:rPr>
                <w:rFonts w:hint="eastAsia" w:ascii="宋体" w:hAnsi="宋体" w:eastAsia="宋体"/>
                <w:bCs/>
                <w:highlight w:val="none"/>
              </w:rPr>
              <w:t>包装、运输</w:t>
            </w:r>
          </w:p>
        </w:tc>
        <w:tc>
          <w:tcPr>
            <w:tcW w:w="3836" w:type="dxa"/>
            <w:vAlign w:val="center"/>
          </w:tcPr>
          <w:p>
            <w:pPr>
              <w:widowControl/>
              <w:snapToGrid w:val="0"/>
              <w:rPr>
                <w:rFonts w:ascii="宋体" w:hAnsi="宋体" w:eastAsia="宋体"/>
                <w:bCs/>
                <w:highlight w:val="none"/>
              </w:rPr>
            </w:pPr>
            <w:r>
              <w:rPr>
                <w:rFonts w:hint="eastAsia" w:ascii="宋体" w:hAnsi="宋体" w:eastAsia="宋体"/>
                <w:bCs/>
                <w:highlight w:val="none"/>
              </w:rPr>
              <w:t>货物的包装、运输符合合同规定及国家、行业有关标准规范；未出现由于包装、运输方式不当造成以下不良后果：</w:t>
            </w:r>
          </w:p>
          <w:p>
            <w:pPr>
              <w:widowControl/>
              <w:snapToGrid w:val="0"/>
              <w:rPr>
                <w:rFonts w:ascii="宋体" w:hAnsi="宋体" w:eastAsia="宋体"/>
                <w:bCs/>
                <w:highlight w:val="none"/>
              </w:rPr>
            </w:pPr>
            <w:r>
              <w:rPr>
                <w:rFonts w:hint="eastAsia" w:ascii="宋体" w:hAnsi="宋体" w:eastAsia="宋体"/>
                <w:bCs/>
                <w:highlight w:val="none"/>
              </w:rPr>
              <w:t>（1）影响货物输送或储存质量；</w:t>
            </w:r>
          </w:p>
          <w:p>
            <w:pPr>
              <w:widowControl/>
              <w:snapToGrid w:val="0"/>
              <w:rPr>
                <w:rFonts w:ascii="宋体" w:hAnsi="宋体" w:eastAsia="宋体"/>
                <w:bCs/>
                <w:highlight w:val="none"/>
              </w:rPr>
            </w:pPr>
            <w:r>
              <w:rPr>
                <w:rFonts w:hint="eastAsia" w:ascii="宋体" w:hAnsi="宋体" w:eastAsia="宋体"/>
                <w:bCs/>
                <w:highlight w:val="none"/>
              </w:rPr>
              <w:t>（2）货物质量下降；</w:t>
            </w:r>
          </w:p>
          <w:p>
            <w:pPr>
              <w:widowControl/>
              <w:snapToGrid w:val="0"/>
              <w:rPr>
                <w:rFonts w:ascii="宋体" w:hAnsi="宋体" w:eastAsia="宋体"/>
                <w:bCs/>
                <w:highlight w:val="none"/>
              </w:rPr>
            </w:pPr>
            <w:r>
              <w:rPr>
                <w:rFonts w:hint="eastAsia" w:ascii="宋体" w:hAnsi="宋体" w:eastAsia="宋体"/>
                <w:bCs/>
                <w:highlight w:val="none"/>
              </w:rPr>
              <w:t>（3）货物泄漏导致供货量不足；</w:t>
            </w:r>
          </w:p>
          <w:p>
            <w:pPr>
              <w:widowControl/>
              <w:snapToGrid w:val="0"/>
              <w:rPr>
                <w:rFonts w:ascii="宋体" w:hAnsi="宋体" w:eastAsia="宋体"/>
                <w:bCs/>
                <w:highlight w:val="none"/>
              </w:rPr>
            </w:pPr>
            <w:r>
              <w:rPr>
                <w:rFonts w:hint="eastAsia" w:ascii="宋体" w:hAnsi="宋体" w:eastAsia="宋体"/>
                <w:bCs/>
                <w:highlight w:val="none"/>
              </w:rPr>
              <w:t>（4）造成环境污染。</w:t>
            </w:r>
          </w:p>
        </w:tc>
        <w:tc>
          <w:tcPr>
            <w:tcW w:w="1828" w:type="dxa"/>
            <w:gridSpan w:val="2"/>
            <w:vAlign w:val="center"/>
          </w:tcPr>
          <w:p>
            <w:pPr>
              <w:widowControl/>
              <w:snapToGrid w:val="0"/>
              <w:rPr>
                <w:rFonts w:ascii="宋体" w:hAnsi="宋体" w:eastAsia="宋体"/>
                <w:bCs/>
                <w:highlight w:val="none"/>
              </w:rPr>
            </w:pPr>
            <w:r>
              <w:rPr>
                <w:rFonts w:hint="eastAsia" w:ascii="宋体" w:hAnsi="宋体" w:eastAsia="宋体"/>
                <w:bCs/>
                <w:highlight w:val="none"/>
              </w:rPr>
              <w:t>达到标准的得满分，每月每次货物有一项未达到标准的扣3分，每次货物最多扣3分。</w:t>
            </w:r>
          </w:p>
        </w:tc>
        <w:tc>
          <w:tcPr>
            <w:tcW w:w="733" w:type="dxa"/>
            <w:vAlign w:val="center"/>
          </w:tcPr>
          <w:p>
            <w:pPr>
              <w:widowControl/>
              <w:snapToGrid w:val="0"/>
              <w:jc w:val="center"/>
              <w:rPr>
                <w:rFonts w:ascii="宋体" w:hAnsi="宋体" w:eastAsia="宋体"/>
                <w:highlight w:val="none"/>
              </w:rPr>
            </w:pPr>
            <w:r>
              <w:rPr>
                <w:rFonts w:hint="eastAsia" w:ascii="宋体" w:hAnsi="宋体" w:eastAsia="宋体"/>
                <w:highlight w:val="none"/>
              </w:rPr>
              <w:t>15</w:t>
            </w:r>
          </w:p>
        </w:tc>
        <w:tc>
          <w:tcPr>
            <w:tcW w:w="705" w:type="dxa"/>
            <w:vAlign w:val="center"/>
          </w:tcPr>
          <w:p>
            <w:pPr>
              <w:widowControl/>
              <w:snapToGrid w:val="0"/>
              <w:jc w:val="center"/>
              <w:rPr>
                <w:rFonts w:ascii="宋体" w:hAnsi="宋体" w:eastAsia="宋体"/>
                <w:bCs/>
                <w:highlight w:val="none"/>
              </w:rPr>
            </w:pPr>
          </w:p>
        </w:tc>
        <w:tc>
          <w:tcPr>
            <w:tcW w:w="719" w:type="dxa"/>
            <w:vAlign w:val="center"/>
          </w:tcPr>
          <w:p>
            <w:pPr>
              <w:widowControl/>
              <w:snapToGrid w:val="0"/>
              <w:jc w:val="center"/>
              <w:rPr>
                <w:rFonts w:ascii="宋体" w:hAnsi="宋体" w:eastAsia="宋体"/>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jc w:val="center"/>
        </w:trPr>
        <w:tc>
          <w:tcPr>
            <w:tcW w:w="425" w:type="dxa"/>
            <w:vAlign w:val="center"/>
          </w:tcPr>
          <w:p>
            <w:pPr>
              <w:widowControl/>
              <w:snapToGrid w:val="0"/>
              <w:jc w:val="center"/>
              <w:rPr>
                <w:rFonts w:ascii="宋体" w:hAnsi="宋体" w:eastAsia="宋体"/>
                <w:bCs/>
                <w:highlight w:val="none"/>
              </w:rPr>
            </w:pPr>
            <w:r>
              <w:rPr>
                <w:rFonts w:hint="eastAsia" w:ascii="宋体" w:hAnsi="宋体" w:eastAsia="宋体"/>
                <w:bCs/>
                <w:highlight w:val="none"/>
              </w:rPr>
              <w:t>3</w:t>
            </w:r>
          </w:p>
        </w:tc>
        <w:tc>
          <w:tcPr>
            <w:tcW w:w="1735" w:type="dxa"/>
            <w:vAlign w:val="center"/>
          </w:tcPr>
          <w:p>
            <w:pPr>
              <w:widowControl/>
              <w:snapToGrid w:val="0"/>
              <w:jc w:val="center"/>
              <w:rPr>
                <w:rFonts w:ascii="宋体" w:hAnsi="宋体" w:eastAsia="宋体"/>
                <w:bCs/>
                <w:highlight w:val="none"/>
              </w:rPr>
            </w:pPr>
            <w:r>
              <w:rPr>
                <w:rFonts w:hint="eastAsia" w:ascii="宋体" w:hAnsi="宋体" w:eastAsia="宋体"/>
                <w:bCs/>
                <w:highlight w:val="none"/>
              </w:rPr>
              <w:t>货物交付</w:t>
            </w:r>
          </w:p>
        </w:tc>
        <w:tc>
          <w:tcPr>
            <w:tcW w:w="3836" w:type="dxa"/>
            <w:vAlign w:val="center"/>
          </w:tcPr>
          <w:p>
            <w:pPr>
              <w:widowControl/>
              <w:rPr>
                <w:rFonts w:ascii="宋体" w:hAnsi="宋体" w:eastAsia="宋体"/>
                <w:bCs/>
                <w:highlight w:val="none"/>
              </w:rPr>
            </w:pPr>
            <w:r>
              <w:rPr>
                <w:rFonts w:hint="eastAsia" w:ascii="宋体" w:hAnsi="宋体" w:eastAsia="宋体"/>
                <w:bCs/>
                <w:highlight w:val="none"/>
              </w:rPr>
              <w:t>（1）按合同要求的期限供货（包括加急供货）；</w:t>
            </w:r>
          </w:p>
          <w:p>
            <w:pPr>
              <w:widowControl/>
              <w:rPr>
                <w:rFonts w:ascii="宋体" w:hAnsi="宋体" w:eastAsia="宋体"/>
                <w:bCs/>
                <w:highlight w:val="none"/>
              </w:rPr>
            </w:pPr>
            <w:r>
              <w:rPr>
                <w:rFonts w:hint="eastAsia" w:ascii="宋体" w:hAnsi="宋体" w:eastAsia="宋体"/>
                <w:bCs/>
                <w:highlight w:val="none"/>
              </w:rPr>
              <w:t>（2）每次供货配合提供电子地磅称重单；</w:t>
            </w:r>
          </w:p>
          <w:p>
            <w:pPr>
              <w:rPr>
                <w:rFonts w:ascii="宋体" w:hAnsi="宋体" w:eastAsia="宋体"/>
                <w:bCs/>
                <w:highlight w:val="none"/>
              </w:rPr>
            </w:pPr>
            <w:r>
              <w:rPr>
                <w:rFonts w:hint="eastAsia" w:ascii="宋体" w:hAnsi="宋体" w:eastAsia="宋体"/>
                <w:bCs/>
                <w:highlight w:val="none"/>
              </w:rPr>
              <w:t>（3）每次供货配合提供出厂检验报告或质量合格证等技术资料；</w:t>
            </w:r>
          </w:p>
          <w:p>
            <w:pPr>
              <w:widowControl/>
              <w:rPr>
                <w:rFonts w:ascii="宋体" w:hAnsi="宋体" w:eastAsia="宋体"/>
                <w:bCs/>
                <w:highlight w:val="none"/>
              </w:rPr>
            </w:pPr>
            <w:r>
              <w:rPr>
                <w:rFonts w:hint="eastAsia" w:ascii="宋体" w:hAnsi="宋体" w:eastAsia="宋体"/>
                <w:bCs/>
                <w:highlight w:val="none"/>
              </w:rPr>
              <w:t>（4）交付人员专业性强，工作效率高，熟悉交付操作流程；</w:t>
            </w:r>
          </w:p>
          <w:p>
            <w:pPr>
              <w:widowControl/>
              <w:rPr>
                <w:rFonts w:ascii="宋体" w:hAnsi="宋体" w:eastAsia="宋体"/>
                <w:bCs/>
                <w:highlight w:val="none"/>
              </w:rPr>
            </w:pPr>
            <w:r>
              <w:rPr>
                <w:rFonts w:hint="eastAsia" w:ascii="宋体" w:hAnsi="宋体" w:eastAsia="宋体"/>
                <w:bCs/>
                <w:highlight w:val="none"/>
              </w:rPr>
              <w:t>（5）未出现因库存、运力不足等原因影响供货量的情况。</w:t>
            </w:r>
          </w:p>
        </w:tc>
        <w:tc>
          <w:tcPr>
            <w:tcW w:w="1828" w:type="dxa"/>
            <w:gridSpan w:val="2"/>
            <w:vAlign w:val="center"/>
          </w:tcPr>
          <w:p>
            <w:pPr>
              <w:widowControl/>
              <w:snapToGrid w:val="0"/>
              <w:rPr>
                <w:rFonts w:ascii="宋体" w:hAnsi="宋体" w:eastAsia="宋体"/>
                <w:highlight w:val="none"/>
              </w:rPr>
            </w:pPr>
            <w:r>
              <w:rPr>
                <w:rFonts w:hint="eastAsia" w:ascii="宋体" w:hAnsi="宋体" w:eastAsia="宋体"/>
                <w:bCs/>
                <w:highlight w:val="none"/>
              </w:rPr>
              <w:t>达到标准的得满分，每月每次货物有一项未达到标准的扣3分，每次货物最多扣3分。</w:t>
            </w:r>
          </w:p>
        </w:tc>
        <w:tc>
          <w:tcPr>
            <w:tcW w:w="733" w:type="dxa"/>
            <w:vAlign w:val="center"/>
          </w:tcPr>
          <w:p>
            <w:pPr>
              <w:widowControl/>
              <w:snapToGrid w:val="0"/>
              <w:jc w:val="center"/>
              <w:rPr>
                <w:rFonts w:ascii="宋体" w:hAnsi="宋体" w:eastAsia="宋体"/>
                <w:highlight w:val="none"/>
              </w:rPr>
            </w:pPr>
            <w:r>
              <w:rPr>
                <w:rFonts w:hint="eastAsia" w:ascii="宋体" w:hAnsi="宋体" w:eastAsia="宋体"/>
                <w:highlight w:val="none"/>
              </w:rPr>
              <w:t>20</w:t>
            </w:r>
          </w:p>
        </w:tc>
        <w:tc>
          <w:tcPr>
            <w:tcW w:w="705" w:type="dxa"/>
            <w:vAlign w:val="center"/>
          </w:tcPr>
          <w:p>
            <w:pPr>
              <w:widowControl/>
              <w:snapToGrid w:val="0"/>
              <w:jc w:val="center"/>
              <w:rPr>
                <w:rFonts w:ascii="宋体" w:hAnsi="宋体" w:eastAsia="宋体"/>
                <w:bCs/>
                <w:highlight w:val="none"/>
              </w:rPr>
            </w:pPr>
          </w:p>
        </w:tc>
        <w:tc>
          <w:tcPr>
            <w:tcW w:w="719" w:type="dxa"/>
            <w:vAlign w:val="center"/>
          </w:tcPr>
          <w:p>
            <w:pPr>
              <w:widowControl/>
              <w:snapToGrid w:val="0"/>
              <w:jc w:val="center"/>
              <w:rPr>
                <w:rFonts w:ascii="宋体" w:hAnsi="宋体" w:eastAsia="宋体"/>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jc w:val="center"/>
        </w:trPr>
        <w:tc>
          <w:tcPr>
            <w:tcW w:w="425" w:type="dxa"/>
            <w:vAlign w:val="center"/>
          </w:tcPr>
          <w:p>
            <w:pPr>
              <w:widowControl/>
              <w:snapToGrid w:val="0"/>
              <w:jc w:val="center"/>
              <w:rPr>
                <w:rFonts w:ascii="宋体" w:hAnsi="宋体" w:eastAsia="宋体"/>
                <w:bCs/>
                <w:highlight w:val="none"/>
              </w:rPr>
            </w:pPr>
            <w:r>
              <w:rPr>
                <w:rFonts w:hint="eastAsia" w:ascii="宋体" w:hAnsi="宋体" w:eastAsia="宋体"/>
                <w:bCs/>
                <w:highlight w:val="none"/>
              </w:rPr>
              <w:t>4</w:t>
            </w:r>
          </w:p>
        </w:tc>
        <w:tc>
          <w:tcPr>
            <w:tcW w:w="1735" w:type="dxa"/>
            <w:vAlign w:val="center"/>
          </w:tcPr>
          <w:p>
            <w:pPr>
              <w:widowControl/>
              <w:snapToGrid w:val="0"/>
              <w:jc w:val="center"/>
              <w:rPr>
                <w:rFonts w:ascii="宋体" w:hAnsi="宋体" w:eastAsia="宋体"/>
                <w:bCs/>
                <w:highlight w:val="none"/>
              </w:rPr>
            </w:pPr>
            <w:r>
              <w:rPr>
                <w:rFonts w:hint="eastAsia" w:ascii="宋体" w:hAnsi="宋体" w:eastAsia="宋体"/>
                <w:bCs/>
                <w:highlight w:val="none"/>
              </w:rPr>
              <w:t>验收</w:t>
            </w:r>
          </w:p>
        </w:tc>
        <w:tc>
          <w:tcPr>
            <w:tcW w:w="3836" w:type="dxa"/>
            <w:vAlign w:val="center"/>
          </w:tcPr>
          <w:p>
            <w:pPr>
              <w:widowControl/>
              <w:snapToGrid w:val="0"/>
              <w:rPr>
                <w:rFonts w:ascii="宋体" w:hAnsi="宋体" w:eastAsia="宋体"/>
                <w:bCs/>
                <w:highlight w:val="none"/>
              </w:rPr>
            </w:pPr>
            <w:r>
              <w:rPr>
                <w:rFonts w:hint="eastAsia" w:ascii="宋体" w:hAnsi="宋体" w:eastAsia="宋体"/>
                <w:bCs/>
                <w:highlight w:val="none"/>
              </w:rPr>
              <w:t>（1）及时提供货物的各项技术资料，技术资料齐全、规范；</w:t>
            </w:r>
          </w:p>
          <w:p>
            <w:pPr>
              <w:widowControl/>
              <w:snapToGrid w:val="0"/>
              <w:rPr>
                <w:rFonts w:ascii="宋体" w:hAnsi="宋体" w:eastAsia="宋体"/>
                <w:bCs/>
                <w:highlight w:val="none"/>
              </w:rPr>
            </w:pPr>
            <w:r>
              <w:rPr>
                <w:rFonts w:hint="eastAsia" w:ascii="宋体" w:hAnsi="宋体" w:eastAsia="宋体"/>
                <w:bCs/>
                <w:highlight w:val="none"/>
              </w:rPr>
              <w:t>（2）未出现因对检测结果存在异议而影响供货的情况；</w:t>
            </w:r>
          </w:p>
          <w:p>
            <w:pPr>
              <w:widowControl/>
              <w:snapToGrid w:val="0"/>
              <w:rPr>
                <w:rFonts w:ascii="宋体" w:hAnsi="宋体" w:eastAsia="宋体"/>
                <w:bCs/>
                <w:highlight w:val="none"/>
              </w:rPr>
            </w:pPr>
            <w:r>
              <w:rPr>
                <w:rFonts w:hint="eastAsia" w:ascii="宋体" w:hAnsi="宋体" w:eastAsia="宋体"/>
                <w:bCs/>
                <w:highlight w:val="none"/>
              </w:rPr>
              <w:t>（3）未出现因货物检验不合格，或因货物不合格影响厂区生产效果的情况。</w:t>
            </w:r>
          </w:p>
        </w:tc>
        <w:tc>
          <w:tcPr>
            <w:tcW w:w="1828" w:type="dxa"/>
            <w:gridSpan w:val="2"/>
            <w:vAlign w:val="center"/>
          </w:tcPr>
          <w:p>
            <w:pPr>
              <w:widowControl/>
              <w:snapToGrid w:val="0"/>
              <w:rPr>
                <w:rFonts w:ascii="宋体" w:hAnsi="宋体" w:eastAsia="宋体"/>
                <w:bCs/>
                <w:highlight w:val="none"/>
              </w:rPr>
            </w:pPr>
            <w:r>
              <w:rPr>
                <w:rFonts w:hint="eastAsia" w:ascii="宋体" w:hAnsi="宋体" w:eastAsia="宋体"/>
                <w:bCs/>
                <w:highlight w:val="none"/>
              </w:rPr>
              <w:t>达到标准的得满分，每月每次货物有一项未达到标准的扣4分，每次货物最多扣4分。</w:t>
            </w:r>
          </w:p>
        </w:tc>
        <w:tc>
          <w:tcPr>
            <w:tcW w:w="733" w:type="dxa"/>
            <w:vAlign w:val="center"/>
          </w:tcPr>
          <w:p>
            <w:pPr>
              <w:widowControl/>
              <w:snapToGrid w:val="0"/>
              <w:jc w:val="center"/>
              <w:rPr>
                <w:rFonts w:ascii="宋体" w:hAnsi="宋体" w:eastAsia="宋体"/>
                <w:highlight w:val="none"/>
              </w:rPr>
            </w:pPr>
            <w:r>
              <w:rPr>
                <w:rFonts w:hint="eastAsia" w:ascii="宋体" w:hAnsi="宋体" w:eastAsia="宋体"/>
                <w:highlight w:val="none"/>
              </w:rPr>
              <w:t>20</w:t>
            </w:r>
          </w:p>
        </w:tc>
        <w:tc>
          <w:tcPr>
            <w:tcW w:w="705" w:type="dxa"/>
            <w:vAlign w:val="center"/>
          </w:tcPr>
          <w:p>
            <w:pPr>
              <w:widowControl/>
              <w:snapToGrid w:val="0"/>
              <w:jc w:val="center"/>
              <w:rPr>
                <w:rFonts w:ascii="宋体" w:hAnsi="宋体" w:eastAsia="宋体"/>
                <w:bCs/>
                <w:highlight w:val="none"/>
              </w:rPr>
            </w:pPr>
          </w:p>
        </w:tc>
        <w:tc>
          <w:tcPr>
            <w:tcW w:w="719" w:type="dxa"/>
            <w:vAlign w:val="center"/>
          </w:tcPr>
          <w:p>
            <w:pPr>
              <w:widowControl/>
              <w:snapToGrid w:val="0"/>
              <w:jc w:val="center"/>
              <w:rPr>
                <w:rFonts w:ascii="宋体" w:hAnsi="宋体" w:eastAsia="宋体"/>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jc w:val="center"/>
        </w:trPr>
        <w:tc>
          <w:tcPr>
            <w:tcW w:w="425" w:type="dxa"/>
            <w:vAlign w:val="center"/>
          </w:tcPr>
          <w:p>
            <w:pPr>
              <w:widowControl/>
              <w:snapToGrid w:val="0"/>
              <w:jc w:val="center"/>
              <w:rPr>
                <w:rFonts w:ascii="宋体" w:hAnsi="宋体" w:eastAsia="宋体"/>
                <w:bCs/>
                <w:highlight w:val="none"/>
              </w:rPr>
            </w:pPr>
            <w:r>
              <w:rPr>
                <w:rFonts w:hint="eastAsia" w:ascii="宋体" w:hAnsi="宋体" w:eastAsia="宋体"/>
                <w:bCs/>
                <w:highlight w:val="none"/>
              </w:rPr>
              <w:t>5</w:t>
            </w:r>
          </w:p>
        </w:tc>
        <w:tc>
          <w:tcPr>
            <w:tcW w:w="1735" w:type="dxa"/>
            <w:vAlign w:val="center"/>
          </w:tcPr>
          <w:p>
            <w:pPr>
              <w:widowControl/>
              <w:snapToGrid w:val="0"/>
              <w:jc w:val="center"/>
              <w:rPr>
                <w:rFonts w:ascii="宋体" w:hAnsi="宋体" w:eastAsia="宋体"/>
                <w:bCs/>
                <w:highlight w:val="none"/>
              </w:rPr>
            </w:pPr>
            <w:r>
              <w:rPr>
                <w:rFonts w:hint="eastAsia" w:ascii="宋体" w:hAnsi="宋体" w:eastAsia="宋体"/>
                <w:bCs/>
                <w:highlight w:val="none"/>
              </w:rPr>
              <w:t>安全</w:t>
            </w:r>
          </w:p>
        </w:tc>
        <w:tc>
          <w:tcPr>
            <w:tcW w:w="3836" w:type="dxa"/>
            <w:vAlign w:val="center"/>
          </w:tcPr>
          <w:p>
            <w:pPr>
              <w:widowControl/>
              <w:snapToGrid w:val="0"/>
              <w:rPr>
                <w:rFonts w:ascii="宋体" w:hAnsi="宋体" w:eastAsia="宋体"/>
                <w:bCs/>
                <w:highlight w:val="none"/>
              </w:rPr>
            </w:pPr>
            <w:r>
              <w:rPr>
                <w:rFonts w:hint="eastAsia" w:ascii="宋体" w:hAnsi="宋体" w:eastAsia="宋体"/>
                <w:bCs/>
                <w:highlight w:val="none"/>
              </w:rPr>
              <w:t>（1）运输服务商资质、运输人员、运输车辆符合合同规定及国家相关法律法规要求；</w:t>
            </w:r>
          </w:p>
          <w:p>
            <w:pPr>
              <w:widowControl/>
              <w:snapToGrid w:val="0"/>
              <w:rPr>
                <w:rFonts w:ascii="宋体" w:hAnsi="宋体" w:eastAsia="宋体"/>
                <w:bCs/>
                <w:highlight w:val="none"/>
              </w:rPr>
            </w:pPr>
            <w:r>
              <w:rPr>
                <w:rFonts w:hint="eastAsia" w:ascii="宋体" w:hAnsi="宋体" w:eastAsia="宋体"/>
                <w:bCs/>
                <w:highlight w:val="none"/>
              </w:rPr>
              <w:t>（2）未出现超载或非法运输等情况；</w:t>
            </w:r>
          </w:p>
          <w:p>
            <w:pPr>
              <w:widowControl/>
              <w:snapToGrid w:val="0"/>
              <w:rPr>
                <w:rFonts w:ascii="宋体" w:hAnsi="宋体" w:eastAsia="宋体"/>
                <w:bCs/>
                <w:highlight w:val="none"/>
              </w:rPr>
            </w:pPr>
            <w:r>
              <w:rPr>
                <w:rFonts w:hint="eastAsia" w:ascii="宋体" w:hAnsi="宋体" w:eastAsia="宋体"/>
                <w:bCs/>
                <w:highlight w:val="none"/>
              </w:rPr>
              <w:t>（3）未出现由于运输服务商资质不符、超载或非法运输、未按厂区指示行驶及停放造成第三方或厂区事故、损失的情况；</w:t>
            </w:r>
          </w:p>
          <w:p>
            <w:pPr>
              <w:outlineLvl w:val="2"/>
              <w:rPr>
                <w:rFonts w:ascii="宋体" w:hAnsi="宋体" w:eastAsia="宋体"/>
                <w:highlight w:val="none"/>
              </w:rPr>
            </w:pPr>
            <w:bookmarkStart w:id="23" w:name="_Toc146625412"/>
            <w:bookmarkStart w:id="24" w:name="_Toc174612491"/>
            <w:bookmarkStart w:id="25" w:name="_Toc95729751"/>
            <w:r>
              <w:rPr>
                <w:rFonts w:hint="eastAsia" w:ascii="宋体" w:hAnsi="宋体" w:eastAsia="宋体"/>
                <w:bCs/>
                <w:highlight w:val="none"/>
              </w:rPr>
              <w:t>（4）未出现卸货安全事故。</w:t>
            </w:r>
            <w:bookmarkEnd w:id="23"/>
            <w:bookmarkEnd w:id="24"/>
            <w:bookmarkEnd w:id="25"/>
          </w:p>
        </w:tc>
        <w:tc>
          <w:tcPr>
            <w:tcW w:w="1828" w:type="dxa"/>
            <w:gridSpan w:val="2"/>
            <w:vAlign w:val="center"/>
          </w:tcPr>
          <w:p>
            <w:pPr>
              <w:widowControl/>
              <w:snapToGrid w:val="0"/>
              <w:rPr>
                <w:rFonts w:ascii="宋体" w:hAnsi="宋体" w:eastAsia="宋体"/>
                <w:bCs/>
                <w:highlight w:val="none"/>
              </w:rPr>
            </w:pPr>
            <w:r>
              <w:rPr>
                <w:rFonts w:hint="eastAsia" w:ascii="宋体" w:hAnsi="宋体" w:eastAsia="宋体"/>
                <w:bCs/>
                <w:highlight w:val="none"/>
              </w:rPr>
              <w:t>达到标准的得满分，每月每次货物有一项未达到标准的扣3分，每次货物最多扣3分。</w:t>
            </w:r>
          </w:p>
        </w:tc>
        <w:tc>
          <w:tcPr>
            <w:tcW w:w="733" w:type="dxa"/>
            <w:vAlign w:val="center"/>
          </w:tcPr>
          <w:p>
            <w:pPr>
              <w:widowControl/>
              <w:snapToGrid w:val="0"/>
              <w:jc w:val="center"/>
              <w:rPr>
                <w:rFonts w:ascii="宋体" w:hAnsi="宋体" w:eastAsia="宋体"/>
                <w:bCs/>
                <w:highlight w:val="none"/>
              </w:rPr>
            </w:pPr>
            <w:r>
              <w:rPr>
                <w:rFonts w:hint="eastAsia" w:ascii="宋体" w:hAnsi="宋体" w:eastAsia="宋体"/>
                <w:bCs/>
                <w:highlight w:val="none"/>
              </w:rPr>
              <w:t>15</w:t>
            </w:r>
          </w:p>
        </w:tc>
        <w:tc>
          <w:tcPr>
            <w:tcW w:w="705" w:type="dxa"/>
            <w:vAlign w:val="center"/>
          </w:tcPr>
          <w:p>
            <w:pPr>
              <w:widowControl/>
              <w:snapToGrid w:val="0"/>
              <w:jc w:val="center"/>
              <w:rPr>
                <w:rFonts w:ascii="宋体" w:hAnsi="宋体" w:eastAsia="宋体"/>
                <w:bCs/>
                <w:highlight w:val="none"/>
              </w:rPr>
            </w:pPr>
          </w:p>
        </w:tc>
        <w:tc>
          <w:tcPr>
            <w:tcW w:w="719" w:type="dxa"/>
            <w:vAlign w:val="center"/>
          </w:tcPr>
          <w:p>
            <w:pPr>
              <w:widowControl/>
              <w:snapToGrid w:val="0"/>
              <w:jc w:val="center"/>
              <w:rPr>
                <w:rFonts w:ascii="宋体" w:hAnsi="宋体" w:eastAsia="宋体"/>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jc w:val="center"/>
        </w:trPr>
        <w:tc>
          <w:tcPr>
            <w:tcW w:w="425" w:type="dxa"/>
            <w:vAlign w:val="center"/>
          </w:tcPr>
          <w:p>
            <w:pPr>
              <w:widowControl/>
              <w:snapToGrid w:val="0"/>
              <w:jc w:val="center"/>
              <w:rPr>
                <w:rFonts w:ascii="宋体" w:hAnsi="宋体" w:eastAsia="宋体"/>
                <w:bCs/>
                <w:highlight w:val="none"/>
              </w:rPr>
            </w:pPr>
            <w:r>
              <w:rPr>
                <w:rFonts w:hint="eastAsia" w:ascii="宋体" w:hAnsi="宋体" w:eastAsia="宋体"/>
                <w:bCs/>
                <w:highlight w:val="none"/>
              </w:rPr>
              <w:t>6</w:t>
            </w:r>
          </w:p>
        </w:tc>
        <w:tc>
          <w:tcPr>
            <w:tcW w:w="1735" w:type="dxa"/>
            <w:vAlign w:val="center"/>
          </w:tcPr>
          <w:p>
            <w:pPr>
              <w:widowControl/>
              <w:snapToGrid w:val="0"/>
              <w:jc w:val="center"/>
              <w:rPr>
                <w:rFonts w:ascii="宋体" w:hAnsi="宋体" w:eastAsia="宋体"/>
                <w:bCs/>
                <w:highlight w:val="none"/>
              </w:rPr>
            </w:pPr>
            <w:r>
              <w:rPr>
                <w:rFonts w:hint="eastAsia" w:ascii="宋体" w:hAnsi="宋体" w:eastAsia="宋体"/>
                <w:bCs/>
                <w:highlight w:val="none"/>
              </w:rPr>
              <w:t>售后服务</w:t>
            </w:r>
          </w:p>
        </w:tc>
        <w:tc>
          <w:tcPr>
            <w:tcW w:w="3836" w:type="dxa"/>
            <w:vAlign w:val="center"/>
          </w:tcPr>
          <w:p>
            <w:pPr>
              <w:widowControl/>
              <w:snapToGrid w:val="0"/>
              <w:rPr>
                <w:rFonts w:ascii="宋体" w:hAnsi="宋体" w:eastAsia="宋体"/>
                <w:bCs/>
                <w:highlight w:val="none"/>
              </w:rPr>
            </w:pPr>
            <w:r>
              <w:rPr>
                <w:rFonts w:hint="eastAsia" w:ascii="宋体" w:hAnsi="宋体" w:eastAsia="宋体"/>
                <w:bCs/>
                <w:highlight w:val="none"/>
              </w:rPr>
              <w:t>（1）人员：</w:t>
            </w:r>
          </w:p>
          <w:p>
            <w:pPr>
              <w:widowControl/>
              <w:snapToGrid w:val="0"/>
              <w:rPr>
                <w:rFonts w:ascii="宋体" w:hAnsi="宋体" w:eastAsia="宋体"/>
                <w:bCs/>
                <w:highlight w:val="none"/>
              </w:rPr>
            </w:pPr>
            <w:r>
              <w:rPr>
                <w:rFonts w:hint="eastAsia" w:ascii="宋体" w:hAnsi="宋体" w:eastAsia="宋体"/>
                <w:bCs/>
                <w:highlight w:val="none"/>
              </w:rPr>
              <w:t>①管理、技术及服务人员均符合申请文件的承诺，服务队伍稳定，人员充足、专业性强，充分配合甲方供货需求；</w:t>
            </w:r>
          </w:p>
          <w:p>
            <w:pPr>
              <w:widowControl/>
              <w:snapToGrid w:val="0"/>
              <w:rPr>
                <w:rFonts w:ascii="宋体" w:hAnsi="宋体" w:eastAsia="宋体"/>
                <w:bCs/>
                <w:highlight w:val="none"/>
              </w:rPr>
            </w:pPr>
            <w:r>
              <w:rPr>
                <w:rFonts w:hint="eastAsia" w:ascii="宋体" w:hAnsi="宋体" w:eastAsia="宋体"/>
                <w:bCs/>
                <w:highlight w:val="none"/>
              </w:rPr>
              <w:t>②对接人员与甲方沟通良好、理解到位、执行力强，能及时发现、解决问题，并未雨绸缪地因应各厂区实际情况提供合理化的供配货建议；</w:t>
            </w:r>
          </w:p>
          <w:p>
            <w:pPr>
              <w:widowControl/>
              <w:snapToGrid w:val="0"/>
              <w:rPr>
                <w:rFonts w:ascii="宋体" w:hAnsi="宋体" w:eastAsia="宋体"/>
                <w:bCs/>
                <w:highlight w:val="none"/>
              </w:rPr>
            </w:pPr>
            <w:r>
              <w:rPr>
                <w:rFonts w:hint="eastAsia" w:ascii="宋体" w:hAnsi="宋体" w:eastAsia="宋体"/>
                <w:bCs/>
                <w:highlight w:val="none"/>
              </w:rPr>
              <w:t>③未出现推诿，借故不肯签署合同规定的文件或者敷衍了事、置之不理等情况。</w:t>
            </w:r>
          </w:p>
          <w:p>
            <w:pPr>
              <w:widowControl/>
              <w:snapToGrid w:val="0"/>
              <w:rPr>
                <w:rFonts w:ascii="宋体" w:hAnsi="宋体" w:eastAsia="宋体"/>
                <w:bCs/>
                <w:highlight w:val="none"/>
              </w:rPr>
            </w:pPr>
            <w:r>
              <w:rPr>
                <w:rFonts w:hint="eastAsia" w:ascii="宋体" w:hAnsi="宋体" w:eastAsia="宋体"/>
                <w:bCs/>
                <w:highlight w:val="none"/>
              </w:rPr>
              <w:t>（2）配合：</w:t>
            </w:r>
          </w:p>
          <w:p>
            <w:pPr>
              <w:widowControl/>
              <w:snapToGrid w:val="0"/>
              <w:rPr>
                <w:rFonts w:ascii="宋体" w:hAnsi="宋体" w:eastAsia="宋体"/>
                <w:bCs/>
                <w:highlight w:val="none"/>
              </w:rPr>
            </w:pPr>
            <w:r>
              <w:rPr>
                <w:rFonts w:hint="eastAsia" w:ascii="宋体" w:hAnsi="宋体" w:eastAsia="宋体"/>
                <w:bCs/>
                <w:highlight w:val="none"/>
              </w:rPr>
              <w:t>①售后服务流程完善，跟踪到位，响应速度快；</w:t>
            </w:r>
          </w:p>
          <w:p>
            <w:pPr>
              <w:widowControl/>
              <w:snapToGrid w:val="0"/>
              <w:rPr>
                <w:rFonts w:ascii="宋体" w:hAnsi="宋体" w:eastAsia="宋体"/>
                <w:bCs/>
                <w:highlight w:val="none"/>
              </w:rPr>
            </w:pPr>
            <w:r>
              <w:rPr>
                <w:rFonts w:hint="eastAsia" w:ascii="宋体" w:hAnsi="宋体" w:eastAsia="宋体"/>
                <w:bCs/>
                <w:highlight w:val="none"/>
              </w:rPr>
              <w:t>②就货物储存保质方式、方法提出合理化建议并能提供专业技术指导；</w:t>
            </w:r>
          </w:p>
          <w:p>
            <w:pPr>
              <w:widowControl/>
              <w:snapToGrid w:val="0"/>
              <w:rPr>
                <w:rFonts w:ascii="宋体" w:hAnsi="宋体" w:eastAsia="宋体"/>
                <w:bCs/>
                <w:highlight w:val="none"/>
              </w:rPr>
            </w:pPr>
            <w:r>
              <w:rPr>
                <w:rFonts w:hint="eastAsia" w:ascii="宋体" w:hAnsi="宋体" w:eastAsia="宋体"/>
                <w:bCs/>
                <w:highlight w:val="none"/>
              </w:rPr>
              <w:t>③积极配合甲方进行试验、积极协助甲方接受政府管理部门的检查工作及提供各类资质证明材料；</w:t>
            </w:r>
          </w:p>
          <w:p>
            <w:pPr>
              <w:widowControl/>
              <w:snapToGrid w:val="0"/>
              <w:rPr>
                <w:rFonts w:ascii="宋体" w:hAnsi="宋体" w:eastAsia="宋体"/>
                <w:bCs/>
                <w:highlight w:val="none"/>
              </w:rPr>
            </w:pPr>
            <w:r>
              <w:rPr>
                <w:rFonts w:hint="eastAsia" w:ascii="宋体" w:hAnsi="宋体" w:eastAsia="宋体"/>
                <w:bCs/>
                <w:highlight w:val="none"/>
              </w:rPr>
              <w:t>④能根据甲方要求提供专业培训。</w:t>
            </w:r>
          </w:p>
          <w:p>
            <w:pPr>
              <w:outlineLvl w:val="2"/>
              <w:rPr>
                <w:rFonts w:ascii="宋体" w:hAnsi="宋体" w:eastAsia="宋体"/>
                <w:highlight w:val="none"/>
              </w:rPr>
            </w:pPr>
            <w:bookmarkStart w:id="26" w:name="_Toc174612492"/>
            <w:bookmarkStart w:id="27" w:name="_Toc95729752"/>
            <w:bookmarkStart w:id="28" w:name="_Toc146625413"/>
            <w:r>
              <w:rPr>
                <w:rFonts w:hint="eastAsia" w:ascii="宋体" w:hAnsi="宋体" w:eastAsia="宋体"/>
                <w:bCs/>
                <w:highlight w:val="none"/>
              </w:rPr>
              <w:t>⑤高效处理退换货工作、态度良好。</w:t>
            </w:r>
            <w:bookmarkEnd w:id="26"/>
            <w:bookmarkEnd w:id="27"/>
            <w:bookmarkEnd w:id="28"/>
          </w:p>
        </w:tc>
        <w:tc>
          <w:tcPr>
            <w:tcW w:w="1828" w:type="dxa"/>
            <w:gridSpan w:val="2"/>
            <w:vAlign w:val="center"/>
          </w:tcPr>
          <w:p>
            <w:pPr>
              <w:widowControl/>
              <w:snapToGrid w:val="0"/>
              <w:rPr>
                <w:rFonts w:ascii="宋体" w:hAnsi="宋体" w:eastAsia="宋体"/>
                <w:bCs/>
                <w:highlight w:val="none"/>
              </w:rPr>
            </w:pPr>
            <w:r>
              <w:rPr>
                <w:rFonts w:hint="eastAsia" w:ascii="宋体" w:hAnsi="宋体" w:eastAsia="宋体"/>
                <w:bCs/>
                <w:highlight w:val="none"/>
              </w:rPr>
              <w:t>达到标准的得满分，每月每次货物有一项未达到标准的扣2分，每次货物最多扣2分。</w:t>
            </w:r>
          </w:p>
        </w:tc>
        <w:tc>
          <w:tcPr>
            <w:tcW w:w="733" w:type="dxa"/>
            <w:vAlign w:val="center"/>
          </w:tcPr>
          <w:p>
            <w:pPr>
              <w:widowControl/>
              <w:snapToGrid w:val="0"/>
              <w:jc w:val="center"/>
              <w:rPr>
                <w:rFonts w:ascii="宋体" w:hAnsi="宋体" w:eastAsia="宋体"/>
                <w:bCs/>
                <w:highlight w:val="none"/>
              </w:rPr>
            </w:pPr>
            <w:r>
              <w:rPr>
                <w:rFonts w:hint="eastAsia" w:ascii="宋体" w:hAnsi="宋体" w:eastAsia="宋体"/>
                <w:bCs/>
                <w:highlight w:val="none"/>
              </w:rPr>
              <w:t>10</w:t>
            </w:r>
          </w:p>
        </w:tc>
        <w:tc>
          <w:tcPr>
            <w:tcW w:w="705" w:type="dxa"/>
            <w:vAlign w:val="center"/>
          </w:tcPr>
          <w:p>
            <w:pPr>
              <w:widowControl/>
              <w:snapToGrid w:val="0"/>
              <w:jc w:val="center"/>
              <w:rPr>
                <w:rFonts w:ascii="宋体" w:hAnsi="宋体" w:eastAsia="宋体"/>
                <w:bCs/>
                <w:highlight w:val="none"/>
              </w:rPr>
            </w:pPr>
          </w:p>
        </w:tc>
        <w:tc>
          <w:tcPr>
            <w:tcW w:w="719" w:type="dxa"/>
            <w:vAlign w:val="center"/>
          </w:tcPr>
          <w:p>
            <w:pPr>
              <w:widowControl/>
              <w:snapToGrid w:val="0"/>
              <w:jc w:val="center"/>
              <w:rPr>
                <w:rFonts w:ascii="宋体" w:hAnsi="宋体" w:eastAsia="宋体"/>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560" w:hRule="atLeast"/>
          <w:jc w:val="center"/>
        </w:trPr>
        <w:tc>
          <w:tcPr>
            <w:tcW w:w="7824" w:type="dxa"/>
            <w:gridSpan w:val="5"/>
            <w:vAlign w:val="center"/>
          </w:tcPr>
          <w:p>
            <w:pPr>
              <w:widowControl/>
              <w:snapToGrid w:val="0"/>
              <w:jc w:val="center"/>
              <w:rPr>
                <w:rFonts w:ascii="宋体" w:hAnsi="宋体" w:eastAsia="宋体"/>
                <w:bCs/>
                <w:highlight w:val="none"/>
              </w:rPr>
            </w:pPr>
            <w:r>
              <w:rPr>
                <w:rFonts w:hint="eastAsia" w:ascii="宋体" w:hAnsi="宋体" w:eastAsia="宋体"/>
                <w:bCs/>
                <w:highlight w:val="none"/>
              </w:rPr>
              <w:t>合计</w:t>
            </w:r>
          </w:p>
        </w:tc>
        <w:tc>
          <w:tcPr>
            <w:tcW w:w="733" w:type="dxa"/>
            <w:vAlign w:val="center"/>
          </w:tcPr>
          <w:p>
            <w:pPr>
              <w:widowControl/>
              <w:snapToGrid w:val="0"/>
              <w:jc w:val="center"/>
              <w:rPr>
                <w:rFonts w:ascii="宋体" w:hAnsi="宋体" w:eastAsia="宋体"/>
                <w:bCs/>
                <w:highlight w:val="none"/>
              </w:rPr>
            </w:pPr>
            <w:r>
              <w:rPr>
                <w:rFonts w:hint="eastAsia" w:ascii="宋体" w:hAnsi="宋体" w:eastAsia="宋体"/>
                <w:bCs/>
                <w:highlight w:val="none"/>
              </w:rPr>
              <w:t>1</w:t>
            </w:r>
            <w:r>
              <w:rPr>
                <w:rFonts w:ascii="宋体" w:hAnsi="宋体" w:eastAsia="宋体"/>
                <w:bCs/>
                <w:highlight w:val="none"/>
              </w:rPr>
              <w:t>00</w:t>
            </w:r>
          </w:p>
        </w:tc>
        <w:tc>
          <w:tcPr>
            <w:tcW w:w="705" w:type="dxa"/>
            <w:vAlign w:val="center"/>
          </w:tcPr>
          <w:p>
            <w:pPr>
              <w:widowControl/>
              <w:snapToGrid w:val="0"/>
              <w:jc w:val="center"/>
              <w:rPr>
                <w:rFonts w:ascii="宋体" w:hAnsi="宋体" w:eastAsia="宋体"/>
                <w:bCs/>
                <w:highlight w:val="none"/>
              </w:rPr>
            </w:pPr>
          </w:p>
        </w:tc>
        <w:tc>
          <w:tcPr>
            <w:tcW w:w="719" w:type="dxa"/>
            <w:vAlign w:val="center"/>
          </w:tcPr>
          <w:p>
            <w:pPr>
              <w:widowControl/>
              <w:snapToGrid w:val="0"/>
              <w:jc w:val="center"/>
              <w:rPr>
                <w:rFonts w:ascii="宋体" w:hAnsi="宋体" w:eastAsia="宋体"/>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559" w:hRule="atLeast"/>
          <w:jc w:val="center"/>
        </w:trPr>
        <w:tc>
          <w:tcPr>
            <w:tcW w:w="2160" w:type="dxa"/>
            <w:gridSpan w:val="2"/>
            <w:vAlign w:val="center"/>
          </w:tcPr>
          <w:p>
            <w:pPr>
              <w:widowControl/>
              <w:snapToGrid w:val="0"/>
              <w:jc w:val="center"/>
              <w:rPr>
                <w:rFonts w:ascii="宋体" w:hAnsi="宋体" w:eastAsia="宋体"/>
                <w:bCs/>
                <w:highlight w:val="none"/>
              </w:rPr>
            </w:pPr>
            <w:r>
              <w:rPr>
                <w:rFonts w:hint="eastAsia" w:ascii="宋体" w:hAnsi="宋体" w:eastAsia="宋体"/>
                <w:bCs/>
                <w:highlight w:val="none"/>
              </w:rPr>
              <w:t>评审结论</w:t>
            </w:r>
          </w:p>
        </w:tc>
        <w:tc>
          <w:tcPr>
            <w:tcW w:w="7821" w:type="dxa"/>
            <w:gridSpan w:val="6"/>
          </w:tcPr>
          <w:p>
            <w:pPr>
              <w:widowControl/>
              <w:snapToGrid w:val="0"/>
              <w:rPr>
                <w:rFonts w:ascii="宋体" w:hAnsi="宋体" w:eastAsia="宋体"/>
                <w:bCs/>
                <w:highlight w:val="none"/>
              </w:rPr>
            </w:pPr>
            <w:r>
              <w:rPr>
                <w:rFonts w:hint="eastAsia" w:ascii="宋体" w:hAnsi="宋体" w:eastAsia="宋体"/>
                <w:bCs/>
                <w:highlight w:val="none"/>
              </w:rPr>
              <w:t>□合计分值不低于</w:t>
            </w:r>
            <w:r>
              <w:rPr>
                <w:rFonts w:ascii="宋体" w:hAnsi="宋体" w:eastAsia="宋体"/>
                <w:bCs/>
                <w:highlight w:val="none"/>
              </w:rPr>
              <w:t>8</w:t>
            </w:r>
            <w:r>
              <w:rPr>
                <w:rFonts w:hint="eastAsia" w:ascii="宋体" w:hAnsi="宋体" w:eastAsia="宋体"/>
                <w:bCs/>
                <w:highlight w:val="none"/>
              </w:rPr>
              <w:t>0的，评审结论合格</w:t>
            </w:r>
            <w:r>
              <w:rPr>
                <w:rFonts w:hint="eastAsia" w:ascii="宋体" w:hAnsi="宋体" w:eastAsia="宋体"/>
                <w:bCs/>
                <w:highlight w:val="none"/>
              </w:rPr>
              <w:br w:type="textWrapping"/>
            </w:r>
            <w:r>
              <w:rPr>
                <w:rFonts w:hint="eastAsia" w:ascii="宋体" w:hAnsi="宋体" w:eastAsia="宋体"/>
                <w:bCs/>
                <w:highlight w:val="none"/>
              </w:rPr>
              <w:t>□评审结论不合格，说明：</w:t>
            </w:r>
            <w:r>
              <w:rPr>
                <w:rFonts w:hint="eastAsia" w:ascii="宋体" w:hAnsi="宋体" w:eastAsia="宋体"/>
                <w:bCs/>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2160" w:type="dxa"/>
            <w:gridSpan w:val="2"/>
            <w:vMerge w:val="restart"/>
            <w:vAlign w:val="center"/>
          </w:tcPr>
          <w:p>
            <w:pPr>
              <w:widowControl/>
              <w:snapToGrid w:val="0"/>
              <w:jc w:val="center"/>
              <w:rPr>
                <w:rFonts w:ascii="宋体" w:hAnsi="宋体" w:eastAsia="宋体"/>
                <w:highlight w:val="none"/>
              </w:rPr>
            </w:pPr>
            <w:r>
              <w:rPr>
                <w:rFonts w:hint="eastAsia" w:ascii="宋体" w:hAnsi="宋体" w:eastAsia="宋体"/>
                <w:bCs/>
                <w:highlight w:val="none"/>
              </w:rPr>
              <w:t>履约评审运营项目</w:t>
            </w:r>
            <w:r>
              <w:rPr>
                <w:rFonts w:hint="eastAsia" w:ascii="宋体" w:hAnsi="宋体" w:eastAsia="宋体"/>
                <w:highlight w:val="none"/>
              </w:rPr>
              <w:t>其他</w:t>
            </w:r>
            <w:r>
              <w:rPr>
                <w:rFonts w:hint="eastAsia" w:ascii="宋体" w:hAnsi="宋体" w:eastAsia="宋体"/>
                <w:bCs/>
                <w:highlight w:val="none"/>
              </w:rPr>
              <w:t>意见及签署</w:t>
            </w:r>
          </w:p>
        </w:tc>
        <w:tc>
          <w:tcPr>
            <w:tcW w:w="3840" w:type="dxa"/>
            <w:gridSpan w:val="2"/>
            <w:vAlign w:val="center"/>
          </w:tcPr>
          <w:p>
            <w:pPr>
              <w:widowControl/>
              <w:snapToGrid w:val="0"/>
              <w:rPr>
                <w:rFonts w:ascii="宋体" w:hAnsi="宋体" w:eastAsia="宋体"/>
                <w:highlight w:val="none"/>
              </w:rPr>
            </w:pPr>
            <w:r>
              <w:rPr>
                <w:rFonts w:hint="eastAsia" w:ascii="宋体" w:hAnsi="宋体" w:eastAsia="宋体"/>
                <w:bCs/>
                <w:highlight w:val="none"/>
              </w:rPr>
              <w:t>经办人</w:t>
            </w:r>
          </w:p>
        </w:tc>
        <w:tc>
          <w:tcPr>
            <w:tcW w:w="3987" w:type="dxa"/>
            <w:gridSpan w:val="5"/>
            <w:vAlign w:val="center"/>
          </w:tcPr>
          <w:p>
            <w:pPr>
              <w:widowControl/>
              <w:snapToGrid w:val="0"/>
              <w:rPr>
                <w:rFonts w:ascii="宋体" w:hAnsi="宋体" w:eastAsia="宋体"/>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2160" w:type="dxa"/>
            <w:gridSpan w:val="2"/>
            <w:vMerge w:val="continue"/>
          </w:tcPr>
          <w:p>
            <w:pPr>
              <w:widowControl/>
              <w:snapToGrid w:val="0"/>
              <w:rPr>
                <w:rFonts w:ascii="宋体" w:hAnsi="宋体" w:eastAsia="宋体"/>
                <w:bCs/>
                <w:highlight w:val="none"/>
              </w:rPr>
            </w:pPr>
          </w:p>
        </w:tc>
        <w:tc>
          <w:tcPr>
            <w:tcW w:w="3840" w:type="dxa"/>
            <w:gridSpan w:val="2"/>
            <w:vAlign w:val="center"/>
          </w:tcPr>
          <w:p>
            <w:pPr>
              <w:widowControl/>
              <w:snapToGrid w:val="0"/>
              <w:rPr>
                <w:rFonts w:ascii="宋体" w:hAnsi="宋体" w:eastAsia="宋体"/>
                <w:bCs/>
                <w:highlight w:val="none"/>
              </w:rPr>
            </w:pPr>
            <w:r>
              <w:rPr>
                <w:rFonts w:hint="eastAsia" w:ascii="宋体" w:hAnsi="宋体" w:eastAsia="宋体"/>
                <w:bCs/>
                <w:highlight w:val="none"/>
              </w:rPr>
              <w:t>运营项目负责人</w:t>
            </w:r>
          </w:p>
        </w:tc>
        <w:tc>
          <w:tcPr>
            <w:tcW w:w="3987" w:type="dxa"/>
            <w:gridSpan w:val="5"/>
            <w:vAlign w:val="center"/>
          </w:tcPr>
          <w:p>
            <w:pPr>
              <w:widowControl/>
              <w:snapToGrid w:val="0"/>
              <w:rPr>
                <w:rFonts w:ascii="宋体" w:hAnsi="宋体" w:eastAsia="宋体"/>
                <w:bCs/>
                <w:highlight w:val="none"/>
              </w:rPr>
            </w:pPr>
          </w:p>
        </w:tc>
      </w:tr>
    </w:tbl>
    <w:p>
      <w:pPr>
        <w:pStyle w:val="2"/>
        <w:rPr>
          <w:rFonts w:hint="eastAsia"/>
          <w:lang w:val="zh-CN"/>
        </w:rPr>
      </w:pPr>
    </w:p>
    <w:p>
      <w:pPr>
        <w:rPr>
          <w:rFonts w:ascii="宋体" w:hAnsi="宋体" w:eastAsia="宋体" w:cs="Times New Roman"/>
          <w:b/>
          <w:color w:val="auto"/>
          <w:szCs w:val="21"/>
          <w:highlight w:val="none"/>
        </w:rPr>
      </w:pPr>
    </w:p>
    <w:bookmarkEnd w:id="1"/>
    <w:bookmarkEnd w:id="2"/>
    <w:bookmarkEnd w:id="3"/>
    <w:bookmarkEnd w:id="4"/>
    <w:bookmarkEnd w:id="5"/>
    <w:bookmarkEnd w:id="6"/>
    <w:bookmarkEnd w:id="7"/>
    <w:p>
      <w:pPr>
        <w:widowControl/>
        <w:jc w:val="left"/>
        <w:rPr>
          <w:rFonts w:ascii="宋体" w:hAnsi="宋体" w:eastAsia="宋体" w:cs="宋体"/>
          <w:color w:val="auto"/>
          <w:szCs w:val="24"/>
          <w:highlight w:val="none"/>
          <w:lang w:val="zh-CN"/>
        </w:rPr>
      </w:pPr>
    </w:p>
    <w:sectPr>
      <w:pgSz w:w="12240" w:h="15840"/>
      <w:pgMar w:top="1191" w:right="1043" w:bottom="1191" w:left="1043" w:header="720" w:footer="720" w:gutter="0"/>
      <w:cols w:space="72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embedRegular r:id="rId1" w:fontKey="{B7E3061D-346A-491D-A5A6-DF7F18794689}"/>
  </w:font>
  <w:font w:name="Microsoft YaHei UI">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ˎ̥">
    <w:altName w:val="Times New Roman"/>
    <w:panose1 w:val="00000000000000000000"/>
    <w:charset w:val="01"/>
    <w:family w:val="roman"/>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FrutigerNext LT Light">
    <w:altName w:val="宋体"/>
    <w:panose1 w:val="00000000000000000000"/>
    <w:charset w:val="86"/>
    <w:family w:val="swiss"/>
    <w:pitch w:val="default"/>
    <w:sig w:usb0="00000000" w:usb1="00000000" w:usb2="00000010" w:usb3="00000000" w:csb0="00040001" w:csb1="00000000"/>
  </w:font>
  <w:font w:name="方正小标宋简体">
    <w:panose1 w:val="02000000000000000000"/>
    <w:charset w:val="86"/>
    <w:family w:val="script"/>
    <w:pitch w:val="default"/>
    <w:sig w:usb0="00000001" w:usb1="08000000" w:usb2="00000000" w:usb3="00000000" w:csb0="00040000" w:csb1="00000000"/>
    <w:embedRegular r:id="rId2" w:fontKey="{59FE16D6-B49C-473A-B1EA-FD810576179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w:rPr>
        <w:rFonts w:hint="eastAsia"/>
      </w:rPr>
      <w:t>第</w:t>
    </w:r>
    <w:r>
      <w:rPr>
        <w:lang w:val="zh-CN"/>
      </w:rPr>
      <w:t xml:space="preserve"> </w:t>
    </w:r>
    <w:r>
      <w:rPr>
        <w:bCs/>
        <w:sz w:val="24"/>
        <w:szCs w:val="24"/>
      </w:rPr>
      <w:fldChar w:fldCharType="begin"/>
    </w:r>
    <w:r>
      <w:rPr>
        <w:bCs/>
      </w:rPr>
      <w:instrText xml:space="preserve">PAGE</w:instrText>
    </w:r>
    <w:r>
      <w:rPr>
        <w:bCs/>
        <w:sz w:val="24"/>
        <w:szCs w:val="24"/>
      </w:rPr>
      <w:fldChar w:fldCharType="separate"/>
    </w:r>
    <w:r>
      <w:rPr>
        <w:bCs/>
      </w:rPr>
      <w:t>110</w:t>
    </w:r>
    <w:r>
      <w:rPr>
        <w:bCs/>
        <w:sz w:val="24"/>
        <w:szCs w:val="24"/>
      </w:rPr>
      <w:fldChar w:fldCharType="end"/>
    </w:r>
    <w:r>
      <w:rPr>
        <w:lang w:val="zh-CN"/>
      </w:rPr>
      <w:t xml:space="preserve"> </w:t>
    </w:r>
    <w:r>
      <w:rPr>
        <w:rFonts w:hint="eastAsia"/>
        <w:lang w:val="zh-CN"/>
      </w:rPr>
      <w:t>页，共</w:t>
    </w:r>
    <w:r>
      <w:rPr>
        <w:lang w:val="zh-CN"/>
      </w:rPr>
      <w:t xml:space="preserve"> </w:t>
    </w:r>
    <w:r>
      <w:rPr>
        <w:bCs/>
        <w:sz w:val="24"/>
        <w:szCs w:val="24"/>
      </w:rPr>
      <w:fldChar w:fldCharType="begin"/>
    </w:r>
    <w:r>
      <w:rPr>
        <w:bCs/>
      </w:rPr>
      <w:instrText xml:space="preserve">NUMPAGES</w:instrText>
    </w:r>
    <w:r>
      <w:rPr>
        <w:bCs/>
        <w:sz w:val="24"/>
        <w:szCs w:val="24"/>
      </w:rPr>
      <w:fldChar w:fldCharType="separate"/>
    </w:r>
    <w:r>
      <w:rPr>
        <w:bCs/>
      </w:rPr>
      <w:t>110</w:t>
    </w:r>
    <w:r>
      <w:rPr>
        <w:bCs/>
        <w:sz w:val="24"/>
        <w:szCs w:val="24"/>
      </w:rPr>
      <w:fldChar w:fldCharType="end"/>
    </w:r>
    <w:r>
      <w:rPr>
        <w:b/>
        <w:bCs/>
        <w:sz w:val="24"/>
        <w:szCs w:val="24"/>
      </w:rPr>
      <w:t xml:space="preserve"> </w:t>
    </w:r>
    <w:r>
      <w:rPr>
        <w:rFonts w:hint="eastAsia"/>
      </w:rPr>
      <w:t>页</w:t>
    </w:r>
  </w:p>
  <w:p>
    <w:pPr>
      <w:pStyle w:val="2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w:rPr>
        <w:rFonts w:hint="eastAsia"/>
      </w:rPr>
      <w:t>第</w:t>
    </w:r>
    <w:r>
      <w:rPr>
        <w:bCs/>
      </w:rPr>
      <w:fldChar w:fldCharType="begin"/>
    </w:r>
    <w:r>
      <w:rPr>
        <w:bCs/>
      </w:rPr>
      <w:instrText xml:space="preserve">PAGE</w:instrText>
    </w:r>
    <w:r>
      <w:rPr>
        <w:bCs/>
      </w:rPr>
      <w:fldChar w:fldCharType="separate"/>
    </w:r>
    <w:r>
      <w:rPr>
        <w:bCs/>
      </w:rPr>
      <w:t>86</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86</w:t>
    </w:r>
    <w:r>
      <w:rPr>
        <w:bCs/>
      </w:rPr>
      <w:fldChar w:fldCharType="end"/>
    </w:r>
    <w:r>
      <w:rPr>
        <w:rFonts w:hint="eastAsia"/>
        <w:bCs/>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w:rPr>
        <w:rFonts w:hint="eastAsia"/>
      </w:rPr>
      <w:t>第</w:t>
    </w:r>
    <w:r>
      <w:rPr>
        <w:lang w:val="zh-CN"/>
      </w:rPr>
      <w:t xml:space="preserve"> </w:t>
    </w:r>
    <w:r>
      <w:rPr>
        <w:bCs/>
        <w:sz w:val="24"/>
        <w:szCs w:val="24"/>
      </w:rPr>
      <w:fldChar w:fldCharType="begin"/>
    </w:r>
    <w:r>
      <w:rPr>
        <w:bCs/>
      </w:rPr>
      <w:instrText xml:space="preserve">PAGE</w:instrText>
    </w:r>
    <w:r>
      <w:rPr>
        <w:bCs/>
        <w:sz w:val="24"/>
        <w:szCs w:val="24"/>
      </w:rPr>
      <w:fldChar w:fldCharType="separate"/>
    </w:r>
    <w:r>
      <w:rPr>
        <w:bCs/>
      </w:rPr>
      <w:t>66</w:t>
    </w:r>
    <w:r>
      <w:rPr>
        <w:bCs/>
        <w:sz w:val="24"/>
        <w:szCs w:val="24"/>
      </w:rPr>
      <w:fldChar w:fldCharType="end"/>
    </w:r>
    <w:r>
      <w:rPr>
        <w:lang w:val="zh-CN"/>
      </w:rPr>
      <w:t xml:space="preserve"> </w:t>
    </w:r>
    <w:r>
      <w:rPr>
        <w:rFonts w:hint="eastAsia"/>
        <w:lang w:val="zh-CN"/>
      </w:rPr>
      <w:t>页，共</w:t>
    </w:r>
    <w:r>
      <w:rPr>
        <w:lang w:val="zh-CN"/>
      </w:rPr>
      <w:t xml:space="preserve"> </w:t>
    </w:r>
    <w:r>
      <w:rPr>
        <w:bCs/>
        <w:sz w:val="24"/>
        <w:szCs w:val="24"/>
      </w:rPr>
      <w:fldChar w:fldCharType="begin"/>
    </w:r>
    <w:r>
      <w:rPr>
        <w:bCs/>
      </w:rPr>
      <w:instrText xml:space="preserve">NUMPAGES</w:instrText>
    </w:r>
    <w:r>
      <w:rPr>
        <w:bCs/>
        <w:sz w:val="24"/>
        <w:szCs w:val="24"/>
      </w:rPr>
      <w:fldChar w:fldCharType="separate"/>
    </w:r>
    <w:r>
      <w:rPr>
        <w:bCs/>
      </w:rPr>
      <w:t>68</w:t>
    </w:r>
    <w:r>
      <w:rPr>
        <w:bCs/>
        <w:sz w:val="24"/>
        <w:szCs w:val="24"/>
      </w:rPr>
      <w:fldChar w:fldCharType="end"/>
    </w:r>
    <w:r>
      <w:rPr>
        <w:b/>
        <w:bCs/>
        <w:sz w:val="24"/>
        <w:szCs w:val="24"/>
      </w:rPr>
      <w:t xml:space="preserve"> </w:t>
    </w:r>
    <w:r>
      <w:rPr>
        <w:rFonts w:hint="eastAsia"/>
      </w:rPr>
      <w:t>页</w:t>
    </w:r>
  </w:p>
  <w:p>
    <w:pPr>
      <w:pStyle w:val="2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w:rPr>
        <w:rFonts w:hint="eastAsia"/>
      </w:rPr>
      <w:t>第</w:t>
    </w:r>
    <w:r>
      <w:rPr>
        <w:bCs/>
      </w:rPr>
      <w:fldChar w:fldCharType="begin"/>
    </w:r>
    <w:r>
      <w:rPr>
        <w:bCs/>
      </w:rPr>
      <w:instrText xml:space="preserve">PAGE</w:instrText>
    </w:r>
    <w:r>
      <w:rPr>
        <w:bCs/>
      </w:rPr>
      <w:fldChar w:fldCharType="separate"/>
    </w:r>
    <w:r>
      <w:rPr>
        <w:bCs/>
      </w:rPr>
      <w:t>49</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49</w:t>
    </w:r>
    <w:r>
      <w:rPr>
        <w:bCs/>
      </w:rPr>
      <w:fldChar w:fldCharType="end"/>
    </w:r>
    <w:r>
      <w:rPr>
        <w:rFonts w:hint="eastAsia"/>
        <w:bCs/>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A4C114D"/>
    <w:multiLevelType w:val="multilevel"/>
    <w:tmpl w:val="4A4C114D"/>
    <w:lvl w:ilvl="0" w:tentative="0">
      <w:start w:val="1"/>
      <w:numFmt w:val="decimal"/>
      <w:suff w:val="nothing"/>
      <w:lvlText w:val="%1、"/>
      <w:lvlJc w:val="left"/>
      <w:pPr>
        <w:ind w:left="0" w:firstLine="0"/>
      </w:pPr>
      <w:rPr>
        <w:rFonts w:hint="default" w:ascii="宋体" w:hAnsi="宋体" w:eastAsia="宋体" w:cs="Times New Roman"/>
        <w:sz w:val="21"/>
        <w:szCs w:val="21"/>
      </w:rPr>
    </w:lvl>
    <w:lvl w:ilvl="1" w:tentative="0">
      <w:start w:val="1"/>
      <w:numFmt w:val="decimal"/>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
    <w:nsid w:val="4B274E8D"/>
    <w:multiLevelType w:val="multilevel"/>
    <w:tmpl w:val="4B274E8D"/>
    <w:lvl w:ilvl="0" w:tentative="0">
      <w:start w:val="1"/>
      <w:numFmt w:val="chineseCountingThousand"/>
      <w:suff w:val="nothing"/>
      <w:lvlText w:val="%1、"/>
      <w:lvlJc w:val="left"/>
      <w:pPr>
        <w:ind w:left="0" w:firstLine="0"/>
      </w:pPr>
      <w:rPr>
        <w:rFonts w:hint="eastAsia"/>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hideSpellingErrors/>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2OWRkZWY0Y2IzMzdkNjZiNWIyZWQ2ZjZjMmRkMmQifQ=="/>
  </w:docVars>
  <w:rsids>
    <w:rsidRoot w:val="001E63B6"/>
    <w:rsid w:val="000011AE"/>
    <w:rsid w:val="00004430"/>
    <w:rsid w:val="00006AEC"/>
    <w:rsid w:val="00015A2E"/>
    <w:rsid w:val="000245A6"/>
    <w:rsid w:val="0002570D"/>
    <w:rsid w:val="00027708"/>
    <w:rsid w:val="00035595"/>
    <w:rsid w:val="00040BE6"/>
    <w:rsid w:val="00040F92"/>
    <w:rsid w:val="00046C4B"/>
    <w:rsid w:val="000503F6"/>
    <w:rsid w:val="00052FA1"/>
    <w:rsid w:val="00054A52"/>
    <w:rsid w:val="00054D9C"/>
    <w:rsid w:val="000622F9"/>
    <w:rsid w:val="000640CD"/>
    <w:rsid w:val="000768C6"/>
    <w:rsid w:val="000770B9"/>
    <w:rsid w:val="0008097F"/>
    <w:rsid w:val="00084D8D"/>
    <w:rsid w:val="000853A8"/>
    <w:rsid w:val="00086BE3"/>
    <w:rsid w:val="00094AF8"/>
    <w:rsid w:val="000A31BD"/>
    <w:rsid w:val="000A34F7"/>
    <w:rsid w:val="000A65CD"/>
    <w:rsid w:val="000A73D7"/>
    <w:rsid w:val="000B4B09"/>
    <w:rsid w:val="000C1661"/>
    <w:rsid w:val="000C18B7"/>
    <w:rsid w:val="000C5D06"/>
    <w:rsid w:val="000C6A11"/>
    <w:rsid w:val="000D0B5D"/>
    <w:rsid w:val="000D5537"/>
    <w:rsid w:val="000D75D3"/>
    <w:rsid w:val="000E3ECA"/>
    <w:rsid w:val="000E4A4F"/>
    <w:rsid w:val="000E4D54"/>
    <w:rsid w:val="000F0A84"/>
    <w:rsid w:val="001059DC"/>
    <w:rsid w:val="0010738F"/>
    <w:rsid w:val="0011440A"/>
    <w:rsid w:val="00114519"/>
    <w:rsid w:val="001233ED"/>
    <w:rsid w:val="00127946"/>
    <w:rsid w:val="00131E91"/>
    <w:rsid w:val="001450A8"/>
    <w:rsid w:val="001523C0"/>
    <w:rsid w:val="00152F07"/>
    <w:rsid w:val="0015711A"/>
    <w:rsid w:val="001644BA"/>
    <w:rsid w:val="001647C7"/>
    <w:rsid w:val="00165203"/>
    <w:rsid w:val="00166309"/>
    <w:rsid w:val="00170004"/>
    <w:rsid w:val="00174AE6"/>
    <w:rsid w:val="001758D3"/>
    <w:rsid w:val="00177B51"/>
    <w:rsid w:val="0018078B"/>
    <w:rsid w:val="00183284"/>
    <w:rsid w:val="00183344"/>
    <w:rsid w:val="0019682B"/>
    <w:rsid w:val="001A1FCB"/>
    <w:rsid w:val="001B74B3"/>
    <w:rsid w:val="001C2086"/>
    <w:rsid w:val="001C4AC2"/>
    <w:rsid w:val="001C6FAA"/>
    <w:rsid w:val="001D00B3"/>
    <w:rsid w:val="001D5A65"/>
    <w:rsid w:val="001D6B15"/>
    <w:rsid w:val="001E4158"/>
    <w:rsid w:val="001E6227"/>
    <w:rsid w:val="001E63B6"/>
    <w:rsid w:val="001E6DD8"/>
    <w:rsid w:val="001F0290"/>
    <w:rsid w:val="001F6A01"/>
    <w:rsid w:val="00202DB9"/>
    <w:rsid w:val="00215B7A"/>
    <w:rsid w:val="00223D5B"/>
    <w:rsid w:val="0022528C"/>
    <w:rsid w:val="002258BB"/>
    <w:rsid w:val="00225B7D"/>
    <w:rsid w:val="002260FC"/>
    <w:rsid w:val="002315B7"/>
    <w:rsid w:val="002347FE"/>
    <w:rsid w:val="0024360C"/>
    <w:rsid w:val="002451A7"/>
    <w:rsid w:val="00247373"/>
    <w:rsid w:val="00260C05"/>
    <w:rsid w:val="00261575"/>
    <w:rsid w:val="00262407"/>
    <w:rsid w:val="00275E0E"/>
    <w:rsid w:val="0028146F"/>
    <w:rsid w:val="002831F6"/>
    <w:rsid w:val="00290CBF"/>
    <w:rsid w:val="0029590E"/>
    <w:rsid w:val="002A3EB3"/>
    <w:rsid w:val="002B1734"/>
    <w:rsid w:val="002B5DBC"/>
    <w:rsid w:val="002B7423"/>
    <w:rsid w:val="002B7CA9"/>
    <w:rsid w:val="002C4A4A"/>
    <w:rsid w:val="002D0003"/>
    <w:rsid w:val="002D1442"/>
    <w:rsid w:val="002E4079"/>
    <w:rsid w:val="002F68EE"/>
    <w:rsid w:val="002F7DEF"/>
    <w:rsid w:val="003014E2"/>
    <w:rsid w:val="00302D85"/>
    <w:rsid w:val="0030753D"/>
    <w:rsid w:val="00311DA1"/>
    <w:rsid w:val="003121B1"/>
    <w:rsid w:val="0031709C"/>
    <w:rsid w:val="003223D5"/>
    <w:rsid w:val="00322AA4"/>
    <w:rsid w:val="00325EF0"/>
    <w:rsid w:val="00326230"/>
    <w:rsid w:val="00326290"/>
    <w:rsid w:val="00330DA7"/>
    <w:rsid w:val="00332C2D"/>
    <w:rsid w:val="00335872"/>
    <w:rsid w:val="003462FF"/>
    <w:rsid w:val="00347A73"/>
    <w:rsid w:val="00347CB0"/>
    <w:rsid w:val="00352495"/>
    <w:rsid w:val="00353707"/>
    <w:rsid w:val="00354BE6"/>
    <w:rsid w:val="0035524D"/>
    <w:rsid w:val="00357E51"/>
    <w:rsid w:val="003628C2"/>
    <w:rsid w:val="00364854"/>
    <w:rsid w:val="00366BB7"/>
    <w:rsid w:val="003721DF"/>
    <w:rsid w:val="003748D5"/>
    <w:rsid w:val="0037694B"/>
    <w:rsid w:val="00381E11"/>
    <w:rsid w:val="003824D1"/>
    <w:rsid w:val="00393CBD"/>
    <w:rsid w:val="00395C76"/>
    <w:rsid w:val="003A2B25"/>
    <w:rsid w:val="003A5520"/>
    <w:rsid w:val="003B077B"/>
    <w:rsid w:val="003B3342"/>
    <w:rsid w:val="003B5C9C"/>
    <w:rsid w:val="003C193B"/>
    <w:rsid w:val="003D0D72"/>
    <w:rsid w:val="003D17A4"/>
    <w:rsid w:val="003D39E2"/>
    <w:rsid w:val="003D3F68"/>
    <w:rsid w:val="003E006E"/>
    <w:rsid w:val="003E30F8"/>
    <w:rsid w:val="003E399E"/>
    <w:rsid w:val="003E6830"/>
    <w:rsid w:val="003F3875"/>
    <w:rsid w:val="003F42C0"/>
    <w:rsid w:val="003F51B0"/>
    <w:rsid w:val="004033E1"/>
    <w:rsid w:val="00405E84"/>
    <w:rsid w:val="0040607F"/>
    <w:rsid w:val="00417860"/>
    <w:rsid w:val="00420A7A"/>
    <w:rsid w:val="004235AF"/>
    <w:rsid w:val="0042558D"/>
    <w:rsid w:val="00427A89"/>
    <w:rsid w:val="0043107A"/>
    <w:rsid w:val="00432C43"/>
    <w:rsid w:val="004359C6"/>
    <w:rsid w:val="004360FC"/>
    <w:rsid w:val="004378C7"/>
    <w:rsid w:val="00437B9C"/>
    <w:rsid w:val="00437FC4"/>
    <w:rsid w:val="00441805"/>
    <w:rsid w:val="004551D1"/>
    <w:rsid w:val="0045753C"/>
    <w:rsid w:val="004577C3"/>
    <w:rsid w:val="0046038A"/>
    <w:rsid w:val="00460F3E"/>
    <w:rsid w:val="00464570"/>
    <w:rsid w:val="004761B2"/>
    <w:rsid w:val="00481AFA"/>
    <w:rsid w:val="0049337D"/>
    <w:rsid w:val="004B093D"/>
    <w:rsid w:val="004B604C"/>
    <w:rsid w:val="004E4ADE"/>
    <w:rsid w:val="004E5028"/>
    <w:rsid w:val="004E5F4E"/>
    <w:rsid w:val="004F2802"/>
    <w:rsid w:val="00500B9E"/>
    <w:rsid w:val="00503499"/>
    <w:rsid w:val="00506501"/>
    <w:rsid w:val="00507BC4"/>
    <w:rsid w:val="00513DB6"/>
    <w:rsid w:val="00524E92"/>
    <w:rsid w:val="00531E28"/>
    <w:rsid w:val="005344B1"/>
    <w:rsid w:val="005423E7"/>
    <w:rsid w:val="005572B4"/>
    <w:rsid w:val="0056010A"/>
    <w:rsid w:val="00563302"/>
    <w:rsid w:val="00571307"/>
    <w:rsid w:val="005743EA"/>
    <w:rsid w:val="00576F2E"/>
    <w:rsid w:val="00581210"/>
    <w:rsid w:val="00581FC3"/>
    <w:rsid w:val="005832B2"/>
    <w:rsid w:val="005851F1"/>
    <w:rsid w:val="005910B4"/>
    <w:rsid w:val="00596A23"/>
    <w:rsid w:val="005B735D"/>
    <w:rsid w:val="005C4A71"/>
    <w:rsid w:val="005C6F40"/>
    <w:rsid w:val="005D4119"/>
    <w:rsid w:val="005D66C2"/>
    <w:rsid w:val="005E2AC9"/>
    <w:rsid w:val="005E4D67"/>
    <w:rsid w:val="005F3D7C"/>
    <w:rsid w:val="00602D7E"/>
    <w:rsid w:val="00603BD0"/>
    <w:rsid w:val="0060555D"/>
    <w:rsid w:val="00606161"/>
    <w:rsid w:val="006062B3"/>
    <w:rsid w:val="00612EB1"/>
    <w:rsid w:val="0061352C"/>
    <w:rsid w:val="006165C8"/>
    <w:rsid w:val="006175B4"/>
    <w:rsid w:val="00617AAD"/>
    <w:rsid w:val="00621CDC"/>
    <w:rsid w:val="006229B2"/>
    <w:rsid w:val="00625E3D"/>
    <w:rsid w:val="00630B61"/>
    <w:rsid w:val="006402A6"/>
    <w:rsid w:val="00643BE3"/>
    <w:rsid w:val="00644B65"/>
    <w:rsid w:val="006530F8"/>
    <w:rsid w:val="006537BE"/>
    <w:rsid w:val="006654C0"/>
    <w:rsid w:val="00681997"/>
    <w:rsid w:val="0068405C"/>
    <w:rsid w:val="00691017"/>
    <w:rsid w:val="0069152C"/>
    <w:rsid w:val="006A29A5"/>
    <w:rsid w:val="006A2BD9"/>
    <w:rsid w:val="006A3C57"/>
    <w:rsid w:val="006A4F83"/>
    <w:rsid w:val="006A5072"/>
    <w:rsid w:val="006B5151"/>
    <w:rsid w:val="006C2D84"/>
    <w:rsid w:val="006C2F7D"/>
    <w:rsid w:val="006C3580"/>
    <w:rsid w:val="006C3F4D"/>
    <w:rsid w:val="006C6349"/>
    <w:rsid w:val="006D479F"/>
    <w:rsid w:val="006E2E51"/>
    <w:rsid w:val="006F6DB2"/>
    <w:rsid w:val="00704B3A"/>
    <w:rsid w:val="00710CF8"/>
    <w:rsid w:val="00711E08"/>
    <w:rsid w:val="007138FD"/>
    <w:rsid w:val="00716BB1"/>
    <w:rsid w:val="007172FD"/>
    <w:rsid w:val="007200C8"/>
    <w:rsid w:val="007215F6"/>
    <w:rsid w:val="00721BAA"/>
    <w:rsid w:val="00745968"/>
    <w:rsid w:val="00747A3E"/>
    <w:rsid w:val="007730C9"/>
    <w:rsid w:val="00775150"/>
    <w:rsid w:val="00776B48"/>
    <w:rsid w:val="0078099D"/>
    <w:rsid w:val="00787DE8"/>
    <w:rsid w:val="007942D8"/>
    <w:rsid w:val="00794983"/>
    <w:rsid w:val="00796ED7"/>
    <w:rsid w:val="007A7740"/>
    <w:rsid w:val="007B4F1D"/>
    <w:rsid w:val="007C002A"/>
    <w:rsid w:val="007C024B"/>
    <w:rsid w:val="007D408A"/>
    <w:rsid w:val="007D4A5A"/>
    <w:rsid w:val="007D6B20"/>
    <w:rsid w:val="007E0673"/>
    <w:rsid w:val="007E32FC"/>
    <w:rsid w:val="007F01A2"/>
    <w:rsid w:val="007F0378"/>
    <w:rsid w:val="007F2ABC"/>
    <w:rsid w:val="007F7FEC"/>
    <w:rsid w:val="0081027D"/>
    <w:rsid w:val="00817B3D"/>
    <w:rsid w:val="00822299"/>
    <w:rsid w:val="008270D5"/>
    <w:rsid w:val="008279A7"/>
    <w:rsid w:val="00831B7F"/>
    <w:rsid w:val="0085250F"/>
    <w:rsid w:val="008525D6"/>
    <w:rsid w:val="0085388E"/>
    <w:rsid w:val="00856F5E"/>
    <w:rsid w:val="008604D1"/>
    <w:rsid w:val="008659E9"/>
    <w:rsid w:val="0087095D"/>
    <w:rsid w:val="00871835"/>
    <w:rsid w:val="00871F12"/>
    <w:rsid w:val="00875420"/>
    <w:rsid w:val="00876184"/>
    <w:rsid w:val="00880A50"/>
    <w:rsid w:val="00884732"/>
    <w:rsid w:val="0089007C"/>
    <w:rsid w:val="008928AE"/>
    <w:rsid w:val="00893092"/>
    <w:rsid w:val="00894583"/>
    <w:rsid w:val="008A4C9B"/>
    <w:rsid w:val="008B08C5"/>
    <w:rsid w:val="008B6384"/>
    <w:rsid w:val="008B6557"/>
    <w:rsid w:val="008B74A7"/>
    <w:rsid w:val="008C02C2"/>
    <w:rsid w:val="008C1CB3"/>
    <w:rsid w:val="008C7F21"/>
    <w:rsid w:val="008D1795"/>
    <w:rsid w:val="008D4357"/>
    <w:rsid w:val="008D565D"/>
    <w:rsid w:val="008D6357"/>
    <w:rsid w:val="008E5EA1"/>
    <w:rsid w:val="008E6AB7"/>
    <w:rsid w:val="008F13C0"/>
    <w:rsid w:val="008F38EE"/>
    <w:rsid w:val="009001CB"/>
    <w:rsid w:val="009004F6"/>
    <w:rsid w:val="009077A0"/>
    <w:rsid w:val="009113DE"/>
    <w:rsid w:val="00913121"/>
    <w:rsid w:val="009171D5"/>
    <w:rsid w:val="00917709"/>
    <w:rsid w:val="00917C84"/>
    <w:rsid w:val="009220F2"/>
    <w:rsid w:val="009227C1"/>
    <w:rsid w:val="00923EDB"/>
    <w:rsid w:val="00925D9A"/>
    <w:rsid w:val="00926978"/>
    <w:rsid w:val="00932BD9"/>
    <w:rsid w:val="0094670F"/>
    <w:rsid w:val="009479D0"/>
    <w:rsid w:val="00961BA9"/>
    <w:rsid w:val="00967923"/>
    <w:rsid w:val="009701D2"/>
    <w:rsid w:val="00970774"/>
    <w:rsid w:val="00972FAE"/>
    <w:rsid w:val="0097462A"/>
    <w:rsid w:val="00986292"/>
    <w:rsid w:val="00987779"/>
    <w:rsid w:val="009A2AA5"/>
    <w:rsid w:val="009A63FB"/>
    <w:rsid w:val="009B55D4"/>
    <w:rsid w:val="009B787A"/>
    <w:rsid w:val="009B7A49"/>
    <w:rsid w:val="009B7AD9"/>
    <w:rsid w:val="009C387D"/>
    <w:rsid w:val="009C571F"/>
    <w:rsid w:val="009D0461"/>
    <w:rsid w:val="009D4188"/>
    <w:rsid w:val="009D4EFC"/>
    <w:rsid w:val="009D7FA3"/>
    <w:rsid w:val="009E216D"/>
    <w:rsid w:val="009E6283"/>
    <w:rsid w:val="009E63CA"/>
    <w:rsid w:val="009F34CB"/>
    <w:rsid w:val="009F7460"/>
    <w:rsid w:val="00A03E44"/>
    <w:rsid w:val="00A075A8"/>
    <w:rsid w:val="00A10A7B"/>
    <w:rsid w:val="00A15F6A"/>
    <w:rsid w:val="00A311C2"/>
    <w:rsid w:val="00A32233"/>
    <w:rsid w:val="00A36A24"/>
    <w:rsid w:val="00A376FB"/>
    <w:rsid w:val="00A45306"/>
    <w:rsid w:val="00A45D73"/>
    <w:rsid w:val="00A62F8C"/>
    <w:rsid w:val="00A64725"/>
    <w:rsid w:val="00A6666A"/>
    <w:rsid w:val="00A73490"/>
    <w:rsid w:val="00A819B6"/>
    <w:rsid w:val="00A91C8B"/>
    <w:rsid w:val="00A95824"/>
    <w:rsid w:val="00AB2EDC"/>
    <w:rsid w:val="00AB47F4"/>
    <w:rsid w:val="00AC136E"/>
    <w:rsid w:val="00AC1F6A"/>
    <w:rsid w:val="00AC413D"/>
    <w:rsid w:val="00AD3A9D"/>
    <w:rsid w:val="00AD79D3"/>
    <w:rsid w:val="00AE5434"/>
    <w:rsid w:val="00AE6DBF"/>
    <w:rsid w:val="00AE75DB"/>
    <w:rsid w:val="00B0092D"/>
    <w:rsid w:val="00B01C60"/>
    <w:rsid w:val="00B01D22"/>
    <w:rsid w:val="00B03A00"/>
    <w:rsid w:val="00B0445D"/>
    <w:rsid w:val="00B0447C"/>
    <w:rsid w:val="00B05E53"/>
    <w:rsid w:val="00B072AA"/>
    <w:rsid w:val="00B10650"/>
    <w:rsid w:val="00B10E08"/>
    <w:rsid w:val="00B11436"/>
    <w:rsid w:val="00B12341"/>
    <w:rsid w:val="00B25D19"/>
    <w:rsid w:val="00B359D9"/>
    <w:rsid w:val="00B35BC7"/>
    <w:rsid w:val="00B40B8B"/>
    <w:rsid w:val="00B4404D"/>
    <w:rsid w:val="00B50993"/>
    <w:rsid w:val="00B63168"/>
    <w:rsid w:val="00B63E9B"/>
    <w:rsid w:val="00B64963"/>
    <w:rsid w:val="00B70085"/>
    <w:rsid w:val="00B7099F"/>
    <w:rsid w:val="00B71873"/>
    <w:rsid w:val="00B72A5D"/>
    <w:rsid w:val="00B736B7"/>
    <w:rsid w:val="00B73C45"/>
    <w:rsid w:val="00B82E01"/>
    <w:rsid w:val="00B84DD7"/>
    <w:rsid w:val="00B91811"/>
    <w:rsid w:val="00B94460"/>
    <w:rsid w:val="00B9561A"/>
    <w:rsid w:val="00BA437F"/>
    <w:rsid w:val="00BA5C29"/>
    <w:rsid w:val="00BB6C9A"/>
    <w:rsid w:val="00BC0594"/>
    <w:rsid w:val="00BC11FC"/>
    <w:rsid w:val="00BC1F54"/>
    <w:rsid w:val="00BC4C9D"/>
    <w:rsid w:val="00BC54FC"/>
    <w:rsid w:val="00BD2118"/>
    <w:rsid w:val="00BD5092"/>
    <w:rsid w:val="00BD5997"/>
    <w:rsid w:val="00BE6F50"/>
    <w:rsid w:val="00BF1BA3"/>
    <w:rsid w:val="00BF588D"/>
    <w:rsid w:val="00C03447"/>
    <w:rsid w:val="00C07EF5"/>
    <w:rsid w:val="00C128FE"/>
    <w:rsid w:val="00C13304"/>
    <w:rsid w:val="00C1777A"/>
    <w:rsid w:val="00C212E3"/>
    <w:rsid w:val="00C22FAE"/>
    <w:rsid w:val="00C24C44"/>
    <w:rsid w:val="00C26B0C"/>
    <w:rsid w:val="00C30F18"/>
    <w:rsid w:val="00C331D1"/>
    <w:rsid w:val="00C35958"/>
    <w:rsid w:val="00C372A8"/>
    <w:rsid w:val="00C375FF"/>
    <w:rsid w:val="00C40848"/>
    <w:rsid w:val="00C50E47"/>
    <w:rsid w:val="00C562AA"/>
    <w:rsid w:val="00C574F4"/>
    <w:rsid w:val="00C747C6"/>
    <w:rsid w:val="00C756C3"/>
    <w:rsid w:val="00C80F66"/>
    <w:rsid w:val="00C84AE8"/>
    <w:rsid w:val="00C85D1B"/>
    <w:rsid w:val="00C96DDA"/>
    <w:rsid w:val="00CA7F1F"/>
    <w:rsid w:val="00CB5D3E"/>
    <w:rsid w:val="00CC4C46"/>
    <w:rsid w:val="00CC6AAB"/>
    <w:rsid w:val="00CC77FF"/>
    <w:rsid w:val="00CC7CF5"/>
    <w:rsid w:val="00CE3C5A"/>
    <w:rsid w:val="00CE59C6"/>
    <w:rsid w:val="00CE7586"/>
    <w:rsid w:val="00D03659"/>
    <w:rsid w:val="00D03EDF"/>
    <w:rsid w:val="00D10DC0"/>
    <w:rsid w:val="00D11555"/>
    <w:rsid w:val="00D13D6D"/>
    <w:rsid w:val="00D20C74"/>
    <w:rsid w:val="00D24FD7"/>
    <w:rsid w:val="00D25647"/>
    <w:rsid w:val="00D348C5"/>
    <w:rsid w:val="00D34FE4"/>
    <w:rsid w:val="00D377A7"/>
    <w:rsid w:val="00D44C95"/>
    <w:rsid w:val="00D452A7"/>
    <w:rsid w:val="00D4584F"/>
    <w:rsid w:val="00D54725"/>
    <w:rsid w:val="00D559FF"/>
    <w:rsid w:val="00D62B8C"/>
    <w:rsid w:val="00D63276"/>
    <w:rsid w:val="00D66F39"/>
    <w:rsid w:val="00D84B36"/>
    <w:rsid w:val="00D85853"/>
    <w:rsid w:val="00D936A0"/>
    <w:rsid w:val="00D97162"/>
    <w:rsid w:val="00D97CE9"/>
    <w:rsid w:val="00DA36E7"/>
    <w:rsid w:val="00DA4FC7"/>
    <w:rsid w:val="00DA550D"/>
    <w:rsid w:val="00DA7017"/>
    <w:rsid w:val="00DB13DD"/>
    <w:rsid w:val="00DB1B31"/>
    <w:rsid w:val="00DB1C27"/>
    <w:rsid w:val="00DB38EE"/>
    <w:rsid w:val="00DB7973"/>
    <w:rsid w:val="00DC13AB"/>
    <w:rsid w:val="00DC5EF2"/>
    <w:rsid w:val="00DC7EF7"/>
    <w:rsid w:val="00DD6B5E"/>
    <w:rsid w:val="00DD6BD4"/>
    <w:rsid w:val="00DE5E58"/>
    <w:rsid w:val="00DE7B46"/>
    <w:rsid w:val="00E0162C"/>
    <w:rsid w:val="00E11487"/>
    <w:rsid w:val="00E14ACC"/>
    <w:rsid w:val="00E15A8C"/>
    <w:rsid w:val="00E4144C"/>
    <w:rsid w:val="00E44F84"/>
    <w:rsid w:val="00E463C6"/>
    <w:rsid w:val="00E53121"/>
    <w:rsid w:val="00E5318E"/>
    <w:rsid w:val="00E53532"/>
    <w:rsid w:val="00E6034D"/>
    <w:rsid w:val="00E71967"/>
    <w:rsid w:val="00E754B1"/>
    <w:rsid w:val="00E801B5"/>
    <w:rsid w:val="00E905E8"/>
    <w:rsid w:val="00E93F56"/>
    <w:rsid w:val="00E952D9"/>
    <w:rsid w:val="00E96773"/>
    <w:rsid w:val="00E97CB9"/>
    <w:rsid w:val="00EB27E9"/>
    <w:rsid w:val="00EB37C9"/>
    <w:rsid w:val="00EC134E"/>
    <w:rsid w:val="00ED0445"/>
    <w:rsid w:val="00ED3C3B"/>
    <w:rsid w:val="00EE48C3"/>
    <w:rsid w:val="00EF199D"/>
    <w:rsid w:val="00EF4E12"/>
    <w:rsid w:val="00EF5326"/>
    <w:rsid w:val="00EF65F3"/>
    <w:rsid w:val="00F01510"/>
    <w:rsid w:val="00F02A6D"/>
    <w:rsid w:val="00F0424C"/>
    <w:rsid w:val="00F10495"/>
    <w:rsid w:val="00F10DA8"/>
    <w:rsid w:val="00F1168A"/>
    <w:rsid w:val="00F12A10"/>
    <w:rsid w:val="00F2391C"/>
    <w:rsid w:val="00F31E30"/>
    <w:rsid w:val="00F3326F"/>
    <w:rsid w:val="00F34781"/>
    <w:rsid w:val="00F41A5D"/>
    <w:rsid w:val="00F470A2"/>
    <w:rsid w:val="00F51F93"/>
    <w:rsid w:val="00F552E5"/>
    <w:rsid w:val="00F56AA8"/>
    <w:rsid w:val="00F67C91"/>
    <w:rsid w:val="00F723F9"/>
    <w:rsid w:val="00F82315"/>
    <w:rsid w:val="00F83D3C"/>
    <w:rsid w:val="00F840D6"/>
    <w:rsid w:val="00F8691C"/>
    <w:rsid w:val="00F900BE"/>
    <w:rsid w:val="00F97392"/>
    <w:rsid w:val="00F97DF6"/>
    <w:rsid w:val="00FA4EEC"/>
    <w:rsid w:val="00FB335B"/>
    <w:rsid w:val="00FB4EAA"/>
    <w:rsid w:val="00FC5512"/>
    <w:rsid w:val="00FC6366"/>
    <w:rsid w:val="00FD0CD9"/>
    <w:rsid w:val="00FD4970"/>
    <w:rsid w:val="00FD6927"/>
    <w:rsid w:val="00FE02D9"/>
    <w:rsid w:val="00FE14F9"/>
    <w:rsid w:val="00FF2EFF"/>
    <w:rsid w:val="00FF4843"/>
    <w:rsid w:val="00FF5EEA"/>
    <w:rsid w:val="024E68F9"/>
    <w:rsid w:val="0250441F"/>
    <w:rsid w:val="02FE5AC7"/>
    <w:rsid w:val="03EC63C9"/>
    <w:rsid w:val="041651F4"/>
    <w:rsid w:val="04637662"/>
    <w:rsid w:val="04CF627B"/>
    <w:rsid w:val="058F7720"/>
    <w:rsid w:val="06447858"/>
    <w:rsid w:val="068F3629"/>
    <w:rsid w:val="0696261C"/>
    <w:rsid w:val="06A75D00"/>
    <w:rsid w:val="07182CD3"/>
    <w:rsid w:val="076F17EB"/>
    <w:rsid w:val="07894344"/>
    <w:rsid w:val="079B6617"/>
    <w:rsid w:val="07A829A7"/>
    <w:rsid w:val="08623DEB"/>
    <w:rsid w:val="0865499C"/>
    <w:rsid w:val="091776A5"/>
    <w:rsid w:val="091E7F58"/>
    <w:rsid w:val="09914565"/>
    <w:rsid w:val="09D21BBD"/>
    <w:rsid w:val="0AC534D0"/>
    <w:rsid w:val="0B2B5A29"/>
    <w:rsid w:val="0B381EF4"/>
    <w:rsid w:val="0BBC48D3"/>
    <w:rsid w:val="0C7C092D"/>
    <w:rsid w:val="0CB40F86"/>
    <w:rsid w:val="0CD0550C"/>
    <w:rsid w:val="0CF103CF"/>
    <w:rsid w:val="0DC772CA"/>
    <w:rsid w:val="0DD95C10"/>
    <w:rsid w:val="0E9225A3"/>
    <w:rsid w:val="0EAC0DAA"/>
    <w:rsid w:val="0EAC63BD"/>
    <w:rsid w:val="0F241091"/>
    <w:rsid w:val="0F721927"/>
    <w:rsid w:val="0FC15468"/>
    <w:rsid w:val="106F0166"/>
    <w:rsid w:val="10D138C1"/>
    <w:rsid w:val="10FF7010"/>
    <w:rsid w:val="123A3264"/>
    <w:rsid w:val="12722D9F"/>
    <w:rsid w:val="12A331E2"/>
    <w:rsid w:val="12D6271E"/>
    <w:rsid w:val="130F4A87"/>
    <w:rsid w:val="132C233E"/>
    <w:rsid w:val="1347149A"/>
    <w:rsid w:val="138F2A4C"/>
    <w:rsid w:val="13B9206C"/>
    <w:rsid w:val="14E20332"/>
    <w:rsid w:val="154E2462"/>
    <w:rsid w:val="167069E6"/>
    <w:rsid w:val="18611701"/>
    <w:rsid w:val="18B562BD"/>
    <w:rsid w:val="19017DC9"/>
    <w:rsid w:val="190873AA"/>
    <w:rsid w:val="19397AAF"/>
    <w:rsid w:val="193B694A"/>
    <w:rsid w:val="193F7E0B"/>
    <w:rsid w:val="19562772"/>
    <w:rsid w:val="19650456"/>
    <w:rsid w:val="19831126"/>
    <w:rsid w:val="1A996FE7"/>
    <w:rsid w:val="1AB865A1"/>
    <w:rsid w:val="1AE479A2"/>
    <w:rsid w:val="1B0940FF"/>
    <w:rsid w:val="1B1F6729"/>
    <w:rsid w:val="1B5A216D"/>
    <w:rsid w:val="1B973779"/>
    <w:rsid w:val="1C393D1E"/>
    <w:rsid w:val="1C6174E0"/>
    <w:rsid w:val="1D6848BB"/>
    <w:rsid w:val="1D7B395F"/>
    <w:rsid w:val="1D8D43A1"/>
    <w:rsid w:val="1DAE4F95"/>
    <w:rsid w:val="1DF7063D"/>
    <w:rsid w:val="1E2471AC"/>
    <w:rsid w:val="1E3B5B2B"/>
    <w:rsid w:val="1EAA2CB1"/>
    <w:rsid w:val="1F096428"/>
    <w:rsid w:val="1FB21E1D"/>
    <w:rsid w:val="1FF1689E"/>
    <w:rsid w:val="203C5B8B"/>
    <w:rsid w:val="205C4E1A"/>
    <w:rsid w:val="207A1985"/>
    <w:rsid w:val="2080133E"/>
    <w:rsid w:val="20B11AFB"/>
    <w:rsid w:val="20C279F7"/>
    <w:rsid w:val="20C31E08"/>
    <w:rsid w:val="211508B6"/>
    <w:rsid w:val="21375273"/>
    <w:rsid w:val="21B96FAA"/>
    <w:rsid w:val="21E14C3C"/>
    <w:rsid w:val="21E23C77"/>
    <w:rsid w:val="227A18F6"/>
    <w:rsid w:val="22850A36"/>
    <w:rsid w:val="239633BA"/>
    <w:rsid w:val="23BC326A"/>
    <w:rsid w:val="23C102FE"/>
    <w:rsid w:val="240370EB"/>
    <w:rsid w:val="24C745BD"/>
    <w:rsid w:val="24F45147"/>
    <w:rsid w:val="2500362B"/>
    <w:rsid w:val="252C01BD"/>
    <w:rsid w:val="25BC1C48"/>
    <w:rsid w:val="26A526DC"/>
    <w:rsid w:val="272950BB"/>
    <w:rsid w:val="276D7F6F"/>
    <w:rsid w:val="28177609"/>
    <w:rsid w:val="286E02B3"/>
    <w:rsid w:val="28704DBD"/>
    <w:rsid w:val="28B11B80"/>
    <w:rsid w:val="28CD7B64"/>
    <w:rsid w:val="28DA73F5"/>
    <w:rsid w:val="2900444B"/>
    <w:rsid w:val="29205F1D"/>
    <w:rsid w:val="2936671F"/>
    <w:rsid w:val="2947094F"/>
    <w:rsid w:val="298C6D5A"/>
    <w:rsid w:val="29A452B1"/>
    <w:rsid w:val="29C55A1E"/>
    <w:rsid w:val="29C95FE8"/>
    <w:rsid w:val="2A355B25"/>
    <w:rsid w:val="2A6E1037"/>
    <w:rsid w:val="2C300C99"/>
    <w:rsid w:val="2C483A6C"/>
    <w:rsid w:val="2C5E3D90"/>
    <w:rsid w:val="2C5F157F"/>
    <w:rsid w:val="2C6F395B"/>
    <w:rsid w:val="2C85114F"/>
    <w:rsid w:val="2C9E00E8"/>
    <w:rsid w:val="2CF202C8"/>
    <w:rsid w:val="2CFC2BFE"/>
    <w:rsid w:val="2D7A3E39"/>
    <w:rsid w:val="2D960361"/>
    <w:rsid w:val="2DB11966"/>
    <w:rsid w:val="2DD71A54"/>
    <w:rsid w:val="2E0B257D"/>
    <w:rsid w:val="2F4F7689"/>
    <w:rsid w:val="2F6A0915"/>
    <w:rsid w:val="305D242A"/>
    <w:rsid w:val="314D028A"/>
    <w:rsid w:val="3191399B"/>
    <w:rsid w:val="31B3278A"/>
    <w:rsid w:val="3226381F"/>
    <w:rsid w:val="332C1696"/>
    <w:rsid w:val="33332E1D"/>
    <w:rsid w:val="338D69D1"/>
    <w:rsid w:val="33DB598F"/>
    <w:rsid w:val="343D57A7"/>
    <w:rsid w:val="34790F79"/>
    <w:rsid w:val="3489363D"/>
    <w:rsid w:val="352073D1"/>
    <w:rsid w:val="355530AA"/>
    <w:rsid w:val="355534E3"/>
    <w:rsid w:val="362221D1"/>
    <w:rsid w:val="364631D7"/>
    <w:rsid w:val="36672A7B"/>
    <w:rsid w:val="36703B69"/>
    <w:rsid w:val="368928C2"/>
    <w:rsid w:val="377F4482"/>
    <w:rsid w:val="386E4B3B"/>
    <w:rsid w:val="3882786B"/>
    <w:rsid w:val="38E24A78"/>
    <w:rsid w:val="38E452E6"/>
    <w:rsid w:val="38EB56F8"/>
    <w:rsid w:val="393C6ED0"/>
    <w:rsid w:val="39475E40"/>
    <w:rsid w:val="397A6507"/>
    <w:rsid w:val="39E41315"/>
    <w:rsid w:val="3AA800F8"/>
    <w:rsid w:val="3AF7708F"/>
    <w:rsid w:val="3B1F29B6"/>
    <w:rsid w:val="3B664D8A"/>
    <w:rsid w:val="3B6A4290"/>
    <w:rsid w:val="3B8B3748"/>
    <w:rsid w:val="3B8E088C"/>
    <w:rsid w:val="3B9971A7"/>
    <w:rsid w:val="3C337A30"/>
    <w:rsid w:val="3C9A3306"/>
    <w:rsid w:val="3CB74ABF"/>
    <w:rsid w:val="3CBA010B"/>
    <w:rsid w:val="3D1B504E"/>
    <w:rsid w:val="3DBA6422"/>
    <w:rsid w:val="3DE329CA"/>
    <w:rsid w:val="3E0E6961"/>
    <w:rsid w:val="3EA307B8"/>
    <w:rsid w:val="3F5B255F"/>
    <w:rsid w:val="3F7C2206"/>
    <w:rsid w:val="3FA82A06"/>
    <w:rsid w:val="40337FBA"/>
    <w:rsid w:val="4034572C"/>
    <w:rsid w:val="40BB32ED"/>
    <w:rsid w:val="410271DD"/>
    <w:rsid w:val="41055DF9"/>
    <w:rsid w:val="411C3A6B"/>
    <w:rsid w:val="413D3E30"/>
    <w:rsid w:val="416845DA"/>
    <w:rsid w:val="4199111F"/>
    <w:rsid w:val="41C51A2C"/>
    <w:rsid w:val="42443C11"/>
    <w:rsid w:val="42F53803"/>
    <w:rsid w:val="43533A05"/>
    <w:rsid w:val="43B50E83"/>
    <w:rsid w:val="43E81BAE"/>
    <w:rsid w:val="44027DCD"/>
    <w:rsid w:val="4416567B"/>
    <w:rsid w:val="44373EE2"/>
    <w:rsid w:val="44A02DC8"/>
    <w:rsid w:val="44E4041B"/>
    <w:rsid w:val="45181A63"/>
    <w:rsid w:val="452226EA"/>
    <w:rsid w:val="45350C77"/>
    <w:rsid w:val="45413006"/>
    <w:rsid w:val="45637592"/>
    <w:rsid w:val="45E30566"/>
    <w:rsid w:val="46827EEC"/>
    <w:rsid w:val="46E57892"/>
    <w:rsid w:val="47EB068E"/>
    <w:rsid w:val="4812253D"/>
    <w:rsid w:val="48DF421C"/>
    <w:rsid w:val="48F30C2D"/>
    <w:rsid w:val="491D3EFC"/>
    <w:rsid w:val="49677566"/>
    <w:rsid w:val="49767244"/>
    <w:rsid w:val="49D071C0"/>
    <w:rsid w:val="4A4308D9"/>
    <w:rsid w:val="4BF70A34"/>
    <w:rsid w:val="4BF74ED8"/>
    <w:rsid w:val="4C107D48"/>
    <w:rsid w:val="4C912C37"/>
    <w:rsid w:val="4D01672A"/>
    <w:rsid w:val="4D07114B"/>
    <w:rsid w:val="4D5D0D6B"/>
    <w:rsid w:val="4E437F61"/>
    <w:rsid w:val="4E86306A"/>
    <w:rsid w:val="4F076310"/>
    <w:rsid w:val="4F0A4599"/>
    <w:rsid w:val="4F542CEF"/>
    <w:rsid w:val="4F722D41"/>
    <w:rsid w:val="4FC83A29"/>
    <w:rsid w:val="4FCD1AFA"/>
    <w:rsid w:val="4FF129BB"/>
    <w:rsid w:val="505C7A00"/>
    <w:rsid w:val="506A76DE"/>
    <w:rsid w:val="508F34F0"/>
    <w:rsid w:val="51024103"/>
    <w:rsid w:val="516E106E"/>
    <w:rsid w:val="517257E8"/>
    <w:rsid w:val="51AE7211"/>
    <w:rsid w:val="5233158F"/>
    <w:rsid w:val="5257047F"/>
    <w:rsid w:val="526B3F2A"/>
    <w:rsid w:val="52B96A43"/>
    <w:rsid w:val="52F80915"/>
    <w:rsid w:val="53633425"/>
    <w:rsid w:val="53794425"/>
    <w:rsid w:val="53F210E7"/>
    <w:rsid w:val="54221D2C"/>
    <w:rsid w:val="54401085"/>
    <w:rsid w:val="54C47921"/>
    <w:rsid w:val="552533B3"/>
    <w:rsid w:val="55290B71"/>
    <w:rsid w:val="556F1EDE"/>
    <w:rsid w:val="55C41D5B"/>
    <w:rsid w:val="560E146A"/>
    <w:rsid w:val="567D5C59"/>
    <w:rsid w:val="568802DB"/>
    <w:rsid w:val="56B37004"/>
    <w:rsid w:val="56D6358C"/>
    <w:rsid w:val="56F945D5"/>
    <w:rsid w:val="57325016"/>
    <w:rsid w:val="57385F05"/>
    <w:rsid w:val="576D66F1"/>
    <w:rsid w:val="582B2191"/>
    <w:rsid w:val="583059FA"/>
    <w:rsid w:val="585A57E2"/>
    <w:rsid w:val="58BC1A68"/>
    <w:rsid w:val="59536EAF"/>
    <w:rsid w:val="59633BAD"/>
    <w:rsid w:val="59653481"/>
    <w:rsid w:val="59741916"/>
    <w:rsid w:val="59CB5746"/>
    <w:rsid w:val="5A096502"/>
    <w:rsid w:val="5A1522A3"/>
    <w:rsid w:val="5A355549"/>
    <w:rsid w:val="5A985AD8"/>
    <w:rsid w:val="5AE049A6"/>
    <w:rsid w:val="5B555EB2"/>
    <w:rsid w:val="5B5771CA"/>
    <w:rsid w:val="5BE12FA3"/>
    <w:rsid w:val="5BE74621"/>
    <w:rsid w:val="5C0935A4"/>
    <w:rsid w:val="5C0F7D9A"/>
    <w:rsid w:val="5C51380A"/>
    <w:rsid w:val="5CA02A8F"/>
    <w:rsid w:val="5D123920"/>
    <w:rsid w:val="5D3031BF"/>
    <w:rsid w:val="5D637A40"/>
    <w:rsid w:val="5D6E241A"/>
    <w:rsid w:val="5D8866EC"/>
    <w:rsid w:val="5DFE672F"/>
    <w:rsid w:val="5E9A42CD"/>
    <w:rsid w:val="5EBD49DD"/>
    <w:rsid w:val="5EBF421E"/>
    <w:rsid w:val="5F2071D7"/>
    <w:rsid w:val="5F3E6C4E"/>
    <w:rsid w:val="5F5279AD"/>
    <w:rsid w:val="5F59643E"/>
    <w:rsid w:val="5F5F6BC4"/>
    <w:rsid w:val="5F750ADC"/>
    <w:rsid w:val="5FF94923"/>
    <w:rsid w:val="60A305BA"/>
    <w:rsid w:val="60D20963"/>
    <w:rsid w:val="61354081"/>
    <w:rsid w:val="61B06EB5"/>
    <w:rsid w:val="62A31E55"/>
    <w:rsid w:val="62B13874"/>
    <w:rsid w:val="63672753"/>
    <w:rsid w:val="63EF49BB"/>
    <w:rsid w:val="63FD604F"/>
    <w:rsid w:val="645608DD"/>
    <w:rsid w:val="645779AB"/>
    <w:rsid w:val="6523712A"/>
    <w:rsid w:val="654B3E73"/>
    <w:rsid w:val="65932297"/>
    <w:rsid w:val="65E62E7A"/>
    <w:rsid w:val="65EC0A86"/>
    <w:rsid w:val="663F32AC"/>
    <w:rsid w:val="665C5C0C"/>
    <w:rsid w:val="665F74AA"/>
    <w:rsid w:val="6794739E"/>
    <w:rsid w:val="67BB5990"/>
    <w:rsid w:val="6803153A"/>
    <w:rsid w:val="68060525"/>
    <w:rsid w:val="6864524C"/>
    <w:rsid w:val="68AE19C8"/>
    <w:rsid w:val="68D67EF7"/>
    <w:rsid w:val="6A062168"/>
    <w:rsid w:val="6A22716C"/>
    <w:rsid w:val="6A33039E"/>
    <w:rsid w:val="6A677D3D"/>
    <w:rsid w:val="6A6D488B"/>
    <w:rsid w:val="6A8219B9"/>
    <w:rsid w:val="6AA656A7"/>
    <w:rsid w:val="6AAD178D"/>
    <w:rsid w:val="6AE606B8"/>
    <w:rsid w:val="6AE83F12"/>
    <w:rsid w:val="6B853457"/>
    <w:rsid w:val="6BCB2E78"/>
    <w:rsid w:val="6C280AEA"/>
    <w:rsid w:val="6CC649E7"/>
    <w:rsid w:val="6CE40709"/>
    <w:rsid w:val="6CED3A62"/>
    <w:rsid w:val="6D371FD1"/>
    <w:rsid w:val="6D970DCA"/>
    <w:rsid w:val="6D9F604C"/>
    <w:rsid w:val="6DF3710C"/>
    <w:rsid w:val="6E672517"/>
    <w:rsid w:val="6E9A19C7"/>
    <w:rsid w:val="6EAB3BD4"/>
    <w:rsid w:val="6EE90259"/>
    <w:rsid w:val="6EEE5F57"/>
    <w:rsid w:val="6F1E0908"/>
    <w:rsid w:val="6F3B4F58"/>
    <w:rsid w:val="6F5F71DE"/>
    <w:rsid w:val="6F6F261D"/>
    <w:rsid w:val="6FE74798"/>
    <w:rsid w:val="719B7311"/>
    <w:rsid w:val="71DC3BCF"/>
    <w:rsid w:val="72A03F09"/>
    <w:rsid w:val="72C52DE4"/>
    <w:rsid w:val="738549F4"/>
    <w:rsid w:val="73D9089C"/>
    <w:rsid w:val="74111B80"/>
    <w:rsid w:val="743D7CF2"/>
    <w:rsid w:val="7503531D"/>
    <w:rsid w:val="75786D3D"/>
    <w:rsid w:val="76124539"/>
    <w:rsid w:val="76263B40"/>
    <w:rsid w:val="762F7565"/>
    <w:rsid w:val="765B79F0"/>
    <w:rsid w:val="77422BFC"/>
    <w:rsid w:val="77662180"/>
    <w:rsid w:val="77803CE6"/>
    <w:rsid w:val="77A94B1B"/>
    <w:rsid w:val="77C22748"/>
    <w:rsid w:val="781C3A7C"/>
    <w:rsid w:val="7820118F"/>
    <w:rsid w:val="78871CF9"/>
    <w:rsid w:val="78A70F68"/>
    <w:rsid w:val="78BE2756"/>
    <w:rsid w:val="78EC2E1F"/>
    <w:rsid w:val="78EC6FBD"/>
    <w:rsid w:val="79D3247C"/>
    <w:rsid w:val="7A1173D2"/>
    <w:rsid w:val="7A3D2852"/>
    <w:rsid w:val="7A7C27E3"/>
    <w:rsid w:val="7BA22C1C"/>
    <w:rsid w:val="7C6C2EB0"/>
    <w:rsid w:val="7CC2481A"/>
    <w:rsid w:val="7CF60E01"/>
    <w:rsid w:val="7D6457E7"/>
    <w:rsid w:val="7DC73E5B"/>
    <w:rsid w:val="7DE247F1"/>
    <w:rsid w:val="7E350DC4"/>
    <w:rsid w:val="7E480426"/>
    <w:rsid w:val="7E536050"/>
    <w:rsid w:val="7E6B6EDC"/>
    <w:rsid w:val="7EDA196C"/>
    <w:rsid w:val="7EDD72DB"/>
    <w:rsid w:val="7F4100F9"/>
    <w:rsid w:val="7FA313D0"/>
    <w:rsid w:val="7FFA2E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50"/>
    <w:autoRedefine/>
    <w:qFormat/>
    <w:uiPriority w:val="9"/>
    <w:pPr>
      <w:autoSpaceDE w:val="0"/>
      <w:autoSpaceDN w:val="0"/>
      <w:adjustRightInd w:val="0"/>
      <w:jc w:val="left"/>
      <w:outlineLvl w:val="0"/>
    </w:pPr>
    <w:rPr>
      <w:rFonts w:ascii="宋体" w:hAnsi="Calibri" w:eastAsia="宋体" w:cs="Times New Roman"/>
      <w:kern w:val="0"/>
      <w:sz w:val="24"/>
      <w:szCs w:val="24"/>
    </w:rPr>
  </w:style>
  <w:style w:type="paragraph" w:styleId="4">
    <w:name w:val="heading 2"/>
    <w:basedOn w:val="1"/>
    <w:next w:val="1"/>
    <w:link w:val="48"/>
    <w:qFormat/>
    <w:uiPriority w:val="0"/>
    <w:pPr>
      <w:autoSpaceDE w:val="0"/>
      <w:autoSpaceDN w:val="0"/>
      <w:adjustRightInd w:val="0"/>
      <w:jc w:val="left"/>
      <w:outlineLvl w:val="1"/>
    </w:pPr>
    <w:rPr>
      <w:rFonts w:ascii="宋体" w:hAnsi="Calibri" w:eastAsia="宋体" w:cs="Times New Roman"/>
      <w:kern w:val="0"/>
      <w:sz w:val="24"/>
      <w:szCs w:val="24"/>
    </w:rPr>
  </w:style>
  <w:style w:type="paragraph" w:styleId="2">
    <w:name w:val="heading 3"/>
    <w:basedOn w:val="1"/>
    <w:next w:val="1"/>
    <w:link w:val="144"/>
    <w:qFormat/>
    <w:uiPriority w:val="0"/>
    <w:pPr>
      <w:autoSpaceDE w:val="0"/>
      <w:autoSpaceDN w:val="0"/>
      <w:adjustRightInd w:val="0"/>
      <w:jc w:val="left"/>
      <w:outlineLvl w:val="2"/>
    </w:pPr>
    <w:rPr>
      <w:rFonts w:ascii="宋体" w:hAnsi="Calibri" w:eastAsia="宋体" w:cs="Times New Roman"/>
      <w:kern w:val="0"/>
      <w:sz w:val="24"/>
      <w:szCs w:val="24"/>
    </w:rPr>
  </w:style>
  <w:style w:type="paragraph" w:styleId="5">
    <w:name w:val="heading 4"/>
    <w:basedOn w:val="1"/>
    <w:next w:val="1"/>
    <w:link w:val="50"/>
    <w:qFormat/>
    <w:uiPriority w:val="9"/>
    <w:pPr>
      <w:keepNext/>
      <w:keepLines/>
      <w:autoSpaceDE w:val="0"/>
      <w:autoSpaceDN w:val="0"/>
      <w:adjustRightInd w:val="0"/>
      <w:spacing w:before="280" w:after="290" w:line="376" w:lineRule="auto"/>
      <w:jc w:val="left"/>
      <w:outlineLvl w:val="3"/>
    </w:pPr>
    <w:rPr>
      <w:rFonts w:ascii="Arial" w:hAnsi="Arial" w:eastAsia="黑体" w:cs="Times New Roman"/>
      <w:b/>
      <w:bCs/>
      <w:kern w:val="0"/>
      <w:sz w:val="28"/>
      <w:szCs w:val="28"/>
    </w:rPr>
  </w:style>
  <w:style w:type="paragraph" w:styleId="6">
    <w:name w:val="heading 5"/>
    <w:basedOn w:val="1"/>
    <w:next w:val="1"/>
    <w:link w:val="132"/>
    <w:autoRedefine/>
    <w:qFormat/>
    <w:uiPriority w:val="9"/>
    <w:pPr>
      <w:keepNext/>
      <w:keepLines/>
      <w:autoSpaceDE w:val="0"/>
      <w:autoSpaceDN w:val="0"/>
      <w:adjustRightInd w:val="0"/>
      <w:spacing w:before="280" w:after="290" w:line="376" w:lineRule="auto"/>
      <w:jc w:val="left"/>
      <w:outlineLvl w:val="4"/>
    </w:pPr>
    <w:rPr>
      <w:rFonts w:ascii="宋体" w:hAnsi="Calibri" w:eastAsia="宋体" w:cs="Times New Roman"/>
      <w:b/>
      <w:bCs/>
      <w:kern w:val="0"/>
      <w:sz w:val="28"/>
      <w:szCs w:val="28"/>
    </w:rPr>
  </w:style>
  <w:style w:type="paragraph" w:styleId="7">
    <w:name w:val="heading 6"/>
    <w:basedOn w:val="1"/>
    <w:next w:val="8"/>
    <w:link w:val="142"/>
    <w:qFormat/>
    <w:uiPriority w:val="9"/>
    <w:pPr>
      <w:keepLines/>
      <w:tabs>
        <w:tab w:val="left" w:pos="1152"/>
      </w:tabs>
      <w:adjustRightInd w:val="0"/>
      <w:snapToGrid w:val="0"/>
      <w:spacing w:beforeLines="50" w:line="360" w:lineRule="auto"/>
      <w:ind w:left="1152" w:hanging="1152"/>
      <w:jc w:val="left"/>
      <w:textAlignment w:val="baseline"/>
      <w:outlineLvl w:val="5"/>
    </w:pPr>
    <w:rPr>
      <w:rFonts w:ascii="Times New Roman" w:hAnsi="Calibri" w:eastAsia="黑体" w:cs="Times New Roman"/>
      <w:b/>
      <w:bCs/>
      <w:kern w:val="0"/>
      <w:sz w:val="28"/>
      <w:szCs w:val="24"/>
    </w:rPr>
  </w:style>
  <w:style w:type="paragraph" w:styleId="9">
    <w:name w:val="heading 7"/>
    <w:basedOn w:val="1"/>
    <w:next w:val="8"/>
    <w:link w:val="53"/>
    <w:qFormat/>
    <w:uiPriority w:val="9"/>
    <w:pPr>
      <w:keepNext/>
      <w:keepLines/>
      <w:tabs>
        <w:tab w:val="left" w:pos="1296"/>
      </w:tabs>
      <w:adjustRightInd w:val="0"/>
      <w:snapToGrid w:val="0"/>
      <w:spacing w:before="240" w:after="120"/>
      <w:ind w:left="1296" w:hanging="1296"/>
      <w:textAlignment w:val="baseline"/>
      <w:outlineLvl w:val="6"/>
    </w:pPr>
    <w:rPr>
      <w:rFonts w:ascii="Times New Roman" w:hAnsi="Calibri" w:eastAsia="黑体" w:cs="Times New Roman"/>
      <w:b/>
      <w:bCs/>
      <w:kern w:val="0"/>
      <w:sz w:val="28"/>
      <w:szCs w:val="24"/>
    </w:rPr>
  </w:style>
  <w:style w:type="paragraph" w:styleId="10">
    <w:name w:val="heading 8"/>
    <w:basedOn w:val="1"/>
    <w:next w:val="8"/>
    <w:link w:val="54"/>
    <w:autoRedefine/>
    <w:qFormat/>
    <w:uiPriority w:val="9"/>
    <w:pPr>
      <w:keepNext/>
      <w:keepLines/>
      <w:tabs>
        <w:tab w:val="left" w:pos="1440"/>
      </w:tabs>
      <w:snapToGrid w:val="0"/>
      <w:spacing w:before="240" w:after="120"/>
      <w:ind w:left="1440" w:hanging="1440"/>
      <w:outlineLvl w:val="7"/>
    </w:pPr>
    <w:rPr>
      <w:rFonts w:ascii="Times New Roman" w:hAnsi="Calibri" w:eastAsia="黑体" w:cs="Times New Roman"/>
      <w:b/>
      <w:kern w:val="0"/>
      <w:sz w:val="28"/>
      <w:szCs w:val="24"/>
    </w:rPr>
  </w:style>
  <w:style w:type="paragraph" w:styleId="11">
    <w:name w:val="heading 9"/>
    <w:basedOn w:val="1"/>
    <w:next w:val="8"/>
    <w:link w:val="55"/>
    <w:autoRedefine/>
    <w:qFormat/>
    <w:uiPriority w:val="9"/>
    <w:pPr>
      <w:keepNext/>
      <w:keepLines/>
      <w:tabs>
        <w:tab w:val="left" w:pos="1584"/>
      </w:tabs>
      <w:snapToGrid w:val="0"/>
      <w:spacing w:before="240" w:after="120"/>
      <w:ind w:left="1584" w:hanging="1584"/>
      <w:outlineLvl w:val="8"/>
    </w:pPr>
    <w:rPr>
      <w:rFonts w:ascii="Times New Roman" w:hAnsi="Calibri" w:eastAsia="黑体" w:cs="Times New Roman"/>
      <w:b/>
      <w:kern w:val="0"/>
      <w:sz w:val="28"/>
      <w:szCs w:val="24"/>
    </w:rPr>
  </w:style>
  <w:style w:type="character" w:default="1" w:styleId="39">
    <w:name w:val="Default Paragraph Font"/>
    <w:autoRedefine/>
    <w:semiHidden/>
    <w:unhideWhenUsed/>
    <w:qFormat/>
    <w:uiPriority w:val="1"/>
  </w:style>
  <w:style w:type="table" w:default="1" w:styleId="37">
    <w:name w:val="Normal Table"/>
    <w:autoRedefine/>
    <w:semiHidden/>
    <w:unhideWhenUsed/>
    <w:qFormat/>
    <w:uiPriority w:val="99"/>
    <w:tblPr>
      <w:tblCellMar>
        <w:top w:w="0" w:type="dxa"/>
        <w:left w:w="108" w:type="dxa"/>
        <w:bottom w:w="0" w:type="dxa"/>
        <w:right w:w="108" w:type="dxa"/>
      </w:tblCellMar>
    </w:tblPr>
  </w:style>
  <w:style w:type="paragraph" w:customStyle="1" w:styleId="8">
    <w:name w:val="模板正文"/>
    <w:basedOn w:val="1"/>
    <w:link w:val="94"/>
    <w:autoRedefine/>
    <w:qFormat/>
    <w:uiPriority w:val="0"/>
    <w:pPr>
      <w:wordWrap w:val="0"/>
      <w:autoSpaceDE w:val="0"/>
      <w:autoSpaceDN w:val="0"/>
      <w:adjustRightInd w:val="0"/>
      <w:spacing w:beforeLines="50" w:line="360" w:lineRule="auto"/>
      <w:ind w:firstLine="200" w:firstLineChars="200"/>
      <w:jc w:val="left"/>
    </w:pPr>
    <w:rPr>
      <w:rFonts w:ascii="宋体" w:eastAsia="仿宋"/>
      <w:sz w:val="24"/>
      <w:szCs w:val="21"/>
    </w:rPr>
  </w:style>
  <w:style w:type="paragraph" w:styleId="12">
    <w:name w:val="Normal Indent"/>
    <w:basedOn w:val="1"/>
    <w:next w:val="1"/>
    <w:autoRedefine/>
    <w:qFormat/>
    <w:uiPriority w:val="0"/>
    <w:pPr>
      <w:widowControl/>
      <w:autoSpaceDE w:val="0"/>
      <w:autoSpaceDN w:val="0"/>
      <w:adjustRightInd w:val="0"/>
      <w:ind w:firstLine="420" w:firstLineChars="200"/>
      <w:jc w:val="left"/>
    </w:pPr>
    <w:rPr>
      <w:rFonts w:ascii="宋体" w:hAnsi="Calibri" w:eastAsia="宋体" w:cs="Times New Roman"/>
      <w:kern w:val="0"/>
      <w:sz w:val="20"/>
      <w:szCs w:val="20"/>
    </w:rPr>
  </w:style>
  <w:style w:type="paragraph" w:styleId="13">
    <w:name w:val="caption"/>
    <w:basedOn w:val="1"/>
    <w:next w:val="1"/>
    <w:link w:val="83"/>
    <w:autoRedefine/>
    <w:qFormat/>
    <w:uiPriority w:val="0"/>
    <w:pPr>
      <w:autoSpaceDE w:val="0"/>
      <w:autoSpaceDN w:val="0"/>
      <w:adjustRightInd w:val="0"/>
      <w:spacing w:before="152" w:after="160"/>
      <w:jc w:val="left"/>
    </w:pPr>
    <w:rPr>
      <w:rFonts w:ascii="Arial" w:hAnsi="Arial" w:eastAsia="黑体" w:cs="Arial"/>
    </w:rPr>
  </w:style>
  <w:style w:type="paragraph" w:styleId="14">
    <w:name w:val="Document Map"/>
    <w:basedOn w:val="1"/>
    <w:link w:val="116"/>
    <w:autoRedefine/>
    <w:semiHidden/>
    <w:qFormat/>
    <w:uiPriority w:val="99"/>
    <w:pPr>
      <w:shd w:val="clear" w:color="auto" w:fill="000080"/>
      <w:autoSpaceDE w:val="0"/>
      <w:autoSpaceDN w:val="0"/>
      <w:adjustRightInd w:val="0"/>
      <w:jc w:val="left"/>
    </w:pPr>
    <w:rPr>
      <w:rFonts w:ascii="宋体" w:hAnsi="Times New Roman" w:eastAsia="宋体" w:cs="Times New Roman"/>
      <w:kern w:val="0"/>
      <w:sz w:val="24"/>
      <w:szCs w:val="24"/>
    </w:rPr>
  </w:style>
  <w:style w:type="paragraph" w:styleId="15">
    <w:name w:val="toa heading"/>
    <w:basedOn w:val="1"/>
    <w:next w:val="1"/>
    <w:autoRedefine/>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16">
    <w:name w:val="annotation text"/>
    <w:basedOn w:val="1"/>
    <w:link w:val="163"/>
    <w:autoRedefine/>
    <w:unhideWhenUsed/>
    <w:qFormat/>
    <w:uiPriority w:val="99"/>
    <w:pPr>
      <w:jc w:val="left"/>
    </w:pPr>
  </w:style>
  <w:style w:type="paragraph" w:styleId="17">
    <w:name w:val="Body Text 3"/>
    <w:basedOn w:val="1"/>
    <w:link w:val="156"/>
    <w:autoRedefine/>
    <w:qFormat/>
    <w:uiPriority w:val="0"/>
    <w:pPr>
      <w:autoSpaceDE w:val="0"/>
      <w:autoSpaceDN w:val="0"/>
      <w:adjustRightInd w:val="0"/>
      <w:ind w:right="-26"/>
      <w:jc w:val="center"/>
    </w:pPr>
    <w:rPr>
      <w:rFonts w:ascii="宋体" w:hAnsi="Times New Roman" w:eastAsia="宋体" w:cs="Times New Roman"/>
      <w:b/>
      <w:bCs/>
      <w:color w:val="3366FF"/>
      <w:sz w:val="52"/>
      <w:szCs w:val="52"/>
      <w:lang w:val="zh-CN"/>
    </w:rPr>
  </w:style>
  <w:style w:type="paragraph" w:styleId="18">
    <w:name w:val="Body Text"/>
    <w:basedOn w:val="1"/>
    <w:next w:val="19"/>
    <w:link w:val="118"/>
    <w:autoRedefine/>
    <w:qFormat/>
    <w:uiPriority w:val="99"/>
    <w:pPr>
      <w:autoSpaceDE w:val="0"/>
      <w:autoSpaceDN w:val="0"/>
      <w:adjustRightInd w:val="0"/>
      <w:ind w:right="-26"/>
      <w:jc w:val="center"/>
    </w:pPr>
    <w:rPr>
      <w:rFonts w:ascii="宋体" w:eastAsia="宋体"/>
      <w:b/>
      <w:bCs/>
      <w:sz w:val="84"/>
      <w:szCs w:val="84"/>
      <w:lang w:val="zh-CN"/>
    </w:rPr>
  </w:style>
  <w:style w:type="paragraph" w:styleId="19">
    <w:name w:val="Body Text First Indent"/>
    <w:basedOn w:val="18"/>
    <w:link w:val="201"/>
    <w:semiHidden/>
    <w:unhideWhenUsed/>
    <w:qFormat/>
    <w:uiPriority w:val="99"/>
    <w:pPr>
      <w:autoSpaceDE/>
      <w:autoSpaceDN/>
      <w:adjustRightInd/>
      <w:spacing w:after="120"/>
      <w:ind w:right="0" w:firstLine="420" w:firstLineChars="100"/>
      <w:jc w:val="both"/>
    </w:pPr>
    <w:rPr>
      <w:rFonts w:asciiTheme="minorHAnsi" w:eastAsiaTheme="minorEastAsia"/>
      <w:b w:val="0"/>
      <w:bCs w:val="0"/>
      <w:sz w:val="21"/>
      <w:szCs w:val="22"/>
      <w:lang w:val="en-US"/>
    </w:rPr>
  </w:style>
  <w:style w:type="paragraph" w:styleId="20">
    <w:name w:val="Body Text Indent"/>
    <w:basedOn w:val="1"/>
    <w:link w:val="92"/>
    <w:autoRedefine/>
    <w:qFormat/>
    <w:uiPriority w:val="0"/>
    <w:pPr>
      <w:ind w:left="567" w:leftChars="270"/>
    </w:pPr>
    <w:rPr>
      <w:rFonts w:ascii="Times New Roman" w:hAnsi="Times New Roman" w:eastAsia="宋体" w:cs="Times New Roman"/>
      <w:szCs w:val="20"/>
    </w:rPr>
  </w:style>
  <w:style w:type="paragraph" w:styleId="21">
    <w:name w:val="toc 3"/>
    <w:basedOn w:val="1"/>
    <w:next w:val="1"/>
    <w:autoRedefine/>
    <w:unhideWhenUsed/>
    <w:qFormat/>
    <w:uiPriority w:val="39"/>
    <w:pPr>
      <w:tabs>
        <w:tab w:val="right" w:leader="dot" w:pos="10144"/>
      </w:tabs>
      <w:ind w:left="840" w:leftChars="400"/>
    </w:pPr>
  </w:style>
  <w:style w:type="paragraph" w:styleId="22">
    <w:name w:val="Plain Text"/>
    <w:basedOn w:val="1"/>
    <w:link w:val="100"/>
    <w:autoRedefine/>
    <w:qFormat/>
    <w:uiPriority w:val="0"/>
    <w:rPr>
      <w:rFonts w:ascii="宋体" w:hAnsi="Courier New" w:eastAsia="宋体"/>
    </w:rPr>
  </w:style>
  <w:style w:type="paragraph" w:styleId="23">
    <w:name w:val="Date"/>
    <w:basedOn w:val="1"/>
    <w:next w:val="1"/>
    <w:link w:val="108"/>
    <w:autoRedefine/>
    <w:qFormat/>
    <w:uiPriority w:val="99"/>
    <w:pPr>
      <w:autoSpaceDE w:val="0"/>
      <w:autoSpaceDN w:val="0"/>
      <w:adjustRightInd w:val="0"/>
      <w:ind w:left="100" w:leftChars="2500"/>
      <w:jc w:val="left"/>
    </w:pPr>
    <w:rPr>
      <w:rFonts w:ascii="宋体" w:hAnsi="Times New Roman" w:eastAsia="宋体" w:cs="Times New Roman"/>
      <w:b/>
      <w:bCs/>
      <w:szCs w:val="21"/>
      <w:lang w:val="zh-CN"/>
    </w:rPr>
  </w:style>
  <w:style w:type="paragraph" w:styleId="24">
    <w:name w:val="Body Text Indent 2"/>
    <w:basedOn w:val="1"/>
    <w:link w:val="101"/>
    <w:autoRedefine/>
    <w:qFormat/>
    <w:uiPriority w:val="0"/>
    <w:pPr>
      <w:tabs>
        <w:tab w:val="left" w:pos="8640"/>
      </w:tabs>
      <w:ind w:left="1260"/>
    </w:pPr>
    <w:rPr>
      <w:rFonts w:ascii="宋体" w:hAnsi="Times New Roman" w:eastAsia="宋体" w:cs="Times New Roman"/>
      <w:szCs w:val="20"/>
    </w:rPr>
  </w:style>
  <w:style w:type="paragraph" w:styleId="25">
    <w:name w:val="Balloon Text"/>
    <w:basedOn w:val="1"/>
    <w:link w:val="74"/>
    <w:autoRedefine/>
    <w:qFormat/>
    <w:uiPriority w:val="0"/>
    <w:rPr>
      <w:rFonts w:ascii="Times New Roman" w:hAnsi="Times New Roman" w:eastAsia="宋体" w:cs="Times New Roman"/>
      <w:sz w:val="18"/>
      <w:szCs w:val="18"/>
    </w:rPr>
  </w:style>
  <w:style w:type="paragraph" w:styleId="26">
    <w:name w:val="footer"/>
    <w:basedOn w:val="1"/>
    <w:link w:val="78"/>
    <w:autoRedefine/>
    <w:qFormat/>
    <w:uiPriority w:val="99"/>
    <w:pPr>
      <w:tabs>
        <w:tab w:val="center" w:pos="4153"/>
        <w:tab w:val="right" w:pos="8306"/>
      </w:tabs>
      <w:autoSpaceDE w:val="0"/>
      <w:autoSpaceDN w:val="0"/>
      <w:adjustRightInd w:val="0"/>
      <w:snapToGrid w:val="0"/>
      <w:jc w:val="left"/>
    </w:pPr>
    <w:rPr>
      <w:rFonts w:ascii="宋体" w:eastAsia="宋体"/>
      <w:sz w:val="18"/>
      <w:szCs w:val="18"/>
    </w:rPr>
  </w:style>
  <w:style w:type="paragraph" w:styleId="27">
    <w:name w:val="header"/>
    <w:basedOn w:val="1"/>
    <w:link w:val="120"/>
    <w:autoRedefine/>
    <w:qFormat/>
    <w:uiPriority w:val="99"/>
    <w:pPr>
      <w:pBdr>
        <w:bottom w:val="single" w:color="auto" w:sz="6" w:space="1"/>
      </w:pBdr>
      <w:tabs>
        <w:tab w:val="center" w:pos="4153"/>
        <w:tab w:val="right" w:pos="8306"/>
      </w:tabs>
      <w:autoSpaceDE w:val="0"/>
      <w:autoSpaceDN w:val="0"/>
      <w:adjustRightInd w:val="0"/>
      <w:snapToGrid w:val="0"/>
      <w:jc w:val="center"/>
    </w:pPr>
    <w:rPr>
      <w:rFonts w:ascii="宋体" w:eastAsia="宋体"/>
      <w:sz w:val="18"/>
      <w:szCs w:val="18"/>
    </w:rPr>
  </w:style>
  <w:style w:type="paragraph" w:styleId="28">
    <w:name w:val="toc 1"/>
    <w:basedOn w:val="1"/>
    <w:next w:val="1"/>
    <w:autoRedefine/>
    <w:unhideWhenUsed/>
    <w:qFormat/>
    <w:uiPriority w:val="39"/>
  </w:style>
  <w:style w:type="paragraph" w:styleId="29">
    <w:name w:val="List"/>
    <w:basedOn w:val="1"/>
    <w:autoRedefine/>
    <w:unhideWhenUsed/>
    <w:qFormat/>
    <w:uiPriority w:val="0"/>
    <w:pPr>
      <w:autoSpaceDE w:val="0"/>
      <w:autoSpaceDN w:val="0"/>
      <w:adjustRightInd w:val="0"/>
      <w:ind w:left="200" w:hanging="200" w:hangingChars="200"/>
      <w:contextualSpacing/>
      <w:jc w:val="left"/>
    </w:pPr>
    <w:rPr>
      <w:rFonts w:ascii="宋体" w:hAnsi="Calibri" w:eastAsia="宋体" w:cs="Times New Roman"/>
      <w:kern w:val="0"/>
      <w:sz w:val="24"/>
      <w:szCs w:val="24"/>
    </w:rPr>
  </w:style>
  <w:style w:type="paragraph" w:styleId="30">
    <w:name w:val="Body Text Indent 3"/>
    <w:basedOn w:val="1"/>
    <w:link w:val="154"/>
    <w:autoRedefine/>
    <w:qFormat/>
    <w:uiPriority w:val="0"/>
    <w:pPr>
      <w:autoSpaceDE w:val="0"/>
      <w:autoSpaceDN w:val="0"/>
      <w:adjustRightInd w:val="0"/>
      <w:spacing w:line="360" w:lineRule="auto"/>
      <w:ind w:firstLine="480" w:firstLineChars="200"/>
      <w:jc w:val="left"/>
    </w:pPr>
    <w:rPr>
      <w:rFonts w:ascii="宋体" w:hAnsi="Times New Roman" w:eastAsia="宋体" w:cs="Times New Roman"/>
      <w:kern w:val="0"/>
      <w:sz w:val="24"/>
      <w:szCs w:val="24"/>
    </w:rPr>
  </w:style>
  <w:style w:type="paragraph" w:styleId="31">
    <w:name w:val="toc 2"/>
    <w:basedOn w:val="1"/>
    <w:next w:val="1"/>
    <w:semiHidden/>
    <w:unhideWhenUsed/>
    <w:qFormat/>
    <w:uiPriority w:val="39"/>
    <w:pPr>
      <w:ind w:left="420" w:leftChars="200"/>
    </w:pPr>
  </w:style>
  <w:style w:type="paragraph" w:styleId="32">
    <w:name w:val="Body Text 2"/>
    <w:basedOn w:val="1"/>
    <w:link w:val="143"/>
    <w:autoRedefine/>
    <w:qFormat/>
    <w:uiPriority w:val="0"/>
    <w:pPr>
      <w:tabs>
        <w:tab w:val="left" w:pos="0"/>
      </w:tabs>
      <w:spacing w:line="400" w:lineRule="atLeast"/>
    </w:pPr>
    <w:rPr>
      <w:rFonts w:ascii="Arial" w:hAnsi="Arial" w:eastAsia="宋体" w:cs="Times New Roman"/>
      <w:color w:val="000000"/>
      <w:szCs w:val="24"/>
    </w:rPr>
  </w:style>
  <w:style w:type="paragraph" w:styleId="33">
    <w:name w:val="HTML Preformatted"/>
    <w:basedOn w:val="1"/>
    <w:link w:val="86"/>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eastAsia="宋体" w:cs="Arial"/>
      <w:szCs w:val="21"/>
    </w:rPr>
  </w:style>
  <w:style w:type="paragraph" w:styleId="34">
    <w:name w:val="Normal (Web)"/>
    <w:basedOn w:val="1"/>
    <w:link w:val="93"/>
    <w:autoRedefine/>
    <w:qFormat/>
    <w:uiPriority w:val="0"/>
    <w:pPr>
      <w:widowControl/>
      <w:spacing w:before="100" w:beforeAutospacing="1" w:after="100" w:afterAutospacing="1"/>
      <w:jc w:val="left"/>
    </w:pPr>
    <w:rPr>
      <w:rFonts w:ascii="宋体" w:hAnsi="宋体"/>
      <w:sz w:val="15"/>
      <w:szCs w:val="15"/>
    </w:rPr>
  </w:style>
  <w:style w:type="paragraph" w:styleId="35">
    <w:name w:val="Title"/>
    <w:basedOn w:val="1"/>
    <w:next w:val="1"/>
    <w:link w:val="58"/>
    <w:autoRedefine/>
    <w:qFormat/>
    <w:uiPriority w:val="10"/>
    <w:pPr>
      <w:spacing w:before="120" w:after="60" w:line="300" w:lineRule="auto"/>
      <w:jc w:val="left"/>
      <w:outlineLvl w:val="0"/>
    </w:pPr>
    <w:rPr>
      <w:rFonts w:ascii="等线 Light" w:hAnsi="等线 Light" w:eastAsia="仿宋"/>
      <w:b/>
      <w:bCs/>
      <w:sz w:val="28"/>
      <w:szCs w:val="32"/>
    </w:rPr>
  </w:style>
  <w:style w:type="paragraph" w:styleId="36">
    <w:name w:val="annotation subject"/>
    <w:basedOn w:val="16"/>
    <w:next w:val="16"/>
    <w:link w:val="110"/>
    <w:autoRedefine/>
    <w:qFormat/>
    <w:uiPriority w:val="99"/>
    <w:pPr>
      <w:autoSpaceDE w:val="0"/>
      <w:autoSpaceDN w:val="0"/>
      <w:adjustRightInd w:val="0"/>
    </w:pPr>
    <w:rPr>
      <w:rFonts w:ascii="宋体" w:hAnsi="Times New Roman" w:eastAsia="宋体" w:cs="Times New Roman"/>
      <w:b/>
      <w:bCs/>
      <w:kern w:val="0"/>
      <w:sz w:val="24"/>
      <w:szCs w:val="24"/>
    </w:rPr>
  </w:style>
  <w:style w:type="table" w:styleId="38">
    <w:name w:val="Table Grid"/>
    <w:basedOn w:val="37"/>
    <w:autoRedefine/>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autoRedefine/>
    <w:qFormat/>
    <w:uiPriority w:val="0"/>
    <w:rPr>
      <w:b/>
      <w:bCs/>
    </w:rPr>
  </w:style>
  <w:style w:type="character" w:styleId="41">
    <w:name w:val="page number"/>
    <w:qFormat/>
    <w:uiPriority w:val="0"/>
  </w:style>
  <w:style w:type="character" w:styleId="42">
    <w:name w:val="FollowedHyperlink"/>
    <w:autoRedefine/>
    <w:unhideWhenUsed/>
    <w:qFormat/>
    <w:uiPriority w:val="99"/>
    <w:rPr>
      <w:color w:val="954F72"/>
      <w:u w:val="single"/>
    </w:rPr>
  </w:style>
  <w:style w:type="character" w:styleId="43">
    <w:name w:val="Emphasis"/>
    <w:autoRedefine/>
    <w:qFormat/>
    <w:uiPriority w:val="0"/>
    <w:rPr>
      <w:i/>
      <w:iCs/>
    </w:rPr>
  </w:style>
  <w:style w:type="character" w:styleId="44">
    <w:name w:val="Hyperlink"/>
    <w:autoRedefine/>
    <w:qFormat/>
    <w:uiPriority w:val="99"/>
    <w:rPr>
      <w:rFonts w:hint="default" w:ascii="Arial" w:hAnsi="Arial" w:cs="Arial"/>
      <w:color w:val="000000"/>
      <w:sz w:val="20"/>
      <w:szCs w:val="20"/>
      <w:u w:val="none"/>
    </w:rPr>
  </w:style>
  <w:style w:type="character" w:styleId="45">
    <w:name w:val="annotation reference"/>
    <w:autoRedefine/>
    <w:qFormat/>
    <w:uiPriority w:val="99"/>
    <w:rPr>
      <w:sz w:val="21"/>
      <w:szCs w:val="21"/>
    </w:rPr>
  </w:style>
  <w:style w:type="paragraph" w:customStyle="1" w:styleId="46">
    <w:name w:val="首行缩进"/>
    <w:basedOn w:val="1"/>
    <w:autoRedefine/>
    <w:qFormat/>
    <w:uiPriority w:val="0"/>
    <w:pPr>
      <w:ind w:firstLine="480" w:firstLineChars="200"/>
    </w:pPr>
    <w:rPr>
      <w:lang w:val="zh-CN"/>
    </w:rPr>
  </w:style>
  <w:style w:type="character" w:customStyle="1" w:styleId="47">
    <w:name w:val="标题 1 字符"/>
    <w:basedOn w:val="39"/>
    <w:autoRedefine/>
    <w:qFormat/>
    <w:uiPriority w:val="0"/>
    <w:rPr>
      <w:b/>
      <w:bCs/>
      <w:kern w:val="44"/>
      <w:sz w:val="44"/>
      <w:szCs w:val="44"/>
    </w:rPr>
  </w:style>
  <w:style w:type="character" w:customStyle="1" w:styleId="48">
    <w:name w:val="标题 2 Char"/>
    <w:basedOn w:val="39"/>
    <w:link w:val="4"/>
    <w:autoRedefine/>
    <w:qFormat/>
    <w:uiPriority w:val="0"/>
    <w:rPr>
      <w:rFonts w:ascii="宋体" w:hAnsi="Calibri" w:eastAsia="宋体" w:cs="Times New Roman"/>
      <w:kern w:val="0"/>
      <w:sz w:val="24"/>
      <w:szCs w:val="24"/>
    </w:rPr>
  </w:style>
  <w:style w:type="character" w:customStyle="1" w:styleId="49">
    <w:name w:val="标题 3 字符"/>
    <w:basedOn w:val="39"/>
    <w:autoRedefine/>
    <w:qFormat/>
    <w:uiPriority w:val="0"/>
    <w:rPr>
      <w:b/>
      <w:bCs/>
      <w:sz w:val="32"/>
      <w:szCs w:val="32"/>
    </w:rPr>
  </w:style>
  <w:style w:type="character" w:customStyle="1" w:styleId="50">
    <w:name w:val="标题 4 Char1"/>
    <w:basedOn w:val="39"/>
    <w:link w:val="5"/>
    <w:autoRedefine/>
    <w:qFormat/>
    <w:uiPriority w:val="9"/>
    <w:rPr>
      <w:rFonts w:ascii="Arial" w:hAnsi="Arial" w:eastAsia="黑体" w:cs="Times New Roman"/>
      <w:b/>
      <w:bCs/>
      <w:kern w:val="0"/>
      <w:sz w:val="28"/>
      <w:szCs w:val="28"/>
    </w:rPr>
  </w:style>
  <w:style w:type="character" w:customStyle="1" w:styleId="51">
    <w:name w:val="标题 5 字符"/>
    <w:basedOn w:val="39"/>
    <w:autoRedefine/>
    <w:qFormat/>
    <w:uiPriority w:val="9"/>
    <w:rPr>
      <w:b/>
      <w:bCs/>
      <w:sz w:val="28"/>
      <w:szCs w:val="28"/>
    </w:rPr>
  </w:style>
  <w:style w:type="character" w:customStyle="1" w:styleId="52">
    <w:name w:val="标题 6 字符"/>
    <w:basedOn w:val="39"/>
    <w:autoRedefine/>
    <w:qFormat/>
    <w:uiPriority w:val="0"/>
    <w:rPr>
      <w:rFonts w:asciiTheme="majorHAnsi" w:hAnsiTheme="majorHAnsi" w:eastAsiaTheme="majorEastAsia" w:cstheme="majorBidi"/>
      <w:b/>
      <w:bCs/>
      <w:sz w:val="24"/>
      <w:szCs w:val="24"/>
    </w:rPr>
  </w:style>
  <w:style w:type="character" w:customStyle="1" w:styleId="53">
    <w:name w:val="标题 7 Char"/>
    <w:basedOn w:val="39"/>
    <w:link w:val="9"/>
    <w:autoRedefine/>
    <w:qFormat/>
    <w:uiPriority w:val="9"/>
    <w:rPr>
      <w:rFonts w:ascii="Times New Roman" w:hAnsi="Calibri" w:eastAsia="黑体" w:cs="Times New Roman"/>
      <w:b/>
      <w:bCs/>
      <w:kern w:val="0"/>
      <w:sz w:val="28"/>
      <w:szCs w:val="24"/>
    </w:rPr>
  </w:style>
  <w:style w:type="character" w:customStyle="1" w:styleId="54">
    <w:name w:val="标题 8 Char"/>
    <w:basedOn w:val="39"/>
    <w:link w:val="10"/>
    <w:qFormat/>
    <w:uiPriority w:val="9"/>
    <w:rPr>
      <w:rFonts w:ascii="Times New Roman" w:hAnsi="Calibri" w:eastAsia="黑体" w:cs="Times New Roman"/>
      <w:b/>
      <w:kern w:val="0"/>
      <w:sz w:val="28"/>
      <w:szCs w:val="24"/>
    </w:rPr>
  </w:style>
  <w:style w:type="character" w:customStyle="1" w:styleId="55">
    <w:name w:val="标题 9 Char"/>
    <w:basedOn w:val="39"/>
    <w:link w:val="11"/>
    <w:autoRedefine/>
    <w:qFormat/>
    <w:uiPriority w:val="9"/>
    <w:rPr>
      <w:rFonts w:ascii="Times New Roman" w:hAnsi="Calibri" w:eastAsia="黑体" w:cs="Times New Roman"/>
      <w:b/>
      <w:kern w:val="0"/>
      <w:sz w:val="28"/>
      <w:szCs w:val="24"/>
    </w:rPr>
  </w:style>
  <w:style w:type="character" w:customStyle="1" w:styleId="56">
    <w:name w:val="正文文本缩进 字符"/>
    <w:autoRedefine/>
    <w:qFormat/>
    <w:uiPriority w:val="0"/>
    <w:rPr>
      <w:rFonts w:ascii="Times New Roman" w:hAnsi="Times New Roman" w:eastAsia="宋体" w:cs="Times New Roman"/>
      <w:szCs w:val="20"/>
    </w:rPr>
  </w:style>
  <w:style w:type="character" w:customStyle="1" w:styleId="57">
    <w:name w:val="普通(网站) Char"/>
    <w:autoRedefine/>
    <w:qFormat/>
    <w:locked/>
    <w:uiPriority w:val="0"/>
    <w:rPr>
      <w:rFonts w:ascii="宋体" w:hAnsi="宋体"/>
      <w:sz w:val="15"/>
      <w:szCs w:val="15"/>
    </w:rPr>
  </w:style>
  <w:style w:type="character" w:customStyle="1" w:styleId="58">
    <w:name w:val="标题 Char"/>
    <w:link w:val="35"/>
    <w:autoRedefine/>
    <w:qFormat/>
    <w:uiPriority w:val="10"/>
    <w:rPr>
      <w:rFonts w:ascii="等线 Light" w:hAnsi="等线 Light" w:eastAsia="仿宋"/>
      <w:b/>
      <w:bCs/>
      <w:sz w:val="28"/>
      <w:szCs w:val="32"/>
    </w:rPr>
  </w:style>
  <w:style w:type="character" w:customStyle="1" w:styleId="59">
    <w:name w:val="日期 Char"/>
    <w:autoRedefine/>
    <w:semiHidden/>
    <w:qFormat/>
    <w:uiPriority w:val="99"/>
    <w:rPr>
      <w:kern w:val="2"/>
      <w:sz w:val="21"/>
    </w:rPr>
  </w:style>
  <w:style w:type="character" w:customStyle="1" w:styleId="60">
    <w:name w:val="文档结构图 字符1"/>
    <w:autoRedefine/>
    <w:semiHidden/>
    <w:qFormat/>
    <w:uiPriority w:val="99"/>
    <w:rPr>
      <w:rFonts w:ascii="Microsoft YaHei UI" w:hAnsi="Calibri" w:eastAsia="Microsoft YaHei UI" w:cs="Times New Roman"/>
      <w:kern w:val="0"/>
      <w:sz w:val="18"/>
      <w:szCs w:val="18"/>
    </w:rPr>
  </w:style>
  <w:style w:type="character" w:customStyle="1" w:styleId="61">
    <w:name w:val="批注文字 Char"/>
    <w:autoRedefine/>
    <w:semiHidden/>
    <w:qFormat/>
    <w:uiPriority w:val="99"/>
    <w:rPr>
      <w:kern w:val="2"/>
      <w:sz w:val="21"/>
    </w:rPr>
  </w:style>
  <w:style w:type="character" w:customStyle="1" w:styleId="62">
    <w:name w:val="正文缩进2格 Char"/>
    <w:link w:val="63"/>
    <w:autoRedefine/>
    <w:qFormat/>
    <w:uiPriority w:val="0"/>
    <w:rPr>
      <w:rFonts w:ascii="仿宋_GB2312" w:hAnsi="宋体" w:eastAsia="仿宋_GB2312"/>
      <w:sz w:val="31"/>
      <w:szCs w:val="28"/>
    </w:rPr>
  </w:style>
  <w:style w:type="paragraph" w:customStyle="1" w:styleId="63">
    <w:name w:val="正文缩进2格"/>
    <w:basedOn w:val="1"/>
    <w:link w:val="62"/>
    <w:autoRedefine/>
    <w:qFormat/>
    <w:uiPriority w:val="0"/>
    <w:pPr>
      <w:spacing w:line="600" w:lineRule="exact"/>
      <w:ind w:firstLine="639" w:firstLineChars="206"/>
    </w:pPr>
    <w:rPr>
      <w:rFonts w:ascii="仿宋_GB2312" w:hAnsi="宋体" w:eastAsia="仿宋_GB2312"/>
      <w:sz w:val="31"/>
      <w:szCs w:val="28"/>
    </w:rPr>
  </w:style>
  <w:style w:type="character" w:customStyle="1" w:styleId="64">
    <w:name w:val="批注文字 字符"/>
    <w:autoRedefine/>
    <w:semiHidden/>
    <w:qFormat/>
    <w:uiPriority w:val="99"/>
    <w:rPr>
      <w:rFonts w:ascii="Times New Roman" w:hAnsi="Times New Roman"/>
      <w:kern w:val="2"/>
      <w:sz w:val="24"/>
      <w:szCs w:val="24"/>
    </w:rPr>
  </w:style>
  <w:style w:type="character" w:customStyle="1" w:styleId="65">
    <w:name w:val="正文文本缩进 Char"/>
    <w:qFormat/>
    <w:uiPriority w:val="0"/>
    <w:rPr>
      <w:rFonts w:ascii="Times New Roman" w:hAnsi="Times New Roman" w:eastAsia="宋体" w:cs="Times New Roman"/>
      <w:szCs w:val="20"/>
      <w:lang w:val="en-US" w:eastAsia="zh-CN"/>
    </w:rPr>
  </w:style>
  <w:style w:type="character" w:customStyle="1" w:styleId="66">
    <w:name w:val="批注框文本 字符1"/>
    <w:autoRedefine/>
    <w:semiHidden/>
    <w:qFormat/>
    <w:uiPriority w:val="99"/>
    <w:rPr>
      <w:rFonts w:ascii="宋体" w:hAnsi="Calibri" w:eastAsia="宋体" w:cs="Times New Roman"/>
      <w:kern w:val="0"/>
      <w:sz w:val="18"/>
      <w:szCs w:val="18"/>
    </w:rPr>
  </w:style>
  <w:style w:type="character" w:customStyle="1" w:styleId="67">
    <w:name w:val="List Paragraph Char"/>
    <w:link w:val="68"/>
    <w:autoRedefine/>
    <w:qFormat/>
    <w:uiPriority w:val="34"/>
    <w:rPr>
      <w:rFonts w:ascii="Calibri" w:hAnsi="Calibri"/>
    </w:rPr>
  </w:style>
  <w:style w:type="paragraph" w:customStyle="1" w:styleId="68">
    <w:name w:val="列出段落1"/>
    <w:basedOn w:val="1"/>
    <w:link w:val="67"/>
    <w:autoRedefine/>
    <w:qFormat/>
    <w:uiPriority w:val="34"/>
    <w:pPr>
      <w:ind w:firstLine="420" w:firstLineChars="200"/>
    </w:pPr>
    <w:rPr>
      <w:rFonts w:ascii="Calibri" w:hAnsi="Calibri"/>
    </w:rPr>
  </w:style>
  <w:style w:type="character" w:customStyle="1" w:styleId="69">
    <w:name w:val="标书正文 字符"/>
    <w:link w:val="70"/>
    <w:autoRedefine/>
    <w:qFormat/>
    <w:uiPriority w:val="0"/>
    <w:rPr>
      <w:rFonts w:ascii="Calibri" w:hAnsi="Calibri" w:eastAsia="仿宋"/>
      <w:sz w:val="24"/>
      <w:szCs w:val="21"/>
    </w:rPr>
  </w:style>
  <w:style w:type="paragraph" w:customStyle="1" w:styleId="70">
    <w:name w:val="标书正文"/>
    <w:basedOn w:val="1"/>
    <w:link w:val="69"/>
    <w:autoRedefine/>
    <w:qFormat/>
    <w:uiPriority w:val="0"/>
    <w:pPr>
      <w:adjustRightInd w:val="0"/>
      <w:snapToGrid w:val="0"/>
      <w:spacing w:beforeLines="50" w:line="360" w:lineRule="auto"/>
      <w:ind w:firstLine="200" w:firstLineChars="200"/>
    </w:pPr>
    <w:rPr>
      <w:rFonts w:ascii="Calibri" w:hAnsi="Calibri" w:eastAsia="仿宋"/>
      <w:sz w:val="24"/>
      <w:szCs w:val="21"/>
    </w:rPr>
  </w:style>
  <w:style w:type="character" w:customStyle="1" w:styleId="71">
    <w:name w:val="正文文本 字符"/>
    <w:autoRedefine/>
    <w:semiHidden/>
    <w:qFormat/>
    <w:uiPriority w:val="99"/>
    <w:rPr>
      <w:rFonts w:ascii="Times New Roman" w:hAnsi="Times New Roman"/>
      <w:kern w:val="2"/>
      <w:sz w:val="24"/>
      <w:szCs w:val="24"/>
    </w:rPr>
  </w:style>
  <w:style w:type="character" w:customStyle="1" w:styleId="72">
    <w:name w:val="页脚 Char"/>
    <w:autoRedefine/>
    <w:qFormat/>
    <w:uiPriority w:val="0"/>
    <w:rPr>
      <w:kern w:val="2"/>
      <w:sz w:val="18"/>
      <w:szCs w:val="18"/>
    </w:rPr>
  </w:style>
  <w:style w:type="character" w:customStyle="1" w:styleId="73">
    <w:name w:val="neir1"/>
    <w:autoRedefine/>
    <w:qFormat/>
    <w:uiPriority w:val="0"/>
    <w:rPr>
      <w:rFonts w:hint="default" w:ascii="ˎ̥" w:hAnsi="ˎ̥"/>
      <w:color w:val="333333"/>
      <w:sz w:val="21"/>
      <w:szCs w:val="21"/>
      <w:u w:val="none"/>
    </w:rPr>
  </w:style>
  <w:style w:type="character" w:customStyle="1" w:styleId="74">
    <w:name w:val="批注框文本 Char1"/>
    <w:link w:val="25"/>
    <w:autoRedefine/>
    <w:qFormat/>
    <w:uiPriority w:val="0"/>
    <w:rPr>
      <w:rFonts w:ascii="Times New Roman" w:hAnsi="Times New Roman" w:eastAsia="宋体" w:cs="Times New Roman"/>
      <w:sz w:val="18"/>
      <w:szCs w:val="18"/>
    </w:rPr>
  </w:style>
  <w:style w:type="character" w:customStyle="1" w:styleId="75">
    <w:name w:val="正文文本 3 字符1"/>
    <w:autoRedefine/>
    <w:semiHidden/>
    <w:qFormat/>
    <w:uiPriority w:val="99"/>
    <w:rPr>
      <w:rFonts w:ascii="宋体" w:hAnsi="Calibri" w:eastAsia="宋体" w:cs="Times New Roman"/>
      <w:kern w:val="0"/>
      <w:sz w:val="16"/>
      <w:szCs w:val="16"/>
    </w:rPr>
  </w:style>
  <w:style w:type="character" w:customStyle="1" w:styleId="76">
    <w:name w:val="正文文本 字符3"/>
    <w:autoRedefine/>
    <w:semiHidden/>
    <w:qFormat/>
    <w:uiPriority w:val="99"/>
    <w:rPr>
      <w:rFonts w:ascii="宋体" w:hAnsi="Calibri" w:eastAsia="宋体" w:cs="Times New Roman"/>
      <w:kern w:val="0"/>
      <w:sz w:val="24"/>
      <w:szCs w:val="24"/>
    </w:rPr>
  </w:style>
  <w:style w:type="character" w:customStyle="1" w:styleId="77">
    <w:name w:val="日期 字符1"/>
    <w:autoRedefine/>
    <w:semiHidden/>
    <w:qFormat/>
    <w:uiPriority w:val="99"/>
    <w:rPr>
      <w:rFonts w:ascii="宋体" w:hAnsi="Calibri" w:eastAsia="宋体" w:cs="Times New Roman"/>
      <w:kern w:val="0"/>
      <w:sz w:val="24"/>
      <w:szCs w:val="24"/>
    </w:rPr>
  </w:style>
  <w:style w:type="character" w:customStyle="1" w:styleId="78">
    <w:name w:val="页脚 Char2"/>
    <w:link w:val="26"/>
    <w:autoRedefine/>
    <w:qFormat/>
    <w:uiPriority w:val="99"/>
    <w:rPr>
      <w:rFonts w:ascii="宋体" w:eastAsia="宋体"/>
      <w:sz w:val="18"/>
      <w:szCs w:val="18"/>
    </w:rPr>
  </w:style>
  <w:style w:type="character" w:customStyle="1" w:styleId="79">
    <w:name w:val="吉奥正文 Char"/>
    <w:link w:val="80"/>
    <w:autoRedefine/>
    <w:qFormat/>
    <w:locked/>
    <w:uiPriority w:val="0"/>
    <w:rPr>
      <w:rFonts w:eastAsia="仿宋_GB2312"/>
      <w:sz w:val="28"/>
    </w:rPr>
  </w:style>
  <w:style w:type="paragraph" w:customStyle="1" w:styleId="80">
    <w:name w:val="吉奥正文"/>
    <w:basedOn w:val="1"/>
    <w:link w:val="79"/>
    <w:autoRedefine/>
    <w:qFormat/>
    <w:uiPriority w:val="0"/>
    <w:pPr>
      <w:adjustRightInd w:val="0"/>
      <w:snapToGrid w:val="0"/>
      <w:spacing w:before="120" w:line="360" w:lineRule="auto"/>
      <w:ind w:firstLine="200" w:firstLineChars="200"/>
      <w:textAlignment w:val="baseline"/>
    </w:pPr>
    <w:rPr>
      <w:rFonts w:eastAsia="仿宋_GB2312"/>
      <w:sz w:val="28"/>
    </w:rPr>
  </w:style>
  <w:style w:type="character" w:customStyle="1" w:styleId="81">
    <w:name w:val="页脚 Char1"/>
    <w:autoRedefine/>
    <w:qFormat/>
    <w:uiPriority w:val="99"/>
    <w:rPr>
      <w:rFonts w:ascii="宋体" w:hAnsi="Times New Roman" w:eastAsia="宋体" w:cs="Times New Roman"/>
      <w:kern w:val="0"/>
      <w:sz w:val="18"/>
      <w:szCs w:val="18"/>
    </w:rPr>
  </w:style>
  <w:style w:type="character" w:customStyle="1" w:styleId="82">
    <w:name w:val="标题 字符"/>
    <w:autoRedefine/>
    <w:qFormat/>
    <w:uiPriority w:val="10"/>
    <w:rPr>
      <w:rFonts w:ascii="Cambria" w:hAnsi="Cambria" w:eastAsia="宋体" w:cs="Times New Roman"/>
      <w:b/>
      <w:bCs/>
      <w:kern w:val="0"/>
      <w:sz w:val="32"/>
      <w:szCs w:val="32"/>
      <w:lang w:val="en-US" w:eastAsia="zh-CN"/>
    </w:rPr>
  </w:style>
  <w:style w:type="character" w:customStyle="1" w:styleId="83">
    <w:name w:val="题注 Char"/>
    <w:link w:val="13"/>
    <w:autoRedefine/>
    <w:qFormat/>
    <w:uiPriority w:val="0"/>
    <w:rPr>
      <w:rFonts w:ascii="Arial" w:hAnsi="Arial" w:eastAsia="黑体" w:cs="Arial"/>
    </w:rPr>
  </w:style>
  <w:style w:type="character" w:customStyle="1" w:styleId="84">
    <w:name w:val="批注文字 字符2"/>
    <w:autoRedefine/>
    <w:qFormat/>
    <w:uiPriority w:val="99"/>
    <w:rPr>
      <w:rFonts w:ascii="宋体" w:hAnsi="Times New Roman" w:eastAsia="宋体" w:cs="Times New Roman"/>
      <w:kern w:val="0"/>
      <w:sz w:val="24"/>
      <w:szCs w:val="24"/>
    </w:rPr>
  </w:style>
  <w:style w:type="character" w:customStyle="1" w:styleId="85">
    <w:name w:val="批注主题 字符1"/>
    <w:autoRedefine/>
    <w:semiHidden/>
    <w:qFormat/>
    <w:uiPriority w:val="99"/>
    <w:rPr>
      <w:rFonts w:ascii="宋体" w:hAnsi="Calibri" w:eastAsia="宋体" w:cs="Times New Roman"/>
      <w:b/>
      <w:bCs/>
      <w:kern w:val="0"/>
      <w:sz w:val="24"/>
      <w:szCs w:val="24"/>
    </w:rPr>
  </w:style>
  <w:style w:type="character" w:customStyle="1" w:styleId="86">
    <w:name w:val="HTML 预设格式 Char"/>
    <w:link w:val="33"/>
    <w:autoRedefine/>
    <w:qFormat/>
    <w:uiPriority w:val="99"/>
    <w:rPr>
      <w:rFonts w:ascii="Arial" w:hAnsi="Arial" w:eastAsia="宋体" w:cs="Arial"/>
      <w:szCs w:val="21"/>
    </w:rPr>
  </w:style>
  <w:style w:type="character" w:customStyle="1" w:styleId="87">
    <w:name w:val="标题 3.1 Char"/>
    <w:link w:val="88"/>
    <w:qFormat/>
    <w:uiPriority w:val="0"/>
    <w:rPr>
      <w:rFonts w:ascii="宋体" w:hAnsi="宋体"/>
      <w:b/>
      <w:bCs/>
      <w:sz w:val="32"/>
      <w:szCs w:val="32"/>
    </w:rPr>
  </w:style>
  <w:style w:type="paragraph" w:customStyle="1" w:styleId="88">
    <w:name w:val="标题 3.1"/>
    <w:basedOn w:val="2"/>
    <w:link w:val="87"/>
    <w:autoRedefine/>
    <w:qFormat/>
    <w:uiPriority w:val="0"/>
    <w:pPr>
      <w:keepNext/>
      <w:keepLines/>
      <w:pageBreakBefore/>
      <w:tabs>
        <w:tab w:val="left" w:pos="1440"/>
        <w:tab w:val="left" w:pos="1620"/>
      </w:tabs>
      <w:autoSpaceDE/>
      <w:autoSpaceDN/>
      <w:adjustRightInd/>
      <w:spacing w:before="260" w:after="260" w:line="600" w:lineRule="exact"/>
      <w:jc w:val="both"/>
    </w:pPr>
    <w:rPr>
      <w:rFonts w:hAnsi="宋体" w:eastAsiaTheme="minorEastAsia" w:cstheme="minorBidi"/>
      <w:b/>
      <w:bCs/>
      <w:kern w:val="2"/>
      <w:sz w:val="32"/>
      <w:szCs w:val="32"/>
    </w:rPr>
  </w:style>
  <w:style w:type="character" w:customStyle="1" w:styleId="89">
    <w:name w:val="HTML 预设格式 Char1"/>
    <w:autoRedefine/>
    <w:semiHidden/>
    <w:qFormat/>
    <w:uiPriority w:val="99"/>
    <w:rPr>
      <w:rFonts w:ascii="Courier New" w:hAnsi="Courier New" w:eastAsia="宋体" w:cs="Courier New"/>
      <w:kern w:val="0"/>
      <w:sz w:val="20"/>
      <w:szCs w:val="20"/>
    </w:rPr>
  </w:style>
  <w:style w:type="character" w:customStyle="1" w:styleId="90">
    <w:name w:val="批注文字 字符1"/>
    <w:autoRedefine/>
    <w:qFormat/>
    <w:uiPriority w:val="0"/>
    <w:rPr>
      <w:rFonts w:eastAsia="宋体"/>
      <w:kern w:val="2"/>
      <w:sz w:val="24"/>
      <w:szCs w:val="24"/>
      <w:lang w:val="en-US" w:eastAsia="zh-CN" w:bidi="ar-SA"/>
    </w:rPr>
  </w:style>
  <w:style w:type="character" w:customStyle="1" w:styleId="91">
    <w:name w:val="正文文本缩进 字符2"/>
    <w:autoRedefine/>
    <w:semiHidden/>
    <w:qFormat/>
    <w:uiPriority w:val="99"/>
    <w:rPr>
      <w:rFonts w:ascii="宋体" w:hAnsi="Calibri" w:eastAsia="宋体" w:cs="Times New Roman"/>
      <w:kern w:val="0"/>
      <w:sz w:val="24"/>
      <w:szCs w:val="24"/>
    </w:rPr>
  </w:style>
  <w:style w:type="character" w:customStyle="1" w:styleId="92">
    <w:name w:val="正文文本缩进 Char1"/>
    <w:link w:val="20"/>
    <w:autoRedefine/>
    <w:qFormat/>
    <w:uiPriority w:val="0"/>
    <w:rPr>
      <w:rFonts w:ascii="Times New Roman" w:hAnsi="Times New Roman" w:eastAsia="宋体" w:cs="Times New Roman"/>
      <w:szCs w:val="20"/>
    </w:rPr>
  </w:style>
  <w:style w:type="character" w:customStyle="1" w:styleId="93">
    <w:name w:val="普通(网站) Char1"/>
    <w:link w:val="34"/>
    <w:autoRedefine/>
    <w:qFormat/>
    <w:locked/>
    <w:uiPriority w:val="0"/>
    <w:rPr>
      <w:rFonts w:ascii="宋体" w:hAnsi="宋体"/>
      <w:sz w:val="15"/>
      <w:szCs w:val="15"/>
    </w:rPr>
  </w:style>
  <w:style w:type="character" w:customStyle="1" w:styleId="94">
    <w:name w:val="模板正文 Char"/>
    <w:link w:val="8"/>
    <w:autoRedefine/>
    <w:qFormat/>
    <w:uiPriority w:val="0"/>
    <w:rPr>
      <w:rFonts w:ascii="宋体" w:eastAsia="仿宋"/>
      <w:sz w:val="24"/>
      <w:szCs w:val="21"/>
    </w:rPr>
  </w:style>
  <w:style w:type="character" w:customStyle="1" w:styleId="95">
    <w:name w:val="批注主题 Char"/>
    <w:autoRedefine/>
    <w:semiHidden/>
    <w:qFormat/>
    <w:uiPriority w:val="99"/>
    <w:rPr>
      <w:b/>
      <w:bCs/>
      <w:kern w:val="2"/>
      <w:sz w:val="21"/>
    </w:rPr>
  </w:style>
  <w:style w:type="character" w:customStyle="1" w:styleId="96">
    <w:name w:val="正文文本 Char1"/>
    <w:autoRedefine/>
    <w:qFormat/>
    <w:uiPriority w:val="0"/>
    <w:rPr>
      <w:rFonts w:ascii="宋体" w:hAnsi="Times New Roman" w:eastAsia="宋体" w:cs="Times New Roman"/>
      <w:kern w:val="0"/>
      <w:sz w:val="24"/>
      <w:szCs w:val="24"/>
    </w:rPr>
  </w:style>
  <w:style w:type="character" w:customStyle="1" w:styleId="97">
    <w:name w:val="正文文本 字符1"/>
    <w:autoRedefine/>
    <w:qFormat/>
    <w:uiPriority w:val="99"/>
    <w:rPr>
      <w:rFonts w:ascii="宋体" w:eastAsia="宋体"/>
      <w:b/>
      <w:bCs/>
      <w:sz w:val="84"/>
      <w:szCs w:val="84"/>
      <w:lang w:val="zh-CN"/>
    </w:rPr>
  </w:style>
  <w:style w:type="character" w:customStyle="1" w:styleId="98">
    <w:name w:val="标题 1 Char"/>
    <w:autoRedefine/>
    <w:qFormat/>
    <w:uiPriority w:val="9"/>
    <w:rPr>
      <w:rFonts w:ascii="宋体" w:hAnsi="Times New Roman" w:eastAsia="宋体" w:cs="Times New Roman"/>
      <w:kern w:val="0"/>
      <w:sz w:val="24"/>
      <w:szCs w:val="24"/>
    </w:rPr>
  </w:style>
  <w:style w:type="character" w:customStyle="1" w:styleId="99">
    <w:name w:val="正文文本 Char2"/>
    <w:autoRedefine/>
    <w:qFormat/>
    <w:uiPriority w:val="99"/>
    <w:rPr>
      <w:rFonts w:ascii="宋体" w:eastAsia="宋体"/>
      <w:b/>
      <w:bCs/>
      <w:sz w:val="84"/>
      <w:szCs w:val="84"/>
      <w:lang w:val="zh-CN"/>
    </w:rPr>
  </w:style>
  <w:style w:type="character" w:customStyle="1" w:styleId="100">
    <w:name w:val="纯文本 Char2"/>
    <w:link w:val="22"/>
    <w:autoRedefine/>
    <w:qFormat/>
    <w:uiPriority w:val="0"/>
    <w:rPr>
      <w:rFonts w:ascii="宋体" w:hAnsi="Courier New" w:eastAsia="宋体"/>
    </w:rPr>
  </w:style>
  <w:style w:type="character" w:customStyle="1" w:styleId="101">
    <w:name w:val="正文文本缩进 2 Char"/>
    <w:link w:val="24"/>
    <w:autoRedefine/>
    <w:qFormat/>
    <w:uiPriority w:val="0"/>
    <w:rPr>
      <w:rFonts w:ascii="宋体" w:hAnsi="Times New Roman" w:eastAsia="宋体" w:cs="Times New Roman"/>
      <w:szCs w:val="20"/>
    </w:rPr>
  </w:style>
  <w:style w:type="character" w:customStyle="1" w:styleId="102">
    <w:name w:val="HTML Markup"/>
    <w:autoRedefine/>
    <w:qFormat/>
    <w:uiPriority w:val="0"/>
    <w:rPr>
      <w:vanish/>
      <w:color w:val="FF0000"/>
    </w:rPr>
  </w:style>
  <w:style w:type="character" w:customStyle="1" w:styleId="103">
    <w:name w:val="页眉 Char1"/>
    <w:autoRedefine/>
    <w:qFormat/>
    <w:uiPriority w:val="0"/>
    <w:rPr>
      <w:rFonts w:ascii="宋体" w:hAnsi="Times New Roman" w:eastAsia="宋体" w:cs="Times New Roman"/>
      <w:kern w:val="0"/>
      <w:sz w:val="18"/>
      <w:szCs w:val="18"/>
    </w:rPr>
  </w:style>
  <w:style w:type="character" w:customStyle="1" w:styleId="104">
    <w:name w:val="font11"/>
    <w:autoRedefine/>
    <w:qFormat/>
    <w:uiPriority w:val="0"/>
    <w:rPr>
      <w:rFonts w:hint="eastAsia" w:ascii="宋体" w:hAnsi="宋体" w:eastAsia="宋体" w:cs="宋体"/>
      <w:color w:val="FF0000"/>
      <w:sz w:val="22"/>
      <w:szCs w:val="22"/>
      <w:u w:val="none"/>
    </w:rPr>
  </w:style>
  <w:style w:type="character" w:customStyle="1" w:styleId="105">
    <w:name w:val="style61"/>
    <w:autoRedefine/>
    <w:qFormat/>
    <w:uiPriority w:val="0"/>
    <w:rPr>
      <w:b/>
      <w:bCs/>
    </w:rPr>
  </w:style>
  <w:style w:type="character" w:customStyle="1" w:styleId="106">
    <w:name w:val="表头文字 Char"/>
    <w:link w:val="107"/>
    <w:autoRedefine/>
    <w:qFormat/>
    <w:uiPriority w:val="0"/>
    <w:rPr>
      <w:rFonts w:eastAsia="仿宋_GB2312"/>
      <w:b/>
      <w:sz w:val="28"/>
      <w:szCs w:val="21"/>
    </w:rPr>
  </w:style>
  <w:style w:type="paragraph" w:customStyle="1" w:styleId="107">
    <w:name w:val="表头文字"/>
    <w:basedOn w:val="1"/>
    <w:link w:val="106"/>
    <w:autoRedefine/>
    <w:qFormat/>
    <w:uiPriority w:val="0"/>
    <w:pPr>
      <w:adjustRightInd w:val="0"/>
      <w:snapToGrid w:val="0"/>
      <w:spacing w:before="120" w:line="360" w:lineRule="auto"/>
      <w:jc w:val="center"/>
      <w:textAlignment w:val="baseline"/>
    </w:pPr>
    <w:rPr>
      <w:rFonts w:eastAsia="仿宋_GB2312"/>
      <w:b/>
      <w:sz w:val="28"/>
      <w:szCs w:val="21"/>
    </w:rPr>
  </w:style>
  <w:style w:type="character" w:customStyle="1" w:styleId="108">
    <w:name w:val="日期 Char1"/>
    <w:link w:val="23"/>
    <w:autoRedefine/>
    <w:qFormat/>
    <w:uiPriority w:val="99"/>
    <w:rPr>
      <w:rFonts w:ascii="宋体" w:hAnsi="Times New Roman" w:eastAsia="宋体" w:cs="Times New Roman"/>
      <w:b/>
      <w:bCs/>
      <w:szCs w:val="21"/>
      <w:lang w:val="zh-CN"/>
    </w:rPr>
  </w:style>
  <w:style w:type="character" w:customStyle="1" w:styleId="109">
    <w:name w:val="纯文本 Char1"/>
    <w:autoRedefine/>
    <w:qFormat/>
    <w:uiPriority w:val="0"/>
    <w:rPr>
      <w:rFonts w:ascii="宋体" w:hAnsi="Courier New" w:eastAsia="宋体" w:cs="Courier New"/>
      <w:kern w:val="0"/>
      <w:szCs w:val="21"/>
    </w:rPr>
  </w:style>
  <w:style w:type="character" w:customStyle="1" w:styleId="110">
    <w:name w:val="批注主题 Char1"/>
    <w:link w:val="36"/>
    <w:autoRedefine/>
    <w:qFormat/>
    <w:uiPriority w:val="99"/>
    <w:rPr>
      <w:rFonts w:ascii="宋体" w:hAnsi="Times New Roman" w:eastAsia="宋体" w:cs="Times New Roman"/>
      <w:b/>
      <w:bCs/>
      <w:kern w:val="0"/>
      <w:sz w:val="24"/>
      <w:szCs w:val="24"/>
    </w:rPr>
  </w:style>
  <w:style w:type="character" w:customStyle="1" w:styleId="111">
    <w:name w:val="纯文本 字符"/>
    <w:autoRedefine/>
    <w:qFormat/>
    <w:uiPriority w:val="99"/>
    <w:rPr>
      <w:rFonts w:ascii="宋体" w:hAnsi="Courier New" w:eastAsia="宋体" w:cs="Times New Roman"/>
      <w:szCs w:val="20"/>
      <w:lang w:val="en-US" w:eastAsia="zh-CN"/>
    </w:rPr>
  </w:style>
  <w:style w:type="character" w:customStyle="1" w:styleId="112">
    <w:name w:val="font71"/>
    <w:autoRedefine/>
    <w:qFormat/>
    <w:uiPriority w:val="0"/>
    <w:rPr>
      <w:rFonts w:hint="eastAsia" w:ascii="宋体" w:hAnsi="宋体" w:eastAsia="宋体" w:cs="宋体"/>
      <w:color w:val="FF0000"/>
      <w:sz w:val="18"/>
      <w:szCs w:val="18"/>
      <w:u w:val="none"/>
    </w:rPr>
  </w:style>
  <w:style w:type="character" w:customStyle="1" w:styleId="113">
    <w:name w:val="font21"/>
    <w:autoRedefine/>
    <w:qFormat/>
    <w:uiPriority w:val="0"/>
    <w:rPr>
      <w:rFonts w:hint="eastAsia" w:ascii="宋体" w:hAnsi="宋体" w:eastAsia="宋体" w:cs="宋体"/>
      <w:b/>
      <w:color w:val="000000"/>
      <w:sz w:val="21"/>
      <w:szCs w:val="21"/>
      <w:u w:val="none"/>
    </w:rPr>
  </w:style>
  <w:style w:type="character" w:customStyle="1" w:styleId="114">
    <w:name w:val="纯文本 字符3"/>
    <w:autoRedefine/>
    <w:semiHidden/>
    <w:qFormat/>
    <w:uiPriority w:val="99"/>
    <w:rPr>
      <w:rFonts w:ascii="等线" w:hAnsi="Courier New" w:cs="Courier New"/>
      <w:kern w:val="0"/>
      <w:sz w:val="24"/>
      <w:szCs w:val="24"/>
    </w:rPr>
  </w:style>
  <w:style w:type="character" w:customStyle="1" w:styleId="115">
    <w:name w:val="font31"/>
    <w:qFormat/>
    <w:uiPriority w:val="0"/>
    <w:rPr>
      <w:rFonts w:hint="eastAsia" w:ascii="宋体" w:hAnsi="宋体" w:eastAsia="宋体" w:cs="宋体"/>
      <w:color w:val="000000"/>
      <w:sz w:val="18"/>
      <w:szCs w:val="18"/>
      <w:u w:val="none"/>
    </w:rPr>
  </w:style>
  <w:style w:type="character" w:customStyle="1" w:styleId="116">
    <w:name w:val="文档结构图 Char"/>
    <w:link w:val="14"/>
    <w:autoRedefine/>
    <w:semiHidden/>
    <w:qFormat/>
    <w:uiPriority w:val="99"/>
    <w:rPr>
      <w:rFonts w:ascii="宋体" w:hAnsi="Times New Roman" w:eastAsia="宋体" w:cs="Times New Roman"/>
      <w:kern w:val="0"/>
      <w:sz w:val="24"/>
      <w:szCs w:val="24"/>
      <w:shd w:val="clear" w:color="auto" w:fill="000080"/>
    </w:rPr>
  </w:style>
  <w:style w:type="character" w:customStyle="1" w:styleId="117">
    <w:name w:val="普通(网站) 字符1"/>
    <w:qFormat/>
    <w:locked/>
    <w:uiPriority w:val="0"/>
    <w:rPr>
      <w:rFonts w:ascii="宋体" w:hAnsi="宋体"/>
      <w:sz w:val="15"/>
      <w:szCs w:val="15"/>
    </w:rPr>
  </w:style>
  <w:style w:type="character" w:customStyle="1" w:styleId="118">
    <w:name w:val="正文文本 Char3"/>
    <w:link w:val="18"/>
    <w:qFormat/>
    <w:uiPriority w:val="99"/>
    <w:rPr>
      <w:rFonts w:ascii="宋体" w:eastAsia="宋体"/>
      <w:b/>
      <w:bCs/>
      <w:sz w:val="84"/>
      <w:szCs w:val="84"/>
      <w:lang w:val="zh-CN"/>
    </w:rPr>
  </w:style>
  <w:style w:type="character" w:customStyle="1" w:styleId="119">
    <w:name w:val="标题 5 Char"/>
    <w:autoRedefine/>
    <w:semiHidden/>
    <w:qFormat/>
    <w:uiPriority w:val="9"/>
    <w:rPr>
      <w:b/>
      <w:bCs/>
      <w:kern w:val="2"/>
      <w:sz w:val="28"/>
      <w:szCs w:val="28"/>
    </w:rPr>
  </w:style>
  <w:style w:type="character" w:customStyle="1" w:styleId="120">
    <w:name w:val="页眉 Char2"/>
    <w:link w:val="27"/>
    <w:qFormat/>
    <w:uiPriority w:val="99"/>
    <w:rPr>
      <w:rFonts w:ascii="宋体" w:eastAsia="宋体"/>
      <w:sz w:val="18"/>
      <w:szCs w:val="18"/>
    </w:rPr>
  </w:style>
  <w:style w:type="character" w:customStyle="1" w:styleId="121">
    <w:name w:val="表格文字 Char"/>
    <w:link w:val="122"/>
    <w:autoRedefine/>
    <w:qFormat/>
    <w:uiPriority w:val="0"/>
    <w:rPr>
      <w:rFonts w:eastAsia="仿宋_GB2312"/>
      <w:sz w:val="28"/>
      <w:szCs w:val="24"/>
    </w:rPr>
  </w:style>
  <w:style w:type="paragraph" w:customStyle="1" w:styleId="122">
    <w:name w:val="表格文字"/>
    <w:basedOn w:val="1"/>
    <w:link w:val="121"/>
    <w:autoRedefine/>
    <w:qFormat/>
    <w:uiPriority w:val="0"/>
    <w:rPr>
      <w:rFonts w:eastAsia="仿宋_GB2312"/>
      <w:sz w:val="28"/>
      <w:szCs w:val="24"/>
    </w:rPr>
  </w:style>
  <w:style w:type="character" w:customStyle="1" w:styleId="123">
    <w:name w:val="标题 字符2"/>
    <w:autoRedefine/>
    <w:qFormat/>
    <w:uiPriority w:val="10"/>
    <w:rPr>
      <w:rFonts w:ascii="等线 Light" w:hAnsi="等线 Light" w:eastAsia="等线 Light" w:cs="Times New Roman"/>
      <w:b/>
      <w:bCs/>
      <w:kern w:val="0"/>
      <w:sz w:val="32"/>
      <w:szCs w:val="32"/>
    </w:rPr>
  </w:style>
  <w:style w:type="character" w:customStyle="1" w:styleId="124">
    <w:name w:val="正文缩进2格 Char Char"/>
    <w:qFormat/>
    <w:uiPriority w:val="0"/>
    <w:rPr>
      <w:rFonts w:ascii="仿宋_GB2312" w:hAnsi="宋体" w:eastAsia="仿宋_GB2312"/>
      <w:kern w:val="2"/>
      <w:sz w:val="31"/>
      <w:szCs w:val="28"/>
      <w:lang w:val="en-US" w:eastAsia="zh-CN" w:bidi="ar-SA"/>
    </w:rPr>
  </w:style>
  <w:style w:type="character" w:customStyle="1" w:styleId="125">
    <w:name w:val="小 Char"/>
    <w:qFormat/>
    <w:uiPriority w:val="0"/>
    <w:rPr>
      <w:rFonts w:ascii="宋体" w:hAnsi="Courier New" w:eastAsia="宋体"/>
      <w:kern w:val="2"/>
      <w:sz w:val="21"/>
      <w:lang w:val="en-US" w:eastAsia="zh-CN" w:bidi="ar-SA"/>
    </w:rPr>
  </w:style>
  <w:style w:type="character" w:customStyle="1" w:styleId="126">
    <w:name w:val="themebody1"/>
    <w:autoRedefine/>
    <w:qFormat/>
    <w:uiPriority w:val="0"/>
    <w:rPr>
      <w:color w:val="FFFFFF"/>
    </w:rPr>
  </w:style>
  <w:style w:type="character" w:customStyle="1" w:styleId="127">
    <w:name w:val="页脚 字符1"/>
    <w:semiHidden/>
    <w:qFormat/>
    <w:uiPriority w:val="99"/>
    <w:rPr>
      <w:rFonts w:ascii="宋体" w:hAnsi="Calibri" w:eastAsia="宋体" w:cs="Times New Roman"/>
      <w:kern w:val="0"/>
      <w:sz w:val="18"/>
      <w:szCs w:val="18"/>
    </w:rPr>
  </w:style>
  <w:style w:type="character" w:customStyle="1" w:styleId="128">
    <w:name w:val="列出段落 Char"/>
    <w:link w:val="129"/>
    <w:autoRedefine/>
    <w:qFormat/>
    <w:uiPriority w:val="34"/>
    <w:rPr>
      <w:kern w:val="2"/>
      <w:sz w:val="21"/>
      <w:szCs w:val="22"/>
    </w:rPr>
  </w:style>
  <w:style w:type="paragraph" w:styleId="129">
    <w:name w:val="List Paragraph"/>
    <w:basedOn w:val="1"/>
    <w:link w:val="128"/>
    <w:qFormat/>
    <w:uiPriority w:val="34"/>
    <w:pPr>
      <w:ind w:firstLine="420" w:firstLineChars="200"/>
    </w:pPr>
  </w:style>
  <w:style w:type="character" w:customStyle="1" w:styleId="130">
    <w:name w:val="正文文本 Char"/>
    <w:qFormat/>
    <w:uiPriority w:val="99"/>
    <w:rPr>
      <w:rFonts w:ascii="宋体" w:eastAsia="宋体"/>
      <w:b/>
      <w:bCs/>
      <w:sz w:val="84"/>
      <w:szCs w:val="84"/>
      <w:lang w:val="zh-CN"/>
    </w:rPr>
  </w:style>
  <w:style w:type="character" w:customStyle="1" w:styleId="131">
    <w:name w:val="页眉 字符1"/>
    <w:autoRedefine/>
    <w:semiHidden/>
    <w:qFormat/>
    <w:uiPriority w:val="99"/>
    <w:rPr>
      <w:rFonts w:ascii="宋体" w:hAnsi="Calibri" w:eastAsia="宋体" w:cs="Times New Roman"/>
      <w:kern w:val="0"/>
      <w:sz w:val="18"/>
      <w:szCs w:val="18"/>
    </w:rPr>
  </w:style>
  <w:style w:type="character" w:customStyle="1" w:styleId="132">
    <w:name w:val="标题 5 Char1"/>
    <w:link w:val="6"/>
    <w:autoRedefine/>
    <w:qFormat/>
    <w:uiPriority w:val="9"/>
    <w:rPr>
      <w:rFonts w:ascii="宋体" w:hAnsi="Calibri" w:eastAsia="宋体" w:cs="Times New Roman"/>
      <w:b/>
      <w:bCs/>
      <w:kern w:val="0"/>
      <w:sz w:val="28"/>
      <w:szCs w:val="28"/>
    </w:rPr>
  </w:style>
  <w:style w:type="character" w:customStyle="1" w:styleId="133">
    <w:name w:val="keyfeatures1"/>
    <w:autoRedefine/>
    <w:qFormat/>
    <w:uiPriority w:val="0"/>
    <w:rPr>
      <w:rFonts w:hint="default" w:ascii="Arial" w:hAnsi="Arial" w:cs="Arial"/>
      <w:color w:val="003366"/>
      <w:sz w:val="17"/>
      <w:szCs w:val="17"/>
      <w:u w:val="none"/>
    </w:rPr>
  </w:style>
  <w:style w:type="character" w:customStyle="1" w:styleId="134">
    <w:name w:val="题注 字符"/>
    <w:qFormat/>
    <w:uiPriority w:val="0"/>
    <w:rPr>
      <w:rFonts w:ascii="宋体" w:hAnsi="宋体" w:eastAsia="黑体" w:cs="Times New Roman"/>
      <w:b/>
      <w:szCs w:val="21"/>
    </w:rPr>
  </w:style>
  <w:style w:type="character" w:customStyle="1" w:styleId="135">
    <w:name w:val="标题 4 Char"/>
    <w:autoRedefine/>
    <w:qFormat/>
    <w:uiPriority w:val="0"/>
    <w:rPr>
      <w:rFonts w:ascii="宋体" w:hAnsi="宋体" w:eastAsia="宋体"/>
      <w:b/>
      <w:kern w:val="2"/>
      <w:sz w:val="21"/>
      <w:szCs w:val="24"/>
      <w:lang w:val="en-US" w:eastAsia="zh-CN" w:bidi="ar-SA"/>
    </w:rPr>
  </w:style>
  <w:style w:type="character" w:customStyle="1" w:styleId="136">
    <w:name w:val="批注文字 字符3"/>
    <w:autoRedefine/>
    <w:semiHidden/>
    <w:qFormat/>
    <w:uiPriority w:val="99"/>
    <w:rPr>
      <w:rFonts w:ascii="宋体" w:hAnsi="Calibri" w:eastAsia="宋体" w:cs="Times New Roman"/>
      <w:kern w:val="0"/>
      <w:sz w:val="24"/>
      <w:szCs w:val="24"/>
    </w:rPr>
  </w:style>
  <w:style w:type="character" w:customStyle="1" w:styleId="137">
    <w:name w:val="纯文本 字符1"/>
    <w:qFormat/>
    <w:uiPriority w:val="0"/>
    <w:rPr>
      <w:rFonts w:ascii="宋体" w:hAnsi="Courier New" w:eastAsia="宋体"/>
      <w:kern w:val="2"/>
      <w:sz w:val="21"/>
      <w:szCs w:val="24"/>
      <w:lang w:val="en-US" w:eastAsia="zh-CN" w:bidi="ar-SA"/>
    </w:rPr>
  </w:style>
  <w:style w:type="character" w:customStyle="1" w:styleId="138">
    <w:name w:val="列出段落 Char1"/>
    <w:qFormat/>
    <w:uiPriority w:val="34"/>
    <w:rPr>
      <w:rFonts w:ascii="宋体"/>
      <w:sz w:val="24"/>
      <w:szCs w:val="24"/>
    </w:rPr>
  </w:style>
  <w:style w:type="character" w:customStyle="1" w:styleId="139">
    <w:name w:val="彩色列表 - 着色 1 字符"/>
    <w:link w:val="140"/>
    <w:qFormat/>
    <w:uiPriority w:val="0"/>
    <w:rPr>
      <w:rFonts w:ascii="Calibri" w:hAnsi="Calibri"/>
    </w:rPr>
  </w:style>
  <w:style w:type="paragraph" w:customStyle="1" w:styleId="140">
    <w:name w:val="彩色列表 - 着色 11"/>
    <w:basedOn w:val="1"/>
    <w:link w:val="139"/>
    <w:qFormat/>
    <w:uiPriority w:val="0"/>
    <w:pPr>
      <w:ind w:firstLine="420" w:firstLineChars="200"/>
    </w:pPr>
    <w:rPr>
      <w:rFonts w:ascii="Calibri" w:hAnsi="Calibri"/>
    </w:rPr>
  </w:style>
  <w:style w:type="character" w:customStyle="1" w:styleId="141">
    <w:name w:val="纯文本 Char"/>
    <w:autoRedefine/>
    <w:qFormat/>
    <w:uiPriority w:val="0"/>
    <w:rPr>
      <w:rFonts w:ascii="宋体" w:hAnsi="Courier New" w:eastAsia="宋体" w:cs="Times New Roman"/>
      <w:szCs w:val="20"/>
    </w:rPr>
  </w:style>
  <w:style w:type="character" w:customStyle="1" w:styleId="142">
    <w:name w:val="标题 6 Char"/>
    <w:link w:val="7"/>
    <w:autoRedefine/>
    <w:qFormat/>
    <w:uiPriority w:val="9"/>
    <w:rPr>
      <w:rFonts w:ascii="Times New Roman" w:hAnsi="Calibri" w:eastAsia="黑体" w:cs="Times New Roman"/>
      <w:b/>
      <w:bCs/>
      <w:kern w:val="0"/>
      <w:sz w:val="28"/>
      <w:szCs w:val="24"/>
    </w:rPr>
  </w:style>
  <w:style w:type="character" w:customStyle="1" w:styleId="143">
    <w:name w:val="正文文本 2 Char"/>
    <w:link w:val="32"/>
    <w:autoRedefine/>
    <w:qFormat/>
    <w:uiPriority w:val="0"/>
    <w:rPr>
      <w:rFonts w:ascii="Arial" w:hAnsi="Arial" w:eastAsia="宋体" w:cs="Times New Roman"/>
      <w:color w:val="000000"/>
      <w:szCs w:val="24"/>
    </w:rPr>
  </w:style>
  <w:style w:type="character" w:customStyle="1" w:styleId="144">
    <w:name w:val="标题 3 Char"/>
    <w:link w:val="2"/>
    <w:autoRedefine/>
    <w:qFormat/>
    <w:uiPriority w:val="0"/>
    <w:rPr>
      <w:rFonts w:ascii="宋体" w:hAnsi="Calibri" w:eastAsia="宋体" w:cs="Times New Roman"/>
      <w:kern w:val="0"/>
      <w:sz w:val="24"/>
      <w:szCs w:val="24"/>
    </w:rPr>
  </w:style>
  <w:style w:type="character" w:customStyle="1" w:styleId="145">
    <w:name w:val="正文文本缩进 2 字符1"/>
    <w:autoRedefine/>
    <w:semiHidden/>
    <w:qFormat/>
    <w:uiPriority w:val="99"/>
    <w:rPr>
      <w:rFonts w:ascii="宋体" w:hAnsi="Calibri" w:eastAsia="宋体" w:cs="Times New Roman"/>
      <w:kern w:val="0"/>
      <w:sz w:val="24"/>
      <w:szCs w:val="24"/>
    </w:rPr>
  </w:style>
  <w:style w:type="character" w:customStyle="1" w:styleId="146">
    <w:name w:val="正文文本缩进 3 字符1"/>
    <w:autoRedefine/>
    <w:semiHidden/>
    <w:qFormat/>
    <w:uiPriority w:val="99"/>
    <w:rPr>
      <w:rFonts w:ascii="宋体" w:hAnsi="Calibri" w:eastAsia="宋体" w:cs="Times New Roman"/>
      <w:kern w:val="0"/>
      <w:sz w:val="16"/>
      <w:szCs w:val="16"/>
    </w:rPr>
  </w:style>
  <w:style w:type="character" w:customStyle="1" w:styleId="147">
    <w:name w:val="正文文本 2 字符1"/>
    <w:autoRedefine/>
    <w:semiHidden/>
    <w:qFormat/>
    <w:uiPriority w:val="99"/>
    <w:rPr>
      <w:rFonts w:ascii="宋体" w:hAnsi="Calibri" w:eastAsia="宋体" w:cs="Times New Roman"/>
      <w:kern w:val="0"/>
      <w:sz w:val="24"/>
      <w:szCs w:val="24"/>
    </w:rPr>
  </w:style>
  <w:style w:type="character" w:customStyle="1" w:styleId="148">
    <w:name w:val="eschoolnr"/>
    <w:autoRedefine/>
    <w:qFormat/>
    <w:uiPriority w:val="0"/>
    <w:rPr>
      <w:sz w:val="23"/>
      <w:szCs w:val="23"/>
    </w:rPr>
  </w:style>
  <w:style w:type="character" w:customStyle="1" w:styleId="149">
    <w:name w:val="访问过的超链接1"/>
    <w:autoRedefine/>
    <w:qFormat/>
    <w:uiPriority w:val="0"/>
    <w:rPr>
      <w:rFonts w:ascii="Arial" w:hAnsi="Arial" w:cs="Arial"/>
      <w:color w:val="000000"/>
      <w:sz w:val="20"/>
      <w:szCs w:val="20"/>
      <w:u w:val="none"/>
    </w:rPr>
  </w:style>
  <w:style w:type="character" w:customStyle="1" w:styleId="150">
    <w:name w:val="标题 1 Char1"/>
    <w:link w:val="3"/>
    <w:autoRedefine/>
    <w:qFormat/>
    <w:uiPriority w:val="0"/>
    <w:rPr>
      <w:rFonts w:ascii="宋体" w:hAnsi="Calibri" w:eastAsia="宋体" w:cs="Times New Roman"/>
      <w:kern w:val="0"/>
      <w:sz w:val="24"/>
      <w:szCs w:val="24"/>
    </w:rPr>
  </w:style>
  <w:style w:type="character" w:customStyle="1" w:styleId="151">
    <w:name w:val="批注文字 Char1"/>
    <w:qFormat/>
    <w:uiPriority w:val="0"/>
    <w:rPr>
      <w:kern w:val="2"/>
      <w:sz w:val="21"/>
      <w:szCs w:val="24"/>
    </w:rPr>
  </w:style>
  <w:style w:type="character" w:customStyle="1" w:styleId="152">
    <w:name w:val="批注框文本 Char"/>
    <w:autoRedefine/>
    <w:semiHidden/>
    <w:qFormat/>
    <w:uiPriority w:val="99"/>
    <w:rPr>
      <w:kern w:val="2"/>
      <w:sz w:val="18"/>
      <w:szCs w:val="18"/>
    </w:rPr>
  </w:style>
  <w:style w:type="character" w:customStyle="1" w:styleId="153">
    <w:name w:val="DAS正文 Char"/>
    <w:autoRedefine/>
    <w:qFormat/>
    <w:uiPriority w:val="0"/>
    <w:rPr>
      <w:rFonts w:ascii="Verdana" w:hAnsi="Verdana" w:eastAsia="宋体"/>
      <w:kern w:val="2"/>
      <w:sz w:val="21"/>
      <w:szCs w:val="21"/>
      <w:lang w:val="en-US" w:eastAsia="zh-CN" w:bidi="ar-SA"/>
    </w:rPr>
  </w:style>
  <w:style w:type="character" w:customStyle="1" w:styleId="154">
    <w:name w:val="正文文本缩进 3 Char"/>
    <w:link w:val="30"/>
    <w:qFormat/>
    <w:uiPriority w:val="0"/>
    <w:rPr>
      <w:rFonts w:ascii="宋体" w:hAnsi="Times New Roman" w:eastAsia="宋体" w:cs="Times New Roman"/>
      <w:kern w:val="0"/>
      <w:sz w:val="24"/>
      <w:szCs w:val="24"/>
    </w:rPr>
  </w:style>
  <w:style w:type="character" w:customStyle="1" w:styleId="155">
    <w:name w:val="页眉 Char"/>
    <w:autoRedefine/>
    <w:qFormat/>
    <w:uiPriority w:val="99"/>
    <w:rPr>
      <w:kern w:val="2"/>
      <w:sz w:val="18"/>
      <w:szCs w:val="18"/>
    </w:rPr>
  </w:style>
  <w:style w:type="character" w:customStyle="1" w:styleId="156">
    <w:name w:val="正文文本 3 Char"/>
    <w:link w:val="17"/>
    <w:autoRedefine/>
    <w:qFormat/>
    <w:uiPriority w:val="0"/>
    <w:rPr>
      <w:rFonts w:ascii="宋体" w:hAnsi="Times New Roman" w:eastAsia="宋体" w:cs="Times New Roman"/>
      <w:b/>
      <w:bCs/>
      <w:color w:val="3366FF"/>
      <w:sz w:val="52"/>
      <w:szCs w:val="52"/>
      <w:lang w:val="zh-CN"/>
    </w:rPr>
  </w:style>
  <w:style w:type="character" w:customStyle="1" w:styleId="157">
    <w:name w:val="HTML 预设格式 字符1"/>
    <w:semiHidden/>
    <w:qFormat/>
    <w:uiPriority w:val="99"/>
    <w:rPr>
      <w:rFonts w:ascii="Courier New" w:hAnsi="Courier New" w:eastAsia="宋体" w:cs="Courier New"/>
      <w:kern w:val="0"/>
      <w:sz w:val="20"/>
      <w:szCs w:val="20"/>
    </w:rPr>
  </w:style>
  <w:style w:type="character" w:customStyle="1" w:styleId="158">
    <w:name w:val="彩色列表 - 强调文字颜色 1 Char"/>
    <w:link w:val="159"/>
    <w:autoRedefine/>
    <w:qFormat/>
    <w:uiPriority w:val="0"/>
    <w:rPr>
      <w:rFonts w:ascii="宋体"/>
      <w:sz w:val="24"/>
      <w:szCs w:val="24"/>
    </w:rPr>
  </w:style>
  <w:style w:type="paragraph" w:customStyle="1" w:styleId="159">
    <w:name w:val="彩色列表 - 强调文字颜色 11"/>
    <w:basedOn w:val="1"/>
    <w:link w:val="158"/>
    <w:autoRedefine/>
    <w:qFormat/>
    <w:uiPriority w:val="0"/>
    <w:pPr>
      <w:autoSpaceDE w:val="0"/>
      <w:autoSpaceDN w:val="0"/>
      <w:adjustRightInd w:val="0"/>
      <w:ind w:firstLine="420" w:firstLineChars="200"/>
      <w:jc w:val="left"/>
    </w:pPr>
    <w:rPr>
      <w:rFonts w:ascii="宋体"/>
      <w:sz w:val="24"/>
      <w:szCs w:val="24"/>
    </w:rPr>
  </w:style>
  <w:style w:type="character" w:customStyle="1" w:styleId="160">
    <w:name w:val="普通(网站) 字符"/>
    <w:qFormat/>
    <w:locked/>
    <w:uiPriority w:val="99"/>
    <w:rPr>
      <w:rFonts w:ascii="宋体" w:hAnsi="宋体" w:eastAsia="宋体" w:cs="Times New Roman"/>
      <w:kern w:val="0"/>
      <w:sz w:val="15"/>
      <w:szCs w:val="15"/>
      <w:lang w:val="en-US" w:eastAsia="zh-CN"/>
    </w:rPr>
  </w:style>
  <w:style w:type="paragraph" w:customStyle="1" w:styleId="161">
    <w:name w:val="_Style 123"/>
    <w:basedOn w:val="1"/>
    <w:next w:val="129"/>
    <w:qFormat/>
    <w:uiPriority w:val="34"/>
    <w:pPr>
      <w:spacing w:line="360" w:lineRule="auto"/>
      <w:ind w:firstLine="420" w:firstLineChars="200"/>
    </w:pPr>
    <w:rPr>
      <w:rFonts w:ascii="Calibri" w:hAnsi="Calibri" w:eastAsia="宋体" w:cs="Times New Roman"/>
    </w:rPr>
  </w:style>
  <w:style w:type="character" w:customStyle="1" w:styleId="162">
    <w:name w:val="纯文本 字符4"/>
    <w:basedOn w:val="39"/>
    <w:semiHidden/>
    <w:qFormat/>
    <w:uiPriority w:val="99"/>
    <w:rPr>
      <w:rFonts w:hAnsi="Courier New" w:cs="Courier New" w:asciiTheme="minorEastAsia"/>
    </w:rPr>
  </w:style>
  <w:style w:type="character" w:customStyle="1" w:styleId="163">
    <w:name w:val="批注文字 Char2"/>
    <w:basedOn w:val="39"/>
    <w:link w:val="16"/>
    <w:semiHidden/>
    <w:qFormat/>
    <w:uiPriority w:val="99"/>
  </w:style>
  <w:style w:type="character" w:customStyle="1" w:styleId="164">
    <w:name w:val="批注主题 字符2"/>
    <w:basedOn w:val="163"/>
    <w:semiHidden/>
    <w:qFormat/>
    <w:uiPriority w:val="99"/>
    <w:rPr>
      <w:b/>
      <w:bCs/>
    </w:rPr>
  </w:style>
  <w:style w:type="character" w:customStyle="1" w:styleId="165">
    <w:name w:val="标题 字符3"/>
    <w:basedOn w:val="39"/>
    <w:qFormat/>
    <w:uiPriority w:val="10"/>
    <w:rPr>
      <w:rFonts w:asciiTheme="majorHAnsi" w:hAnsiTheme="majorHAnsi" w:eastAsiaTheme="majorEastAsia" w:cstheme="majorBidi"/>
      <w:b/>
      <w:bCs/>
      <w:sz w:val="32"/>
      <w:szCs w:val="32"/>
    </w:rPr>
  </w:style>
  <w:style w:type="character" w:customStyle="1" w:styleId="166">
    <w:name w:val="正文文本缩进 字符3"/>
    <w:basedOn w:val="39"/>
    <w:semiHidden/>
    <w:qFormat/>
    <w:uiPriority w:val="99"/>
  </w:style>
  <w:style w:type="character" w:customStyle="1" w:styleId="167">
    <w:name w:val="正文文本 字符4"/>
    <w:basedOn w:val="39"/>
    <w:semiHidden/>
    <w:qFormat/>
    <w:uiPriority w:val="99"/>
  </w:style>
  <w:style w:type="character" w:customStyle="1" w:styleId="168">
    <w:name w:val="正文文本缩进 3 字符2"/>
    <w:basedOn w:val="39"/>
    <w:autoRedefine/>
    <w:semiHidden/>
    <w:qFormat/>
    <w:uiPriority w:val="99"/>
    <w:rPr>
      <w:sz w:val="16"/>
      <w:szCs w:val="16"/>
    </w:rPr>
  </w:style>
  <w:style w:type="character" w:customStyle="1" w:styleId="169">
    <w:name w:val="页眉 字符2"/>
    <w:basedOn w:val="39"/>
    <w:semiHidden/>
    <w:qFormat/>
    <w:uiPriority w:val="99"/>
    <w:rPr>
      <w:sz w:val="18"/>
      <w:szCs w:val="18"/>
    </w:rPr>
  </w:style>
  <w:style w:type="character" w:customStyle="1" w:styleId="170">
    <w:name w:val="批注框文本 字符2"/>
    <w:basedOn w:val="39"/>
    <w:semiHidden/>
    <w:qFormat/>
    <w:uiPriority w:val="99"/>
    <w:rPr>
      <w:sz w:val="18"/>
      <w:szCs w:val="18"/>
    </w:rPr>
  </w:style>
  <w:style w:type="character" w:customStyle="1" w:styleId="171">
    <w:name w:val="HTML 预设格式 字符2"/>
    <w:basedOn w:val="39"/>
    <w:semiHidden/>
    <w:qFormat/>
    <w:uiPriority w:val="99"/>
    <w:rPr>
      <w:rFonts w:ascii="Courier New" w:hAnsi="Courier New" w:cs="Courier New"/>
      <w:sz w:val="20"/>
      <w:szCs w:val="20"/>
    </w:rPr>
  </w:style>
  <w:style w:type="character" w:customStyle="1" w:styleId="172">
    <w:name w:val="页脚 字符2"/>
    <w:basedOn w:val="39"/>
    <w:semiHidden/>
    <w:qFormat/>
    <w:uiPriority w:val="99"/>
    <w:rPr>
      <w:sz w:val="18"/>
      <w:szCs w:val="18"/>
    </w:rPr>
  </w:style>
  <w:style w:type="character" w:customStyle="1" w:styleId="173">
    <w:name w:val="正文文本缩进 2 字符2"/>
    <w:basedOn w:val="39"/>
    <w:semiHidden/>
    <w:qFormat/>
    <w:uiPriority w:val="99"/>
  </w:style>
  <w:style w:type="character" w:customStyle="1" w:styleId="174">
    <w:name w:val="正文文本 3 字符2"/>
    <w:basedOn w:val="39"/>
    <w:semiHidden/>
    <w:qFormat/>
    <w:uiPriority w:val="99"/>
    <w:rPr>
      <w:sz w:val="16"/>
      <w:szCs w:val="16"/>
    </w:rPr>
  </w:style>
  <w:style w:type="character" w:customStyle="1" w:styleId="175">
    <w:name w:val="正文文本 2 字符2"/>
    <w:basedOn w:val="39"/>
    <w:semiHidden/>
    <w:qFormat/>
    <w:uiPriority w:val="99"/>
  </w:style>
  <w:style w:type="paragraph" w:customStyle="1" w:styleId="176">
    <w:name w:val="WPSOffice手动目录 3"/>
    <w:autoRedefine/>
    <w:qFormat/>
    <w:uiPriority w:val="0"/>
    <w:pPr>
      <w:ind w:left="400" w:leftChars="400"/>
    </w:pPr>
    <w:rPr>
      <w:rFonts w:ascii="Calibri" w:hAnsi="Calibri" w:eastAsia="宋体" w:cs="Times New Roman"/>
      <w:lang w:val="en-US" w:eastAsia="zh-CN" w:bidi="ar-SA"/>
    </w:rPr>
  </w:style>
  <w:style w:type="paragraph" w:customStyle="1" w:styleId="177">
    <w:name w:val="列表段落1"/>
    <w:basedOn w:val="1"/>
    <w:autoRedefine/>
    <w:qFormat/>
    <w:uiPriority w:val="0"/>
    <w:pPr>
      <w:ind w:firstLine="420" w:firstLineChars="200"/>
    </w:pPr>
    <w:rPr>
      <w:rFonts w:ascii="Times New Roman" w:hAnsi="Times New Roman" w:eastAsia="宋体" w:cs="Times New Roman"/>
      <w:szCs w:val="20"/>
    </w:rPr>
  </w:style>
  <w:style w:type="character" w:customStyle="1" w:styleId="178">
    <w:name w:val="文档结构图 字符2"/>
    <w:basedOn w:val="39"/>
    <w:autoRedefine/>
    <w:semiHidden/>
    <w:qFormat/>
    <w:uiPriority w:val="99"/>
    <w:rPr>
      <w:rFonts w:ascii="Microsoft YaHei UI" w:eastAsia="Microsoft YaHei UI"/>
      <w:sz w:val="18"/>
      <w:szCs w:val="18"/>
    </w:rPr>
  </w:style>
  <w:style w:type="character" w:customStyle="1" w:styleId="179">
    <w:name w:val="日期 字符2"/>
    <w:basedOn w:val="39"/>
    <w:semiHidden/>
    <w:qFormat/>
    <w:uiPriority w:val="99"/>
  </w:style>
  <w:style w:type="paragraph" w:customStyle="1" w:styleId="180">
    <w:name w:val="彩色底纹 - 强调文字颜色 11"/>
    <w:semiHidden/>
    <w:qFormat/>
    <w:uiPriority w:val="99"/>
    <w:rPr>
      <w:rFonts w:ascii="宋体" w:hAnsi="Calibri" w:eastAsia="宋体" w:cs="Times New Roman"/>
      <w:sz w:val="24"/>
      <w:szCs w:val="24"/>
      <w:lang w:val="en-US" w:eastAsia="zh-CN" w:bidi="ar-SA"/>
    </w:rPr>
  </w:style>
  <w:style w:type="paragraph" w:customStyle="1" w:styleId="181">
    <w:name w:val="d"/>
    <w:basedOn w:val="1"/>
    <w:qFormat/>
    <w:uiPriority w:val="0"/>
    <w:pPr>
      <w:overflowPunct w:val="0"/>
      <w:autoSpaceDE w:val="0"/>
      <w:autoSpaceDN w:val="0"/>
      <w:adjustRightInd w:val="0"/>
      <w:snapToGrid w:val="0"/>
      <w:spacing w:line="360" w:lineRule="auto"/>
      <w:ind w:firstLine="480" w:firstLineChars="200"/>
    </w:pPr>
    <w:rPr>
      <w:rFonts w:ascii="宋体" w:hAnsi="宋体" w:eastAsia="宋体" w:cs="Arial"/>
      <w:snapToGrid w:val="0"/>
      <w:kern w:val="0"/>
      <w:sz w:val="24"/>
      <w:szCs w:val="21"/>
    </w:rPr>
  </w:style>
  <w:style w:type="paragraph" w:customStyle="1" w:styleId="182">
    <w:name w:val="修订1"/>
    <w:autoRedefine/>
    <w:semiHidden/>
    <w:qFormat/>
    <w:uiPriority w:val="99"/>
    <w:rPr>
      <w:rFonts w:ascii="宋体" w:hAnsi="Calibri" w:eastAsia="宋体" w:cs="Times New Roman"/>
      <w:sz w:val="24"/>
      <w:szCs w:val="24"/>
      <w:lang w:val="en-US" w:eastAsia="zh-CN" w:bidi="ar-SA"/>
    </w:rPr>
  </w:style>
  <w:style w:type="paragraph" w:customStyle="1" w:styleId="183">
    <w:name w:val="图/图注"/>
    <w:basedOn w:val="8"/>
    <w:qFormat/>
    <w:uiPriority w:val="0"/>
    <w:pPr>
      <w:wordWrap/>
      <w:autoSpaceDE/>
      <w:autoSpaceDN/>
      <w:adjustRightInd/>
      <w:spacing w:before="50"/>
      <w:ind w:firstLine="0" w:firstLineChars="0"/>
      <w:jc w:val="center"/>
    </w:pPr>
    <w:rPr>
      <w:rFonts w:ascii="Times New Roman" w:eastAsia="黑体"/>
      <w:b/>
      <w:sz w:val="21"/>
      <w:szCs w:val="22"/>
    </w:rPr>
  </w:style>
  <w:style w:type="paragraph" w:customStyle="1" w:styleId="184">
    <w:name w:val="Default"/>
    <w:autoRedefine/>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85">
    <w:name w:val="A."/>
    <w:basedOn w:val="1"/>
    <w:autoRedefine/>
    <w:qFormat/>
    <w:uiPriority w:val="0"/>
    <w:pPr>
      <w:widowControl/>
      <w:tabs>
        <w:tab w:val="left" w:pos="859"/>
        <w:tab w:val="left" w:pos="1200"/>
      </w:tabs>
      <w:spacing w:before="240" w:line="240" w:lineRule="atLeast"/>
      <w:ind w:left="859" w:hanging="453"/>
    </w:pPr>
    <w:rPr>
      <w:rFonts w:ascii="Times New Roman" w:hAnsi="Times New Roman" w:eastAsia="宋体" w:cs="Times New Roman"/>
      <w:sz w:val="24"/>
      <w:szCs w:val="24"/>
    </w:rPr>
  </w:style>
  <w:style w:type="paragraph" w:customStyle="1" w:styleId="186">
    <w:name w:val="Pa8"/>
    <w:basedOn w:val="1"/>
    <w:next w:val="1"/>
    <w:qFormat/>
    <w:uiPriority w:val="99"/>
    <w:pPr>
      <w:autoSpaceDE w:val="0"/>
      <w:autoSpaceDN w:val="0"/>
      <w:adjustRightInd w:val="0"/>
      <w:spacing w:line="181" w:lineRule="atLeast"/>
      <w:jc w:val="left"/>
    </w:pPr>
    <w:rPr>
      <w:rFonts w:ascii="FrutigerNext LT Light" w:hAnsi="Calibri" w:eastAsia="FrutigerNext LT Light" w:cs="Times New Roman"/>
      <w:kern w:val="0"/>
      <w:sz w:val="24"/>
      <w:szCs w:val="24"/>
    </w:rPr>
  </w:style>
  <w:style w:type="paragraph" w:customStyle="1" w:styleId="187">
    <w:name w:val="p0"/>
    <w:basedOn w:val="1"/>
    <w:qFormat/>
    <w:uiPriority w:val="0"/>
    <w:pPr>
      <w:widowControl/>
    </w:pPr>
    <w:rPr>
      <w:rFonts w:ascii="Times New Roman" w:hAnsi="Calibri" w:eastAsia="宋体" w:cs="Times New Roman"/>
      <w:kern w:val="0"/>
      <w:szCs w:val="20"/>
    </w:rPr>
  </w:style>
  <w:style w:type="paragraph" w:customStyle="1" w:styleId="188">
    <w:name w:val="Char Char Char Char Char Char"/>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9">
    <w:name w:val="Char"/>
    <w:basedOn w:val="1"/>
    <w:autoRedefine/>
    <w:qFormat/>
    <w:uiPriority w:val="0"/>
    <w:pPr>
      <w:widowControl/>
      <w:spacing w:after="160" w:line="240" w:lineRule="exact"/>
      <w:jc w:val="center"/>
    </w:pPr>
    <w:rPr>
      <w:rFonts w:ascii="Times New Roman" w:hAnsi="Times New Roman" w:eastAsia="宋体" w:cs="Times New Roman"/>
      <w:szCs w:val="24"/>
    </w:rPr>
  </w:style>
  <w:style w:type="paragraph" w:customStyle="1" w:styleId="190">
    <w:name w:val="网格表 32"/>
    <w:basedOn w:val="3"/>
    <w:next w:val="1"/>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1">
    <w:name w:val="WPSOffice手动目录 1"/>
    <w:qFormat/>
    <w:uiPriority w:val="0"/>
    <w:rPr>
      <w:rFonts w:ascii="Calibri" w:hAnsi="Calibri" w:eastAsia="宋体" w:cs="Times New Roman"/>
      <w:lang w:val="en-US" w:eastAsia="zh-CN" w:bidi="ar-SA"/>
    </w:rPr>
  </w:style>
  <w:style w:type="paragraph" w:customStyle="1" w:styleId="192">
    <w:name w:val="_Style 69"/>
    <w:basedOn w:val="1"/>
    <w:next w:val="129"/>
    <w:qFormat/>
    <w:uiPriority w:val="34"/>
    <w:pPr>
      <w:spacing w:line="360" w:lineRule="auto"/>
      <w:ind w:firstLine="420" w:firstLineChars="200"/>
    </w:pPr>
    <w:rPr>
      <w:rFonts w:ascii="Calibri" w:hAnsi="Calibri" w:eastAsia="宋体" w:cs="Times New Roman"/>
    </w:rPr>
  </w:style>
  <w:style w:type="paragraph" w:customStyle="1" w:styleId="193">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94">
    <w:name w:val="保留正文"/>
    <w:basedOn w:val="18"/>
    <w:autoRedefine/>
    <w:qFormat/>
    <w:uiPriority w:val="0"/>
    <w:pPr>
      <w:keepNext/>
      <w:autoSpaceDE/>
      <w:autoSpaceDN/>
      <w:adjustRightInd/>
      <w:spacing w:after="160"/>
      <w:ind w:right="0"/>
      <w:jc w:val="both"/>
    </w:pPr>
    <w:rPr>
      <w:rFonts w:ascii="Times New Roman"/>
      <w:b w:val="0"/>
      <w:bCs w:val="0"/>
      <w:sz w:val="21"/>
      <w:szCs w:val="24"/>
      <w:lang w:val="en-US"/>
    </w:rPr>
  </w:style>
  <w:style w:type="paragraph" w:customStyle="1" w:styleId="195">
    <w:name w:val="彩色底纹 - 着色 11"/>
    <w:semiHidden/>
    <w:qFormat/>
    <w:uiPriority w:val="99"/>
    <w:rPr>
      <w:rFonts w:ascii="宋体" w:hAnsi="Calibri" w:eastAsia="宋体" w:cs="Times New Roman"/>
      <w:sz w:val="24"/>
      <w:szCs w:val="24"/>
      <w:lang w:val="en-US" w:eastAsia="zh-CN" w:bidi="ar-SA"/>
    </w:rPr>
  </w:style>
  <w:style w:type="paragraph" w:customStyle="1" w:styleId="196">
    <w:name w:val="WPSOffice手动目录 2"/>
    <w:qFormat/>
    <w:uiPriority w:val="0"/>
    <w:pPr>
      <w:ind w:left="200" w:leftChars="200"/>
    </w:pPr>
    <w:rPr>
      <w:rFonts w:ascii="Calibri" w:hAnsi="Calibri" w:eastAsia="宋体" w:cs="Times New Roman"/>
      <w:lang w:val="en-US" w:eastAsia="zh-CN" w:bidi="ar-SA"/>
    </w:rPr>
  </w:style>
  <w:style w:type="paragraph" w:customStyle="1" w:styleId="197">
    <w:name w:val="网格表 31"/>
    <w:basedOn w:val="3"/>
    <w:next w:val="1"/>
    <w:autoRedefine/>
    <w:unhideWhenUsed/>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8">
    <w:name w:val="表格文字居中"/>
    <w:basedOn w:val="122"/>
    <w:autoRedefine/>
    <w:qFormat/>
    <w:uiPriority w:val="0"/>
    <w:pPr>
      <w:jc w:val="center"/>
    </w:pPr>
    <w:rPr>
      <w:rFonts w:cs="宋体"/>
      <w:szCs w:val="20"/>
    </w:rPr>
  </w:style>
  <w:style w:type="paragraph" w:customStyle="1" w:styleId="199">
    <w:name w:val="正文缩进4格"/>
    <w:basedOn w:val="63"/>
    <w:qFormat/>
    <w:uiPriority w:val="0"/>
    <w:pPr>
      <w:spacing w:line="360" w:lineRule="auto"/>
      <w:ind w:left="964" w:leftChars="314" w:hanging="210" w:hangingChars="100"/>
    </w:pPr>
    <w:rPr>
      <w:rFonts w:ascii="宋体" w:eastAsia="宋体"/>
      <w:sz w:val="21"/>
      <w:szCs w:val="21"/>
      <w:lang w:val="zh-CN"/>
    </w:rPr>
  </w:style>
  <w:style w:type="paragraph" w:customStyle="1" w:styleId="200">
    <w:name w:val="版本说明标题"/>
    <w:basedOn w:val="1"/>
    <w:qFormat/>
    <w:uiPriority w:val="0"/>
    <w:pPr>
      <w:adjustRightInd w:val="0"/>
      <w:snapToGrid w:val="0"/>
      <w:spacing w:beforeLines="50" w:afterLines="50"/>
      <w:ind w:firstLine="560"/>
      <w:jc w:val="center"/>
      <w:textAlignment w:val="baseline"/>
    </w:pPr>
    <w:rPr>
      <w:rFonts w:ascii="Times New Roman" w:hAnsi="Calibri" w:eastAsia="仿宋_GB2312" w:cs="Times New Roman"/>
      <w:b/>
      <w:color w:val="000000"/>
      <w:sz w:val="28"/>
      <w:szCs w:val="28"/>
    </w:rPr>
  </w:style>
  <w:style w:type="character" w:customStyle="1" w:styleId="201">
    <w:name w:val="正文首行缩进 Char"/>
    <w:basedOn w:val="118"/>
    <w:link w:val="19"/>
    <w:semiHidden/>
    <w:qFormat/>
    <w:uiPriority w:val="99"/>
    <w:rPr>
      <w:rFonts w:ascii="宋体" w:eastAsia="宋体"/>
      <w:b w:val="0"/>
      <w:bCs w:val="0"/>
      <w:sz w:val="84"/>
      <w:szCs w:val="84"/>
      <w:lang w:val="zh-CN"/>
    </w:rPr>
  </w:style>
  <w:style w:type="paragraph" w:customStyle="1" w:styleId="202">
    <w:name w:val="修订2"/>
    <w:autoRedefine/>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03">
    <w:name w:val="Char1 Char Char Char1 Char Char Char"/>
    <w:basedOn w:val="1"/>
    <w:qFormat/>
    <w:uiPriority w:val="0"/>
    <w:pPr>
      <w:autoSpaceDE/>
      <w:autoSpaceDN/>
      <w:adjustRightInd/>
      <w:spacing w:line="360" w:lineRule="auto"/>
    </w:pPr>
    <w:rPr>
      <w:rFonts w:ascii="Times New Roman"/>
      <w:kern w:val="2"/>
      <w:sz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9247</Words>
  <Characters>9658</Characters>
  <Lines>314</Lines>
  <Paragraphs>88</Paragraphs>
  <TotalTime>7</TotalTime>
  <ScaleCrop>false</ScaleCrop>
  <LinksUpToDate>false</LinksUpToDate>
  <CharactersWithSpaces>9722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2023-07-19T02:55:00Z</dcterms:created>
  <dc:creator>HS</dc:creator>
  <cp:lastModifiedBy>严霞</cp:lastModifiedBy>
  <cp:lastPrinted>2024-10-21T03:29:00Z</cp:lastPrinted>
  <dcterms:modified xsi:type="dcterms:W3CDTF">2025-08-29T06:48:45Z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E29938F7B2AC44BC99E382DA30983214_13</vt:lpwstr>
  </property>
</Properties>
</file>