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DF307">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7917DD24">
      <w:pPr>
        <w:autoSpaceDE w:val="0"/>
        <w:autoSpaceDN w:val="0"/>
        <w:adjustRightInd w:val="0"/>
        <w:ind w:right="-23" w:rightChars="-11"/>
        <w:jc w:val="center"/>
        <w:rPr>
          <w:rFonts w:ascii="宋体" w:hAnsi="宋体" w:eastAsia="宋体" w:cs="宋体"/>
          <w:b/>
          <w:bCs/>
          <w:color w:val="auto"/>
          <w:sz w:val="60"/>
          <w:szCs w:val="60"/>
          <w:highlight w:val="none"/>
          <w:lang w:val="zh-CN"/>
        </w:rPr>
      </w:pPr>
      <w:r>
        <w:rPr>
          <w:rFonts w:hint="eastAsia" w:ascii="宋体" w:hAnsi="宋体" w:eastAsia="宋体" w:cs="宋体"/>
          <w:b/>
          <w:bCs/>
          <w:color w:val="auto"/>
          <w:sz w:val="60"/>
          <w:szCs w:val="60"/>
          <w:highlight w:val="none"/>
          <w:lang w:val="zh-CN"/>
        </w:rPr>
        <w:t>东莞市水务环境投资控股集团分布式光伏发电项目（第一批）供水厂项目</w:t>
      </w:r>
    </w:p>
    <w:p w14:paraId="063ADE09">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3C8895C5">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45DEC623">
      <w:pPr>
        <w:autoSpaceDE w:val="0"/>
        <w:autoSpaceDN w:val="0"/>
        <w:adjustRightInd w:val="0"/>
        <w:ind w:right="-23" w:rightChars="-11"/>
        <w:jc w:val="center"/>
        <w:rPr>
          <w:rFonts w:ascii="宋体" w:hAnsi="宋体" w:eastAsia="宋体" w:cs="宋体"/>
          <w:b/>
          <w:bCs/>
          <w:color w:val="auto"/>
          <w:sz w:val="72"/>
          <w:szCs w:val="72"/>
          <w:highlight w:val="none"/>
          <w:lang w:val="zh-CN"/>
        </w:rPr>
      </w:pPr>
    </w:p>
    <w:p w14:paraId="7976037F">
      <w:pPr>
        <w:autoSpaceDE w:val="0"/>
        <w:autoSpaceDN w:val="0"/>
        <w:adjustRightInd w:val="0"/>
        <w:ind w:right="-23" w:rightChars="-11"/>
        <w:jc w:val="center"/>
        <w:rPr>
          <w:rFonts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14:paraId="59CA0C43">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133A5AAA">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0EA11880">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3F454379">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32826819">
      <w:pPr>
        <w:autoSpaceDE w:val="0"/>
        <w:autoSpaceDN w:val="0"/>
        <w:adjustRightInd w:val="0"/>
        <w:spacing w:line="480" w:lineRule="auto"/>
        <w:ind w:left="1842" w:leftChars="877" w:firstLine="19" w:firstLineChars="6"/>
        <w:jc w:val="left"/>
        <w:rPr>
          <w:rFonts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号：SSZSSE12501912</w:t>
      </w:r>
    </w:p>
    <w:p w14:paraId="539F1962">
      <w:pPr>
        <w:autoSpaceDE w:val="0"/>
        <w:autoSpaceDN w:val="0"/>
        <w:adjustRightInd w:val="0"/>
        <w:spacing w:line="480" w:lineRule="auto"/>
        <w:ind w:left="1842" w:leftChars="877" w:firstLine="19" w:firstLineChars="6"/>
        <w:jc w:val="left"/>
        <w:rPr>
          <w:rFonts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 标 人：东莞市水务集团科技发展有限公司</w:t>
      </w:r>
    </w:p>
    <w:p w14:paraId="5C3ED771">
      <w:pPr>
        <w:autoSpaceDE w:val="0"/>
        <w:autoSpaceDN w:val="0"/>
        <w:adjustRightInd w:val="0"/>
        <w:spacing w:line="480" w:lineRule="auto"/>
        <w:ind w:left="1842" w:leftChars="877" w:firstLine="19" w:firstLineChars="6"/>
        <w:jc w:val="left"/>
        <w:rPr>
          <w:rFonts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招标代理机构：广东有德招标采购有限公司</w:t>
      </w:r>
    </w:p>
    <w:p w14:paraId="6A71C5CC">
      <w:pPr>
        <w:autoSpaceDE w:val="0"/>
        <w:autoSpaceDN w:val="0"/>
        <w:adjustRightInd w:val="0"/>
        <w:ind w:right="-23" w:rightChars="-11"/>
        <w:jc w:val="left"/>
        <w:rPr>
          <w:rFonts w:ascii="宋体" w:hAnsi="宋体" w:eastAsia="宋体" w:cs="宋体"/>
          <w:b/>
          <w:bCs/>
          <w:color w:val="auto"/>
          <w:kern w:val="0"/>
          <w:sz w:val="32"/>
          <w:szCs w:val="32"/>
          <w:highlight w:val="none"/>
          <w:lang w:val="zh-CN"/>
        </w:rPr>
      </w:pPr>
    </w:p>
    <w:p w14:paraId="095B381E">
      <w:pPr>
        <w:autoSpaceDE w:val="0"/>
        <w:autoSpaceDN w:val="0"/>
        <w:adjustRightInd w:val="0"/>
        <w:ind w:right="-23" w:rightChars="-11"/>
        <w:jc w:val="center"/>
        <w:rPr>
          <w:rFonts w:ascii="宋体" w:hAnsi="宋体" w:eastAsia="宋体" w:cs="宋体"/>
          <w:b/>
          <w:bCs/>
          <w:color w:val="auto"/>
          <w:kern w:val="0"/>
          <w:sz w:val="84"/>
          <w:szCs w:val="84"/>
          <w:highlight w:val="none"/>
          <w:lang w:val="zh-CN"/>
        </w:rPr>
      </w:pPr>
    </w:p>
    <w:p w14:paraId="4F40A6A2">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9</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30</w:t>
      </w:r>
      <w:r>
        <w:rPr>
          <w:rFonts w:hint="eastAsia" w:ascii="宋体" w:hAnsi="宋体" w:eastAsia="宋体" w:cs="宋体"/>
          <w:b/>
          <w:bCs/>
          <w:color w:val="auto"/>
          <w:sz w:val="32"/>
          <w:szCs w:val="32"/>
          <w:highlight w:val="none"/>
          <w:lang w:val="zh-CN"/>
        </w:rPr>
        <w:t>日</w:t>
      </w:r>
    </w:p>
    <w:p w14:paraId="08070878">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sz w:val="32"/>
          <w:szCs w:val="32"/>
          <w:highlight w:val="none"/>
          <w:lang w:val="zh-CN"/>
        </w:rPr>
        <w:sectPr>
          <w:footerReference r:id="rId3" w:type="default"/>
          <w:pgSz w:w="12240" w:h="15840"/>
          <w:pgMar w:top="1191" w:right="1043" w:bottom="1191" w:left="1043" w:header="720" w:footer="720" w:gutter="0"/>
          <w:cols w:space="720" w:num="1"/>
          <w:docGrid w:linePitch="326" w:charSpace="0"/>
        </w:sectPr>
      </w:pPr>
    </w:p>
    <w:p w14:paraId="39251383">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重要提示</w:t>
      </w:r>
    </w:p>
    <w:p w14:paraId="7B13F951">
      <w:pPr>
        <w:pStyle w:val="40"/>
        <w:widowControl w:val="0"/>
        <w:spacing w:before="0" w:beforeAutospacing="0" w:after="0" w:afterAutospacing="0" w:line="360" w:lineRule="auto"/>
        <w:ind w:firstLine="420" w:firstLineChars="200"/>
        <w:jc w:val="both"/>
        <w:rPr>
          <w:rFonts w:eastAsia="宋体" w:cs="宋体"/>
          <w:color w:val="auto"/>
          <w:sz w:val="21"/>
          <w:szCs w:val="21"/>
          <w:highlight w:val="none"/>
          <w:lang w:bidi="ar"/>
        </w:rPr>
      </w:pPr>
      <w:r>
        <w:rPr>
          <w:rFonts w:hint="eastAsia" w:eastAsia="宋体" w:cs="宋体"/>
          <w:color w:val="auto"/>
          <w:sz w:val="21"/>
          <w:szCs w:val="21"/>
          <w:highlight w:val="none"/>
          <w:lang w:bidi="ar"/>
        </w:rPr>
        <w:t>1.本次招标项目采用电子标书。</w:t>
      </w:r>
    </w:p>
    <w:p w14:paraId="60F88378">
      <w:pPr>
        <w:pStyle w:val="40"/>
        <w:widowControl w:val="0"/>
        <w:spacing w:before="0" w:beforeAutospacing="0" w:after="0" w:afterAutospacing="0" w:line="360" w:lineRule="auto"/>
        <w:ind w:firstLine="420" w:firstLineChars="200"/>
        <w:jc w:val="both"/>
        <w:rPr>
          <w:rFonts w:eastAsia="宋体" w:cs="宋体"/>
          <w:color w:val="auto"/>
          <w:sz w:val="21"/>
          <w:szCs w:val="21"/>
          <w:highlight w:val="none"/>
          <w:lang w:bidi="ar"/>
        </w:rPr>
      </w:pPr>
      <w:r>
        <w:rPr>
          <w:rFonts w:hint="eastAsia" w:eastAsia="宋体" w:cs="宋体"/>
          <w:color w:val="auto"/>
          <w:sz w:val="21"/>
          <w:szCs w:val="21"/>
          <w:highlight w:val="none"/>
          <w:lang w:bidi="ar"/>
        </w:rPr>
        <w:t>2.投标人将被要求递交具备法律效力的电子投标文件。为此，投标人应当具备使用依法设立的电子认证服务提供者签发的电子签名认证证书对电子投标文件进行电子签名的能力。投标人可向依法设立的电子认证服务提供者申请办理电子签名认证证书（简称：数字证书，包括企业数字证书和个人数字证书）。</w:t>
      </w:r>
    </w:p>
    <w:p w14:paraId="5137A1CC">
      <w:pPr>
        <w:pStyle w:val="40"/>
        <w:widowControl w:val="0"/>
        <w:spacing w:before="0" w:beforeAutospacing="0" w:after="0" w:afterAutospacing="0" w:line="360" w:lineRule="auto"/>
        <w:ind w:firstLine="420" w:firstLineChars="200"/>
        <w:jc w:val="both"/>
        <w:rPr>
          <w:rFonts w:eastAsia="宋体" w:cs="宋体"/>
          <w:color w:val="auto"/>
          <w:sz w:val="21"/>
          <w:szCs w:val="21"/>
          <w:highlight w:val="none"/>
          <w:lang w:bidi="ar"/>
        </w:rPr>
      </w:pPr>
      <w:r>
        <w:rPr>
          <w:rFonts w:hint="eastAsia" w:eastAsia="宋体" w:cs="宋体"/>
          <w:color w:val="auto"/>
          <w:sz w:val="21"/>
          <w:szCs w:val="21"/>
          <w:highlight w:val="none"/>
          <w:lang w:bidi="ar"/>
        </w:rPr>
        <w:t>3.除特别说明外，招标文件相关条款中提及的以及第六篇“投标文件格式”中包括但不限于“企业数字证书电子签名”及“电子签名”等要求签名的均指由数字证书电子签章或电子签名。</w:t>
      </w:r>
    </w:p>
    <w:p w14:paraId="3A66A98E">
      <w:pPr>
        <w:pStyle w:val="40"/>
        <w:widowControl w:val="0"/>
        <w:spacing w:before="0" w:beforeAutospacing="0" w:after="0" w:afterAutospacing="0" w:line="360" w:lineRule="auto"/>
        <w:ind w:firstLine="420" w:firstLineChars="200"/>
        <w:jc w:val="both"/>
        <w:rPr>
          <w:rFonts w:eastAsia="宋体" w:cs="宋体"/>
          <w:color w:val="auto"/>
          <w:sz w:val="21"/>
          <w:szCs w:val="21"/>
          <w:highlight w:val="none"/>
          <w:lang w:bidi="ar"/>
        </w:rPr>
      </w:pPr>
      <w:r>
        <w:rPr>
          <w:rFonts w:hint="eastAsia" w:eastAsia="宋体" w:cs="宋体"/>
          <w:color w:val="auto"/>
          <w:sz w:val="21"/>
          <w:szCs w:val="21"/>
          <w:highlight w:val="none"/>
          <w:lang w:bidi="ar"/>
        </w:rPr>
        <w:t>4.投标人必须使用计算机互联网络（以下简称网络）将投标文件以jjb格式上传提交至东莞市公共资源交易E网通管理平台建设工程交易系统（以下简称交易系统），并在网上签到时，关联到对应的投标项目中。</w:t>
      </w:r>
    </w:p>
    <w:p w14:paraId="2198E632">
      <w:pPr>
        <w:pStyle w:val="40"/>
        <w:widowControl w:val="0"/>
        <w:spacing w:before="0" w:beforeAutospacing="0" w:after="0" w:afterAutospacing="0" w:line="360" w:lineRule="auto"/>
        <w:ind w:firstLine="420" w:firstLineChars="200"/>
        <w:jc w:val="both"/>
        <w:rPr>
          <w:rFonts w:eastAsia="宋体" w:cs="宋体"/>
          <w:color w:val="auto"/>
          <w:sz w:val="21"/>
          <w:szCs w:val="21"/>
          <w:highlight w:val="none"/>
          <w:lang w:bidi="ar"/>
        </w:rPr>
      </w:pPr>
      <w:r>
        <w:rPr>
          <w:rFonts w:hint="eastAsia" w:eastAsia="宋体" w:cs="宋体"/>
          <w:color w:val="auto"/>
          <w:sz w:val="21"/>
          <w:szCs w:val="21"/>
          <w:highlight w:val="none"/>
          <w:lang w:bidi="ar"/>
        </w:rPr>
        <w:t>5.投标人在交易系统中对投标文件进行解密的电子签名认证证书必须为机构证书或制作本项目投标文件的业务证书。</w:t>
      </w:r>
    </w:p>
    <w:p w14:paraId="5F6FF5A6">
      <w:pPr>
        <w:pStyle w:val="40"/>
        <w:widowControl w:val="0"/>
        <w:spacing w:before="0" w:beforeAutospacing="0" w:after="0" w:afterAutospacing="0" w:line="360" w:lineRule="auto"/>
        <w:ind w:firstLine="420" w:firstLineChars="200"/>
        <w:jc w:val="both"/>
        <w:rPr>
          <w:rFonts w:eastAsia="宋体" w:cs="宋体"/>
          <w:color w:val="auto"/>
          <w:sz w:val="21"/>
          <w:szCs w:val="21"/>
          <w:highlight w:val="none"/>
          <w:lang w:bidi="ar"/>
        </w:rPr>
      </w:pPr>
      <w:r>
        <w:rPr>
          <w:rFonts w:hint="eastAsia" w:eastAsia="宋体" w:cs="宋体"/>
          <w:color w:val="auto"/>
          <w:sz w:val="21"/>
          <w:szCs w:val="21"/>
          <w:highlight w:val="none"/>
          <w:lang w:bidi="ar"/>
        </w:rPr>
        <w:t>6.投标人应及时提交投标文件，如在投标文件截止时间前因网络等任何原因未能成功上传投标文件，相关后果由投标人自行承担。</w:t>
      </w:r>
    </w:p>
    <w:p w14:paraId="0AD3D6B4">
      <w:pPr>
        <w:pStyle w:val="40"/>
        <w:widowControl w:val="0"/>
        <w:spacing w:before="0" w:beforeAutospacing="0" w:after="0" w:afterAutospacing="0" w:line="360" w:lineRule="auto"/>
        <w:ind w:firstLine="420" w:firstLineChars="200"/>
        <w:jc w:val="both"/>
        <w:rPr>
          <w:rFonts w:eastAsia="宋体" w:cs="宋体"/>
          <w:color w:val="auto"/>
          <w:sz w:val="21"/>
          <w:szCs w:val="21"/>
          <w:highlight w:val="none"/>
          <w:lang w:bidi="ar"/>
        </w:rPr>
      </w:pPr>
      <w:r>
        <w:rPr>
          <w:rFonts w:hint="eastAsia" w:eastAsia="宋体" w:cs="宋体"/>
          <w:color w:val="auto"/>
          <w:sz w:val="21"/>
          <w:szCs w:val="21"/>
          <w:highlight w:val="none"/>
          <w:lang w:bidi="ar"/>
        </w:rPr>
        <w:t>7.投标人上传投标文件时，需设置投标文件查询密码（用于查询投标文件递交情况、撤销投标文件及签到时匹配对应的招标文件）。成功上传投标文件后，交易系统将自动随机生成投标文件识别码。识别码是交易系统确认投标人提交投标文件的唯一凭证，投标人须妥善保管。识别码丢失后，投标人将无法找回投标文件，需重新上传提交。</w:t>
      </w:r>
    </w:p>
    <w:p w14:paraId="28B19BA1">
      <w:pPr>
        <w:pStyle w:val="40"/>
        <w:widowControl w:val="0"/>
        <w:spacing w:before="0" w:beforeAutospacing="0" w:after="0" w:afterAutospacing="0" w:line="360" w:lineRule="auto"/>
        <w:ind w:firstLine="420" w:firstLineChars="200"/>
        <w:jc w:val="both"/>
        <w:rPr>
          <w:rFonts w:eastAsia="宋体" w:cs="宋体"/>
          <w:color w:val="auto"/>
          <w:sz w:val="21"/>
          <w:szCs w:val="21"/>
          <w:highlight w:val="none"/>
          <w:lang w:bidi="ar"/>
        </w:rPr>
      </w:pPr>
      <w:r>
        <w:rPr>
          <w:rFonts w:hint="eastAsia" w:eastAsia="宋体" w:cs="宋体"/>
          <w:color w:val="auto"/>
          <w:sz w:val="21"/>
          <w:szCs w:val="21"/>
          <w:highlight w:val="none"/>
          <w:lang w:bidi="ar"/>
        </w:rPr>
        <w:t>8.如未在投标文件递交截止时间前匹配对应的投标文件，视为投标人未提交。本招标文件中签到、投标文件匹配、投标保证金关联等时间均以东莞市公共资源交易E网通管理平台时间为准。</w:t>
      </w:r>
    </w:p>
    <w:p w14:paraId="626408E6">
      <w:pPr>
        <w:pStyle w:val="40"/>
        <w:widowControl w:val="0"/>
        <w:spacing w:before="0" w:beforeAutospacing="0" w:after="0" w:afterAutospacing="0" w:line="360" w:lineRule="auto"/>
        <w:ind w:firstLine="420" w:firstLineChars="200"/>
        <w:jc w:val="both"/>
        <w:rPr>
          <w:rFonts w:eastAsia="宋体" w:cs="宋体"/>
          <w:color w:val="auto"/>
          <w:sz w:val="21"/>
          <w:szCs w:val="21"/>
          <w:highlight w:val="none"/>
          <w:lang w:bidi="ar"/>
        </w:rPr>
      </w:pPr>
      <w:r>
        <w:rPr>
          <w:rFonts w:hint="eastAsia" w:eastAsia="宋体" w:cs="宋体"/>
          <w:color w:val="auto"/>
          <w:sz w:val="21"/>
          <w:szCs w:val="21"/>
          <w:highlight w:val="none"/>
          <w:lang w:bidi="ar"/>
        </w:rPr>
        <w:t>9.本招标项目在全国公共资源交易平台（广东省·东莞市）（https://ygp.gdzwfw.gov.cn/#/441900/index）等媒体发布招标公告，本项目招标公告及招标文件的修改、补充在全国公共资源交易平台（广东省·东莞市）发布。发布内容在其他媒体发布的文本如有不同之处，以在全国公共资源交易平台（广东省·东莞市）发布的文本为准。</w:t>
      </w:r>
    </w:p>
    <w:p w14:paraId="66F293A4">
      <w:pPr>
        <w:pStyle w:val="17"/>
        <w:rPr>
          <w:rFonts w:ascii="宋体" w:hAnsi="宋体" w:eastAsia="宋体" w:cs="宋体"/>
          <w:color w:val="auto"/>
          <w:highlight w:val="none"/>
        </w:rPr>
      </w:pPr>
    </w:p>
    <w:sdt>
      <w:sdtPr>
        <w:rPr>
          <w:rFonts w:hint="eastAsia" w:ascii="宋体" w:hAnsi="宋体" w:eastAsia="宋体" w:cs="宋体"/>
          <w:color w:val="auto"/>
          <w:highlight w:val="none"/>
        </w:rPr>
        <w:id w:val="147477141"/>
        <w15:color w:val="DBDBDB"/>
        <w:docPartObj>
          <w:docPartGallery w:val="Table of Contents"/>
          <w:docPartUnique/>
        </w:docPartObj>
      </w:sdtPr>
      <w:sdtEndPr>
        <w:rPr>
          <w:rFonts w:hint="eastAsia" w:ascii="宋体" w:hAnsi="宋体" w:eastAsia="宋体" w:cs="宋体"/>
          <w:color w:val="auto"/>
          <w:highlight w:val="none"/>
        </w:rPr>
      </w:sdtEndPr>
      <w:sdtContent>
        <w:p w14:paraId="3DFC7A04">
          <w:pPr>
            <w:pageBreakBefore/>
            <w:jc w:val="center"/>
            <w:rPr>
              <w:rFonts w:ascii="宋体" w:hAnsi="宋体" w:eastAsia="宋体" w:cs="宋体"/>
              <w:color w:val="auto"/>
              <w:sz w:val="36"/>
              <w:szCs w:val="40"/>
              <w:highlight w:val="none"/>
            </w:rPr>
          </w:pPr>
          <w:r>
            <w:rPr>
              <w:rFonts w:hint="eastAsia" w:ascii="宋体" w:hAnsi="宋体" w:eastAsia="宋体" w:cs="宋体"/>
              <w:color w:val="auto"/>
              <w:sz w:val="36"/>
              <w:szCs w:val="40"/>
              <w:highlight w:val="none"/>
            </w:rPr>
            <w:t>目录</w:t>
          </w:r>
        </w:p>
        <w:p w14:paraId="545FC901">
          <w:pPr>
            <w:pStyle w:val="36"/>
            <w:tabs>
              <w:tab w:val="right" w:leader="dot" w:pos="10154"/>
            </w:tabs>
            <w:spacing w:line="360" w:lineRule="auto"/>
            <w:rPr>
              <w:rFonts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color w:val="auto"/>
              <w:highlight w:val="none"/>
            </w:rPr>
            <w:fldChar w:fldCharType="begin"/>
          </w:r>
          <w:r>
            <w:rPr>
              <w:color w:val="auto"/>
              <w:highlight w:val="none"/>
            </w:rPr>
            <w:instrText xml:space="preserve"> HYPERLINK \l "_Toc7476" </w:instrText>
          </w:r>
          <w:r>
            <w:rPr>
              <w:color w:val="auto"/>
              <w:highlight w:val="none"/>
            </w:rPr>
            <w:fldChar w:fldCharType="separate"/>
          </w:r>
          <w:r>
            <w:rPr>
              <w:rFonts w:hint="eastAsia" w:ascii="宋体" w:hAnsi="宋体" w:eastAsia="宋体" w:cs="宋体"/>
              <w:bCs/>
              <w:color w:val="auto"/>
              <w:kern w:val="44"/>
              <w:szCs w:val="32"/>
              <w:highlight w:val="none"/>
              <w:lang w:val="zh-CN"/>
            </w:rPr>
            <w:t>第</w:t>
          </w:r>
          <w:r>
            <w:rPr>
              <w:rFonts w:hint="eastAsia" w:ascii="宋体" w:hAnsi="宋体" w:eastAsia="宋体" w:cs="宋体"/>
              <w:bCs/>
              <w:color w:val="auto"/>
              <w:kern w:val="44"/>
              <w:szCs w:val="32"/>
              <w:highlight w:val="none"/>
            </w:rPr>
            <w:t>一</w:t>
          </w:r>
          <w:r>
            <w:rPr>
              <w:rFonts w:hint="eastAsia" w:ascii="宋体" w:hAnsi="宋体" w:eastAsia="宋体" w:cs="宋体"/>
              <w:bCs/>
              <w:color w:val="auto"/>
              <w:kern w:val="44"/>
              <w:szCs w:val="32"/>
              <w:highlight w:val="none"/>
              <w:lang w:val="zh-CN"/>
            </w:rPr>
            <w:t>篇</w:t>
          </w:r>
          <w:r>
            <w:rPr>
              <w:rFonts w:hint="eastAsia" w:ascii="宋体" w:hAnsi="宋体" w:eastAsia="宋体" w:cs="宋体"/>
              <w:bCs/>
              <w:color w:val="auto"/>
              <w:kern w:val="44"/>
              <w:szCs w:val="32"/>
              <w:highlight w:val="none"/>
            </w:rPr>
            <w:t xml:space="preserve"> 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_Toc7476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E795E17">
          <w:pPr>
            <w:pStyle w:val="36"/>
            <w:tabs>
              <w:tab w:val="right" w:leader="dot" w:pos="10154"/>
            </w:tabs>
            <w:spacing w:line="360" w:lineRule="auto"/>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"_Toc22549" </w:instrText>
          </w:r>
          <w:r>
            <w:rPr>
              <w:color w:val="auto"/>
              <w:highlight w:val="none"/>
            </w:rPr>
            <w:fldChar w:fldCharType="separate"/>
          </w:r>
          <w:r>
            <w:rPr>
              <w:rFonts w:hint="eastAsia" w:ascii="宋体" w:hAnsi="宋体" w:eastAsia="宋体" w:cs="宋体"/>
              <w:bCs/>
              <w:color w:val="auto"/>
              <w:kern w:val="44"/>
              <w:szCs w:val="32"/>
              <w:highlight w:val="none"/>
              <w:lang w:val="zh-CN"/>
            </w:rPr>
            <w:t>第二篇</w:t>
          </w:r>
          <w:r>
            <w:rPr>
              <w:rFonts w:hint="eastAsia"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_Toc22549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48D8688">
          <w:pPr>
            <w:pStyle w:val="36"/>
            <w:tabs>
              <w:tab w:val="right" w:leader="dot" w:pos="10154"/>
            </w:tabs>
            <w:spacing w:line="360" w:lineRule="auto"/>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"_Toc31438" </w:instrText>
          </w:r>
          <w:r>
            <w:rPr>
              <w:color w:val="auto"/>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_Toc31438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1A91A6F">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"_Toc16455" </w:instrText>
          </w:r>
          <w:r>
            <w:rPr>
              <w:color w:val="auto"/>
              <w:highlight w:val="none"/>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_Toc16455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14AABD7">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"_Toc9699" </w:instrText>
          </w:r>
          <w:r>
            <w:rPr>
              <w:color w:val="auto"/>
              <w:highlight w:val="none"/>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_Toc9699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9BB7206">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"_Toc22057" </w:instrText>
          </w:r>
          <w:r>
            <w:rPr>
              <w:color w:val="auto"/>
              <w:highlight w:val="none"/>
            </w:rPr>
            <w:fldChar w:fldCharType="separate"/>
          </w:r>
          <w:r>
            <w:rPr>
              <w:rFonts w:hint="eastAsia" w:ascii="宋体" w:hAnsi="宋体" w:eastAsia="宋体" w:cs="宋体"/>
              <w:color w:val="auto"/>
              <w:szCs w:val="21"/>
              <w:highlight w:val="none"/>
              <w:lang w:val="zh-CN"/>
            </w:rPr>
            <w:t>3 合格的</w:t>
          </w:r>
          <w:r>
            <w:rPr>
              <w:rFonts w:hint="eastAsia" w:ascii="宋体" w:hAnsi="宋体" w:eastAsia="宋体" w:cs="宋体"/>
              <w:color w:val="auto"/>
              <w:szCs w:val="21"/>
              <w:highlight w:val="none"/>
            </w:rPr>
            <w:t>货物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_Toc22057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507F98B">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"_Toc22647" </w:instrText>
          </w:r>
          <w:r>
            <w:rPr>
              <w:color w:val="auto"/>
              <w:highlight w:val="none"/>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_Toc22647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1904EC3">
          <w:pPr>
            <w:pStyle w:val="23"/>
            <w:tabs>
              <w:tab w:val="right" w:leader="dot" w:pos="10154"/>
              <w:tab w:val="clear" w:pos="10144"/>
            </w:tabs>
            <w:spacing w:line="360" w:lineRule="auto"/>
            <w:ind w:left="0" w:leftChars="0"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"_Toc761" </w:instrText>
          </w:r>
          <w:r>
            <w:rPr>
              <w:color w:val="auto"/>
              <w:highlight w:val="none"/>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A34F5B2">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"_Toc14330" </w:instrText>
          </w:r>
          <w:r>
            <w:rPr>
              <w:color w:val="auto"/>
              <w:highlight w:val="none"/>
            </w:rPr>
            <w:fldChar w:fldCharType="separate"/>
          </w:r>
          <w:r>
            <w:rPr>
              <w:rFonts w:hint="eastAsia" w:ascii="宋体" w:hAnsi="宋体" w:eastAsia="宋体" w:cs="宋体"/>
              <w:color w:val="auto"/>
              <w:szCs w:val="21"/>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_Toc14330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13AADC3">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"_Toc6400" </w:instrText>
          </w:r>
          <w:r>
            <w:rPr>
              <w:color w:val="auto"/>
              <w:highlight w:val="none"/>
            </w:rPr>
            <w:fldChar w:fldCharType="separate"/>
          </w:r>
          <w:r>
            <w:rPr>
              <w:rFonts w:hint="eastAsia" w:ascii="宋体" w:hAnsi="宋体" w:eastAsia="宋体" w:cs="宋体"/>
              <w:color w:val="auto"/>
              <w:szCs w:val="21"/>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_Toc6400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B5D7776">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"_Toc4028" </w:instrText>
          </w:r>
          <w:r>
            <w:rPr>
              <w:color w:val="auto"/>
              <w:highlight w:val="none"/>
            </w:rPr>
            <w:fldChar w:fldCharType="separate"/>
          </w:r>
          <w:r>
            <w:rPr>
              <w:rFonts w:hint="eastAsia" w:ascii="宋体" w:hAnsi="宋体" w:eastAsia="宋体" w:cs="宋体"/>
              <w:color w:val="auto"/>
              <w:szCs w:val="21"/>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_Toc4028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00FADB9">
          <w:pPr>
            <w:pStyle w:val="36"/>
            <w:tabs>
              <w:tab w:val="right" w:leader="dot" w:pos="10154"/>
            </w:tabs>
            <w:spacing w:line="360" w:lineRule="auto"/>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"_Toc5569" </w:instrText>
          </w:r>
          <w:r>
            <w:rPr>
              <w:color w:val="auto"/>
              <w:highlight w:val="none"/>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_Toc5569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8C4D557">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"_Toc22201" </w:instrText>
          </w:r>
          <w:r>
            <w:rPr>
              <w:color w:val="auto"/>
              <w:highlight w:val="none"/>
            </w:rPr>
            <w:fldChar w:fldCharType="separate"/>
          </w:r>
          <w:r>
            <w:rPr>
              <w:rFonts w:hint="eastAsia" w:ascii="宋体" w:hAnsi="宋体" w:eastAsia="宋体" w:cs="宋体"/>
              <w:color w:val="auto"/>
              <w:szCs w:val="21"/>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_Toc22201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990ADBD">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"_Toc9647" </w:instrText>
          </w:r>
          <w:r>
            <w:rPr>
              <w:color w:val="auto"/>
              <w:highlight w:val="none"/>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_Toc9647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C4C1515">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"_Toc16938" </w:instrText>
          </w:r>
          <w:r>
            <w:rPr>
              <w:color w:val="auto"/>
              <w:highlight w:val="none"/>
            </w:rPr>
            <w:fldChar w:fldCharType="separate"/>
          </w:r>
          <w:r>
            <w:rPr>
              <w:rFonts w:hint="eastAsia" w:ascii="宋体" w:hAnsi="宋体" w:eastAsia="宋体" w:cs="宋体"/>
              <w:color w:val="auto"/>
              <w:szCs w:val="21"/>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_Toc16938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F239DDF">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"_Toc14736" </w:instrText>
          </w:r>
          <w:r>
            <w:rPr>
              <w:color w:val="auto"/>
              <w:highlight w:val="none"/>
            </w:rPr>
            <w:fldChar w:fldCharType="separate"/>
          </w:r>
          <w:r>
            <w:rPr>
              <w:rFonts w:hint="eastAsia" w:ascii="宋体" w:hAnsi="宋体" w:eastAsia="宋体" w:cs="宋体"/>
              <w:color w:val="auto"/>
              <w:szCs w:val="21"/>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_Toc14736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7541D8E">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"_Toc20950" </w:instrText>
          </w:r>
          <w:r>
            <w:rPr>
              <w:color w:val="auto"/>
              <w:highlight w:val="none"/>
            </w:rPr>
            <w:fldChar w:fldCharType="separate"/>
          </w:r>
          <w:r>
            <w:rPr>
              <w:rFonts w:hint="eastAsia" w:ascii="宋体" w:hAnsi="宋体" w:eastAsia="宋体" w:cs="宋体"/>
              <w:color w:val="auto"/>
              <w:szCs w:val="21"/>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_Toc20950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8358870">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"_Toc9097" </w:instrText>
          </w:r>
          <w:r>
            <w:rPr>
              <w:color w:val="auto"/>
              <w:highlight w:val="none"/>
            </w:rPr>
            <w:fldChar w:fldCharType="separate"/>
          </w:r>
          <w:r>
            <w:rPr>
              <w:rFonts w:hint="eastAsia" w:ascii="宋体" w:hAnsi="宋体" w:eastAsia="宋体" w:cs="宋体"/>
              <w:color w:val="auto"/>
              <w:szCs w:val="21"/>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_Toc9097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196EA20">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"_Toc18559" </w:instrText>
          </w:r>
          <w:r>
            <w:rPr>
              <w:color w:val="auto"/>
              <w:highlight w:val="none"/>
            </w:rPr>
            <w:fldChar w:fldCharType="separate"/>
          </w:r>
          <w:r>
            <w:rPr>
              <w:rFonts w:hint="eastAsia" w:ascii="宋体" w:hAnsi="宋体" w:eastAsia="宋体" w:cs="宋体"/>
              <w:color w:val="auto"/>
              <w:szCs w:val="21"/>
              <w:highlight w:val="none"/>
              <w:lang w:val="zh-CN"/>
            </w:rPr>
            <w:t>14 证明</w:t>
          </w:r>
          <w:r>
            <w:rPr>
              <w:rFonts w:hint="eastAsia" w:ascii="宋体" w:hAnsi="宋体" w:eastAsia="宋体" w:cs="宋体"/>
              <w:color w:val="auto"/>
              <w:szCs w:val="21"/>
              <w:highlight w:val="none"/>
            </w:rPr>
            <w:t>服务</w:t>
          </w:r>
          <w:r>
            <w:rPr>
              <w:rFonts w:hint="eastAsia" w:ascii="宋体" w:hAnsi="宋体" w:eastAsia="宋体" w:cs="宋体"/>
              <w:color w:val="auto"/>
              <w:szCs w:val="21"/>
              <w:highlight w:val="none"/>
              <w:lang w:val="zh-CN"/>
            </w:rPr>
            <w:t>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_Toc18559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B81E573">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"_Toc9240" </w:instrText>
          </w:r>
          <w:r>
            <w:rPr>
              <w:color w:val="auto"/>
              <w:highlight w:val="none"/>
            </w:rPr>
            <w:fldChar w:fldCharType="separate"/>
          </w:r>
          <w:r>
            <w:rPr>
              <w:rFonts w:hint="eastAsia" w:ascii="宋体" w:hAnsi="宋体" w:eastAsia="宋体" w:cs="宋体"/>
              <w:color w:val="auto"/>
              <w:szCs w:val="21"/>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_Toc9240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B9C0F4E">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"_Toc2317" </w:instrText>
          </w:r>
          <w:r>
            <w:rPr>
              <w:color w:val="auto"/>
              <w:highlight w:val="none"/>
            </w:rPr>
            <w:fldChar w:fldCharType="separate"/>
          </w:r>
          <w:r>
            <w:rPr>
              <w:rFonts w:hint="eastAsia" w:ascii="宋体" w:hAnsi="宋体" w:eastAsia="宋体" w:cs="宋体"/>
              <w:color w:val="auto"/>
              <w:szCs w:val="21"/>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43B0EC6">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"_Toc32032" </w:instrText>
          </w:r>
          <w:r>
            <w:rPr>
              <w:color w:val="auto"/>
              <w:highlight w:val="none"/>
            </w:rPr>
            <w:fldChar w:fldCharType="separate"/>
          </w:r>
          <w:r>
            <w:rPr>
              <w:rFonts w:hint="eastAsia" w:ascii="宋体" w:hAnsi="宋体" w:eastAsia="宋体" w:cs="宋体"/>
              <w:color w:val="auto"/>
              <w:szCs w:val="21"/>
              <w:highlight w:val="none"/>
              <w:lang w:val="zh-CN"/>
            </w:rPr>
            <w:t>17 投标文件的编制和签署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_Toc32032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3391989">
          <w:pPr>
            <w:pStyle w:val="36"/>
            <w:tabs>
              <w:tab w:val="right" w:leader="dot" w:pos="10154"/>
            </w:tabs>
            <w:spacing w:line="360" w:lineRule="auto"/>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"_Toc21624" </w:instrText>
          </w:r>
          <w:r>
            <w:rPr>
              <w:color w:val="auto"/>
              <w:highlight w:val="none"/>
            </w:rPr>
            <w:fldChar w:fldCharType="separate"/>
          </w:r>
          <w:r>
            <w:rPr>
              <w:rFonts w:hint="eastAsia" w:ascii="宋体" w:hAnsi="宋体" w:eastAsia="宋体" w:cs="宋体"/>
              <w:bCs/>
              <w:color w:val="auto"/>
              <w:kern w:val="44"/>
              <w:szCs w:val="21"/>
              <w:highlight w:val="none"/>
              <w:lang w:val="zh-CN"/>
            </w:rPr>
            <w:t>四、投标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_Toc21624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6A62A0D">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"_Toc12343" </w:instrText>
          </w:r>
          <w:r>
            <w:rPr>
              <w:color w:val="auto"/>
              <w:highlight w:val="none"/>
            </w:rPr>
            <w:fldChar w:fldCharType="separate"/>
          </w:r>
          <w:r>
            <w:rPr>
              <w:rFonts w:hint="eastAsia" w:ascii="宋体" w:hAnsi="宋体" w:eastAsia="宋体" w:cs="宋体"/>
              <w:color w:val="auto"/>
              <w:szCs w:val="21"/>
              <w:highlight w:val="none"/>
              <w:lang w:val="zh-CN"/>
            </w:rPr>
            <w:t>18 投标文件的加密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_Toc12343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08664F2">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"_Toc21351" </w:instrText>
          </w:r>
          <w:r>
            <w:rPr>
              <w:color w:val="auto"/>
              <w:highlight w:val="none"/>
            </w:rPr>
            <w:fldChar w:fldCharType="separate"/>
          </w:r>
          <w:r>
            <w:rPr>
              <w:rFonts w:hint="eastAsia" w:ascii="宋体" w:hAnsi="宋体" w:eastAsia="宋体" w:cs="宋体"/>
              <w:color w:val="auto"/>
              <w:szCs w:val="21"/>
              <w:highlight w:val="none"/>
            </w:rPr>
            <w:t xml:space="preserve">19 </w:t>
          </w:r>
          <w:r>
            <w:rPr>
              <w:rFonts w:hint="eastAsia" w:ascii="宋体" w:hAnsi="宋体" w:eastAsia="宋体" w:cs="宋体"/>
              <w:color w:val="auto"/>
              <w:szCs w:val="21"/>
              <w:highlight w:val="none"/>
              <w:lang w:val="zh-CN"/>
            </w:rPr>
            <w:t>投标文件的提交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_Toc21351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34D0F2F">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"_Toc360" </w:instrText>
          </w:r>
          <w:r>
            <w:rPr>
              <w:color w:val="auto"/>
              <w:highlight w:val="none"/>
            </w:rPr>
            <w:fldChar w:fldCharType="separate"/>
          </w:r>
          <w:r>
            <w:rPr>
              <w:rFonts w:hint="eastAsia" w:ascii="宋体" w:hAnsi="宋体" w:eastAsia="宋体" w:cs="宋体"/>
              <w:color w:val="auto"/>
              <w:szCs w:val="21"/>
              <w:highlight w:val="none"/>
            </w:rPr>
            <w:t xml:space="preserve">20 </w:t>
          </w:r>
          <w:r>
            <w:rPr>
              <w:rFonts w:hint="eastAsia" w:ascii="宋体" w:hAnsi="宋体" w:eastAsia="宋体" w:cs="宋体"/>
              <w:color w:val="auto"/>
              <w:szCs w:val="21"/>
              <w:highlight w:val="none"/>
              <w:lang w:val="zh-CN"/>
            </w:rPr>
            <w:t>投标会时间、地点及投标文件提交的截止时间</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_Toc360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0B6BF49">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"_Toc17411" </w:instrText>
          </w:r>
          <w:r>
            <w:rPr>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val="zh-CN"/>
            </w:rPr>
            <w:t>投标文件的拒绝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_Toc17411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3A828D9">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"_Toc21097" </w:instrText>
          </w:r>
          <w:r>
            <w:rPr>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val="zh-CN"/>
            </w:rPr>
            <w:t>投标文件的补充、修改与撤回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533F5D3">
          <w:pPr>
            <w:pStyle w:val="36"/>
            <w:tabs>
              <w:tab w:val="right" w:leader="dot" w:pos="10154"/>
            </w:tabs>
            <w:spacing w:line="360" w:lineRule="auto"/>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"_Toc11843" </w:instrText>
          </w:r>
          <w:r>
            <w:rPr>
              <w:color w:val="auto"/>
              <w:highlight w:val="none"/>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_Toc11843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7D71AF1">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"_Toc10369" </w:instrText>
          </w:r>
          <w:r>
            <w:rPr>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_Toc10369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3DFA5E8">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"_Toc26515" </w:instrText>
          </w:r>
          <w:r>
            <w:rPr>
              <w:color w:val="auto"/>
              <w:highlight w:val="none"/>
            </w:rPr>
            <w:fldChar w:fldCharType="separate"/>
          </w: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_Toc26515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0D69A28">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"_Toc23401" </w:instrText>
          </w:r>
          <w:r>
            <w:rPr>
              <w:color w:val="auto"/>
              <w:highlight w:val="none"/>
            </w:rPr>
            <w:fldChar w:fldCharType="separate"/>
          </w: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 xml:space="preserve">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_Toc23401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BAD2F4A">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"_Toc32114" </w:instrText>
          </w:r>
          <w:r>
            <w:rPr>
              <w:color w:val="auto"/>
              <w:highlight w:val="none"/>
            </w:rPr>
            <w:fldChar w:fldCharType="separate"/>
          </w:r>
          <w:r>
            <w:rPr>
              <w:rFonts w:hint="eastAsia" w:ascii="宋体" w:hAnsi="宋体" w:eastAsia="宋体" w:cs="宋体"/>
              <w:color w:val="auto"/>
              <w:szCs w:val="21"/>
              <w:highlight w:val="none"/>
              <w:lang w:val="zh-CN"/>
            </w:rPr>
            <w:t>26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投标文件的有效性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_Toc32114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23B7FCD">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"_Toc3515" </w:instrText>
          </w:r>
          <w:r>
            <w:rPr>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 xml:space="preserve">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_Toc3515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4F2DDC2">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"_Toc26001" </w:instrText>
          </w:r>
          <w:r>
            <w:rPr>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_Toc26001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37B2C45">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"_Toc28909" </w:instrText>
          </w:r>
          <w:r>
            <w:rPr>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 xml:space="preserve">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_Toc28909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B17136D">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"_Toc17653" </w:instrText>
          </w:r>
          <w:r>
            <w:rPr>
              <w:color w:val="auto"/>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_Toc17653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211BC51">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"_Toc18766" </w:instrText>
          </w:r>
          <w:r>
            <w:rPr>
              <w:color w:val="auto"/>
              <w:highlight w:val="none"/>
            </w:rPr>
            <w:fldChar w:fldCharType="separate"/>
          </w:r>
          <w:r>
            <w:rPr>
              <w:rFonts w:hint="eastAsia" w:ascii="宋体" w:hAnsi="宋体" w:eastAsia="宋体" w:cs="宋体"/>
              <w:color w:val="auto"/>
              <w:szCs w:val="21"/>
              <w:highlight w:val="none"/>
            </w:rPr>
            <w:t xml:space="preserve">31 </w:t>
          </w:r>
          <w:r>
            <w:rPr>
              <w:rFonts w:hint="eastAsia" w:ascii="宋体" w:hAnsi="宋体" w:eastAsia="宋体" w:cs="宋体"/>
              <w:color w:val="auto"/>
              <w:szCs w:val="21"/>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CA6D934">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"_Toc545" </w:instrText>
          </w:r>
          <w:r>
            <w:rPr>
              <w:color w:val="auto"/>
              <w:highlight w:val="none"/>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EFD97DE">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"_Toc19798" </w:instrText>
          </w:r>
          <w:r>
            <w:rPr>
              <w:color w:val="auto"/>
              <w:highlight w:val="none"/>
            </w:rPr>
            <w:fldChar w:fldCharType="separate"/>
          </w:r>
          <w:r>
            <w:rPr>
              <w:rFonts w:hint="eastAsia" w:ascii="宋体" w:hAnsi="宋体" w:eastAsia="宋体" w:cs="宋体"/>
              <w:color w:val="auto"/>
              <w:szCs w:val="21"/>
              <w:highlight w:val="none"/>
            </w:rPr>
            <w:t>33</w:t>
          </w:r>
          <w:r>
            <w:rPr>
              <w:rFonts w:hint="eastAsia" w:ascii="宋体" w:hAnsi="宋体" w:eastAsia="宋体" w:cs="宋体"/>
              <w:color w:val="auto"/>
              <w:szCs w:val="21"/>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_Toc19798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5389DC9">
          <w:pPr>
            <w:pStyle w:val="36"/>
            <w:tabs>
              <w:tab w:val="right" w:leader="dot" w:pos="10154"/>
            </w:tabs>
            <w:spacing w:line="360" w:lineRule="auto"/>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"_Toc31130" </w:instrText>
          </w:r>
          <w:r>
            <w:rPr>
              <w:color w:val="auto"/>
              <w:highlight w:val="none"/>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_Toc31130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526C82C">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"_Toc15958" </w:instrText>
          </w:r>
          <w:r>
            <w:rPr>
              <w:color w:val="auto"/>
              <w:highlight w:val="none"/>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_Toc15958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CF77DD6">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"_Toc31229" </w:instrText>
          </w:r>
          <w:r>
            <w:rPr>
              <w:color w:val="auto"/>
              <w:highlight w:val="none"/>
            </w:rPr>
            <w:fldChar w:fldCharType="separate"/>
          </w: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 xml:space="preserve">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_Toc31229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24E65D9">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"_Toc13861" </w:instrText>
          </w:r>
          <w:r>
            <w:rPr>
              <w:color w:val="auto"/>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_Toc13861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ABB5FE7">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"_Toc20036" </w:instrText>
          </w:r>
          <w:r>
            <w:rPr>
              <w:color w:val="auto"/>
              <w:highlight w:val="none"/>
            </w:rPr>
            <w:fldChar w:fldCharType="separate"/>
          </w:r>
          <w:r>
            <w:rPr>
              <w:rFonts w:hint="eastAsia" w:ascii="宋体" w:hAnsi="宋体" w:eastAsia="宋体" w:cs="宋体"/>
              <w:color w:val="auto"/>
              <w:szCs w:val="21"/>
              <w:highlight w:val="none"/>
            </w:rPr>
            <w:t xml:space="preserve">37 </w:t>
          </w:r>
          <w:r>
            <w:rPr>
              <w:rFonts w:hint="eastAsia" w:ascii="宋体" w:hAnsi="宋体" w:eastAsia="宋体" w:cs="宋体"/>
              <w:color w:val="auto"/>
              <w:szCs w:val="21"/>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_Toc20036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F28BA7F">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"_Toc31651" </w:instrText>
          </w:r>
          <w:r>
            <w:rPr>
              <w:color w:val="auto"/>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_Toc31651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3DA3D88">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"_Toc1997" </w:instrText>
          </w:r>
          <w:r>
            <w:rPr>
              <w:color w:val="auto"/>
              <w:highlight w:val="none"/>
            </w:rPr>
            <w:fldChar w:fldCharType="separate"/>
          </w:r>
          <w:r>
            <w:rPr>
              <w:rFonts w:hint="eastAsia" w:ascii="宋体" w:hAnsi="宋体" w:eastAsia="宋体" w:cs="宋体"/>
              <w:color w:val="auto"/>
              <w:szCs w:val="21"/>
              <w:highlight w:val="none"/>
            </w:rPr>
            <w:t>39</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848B429">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"_Toc26459" </w:instrText>
          </w:r>
          <w:r>
            <w:rPr>
              <w:color w:val="auto"/>
              <w:highlight w:val="none"/>
            </w:rPr>
            <w:fldChar w:fldCharType="separate"/>
          </w: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_Toc26459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37232FC">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"_Toc26433" </w:instrText>
          </w:r>
          <w:r>
            <w:rPr>
              <w:color w:val="auto"/>
              <w:highlight w:val="none"/>
            </w:rPr>
            <w:fldChar w:fldCharType="separate"/>
          </w:r>
          <w:r>
            <w:rPr>
              <w:rFonts w:hint="eastAsia" w:ascii="宋体" w:hAnsi="宋体" w:eastAsia="宋体" w:cs="宋体"/>
              <w:color w:val="auto"/>
              <w:szCs w:val="21"/>
              <w:highlight w:val="none"/>
            </w:rPr>
            <w:t>41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_Toc26433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26192E7">
          <w:pPr>
            <w:pStyle w:val="23"/>
            <w:tabs>
              <w:tab w:val="right" w:leader="dot" w:pos="10154"/>
              <w:tab w:val="clear" w:pos="10144"/>
            </w:tabs>
            <w:spacing w:line="360" w:lineRule="auto"/>
            <w:ind w:left="0" w:leftChars="0"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"_Toc19408" </w:instrText>
          </w:r>
          <w:r>
            <w:rPr>
              <w:color w:val="auto"/>
              <w:highlight w:val="none"/>
            </w:rPr>
            <w:fldChar w:fldCharType="separate"/>
          </w:r>
          <w:r>
            <w:rPr>
              <w:rFonts w:hint="eastAsia" w:ascii="宋体" w:hAnsi="宋体" w:eastAsia="宋体" w:cs="宋体"/>
              <w:color w:val="auto"/>
              <w:szCs w:val="21"/>
              <w:highlight w:val="none"/>
            </w:rPr>
            <w:t>42 以联合体形式投标的，应符合以下规定：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_Toc19408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815DA68">
          <w:pPr>
            <w:pStyle w:val="23"/>
            <w:tabs>
              <w:tab w:val="right" w:leader="dot" w:pos="10154"/>
              <w:tab w:val="clear" w:pos="10144"/>
            </w:tabs>
            <w:spacing w:line="360" w:lineRule="auto"/>
            <w:ind w:left="0" w:leftChars="0"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"_Toc29070" </w:instrText>
          </w:r>
          <w:r>
            <w:rPr>
              <w:color w:val="auto"/>
              <w:highlight w:val="none"/>
            </w:rPr>
            <w:fldChar w:fldCharType="separate"/>
          </w:r>
          <w:r>
            <w:rPr>
              <w:rFonts w:hint="eastAsia" w:ascii="宋体" w:hAnsi="宋体" w:eastAsia="宋体" w:cs="宋体"/>
              <w:color w:val="auto"/>
              <w:szCs w:val="21"/>
              <w:highlight w:val="none"/>
            </w:rPr>
            <w:t>43 以联合体形式投标的企业说明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_Toc29070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5A0E317">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"_Toc17799" </w:instrText>
          </w:r>
          <w:r>
            <w:rPr>
              <w:color w:val="auto"/>
              <w:highlight w:val="none"/>
            </w:rPr>
            <w:fldChar w:fldCharType="separate"/>
          </w:r>
          <w:r>
            <w:rPr>
              <w:rFonts w:hint="eastAsia" w:ascii="宋体" w:hAnsi="宋体" w:eastAsia="宋体" w:cs="宋体"/>
              <w:color w:val="auto"/>
              <w:szCs w:val="21"/>
              <w:highlight w:val="none"/>
            </w:rPr>
            <w:t>44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_Toc17799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E29BDF1">
          <w:pPr>
            <w:pStyle w:val="36"/>
            <w:tabs>
              <w:tab w:val="right" w:leader="dot" w:pos="10154"/>
            </w:tabs>
            <w:spacing w:line="360" w:lineRule="auto"/>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"_Toc31662" </w:instrText>
          </w:r>
          <w:r>
            <w:rPr>
              <w:color w:val="auto"/>
              <w:highlight w:val="none"/>
            </w:rPr>
            <w:fldChar w:fldCharType="separate"/>
          </w:r>
          <w:r>
            <w:rPr>
              <w:rFonts w:hint="eastAsia" w:ascii="宋体" w:hAnsi="宋体" w:eastAsia="宋体" w:cs="宋体"/>
              <w:bCs/>
              <w:color w:val="auto"/>
              <w:kern w:val="44"/>
              <w:szCs w:val="32"/>
              <w:highlight w:val="none"/>
              <w:lang w:val="zh-CN"/>
            </w:rPr>
            <w:t>第三篇 用户需求书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_Toc31662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3B022DC">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"_Toc32243" </w:instrText>
          </w:r>
          <w:r>
            <w:rPr>
              <w:color w:val="auto"/>
              <w:highlight w:val="none"/>
            </w:rPr>
            <w:fldChar w:fldCharType="separate"/>
          </w:r>
          <w:r>
            <w:rPr>
              <w:rFonts w:hint="eastAsia" w:ascii="宋体" w:hAnsi="宋体" w:eastAsia="宋体" w:cs="宋体"/>
              <w:bCs/>
              <w:color w:val="auto"/>
              <w:kern w:val="44"/>
              <w:szCs w:val="32"/>
              <w:highlight w:val="none"/>
            </w:rPr>
            <w:t>第</w:t>
          </w:r>
          <w:r>
            <w:rPr>
              <w:rFonts w:hint="eastAsia" w:ascii="宋体" w:hAnsi="宋体" w:eastAsia="宋体" w:cs="宋体"/>
              <w:bCs/>
              <w:color w:val="auto"/>
              <w:kern w:val="44"/>
              <w:szCs w:val="32"/>
              <w:highlight w:val="none"/>
              <w:lang w:val="zh-CN"/>
            </w:rPr>
            <w:t>四篇 合同条款格式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_Toc32243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F87C342">
          <w:pPr>
            <w:pStyle w:val="36"/>
            <w:tabs>
              <w:tab w:val="right" w:leader="dot" w:pos="10154"/>
            </w:tabs>
            <w:spacing w:line="360" w:lineRule="auto"/>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"_Toc30969" </w:instrText>
          </w:r>
          <w:r>
            <w:rPr>
              <w:color w:val="auto"/>
              <w:highlight w:val="none"/>
            </w:rPr>
            <w:fldChar w:fldCharType="separate"/>
          </w:r>
          <w:r>
            <w:rPr>
              <w:rFonts w:hint="eastAsia" w:ascii="宋体" w:hAnsi="宋体" w:eastAsia="宋体" w:cs="宋体"/>
              <w:bCs/>
              <w:color w:val="auto"/>
              <w:szCs w:val="32"/>
              <w:highlight w:val="none"/>
              <w:lang w:val="zh-CN"/>
            </w:rPr>
            <w:t>第五篇 相关保函格式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_Toc30969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48F19D5">
          <w:pPr>
            <w:pStyle w:val="23"/>
            <w:tabs>
              <w:tab w:val="right" w:leader="dot" w:pos="10154"/>
              <w:tab w:val="clear" w:pos="10144"/>
            </w:tabs>
            <w:spacing w:line="360" w:lineRule="auto"/>
            <w:ind w:left="0" w:leftChars="0"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"_Toc14777" </w:instrText>
          </w:r>
          <w:r>
            <w:rPr>
              <w:color w:val="auto"/>
              <w:highlight w:val="none"/>
            </w:rPr>
            <w:fldChar w:fldCharType="separate"/>
          </w:r>
          <w:r>
            <w:rPr>
              <w:rFonts w:hint="eastAsia" w:ascii="宋体" w:hAnsi="宋体" w:eastAsia="宋体" w:cs="宋体"/>
              <w:bCs/>
              <w:color w:val="auto"/>
              <w:kern w:val="44"/>
              <w:szCs w:val="32"/>
              <w:highlight w:val="none"/>
              <w:lang w:val="zh-CN"/>
            </w:rPr>
            <w:t>第六篇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_Toc14777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6472366">
          <w:pPr>
            <w:pStyle w:val="31"/>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"_Toc21901" </w:instrText>
          </w:r>
          <w:r>
            <w:rPr>
              <w:color w:val="auto"/>
              <w:highlight w:val="none"/>
            </w:rPr>
            <w:fldChar w:fldCharType="separate"/>
          </w:r>
          <w:r>
            <w:rPr>
              <w:rFonts w:hint="eastAsia" w:ascii="宋体" w:hAnsi="宋体" w:eastAsia="宋体" w:cs="宋体"/>
              <w:bCs/>
              <w:color w:val="auto"/>
              <w:kern w:val="44"/>
              <w:szCs w:val="32"/>
              <w:highlight w:val="none"/>
              <w:lang w:val="zh-CN"/>
            </w:rPr>
            <w:t>附件一：评标工作大纲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_Toc21901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1709604">
          <w:pPr>
            <w:spacing w:line="360" w:lineRule="auto"/>
            <w:rPr>
              <w:rFonts w:ascii="宋体" w:hAnsi="宋体" w:eastAsia="宋体" w:cs="宋体"/>
              <w:color w:val="auto"/>
              <w:highlight w:val="none"/>
            </w:rPr>
          </w:pPr>
          <w:r>
            <w:rPr>
              <w:rFonts w:hint="eastAsia" w:ascii="宋体" w:hAnsi="宋体" w:eastAsia="宋体" w:cs="宋体"/>
              <w:color w:val="auto"/>
              <w:highlight w:val="none"/>
            </w:rPr>
            <w:fldChar w:fldCharType="end"/>
          </w:r>
        </w:p>
      </w:sdtContent>
    </w:sdt>
    <w:p w14:paraId="5CF5813B">
      <w:pPr>
        <w:pageBreakBefore/>
        <w:tabs>
          <w:tab w:val="left" w:pos="1080"/>
        </w:tabs>
        <w:autoSpaceDE w:val="0"/>
        <w:autoSpaceDN w:val="0"/>
        <w:adjustRightInd w:val="0"/>
        <w:spacing w:line="360" w:lineRule="auto"/>
        <w:ind w:left="-167" w:leftChars="-100" w:hanging="43"/>
        <w:jc w:val="center"/>
        <w:outlineLvl w:val="1"/>
        <w:rPr>
          <w:rFonts w:ascii="宋体" w:hAnsi="宋体" w:eastAsia="宋体" w:cs="宋体"/>
          <w:b/>
          <w:bCs/>
          <w:color w:val="auto"/>
          <w:kern w:val="44"/>
          <w:sz w:val="32"/>
          <w:szCs w:val="32"/>
          <w:highlight w:val="none"/>
        </w:rPr>
      </w:pPr>
      <w:bookmarkStart w:id="0" w:name="_Toc9529"/>
      <w:bookmarkStart w:id="1" w:name="_Toc7476"/>
      <w:bookmarkStart w:id="2" w:name="_Toc477"/>
      <w:bookmarkStart w:id="3" w:name="_Toc4205"/>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rPr>
        <w:t>一</w:t>
      </w:r>
      <w:r>
        <w:rPr>
          <w:rFonts w:hint="eastAsia" w:ascii="宋体" w:hAnsi="宋体" w:eastAsia="宋体" w:cs="宋体"/>
          <w:b/>
          <w:bCs/>
          <w:color w:val="auto"/>
          <w:kern w:val="44"/>
          <w:sz w:val="32"/>
          <w:szCs w:val="32"/>
          <w:highlight w:val="none"/>
          <w:lang w:val="zh-CN"/>
        </w:rPr>
        <w:t>篇</w:t>
      </w:r>
      <w:r>
        <w:rPr>
          <w:rFonts w:hint="eastAsia" w:ascii="宋体" w:hAnsi="宋体" w:eastAsia="宋体" w:cs="宋体"/>
          <w:b/>
          <w:bCs/>
          <w:color w:val="auto"/>
          <w:kern w:val="44"/>
          <w:sz w:val="32"/>
          <w:szCs w:val="32"/>
          <w:highlight w:val="none"/>
        </w:rPr>
        <w:t xml:space="preserve"> 招标公告</w:t>
      </w:r>
      <w:bookmarkEnd w:id="0"/>
      <w:bookmarkEnd w:id="1"/>
      <w:bookmarkEnd w:id="2"/>
      <w:bookmarkEnd w:id="3"/>
    </w:p>
    <w:p w14:paraId="548373AD">
      <w:pPr>
        <w:rPr>
          <w:rFonts w:ascii="宋体" w:hAnsi="宋体" w:eastAsia="宋体" w:cs="宋体"/>
          <w:color w:val="auto"/>
          <w:highlight w:val="none"/>
        </w:rPr>
      </w:pPr>
    </w:p>
    <w:p w14:paraId="20C5A212">
      <w:pPr>
        <w:autoSpaceDE w:val="0"/>
        <w:autoSpaceDN w:val="0"/>
        <w:adjustRightInd w:val="0"/>
        <w:snapToGrid w:val="0"/>
        <w:spacing w:line="360" w:lineRule="auto"/>
        <w:ind w:right="-34" w:firstLine="630" w:firstLineChars="30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广东有德招标采购有限公司</w:t>
      </w:r>
      <w:r>
        <w:rPr>
          <w:rFonts w:hint="eastAsia" w:ascii="宋体" w:hAnsi="宋体" w:eastAsia="宋体" w:cs="宋体"/>
          <w:color w:val="auto"/>
          <w:szCs w:val="21"/>
          <w:highlight w:val="none"/>
          <w:lang w:val="zh-CN"/>
        </w:rPr>
        <w:t>（以下简称“招标代理机构”）受</w:t>
      </w:r>
      <w:r>
        <w:rPr>
          <w:rFonts w:hint="eastAsia" w:ascii="宋体" w:hAnsi="宋体" w:eastAsia="宋体" w:cs="宋体"/>
          <w:color w:val="auto"/>
          <w:kern w:val="0"/>
          <w:szCs w:val="21"/>
          <w:highlight w:val="none"/>
        </w:rPr>
        <w:t>东莞市水务集团科技发展有限公司</w:t>
      </w:r>
      <w:r>
        <w:rPr>
          <w:rFonts w:hint="eastAsia" w:ascii="宋体" w:hAnsi="宋体" w:eastAsia="宋体" w:cs="宋体"/>
          <w:color w:val="auto"/>
          <w:szCs w:val="21"/>
          <w:highlight w:val="none"/>
          <w:lang w:val="zh-CN"/>
        </w:rPr>
        <w:t>（以下简称“招标人”）的委托，对</w:t>
      </w:r>
      <w:bookmarkStart w:id="4" w:name="_Hlk41903390"/>
      <w:r>
        <w:rPr>
          <w:rFonts w:hint="eastAsia" w:ascii="宋体" w:hAnsi="宋体" w:eastAsia="宋体" w:cs="宋体"/>
          <w:color w:val="auto"/>
          <w:kern w:val="0"/>
          <w:szCs w:val="21"/>
          <w:highlight w:val="none"/>
          <w:lang w:eastAsia="zh-CN"/>
        </w:rPr>
        <w:t>东莞市水务环境投资控股集团分布式光伏发电项目（第一批）供水厂项目</w:t>
      </w:r>
      <w:r>
        <w:rPr>
          <w:rFonts w:hint="eastAsia" w:ascii="宋体" w:hAnsi="宋体" w:eastAsia="宋体" w:cs="宋体"/>
          <w:color w:val="auto"/>
          <w:szCs w:val="21"/>
          <w:highlight w:val="none"/>
          <w:lang w:val="zh-CN"/>
        </w:rPr>
        <w:t>(招标编号：SSZSSE12501912)</w:t>
      </w:r>
      <w:bookmarkEnd w:id="4"/>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14:paraId="03B47366">
      <w:pPr>
        <w:autoSpaceDE w:val="0"/>
        <w:autoSpaceDN w:val="0"/>
        <w:adjustRightInd w:val="0"/>
        <w:spacing w:line="360" w:lineRule="auto"/>
        <w:ind w:right="-29" w:rightChars="-14" w:firstLine="420" w:firstLineChars="200"/>
        <w:rPr>
          <w:rFonts w:ascii="宋体" w:hAnsi="宋体" w:eastAsia="宋体" w:cs="宋体"/>
          <w:color w:val="auto"/>
          <w:szCs w:val="21"/>
          <w:highlight w:val="none"/>
          <w:lang w:val="zh-CN"/>
        </w:rPr>
      </w:pPr>
    </w:p>
    <w:p w14:paraId="0661D522">
      <w:pPr>
        <w:numPr>
          <w:ilvl w:val="0"/>
          <w:numId w:val="1"/>
        </w:numPr>
        <w:autoSpaceDE w:val="0"/>
        <w:autoSpaceDN w:val="0"/>
        <w:adjustRightInd w:val="0"/>
        <w:snapToGrid w:val="0"/>
        <w:spacing w:line="360" w:lineRule="auto"/>
        <w:ind w:left="0" w:right="-34" w:firstLine="0"/>
        <w:jc w:val="left"/>
        <w:outlineLvl w:val="0"/>
        <w:rPr>
          <w:rFonts w:ascii="宋体" w:hAnsi="宋体" w:eastAsia="宋体" w:cs="宋体"/>
          <w:b/>
          <w:bCs/>
          <w:color w:val="auto"/>
          <w:szCs w:val="21"/>
          <w:highlight w:val="none"/>
          <w:lang w:val="zh-CN"/>
        </w:rPr>
      </w:pPr>
      <w:bookmarkStart w:id="5" w:name="_Toc12649"/>
      <w:bookmarkStart w:id="6" w:name="_Toc8759"/>
      <w:bookmarkStart w:id="7" w:name="_Toc6549"/>
      <w:r>
        <w:rPr>
          <w:rFonts w:hint="eastAsia" w:ascii="宋体" w:hAnsi="宋体" w:eastAsia="宋体" w:cs="宋体"/>
          <w:b/>
          <w:bCs/>
          <w:color w:val="auto"/>
          <w:szCs w:val="21"/>
          <w:highlight w:val="none"/>
          <w:lang w:val="zh-CN"/>
        </w:rPr>
        <w:t>招标范围：</w:t>
      </w:r>
      <w:bookmarkEnd w:id="5"/>
      <w:bookmarkEnd w:id="6"/>
      <w:bookmarkEnd w:id="7"/>
    </w:p>
    <w:tbl>
      <w:tblPr>
        <w:tblStyle w:val="45"/>
        <w:tblW w:w="9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2"/>
        <w:gridCol w:w="6404"/>
      </w:tblGrid>
      <w:tr w14:paraId="3568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12" w:type="dxa"/>
            <w:vAlign w:val="center"/>
          </w:tcPr>
          <w:p w14:paraId="2027212D">
            <w:pPr>
              <w:spacing w:line="360" w:lineRule="auto"/>
              <w:ind w:firstLine="840" w:firstLineChars="40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项目内容</w:t>
            </w:r>
          </w:p>
        </w:tc>
        <w:tc>
          <w:tcPr>
            <w:tcW w:w="6404" w:type="dxa"/>
            <w:vAlign w:val="center"/>
          </w:tcPr>
          <w:p w14:paraId="33913602">
            <w:pPr>
              <w:spacing w:line="360" w:lineRule="auto"/>
              <w:ind w:firstLine="2100" w:firstLineChars="100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完工</w:t>
            </w:r>
            <w:r>
              <w:rPr>
                <w:rFonts w:hint="eastAsia" w:ascii="宋体" w:hAnsi="宋体" w:eastAsia="宋体" w:cs="宋体"/>
                <w:bCs/>
                <w:color w:val="auto"/>
                <w:szCs w:val="21"/>
                <w:highlight w:val="none"/>
              </w:rPr>
              <w:t>期</w:t>
            </w:r>
          </w:p>
        </w:tc>
      </w:tr>
      <w:tr w14:paraId="527D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12" w:type="dxa"/>
            <w:vAlign w:val="center"/>
          </w:tcPr>
          <w:p w14:paraId="4EFD83CC">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分布式光伏发电</w:t>
            </w:r>
            <w:r>
              <w:rPr>
                <w:rFonts w:hint="eastAsia" w:ascii="宋体" w:hAnsi="宋体" w:eastAsia="宋体" w:cs="宋体"/>
                <w:bCs/>
                <w:color w:val="auto"/>
                <w:szCs w:val="21"/>
                <w:highlight w:val="none"/>
                <w:lang w:eastAsia="zh-CN"/>
              </w:rPr>
              <w:t>产品及设计服务、</w:t>
            </w:r>
            <w:r>
              <w:rPr>
                <w:rFonts w:hint="eastAsia" w:ascii="宋体" w:hAnsi="宋体" w:eastAsia="宋体" w:cs="宋体"/>
                <w:bCs/>
                <w:color w:val="auto"/>
                <w:szCs w:val="21"/>
                <w:highlight w:val="none"/>
                <w:lang w:val="en-US" w:eastAsia="zh-CN"/>
              </w:rPr>
              <w:t>1年运营维护服务</w:t>
            </w:r>
            <w:r>
              <w:rPr>
                <w:rFonts w:hint="eastAsia" w:ascii="宋体" w:hAnsi="宋体" w:eastAsia="宋体" w:cs="宋体"/>
                <w:bCs/>
                <w:color w:val="auto"/>
                <w:szCs w:val="21"/>
                <w:highlight w:val="none"/>
                <w:lang w:eastAsia="zh-CN"/>
              </w:rPr>
              <w:t>采购</w:t>
            </w:r>
          </w:p>
        </w:tc>
        <w:tc>
          <w:tcPr>
            <w:tcW w:w="6404" w:type="dxa"/>
            <w:vAlign w:val="center"/>
          </w:tcPr>
          <w:p w14:paraId="6C294CD0">
            <w:pPr>
              <w:pStyle w:val="24"/>
              <w:spacing w:line="360" w:lineRule="auto"/>
              <w:rPr>
                <w:rFonts w:hint="eastAsia" w:hAnsi="宋体"/>
                <w:color w:val="auto"/>
                <w:highlight w:val="none"/>
                <w:lang w:eastAsia="zh-CN"/>
              </w:rPr>
            </w:pPr>
            <w:r>
              <w:rPr>
                <w:rFonts w:hint="eastAsia" w:hAnsi="宋体" w:cs="宋体"/>
                <w:color w:val="auto"/>
                <w:szCs w:val="21"/>
                <w:highlight w:val="none"/>
                <w:lang w:eastAsia="zh-CN"/>
              </w:rPr>
              <w:t>（</w:t>
            </w:r>
            <w:r>
              <w:rPr>
                <w:rFonts w:hint="eastAsia" w:hAnsi="宋体" w:cs="宋体"/>
                <w:color w:val="auto"/>
                <w:szCs w:val="21"/>
                <w:highlight w:val="none"/>
                <w:lang w:val="en-US" w:eastAsia="zh-CN"/>
              </w:rPr>
              <w:t>1）深化设计工期：</w:t>
            </w:r>
            <w:r>
              <w:rPr>
                <w:rFonts w:hint="eastAsia"/>
                <w:color w:val="auto"/>
                <w:highlight w:val="none"/>
                <w:lang w:val="en-US" w:eastAsia="zh-CN"/>
              </w:rPr>
              <w:t>10</w:t>
            </w:r>
            <w:r>
              <w:rPr>
                <w:rFonts w:hint="eastAsia"/>
                <w:color w:val="auto"/>
                <w:highlight w:val="none"/>
              </w:rPr>
              <w:t>日</w:t>
            </w:r>
            <w:r>
              <w:rPr>
                <w:rFonts w:hint="eastAsia" w:hAnsi="宋体" w:cs="宋体"/>
                <w:color w:val="auto"/>
                <w:highlight w:val="none"/>
              </w:rPr>
              <w:t>（日历日，下同）</w:t>
            </w:r>
            <w:r>
              <w:rPr>
                <w:rFonts w:hint="eastAsia" w:hAnsi="宋体"/>
                <w:color w:val="auto"/>
                <w:highlight w:val="none"/>
                <w:lang w:eastAsia="zh-CN"/>
              </w:rPr>
              <w:t>。</w:t>
            </w:r>
          </w:p>
          <w:p w14:paraId="57BE629A">
            <w:pPr>
              <w:pStyle w:val="24"/>
              <w:spacing w:line="360" w:lineRule="auto"/>
              <w:rPr>
                <w:rFonts w:hint="eastAsia" w:ascii="宋体" w:hAnsi="宋体" w:eastAsia="宋体" w:cs="宋体"/>
                <w:bCs/>
                <w:color w:val="auto"/>
                <w:szCs w:val="21"/>
                <w:highlight w:val="none"/>
                <w:lang w:val="en-US" w:eastAsia="zh-CN"/>
              </w:rPr>
            </w:pPr>
            <w:r>
              <w:rPr>
                <w:rFonts w:hint="eastAsia" w:hAnsi="宋体"/>
                <w:color w:val="auto"/>
                <w:highlight w:val="none"/>
                <w:lang w:eastAsia="zh-CN"/>
              </w:rPr>
              <w:t>（</w:t>
            </w:r>
            <w:r>
              <w:rPr>
                <w:rFonts w:hint="eastAsia" w:hAnsi="宋体"/>
                <w:color w:val="auto"/>
                <w:highlight w:val="none"/>
                <w:lang w:val="en-US" w:eastAsia="zh-CN"/>
              </w:rPr>
              <w:t>2）供货（包安装、并网通电）工期：</w:t>
            </w:r>
            <w:r>
              <w:rPr>
                <w:rFonts w:hint="eastAsia" w:hAnsi="宋体" w:cs="宋体"/>
                <w:color w:val="auto"/>
                <w:szCs w:val="21"/>
                <w:highlight w:val="none"/>
              </w:rPr>
              <w:t>每个子项目（厂区）的基准实施周期为150</w:t>
            </w:r>
            <w:r>
              <w:rPr>
                <w:rFonts w:hint="eastAsia" w:hAnsi="宋体" w:cs="宋体"/>
                <w:color w:val="auto"/>
                <w:highlight w:val="none"/>
              </w:rPr>
              <w:t>日</w:t>
            </w:r>
            <w:r>
              <w:rPr>
                <w:rFonts w:hint="eastAsia" w:hAnsi="宋体" w:cs="宋体"/>
                <w:color w:val="auto"/>
                <w:szCs w:val="21"/>
                <w:highlight w:val="none"/>
              </w:rPr>
              <w:t>。</w:t>
            </w:r>
          </w:p>
        </w:tc>
      </w:tr>
    </w:tbl>
    <w:p w14:paraId="5368CE30">
      <w:pPr>
        <w:spacing w:line="360" w:lineRule="auto"/>
        <w:ind w:firstLine="420" w:firstLineChars="200"/>
        <w:rPr>
          <w:rFonts w:ascii="宋体" w:hAnsi="宋体" w:eastAsia="宋体" w:cs="宋体"/>
          <w:bCs/>
          <w:color w:val="auto"/>
          <w:szCs w:val="21"/>
          <w:highlight w:val="none"/>
          <w:lang w:val="zh-CN"/>
        </w:rPr>
      </w:pPr>
      <w:r>
        <w:rPr>
          <w:rFonts w:hint="eastAsia" w:ascii="宋体" w:hAnsi="宋体" w:eastAsia="宋体" w:cs="宋体"/>
          <w:color w:val="auto"/>
          <w:kern w:val="0"/>
          <w:szCs w:val="21"/>
          <w:highlight w:val="none"/>
          <w:lang w:eastAsia="zh-CN"/>
        </w:rPr>
        <w:t>东莞市水务环境投资控股集团</w:t>
      </w:r>
      <w:r>
        <w:rPr>
          <w:rFonts w:hint="eastAsia" w:ascii="宋体" w:hAnsi="宋体" w:eastAsia="宋体" w:cs="宋体"/>
          <w:bCs/>
          <w:color w:val="auto"/>
          <w:szCs w:val="21"/>
          <w:highlight w:val="none"/>
          <w:lang w:val="zh-CN"/>
        </w:rPr>
        <w:t>分布式光伏发电项目（第一批）</w:t>
      </w:r>
      <w:r>
        <w:rPr>
          <w:rFonts w:hint="eastAsia" w:ascii="宋体" w:hAnsi="宋体" w:eastAsia="宋体" w:cs="宋体"/>
          <w:bCs/>
          <w:color w:val="auto"/>
          <w:szCs w:val="21"/>
          <w:highlight w:val="none"/>
        </w:rPr>
        <w:t>14家</w:t>
      </w:r>
      <w:r>
        <w:rPr>
          <w:rFonts w:hint="eastAsia" w:ascii="宋体" w:hAnsi="宋体" w:eastAsia="宋体" w:cs="宋体"/>
          <w:bCs/>
          <w:color w:val="auto"/>
          <w:szCs w:val="21"/>
          <w:highlight w:val="none"/>
          <w:lang w:val="zh-CN"/>
        </w:rPr>
        <w:t>供水厂</w:t>
      </w:r>
      <w:r>
        <w:rPr>
          <w:rFonts w:hint="eastAsia" w:ascii="宋体" w:hAnsi="宋体" w:eastAsia="宋体" w:cs="宋体"/>
          <w:bCs/>
          <w:color w:val="auto"/>
          <w:szCs w:val="21"/>
          <w:highlight w:val="none"/>
        </w:rPr>
        <w:t>光伏发电</w:t>
      </w:r>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rPr>
        <w:t>包括但不限于完成太阳能光伏组件至并网点全部项目的勘察与设计、设备材料供应及安装（含并网设施、光伏组件、交流汇流箱、逆变器、开关柜、光伏支架、电缆、监控、防雷及</w:t>
      </w:r>
      <w:r>
        <w:rPr>
          <w:rFonts w:hint="eastAsia" w:ascii="宋体" w:hAnsi="宋体" w:eastAsia="宋体" w:cs="宋体"/>
          <w:bCs/>
          <w:color w:val="auto"/>
          <w:szCs w:val="21"/>
          <w:highlight w:val="none"/>
          <w:lang w:val="zh-CN"/>
        </w:rPr>
        <w:t>安全等配套设施</w:t>
      </w:r>
      <w:r>
        <w:rPr>
          <w:rFonts w:hint="eastAsia" w:ascii="宋体" w:hAnsi="宋体" w:eastAsia="宋体" w:cs="宋体"/>
          <w:bCs/>
          <w:color w:val="auto"/>
          <w:szCs w:val="21"/>
          <w:highlight w:val="none"/>
        </w:rPr>
        <w:t>等光伏发电项目所有设备材料，运输、储存），以及在各供水厂现状条件下为满足本项目实施的相关拆除、迁改、基础制作、安装，按厂区要求增设的钢结构室外楼梯和安全线缆，电网接入系统检测、全部项目系统调试及试运、验收（含为满足并网条件，需按供电局要求完成线路改造、安健环改造、网络安防、电能质量优化及调度控制系统建设等相关工作，以及供电局所需的试验）并交付生产、培训、质量保修期内的消缺等</w:t>
      </w:r>
      <w:r>
        <w:rPr>
          <w:rFonts w:hint="eastAsia" w:ascii="宋体" w:hAnsi="宋体" w:eastAsia="宋体" w:cs="宋体"/>
          <w:color w:val="auto"/>
          <w:szCs w:val="21"/>
          <w:highlight w:val="none"/>
        </w:rPr>
        <w:t>完成并网投运</w:t>
      </w:r>
      <w:r>
        <w:rPr>
          <w:rFonts w:hint="eastAsia" w:ascii="宋体" w:hAnsi="宋体" w:eastAsia="宋体" w:cs="宋体"/>
          <w:bCs/>
          <w:color w:val="auto"/>
          <w:szCs w:val="21"/>
          <w:highlight w:val="none"/>
        </w:rPr>
        <w:t>全过程的工作，办理从项目备案到供电局并网投运全过程中所需的各类手续，在满足合同其它责任和义务的同时使本项目符合相关达标验收的要求，提供1年的</w:t>
      </w:r>
      <w:r>
        <w:rPr>
          <w:rFonts w:hint="eastAsia" w:ascii="宋体" w:hAnsi="宋体" w:eastAsia="宋体" w:cs="宋体"/>
          <w:bCs/>
          <w:color w:val="auto"/>
          <w:szCs w:val="21"/>
          <w:highlight w:val="none"/>
          <w:lang w:val="zh-CN"/>
        </w:rPr>
        <w:t>运营维护服务</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zh-CN"/>
        </w:rPr>
        <w:t>（具体内容详见：第三篇用户需求书）。</w:t>
      </w:r>
    </w:p>
    <w:p w14:paraId="06DC8834">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注：投标人</w:t>
      </w:r>
      <w:r>
        <w:rPr>
          <w:rFonts w:hint="eastAsia" w:ascii="宋体" w:hAnsi="宋体" w:eastAsia="宋体" w:cs="宋体"/>
          <w:b/>
          <w:bCs/>
          <w:color w:val="auto"/>
          <w:highlight w:val="none"/>
        </w:rPr>
        <w:t>（或联合体投标时的任一成员）</w:t>
      </w:r>
      <w:r>
        <w:rPr>
          <w:rFonts w:hint="eastAsia" w:ascii="宋体" w:hAnsi="宋体" w:eastAsia="宋体" w:cs="宋体"/>
          <w:b/>
          <w:color w:val="auto"/>
          <w:szCs w:val="21"/>
          <w:highlight w:val="none"/>
        </w:rPr>
        <w:t>可参加</w:t>
      </w:r>
      <w:r>
        <w:rPr>
          <w:rFonts w:hint="eastAsia" w:ascii="宋体" w:hAnsi="宋体" w:eastAsia="宋体" w:cs="宋体"/>
          <w:b/>
          <w:color w:val="auto"/>
          <w:szCs w:val="21"/>
          <w:highlight w:val="none"/>
          <w:lang w:eastAsia="zh-CN"/>
        </w:rPr>
        <w:t>东莞市水务环境投资控股集团分布式光伏发电项目（第一批）供水厂项目</w:t>
      </w:r>
      <w:r>
        <w:rPr>
          <w:rFonts w:hint="eastAsia" w:ascii="宋体" w:hAnsi="宋体" w:eastAsia="宋体" w:cs="宋体"/>
          <w:b/>
          <w:color w:val="auto"/>
          <w:szCs w:val="21"/>
          <w:highlight w:val="none"/>
        </w:rPr>
        <w:t>和</w:t>
      </w:r>
      <w:r>
        <w:rPr>
          <w:rFonts w:hint="eastAsia" w:ascii="宋体" w:hAnsi="宋体" w:eastAsia="宋体" w:cs="宋体"/>
          <w:b/>
          <w:color w:val="auto"/>
          <w:szCs w:val="21"/>
          <w:highlight w:val="none"/>
          <w:lang w:eastAsia="zh-CN"/>
        </w:rPr>
        <w:t>东莞市水务环境投资控股集团分布式光伏发电项目（第一批）净水厂项目</w:t>
      </w:r>
      <w:r>
        <w:rPr>
          <w:rFonts w:hint="eastAsia" w:ascii="宋体" w:hAnsi="宋体" w:eastAsia="宋体" w:cs="宋体"/>
          <w:b/>
          <w:color w:val="auto"/>
          <w:szCs w:val="21"/>
          <w:highlight w:val="none"/>
        </w:rPr>
        <w:t>的投标，但仅可承接其中一个光伏发电项目。若投标人</w:t>
      </w:r>
      <w:r>
        <w:rPr>
          <w:rFonts w:hint="eastAsia" w:ascii="宋体" w:hAnsi="宋体" w:eastAsia="宋体" w:cs="宋体"/>
          <w:b/>
          <w:bCs/>
          <w:color w:val="auto"/>
          <w:highlight w:val="none"/>
        </w:rPr>
        <w:t>（或联合体投标时的任一成员）</w:t>
      </w:r>
      <w:r>
        <w:rPr>
          <w:rFonts w:hint="eastAsia" w:ascii="宋体" w:hAnsi="宋体" w:eastAsia="宋体" w:cs="宋体"/>
          <w:b/>
          <w:color w:val="auto"/>
          <w:szCs w:val="21"/>
          <w:highlight w:val="none"/>
        </w:rPr>
        <w:t>已在前述任意一个项目的评审中被推荐为第一中标候选人，则在另一个项目的评审时，该投标人</w:t>
      </w:r>
      <w:r>
        <w:rPr>
          <w:rFonts w:hint="eastAsia" w:ascii="宋体" w:hAnsi="宋体" w:eastAsia="宋体" w:cs="宋体"/>
          <w:b/>
          <w:bCs/>
          <w:color w:val="auto"/>
          <w:highlight w:val="none"/>
        </w:rPr>
        <w:t>（或联合体投标时的任一成员，以及有该成员组成的新联合体）</w:t>
      </w:r>
      <w:r>
        <w:rPr>
          <w:rFonts w:hint="eastAsia" w:ascii="宋体" w:hAnsi="宋体" w:eastAsia="宋体" w:cs="宋体"/>
          <w:b/>
          <w:color w:val="auto"/>
          <w:szCs w:val="21"/>
          <w:highlight w:val="none"/>
        </w:rPr>
        <w:t>不可被推荐为中标候选人，由其他得分次高的投标人替代。</w:t>
      </w:r>
    </w:p>
    <w:p w14:paraId="7E3D411D">
      <w:pPr>
        <w:autoSpaceDE w:val="0"/>
        <w:autoSpaceDN w:val="0"/>
        <w:adjustRightInd w:val="0"/>
        <w:spacing w:line="360" w:lineRule="auto"/>
        <w:ind w:right="-29" w:rightChars="-14"/>
        <w:rPr>
          <w:rFonts w:ascii="宋体" w:hAnsi="宋体" w:eastAsia="宋体" w:cs="宋体"/>
          <w:color w:val="auto"/>
          <w:szCs w:val="21"/>
          <w:highlight w:val="none"/>
          <w:lang w:val="zh-CN"/>
        </w:rPr>
      </w:pPr>
    </w:p>
    <w:p w14:paraId="743FE9D2">
      <w:pPr>
        <w:numPr>
          <w:ilvl w:val="0"/>
          <w:numId w:val="1"/>
        </w:numPr>
        <w:autoSpaceDE w:val="0"/>
        <w:autoSpaceDN w:val="0"/>
        <w:adjustRightInd w:val="0"/>
        <w:snapToGrid w:val="0"/>
        <w:spacing w:line="360" w:lineRule="auto"/>
        <w:ind w:right="-34"/>
        <w:jc w:val="left"/>
        <w:outlineLvl w:val="0"/>
        <w:rPr>
          <w:rFonts w:ascii="宋体" w:hAnsi="宋体" w:eastAsia="宋体" w:cs="宋体"/>
          <w:b/>
          <w:color w:val="auto"/>
          <w:szCs w:val="21"/>
          <w:highlight w:val="none"/>
          <w:lang w:val="zh-CN"/>
        </w:rPr>
      </w:pPr>
      <w:bookmarkStart w:id="8" w:name="_Toc540"/>
      <w:bookmarkStart w:id="9" w:name="_Toc3508"/>
      <w:bookmarkStart w:id="10" w:name="_Toc11466"/>
      <w:r>
        <w:rPr>
          <w:rFonts w:hint="eastAsia" w:ascii="宋体" w:hAnsi="宋体" w:eastAsia="宋体" w:cs="宋体"/>
          <w:b/>
          <w:color w:val="auto"/>
          <w:szCs w:val="21"/>
          <w:highlight w:val="none"/>
          <w:lang w:val="zh-CN"/>
        </w:rPr>
        <w:t>合格投标人资格要求：</w:t>
      </w:r>
      <w:bookmarkEnd w:id="8"/>
      <w:bookmarkEnd w:id="9"/>
      <w:bookmarkEnd w:id="10"/>
    </w:p>
    <w:p w14:paraId="19F8F371">
      <w:pPr>
        <w:pStyle w:val="170"/>
        <w:spacing w:line="360" w:lineRule="auto"/>
        <w:ind w:left="424" w:leftChars="0" w:right="-29" w:rightChars="-14" w:hanging="424" w:hangingChars="201"/>
        <w:jc w:val="both"/>
        <w:rPr>
          <w:rFonts w:hAnsi="宋体" w:eastAsia="宋体" w:cs="宋体"/>
          <w:b/>
          <w:color w:val="auto"/>
          <w:sz w:val="21"/>
          <w:szCs w:val="21"/>
          <w:highlight w:val="none"/>
          <w:lang w:val="zh-CN"/>
        </w:rPr>
      </w:pPr>
      <w:r>
        <w:rPr>
          <w:rFonts w:hint="eastAsia" w:hAnsi="宋体" w:eastAsia="宋体" w:cs="宋体"/>
          <w:b/>
          <w:color w:val="auto"/>
          <w:sz w:val="21"/>
          <w:szCs w:val="21"/>
          <w:highlight w:val="none"/>
          <w:lang w:val="zh-CN"/>
        </w:rPr>
        <w:t>2.1 在中华人民共和国境内登记注册、合法存续、正常经营且具有独立承担民事责任能力的法人或其他组织。</w:t>
      </w:r>
    </w:p>
    <w:p w14:paraId="40DB3A50">
      <w:pPr>
        <w:spacing w:line="360" w:lineRule="auto"/>
        <w:ind w:left="424" w:leftChars="0" w:hanging="424" w:hangingChars="201"/>
        <w:rPr>
          <w:rFonts w:ascii="宋体" w:hAnsi="宋体" w:eastAsia="宋体" w:cs="宋体"/>
          <w:b/>
          <w:color w:val="auto"/>
          <w:szCs w:val="21"/>
          <w:highlight w:val="none"/>
          <w:lang w:val="zh-CN"/>
        </w:rPr>
      </w:pPr>
      <w:bookmarkStart w:id="11" w:name="_Toc25819"/>
      <w:r>
        <w:rPr>
          <w:rFonts w:hint="eastAsia" w:ascii="宋体" w:hAnsi="宋体" w:eastAsia="宋体" w:cs="宋体"/>
          <w:b/>
          <w:color w:val="auto"/>
          <w:szCs w:val="21"/>
          <w:highlight w:val="none"/>
          <w:lang w:val="zh-CN"/>
        </w:rPr>
        <w:t xml:space="preserve">2.2 </w:t>
      </w:r>
      <w:r>
        <w:rPr>
          <w:rFonts w:hint="eastAsia" w:ascii="宋体" w:hAnsi="宋体" w:eastAsia="宋体" w:cs="宋体"/>
          <w:b/>
          <w:color w:val="auto"/>
          <w:szCs w:val="21"/>
          <w:highlight w:val="none"/>
        </w:rPr>
        <w:t>本项目的特定资格要求：</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供货安装</w:t>
      </w:r>
      <w:r>
        <w:rPr>
          <w:rFonts w:hint="eastAsia" w:ascii="宋体" w:hAnsi="宋体" w:eastAsia="宋体" w:cs="宋体"/>
          <w:b/>
          <w:color w:val="auto"/>
          <w:szCs w:val="21"/>
          <w:highlight w:val="none"/>
          <w:lang w:val="zh-CN"/>
        </w:rPr>
        <w:t>资质：①具有以下其中一种资质：a）电力工程施工总承包</w:t>
      </w:r>
      <w:r>
        <w:rPr>
          <w:rFonts w:hint="eastAsia" w:ascii="宋体" w:hAnsi="宋体" w:eastAsia="宋体" w:cs="宋体"/>
          <w:b/>
          <w:color w:val="auto"/>
          <w:szCs w:val="21"/>
          <w:highlight w:val="none"/>
        </w:rPr>
        <w:t>乙级</w:t>
      </w:r>
      <w:r>
        <w:rPr>
          <w:rFonts w:hint="eastAsia" w:ascii="宋体" w:hAnsi="宋体" w:eastAsia="宋体" w:cs="宋体"/>
          <w:b/>
          <w:color w:val="auto"/>
          <w:szCs w:val="21"/>
          <w:highlight w:val="none"/>
          <w:lang w:val="zh-CN"/>
        </w:rPr>
        <w:t>（或以上）企业资质；</w:t>
      </w:r>
      <w:r>
        <w:rPr>
          <w:rFonts w:hint="eastAsia" w:ascii="宋体" w:hAnsi="宋体" w:eastAsia="宋体" w:cs="宋体"/>
          <w:b/>
          <w:color w:val="auto"/>
          <w:szCs w:val="21"/>
          <w:highlight w:val="none"/>
        </w:rPr>
        <w:t>b</w:t>
      </w:r>
      <w:r>
        <w:rPr>
          <w:rFonts w:hint="eastAsia" w:ascii="宋体" w:hAnsi="宋体" w:eastAsia="宋体" w:cs="宋体"/>
          <w:b/>
          <w:color w:val="auto"/>
          <w:szCs w:val="21"/>
          <w:highlight w:val="none"/>
          <w:lang w:val="zh-CN"/>
        </w:rPr>
        <w:t>）输变电工程专业承包</w:t>
      </w:r>
      <w:r>
        <w:rPr>
          <w:rFonts w:hint="eastAsia" w:ascii="宋体" w:hAnsi="宋体" w:eastAsia="宋体" w:cs="宋体"/>
          <w:b/>
          <w:color w:val="auto"/>
          <w:szCs w:val="21"/>
          <w:highlight w:val="none"/>
        </w:rPr>
        <w:t>乙级</w:t>
      </w:r>
      <w:r>
        <w:rPr>
          <w:rFonts w:hint="eastAsia" w:ascii="宋体" w:hAnsi="宋体" w:eastAsia="宋体" w:cs="宋体"/>
          <w:b/>
          <w:color w:val="auto"/>
          <w:szCs w:val="21"/>
          <w:highlight w:val="none"/>
          <w:lang w:val="zh-CN"/>
        </w:rPr>
        <w:t>（或以上）企业资质【</w:t>
      </w:r>
      <w:r>
        <w:rPr>
          <w:rFonts w:hint="eastAsia" w:ascii="宋体" w:hAnsi="宋体" w:eastAsia="宋体" w:cs="宋体"/>
          <w:b/>
          <w:color w:val="auto"/>
          <w:szCs w:val="21"/>
          <w:highlight w:val="none"/>
        </w:rPr>
        <w:t>或更换资质证书前有效期内：</w:t>
      </w:r>
      <w:bookmarkStart w:id="12" w:name="OLE_LINK129"/>
      <w:r>
        <w:rPr>
          <w:rFonts w:hint="eastAsia" w:ascii="宋体" w:hAnsi="宋体" w:eastAsia="宋体" w:cs="宋体"/>
          <w:b/>
          <w:color w:val="auto"/>
          <w:szCs w:val="21"/>
          <w:highlight w:val="none"/>
          <w:lang w:val="zh-CN"/>
        </w:rPr>
        <w:t>电力工程施工总承包三级（或以上）企业资质；</w:t>
      </w:r>
      <w:r>
        <w:rPr>
          <w:rFonts w:hint="eastAsia" w:ascii="宋体" w:hAnsi="宋体" w:eastAsia="宋体" w:cs="宋体"/>
          <w:b/>
          <w:color w:val="auto"/>
          <w:szCs w:val="21"/>
          <w:highlight w:val="none"/>
        </w:rPr>
        <w:t>或</w:t>
      </w:r>
      <w:r>
        <w:rPr>
          <w:rFonts w:hint="eastAsia" w:ascii="宋体" w:hAnsi="宋体" w:eastAsia="宋体" w:cs="宋体"/>
          <w:b/>
          <w:color w:val="auto"/>
          <w:szCs w:val="21"/>
          <w:highlight w:val="none"/>
          <w:lang w:val="zh-CN"/>
        </w:rPr>
        <w:t>输变电工程专业承包三级（或以上）企业资质</w:t>
      </w:r>
      <w:bookmarkEnd w:id="12"/>
      <w:r>
        <w:rPr>
          <w:rFonts w:hint="eastAsia" w:ascii="宋体" w:hAnsi="宋体" w:eastAsia="宋体" w:cs="宋体"/>
          <w:b/>
          <w:color w:val="auto"/>
          <w:szCs w:val="21"/>
          <w:highlight w:val="none"/>
          <w:lang w:val="zh-CN"/>
        </w:rPr>
        <w:t>】；②具有《承装（修、试）电力设施许可证》承装类五级或以上资质【或具</w:t>
      </w:r>
      <w:r>
        <w:rPr>
          <w:rFonts w:hint="eastAsia" w:ascii="宋体" w:hAnsi="宋体" w:eastAsia="宋体" w:cs="宋体"/>
          <w:b/>
          <w:color w:val="auto"/>
          <w:szCs w:val="21"/>
          <w:highlight w:val="none"/>
        </w:rPr>
        <w:t>有</w:t>
      </w:r>
      <w:r>
        <w:rPr>
          <w:rFonts w:hint="eastAsia" w:ascii="宋体" w:hAnsi="宋体" w:eastAsia="宋体" w:cs="宋体"/>
          <w:b/>
          <w:bCs/>
          <w:color w:val="auto"/>
          <w:szCs w:val="24"/>
          <w:highlight w:val="none"/>
        </w:rPr>
        <w:t>2025年7月1日</w:t>
      </w:r>
      <w:r>
        <w:rPr>
          <w:rFonts w:hint="eastAsia" w:ascii="宋体" w:hAnsi="宋体" w:eastAsia="宋体" w:cs="宋体"/>
          <w:b/>
          <w:color w:val="auto"/>
          <w:szCs w:val="21"/>
          <w:highlight w:val="none"/>
        </w:rPr>
        <w:t>以来</w:t>
      </w:r>
      <w:r>
        <w:rPr>
          <w:rFonts w:hint="eastAsia" w:ascii="宋体" w:hAnsi="宋体" w:eastAsia="宋体" w:cs="宋体"/>
          <w:b/>
          <w:color w:val="auto"/>
          <w:szCs w:val="21"/>
          <w:highlight w:val="none"/>
          <w:lang w:val="zh-CN"/>
        </w:rPr>
        <w:t>颁发</w:t>
      </w:r>
      <w:r>
        <w:rPr>
          <w:rFonts w:hint="eastAsia" w:ascii="宋体" w:hAnsi="宋体" w:eastAsia="宋体" w:cs="宋体"/>
          <w:b/>
          <w:color w:val="auto"/>
          <w:szCs w:val="21"/>
          <w:highlight w:val="none"/>
        </w:rPr>
        <w:t>或换领</w:t>
      </w:r>
      <w:r>
        <w:rPr>
          <w:rFonts w:hint="eastAsia" w:ascii="宋体" w:hAnsi="宋体" w:eastAsia="宋体" w:cs="宋体"/>
          <w:b/>
          <w:color w:val="auto"/>
          <w:szCs w:val="21"/>
          <w:highlight w:val="none"/>
          <w:lang w:val="zh-CN"/>
        </w:rPr>
        <w:t>的《承装（修、试）电力设施许可证》承装类三级或以上电子证照】；③具有在效期内的《安全生产许可证》。（</w:t>
      </w: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zh-CN"/>
        </w:rPr>
        <w:t>）设</w:t>
      </w:r>
      <w:bookmarkStart w:id="13" w:name="OLE_LINK25"/>
      <w:r>
        <w:rPr>
          <w:rFonts w:hint="eastAsia" w:ascii="宋体" w:hAnsi="宋体" w:eastAsia="宋体" w:cs="宋体"/>
          <w:b/>
          <w:color w:val="auto"/>
          <w:szCs w:val="21"/>
          <w:highlight w:val="none"/>
          <w:lang w:val="zh-CN"/>
        </w:rPr>
        <w:t>计</w:t>
      </w:r>
      <w:bookmarkEnd w:id="13"/>
      <w:r>
        <w:rPr>
          <w:rFonts w:hint="eastAsia" w:ascii="宋体" w:hAnsi="宋体" w:eastAsia="宋体" w:cs="宋体"/>
          <w:b/>
          <w:color w:val="auto"/>
          <w:szCs w:val="21"/>
          <w:highlight w:val="none"/>
          <w:lang w:val="zh-CN"/>
        </w:rPr>
        <w:t>资质：具有有效期内</w:t>
      </w:r>
      <w:r>
        <w:rPr>
          <w:rFonts w:hint="eastAsia" w:ascii="宋体" w:hAnsi="宋体" w:eastAsia="宋体" w:cs="宋体"/>
          <w:b/>
          <w:color w:val="auto"/>
          <w:szCs w:val="21"/>
          <w:highlight w:val="none"/>
        </w:rPr>
        <w:t>的</w:t>
      </w:r>
      <w:r>
        <w:rPr>
          <w:rFonts w:hint="eastAsia" w:ascii="宋体" w:hAnsi="宋体" w:eastAsia="宋体" w:cs="宋体"/>
          <w:b/>
          <w:color w:val="auto"/>
          <w:szCs w:val="21"/>
          <w:highlight w:val="none"/>
          <w:lang w:val="zh-CN"/>
        </w:rPr>
        <w:t>工程设计综合资质，或工程设计电力行业乙级（或以上）资质，或工程设计电力行业（送</w:t>
      </w:r>
      <w:r>
        <w:rPr>
          <w:rFonts w:hint="eastAsia" w:ascii="宋体" w:hAnsi="宋体" w:eastAsia="宋体" w:cs="宋体"/>
          <w:b/>
          <w:color w:val="auto"/>
          <w:szCs w:val="21"/>
          <w:highlight w:val="none"/>
        </w:rPr>
        <w:t>变</w:t>
      </w:r>
      <w:r>
        <w:rPr>
          <w:rFonts w:hint="eastAsia" w:ascii="宋体" w:hAnsi="宋体" w:eastAsia="宋体" w:cs="宋体"/>
          <w:b/>
          <w:color w:val="auto"/>
          <w:szCs w:val="21"/>
          <w:highlight w:val="none"/>
          <w:lang w:val="zh-CN"/>
        </w:rPr>
        <w:t>电工程）专业乙级（或以上）资质，或工程设计电力行业（新能源发电</w:t>
      </w:r>
      <w:r>
        <w:rPr>
          <w:rFonts w:hint="eastAsia" w:ascii="宋体" w:hAnsi="宋体" w:eastAsia="宋体" w:cs="宋体"/>
          <w:b/>
          <w:color w:val="auto"/>
          <w:szCs w:val="21"/>
          <w:highlight w:val="none"/>
        </w:rPr>
        <w:t>工程</w:t>
      </w:r>
      <w:r>
        <w:rPr>
          <w:rFonts w:hint="eastAsia" w:ascii="宋体" w:hAnsi="宋体" w:eastAsia="宋体" w:cs="宋体"/>
          <w:b/>
          <w:color w:val="auto"/>
          <w:szCs w:val="21"/>
          <w:highlight w:val="none"/>
          <w:lang w:val="zh-CN"/>
        </w:rPr>
        <w:t>）专业乙级（或以上）资质【</w:t>
      </w:r>
      <w:r>
        <w:rPr>
          <w:rFonts w:hint="eastAsia" w:ascii="宋体" w:hAnsi="宋体" w:eastAsia="宋体" w:cs="宋体"/>
          <w:b/>
          <w:color w:val="auto"/>
          <w:szCs w:val="21"/>
          <w:highlight w:val="none"/>
        </w:rPr>
        <w:t>或更换资质证书前有效期内</w:t>
      </w:r>
      <w:r>
        <w:rPr>
          <w:rFonts w:hint="eastAsia" w:ascii="宋体" w:hAnsi="宋体" w:eastAsia="宋体" w:cs="宋体"/>
          <w:b/>
          <w:color w:val="auto"/>
          <w:szCs w:val="21"/>
          <w:highlight w:val="none"/>
          <w:lang w:val="zh-CN"/>
        </w:rPr>
        <w:t>：工程设计综合</w:t>
      </w:r>
      <w:r>
        <w:rPr>
          <w:rFonts w:hint="eastAsia" w:ascii="宋体" w:hAnsi="宋体" w:eastAsia="宋体" w:cs="宋体"/>
          <w:b/>
          <w:color w:val="auto"/>
          <w:szCs w:val="21"/>
          <w:highlight w:val="none"/>
        </w:rPr>
        <w:t>甲级</w:t>
      </w:r>
      <w:r>
        <w:rPr>
          <w:rFonts w:hint="eastAsia" w:ascii="宋体" w:hAnsi="宋体" w:eastAsia="宋体" w:cs="宋体"/>
          <w:b/>
          <w:color w:val="auto"/>
          <w:szCs w:val="21"/>
          <w:highlight w:val="none"/>
          <w:lang w:val="zh-CN"/>
        </w:rPr>
        <w:t>资质，或</w:t>
      </w:r>
      <w:bookmarkStart w:id="14" w:name="OLE_LINK156"/>
      <w:r>
        <w:rPr>
          <w:rFonts w:hint="eastAsia" w:ascii="宋体" w:hAnsi="宋体" w:eastAsia="宋体" w:cs="宋体"/>
          <w:b/>
          <w:color w:val="auto"/>
          <w:szCs w:val="21"/>
          <w:highlight w:val="none"/>
          <w:lang w:val="zh-CN"/>
        </w:rPr>
        <w:t>工程设计电力行业</w:t>
      </w:r>
      <w:bookmarkEnd w:id="14"/>
      <w:r>
        <w:rPr>
          <w:rFonts w:hint="eastAsia" w:ascii="宋体" w:hAnsi="宋体" w:eastAsia="宋体" w:cs="宋体"/>
          <w:b/>
          <w:color w:val="auto"/>
          <w:szCs w:val="21"/>
          <w:highlight w:val="none"/>
          <w:lang w:val="zh-CN"/>
        </w:rPr>
        <w:t>乙级（或以上）资质，或</w:t>
      </w:r>
      <w:bookmarkStart w:id="15" w:name="OLE_LINK157"/>
      <w:r>
        <w:rPr>
          <w:rFonts w:hint="eastAsia" w:ascii="宋体" w:hAnsi="宋体" w:eastAsia="宋体" w:cs="宋体"/>
          <w:b/>
          <w:color w:val="auto"/>
          <w:szCs w:val="21"/>
          <w:highlight w:val="none"/>
          <w:lang w:val="zh-CN"/>
        </w:rPr>
        <w:t>工程设计电力行业（送电工程或变电工程）专业</w:t>
      </w:r>
      <w:bookmarkEnd w:id="15"/>
      <w:r>
        <w:rPr>
          <w:rFonts w:hint="eastAsia" w:ascii="宋体" w:hAnsi="宋体" w:eastAsia="宋体" w:cs="宋体"/>
          <w:b/>
          <w:color w:val="auto"/>
          <w:szCs w:val="21"/>
          <w:highlight w:val="none"/>
          <w:lang w:val="zh-CN"/>
        </w:rPr>
        <w:t>丙级（或以上）资质，或</w:t>
      </w:r>
      <w:bookmarkStart w:id="16" w:name="OLE_LINK158"/>
      <w:r>
        <w:rPr>
          <w:rFonts w:hint="eastAsia" w:ascii="宋体" w:hAnsi="宋体" w:eastAsia="宋体" w:cs="宋体"/>
          <w:b/>
          <w:color w:val="auto"/>
          <w:szCs w:val="21"/>
          <w:highlight w:val="none"/>
          <w:lang w:val="zh-CN"/>
        </w:rPr>
        <w:t>工程设计电力行业（新能源发电）专业</w:t>
      </w:r>
      <w:bookmarkEnd w:id="16"/>
      <w:r>
        <w:rPr>
          <w:rFonts w:hint="eastAsia" w:ascii="宋体" w:hAnsi="宋体" w:eastAsia="宋体" w:cs="宋体"/>
          <w:b/>
          <w:color w:val="auto"/>
          <w:szCs w:val="21"/>
          <w:highlight w:val="none"/>
          <w:lang w:val="zh-CN"/>
        </w:rPr>
        <w:t>乙级资质】。</w:t>
      </w:r>
    </w:p>
    <w:p w14:paraId="6A4E3C03">
      <w:pPr>
        <w:pStyle w:val="170"/>
        <w:spacing w:line="360" w:lineRule="auto"/>
        <w:ind w:left="424" w:leftChars="0" w:right="-29" w:rightChars="-14" w:hanging="424" w:hangingChars="201"/>
        <w:jc w:val="both"/>
        <w:rPr>
          <w:rFonts w:hint="eastAsia" w:hAnsi="宋体" w:eastAsia="宋体" w:cs="宋体"/>
          <w:b/>
          <w:color w:val="auto"/>
          <w:sz w:val="21"/>
          <w:szCs w:val="21"/>
          <w:highlight w:val="none"/>
        </w:rPr>
      </w:pPr>
      <w:bookmarkStart w:id="17" w:name="OLE_LINK30"/>
      <w:r>
        <w:rPr>
          <w:rFonts w:hint="eastAsia" w:hAnsi="宋体" w:eastAsia="宋体" w:cs="宋体"/>
          <w:b/>
          <w:color w:val="auto"/>
          <w:sz w:val="21"/>
          <w:szCs w:val="21"/>
          <w:highlight w:val="none"/>
          <w:lang w:val="en-US" w:eastAsia="zh-CN"/>
        </w:rPr>
        <w:t>2.3 项目负责人要求（若为联合体投标的，以联合体牵头单位提供的人员为准，联合体成员单位提供的人员不予认可）：投标人为本项目投入的项目负责人应具备二级或以上等级的注册建造师，建造师注册证书中列明的专业类别为电力工程（或机电工程），且具备建设行政主管部门颁发的安全生产考核合格证（须为项目负责人安全生产考核合格证，即“建安B”类证）。</w:t>
      </w:r>
    </w:p>
    <w:p w14:paraId="6EFA0D53">
      <w:pPr>
        <w:pStyle w:val="170"/>
        <w:spacing w:line="360" w:lineRule="auto"/>
        <w:ind w:left="624" w:leftChars="0" w:right="-29" w:rightChars="-14" w:hanging="624" w:hangingChars="296"/>
        <w:jc w:val="both"/>
        <w:rPr>
          <w:rFonts w:hAnsi="宋体" w:eastAsia="宋体" w:cs="宋体"/>
          <w:b/>
          <w:color w:val="auto"/>
          <w:sz w:val="21"/>
          <w:szCs w:val="21"/>
          <w:highlight w:val="none"/>
        </w:rPr>
      </w:pPr>
      <w:r>
        <w:rPr>
          <w:rFonts w:hint="eastAsia" w:hAnsi="宋体" w:eastAsia="宋体" w:cs="宋体"/>
          <w:b/>
          <w:color w:val="auto"/>
          <w:sz w:val="21"/>
          <w:szCs w:val="21"/>
          <w:highlight w:val="none"/>
        </w:rPr>
        <w:t>2.</w:t>
      </w:r>
      <w:r>
        <w:rPr>
          <w:rFonts w:hint="eastAsia" w:hAnsi="宋体" w:eastAsia="宋体" w:cs="宋体"/>
          <w:b/>
          <w:color w:val="auto"/>
          <w:sz w:val="21"/>
          <w:szCs w:val="21"/>
          <w:highlight w:val="none"/>
          <w:lang w:val="en-US" w:eastAsia="zh-CN"/>
        </w:rPr>
        <w:t>4</w:t>
      </w:r>
      <w:r>
        <w:rPr>
          <w:rFonts w:hint="eastAsia" w:hAnsi="宋体" w:eastAsia="宋体" w:cs="宋体"/>
          <w:b/>
          <w:color w:val="auto"/>
          <w:sz w:val="21"/>
          <w:szCs w:val="21"/>
          <w:highlight w:val="none"/>
        </w:rPr>
        <w:t xml:space="preserve"> </w:t>
      </w:r>
      <w:r>
        <w:rPr>
          <w:rFonts w:hint="eastAsia" w:hAnsi="宋体" w:eastAsia="宋体" w:cs="宋体"/>
          <w:b/>
          <w:color w:val="auto"/>
          <w:sz w:val="21"/>
          <w:szCs w:val="21"/>
          <w:highlight w:val="none"/>
          <w:lang w:val="zh-CN"/>
        </w:rPr>
        <w:t>投标人</w:t>
      </w:r>
      <w:r>
        <w:rPr>
          <w:rFonts w:hint="eastAsia" w:hAnsi="宋体" w:eastAsia="宋体" w:cs="宋体"/>
          <w:b/>
          <w:color w:val="auto"/>
          <w:sz w:val="21"/>
          <w:szCs w:val="21"/>
          <w:highlight w:val="none"/>
        </w:rPr>
        <w:t>2022</w:t>
      </w:r>
      <w:r>
        <w:rPr>
          <w:rFonts w:hint="eastAsia" w:hAnsi="宋体" w:eastAsia="宋体" w:cs="宋体"/>
          <w:b/>
          <w:color w:val="auto"/>
          <w:sz w:val="21"/>
          <w:szCs w:val="21"/>
          <w:highlight w:val="none"/>
          <w:lang w:val="zh-CN"/>
        </w:rPr>
        <w:t>年</w:t>
      </w:r>
      <w:r>
        <w:rPr>
          <w:rFonts w:hint="eastAsia" w:hAnsi="宋体" w:eastAsia="宋体" w:cs="宋体"/>
          <w:b/>
          <w:color w:val="auto"/>
          <w:sz w:val="21"/>
          <w:szCs w:val="21"/>
          <w:highlight w:val="none"/>
        </w:rPr>
        <w:t>1</w:t>
      </w:r>
      <w:r>
        <w:rPr>
          <w:rFonts w:hint="eastAsia" w:hAnsi="宋体" w:eastAsia="宋体" w:cs="宋体"/>
          <w:b/>
          <w:color w:val="auto"/>
          <w:sz w:val="21"/>
          <w:szCs w:val="21"/>
          <w:highlight w:val="none"/>
          <w:lang w:val="zh-CN"/>
        </w:rPr>
        <w:t>月</w:t>
      </w:r>
      <w:r>
        <w:rPr>
          <w:rFonts w:hint="eastAsia" w:hAnsi="宋体" w:eastAsia="宋体" w:cs="宋体"/>
          <w:b/>
          <w:color w:val="auto"/>
          <w:sz w:val="21"/>
          <w:szCs w:val="21"/>
          <w:highlight w:val="none"/>
        </w:rPr>
        <w:t>1</w:t>
      </w:r>
      <w:r>
        <w:rPr>
          <w:rFonts w:hint="eastAsia" w:hAnsi="宋体" w:eastAsia="宋体" w:cs="宋体"/>
          <w:b/>
          <w:color w:val="auto"/>
          <w:sz w:val="21"/>
          <w:szCs w:val="21"/>
          <w:highlight w:val="none"/>
          <w:lang w:val="zh-CN"/>
        </w:rPr>
        <w:t>日以来具有一份</w:t>
      </w:r>
      <w:bookmarkStart w:id="18" w:name="OLE_LINK46"/>
      <w:r>
        <w:rPr>
          <w:rFonts w:hint="eastAsia" w:hAnsi="宋体" w:eastAsia="宋体" w:cs="宋体"/>
          <w:b/>
          <w:color w:val="auto"/>
          <w:sz w:val="21"/>
          <w:szCs w:val="21"/>
          <w:highlight w:val="none"/>
          <w:lang w:val="zh-CN"/>
        </w:rPr>
        <w:t>分布式光伏发电的</w:t>
      </w:r>
      <w:bookmarkEnd w:id="18"/>
      <w:r>
        <w:rPr>
          <w:rFonts w:hint="eastAsia" w:hAnsi="宋体" w:eastAsia="宋体" w:cs="宋体"/>
          <w:b/>
          <w:color w:val="auto"/>
          <w:sz w:val="21"/>
          <w:szCs w:val="21"/>
          <w:highlight w:val="none"/>
          <w:lang w:val="zh-CN"/>
        </w:rPr>
        <w:t>业绩（合同签订日期为</w:t>
      </w:r>
      <w:r>
        <w:rPr>
          <w:rFonts w:hint="eastAsia" w:hAnsi="宋体" w:eastAsia="宋体" w:cs="宋体"/>
          <w:b/>
          <w:color w:val="auto"/>
          <w:sz w:val="21"/>
          <w:szCs w:val="21"/>
          <w:highlight w:val="none"/>
        </w:rPr>
        <w:t>2022</w:t>
      </w:r>
      <w:r>
        <w:rPr>
          <w:rFonts w:hint="eastAsia" w:hAnsi="宋体" w:eastAsia="宋体" w:cs="宋体"/>
          <w:b/>
          <w:color w:val="auto"/>
          <w:sz w:val="21"/>
          <w:szCs w:val="21"/>
          <w:highlight w:val="none"/>
          <w:lang w:val="zh-CN"/>
        </w:rPr>
        <w:t>年</w:t>
      </w:r>
      <w:r>
        <w:rPr>
          <w:rFonts w:hint="eastAsia" w:hAnsi="宋体" w:eastAsia="宋体" w:cs="宋体"/>
          <w:b/>
          <w:color w:val="auto"/>
          <w:sz w:val="21"/>
          <w:szCs w:val="21"/>
          <w:highlight w:val="none"/>
        </w:rPr>
        <w:t>1</w:t>
      </w:r>
      <w:r>
        <w:rPr>
          <w:rFonts w:hint="eastAsia" w:hAnsi="宋体" w:eastAsia="宋体" w:cs="宋体"/>
          <w:b/>
          <w:color w:val="auto"/>
          <w:sz w:val="21"/>
          <w:szCs w:val="21"/>
          <w:highlight w:val="none"/>
          <w:lang w:val="zh-CN"/>
        </w:rPr>
        <w:t>月</w:t>
      </w:r>
      <w:r>
        <w:rPr>
          <w:rFonts w:hint="eastAsia" w:hAnsi="宋体" w:eastAsia="宋体" w:cs="宋体"/>
          <w:b/>
          <w:color w:val="auto"/>
          <w:sz w:val="21"/>
          <w:szCs w:val="21"/>
          <w:highlight w:val="none"/>
        </w:rPr>
        <w:t>1</w:t>
      </w:r>
      <w:r>
        <w:rPr>
          <w:rFonts w:hint="eastAsia" w:hAnsi="宋体" w:eastAsia="宋体" w:cs="宋体"/>
          <w:b/>
          <w:color w:val="auto"/>
          <w:sz w:val="21"/>
          <w:szCs w:val="21"/>
          <w:highlight w:val="none"/>
          <w:lang w:val="zh-CN"/>
        </w:rPr>
        <w:t>日或以后）</w:t>
      </w:r>
      <w:bookmarkEnd w:id="17"/>
      <w:r>
        <w:rPr>
          <w:rFonts w:hint="eastAsia" w:hAnsi="宋体" w:eastAsia="宋体" w:cs="宋体"/>
          <w:b/>
          <w:color w:val="auto"/>
          <w:sz w:val="21"/>
          <w:szCs w:val="21"/>
          <w:highlight w:val="none"/>
          <w:lang w:val="zh-CN"/>
        </w:rPr>
        <w:t>。</w:t>
      </w:r>
    </w:p>
    <w:p w14:paraId="3880D8FC">
      <w:pPr>
        <w:pStyle w:val="170"/>
        <w:spacing w:line="360" w:lineRule="auto"/>
        <w:ind w:left="624" w:leftChars="0" w:right="-29" w:rightChars="-14" w:hanging="624" w:hangingChars="296"/>
        <w:jc w:val="both"/>
        <w:rPr>
          <w:rFonts w:hAnsi="宋体" w:eastAsia="宋体" w:cs="宋体"/>
          <w:b/>
          <w:color w:val="auto"/>
          <w:sz w:val="21"/>
          <w:szCs w:val="21"/>
          <w:highlight w:val="none"/>
          <w:lang w:val="zh-CN"/>
        </w:rPr>
      </w:pPr>
      <w:r>
        <w:rPr>
          <w:rFonts w:hint="eastAsia" w:hAnsi="宋体" w:eastAsia="宋体" w:cs="宋体"/>
          <w:b/>
          <w:color w:val="auto"/>
          <w:sz w:val="21"/>
          <w:szCs w:val="21"/>
          <w:highlight w:val="none"/>
        </w:rPr>
        <w:t>2.</w:t>
      </w:r>
      <w:r>
        <w:rPr>
          <w:rFonts w:hint="eastAsia" w:hAnsi="宋体" w:eastAsia="宋体" w:cs="宋体"/>
          <w:b/>
          <w:color w:val="auto"/>
          <w:sz w:val="21"/>
          <w:szCs w:val="21"/>
          <w:highlight w:val="none"/>
          <w:lang w:val="en-US" w:eastAsia="zh-CN"/>
        </w:rPr>
        <w:t>5</w:t>
      </w:r>
      <w:r>
        <w:rPr>
          <w:rFonts w:hint="eastAsia" w:hAnsi="宋体" w:eastAsia="宋体" w:cs="宋体"/>
          <w:b/>
          <w:color w:val="auto"/>
          <w:sz w:val="21"/>
          <w:szCs w:val="21"/>
          <w:highlight w:val="none"/>
        </w:rPr>
        <w:t xml:space="preserve"> </w:t>
      </w:r>
      <w:bookmarkStart w:id="19" w:name="OLE_LINK32"/>
      <w:r>
        <w:rPr>
          <w:rFonts w:hint="eastAsia" w:hAnsi="宋体" w:eastAsia="宋体" w:cs="宋体"/>
          <w:b/>
          <w:color w:val="auto"/>
          <w:sz w:val="21"/>
          <w:szCs w:val="21"/>
          <w:highlight w:val="none"/>
          <w:lang w:val="zh-CN"/>
        </w:rPr>
        <w:t>本项目接受联合体投标</w:t>
      </w:r>
      <w:bookmarkEnd w:id="19"/>
      <w:r>
        <w:rPr>
          <w:rFonts w:hint="eastAsia" w:hAnsi="宋体" w:eastAsia="宋体" w:cs="宋体"/>
          <w:b/>
          <w:color w:val="auto"/>
          <w:sz w:val="21"/>
          <w:szCs w:val="21"/>
          <w:highlight w:val="none"/>
          <w:lang w:val="zh-CN"/>
        </w:rPr>
        <w:t>，联合体组成成员不得多于2家（含联合体牵头</w:t>
      </w:r>
      <w:r>
        <w:rPr>
          <w:rFonts w:hint="eastAsia" w:hAnsi="宋体" w:eastAsia="宋体" w:cs="宋体"/>
          <w:b/>
          <w:color w:val="auto"/>
          <w:sz w:val="21"/>
          <w:szCs w:val="21"/>
          <w:highlight w:val="none"/>
        </w:rPr>
        <w:t>单位</w:t>
      </w:r>
      <w:r>
        <w:rPr>
          <w:rFonts w:hint="eastAsia" w:hAnsi="宋体" w:eastAsia="宋体" w:cs="宋体"/>
          <w:b/>
          <w:color w:val="auto"/>
          <w:sz w:val="21"/>
          <w:szCs w:val="21"/>
          <w:highlight w:val="none"/>
          <w:lang w:val="zh-CN"/>
        </w:rPr>
        <w:t>）</w:t>
      </w:r>
      <w:bookmarkEnd w:id="11"/>
      <w:r>
        <w:rPr>
          <w:rFonts w:hint="eastAsia" w:hAnsi="宋体" w:eastAsia="宋体" w:cs="宋体"/>
          <w:b/>
          <w:color w:val="auto"/>
          <w:sz w:val="21"/>
          <w:szCs w:val="21"/>
          <w:highlight w:val="none"/>
          <w:lang w:val="zh-CN"/>
        </w:rPr>
        <w:t>。</w:t>
      </w:r>
    </w:p>
    <w:p w14:paraId="75CF7BDD">
      <w:pPr>
        <w:pStyle w:val="170"/>
        <w:spacing w:line="360" w:lineRule="auto"/>
        <w:ind w:left="624" w:leftChars="0" w:right="-29" w:rightChars="-14" w:hanging="624" w:hangingChars="296"/>
        <w:jc w:val="both"/>
        <w:rPr>
          <w:rFonts w:hAnsi="宋体" w:eastAsia="宋体" w:cs="宋体"/>
          <w:b/>
          <w:color w:val="auto"/>
          <w:sz w:val="21"/>
          <w:szCs w:val="21"/>
          <w:highlight w:val="none"/>
          <w:lang w:val="zh-CN"/>
        </w:rPr>
      </w:pPr>
      <w:r>
        <w:rPr>
          <w:rFonts w:hint="eastAsia" w:hAnsi="宋体" w:eastAsia="宋体" w:cs="宋体"/>
          <w:b/>
          <w:color w:val="auto"/>
          <w:sz w:val="21"/>
          <w:szCs w:val="21"/>
          <w:highlight w:val="none"/>
        </w:rPr>
        <w:t>2</w:t>
      </w:r>
      <w:r>
        <w:rPr>
          <w:rFonts w:hint="eastAsia" w:hAnsi="宋体" w:eastAsia="宋体" w:cs="宋体"/>
          <w:b/>
          <w:color w:val="auto"/>
          <w:sz w:val="21"/>
          <w:szCs w:val="21"/>
          <w:highlight w:val="none"/>
          <w:lang w:val="zh-CN"/>
        </w:rPr>
        <w:t>.</w:t>
      </w:r>
      <w:r>
        <w:rPr>
          <w:rFonts w:hint="eastAsia" w:hAnsi="宋体" w:eastAsia="宋体" w:cs="宋体"/>
          <w:b/>
          <w:color w:val="auto"/>
          <w:sz w:val="21"/>
          <w:szCs w:val="21"/>
          <w:highlight w:val="none"/>
          <w:lang w:val="en-US" w:eastAsia="zh-CN"/>
        </w:rPr>
        <w:t>6</w:t>
      </w:r>
      <w:r>
        <w:rPr>
          <w:rFonts w:hint="eastAsia" w:hAnsi="宋体" w:eastAsia="宋体" w:cs="宋体"/>
          <w:b/>
          <w:color w:val="auto"/>
          <w:sz w:val="21"/>
          <w:szCs w:val="21"/>
          <w:highlight w:val="none"/>
        </w:rPr>
        <w:t xml:space="preserve"> </w:t>
      </w:r>
      <w:r>
        <w:rPr>
          <w:rFonts w:hint="eastAsia" w:hAnsi="宋体" w:eastAsia="宋体" w:cs="宋体"/>
          <w:b/>
          <w:color w:val="auto"/>
          <w:sz w:val="21"/>
          <w:szCs w:val="21"/>
          <w:highlight w:val="none"/>
          <w:lang w:val="zh-CN"/>
        </w:rPr>
        <w:t>其他要求：</w:t>
      </w:r>
    </w:p>
    <w:p w14:paraId="375CCD76">
      <w:pPr>
        <w:pStyle w:val="170"/>
        <w:autoSpaceDE/>
        <w:autoSpaceDN/>
        <w:spacing w:line="360" w:lineRule="auto"/>
        <w:ind w:left="624" w:leftChars="0" w:hanging="624" w:hangingChars="296"/>
        <w:jc w:val="both"/>
        <w:rPr>
          <w:rFonts w:hAnsi="宋体" w:eastAsia="宋体" w:cs="宋体"/>
          <w:b/>
          <w:color w:val="auto"/>
          <w:sz w:val="21"/>
          <w:szCs w:val="21"/>
          <w:highlight w:val="none"/>
          <w:lang w:val="zh-CN"/>
        </w:rPr>
      </w:pPr>
      <w:r>
        <w:rPr>
          <w:rFonts w:hint="eastAsia" w:hAnsi="宋体" w:eastAsia="宋体" w:cs="宋体"/>
          <w:b/>
          <w:color w:val="auto"/>
          <w:sz w:val="21"/>
          <w:szCs w:val="21"/>
          <w:highlight w:val="none"/>
          <w:lang w:val="zh-CN"/>
        </w:rPr>
        <w:t>（1）投标人应在东莞市公共资源交易企业库建档；</w:t>
      </w:r>
    </w:p>
    <w:p w14:paraId="0688BB89">
      <w:pPr>
        <w:pStyle w:val="170"/>
        <w:autoSpaceDE/>
        <w:autoSpaceDN/>
        <w:spacing w:line="360" w:lineRule="auto"/>
        <w:ind w:left="424" w:leftChars="0" w:hanging="424" w:hangingChars="201"/>
        <w:jc w:val="both"/>
        <w:rPr>
          <w:rFonts w:hAnsi="宋体" w:eastAsia="宋体" w:cs="宋体"/>
          <w:b/>
          <w:color w:val="auto"/>
          <w:sz w:val="21"/>
          <w:szCs w:val="21"/>
          <w:highlight w:val="none"/>
          <w:lang w:val="zh-CN"/>
        </w:rPr>
      </w:pPr>
      <w:r>
        <w:rPr>
          <w:rFonts w:hint="eastAsia" w:hAnsi="宋体" w:eastAsia="宋体" w:cs="宋体"/>
          <w:b/>
          <w:color w:val="auto"/>
          <w:sz w:val="21"/>
          <w:szCs w:val="21"/>
          <w:highlight w:val="none"/>
          <w:lang w:val="zh-CN"/>
        </w:rPr>
        <w:t>（2）在招标文件规定的东莞市公共资源交易E网通管理平台建设工程交易系统（以下简称交易系统）信息数据采集时间前，投标人已在东莞市公共资源交易企业库建档，且法人、法定代表人名称或企业、人员资质证书等与本次招标项目密切相关的信息发生变更时已办结该变更的登记手续，投标人应登录交易系统核实企业填报数据真实有效。</w:t>
      </w:r>
    </w:p>
    <w:p w14:paraId="7B5F6C91">
      <w:pPr>
        <w:autoSpaceDE w:val="0"/>
        <w:autoSpaceDN w:val="0"/>
        <w:adjustRightInd w:val="0"/>
        <w:spacing w:line="360" w:lineRule="auto"/>
        <w:ind w:right="-29" w:rightChars="-14" w:firstLine="420" w:firstLineChars="200"/>
        <w:rPr>
          <w:rFonts w:ascii="宋体" w:hAnsi="宋体" w:eastAsia="宋体" w:cs="宋体"/>
          <w:color w:val="auto"/>
          <w:szCs w:val="21"/>
          <w:highlight w:val="none"/>
          <w:lang w:val="zh-CN"/>
        </w:rPr>
      </w:pPr>
    </w:p>
    <w:p w14:paraId="78172DF8">
      <w:pPr>
        <w:pStyle w:val="188"/>
        <w:numPr>
          <w:ilvl w:val="0"/>
          <w:numId w:val="1"/>
        </w:numPr>
        <w:spacing w:line="360" w:lineRule="auto"/>
        <w:ind w:left="426" w:right="-34" w:hanging="426" w:firstLineChars="0"/>
        <w:rPr>
          <w:rFonts w:ascii="宋体" w:hAnsi="宋体" w:cs="宋体"/>
          <w:color w:val="auto"/>
          <w:szCs w:val="21"/>
          <w:highlight w:val="none"/>
        </w:rPr>
      </w:pPr>
      <w:r>
        <w:rPr>
          <w:rFonts w:hint="eastAsia" w:ascii="宋体" w:hAnsi="宋体" w:cs="宋体"/>
          <w:color w:val="auto"/>
          <w:szCs w:val="21"/>
          <w:highlight w:val="none"/>
          <w:lang w:val="zh-CN"/>
        </w:rPr>
        <w:t>获取招标文件的方式：凡有意参加投标者，可于</w:t>
      </w:r>
      <w:r>
        <w:rPr>
          <w:rFonts w:hint="eastAsia" w:ascii="宋体" w:hAnsi="宋体" w:cs="宋体"/>
          <w:color w:val="auto"/>
          <w:szCs w:val="21"/>
          <w:highlight w:val="none"/>
          <w:u w:val="single"/>
          <w:lang w:val="zh-CN"/>
        </w:rPr>
        <w:t>2025年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lang w:val="zh-CN"/>
        </w:rPr>
        <w:t>月</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lang w:val="zh-CN"/>
        </w:rPr>
        <w:t>日</w:t>
      </w:r>
      <w:r>
        <w:rPr>
          <w:rFonts w:hint="eastAsia" w:ascii="宋体" w:hAnsi="宋体" w:cs="宋体"/>
          <w:color w:val="auto"/>
          <w:szCs w:val="21"/>
          <w:highlight w:val="none"/>
          <w:lang w:val="zh-CN"/>
        </w:rPr>
        <w:t>至投标截止时间前登录交易系统下载本次招标项目的招标文件等资料。</w:t>
      </w:r>
    </w:p>
    <w:p w14:paraId="7F7D9333">
      <w:pPr>
        <w:autoSpaceDE w:val="0"/>
        <w:autoSpaceDN w:val="0"/>
        <w:adjustRightInd w:val="0"/>
        <w:spacing w:line="360" w:lineRule="auto"/>
        <w:ind w:left="630" w:leftChars="100" w:right="-29" w:rightChars="-14" w:hanging="420" w:hangingChars="200"/>
        <w:rPr>
          <w:rFonts w:ascii="宋体" w:hAnsi="宋体" w:eastAsia="宋体" w:cs="宋体"/>
          <w:color w:val="auto"/>
          <w:szCs w:val="21"/>
          <w:highlight w:val="none"/>
          <w:lang w:val="zh-CN"/>
        </w:rPr>
      </w:pPr>
    </w:p>
    <w:p w14:paraId="50DFE1D2">
      <w:pPr>
        <w:numPr>
          <w:ilvl w:val="0"/>
          <w:numId w:val="1"/>
        </w:numPr>
        <w:autoSpaceDE w:val="0"/>
        <w:autoSpaceDN w:val="0"/>
        <w:adjustRightInd w:val="0"/>
        <w:snapToGrid w:val="0"/>
        <w:spacing w:line="360" w:lineRule="auto"/>
        <w:ind w:right="-34"/>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highlight w:val="none"/>
        </w:rPr>
        <w:t>名单</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政府采购</w:t>
      </w:r>
      <w:r>
        <w:rPr>
          <w:rFonts w:hint="eastAsia" w:ascii="宋体" w:hAnsi="宋体" w:eastAsia="宋体" w:cs="宋体"/>
          <w:color w:val="auto"/>
          <w:szCs w:val="21"/>
          <w:highlight w:val="none"/>
          <w:lang w:val="zh-CN"/>
        </w:rPr>
        <w:t>严重违法失信行为记录名单的投标人，做好相关记录（处罚期限届满的除外）。</w:t>
      </w:r>
    </w:p>
    <w:p w14:paraId="22242373">
      <w:pPr>
        <w:autoSpaceDE w:val="0"/>
        <w:autoSpaceDN w:val="0"/>
        <w:adjustRightInd w:val="0"/>
        <w:spacing w:line="360" w:lineRule="auto"/>
        <w:ind w:right="-29" w:rightChars="-14" w:firstLine="420"/>
        <w:rPr>
          <w:rFonts w:ascii="宋体" w:hAnsi="宋体" w:eastAsia="宋体" w:cs="宋体"/>
          <w:color w:val="auto"/>
          <w:szCs w:val="21"/>
          <w:highlight w:val="none"/>
          <w:lang w:val="zh-CN"/>
        </w:rPr>
      </w:pPr>
    </w:p>
    <w:p w14:paraId="0D0975EE">
      <w:pPr>
        <w:numPr>
          <w:ilvl w:val="0"/>
          <w:numId w:val="1"/>
        </w:numPr>
        <w:autoSpaceDE w:val="0"/>
        <w:autoSpaceDN w:val="0"/>
        <w:adjustRightInd w:val="0"/>
        <w:snapToGrid w:val="0"/>
        <w:spacing w:line="360" w:lineRule="auto"/>
        <w:ind w:right="-34"/>
        <w:jc w:val="left"/>
        <w:outlineLvl w:val="0"/>
        <w:rPr>
          <w:rFonts w:ascii="宋体" w:hAnsi="宋体" w:eastAsia="宋体" w:cs="宋体"/>
          <w:color w:val="auto"/>
          <w:szCs w:val="21"/>
          <w:highlight w:val="none"/>
          <w:lang w:val="zh-CN"/>
        </w:rPr>
      </w:pPr>
      <w:bookmarkStart w:id="20" w:name="_Toc17690"/>
      <w:bookmarkStart w:id="21" w:name="_Toc31933"/>
      <w:bookmarkStart w:id="22" w:name="_Toc2241"/>
      <w:r>
        <w:rPr>
          <w:rFonts w:hint="eastAsia" w:ascii="宋体" w:hAnsi="宋体" w:eastAsia="宋体" w:cs="宋体"/>
          <w:color w:val="auto"/>
          <w:szCs w:val="21"/>
          <w:highlight w:val="none"/>
          <w:lang w:val="zh-CN"/>
        </w:rPr>
        <w:t>投标会时间、地点及投标文件提交截止时间：</w:t>
      </w:r>
      <w:bookmarkEnd w:id="20"/>
      <w:bookmarkEnd w:id="21"/>
      <w:bookmarkEnd w:id="22"/>
    </w:p>
    <w:p w14:paraId="614E9AE9">
      <w:pPr>
        <w:pStyle w:val="170"/>
        <w:spacing w:line="360" w:lineRule="auto"/>
        <w:ind w:left="420" w:hanging="420" w:hangingChars="200"/>
        <w:jc w:val="both"/>
        <w:rPr>
          <w:rFonts w:hAnsi="宋体" w:eastAsia="宋体" w:cs="宋体"/>
          <w:bCs/>
          <w:color w:val="auto"/>
          <w:sz w:val="21"/>
          <w:szCs w:val="21"/>
          <w:highlight w:val="none"/>
          <w:lang w:val="zh-CN"/>
        </w:rPr>
      </w:pPr>
      <w:r>
        <w:rPr>
          <w:rFonts w:hint="eastAsia" w:hAnsi="宋体" w:eastAsia="宋体" w:cs="宋体"/>
          <w:bCs/>
          <w:color w:val="auto"/>
          <w:sz w:val="21"/>
          <w:szCs w:val="21"/>
          <w:highlight w:val="none"/>
        </w:rPr>
        <w:t xml:space="preserve">5.1 </w:t>
      </w:r>
      <w:r>
        <w:rPr>
          <w:rFonts w:hint="eastAsia" w:hAnsi="宋体" w:eastAsia="宋体" w:cs="宋体"/>
          <w:bCs/>
          <w:color w:val="auto"/>
          <w:sz w:val="21"/>
          <w:szCs w:val="21"/>
          <w:highlight w:val="none"/>
          <w:lang w:val="zh-CN"/>
        </w:rPr>
        <w:t>投标会召开时间：</w:t>
      </w:r>
      <w:r>
        <w:rPr>
          <w:rFonts w:hint="eastAsia" w:hAnsi="宋体" w:eastAsia="宋体" w:cs="宋体"/>
          <w:bCs/>
          <w:color w:val="auto"/>
          <w:sz w:val="21"/>
          <w:szCs w:val="21"/>
          <w:highlight w:val="none"/>
          <w:u w:val="single"/>
          <w:lang w:val="zh-CN"/>
        </w:rPr>
        <w:t>2025年</w:t>
      </w:r>
      <w:r>
        <w:rPr>
          <w:rFonts w:hint="eastAsia" w:hAnsi="宋体" w:eastAsia="宋体" w:cs="宋体"/>
          <w:bCs/>
          <w:color w:val="auto"/>
          <w:sz w:val="21"/>
          <w:szCs w:val="21"/>
          <w:highlight w:val="none"/>
          <w:u w:val="single"/>
          <w:lang w:val="en-US" w:eastAsia="zh-CN"/>
        </w:rPr>
        <w:t>10</w:t>
      </w:r>
      <w:r>
        <w:rPr>
          <w:rFonts w:hint="eastAsia" w:hAnsi="宋体" w:eastAsia="宋体" w:cs="宋体"/>
          <w:bCs/>
          <w:color w:val="auto"/>
          <w:sz w:val="21"/>
          <w:szCs w:val="21"/>
          <w:highlight w:val="none"/>
          <w:u w:val="single"/>
          <w:lang w:val="zh-CN"/>
        </w:rPr>
        <w:t>月</w:t>
      </w:r>
      <w:r>
        <w:rPr>
          <w:rFonts w:hint="eastAsia" w:hAnsi="宋体" w:eastAsia="宋体" w:cs="宋体"/>
          <w:bCs/>
          <w:color w:val="auto"/>
          <w:sz w:val="21"/>
          <w:szCs w:val="21"/>
          <w:highlight w:val="none"/>
          <w:u w:val="single"/>
          <w:lang w:val="en-US" w:eastAsia="zh-CN"/>
        </w:rPr>
        <w:t>27</w:t>
      </w:r>
      <w:r>
        <w:rPr>
          <w:rFonts w:hint="eastAsia" w:hAnsi="宋体" w:eastAsia="宋体" w:cs="宋体"/>
          <w:bCs/>
          <w:color w:val="auto"/>
          <w:sz w:val="21"/>
          <w:szCs w:val="21"/>
          <w:highlight w:val="none"/>
          <w:u w:val="single"/>
          <w:lang w:val="zh-CN"/>
        </w:rPr>
        <w:t>日</w:t>
      </w:r>
      <w:r>
        <w:rPr>
          <w:rFonts w:hint="eastAsia" w:hAnsi="宋体" w:eastAsia="宋体" w:cs="宋体"/>
          <w:bCs/>
          <w:color w:val="auto"/>
          <w:sz w:val="21"/>
          <w:szCs w:val="21"/>
          <w:highlight w:val="none"/>
          <w:u w:val="single"/>
          <w:lang w:val="en-US" w:eastAsia="zh-CN"/>
        </w:rPr>
        <w:t>09</w:t>
      </w:r>
      <w:r>
        <w:rPr>
          <w:rFonts w:hint="eastAsia" w:hAnsi="宋体" w:eastAsia="宋体" w:cs="宋体"/>
          <w:bCs/>
          <w:color w:val="auto"/>
          <w:sz w:val="21"/>
          <w:szCs w:val="21"/>
          <w:highlight w:val="none"/>
          <w:u w:val="single"/>
          <w:lang w:val="zh-CN"/>
        </w:rPr>
        <w:t>时</w:t>
      </w:r>
      <w:r>
        <w:rPr>
          <w:rFonts w:hint="eastAsia" w:hAnsi="宋体" w:eastAsia="宋体" w:cs="宋体"/>
          <w:bCs/>
          <w:color w:val="auto"/>
          <w:sz w:val="21"/>
          <w:szCs w:val="21"/>
          <w:highlight w:val="none"/>
          <w:u w:val="single"/>
          <w:lang w:val="en-US" w:eastAsia="zh-CN"/>
        </w:rPr>
        <w:t>30</w:t>
      </w:r>
      <w:r>
        <w:rPr>
          <w:rFonts w:hint="eastAsia" w:hAnsi="宋体" w:eastAsia="宋体" w:cs="宋体"/>
          <w:bCs/>
          <w:color w:val="auto"/>
          <w:sz w:val="21"/>
          <w:szCs w:val="21"/>
          <w:highlight w:val="none"/>
          <w:u w:val="single"/>
          <w:lang w:val="zh-CN"/>
        </w:rPr>
        <w:t>分</w:t>
      </w:r>
      <w:r>
        <w:rPr>
          <w:rFonts w:hint="eastAsia" w:hAnsi="宋体" w:eastAsia="宋体" w:cs="宋体"/>
          <w:bCs/>
          <w:color w:val="auto"/>
          <w:sz w:val="21"/>
          <w:szCs w:val="21"/>
          <w:highlight w:val="none"/>
          <w:lang w:val="zh-CN"/>
        </w:rPr>
        <w:t>，投标会召开地点：东莞市南城</w:t>
      </w:r>
      <w:r>
        <w:rPr>
          <w:rFonts w:hint="eastAsia" w:hAnsi="宋体" w:eastAsia="宋体" w:cs="宋体"/>
          <w:bCs/>
          <w:color w:val="auto"/>
          <w:sz w:val="21"/>
          <w:szCs w:val="21"/>
          <w:highlight w:val="none"/>
        </w:rPr>
        <w:t>街道</w:t>
      </w:r>
      <w:r>
        <w:rPr>
          <w:rFonts w:hint="eastAsia" w:hAnsi="宋体" w:eastAsia="宋体" w:cs="宋体"/>
          <w:bCs/>
          <w:color w:val="auto"/>
          <w:sz w:val="21"/>
          <w:szCs w:val="21"/>
          <w:highlight w:val="none"/>
          <w:lang w:val="zh-CN"/>
        </w:rPr>
        <w:t>西平社区宏伟三路45号东莞市公共资源交易中心开标室（</w:t>
      </w:r>
      <w:r>
        <w:rPr>
          <w:rFonts w:hint="eastAsia" w:hAnsi="宋体" w:eastAsia="宋体" w:cs="宋体"/>
          <w:bCs/>
          <w:color w:val="auto"/>
          <w:sz w:val="21"/>
          <w:szCs w:val="21"/>
          <w:highlight w:val="none"/>
          <w:lang w:val="en-US" w:eastAsia="zh-CN"/>
        </w:rPr>
        <w:t>12</w:t>
      </w:r>
      <w:r>
        <w:rPr>
          <w:rFonts w:hint="eastAsia" w:hAnsi="宋体" w:eastAsia="宋体" w:cs="宋体"/>
          <w:bCs/>
          <w:color w:val="auto"/>
          <w:sz w:val="21"/>
          <w:szCs w:val="21"/>
          <w:highlight w:val="none"/>
          <w:lang w:val="zh-CN"/>
        </w:rPr>
        <w:t>）；</w:t>
      </w:r>
    </w:p>
    <w:p w14:paraId="37A29241">
      <w:pPr>
        <w:pStyle w:val="170"/>
        <w:spacing w:line="360" w:lineRule="auto"/>
        <w:ind w:left="420" w:hanging="420" w:hangingChars="200"/>
        <w:jc w:val="both"/>
        <w:rPr>
          <w:rFonts w:hAnsi="宋体" w:eastAsia="宋体" w:cs="宋体"/>
          <w:bCs/>
          <w:color w:val="auto"/>
          <w:sz w:val="21"/>
          <w:szCs w:val="21"/>
          <w:highlight w:val="none"/>
          <w:lang w:val="zh-CN"/>
        </w:rPr>
      </w:pPr>
      <w:r>
        <w:rPr>
          <w:rFonts w:hint="eastAsia" w:hAnsi="宋体" w:eastAsia="宋体" w:cs="宋体"/>
          <w:bCs/>
          <w:color w:val="auto"/>
          <w:sz w:val="21"/>
          <w:szCs w:val="21"/>
          <w:highlight w:val="none"/>
          <w:lang w:val="zh-CN"/>
        </w:rPr>
        <w:t>5.</w:t>
      </w:r>
      <w:r>
        <w:rPr>
          <w:rFonts w:hint="eastAsia" w:hAnsi="宋体" w:eastAsia="宋体" w:cs="宋体"/>
          <w:bCs/>
          <w:color w:val="auto"/>
          <w:sz w:val="21"/>
          <w:szCs w:val="21"/>
          <w:highlight w:val="none"/>
        </w:rPr>
        <w:t>2</w:t>
      </w:r>
      <w:r>
        <w:rPr>
          <w:rFonts w:hint="eastAsia" w:hAnsi="宋体" w:eastAsia="宋体" w:cs="宋体"/>
          <w:bCs/>
          <w:color w:val="auto"/>
          <w:sz w:val="21"/>
          <w:szCs w:val="21"/>
          <w:highlight w:val="none"/>
          <w:lang w:val="zh-CN"/>
        </w:rPr>
        <w:t xml:space="preserve"> 投标文件递交的截止时间（投标截止时间，下同）：</w:t>
      </w:r>
      <w:r>
        <w:rPr>
          <w:rFonts w:hint="eastAsia" w:hAnsi="宋体" w:eastAsia="宋体" w:cs="宋体"/>
          <w:bCs/>
          <w:color w:val="auto"/>
          <w:sz w:val="21"/>
          <w:szCs w:val="21"/>
          <w:highlight w:val="none"/>
          <w:u w:val="single"/>
          <w:lang w:val="zh-CN"/>
        </w:rPr>
        <w:t>2025年</w:t>
      </w:r>
      <w:r>
        <w:rPr>
          <w:rFonts w:hint="eastAsia" w:hAnsi="宋体" w:eastAsia="宋体" w:cs="宋体"/>
          <w:bCs/>
          <w:color w:val="auto"/>
          <w:sz w:val="21"/>
          <w:szCs w:val="21"/>
          <w:highlight w:val="none"/>
          <w:u w:val="single"/>
          <w:lang w:val="en-US" w:eastAsia="zh-CN"/>
        </w:rPr>
        <w:t>10</w:t>
      </w:r>
      <w:r>
        <w:rPr>
          <w:rFonts w:hint="eastAsia" w:hAnsi="宋体" w:eastAsia="宋体" w:cs="宋体"/>
          <w:bCs/>
          <w:color w:val="auto"/>
          <w:sz w:val="21"/>
          <w:szCs w:val="21"/>
          <w:highlight w:val="none"/>
          <w:u w:val="single"/>
          <w:lang w:val="zh-CN"/>
        </w:rPr>
        <w:t>月</w:t>
      </w:r>
      <w:r>
        <w:rPr>
          <w:rFonts w:hint="eastAsia" w:hAnsi="宋体" w:eastAsia="宋体" w:cs="宋体"/>
          <w:bCs/>
          <w:color w:val="auto"/>
          <w:sz w:val="21"/>
          <w:szCs w:val="21"/>
          <w:highlight w:val="none"/>
          <w:u w:val="single"/>
          <w:lang w:val="en-US" w:eastAsia="zh-CN"/>
        </w:rPr>
        <w:t>27</w:t>
      </w:r>
      <w:r>
        <w:rPr>
          <w:rFonts w:hint="eastAsia" w:hAnsi="宋体" w:eastAsia="宋体" w:cs="宋体"/>
          <w:bCs/>
          <w:color w:val="auto"/>
          <w:sz w:val="21"/>
          <w:szCs w:val="21"/>
          <w:highlight w:val="none"/>
          <w:u w:val="single"/>
          <w:lang w:val="zh-CN"/>
        </w:rPr>
        <w:t>日</w:t>
      </w:r>
      <w:r>
        <w:rPr>
          <w:rFonts w:hint="eastAsia" w:hAnsi="宋体" w:eastAsia="宋体" w:cs="宋体"/>
          <w:bCs/>
          <w:color w:val="auto"/>
          <w:sz w:val="21"/>
          <w:szCs w:val="21"/>
          <w:highlight w:val="none"/>
          <w:u w:val="single"/>
          <w:lang w:val="en-US" w:eastAsia="zh-CN"/>
        </w:rPr>
        <w:t>09</w:t>
      </w:r>
      <w:r>
        <w:rPr>
          <w:rFonts w:hint="eastAsia" w:hAnsi="宋体" w:eastAsia="宋体" w:cs="宋体"/>
          <w:bCs/>
          <w:color w:val="auto"/>
          <w:sz w:val="21"/>
          <w:szCs w:val="21"/>
          <w:highlight w:val="none"/>
          <w:u w:val="single"/>
          <w:lang w:val="zh-CN"/>
        </w:rPr>
        <w:t>时</w:t>
      </w:r>
      <w:r>
        <w:rPr>
          <w:rFonts w:hint="eastAsia" w:hAnsi="宋体" w:eastAsia="宋体" w:cs="宋体"/>
          <w:bCs/>
          <w:color w:val="auto"/>
          <w:sz w:val="21"/>
          <w:szCs w:val="21"/>
          <w:highlight w:val="none"/>
          <w:u w:val="single"/>
          <w:lang w:val="en-US" w:eastAsia="zh-CN"/>
        </w:rPr>
        <w:t>30</w:t>
      </w:r>
      <w:r>
        <w:rPr>
          <w:rFonts w:hint="eastAsia" w:hAnsi="宋体" w:eastAsia="宋体" w:cs="宋体"/>
          <w:bCs/>
          <w:color w:val="auto"/>
          <w:sz w:val="21"/>
          <w:szCs w:val="21"/>
          <w:highlight w:val="none"/>
          <w:u w:val="single"/>
          <w:lang w:val="zh-CN"/>
        </w:rPr>
        <w:t>分</w:t>
      </w:r>
      <w:r>
        <w:rPr>
          <w:rFonts w:hint="eastAsia" w:hAnsi="宋体" w:eastAsia="宋体" w:cs="宋体"/>
          <w:bCs/>
          <w:color w:val="auto"/>
          <w:sz w:val="21"/>
          <w:szCs w:val="21"/>
          <w:highlight w:val="none"/>
          <w:u w:val="none"/>
          <w:lang w:val="zh-CN"/>
        </w:rPr>
        <w:t>，</w:t>
      </w:r>
      <w:r>
        <w:rPr>
          <w:rFonts w:hint="eastAsia" w:hAnsi="宋体" w:eastAsia="宋体" w:cs="宋体"/>
          <w:bCs/>
          <w:color w:val="auto"/>
          <w:sz w:val="21"/>
          <w:szCs w:val="21"/>
          <w:highlight w:val="none"/>
          <w:lang w:val="zh-CN"/>
        </w:rPr>
        <w:t>地点：通过东莞市公共资源交易E网通管理平台建设工程交易系统网上提交；</w:t>
      </w:r>
    </w:p>
    <w:p w14:paraId="6FB2A2B8">
      <w:pPr>
        <w:pStyle w:val="170"/>
        <w:spacing w:line="360" w:lineRule="auto"/>
        <w:ind w:left="420" w:hanging="420" w:hangingChars="200"/>
        <w:rPr>
          <w:rFonts w:hAnsi="宋体" w:eastAsia="宋体" w:cs="宋体"/>
          <w:bCs/>
          <w:color w:val="auto"/>
          <w:sz w:val="21"/>
          <w:szCs w:val="21"/>
          <w:highlight w:val="none"/>
          <w:lang w:val="zh-CN"/>
        </w:rPr>
      </w:pPr>
      <w:r>
        <w:rPr>
          <w:rFonts w:hint="eastAsia" w:hAnsi="宋体" w:eastAsia="宋体" w:cs="宋体"/>
          <w:bCs/>
          <w:color w:val="auto"/>
          <w:sz w:val="21"/>
          <w:szCs w:val="21"/>
          <w:highlight w:val="none"/>
          <w:lang w:val="zh-CN"/>
        </w:rPr>
        <w:t>5.</w:t>
      </w:r>
      <w:r>
        <w:rPr>
          <w:rFonts w:hint="eastAsia" w:hAnsi="宋体" w:eastAsia="宋体" w:cs="宋体"/>
          <w:bCs/>
          <w:color w:val="auto"/>
          <w:sz w:val="21"/>
          <w:szCs w:val="21"/>
          <w:highlight w:val="none"/>
        </w:rPr>
        <w:t>3</w:t>
      </w:r>
      <w:r>
        <w:rPr>
          <w:rFonts w:hint="eastAsia" w:hAnsi="宋体" w:eastAsia="宋体" w:cs="宋体"/>
          <w:bCs/>
          <w:color w:val="auto"/>
          <w:sz w:val="21"/>
          <w:szCs w:val="21"/>
          <w:highlight w:val="none"/>
          <w:lang w:val="zh-CN"/>
        </w:rPr>
        <w:t xml:space="preserve"> 投标人必须通过交易系统在线上传投标文件，上述方式外提交的投标文件及逾期通过网络上传的电子投标文件，招标人不予受理。</w:t>
      </w:r>
    </w:p>
    <w:p w14:paraId="6C94A087">
      <w:pPr>
        <w:pStyle w:val="170"/>
        <w:spacing w:line="360" w:lineRule="auto"/>
        <w:ind w:left="420" w:hanging="420" w:hangingChars="200"/>
        <w:rPr>
          <w:rFonts w:hAnsi="宋体" w:eastAsia="宋体" w:cs="宋体"/>
          <w:bCs/>
          <w:color w:val="auto"/>
          <w:sz w:val="21"/>
          <w:szCs w:val="21"/>
          <w:highlight w:val="none"/>
          <w:lang w:val="zh-CN"/>
        </w:rPr>
      </w:pPr>
    </w:p>
    <w:p w14:paraId="1457D1F4">
      <w:pPr>
        <w:numPr>
          <w:ilvl w:val="0"/>
          <w:numId w:val="1"/>
        </w:numPr>
        <w:snapToGrid w:val="0"/>
        <w:spacing w:line="360" w:lineRule="auto"/>
        <w:ind w:right="-34"/>
        <w:outlineLvl w:val="0"/>
        <w:rPr>
          <w:rFonts w:ascii="宋体" w:hAnsi="宋体" w:eastAsia="宋体" w:cs="宋体"/>
          <w:bCs/>
          <w:color w:val="auto"/>
          <w:szCs w:val="21"/>
          <w:highlight w:val="none"/>
          <w:lang w:val="zh-CN"/>
        </w:rPr>
      </w:pPr>
      <w:bookmarkStart w:id="23" w:name="_Toc7906"/>
      <w:bookmarkStart w:id="24" w:name="_Toc26758"/>
      <w:bookmarkStart w:id="25" w:name="_Toc9021"/>
      <w:r>
        <w:rPr>
          <w:rFonts w:hint="eastAsia" w:ascii="宋体" w:hAnsi="宋体" w:eastAsia="宋体" w:cs="宋体"/>
          <w:bCs/>
          <w:color w:val="auto"/>
          <w:szCs w:val="21"/>
          <w:highlight w:val="none"/>
          <w:lang w:val="zh-CN"/>
        </w:rPr>
        <w:t>开标时间和地点：</w:t>
      </w:r>
      <w:bookmarkEnd w:id="23"/>
      <w:bookmarkEnd w:id="24"/>
      <w:bookmarkEnd w:id="25"/>
    </w:p>
    <w:p w14:paraId="65D69CFA">
      <w:pPr>
        <w:pStyle w:val="170"/>
        <w:spacing w:line="360" w:lineRule="auto"/>
        <w:ind w:left="420" w:hanging="420" w:hangingChars="200"/>
        <w:outlineLvl w:val="1"/>
        <w:rPr>
          <w:rFonts w:hAnsi="宋体" w:eastAsia="宋体" w:cs="宋体"/>
          <w:bCs/>
          <w:color w:val="auto"/>
          <w:sz w:val="21"/>
          <w:szCs w:val="21"/>
          <w:highlight w:val="none"/>
          <w:lang w:val="zh-CN"/>
        </w:rPr>
      </w:pPr>
      <w:bookmarkStart w:id="26" w:name="_Toc5195"/>
      <w:bookmarkStart w:id="27" w:name="_Toc26126"/>
      <w:bookmarkStart w:id="28" w:name="_Toc13924"/>
      <w:r>
        <w:rPr>
          <w:rFonts w:hint="eastAsia" w:hAnsi="宋体" w:eastAsia="宋体" w:cs="宋体"/>
          <w:bCs/>
          <w:color w:val="auto"/>
          <w:sz w:val="21"/>
          <w:szCs w:val="21"/>
          <w:highlight w:val="none"/>
          <w:lang w:val="zh-CN"/>
        </w:rPr>
        <w:t>6.1 开标时间：同投标截止时间；</w:t>
      </w:r>
      <w:bookmarkEnd w:id="26"/>
      <w:bookmarkEnd w:id="27"/>
      <w:bookmarkEnd w:id="28"/>
    </w:p>
    <w:p w14:paraId="45304D5C">
      <w:pPr>
        <w:pStyle w:val="170"/>
        <w:spacing w:line="360" w:lineRule="auto"/>
        <w:ind w:left="420" w:hanging="420" w:hangingChars="200"/>
        <w:rPr>
          <w:rFonts w:hAnsi="宋体" w:eastAsia="宋体" w:cs="宋体"/>
          <w:bCs/>
          <w:color w:val="auto"/>
          <w:sz w:val="21"/>
          <w:szCs w:val="21"/>
          <w:highlight w:val="none"/>
          <w:lang w:val="zh-CN"/>
        </w:rPr>
      </w:pPr>
      <w:r>
        <w:rPr>
          <w:rFonts w:hint="eastAsia" w:hAnsi="宋体" w:eastAsia="宋体" w:cs="宋体"/>
          <w:bCs/>
          <w:color w:val="auto"/>
          <w:sz w:val="21"/>
          <w:szCs w:val="21"/>
          <w:highlight w:val="none"/>
          <w:lang w:val="zh-CN"/>
        </w:rPr>
        <w:t>6.2 开标地点：东莞市南城</w:t>
      </w:r>
      <w:r>
        <w:rPr>
          <w:rFonts w:hint="eastAsia" w:hAnsi="宋体" w:eastAsia="宋体" w:cs="宋体"/>
          <w:bCs/>
          <w:color w:val="auto"/>
          <w:sz w:val="21"/>
          <w:szCs w:val="21"/>
          <w:highlight w:val="none"/>
        </w:rPr>
        <w:t>街道</w:t>
      </w:r>
      <w:r>
        <w:rPr>
          <w:rFonts w:hint="eastAsia" w:hAnsi="宋体" w:eastAsia="宋体" w:cs="宋体"/>
          <w:bCs/>
          <w:color w:val="auto"/>
          <w:sz w:val="21"/>
          <w:szCs w:val="21"/>
          <w:highlight w:val="none"/>
          <w:lang w:val="zh-CN"/>
        </w:rPr>
        <w:t>西平社区宏伟三路45号东莞市公共资源交易中心开标室（</w:t>
      </w:r>
      <w:r>
        <w:rPr>
          <w:rFonts w:hint="eastAsia" w:hAnsi="宋体" w:eastAsia="宋体" w:cs="宋体"/>
          <w:bCs/>
          <w:color w:val="auto"/>
          <w:sz w:val="21"/>
          <w:szCs w:val="21"/>
          <w:highlight w:val="none"/>
          <w:lang w:val="en-US" w:eastAsia="zh-CN"/>
        </w:rPr>
        <w:t>12</w:t>
      </w:r>
      <w:r>
        <w:rPr>
          <w:rFonts w:hint="eastAsia" w:hAnsi="宋体" w:eastAsia="宋体" w:cs="宋体"/>
          <w:bCs/>
          <w:color w:val="auto"/>
          <w:sz w:val="21"/>
          <w:szCs w:val="21"/>
          <w:highlight w:val="none"/>
          <w:lang w:val="zh-CN"/>
        </w:rPr>
        <w:t>）。</w:t>
      </w:r>
    </w:p>
    <w:p w14:paraId="4C6B3352">
      <w:pPr>
        <w:autoSpaceDE w:val="0"/>
        <w:autoSpaceDN w:val="0"/>
        <w:adjustRightInd w:val="0"/>
        <w:spacing w:line="360" w:lineRule="auto"/>
        <w:ind w:left="210" w:leftChars="100" w:right="-29" w:rightChars="-14"/>
        <w:rPr>
          <w:rFonts w:ascii="宋体" w:hAnsi="宋体" w:eastAsia="宋体" w:cs="宋体"/>
          <w:color w:val="auto"/>
          <w:szCs w:val="21"/>
          <w:highlight w:val="none"/>
          <w:lang w:val="zh-CN"/>
        </w:rPr>
      </w:pPr>
    </w:p>
    <w:p w14:paraId="2A8510B7">
      <w:pPr>
        <w:numPr>
          <w:ilvl w:val="0"/>
          <w:numId w:val="1"/>
        </w:numPr>
        <w:wordWrap w:val="0"/>
        <w:autoSpaceDE w:val="0"/>
        <w:autoSpaceDN w:val="0"/>
        <w:adjustRightInd w:val="0"/>
        <w:snapToGrid w:val="0"/>
        <w:spacing w:line="360" w:lineRule="auto"/>
        <w:ind w:left="363" w:right="-34" w:hanging="363"/>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本项目相关公告在以下媒介发布：全国公共资源交易平台（广东省·东莞市）（https://ygp.gdzwfw.gov.cn/#/441900/index）、中国招标投标公共服务平台（www.cebpubservice.com）、东莞市水务环境投资控股集团有限公司网（www.dgswjt.cn）、招标代理机构网站（</w:t>
      </w:r>
      <w:r>
        <w:rPr>
          <w:rFonts w:hint="eastAsia" w:ascii="宋体" w:hAnsi="宋体" w:eastAsia="宋体" w:cs="宋体"/>
          <w:bCs/>
          <w:color w:val="auto"/>
          <w:szCs w:val="21"/>
          <w:highlight w:val="none"/>
          <w:u w:val="none"/>
        </w:rPr>
        <w:t>www.youde.net</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lang w:val="zh-CN"/>
        </w:rPr>
        <w:t>。</w:t>
      </w:r>
    </w:p>
    <w:p w14:paraId="74801139">
      <w:pPr>
        <w:autoSpaceDE w:val="0"/>
        <w:autoSpaceDN w:val="0"/>
        <w:adjustRightInd w:val="0"/>
        <w:snapToGrid w:val="0"/>
        <w:spacing w:line="360" w:lineRule="auto"/>
        <w:ind w:right="-34"/>
        <w:jc w:val="left"/>
        <w:rPr>
          <w:rFonts w:ascii="宋体" w:hAnsi="宋体" w:eastAsia="宋体" w:cs="宋体"/>
          <w:bCs/>
          <w:color w:val="auto"/>
          <w:sz w:val="22"/>
          <w:highlight w:val="none"/>
        </w:rPr>
      </w:pPr>
    </w:p>
    <w:p w14:paraId="5AAA06F9">
      <w:pPr>
        <w:numPr>
          <w:ilvl w:val="0"/>
          <w:numId w:val="1"/>
        </w:numPr>
        <w:autoSpaceDE w:val="0"/>
        <w:autoSpaceDN w:val="0"/>
        <w:adjustRightInd w:val="0"/>
        <w:snapToGrid w:val="0"/>
        <w:spacing w:line="360" w:lineRule="auto"/>
        <w:ind w:right="-34"/>
        <w:jc w:val="left"/>
        <w:outlineLvl w:val="0"/>
        <w:rPr>
          <w:rFonts w:ascii="宋体" w:hAnsi="宋体" w:eastAsia="宋体" w:cs="宋体"/>
          <w:color w:val="auto"/>
          <w:sz w:val="21"/>
          <w:szCs w:val="21"/>
          <w:highlight w:val="none"/>
        </w:rPr>
      </w:pPr>
      <w:bookmarkStart w:id="29" w:name="_Toc32046"/>
      <w:bookmarkStart w:id="30" w:name="_Toc21239"/>
      <w:bookmarkStart w:id="31" w:name="_Toc20125"/>
      <w:r>
        <w:rPr>
          <w:rFonts w:hint="eastAsia" w:ascii="宋体" w:hAnsi="宋体" w:eastAsia="宋体" w:cs="宋体"/>
          <w:color w:val="auto"/>
          <w:sz w:val="21"/>
          <w:szCs w:val="21"/>
          <w:highlight w:val="none"/>
        </w:rPr>
        <w:t>投标保证金</w:t>
      </w:r>
      <w:bookmarkEnd w:id="29"/>
      <w:bookmarkEnd w:id="30"/>
      <w:bookmarkEnd w:id="31"/>
    </w:p>
    <w:p w14:paraId="609E80E5">
      <w:pPr>
        <w:pStyle w:val="170"/>
        <w:spacing w:line="360" w:lineRule="auto"/>
        <w:ind w:left="420" w:hanging="420" w:hangingChars="200"/>
        <w:rPr>
          <w:rFonts w:hAnsi="宋体" w:eastAsia="宋体" w:cs="宋体"/>
          <w:bCs/>
          <w:color w:val="auto"/>
          <w:sz w:val="21"/>
          <w:szCs w:val="21"/>
          <w:highlight w:val="none"/>
          <w:lang w:val="zh-CN"/>
        </w:rPr>
      </w:pPr>
      <w:r>
        <w:rPr>
          <w:rFonts w:hint="eastAsia" w:hAnsi="宋体" w:eastAsia="宋体" w:cs="宋体"/>
          <w:bCs/>
          <w:color w:val="auto"/>
          <w:sz w:val="21"/>
          <w:szCs w:val="21"/>
          <w:highlight w:val="none"/>
        </w:rPr>
        <w:t>8</w:t>
      </w:r>
      <w:r>
        <w:rPr>
          <w:rFonts w:hint="eastAsia" w:hAnsi="宋体" w:eastAsia="宋体" w:cs="宋体"/>
          <w:bCs/>
          <w:color w:val="auto"/>
          <w:sz w:val="21"/>
          <w:szCs w:val="21"/>
          <w:highlight w:val="none"/>
          <w:lang w:val="zh-CN"/>
        </w:rPr>
        <w:t>.1 本次招标投标人须提交投标保证金金额：</w:t>
      </w:r>
      <w:r>
        <w:rPr>
          <w:rFonts w:hint="eastAsia" w:hAnsi="宋体" w:eastAsia="宋体" w:cs="宋体"/>
          <w:bCs/>
          <w:color w:val="auto"/>
          <w:sz w:val="21"/>
          <w:szCs w:val="21"/>
          <w:highlight w:val="none"/>
        </w:rPr>
        <w:t>500,000.00</w:t>
      </w:r>
      <w:r>
        <w:rPr>
          <w:rFonts w:hint="eastAsia" w:hAnsi="宋体" w:eastAsia="宋体" w:cs="宋体"/>
          <w:bCs/>
          <w:color w:val="auto"/>
          <w:sz w:val="21"/>
          <w:szCs w:val="21"/>
          <w:highlight w:val="none"/>
          <w:lang w:val="zh-CN"/>
        </w:rPr>
        <w:t>元。</w:t>
      </w:r>
    </w:p>
    <w:p w14:paraId="728B459E">
      <w:pPr>
        <w:pStyle w:val="170"/>
        <w:spacing w:line="360" w:lineRule="auto"/>
        <w:ind w:left="420" w:hanging="420" w:hangingChars="200"/>
        <w:rPr>
          <w:rFonts w:hAnsi="宋体" w:eastAsia="宋体" w:cs="宋体"/>
          <w:bCs/>
          <w:color w:val="auto"/>
          <w:sz w:val="21"/>
          <w:szCs w:val="21"/>
          <w:highlight w:val="none"/>
          <w:lang w:val="zh-CN"/>
        </w:rPr>
      </w:pPr>
      <w:r>
        <w:rPr>
          <w:rFonts w:hint="eastAsia" w:hAnsi="宋体" w:eastAsia="宋体" w:cs="宋体"/>
          <w:bCs/>
          <w:color w:val="auto"/>
          <w:sz w:val="21"/>
          <w:szCs w:val="21"/>
          <w:highlight w:val="none"/>
        </w:rPr>
        <w:t>8</w:t>
      </w:r>
      <w:r>
        <w:rPr>
          <w:rFonts w:hint="eastAsia" w:hAnsi="宋体" w:eastAsia="宋体" w:cs="宋体"/>
          <w:bCs/>
          <w:color w:val="auto"/>
          <w:sz w:val="21"/>
          <w:szCs w:val="21"/>
          <w:highlight w:val="none"/>
          <w:lang w:val="zh-CN"/>
        </w:rPr>
        <w:t>.2</w:t>
      </w:r>
      <w:r>
        <w:rPr>
          <w:rFonts w:hint="eastAsia" w:hAnsi="宋体" w:eastAsia="宋体" w:cs="宋体"/>
          <w:bCs/>
          <w:color w:val="auto"/>
          <w:sz w:val="21"/>
          <w:szCs w:val="21"/>
          <w:highlight w:val="none"/>
          <w:lang w:val="en-US" w:eastAsia="zh-CN"/>
        </w:rPr>
        <w:t xml:space="preserve"> </w:t>
      </w:r>
      <w:r>
        <w:rPr>
          <w:rFonts w:hint="eastAsia" w:hAnsi="宋体" w:eastAsia="宋体" w:cs="宋体"/>
          <w:bCs/>
          <w:color w:val="auto"/>
          <w:sz w:val="21"/>
          <w:szCs w:val="21"/>
          <w:highlight w:val="none"/>
          <w:lang w:val="zh-CN"/>
        </w:rPr>
        <w:t>投标保证金形式：单项投标保证金；银行电子保函；保险电子保单；</w:t>
      </w:r>
    </w:p>
    <w:p w14:paraId="49B877A8">
      <w:pPr>
        <w:pStyle w:val="170"/>
        <w:spacing w:line="360" w:lineRule="auto"/>
        <w:ind w:left="420" w:leftChars="200" w:firstLine="0" w:firstLineChars="0"/>
        <w:rPr>
          <w:rFonts w:hAnsi="宋体" w:eastAsia="宋体" w:cs="宋体"/>
          <w:bCs/>
          <w:color w:val="auto"/>
          <w:sz w:val="21"/>
          <w:szCs w:val="21"/>
          <w:highlight w:val="none"/>
          <w:lang w:val="zh-CN"/>
        </w:rPr>
      </w:pPr>
      <w:r>
        <w:rPr>
          <w:rFonts w:hint="eastAsia" w:hAnsi="宋体" w:eastAsia="宋体" w:cs="宋体"/>
          <w:bCs/>
          <w:color w:val="auto"/>
          <w:sz w:val="21"/>
          <w:szCs w:val="21"/>
          <w:highlight w:val="none"/>
          <w:lang w:val="zh-CN"/>
        </w:rPr>
        <w:t>其它：/。</w:t>
      </w:r>
    </w:p>
    <w:p w14:paraId="3084BA2A">
      <w:pPr>
        <w:pStyle w:val="170"/>
        <w:spacing w:line="360" w:lineRule="auto"/>
        <w:ind w:left="420" w:hanging="420" w:hangingChars="200"/>
        <w:outlineLvl w:val="1"/>
        <w:rPr>
          <w:rFonts w:hAnsi="宋体" w:eastAsia="宋体" w:cs="宋体"/>
          <w:bCs/>
          <w:color w:val="auto"/>
          <w:sz w:val="21"/>
          <w:szCs w:val="21"/>
          <w:highlight w:val="none"/>
          <w:lang w:val="zh-CN"/>
        </w:rPr>
      </w:pPr>
      <w:bookmarkStart w:id="32" w:name="_Toc21919"/>
      <w:bookmarkStart w:id="33" w:name="_Toc32037"/>
      <w:bookmarkStart w:id="34" w:name="_Toc26589"/>
      <w:r>
        <w:rPr>
          <w:rFonts w:hint="eastAsia" w:hAnsi="宋体" w:eastAsia="宋体" w:cs="宋体"/>
          <w:bCs/>
          <w:color w:val="auto"/>
          <w:sz w:val="21"/>
          <w:szCs w:val="21"/>
          <w:highlight w:val="none"/>
        </w:rPr>
        <w:t>8</w:t>
      </w:r>
      <w:r>
        <w:rPr>
          <w:rFonts w:hint="eastAsia" w:hAnsi="宋体" w:eastAsia="宋体" w:cs="宋体"/>
          <w:bCs/>
          <w:color w:val="auto"/>
          <w:sz w:val="21"/>
          <w:szCs w:val="21"/>
          <w:highlight w:val="none"/>
          <w:lang w:val="zh-CN"/>
        </w:rPr>
        <w:t>.</w:t>
      </w:r>
      <w:r>
        <w:rPr>
          <w:rFonts w:hint="eastAsia" w:hAnsi="宋体" w:eastAsia="宋体" w:cs="宋体"/>
          <w:bCs/>
          <w:color w:val="auto"/>
          <w:sz w:val="21"/>
          <w:szCs w:val="21"/>
          <w:highlight w:val="none"/>
        </w:rPr>
        <w:t xml:space="preserve">3 </w:t>
      </w:r>
      <w:r>
        <w:rPr>
          <w:rFonts w:hint="eastAsia" w:hAnsi="宋体" w:eastAsia="宋体" w:cs="宋体"/>
          <w:bCs/>
          <w:color w:val="auto"/>
          <w:sz w:val="21"/>
          <w:szCs w:val="21"/>
          <w:highlight w:val="none"/>
          <w:lang w:val="zh-CN"/>
        </w:rPr>
        <w:t>投标保证金形式注意事项：</w:t>
      </w:r>
      <w:bookmarkEnd w:id="32"/>
      <w:bookmarkEnd w:id="33"/>
      <w:bookmarkEnd w:id="34"/>
    </w:p>
    <w:p w14:paraId="060EB5F7">
      <w:pPr>
        <w:pStyle w:val="170"/>
        <w:spacing w:line="360" w:lineRule="auto"/>
        <w:ind w:left="218" w:hanging="218" w:hangingChars="104"/>
        <w:outlineLvl w:val="2"/>
        <w:rPr>
          <w:rFonts w:hAnsi="宋体" w:eastAsia="宋体" w:cs="宋体"/>
          <w:bCs/>
          <w:color w:val="auto"/>
          <w:sz w:val="21"/>
          <w:szCs w:val="21"/>
          <w:highlight w:val="none"/>
          <w:lang w:val="zh-CN"/>
        </w:rPr>
      </w:pPr>
      <w:bookmarkStart w:id="35" w:name="_Toc12677"/>
      <w:bookmarkStart w:id="36" w:name="_Toc17239"/>
      <w:bookmarkStart w:id="37" w:name="_Toc19438"/>
      <w:r>
        <w:rPr>
          <w:rFonts w:hint="eastAsia" w:hAnsi="宋体" w:eastAsia="宋体" w:cs="宋体"/>
          <w:bCs/>
          <w:color w:val="auto"/>
          <w:sz w:val="21"/>
          <w:szCs w:val="21"/>
          <w:highlight w:val="none"/>
          <w:lang w:val="zh-CN"/>
        </w:rPr>
        <w:t>（1）投标保证金到账时间应为投标保证金的关联时间。</w:t>
      </w:r>
      <w:bookmarkEnd w:id="35"/>
      <w:bookmarkEnd w:id="36"/>
      <w:bookmarkEnd w:id="37"/>
    </w:p>
    <w:p w14:paraId="32ACBB7C">
      <w:pPr>
        <w:pStyle w:val="170"/>
        <w:spacing w:line="360" w:lineRule="auto"/>
        <w:ind w:left="218" w:hanging="218" w:hangingChars="104"/>
        <w:rPr>
          <w:rFonts w:hAnsi="宋体" w:eastAsia="宋体" w:cs="宋体"/>
          <w:bCs/>
          <w:color w:val="auto"/>
          <w:sz w:val="21"/>
          <w:szCs w:val="21"/>
          <w:highlight w:val="none"/>
          <w:lang w:val="zh-CN"/>
        </w:rPr>
      </w:pPr>
      <w:r>
        <w:rPr>
          <w:rFonts w:hint="eastAsia" w:hAnsi="宋体" w:eastAsia="宋体" w:cs="宋体"/>
          <w:bCs/>
          <w:color w:val="auto"/>
          <w:sz w:val="21"/>
          <w:szCs w:val="21"/>
          <w:highlight w:val="none"/>
          <w:lang w:val="zh-CN"/>
        </w:rPr>
        <w:t>（2）投标保证金数据超过投标截止时间后到达交易系统的，无法关联。</w:t>
      </w:r>
    </w:p>
    <w:p w14:paraId="7C6554A9">
      <w:pPr>
        <w:pStyle w:val="170"/>
        <w:spacing w:line="360" w:lineRule="auto"/>
        <w:ind w:left="218" w:hanging="218" w:hangingChars="104"/>
        <w:outlineLvl w:val="2"/>
        <w:rPr>
          <w:rFonts w:hAnsi="宋体" w:eastAsia="宋体" w:cs="宋体"/>
          <w:bCs/>
          <w:color w:val="auto"/>
          <w:sz w:val="21"/>
          <w:szCs w:val="21"/>
          <w:highlight w:val="none"/>
          <w:lang w:val="zh-CN"/>
        </w:rPr>
      </w:pPr>
      <w:bookmarkStart w:id="38" w:name="_Toc5435"/>
      <w:bookmarkStart w:id="39" w:name="_Toc8924"/>
      <w:bookmarkStart w:id="40" w:name="_Toc10697"/>
      <w:r>
        <w:rPr>
          <w:rFonts w:hint="eastAsia" w:hAnsi="宋体" w:eastAsia="宋体" w:cs="宋体"/>
          <w:bCs/>
          <w:color w:val="auto"/>
          <w:sz w:val="21"/>
          <w:szCs w:val="21"/>
          <w:highlight w:val="none"/>
          <w:lang w:val="zh-CN"/>
        </w:rPr>
        <w:t>（3）投标人应提前办理投标保证金手续，自行承担数据延误风险。</w:t>
      </w:r>
      <w:bookmarkEnd w:id="38"/>
      <w:bookmarkEnd w:id="39"/>
      <w:bookmarkEnd w:id="40"/>
    </w:p>
    <w:p w14:paraId="6E0B4D34">
      <w:pPr>
        <w:autoSpaceDE w:val="0"/>
        <w:autoSpaceDN w:val="0"/>
        <w:adjustRightInd w:val="0"/>
        <w:snapToGrid w:val="0"/>
        <w:spacing w:line="360" w:lineRule="auto"/>
        <w:ind w:right="-34"/>
        <w:jc w:val="left"/>
        <w:rPr>
          <w:rFonts w:ascii="宋体" w:hAnsi="宋体" w:eastAsia="宋体" w:cs="宋体"/>
          <w:bCs/>
          <w:color w:val="auto"/>
          <w:szCs w:val="21"/>
          <w:highlight w:val="none"/>
        </w:rPr>
      </w:pPr>
    </w:p>
    <w:p w14:paraId="479DAAF8">
      <w:pPr>
        <w:numPr>
          <w:ilvl w:val="0"/>
          <w:numId w:val="1"/>
        </w:numPr>
        <w:autoSpaceDE w:val="0"/>
        <w:autoSpaceDN w:val="0"/>
        <w:adjustRightInd w:val="0"/>
        <w:snapToGrid w:val="0"/>
        <w:spacing w:line="360" w:lineRule="auto"/>
        <w:ind w:right="-34"/>
        <w:jc w:val="left"/>
        <w:outlineLvl w:val="0"/>
        <w:rPr>
          <w:rFonts w:ascii="宋体" w:hAnsi="宋体" w:eastAsia="宋体" w:cs="宋体"/>
          <w:color w:val="auto"/>
          <w:szCs w:val="21"/>
          <w:highlight w:val="none"/>
        </w:rPr>
      </w:pPr>
      <w:bookmarkStart w:id="41" w:name="_Toc15855"/>
      <w:bookmarkStart w:id="42" w:name="_Toc16631"/>
      <w:bookmarkStart w:id="43" w:name="_Toc6677"/>
      <w:r>
        <w:rPr>
          <w:rFonts w:hint="eastAsia" w:ascii="宋体" w:hAnsi="宋体" w:eastAsia="宋体" w:cs="宋体"/>
          <w:bCs/>
          <w:color w:val="auto"/>
          <w:szCs w:val="21"/>
          <w:highlight w:val="none"/>
          <w:lang w:val="zh-CN"/>
        </w:rPr>
        <w:t>招标人联系方式</w:t>
      </w:r>
      <w:bookmarkEnd w:id="41"/>
      <w:bookmarkEnd w:id="42"/>
      <w:bookmarkEnd w:id="43"/>
    </w:p>
    <w:p w14:paraId="525DFA96">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招标人：东莞市水务集团科技发展有限公司</w:t>
      </w:r>
    </w:p>
    <w:p w14:paraId="052C3B1F">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址：广东省东莞市南城街道滨河路100号二期3号楼4楼</w:t>
      </w:r>
    </w:p>
    <w:p w14:paraId="4D1EB014">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联系人：王俊</w:t>
      </w:r>
    </w:p>
    <w:p w14:paraId="4DB2816E">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话：0769-22867952</w:t>
      </w:r>
    </w:p>
    <w:p w14:paraId="38B83B5C">
      <w:pPr>
        <w:autoSpaceDE w:val="0"/>
        <w:autoSpaceDN w:val="0"/>
        <w:adjustRightInd w:val="0"/>
        <w:spacing w:line="360" w:lineRule="auto"/>
        <w:ind w:right="-29" w:rightChars="-14" w:firstLine="420"/>
        <w:rPr>
          <w:rFonts w:ascii="宋体" w:hAnsi="宋体" w:eastAsia="宋体" w:cs="宋体"/>
          <w:color w:val="auto"/>
          <w:kern w:val="0"/>
          <w:szCs w:val="21"/>
          <w:highlight w:val="none"/>
        </w:rPr>
      </w:pPr>
    </w:p>
    <w:p w14:paraId="08B9319D">
      <w:pPr>
        <w:numPr>
          <w:ilvl w:val="0"/>
          <w:numId w:val="1"/>
        </w:numPr>
        <w:autoSpaceDE w:val="0"/>
        <w:autoSpaceDN w:val="0"/>
        <w:adjustRightInd w:val="0"/>
        <w:snapToGrid w:val="0"/>
        <w:spacing w:line="360" w:lineRule="auto"/>
        <w:ind w:right="-34"/>
        <w:jc w:val="left"/>
        <w:outlineLvl w:val="0"/>
        <w:rPr>
          <w:rFonts w:ascii="宋体" w:hAnsi="宋体" w:eastAsia="宋体" w:cs="宋体"/>
          <w:color w:val="auto"/>
          <w:szCs w:val="21"/>
          <w:highlight w:val="none"/>
        </w:rPr>
      </w:pPr>
      <w:bookmarkStart w:id="44" w:name="_Toc15466"/>
      <w:bookmarkStart w:id="45" w:name="_Toc24373"/>
      <w:bookmarkStart w:id="46" w:name="_Toc9257"/>
      <w:r>
        <w:rPr>
          <w:rFonts w:hint="eastAsia" w:ascii="宋体" w:hAnsi="宋体" w:eastAsia="宋体" w:cs="宋体"/>
          <w:color w:val="auto"/>
          <w:szCs w:val="21"/>
          <w:highlight w:val="none"/>
        </w:rPr>
        <w:t>招标代理机构及异议受理联系方式</w:t>
      </w:r>
      <w:bookmarkEnd w:id="44"/>
      <w:bookmarkEnd w:id="45"/>
      <w:bookmarkEnd w:id="46"/>
    </w:p>
    <w:p w14:paraId="0BA4CF21">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highlight w:val="none"/>
        </w:rPr>
      </w:pPr>
      <w:bookmarkStart w:id="47" w:name="_Toc450662847"/>
      <w:bookmarkStart w:id="48" w:name="_Toc142508311"/>
      <w:bookmarkStart w:id="49" w:name="_Toc195714215"/>
      <w:bookmarkStart w:id="50" w:name="_Toc486167661"/>
      <w:bookmarkStart w:id="51" w:name="_Toc31764_WPSOffice_Level1"/>
      <w:bookmarkStart w:id="52" w:name="_Toc18212"/>
      <w:bookmarkStart w:id="53" w:name="_Toc15111"/>
      <w:r>
        <w:rPr>
          <w:rFonts w:hint="eastAsia" w:ascii="宋体" w:hAnsi="宋体" w:eastAsia="宋体" w:cs="宋体"/>
          <w:color w:val="auto"/>
          <w:kern w:val="0"/>
          <w:szCs w:val="21"/>
          <w:highlight w:val="none"/>
        </w:rPr>
        <w:t>招标代理机构：广东有德招标采购有限公司</w:t>
      </w:r>
    </w:p>
    <w:p w14:paraId="6C0E71AF">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址：东莞市东城街道新源路海德琥珀台6栋1703室</w:t>
      </w:r>
    </w:p>
    <w:p w14:paraId="006385B4">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联系人：张宝娴</w:t>
      </w:r>
    </w:p>
    <w:p w14:paraId="17CCDF0F">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szCs w:val="21"/>
          <w:highlight w:val="none"/>
        </w:rPr>
        <w:t>0769-23362836-8021</w:t>
      </w:r>
    </w:p>
    <w:p w14:paraId="34692649">
      <w:pPr>
        <w:pageBreakBefore/>
        <w:tabs>
          <w:tab w:val="left" w:pos="1080"/>
        </w:tabs>
        <w:autoSpaceDE w:val="0"/>
        <w:autoSpaceDN w:val="0"/>
        <w:adjustRightInd w:val="0"/>
        <w:spacing w:line="360" w:lineRule="auto"/>
        <w:ind w:left="-167" w:leftChars="-100" w:hanging="43"/>
        <w:jc w:val="center"/>
        <w:outlineLvl w:val="1"/>
        <w:rPr>
          <w:rFonts w:ascii="宋体" w:hAnsi="宋体" w:eastAsia="宋体" w:cs="宋体"/>
          <w:b/>
          <w:bCs/>
          <w:color w:val="auto"/>
          <w:kern w:val="44"/>
          <w:sz w:val="32"/>
          <w:szCs w:val="32"/>
          <w:highlight w:val="none"/>
        </w:rPr>
      </w:pPr>
      <w:bookmarkStart w:id="54" w:name="_Toc24405"/>
      <w:bookmarkStart w:id="55" w:name="_Toc1096"/>
      <w:bookmarkStart w:id="56" w:name="_Toc25459"/>
      <w:bookmarkStart w:id="57" w:name="_Toc22549"/>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47"/>
      <w:bookmarkEnd w:id="48"/>
      <w:bookmarkEnd w:id="49"/>
      <w:bookmarkEnd w:id="50"/>
      <w:bookmarkEnd w:id="51"/>
      <w:bookmarkEnd w:id="52"/>
      <w:bookmarkEnd w:id="53"/>
      <w:bookmarkEnd w:id="54"/>
      <w:bookmarkEnd w:id="55"/>
      <w:bookmarkEnd w:id="56"/>
      <w:bookmarkEnd w:id="57"/>
    </w:p>
    <w:p w14:paraId="1306071A">
      <w:pPr>
        <w:keepNext/>
        <w:keepLine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58" w:name="_Toc24479"/>
      <w:bookmarkStart w:id="59" w:name="_Toc486167662"/>
      <w:bookmarkStart w:id="60" w:name="_Toc31438"/>
      <w:bookmarkStart w:id="61" w:name="_Toc18040"/>
      <w:bookmarkStart w:id="62" w:name="_Toc142508312"/>
      <w:bookmarkStart w:id="63" w:name="_Toc9555"/>
      <w:bookmarkStart w:id="64" w:name="_Toc15366_WPSOffice_Level2"/>
      <w:bookmarkStart w:id="65" w:name="_Toc450662848"/>
      <w:bookmarkStart w:id="66" w:name="_Toc22195"/>
      <w:bookmarkStart w:id="67" w:name="_Toc29769"/>
      <w:bookmarkStart w:id="68" w:name="_Toc195714216"/>
      <w:bookmarkStart w:id="69" w:name="_Toc140596871"/>
      <w:r>
        <w:rPr>
          <w:rFonts w:hint="eastAsia" w:ascii="宋体" w:hAnsi="宋体" w:eastAsia="宋体" w:cs="宋体"/>
          <w:b/>
          <w:bCs/>
          <w:color w:val="auto"/>
          <w:kern w:val="44"/>
          <w:szCs w:val="21"/>
          <w:highlight w:val="none"/>
          <w:lang w:val="zh-CN"/>
        </w:rPr>
        <w:t>一、总则</w:t>
      </w:r>
      <w:bookmarkEnd w:id="58"/>
      <w:bookmarkEnd w:id="59"/>
      <w:bookmarkEnd w:id="60"/>
      <w:bookmarkEnd w:id="61"/>
      <w:bookmarkEnd w:id="62"/>
      <w:bookmarkEnd w:id="63"/>
      <w:bookmarkEnd w:id="64"/>
      <w:bookmarkEnd w:id="65"/>
      <w:bookmarkEnd w:id="66"/>
      <w:bookmarkEnd w:id="67"/>
      <w:bookmarkEnd w:id="68"/>
      <w:bookmarkEnd w:id="69"/>
    </w:p>
    <w:p w14:paraId="09829427">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70" w:name="_Toc19598"/>
      <w:bookmarkStart w:id="71" w:name="_Toc21710_WPSOffice_Level3"/>
      <w:bookmarkStart w:id="72" w:name="_Toc142508313"/>
      <w:bookmarkStart w:id="73" w:name="_Toc21700"/>
      <w:bookmarkStart w:id="74" w:name="_Toc16455"/>
      <w:bookmarkStart w:id="75" w:name="_Toc23333"/>
      <w:bookmarkStart w:id="76" w:name="_Toc195714217"/>
      <w:bookmarkStart w:id="77" w:name="_Toc450662849"/>
      <w:bookmarkStart w:id="78" w:name="_Toc6460"/>
      <w:bookmarkStart w:id="79" w:name="_Toc486167663"/>
      <w:bookmarkStart w:id="80" w:name="_Toc9608"/>
      <w:r>
        <w:rPr>
          <w:rFonts w:hint="eastAsia" w:ascii="宋体" w:hAnsi="宋体" w:eastAsia="宋体" w:cs="宋体"/>
          <w:color w:val="auto"/>
          <w:szCs w:val="21"/>
          <w:highlight w:val="none"/>
          <w:lang w:val="zh-CN"/>
        </w:rPr>
        <w:t>1 资金来源：企业自筹资金。</w:t>
      </w:r>
      <w:bookmarkEnd w:id="70"/>
      <w:bookmarkEnd w:id="71"/>
      <w:bookmarkEnd w:id="72"/>
      <w:bookmarkEnd w:id="73"/>
      <w:bookmarkEnd w:id="74"/>
      <w:bookmarkEnd w:id="75"/>
      <w:bookmarkEnd w:id="76"/>
      <w:bookmarkEnd w:id="77"/>
      <w:bookmarkEnd w:id="78"/>
      <w:bookmarkEnd w:id="79"/>
      <w:bookmarkEnd w:id="80"/>
    </w:p>
    <w:p w14:paraId="0DDD59C8">
      <w:pPr>
        <w:autoSpaceDE w:val="0"/>
        <w:autoSpaceDN w:val="0"/>
        <w:adjustRightInd w:val="0"/>
        <w:jc w:val="left"/>
        <w:rPr>
          <w:rFonts w:ascii="宋体" w:hAnsi="宋体" w:eastAsia="宋体" w:cs="宋体"/>
          <w:color w:val="auto"/>
          <w:kern w:val="0"/>
          <w:sz w:val="24"/>
          <w:szCs w:val="24"/>
          <w:highlight w:val="none"/>
        </w:rPr>
      </w:pPr>
    </w:p>
    <w:p w14:paraId="4AA6E002">
      <w:pPr>
        <w:tabs>
          <w:tab w:val="left" w:pos="570"/>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81" w:name="_Toc486167664"/>
      <w:bookmarkStart w:id="82" w:name="_Toc22976"/>
      <w:bookmarkStart w:id="83" w:name="_Toc32244"/>
      <w:bookmarkStart w:id="84" w:name="_Toc9699"/>
      <w:bookmarkStart w:id="85" w:name="_Toc450662850"/>
      <w:bookmarkStart w:id="86" w:name="_Toc24809"/>
      <w:bookmarkStart w:id="87" w:name="_Toc80_WPSOffice_Level3"/>
      <w:bookmarkStart w:id="88" w:name="_Toc142508314"/>
      <w:bookmarkStart w:id="89" w:name="_Toc195714218"/>
      <w:bookmarkStart w:id="90" w:name="_Toc4952"/>
      <w:bookmarkStart w:id="91" w:name="_Toc18557"/>
      <w:r>
        <w:rPr>
          <w:rFonts w:hint="eastAsia" w:ascii="宋体" w:hAnsi="宋体" w:eastAsia="宋体" w:cs="宋体"/>
          <w:b/>
          <w:color w:val="auto"/>
          <w:szCs w:val="21"/>
          <w:highlight w:val="none"/>
          <w:lang w:val="zh-CN"/>
        </w:rPr>
        <w:t>2 合格的投标人</w:t>
      </w:r>
      <w:bookmarkEnd w:id="81"/>
      <w:bookmarkEnd w:id="82"/>
      <w:bookmarkEnd w:id="83"/>
      <w:bookmarkEnd w:id="84"/>
      <w:bookmarkEnd w:id="85"/>
      <w:bookmarkEnd w:id="86"/>
      <w:bookmarkEnd w:id="87"/>
      <w:bookmarkEnd w:id="88"/>
      <w:bookmarkEnd w:id="89"/>
      <w:bookmarkEnd w:id="90"/>
      <w:bookmarkEnd w:id="91"/>
    </w:p>
    <w:p w14:paraId="3C90724D">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合格的投标人条件见第一篇《招标公告》中第2条的“合格投标人资格要求”及本条以下2.2款至</w:t>
      </w:r>
      <w:r>
        <w:rPr>
          <w:rFonts w:hint="eastAsia" w:ascii="宋体" w:hAnsi="宋体" w:eastAsia="宋体" w:cs="宋体"/>
          <w:b/>
          <w:color w:val="auto"/>
          <w:szCs w:val="21"/>
          <w:highlight w:val="none"/>
        </w:rPr>
        <w:t>2.5</w:t>
      </w:r>
      <w:r>
        <w:rPr>
          <w:rFonts w:hint="eastAsia" w:ascii="宋体" w:hAnsi="宋体" w:eastAsia="宋体" w:cs="宋体"/>
          <w:b/>
          <w:color w:val="auto"/>
          <w:szCs w:val="21"/>
          <w:highlight w:val="none"/>
          <w:lang w:val="zh-CN"/>
        </w:rPr>
        <w:t>款的通用要求。</w:t>
      </w:r>
    </w:p>
    <w:p w14:paraId="4305E2C3">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highlight w:val="none"/>
          <w:lang w:val="zh-CN"/>
        </w:rPr>
        <w:t>处罚说明</w:t>
      </w:r>
      <w:r>
        <w:rPr>
          <w:rFonts w:hint="eastAsia" w:ascii="宋体" w:hAnsi="宋体" w:eastAsia="宋体" w:cs="宋体"/>
          <w:b/>
          <w:color w:val="auto"/>
          <w:kern w:val="0"/>
          <w:szCs w:val="21"/>
          <w:highlight w:val="none"/>
        </w:rPr>
        <w:t>”，如果不主动填报而被事后发现的，将取消其投标（中标）资格，并按有关规定从重处理。</w:t>
      </w:r>
    </w:p>
    <w:p w14:paraId="5CAD7EF2">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2.3  投标人</w:t>
      </w:r>
      <w:r>
        <w:rPr>
          <w:rFonts w:hint="eastAsia" w:ascii="宋体" w:hAnsi="宋体" w:eastAsia="宋体" w:cs="宋体"/>
          <w:b/>
          <w:color w:val="auto"/>
          <w:szCs w:val="21"/>
          <w:highlight w:val="none"/>
          <w:lang w:val="zh-CN"/>
        </w:rPr>
        <w:t>符合《中华人民共和国招标投标法》第二十六条规定。</w:t>
      </w:r>
    </w:p>
    <w:p w14:paraId="7D9E0BE1">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  投标人（含其不具有独立法人资格的分支机构）未被列入“信用中国”网站（www.creditchina.gov.cn）失信被执行人、重大税收违法失信主体名单、政府采购严重违法失信行为记录名单（处罚期限届满的除外）。</w:t>
      </w:r>
    </w:p>
    <w:p w14:paraId="6068D49E">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 xml:space="preserve">2.5  </w:t>
      </w:r>
      <w:r>
        <w:rPr>
          <w:rFonts w:hint="eastAsia" w:ascii="宋体" w:hAnsi="宋体" w:eastAsia="宋体" w:cs="宋体"/>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58FB09DD">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788D40E8">
      <w:pPr>
        <w:tabs>
          <w:tab w:val="left" w:pos="570"/>
        </w:tabs>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92" w:name="_Toc8199"/>
      <w:bookmarkStart w:id="93" w:name="_Toc195714219"/>
      <w:bookmarkStart w:id="94" w:name="_Toc4066"/>
      <w:bookmarkStart w:id="95" w:name="_Toc2613"/>
      <w:bookmarkStart w:id="96" w:name="_Toc26151"/>
      <w:bookmarkStart w:id="97" w:name="_Toc22057"/>
      <w:bookmarkStart w:id="98" w:name="_Toc16471"/>
      <w:bookmarkStart w:id="99" w:name="_Toc142508315"/>
      <w:bookmarkStart w:id="100" w:name="_Toc23847_WPSOffice_Level3"/>
      <w:bookmarkStart w:id="101" w:name="_Toc11689"/>
      <w:bookmarkStart w:id="102" w:name="_Toc19774"/>
      <w:bookmarkStart w:id="103" w:name="_Toc486167665"/>
      <w:bookmarkStart w:id="104" w:name="_Toc450662851"/>
      <w:r>
        <w:rPr>
          <w:rFonts w:hint="eastAsia" w:ascii="宋体" w:hAnsi="宋体" w:eastAsia="宋体" w:cs="宋体"/>
          <w:b/>
          <w:color w:val="auto"/>
          <w:szCs w:val="21"/>
          <w:highlight w:val="none"/>
          <w:lang w:val="zh-CN"/>
        </w:rPr>
        <w:t>3 合格的</w:t>
      </w:r>
      <w:bookmarkEnd w:id="92"/>
      <w:bookmarkEnd w:id="93"/>
      <w:bookmarkEnd w:id="94"/>
      <w:bookmarkEnd w:id="95"/>
      <w:r>
        <w:rPr>
          <w:rFonts w:hint="eastAsia" w:ascii="宋体" w:hAnsi="宋体" w:eastAsia="宋体" w:cs="宋体"/>
          <w:b/>
          <w:color w:val="auto"/>
          <w:szCs w:val="21"/>
          <w:highlight w:val="none"/>
        </w:rPr>
        <w:t>货物</w:t>
      </w:r>
      <w:bookmarkEnd w:id="96"/>
      <w:bookmarkEnd w:id="97"/>
      <w:bookmarkEnd w:id="98"/>
    </w:p>
    <w:bookmarkEnd w:id="99"/>
    <w:bookmarkEnd w:id="100"/>
    <w:bookmarkEnd w:id="101"/>
    <w:bookmarkEnd w:id="102"/>
    <w:p w14:paraId="23B8D97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05D764E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105" w:name="_Toc533708063"/>
      <w:bookmarkStart w:id="106" w:name="_Toc1977663"/>
      <w:r>
        <w:rPr>
          <w:rFonts w:hint="eastAsia" w:ascii="宋体" w:hAnsi="宋体" w:eastAsia="宋体" w:cs="宋体"/>
          <w:color w:val="auto"/>
          <w:szCs w:val="21"/>
          <w:highlight w:val="none"/>
          <w:lang w:val="zh-CN"/>
        </w:rPr>
        <w:t>3.2  投标人中标后提供的货物</w:t>
      </w:r>
      <w:r>
        <w:rPr>
          <w:rFonts w:hint="eastAsia" w:ascii="宋体" w:hAnsi="宋体" w:eastAsia="宋体" w:cs="宋体"/>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负责办理所有货物的进口及商检手续，并承担相关费用</w:t>
      </w:r>
      <w:r>
        <w:rPr>
          <w:rFonts w:hint="eastAsia" w:ascii="宋体" w:hAnsi="宋体" w:eastAsia="宋体" w:cs="宋体"/>
          <w:color w:val="auto"/>
          <w:szCs w:val="21"/>
          <w:highlight w:val="none"/>
          <w:lang w:val="zh-CN"/>
        </w:rPr>
        <w:t>。</w:t>
      </w:r>
    </w:p>
    <w:bookmarkEnd w:id="105"/>
    <w:bookmarkEnd w:id="106"/>
    <w:p w14:paraId="28454D3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107" w:name="_Toc1977664"/>
      <w:bookmarkStart w:id="108" w:name="_Toc533708064"/>
      <w:r>
        <w:rPr>
          <w:rFonts w:hint="eastAsia" w:ascii="宋体" w:hAnsi="宋体" w:eastAsia="宋体" w:cs="宋体"/>
          <w:color w:val="auto"/>
          <w:szCs w:val="21"/>
          <w:highlight w:val="none"/>
          <w:lang w:val="zh-CN"/>
        </w:rPr>
        <w:t xml:space="preserve">3.3  </w:t>
      </w:r>
      <w:bookmarkEnd w:id="107"/>
      <w:bookmarkEnd w:id="108"/>
      <w:bookmarkStart w:id="109" w:name="_Toc1977665"/>
      <w:bookmarkStart w:id="110" w:name="_Toc533708065"/>
      <w:r>
        <w:rPr>
          <w:rFonts w:hint="eastAsia" w:ascii="宋体" w:hAnsi="宋体" w:eastAsia="宋体" w:cs="宋体"/>
          <w:color w:val="auto"/>
          <w:szCs w:val="21"/>
          <w:highlight w:val="none"/>
          <w:lang w:val="zh-CN"/>
        </w:rPr>
        <w:t>投标人必须保证提供的所有货物或货物的任何部分均为最新正式版本。</w:t>
      </w:r>
      <w:bookmarkEnd w:id="109"/>
      <w:bookmarkEnd w:id="110"/>
    </w:p>
    <w:p w14:paraId="1165B7AF">
      <w:pPr>
        <w:autoSpaceDE w:val="0"/>
        <w:autoSpaceDN w:val="0"/>
        <w:adjustRightInd w:val="0"/>
        <w:spacing w:line="360" w:lineRule="auto"/>
        <w:ind w:left="315" w:leftChars="-100" w:hanging="525" w:hangingChars="250"/>
        <w:rPr>
          <w:rFonts w:ascii="宋体" w:hAnsi="宋体" w:eastAsia="宋体" w:cs="宋体"/>
          <w:color w:val="auto"/>
          <w:kern w:val="0"/>
          <w:szCs w:val="21"/>
          <w:highlight w:val="none"/>
        </w:rPr>
      </w:pPr>
      <w:bookmarkStart w:id="111" w:name="_Toc1977666"/>
      <w:bookmarkStart w:id="112"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111"/>
    <w:bookmarkEnd w:id="112"/>
    <w:p w14:paraId="5DFE6B3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113" w:name="_Toc1977667"/>
      <w:bookmarkStart w:id="114" w:name="_Toc5337080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 xml:space="preserve">  投标人</w:t>
      </w:r>
      <w:r>
        <w:rPr>
          <w:rFonts w:hint="eastAsia" w:ascii="宋体" w:hAnsi="宋体" w:eastAsia="宋体" w:cs="宋体"/>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113"/>
      <w:bookmarkEnd w:id="114"/>
    </w:p>
    <w:p w14:paraId="6ECFA36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115" w:name="_Toc533708068"/>
      <w:bookmarkStart w:id="116"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宋体"/>
          <w:color w:val="auto"/>
          <w:kern w:val="0"/>
          <w:szCs w:val="21"/>
          <w:highlight w:val="none"/>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auto"/>
          <w:szCs w:val="21"/>
          <w:highlight w:val="none"/>
          <w:lang w:val="zh-CN"/>
        </w:rPr>
        <w:t>。</w:t>
      </w:r>
      <w:bookmarkEnd w:id="115"/>
      <w:bookmarkEnd w:id="116"/>
    </w:p>
    <w:p w14:paraId="69AAE360">
      <w:pPr>
        <w:autoSpaceDE w:val="0"/>
        <w:autoSpaceDN w:val="0"/>
        <w:adjustRightInd w:val="0"/>
        <w:spacing w:line="360" w:lineRule="auto"/>
        <w:jc w:val="left"/>
        <w:rPr>
          <w:rFonts w:ascii="宋体" w:hAnsi="宋体" w:eastAsia="宋体" w:cs="宋体"/>
          <w:color w:val="auto"/>
          <w:szCs w:val="21"/>
          <w:highlight w:val="none"/>
          <w:lang w:val="zh-CN"/>
        </w:rPr>
      </w:pPr>
    </w:p>
    <w:p w14:paraId="0F888F2F">
      <w:pPr>
        <w:tabs>
          <w:tab w:val="left" w:pos="57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17" w:name="_Toc9658_WPSOffice_Level3"/>
      <w:bookmarkStart w:id="118" w:name="_Toc1526"/>
      <w:bookmarkStart w:id="119" w:name="_Toc142508316"/>
      <w:bookmarkStart w:id="120" w:name="_Toc11533"/>
      <w:bookmarkStart w:id="121" w:name="_Toc25225"/>
      <w:bookmarkStart w:id="122" w:name="_Toc3404"/>
      <w:bookmarkStart w:id="123" w:name="_Toc195714220"/>
      <w:bookmarkStart w:id="124" w:name="_Toc22647"/>
      <w:bookmarkStart w:id="125" w:name="_Toc11536"/>
      <w:r>
        <w:rPr>
          <w:rFonts w:hint="eastAsia" w:ascii="宋体" w:hAnsi="宋体" w:eastAsia="宋体" w:cs="宋体"/>
          <w:color w:val="auto"/>
          <w:szCs w:val="21"/>
          <w:highlight w:val="none"/>
          <w:lang w:val="zh-CN"/>
        </w:rPr>
        <w:t>4 其它说明</w:t>
      </w:r>
      <w:bookmarkEnd w:id="117"/>
      <w:bookmarkEnd w:id="118"/>
      <w:bookmarkEnd w:id="119"/>
      <w:bookmarkEnd w:id="120"/>
      <w:bookmarkEnd w:id="121"/>
      <w:bookmarkEnd w:id="122"/>
      <w:bookmarkEnd w:id="123"/>
      <w:bookmarkEnd w:id="124"/>
      <w:bookmarkEnd w:id="125"/>
    </w:p>
    <w:p w14:paraId="74995276">
      <w:pPr>
        <w:autoSpaceDE w:val="0"/>
        <w:autoSpaceDN w:val="0"/>
        <w:adjustRightInd w:val="0"/>
        <w:spacing w:line="360" w:lineRule="auto"/>
        <w:ind w:left="315" w:leftChars="-100" w:hanging="525" w:hangingChars="250"/>
        <w:outlineLvl w:val="1"/>
        <w:rPr>
          <w:rFonts w:ascii="宋体" w:hAnsi="宋体" w:eastAsia="宋体" w:cs="宋体"/>
          <w:color w:val="auto"/>
          <w:szCs w:val="21"/>
          <w:highlight w:val="none"/>
          <w:lang w:val="zh-CN"/>
        </w:rPr>
      </w:pPr>
      <w:bookmarkStart w:id="126" w:name="_Toc533708070"/>
      <w:bookmarkStart w:id="127" w:name="_Toc7480"/>
      <w:bookmarkStart w:id="128" w:name="_Toc1977670"/>
      <w:bookmarkStart w:id="129" w:name="_Toc13533"/>
      <w:bookmarkStart w:id="130" w:name="_Toc21017"/>
      <w:r>
        <w:rPr>
          <w:rFonts w:hint="eastAsia" w:ascii="宋体" w:hAnsi="宋体" w:eastAsia="宋体" w:cs="宋体"/>
          <w:color w:val="auto"/>
          <w:szCs w:val="21"/>
          <w:highlight w:val="none"/>
          <w:lang w:val="zh-CN"/>
        </w:rPr>
        <w:t>4.1  投标费用</w:t>
      </w:r>
      <w:bookmarkEnd w:id="126"/>
      <w:bookmarkEnd w:id="127"/>
      <w:bookmarkEnd w:id="128"/>
      <w:bookmarkEnd w:id="129"/>
      <w:bookmarkEnd w:id="130"/>
    </w:p>
    <w:p w14:paraId="797469BF">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131" w:name="_Toc1977672"/>
      <w:bookmarkStart w:id="132" w:name="_Toc533708072"/>
      <w:r>
        <w:rPr>
          <w:rFonts w:hint="eastAsia" w:ascii="宋体" w:hAnsi="宋体" w:eastAsia="宋体" w:cs="宋体"/>
          <w:color w:val="auto"/>
          <w:szCs w:val="21"/>
          <w:highlight w:val="none"/>
          <w:lang w:val="zh-CN"/>
        </w:rPr>
        <w:t>无论招标过程中的做法和结果如何，投标人须承担所有与编写和递交投标文件有关的费用，招标人和招标代理机构在任何情况下不负担这些费用。</w:t>
      </w:r>
      <w:bookmarkEnd w:id="131"/>
      <w:bookmarkEnd w:id="132"/>
    </w:p>
    <w:p w14:paraId="0E48E5C7">
      <w:pPr>
        <w:autoSpaceDE w:val="0"/>
        <w:autoSpaceDN w:val="0"/>
        <w:adjustRightInd w:val="0"/>
        <w:spacing w:line="360" w:lineRule="auto"/>
        <w:ind w:left="315" w:leftChars="-100" w:hanging="525" w:hangingChars="250"/>
        <w:outlineLvl w:val="1"/>
        <w:rPr>
          <w:rFonts w:ascii="宋体" w:hAnsi="宋体" w:eastAsia="宋体" w:cs="宋体"/>
          <w:color w:val="auto"/>
          <w:szCs w:val="21"/>
          <w:highlight w:val="none"/>
          <w:lang w:val="zh-CN"/>
        </w:rPr>
      </w:pPr>
      <w:bookmarkStart w:id="133" w:name="_Toc533708073"/>
      <w:bookmarkStart w:id="134" w:name="_Toc24488"/>
      <w:bookmarkStart w:id="135" w:name="_Toc15519"/>
      <w:bookmarkStart w:id="136" w:name="_Toc30017"/>
      <w:bookmarkStart w:id="137" w:name="_Toc1977673"/>
      <w:r>
        <w:rPr>
          <w:rFonts w:hint="eastAsia" w:ascii="宋体" w:hAnsi="宋体" w:eastAsia="宋体" w:cs="宋体"/>
          <w:color w:val="auto"/>
          <w:szCs w:val="21"/>
          <w:highlight w:val="none"/>
          <w:lang w:val="zh-CN"/>
        </w:rPr>
        <w:t>4.2  踏勘现场</w:t>
      </w:r>
      <w:bookmarkEnd w:id="133"/>
      <w:bookmarkEnd w:id="134"/>
      <w:bookmarkEnd w:id="135"/>
      <w:bookmarkEnd w:id="136"/>
      <w:bookmarkEnd w:id="137"/>
    </w:p>
    <w:p w14:paraId="02C8EC04">
      <w:pPr>
        <w:autoSpaceDE w:val="0"/>
        <w:autoSpaceDN w:val="0"/>
        <w:adjustRightInd w:val="0"/>
        <w:spacing w:line="360" w:lineRule="auto"/>
        <w:ind w:left="300" w:leftChars="-59" w:hanging="424" w:hangingChars="202"/>
        <w:jc w:val="left"/>
        <w:rPr>
          <w:rFonts w:ascii="宋体" w:hAnsi="宋体" w:eastAsia="宋体" w:cs="宋体"/>
          <w:color w:val="auto"/>
          <w:kern w:val="0"/>
          <w:szCs w:val="21"/>
          <w:highlight w:val="none"/>
        </w:rPr>
      </w:pPr>
      <w:bookmarkStart w:id="138" w:name="_Toc1977676"/>
      <w:bookmarkStart w:id="139" w:name="_Toc533708076"/>
      <w:r>
        <w:rPr>
          <w:rFonts w:hint="eastAsia" w:ascii="宋体" w:hAnsi="宋体" w:eastAsia="宋体" w:cs="宋体"/>
          <w:color w:val="auto"/>
          <w:kern w:val="0"/>
          <w:szCs w:val="21"/>
          <w:highlight w:val="none"/>
        </w:rPr>
        <w:t>（1）本项目不组织集中踏勘现场和答疑。</w:t>
      </w:r>
    </w:p>
    <w:p w14:paraId="1E24B87C">
      <w:pPr>
        <w:autoSpaceDE w:val="0"/>
        <w:autoSpaceDN w:val="0"/>
        <w:adjustRightInd w:val="0"/>
        <w:spacing w:line="360" w:lineRule="auto"/>
        <w:ind w:left="300" w:leftChars="-59" w:hanging="424" w:hangingChars="202"/>
        <w:jc w:val="left"/>
        <w:outlineLvl w:val="2"/>
        <w:rPr>
          <w:rFonts w:ascii="宋体" w:hAnsi="宋体" w:eastAsia="宋体" w:cs="宋体"/>
          <w:color w:val="auto"/>
          <w:kern w:val="0"/>
          <w:szCs w:val="21"/>
          <w:highlight w:val="none"/>
        </w:rPr>
      </w:pPr>
      <w:bookmarkStart w:id="140" w:name="_Toc23386"/>
      <w:bookmarkStart w:id="141" w:name="_Toc20773"/>
      <w:bookmarkStart w:id="142" w:name="_Toc8582"/>
      <w:r>
        <w:rPr>
          <w:rFonts w:hint="eastAsia" w:ascii="宋体" w:hAnsi="宋体" w:eastAsia="宋体" w:cs="宋体"/>
          <w:color w:val="auto"/>
          <w:kern w:val="0"/>
          <w:szCs w:val="21"/>
          <w:highlight w:val="none"/>
        </w:rPr>
        <w:t>（2）潜在投标人应承担踏勘现场自身所发生的费用。</w:t>
      </w:r>
      <w:bookmarkEnd w:id="140"/>
      <w:bookmarkEnd w:id="141"/>
      <w:bookmarkEnd w:id="142"/>
    </w:p>
    <w:p w14:paraId="629BA99B">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6EB3A18E">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492CBB61">
      <w:pPr>
        <w:autoSpaceDE w:val="0"/>
        <w:autoSpaceDN w:val="0"/>
        <w:adjustRightInd w:val="0"/>
        <w:spacing w:line="360" w:lineRule="auto"/>
        <w:ind w:left="315" w:leftChars="-100" w:hanging="525" w:hangingChars="250"/>
        <w:outlineLvl w:val="1"/>
        <w:rPr>
          <w:rFonts w:ascii="宋体" w:hAnsi="宋体" w:eastAsia="宋体" w:cs="宋体"/>
          <w:color w:val="auto"/>
          <w:szCs w:val="21"/>
          <w:highlight w:val="none"/>
          <w:lang w:val="zh-CN"/>
        </w:rPr>
      </w:pPr>
      <w:bookmarkStart w:id="143" w:name="_Toc20123"/>
      <w:bookmarkStart w:id="144" w:name="_Toc6446"/>
      <w:bookmarkStart w:id="145" w:name="_Toc26298"/>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103"/>
      <w:bookmarkEnd w:id="104"/>
      <w:bookmarkEnd w:id="138"/>
      <w:bookmarkEnd w:id="139"/>
      <w:bookmarkEnd w:id="143"/>
      <w:bookmarkEnd w:id="144"/>
      <w:bookmarkEnd w:id="145"/>
    </w:p>
    <w:p w14:paraId="0B3221E4">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（1）获得本招标文件的投标人，不得用作本次投标以外的任何用途。</w:t>
      </w:r>
    </w:p>
    <w:p w14:paraId="5BC3333B">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）凡参与招标工作的有关人员均应自觉接受有关主管部门的监督，不得向他人透露可能影响公平竞争的情况。</w:t>
      </w:r>
    </w:p>
    <w:p w14:paraId="374B62A1">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（3）开标后，直至向中标人授予合同期间，凡与审查、澄清、评价和比较报价的有关资料以及授标意见等，参与评标工作的有关人员均不得向投标人及与评标无关的其他人透露。</w:t>
      </w:r>
    </w:p>
    <w:p w14:paraId="544D3FEA">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1E4B2C6C">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702FD15D">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（6）投标人不得串通作弊，以不正当的手段妨碍、排挤其他投标人，扰乱采购市场，破坏公平竞争原则。</w:t>
      </w:r>
    </w:p>
    <w:p w14:paraId="6D5BA0A8">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3103A8E7">
      <w:pPr>
        <w:keepNext/>
        <w:keepLines/>
        <w:autoSpaceDE w:val="0"/>
        <w:autoSpaceDN w:val="0"/>
        <w:adjustRightInd w:val="0"/>
        <w:spacing w:line="360" w:lineRule="auto"/>
        <w:jc w:val="left"/>
        <w:outlineLvl w:val="2"/>
        <w:rPr>
          <w:rFonts w:ascii="宋体" w:hAnsi="宋体" w:eastAsia="宋体" w:cs="宋体"/>
          <w:b/>
          <w:bCs/>
          <w:color w:val="auto"/>
          <w:kern w:val="44"/>
          <w:szCs w:val="21"/>
          <w:highlight w:val="none"/>
          <w:lang w:val="zh-CN"/>
        </w:rPr>
      </w:pPr>
      <w:bookmarkStart w:id="146" w:name="_Toc22242"/>
      <w:bookmarkStart w:id="147" w:name="_Toc486167667"/>
      <w:bookmarkStart w:id="148" w:name="_Toc142508317"/>
      <w:bookmarkStart w:id="149" w:name="_Toc25760"/>
      <w:bookmarkStart w:id="150" w:name="_Toc761"/>
      <w:bookmarkStart w:id="151" w:name="_Toc195714221"/>
      <w:bookmarkStart w:id="152" w:name="_Toc1565"/>
      <w:bookmarkStart w:id="153" w:name="_Toc450662853"/>
      <w:bookmarkStart w:id="154" w:name="_Toc32346"/>
      <w:bookmarkStart w:id="155" w:name="_Toc5395"/>
      <w:bookmarkStart w:id="156" w:name="_Toc30507_WPSOffice_Level2"/>
      <w:bookmarkStart w:id="157" w:name="_Toc140596876"/>
      <w:r>
        <w:rPr>
          <w:rFonts w:hint="eastAsia" w:ascii="宋体" w:hAnsi="宋体" w:eastAsia="宋体" w:cs="宋体"/>
          <w:b/>
          <w:bCs/>
          <w:color w:val="auto"/>
          <w:kern w:val="44"/>
          <w:szCs w:val="21"/>
          <w:highlight w:val="none"/>
          <w:lang w:val="zh-CN"/>
        </w:rPr>
        <w:t>二、招标文件</w:t>
      </w:r>
      <w:bookmarkEnd w:id="146"/>
      <w:bookmarkEnd w:id="147"/>
      <w:bookmarkEnd w:id="148"/>
      <w:bookmarkEnd w:id="149"/>
      <w:bookmarkEnd w:id="150"/>
      <w:bookmarkEnd w:id="151"/>
      <w:bookmarkEnd w:id="152"/>
      <w:bookmarkEnd w:id="153"/>
      <w:bookmarkEnd w:id="154"/>
      <w:bookmarkEnd w:id="155"/>
      <w:bookmarkEnd w:id="156"/>
      <w:bookmarkEnd w:id="157"/>
    </w:p>
    <w:p w14:paraId="0C594A94">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58" w:name="_Toc8584"/>
      <w:bookmarkStart w:id="159" w:name="_Toc450662854"/>
      <w:bookmarkStart w:id="160" w:name="_Toc486167668"/>
      <w:bookmarkStart w:id="161" w:name="_Toc26635_WPSOffice_Level3"/>
      <w:bookmarkStart w:id="162" w:name="_Toc195714222"/>
      <w:bookmarkStart w:id="163" w:name="_Toc2406"/>
      <w:bookmarkStart w:id="164" w:name="_Toc13964"/>
      <w:bookmarkStart w:id="165" w:name="_Toc14330"/>
      <w:bookmarkStart w:id="166" w:name="_Toc9362"/>
      <w:bookmarkStart w:id="167" w:name="_Toc142508318"/>
      <w:bookmarkStart w:id="168" w:name="_Toc28893"/>
      <w:r>
        <w:rPr>
          <w:rFonts w:hint="eastAsia" w:ascii="宋体" w:hAnsi="宋体" w:eastAsia="宋体" w:cs="宋体"/>
          <w:color w:val="auto"/>
          <w:szCs w:val="21"/>
          <w:highlight w:val="none"/>
          <w:lang w:val="zh-CN"/>
        </w:rPr>
        <w:t>5 招标文件的构成</w:t>
      </w:r>
      <w:bookmarkEnd w:id="158"/>
      <w:bookmarkEnd w:id="159"/>
      <w:bookmarkEnd w:id="160"/>
      <w:bookmarkEnd w:id="161"/>
      <w:bookmarkEnd w:id="162"/>
      <w:bookmarkEnd w:id="163"/>
      <w:bookmarkEnd w:id="164"/>
      <w:bookmarkEnd w:id="165"/>
      <w:bookmarkEnd w:id="166"/>
      <w:bookmarkEnd w:id="167"/>
      <w:bookmarkEnd w:id="168"/>
    </w:p>
    <w:p w14:paraId="0E141DE9">
      <w:pPr>
        <w:tabs>
          <w:tab w:val="left" w:pos="567"/>
        </w:tabs>
        <w:autoSpaceDE w:val="0"/>
        <w:autoSpaceDN w:val="0"/>
        <w:adjustRightInd w:val="0"/>
        <w:spacing w:line="360" w:lineRule="auto"/>
        <w:ind w:left="357" w:leftChars="-100" w:hanging="567"/>
        <w:outlineLvl w:val="1"/>
        <w:rPr>
          <w:rFonts w:ascii="宋体" w:hAnsi="宋体" w:eastAsia="宋体" w:cs="宋体"/>
          <w:color w:val="auto"/>
          <w:szCs w:val="21"/>
          <w:highlight w:val="none"/>
          <w:lang w:val="zh-CN"/>
        </w:rPr>
      </w:pPr>
      <w:bookmarkStart w:id="169" w:name="_Toc21463"/>
      <w:bookmarkStart w:id="170" w:name="_Toc9923"/>
      <w:bookmarkStart w:id="171" w:name="_Toc4658"/>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bookmarkEnd w:id="169"/>
      <w:bookmarkEnd w:id="170"/>
      <w:bookmarkEnd w:id="171"/>
    </w:p>
    <w:p w14:paraId="1952C92E">
      <w:pPr>
        <w:tabs>
          <w:tab w:val="left" w:pos="1890"/>
        </w:tabs>
        <w:autoSpaceDE w:val="0"/>
        <w:autoSpaceDN w:val="0"/>
        <w:adjustRightInd w:val="0"/>
        <w:spacing w:line="360" w:lineRule="auto"/>
        <w:ind w:firstLine="424" w:firstLineChars="20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第一篇 招标公告</w:t>
      </w:r>
    </w:p>
    <w:p w14:paraId="144CDC28">
      <w:pPr>
        <w:tabs>
          <w:tab w:val="left" w:pos="1890"/>
        </w:tabs>
        <w:autoSpaceDE w:val="0"/>
        <w:autoSpaceDN w:val="0"/>
        <w:adjustRightInd w:val="0"/>
        <w:spacing w:line="360" w:lineRule="auto"/>
        <w:ind w:firstLine="424" w:firstLineChars="202"/>
        <w:outlineLvl w:val="2"/>
        <w:rPr>
          <w:rFonts w:ascii="宋体" w:hAnsi="宋体" w:eastAsia="宋体" w:cs="宋体"/>
          <w:color w:val="auto"/>
          <w:szCs w:val="21"/>
          <w:highlight w:val="none"/>
          <w:lang w:val="zh-CN"/>
        </w:rPr>
      </w:pPr>
      <w:bookmarkStart w:id="172" w:name="_Toc11838"/>
      <w:bookmarkStart w:id="173" w:name="_Toc31759"/>
      <w:bookmarkStart w:id="174" w:name="_Toc22078"/>
      <w:r>
        <w:rPr>
          <w:rFonts w:hint="eastAsia" w:ascii="宋体" w:hAnsi="宋体" w:eastAsia="宋体" w:cs="宋体"/>
          <w:color w:val="auto"/>
          <w:szCs w:val="21"/>
          <w:highlight w:val="none"/>
          <w:lang w:val="zh-CN"/>
        </w:rPr>
        <w:t>第二篇 投标人须知</w:t>
      </w:r>
      <w:bookmarkEnd w:id="172"/>
      <w:bookmarkEnd w:id="173"/>
      <w:bookmarkEnd w:id="174"/>
    </w:p>
    <w:p w14:paraId="36DA6EBD">
      <w:pPr>
        <w:tabs>
          <w:tab w:val="left" w:pos="1890"/>
        </w:tabs>
        <w:autoSpaceDE w:val="0"/>
        <w:autoSpaceDN w:val="0"/>
        <w:adjustRightInd w:val="0"/>
        <w:spacing w:line="360" w:lineRule="auto"/>
        <w:ind w:firstLine="424" w:firstLineChars="20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第三篇 用户需求书</w:t>
      </w:r>
    </w:p>
    <w:p w14:paraId="0DE49466">
      <w:pPr>
        <w:tabs>
          <w:tab w:val="left" w:pos="1890"/>
        </w:tabs>
        <w:autoSpaceDE w:val="0"/>
        <w:autoSpaceDN w:val="0"/>
        <w:adjustRightInd w:val="0"/>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zh-CN"/>
        </w:rPr>
        <w:t>第四篇 合同条款</w:t>
      </w:r>
      <w:r>
        <w:rPr>
          <w:rFonts w:hint="eastAsia" w:ascii="宋体" w:hAnsi="宋体" w:eastAsia="宋体" w:cs="宋体"/>
          <w:color w:val="auto"/>
          <w:szCs w:val="21"/>
          <w:highlight w:val="none"/>
        </w:rPr>
        <w:t>格式</w:t>
      </w:r>
    </w:p>
    <w:p w14:paraId="5F4A617E">
      <w:pPr>
        <w:tabs>
          <w:tab w:val="left" w:pos="1890"/>
        </w:tabs>
        <w:autoSpaceDE w:val="0"/>
        <w:autoSpaceDN w:val="0"/>
        <w:adjustRightInd w:val="0"/>
        <w:spacing w:line="360" w:lineRule="auto"/>
        <w:ind w:firstLine="424" w:firstLineChars="20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第五篇 相关保函格式</w:t>
      </w:r>
    </w:p>
    <w:p w14:paraId="5CA78BE6">
      <w:pPr>
        <w:tabs>
          <w:tab w:val="left" w:pos="1890"/>
        </w:tabs>
        <w:autoSpaceDE w:val="0"/>
        <w:autoSpaceDN w:val="0"/>
        <w:adjustRightInd w:val="0"/>
        <w:spacing w:line="360" w:lineRule="auto"/>
        <w:ind w:firstLine="424" w:firstLineChars="20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第六篇 投标文件格式</w:t>
      </w:r>
    </w:p>
    <w:p w14:paraId="035F8A09">
      <w:pPr>
        <w:tabs>
          <w:tab w:val="left" w:pos="1890"/>
        </w:tabs>
        <w:autoSpaceDE w:val="0"/>
        <w:autoSpaceDN w:val="0"/>
        <w:adjustRightInd w:val="0"/>
        <w:spacing w:line="360" w:lineRule="auto"/>
        <w:ind w:firstLine="424" w:firstLineChars="20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14:paraId="7454DEDF">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投标人应审阅招标文件中所有须知、格式、条款和规格。投标人未按招标文件要求提供全部资料或提交的投标文件未对招标文件作出实质性响应（★标志的部分为投标人、投标拟供</w:t>
      </w:r>
      <w:r>
        <w:rPr>
          <w:rFonts w:hint="eastAsia" w:ascii="宋体" w:hAnsi="宋体" w:eastAsia="宋体" w:cs="宋体"/>
          <w:b/>
          <w:bCs/>
          <w:color w:val="auto"/>
          <w:szCs w:val="21"/>
          <w:highlight w:val="none"/>
          <w:u w:val="single"/>
        </w:rPr>
        <w:t>服务</w:t>
      </w:r>
      <w:r>
        <w:rPr>
          <w:rFonts w:hint="eastAsia" w:ascii="宋体" w:hAnsi="宋体" w:eastAsia="宋体" w:cs="宋体"/>
          <w:b/>
          <w:bCs/>
          <w:color w:val="auto"/>
          <w:szCs w:val="21"/>
          <w:highlight w:val="none"/>
          <w:u w:val="single"/>
          <w:lang w:val="zh-CN"/>
        </w:rPr>
        <w:t>必备的条件或重要指示），那么投标人的投标文件将有可能被拒绝接收或评审为无效投标文件。</w:t>
      </w:r>
    </w:p>
    <w:p w14:paraId="30F06BB7">
      <w:pPr>
        <w:autoSpaceDE w:val="0"/>
        <w:autoSpaceDN w:val="0"/>
        <w:adjustRightInd w:val="0"/>
        <w:spacing w:line="360" w:lineRule="auto"/>
        <w:ind w:left="356" w:leftChars="-99" w:hanging="564" w:hangingChars="269"/>
        <w:outlineLvl w:val="1"/>
        <w:rPr>
          <w:rFonts w:ascii="宋体" w:hAnsi="宋体" w:eastAsia="宋体" w:cs="宋体"/>
          <w:b/>
          <w:bCs/>
          <w:color w:val="auto"/>
          <w:szCs w:val="21"/>
          <w:highlight w:val="none"/>
          <w:u w:val="single"/>
        </w:rPr>
      </w:pPr>
      <w:bookmarkStart w:id="175" w:name="_Toc23056"/>
      <w:bookmarkStart w:id="176" w:name="_Toc19114"/>
      <w:bookmarkStart w:id="177" w:name="_Toc32312"/>
      <w:r>
        <w:rPr>
          <w:rFonts w:hint="eastAsia" w:ascii="宋体" w:hAnsi="宋体" w:eastAsia="宋体" w:cs="宋体"/>
          <w:color w:val="auto"/>
          <w:szCs w:val="21"/>
          <w:highlight w:val="none"/>
          <w:lang w:val="zh-CN"/>
        </w:rPr>
        <w:t>5.3  本招标文件使用的词语有如下定义：</w:t>
      </w:r>
      <w:bookmarkEnd w:id="175"/>
      <w:bookmarkEnd w:id="176"/>
      <w:bookmarkEnd w:id="177"/>
    </w:p>
    <w:p w14:paraId="031D346B">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（1）“招标人”指东莞市水务集团科技发展有限公司；</w:t>
      </w:r>
    </w:p>
    <w:p w14:paraId="4900A969">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（2）“招标代理机构”指广东有德招标采购有限公司；</w:t>
      </w:r>
    </w:p>
    <w:p w14:paraId="687B0A63">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（3）“投标人”指参加</w:t>
      </w:r>
      <w:r>
        <w:rPr>
          <w:rFonts w:hint="eastAsia" w:ascii="宋体" w:hAnsi="宋体" w:eastAsia="宋体" w:cs="宋体"/>
          <w:color w:val="auto"/>
          <w:kern w:val="0"/>
          <w:szCs w:val="21"/>
          <w:highlight w:val="none"/>
          <w:lang w:eastAsia="zh-CN"/>
        </w:rPr>
        <w:t>东莞市水务环境投资控股集团分布式光伏发电项目（第一批）供水厂项目</w:t>
      </w:r>
      <w:r>
        <w:rPr>
          <w:rFonts w:hint="eastAsia" w:ascii="宋体" w:hAnsi="宋体" w:eastAsia="宋体" w:cs="宋体"/>
          <w:color w:val="auto"/>
          <w:kern w:val="0"/>
          <w:szCs w:val="21"/>
          <w:highlight w:val="none"/>
        </w:rPr>
        <w:t>所需的货物及有关服务的投标，并向招标代理机构提交投标文件的当事人；</w:t>
      </w:r>
    </w:p>
    <w:p w14:paraId="19D30027">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（4）“评标委员会”是依照《中华人民共和国招标投标法》等法规组建的专门负责本次评标工作的临时性机构；</w:t>
      </w:r>
    </w:p>
    <w:p w14:paraId="7A65B53A">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（5）“中标人”指其投标被招标人接受，并与招标人签订合同的当事人；</w:t>
      </w:r>
    </w:p>
    <w:p w14:paraId="37A83709">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（6）“甲方”指在合同条款中指明的购买货物及有关服务的单位，即东莞市水务集团科技发展有限公司；</w:t>
      </w:r>
    </w:p>
    <w:p w14:paraId="092C4568">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（7）“乙方”指在合同条款中指明的本合同项下提供货物及有关服务的公司或实体；</w:t>
      </w:r>
    </w:p>
    <w:p w14:paraId="22F656A1">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（8）“招标文件”指包括招标公告和招标文件及其补充、变更和澄清等一系列文件；</w:t>
      </w:r>
    </w:p>
    <w:p w14:paraId="644602A6">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（9）“投标文件”指投标人根据本招标文件向招标代理机构提交的全部文件；</w:t>
      </w:r>
    </w:p>
    <w:p w14:paraId="7C13C09E">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（10）“书面函件”指手写、打字或印刷的函件，包括电传、电报和传真；</w:t>
      </w:r>
    </w:p>
    <w:p w14:paraId="62AE5004">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（11）“合同”指由本次招标所产生的合同或合约文件；</w:t>
      </w:r>
    </w:p>
    <w:p w14:paraId="7FD81491">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（12）“日期”指公历日，“时间”指北京时间；</w:t>
      </w:r>
    </w:p>
    <w:p w14:paraId="4C0A0814">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（13）本招标文件中的“境内”特指中华人民共和国海关关境以内，“境外”特指中华人民共和国海关关境以外；</w:t>
      </w:r>
    </w:p>
    <w:p w14:paraId="1EAE3B9B">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不含税价，即为《中华人民共和国增值税暂行条例》（国务院令第691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4A491E2B">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369F360F">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78" w:name="_Toc29125_WPSOffice_Level3"/>
      <w:bookmarkStart w:id="179" w:name="_Toc6400"/>
      <w:bookmarkStart w:id="180" w:name="_Toc28652"/>
      <w:bookmarkStart w:id="181" w:name="_Toc142508319"/>
      <w:bookmarkStart w:id="182" w:name="_Toc450662855"/>
      <w:bookmarkStart w:id="183" w:name="_Toc7112"/>
      <w:bookmarkStart w:id="184" w:name="_Toc195714223"/>
      <w:bookmarkStart w:id="185" w:name="_Toc11346"/>
      <w:bookmarkStart w:id="186" w:name="_Toc486167669"/>
      <w:bookmarkStart w:id="187" w:name="_Toc18233"/>
      <w:bookmarkStart w:id="188" w:name="_Toc3727"/>
      <w:r>
        <w:rPr>
          <w:rFonts w:hint="eastAsia" w:ascii="宋体" w:hAnsi="宋体" w:eastAsia="宋体" w:cs="宋体"/>
          <w:color w:val="auto"/>
          <w:szCs w:val="21"/>
          <w:highlight w:val="none"/>
          <w:lang w:val="zh-CN"/>
        </w:rPr>
        <w:t>6 招标文件的异议</w:t>
      </w:r>
      <w:bookmarkEnd w:id="178"/>
      <w:bookmarkEnd w:id="179"/>
      <w:bookmarkEnd w:id="180"/>
      <w:bookmarkEnd w:id="181"/>
      <w:bookmarkEnd w:id="182"/>
      <w:bookmarkEnd w:id="183"/>
      <w:bookmarkEnd w:id="184"/>
      <w:bookmarkEnd w:id="185"/>
      <w:bookmarkEnd w:id="186"/>
      <w:bookmarkEnd w:id="187"/>
      <w:bookmarkEnd w:id="188"/>
    </w:p>
    <w:p w14:paraId="24EFC8ED">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投标人或者其他利害关系人对招标文件有异议的，应当在投标截止时间10日前以书面形式</w:t>
      </w:r>
      <w:r>
        <w:rPr>
          <w:rFonts w:hint="eastAsia" w:ascii="宋体" w:hAnsi="宋体" w:eastAsia="宋体" w:cs="宋体"/>
          <w:color w:val="auto"/>
          <w:szCs w:val="21"/>
          <w:highlight w:val="none"/>
          <w:lang w:val="zh-CN"/>
        </w:rPr>
        <w:t>向招标代理机构提出，并将材料原件送达招标代理机构，逾期则视为对招标文件所有内容无异议。异议书面材料必须加盖投标人法人公章，并注明联系人、联系电话、联系地址。</w:t>
      </w:r>
      <w:r>
        <w:rPr>
          <w:rFonts w:hint="eastAsia" w:ascii="宋体" w:hAnsi="宋体" w:eastAsia="宋体" w:cs="宋体"/>
          <w:bCs/>
          <w:color w:val="auto"/>
          <w:szCs w:val="21"/>
          <w:highlight w:val="none"/>
          <w:lang w:val="zh-CN"/>
        </w:rPr>
        <w:t>超出</w:t>
      </w:r>
      <w:r>
        <w:rPr>
          <w:rFonts w:hint="eastAsia" w:ascii="宋体" w:hAnsi="宋体" w:eastAsia="宋体" w:cs="宋体"/>
          <w:color w:val="auto"/>
          <w:szCs w:val="21"/>
          <w:highlight w:val="none"/>
          <w:lang w:val="zh-CN"/>
        </w:rPr>
        <w:t>提交接收异议截止时间而</w:t>
      </w:r>
      <w:r>
        <w:rPr>
          <w:rFonts w:hint="eastAsia" w:ascii="宋体" w:hAnsi="宋体" w:eastAsia="宋体" w:cs="宋体"/>
          <w:bCs/>
          <w:color w:val="auto"/>
          <w:szCs w:val="21"/>
          <w:highlight w:val="none"/>
          <w:lang w:val="zh-CN"/>
        </w:rPr>
        <w:t>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7036FB22">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6268E27A">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89" w:name="_Toc195714224"/>
      <w:bookmarkStart w:id="190" w:name="_Toc15580"/>
      <w:bookmarkStart w:id="191" w:name="_Toc17145"/>
      <w:bookmarkStart w:id="192" w:name="_Toc13298"/>
      <w:bookmarkStart w:id="193" w:name="_Toc23483_WPSOffice_Level3"/>
      <w:bookmarkStart w:id="194" w:name="_Toc4028"/>
      <w:bookmarkStart w:id="195" w:name="_Toc486167670"/>
      <w:bookmarkStart w:id="196" w:name="_Toc22225"/>
      <w:bookmarkStart w:id="197" w:name="_Toc142508320"/>
      <w:bookmarkStart w:id="198" w:name="_Toc29864"/>
      <w:bookmarkStart w:id="199" w:name="_Toc450662856"/>
      <w:r>
        <w:rPr>
          <w:rFonts w:hint="eastAsia" w:ascii="宋体" w:hAnsi="宋体" w:eastAsia="宋体" w:cs="宋体"/>
          <w:color w:val="auto"/>
          <w:szCs w:val="21"/>
          <w:highlight w:val="none"/>
          <w:lang w:val="zh-CN"/>
        </w:rPr>
        <w:t>7 招标文件的澄清及修改</w:t>
      </w:r>
      <w:bookmarkEnd w:id="189"/>
      <w:bookmarkEnd w:id="190"/>
      <w:bookmarkEnd w:id="191"/>
      <w:bookmarkEnd w:id="192"/>
      <w:bookmarkEnd w:id="193"/>
      <w:bookmarkEnd w:id="194"/>
      <w:bookmarkEnd w:id="195"/>
      <w:bookmarkEnd w:id="196"/>
      <w:bookmarkEnd w:id="197"/>
      <w:bookmarkEnd w:id="198"/>
      <w:bookmarkEnd w:id="199"/>
    </w:p>
    <w:p w14:paraId="3FA4132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0CB44F6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331D853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宋体"/>
          <w:bCs/>
          <w:color w:val="auto"/>
          <w:szCs w:val="21"/>
          <w:highlight w:val="none"/>
        </w:rPr>
        <w:t>全国公共资源交易平台（广东省·东莞市）（https://ygp.gdzwfw.gov.cn/#/441900/index）、</w:t>
      </w:r>
      <w:r>
        <w:rPr>
          <w:rFonts w:hint="eastAsia" w:ascii="宋体" w:hAnsi="宋体" w:eastAsia="宋体" w:cs="宋体"/>
          <w:color w:val="auto"/>
          <w:szCs w:val="21"/>
          <w:highlight w:val="none"/>
          <w:lang w:val="zh-CN"/>
        </w:rPr>
        <w:t>中国招标投标公共服务平台</w:t>
      </w:r>
      <w:r>
        <w:rPr>
          <w:rFonts w:hint="eastAsia" w:ascii="宋体" w:hAnsi="宋体" w:eastAsia="宋体" w:cs="宋体"/>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hint="eastAsia" w:ascii="宋体" w:hAnsi="宋体" w:eastAsia="宋体" w:cs="宋体"/>
          <w:color w:val="auto"/>
          <w:szCs w:val="21"/>
          <w:highlight w:val="none"/>
        </w:rPr>
        <w:t>www.cebpubservice.com）</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东莞市水务环境投资控股集团有限公司网</w:t>
      </w:r>
      <w:r>
        <w:rPr>
          <w:rFonts w:hint="eastAsia" w:ascii="宋体" w:hAnsi="宋体" w:eastAsia="宋体" w:cs="宋体"/>
          <w:color w:val="auto"/>
          <w:szCs w:val="21"/>
          <w:highlight w:val="none"/>
        </w:rPr>
        <w:t>（</w:t>
      </w:r>
      <w:r>
        <w:rPr>
          <w:color w:val="auto"/>
          <w:highlight w:val="none"/>
        </w:rPr>
        <w:fldChar w:fldCharType="begin"/>
      </w:r>
      <w:r>
        <w:rPr>
          <w:color w:val="auto"/>
          <w:highlight w:val="none"/>
        </w:rPr>
        <w:instrText xml:space="preserve"> HYPERLINK "file:///C:\\Users\\tythi\\Desktop\\www.dgswjt.cn）、招标代理公司网站（http:\\%20%20%20%20%20%20%20%20%20%20%20%20%20%20）" </w:instrText>
      </w:r>
      <w:r>
        <w:rPr>
          <w:color w:val="auto"/>
          <w:highlight w:val="none"/>
        </w:rPr>
        <w:fldChar w:fldCharType="separate"/>
      </w:r>
      <w:r>
        <w:rPr>
          <w:rStyle w:val="52"/>
          <w:rFonts w:hint="eastAsia" w:ascii="宋体" w:hAnsi="宋体" w:eastAsia="宋体" w:cs="宋体"/>
          <w:color w:val="auto"/>
          <w:sz w:val="21"/>
          <w:szCs w:val="21"/>
          <w:highlight w:val="none"/>
        </w:rPr>
        <w:t>www.dgswjt.cn）</w:t>
      </w:r>
      <w:r>
        <w:rPr>
          <w:rStyle w:val="52"/>
          <w:rFonts w:hint="eastAsia" w:ascii="宋体" w:hAnsi="宋体" w:eastAsia="宋体" w:cs="宋体"/>
          <w:color w:val="auto"/>
          <w:sz w:val="21"/>
          <w:szCs w:val="21"/>
          <w:highlight w:val="none"/>
          <w:lang w:val="zh-CN"/>
        </w:rPr>
        <w:t>、</w:t>
      </w:r>
      <w:r>
        <w:rPr>
          <w:rStyle w:val="52"/>
          <w:rFonts w:hint="eastAsia" w:ascii="宋体" w:hAnsi="宋体" w:eastAsia="宋体" w:cs="宋体"/>
          <w:bCs/>
          <w:color w:val="auto"/>
          <w:kern w:val="0"/>
          <w:sz w:val="21"/>
          <w:szCs w:val="21"/>
          <w:highlight w:val="none"/>
        </w:rPr>
        <w:t>招标代理机构网站（</w:t>
      </w:r>
      <w:r>
        <w:rPr>
          <w:rStyle w:val="52"/>
          <w:rFonts w:ascii="宋体" w:hAnsi="宋体" w:eastAsia="宋体" w:cs="宋体"/>
          <w:bCs/>
          <w:color w:val="auto"/>
          <w:kern w:val="0"/>
          <w:sz w:val="21"/>
          <w:szCs w:val="21"/>
          <w:highlight w:val="none"/>
        </w:rPr>
        <w:t>www.youde.net</w:t>
      </w:r>
      <w:r>
        <w:rPr>
          <w:rStyle w:val="52"/>
          <w:rFonts w:hint="eastAsia" w:ascii="宋体" w:hAnsi="宋体" w:eastAsia="宋体" w:cs="宋体"/>
          <w:bCs/>
          <w:color w:val="auto"/>
          <w:kern w:val="0"/>
          <w:sz w:val="21"/>
          <w:szCs w:val="21"/>
          <w:highlight w:val="none"/>
        </w:rPr>
        <w:t>）</w:t>
      </w:r>
      <w:r>
        <w:rPr>
          <w:rStyle w:val="52"/>
          <w:rFonts w:hint="eastAsia" w:ascii="宋体" w:hAnsi="宋体" w:eastAsia="宋体" w:cs="宋体"/>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7DF2A1F9">
      <w:pPr>
        <w:autoSpaceDE w:val="0"/>
        <w:autoSpaceDN w:val="0"/>
        <w:adjustRightInd w:val="0"/>
        <w:spacing w:line="360" w:lineRule="auto"/>
        <w:ind w:left="357" w:leftChars="-100" w:hanging="567"/>
        <w:rPr>
          <w:rFonts w:ascii="宋体" w:hAnsi="宋体" w:eastAsia="宋体" w:cs="宋体"/>
          <w:color w:val="auto"/>
          <w:szCs w:val="21"/>
          <w:highlight w:val="none"/>
        </w:rPr>
      </w:pPr>
    </w:p>
    <w:p w14:paraId="080A3F74">
      <w:pPr>
        <w:keepNext/>
        <w:keepLines/>
        <w:tabs>
          <w:tab w:val="left" w:pos="509"/>
        </w:tab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200" w:name="_Toc18752"/>
      <w:bookmarkStart w:id="201" w:name="_Toc28593"/>
      <w:bookmarkStart w:id="202" w:name="_Toc5569"/>
      <w:bookmarkStart w:id="203" w:name="_Toc486167671"/>
      <w:bookmarkStart w:id="204" w:name="_Toc8711"/>
      <w:bookmarkStart w:id="205" w:name="_Toc29659_WPSOffice_Level2"/>
      <w:bookmarkStart w:id="206" w:name="_Toc140596880"/>
      <w:bookmarkStart w:id="207" w:name="_Toc195714225"/>
      <w:bookmarkStart w:id="208" w:name="_Toc2920"/>
      <w:bookmarkStart w:id="209" w:name="_Toc23342"/>
      <w:bookmarkStart w:id="210" w:name="_Toc142508321"/>
      <w:bookmarkStart w:id="211" w:name="_Toc450662857"/>
      <w:r>
        <w:rPr>
          <w:rFonts w:hint="eastAsia" w:ascii="宋体" w:hAnsi="宋体" w:eastAsia="宋体" w:cs="宋体"/>
          <w:b/>
          <w:bCs/>
          <w:color w:val="auto"/>
          <w:kern w:val="44"/>
          <w:szCs w:val="21"/>
          <w:highlight w:val="none"/>
          <w:lang w:val="zh-CN"/>
        </w:rPr>
        <w:t>三、投标文件的编制</w:t>
      </w:r>
      <w:bookmarkEnd w:id="200"/>
      <w:bookmarkEnd w:id="201"/>
      <w:bookmarkEnd w:id="202"/>
      <w:bookmarkEnd w:id="203"/>
      <w:bookmarkEnd w:id="204"/>
      <w:bookmarkEnd w:id="205"/>
      <w:bookmarkEnd w:id="206"/>
      <w:bookmarkEnd w:id="207"/>
      <w:bookmarkEnd w:id="208"/>
      <w:bookmarkEnd w:id="209"/>
      <w:bookmarkEnd w:id="210"/>
      <w:bookmarkEnd w:id="211"/>
    </w:p>
    <w:p w14:paraId="05AA6727">
      <w:pPr>
        <w:tabs>
          <w:tab w:val="left" w:pos="67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12" w:name="_Toc142508322"/>
      <w:bookmarkStart w:id="213" w:name="_Toc450662858"/>
      <w:bookmarkStart w:id="214" w:name="_Toc10850"/>
      <w:bookmarkStart w:id="215" w:name="_Toc22201"/>
      <w:bookmarkStart w:id="216" w:name="_Toc486167672"/>
      <w:bookmarkStart w:id="217" w:name="_Toc10015_WPSOffice_Level3"/>
      <w:bookmarkStart w:id="218" w:name="_Toc6244"/>
      <w:bookmarkStart w:id="219" w:name="_Toc195714226"/>
      <w:bookmarkStart w:id="220" w:name="_Toc31162"/>
      <w:bookmarkStart w:id="221" w:name="_Toc19175"/>
      <w:bookmarkStart w:id="222" w:name="_Toc18883"/>
      <w:r>
        <w:rPr>
          <w:rFonts w:hint="eastAsia" w:ascii="宋体" w:hAnsi="宋体" w:eastAsia="宋体" w:cs="宋体"/>
          <w:color w:val="auto"/>
          <w:szCs w:val="21"/>
          <w:highlight w:val="none"/>
          <w:lang w:val="zh-CN"/>
        </w:rPr>
        <w:t>8 投标使用的文字及度量衡单位</w:t>
      </w:r>
      <w:bookmarkEnd w:id="212"/>
      <w:bookmarkEnd w:id="213"/>
      <w:bookmarkEnd w:id="214"/>
      <w:bookmarkEnd w:id="215"/>
      <w:bookmarkEnd w:id="216"/>
      <w:bookmarkEnd w:id="217"/>
      <w:bookmarkEnd w:id="218"/>
      <w:bookmarkEnd w:id="219"/>
      <w:bookmarkEnd w:id="220"/>
      <w:bookmarkEnd w:id="221"/>
      <w:bookmarkEnd w:id="222"/>
    </w:p>
    <w:p w14:paraId="3558699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047F10E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1DE4250A">
      <w:pPr>
        <w:autoSpaceDE w:val="0"/>
        <w:autoSpaceDN w:val="0"/>
        <w:adjustRightInd w:val="0"/>
        <w:spacing w:line="360" w:lineRule="auto"/>
        <w:rPr>
          <w:rFonts w:ascii="宋体" w:hAnsi="宋体" w:eastAsia="宋体" w:cs="宋体"/>
          <w:color w:val="auto"/>
          <w:szCs w:val="21"/>
          <w:highlight w:val="none"/>
          <w:lang w:val="zh-CN"/>
        </w:rPr>
      </w:pPr>
    </w:p>
    <w:p w14:paraId="6CA1A78F">
      <w:pPr>
        <w:tabs>
          <w:tab w:val="left" w:pos="540"/>
        </w:tabs>
        <w:autoSpaceDE w:val="0"/>
        <w:autoSpaceDN w:val="0"/>
        <w:adjustRightInd w:val="0"/>
        <w:spacing w:line="360" w:lineRule="auto"/>
        <w:ind w:left="357" w:leftChars="-100" w:hanging="567"/>
        <w:jc w:val="left"/>
        <w:outlineLvl w:val="0"/>
        <w:rPr>
          <w:rFonts w:ascii="宋体" w:hAnsi="宋体" w:eastAsia="宋体" w:cs="宋体"/>
          <w:color w:val="auto"/>
          <w:sz w:val="24"/>
          <w:szCs w:val="24"/>
          <w:highlight w:val="none"/>
          <w:lang w:val="zh-CN"/>
        </w:rPr>
      </w:pPr>
      <w:bookmarkStart w:id="223" w:name="_Toc29313"/>
      <w:bookmarkStart w:id="224" w:name="_Toc14943"/>
      <w:bookmarkStart w:id="225" w:name="_Toc24916_WPSOffice_Level3"/>
      <w:bookmarkStart w:id="226" w:name="_Toc486167673"/>
      <w:bookmarkStart w:id="227" w:name="_Toc9647"/>
      <w:bookmarkStart w:id="228" w:name="_Toc13447"/>
      <w:bookmarkStart w:id="229" w:name="_Toc450662859"/>
      <w:bookmarkStart w:id="230" w:name="_Toc195714227"/>
      <w:bookmarkStart w:id="231" w:name="_Toc142508323"/>
      <w:bookmarkStart w:id="232" w:name="_Toc4443"/>
      <w:bookmarkStart w:id="233" w:name="_Toc7348"/>
      <w:r>
        <w:rPr>
          <w:rFonts w:hint="eastAsia" w:ascii="宋体" w:hAnsi="宋体" w:eastAsia="宋体" w:cs="宋体"/>
          <w:color w:val="auto"/>
          <w:szCs w:val="21"/>
          <w:highlight w:val="none"/>
          <w:lang w:val="zh-CN"/>
        </w:rPr>
        <w:t>9</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223"/>
      <w:bookmarkEnd w:id="224"/>
      <w:bookmarkEnd w:id="225"/>
      <w:bookmarkEnd w:id="226"/>
      <w:bookmarkEnd w:id="227"/>
      <w:bookmarkEnd w:id="228"/>
      <w:bookmarkEnd w:id="229"/>
      <w:bookmarkEnd w:id="230"/>
      <w:bookmarkEnd w:id="231"/>
      <w:bookmarkEnd w:id="232"/>
      <w:bookmarkEnd w:id="233"/>
    </w:p>
    <w:p w14:paraId="207219EF">
      <w:pPr>
        <w:autoSpaceDE w:val="0"/>
        <w:autoSpaceDN w:val="0"/>
        <w:adjustRightInd w:val="0"/>
        <w:spacing w:line="360" w:lineRule="auto"/>
        <w:ind w:left="422" w:leftChars="-100"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宋体"/>
          <w:b/>
          <w:color w:val="auto"/>
          <w:kern w:val="0"/>
          <w:szCs w:val="21"/>
          <w:highlight w:val="none"/>
          <w:u w:val="single"/>
        </w:rPr>
        <w:t>商务标、技术标、报价信封三部分组成。</w:t>
      </w:r>
    </w:p>
    <w:p w14:paraId="31F209A0">
      <w:pPr>
        <w:autoSpaceDE w:val="0"/>
        <w:autoSpaceDN w:val="0"/>
        <w:adjustRightInd w:val="0"/>
        <w:spacing w:line="360" w:lineRule="auto"/>
        <w:ind w:left="422" w:leftChars="-100" w:hanging="632" w:hangingChars="300"/>
        <w:outlineLvl w:val="1"/>
        <w:rPr>
          <w:rFonts w:ascii="宋体" w:hAnsi="宋体" w:eastAsia="宋体" w:cs="宋体"/>
          <w:b/>
          <w:color w:val="auto"/>
          <w:kern w:val="0"/>
          <w:szCs w:val="21"/>
          <w:highlight w:val="none"/>
        </w:rPr>
      </w:pPr>
      <w:bookmarkStart w:id="234" w:name="_Toc23592"/>
      <w:bookmarkStart w:id="235" w:name="_Toc8802"/>
      <w:bookmarkStart w:id="236" w:name="_Toc9290"/>
      <w:r>
        <w:rPr>
          <w:rFonts w:hint="eastAsia" w:ascii="宋体" w:hAnsi="宋体" w:eastAsia="宋体" w:cs="宋体"/>
          <w:b/>
          <w:color w:val="auto"/>
          <w:kern w:val="0"/>
          <w:szCs w:val="24"/>
          <w:highlight w:val="none"/>
        </w:rPr>
        <w:t>9.1.1 商务标：</w:t>
      </w:r>
      <w:bookmarkEnd w:id="234"/>
      <w:bookmarkEnd w:id="235"/>
      <w:bookmarkEnd w:id="236"/>
    </w:p>
    <w:p w14:paraId="2AA66108">
      <w:pPr>
        <w:autoSpaceDE w:val="0"/>
        <w:autoSpaceDN w:val="0"/>
        <w:adjustRightInd w:val="0"/>
        <w:spacing w:line="360" w:lineRule="auto"/>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b/>
          <w:color w:val="auto"/>
          <w:kern w:val="0"/>
          <w:szCs w:val="21"/>
          <w:highlight w:val="none"/>
          <w:lang w:val="zh-CN"/>
        </w:rPr>
        <w:t>目录：</w:t>
      </w:r>
    </w:p>
    <w:p w14:paraId="22119A6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1672C97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4173DFB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（3）供货及/或提供服务过程承诺函；</w:t>
      </w:r>
    </w:p>
    <w:p w14:paraId="5841C67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）投标人资格证明文件：</w:t>
      </w:r>
    </w:p>
    <w:p w14:paraId="46F1066E">
      <w:pPr>
        <w:autoSpaceDE w:val="0"/>
        <w:autoSpaceDN w:val="0"/>
        <w:adjustRightInd w:val="0"/>
        <w:spacing w:line="360" w:lineRule="auto"/>
        <w:ind w:left="283" w:hanging="283" w:hangingChars="135"/>
        <w:outlineLvl w:val="2"/>
        <w:rPr>
          <w:rFonts w:ascii="宋体" w:hAnsi="宋体" w:eastAsia="宋体" w:cs="宋体"/>
          <w:color w:val="auto"/>
          <w:szCs w:val="21"/>
          <w:highlight w:val="none"/>
          <w:lang w:val="zh-CN"/>
        </w:rPr>
      </w:pPr>
      <w:bookmarkStart w:id="237" w:name="_Toc20984"/>
      <w:bookmarkStart w:id="238" w:name="_Toc28143"/>
      <w:bookmarkStart w:id="239" w:name="_Toc17559"/>
      <w:r>
        <w:rPr>
          <w:rFonts w:hint="eastAsia" w:ascii="宋体" w:hAnsi="宋体" w:eastAsia="宋体" w:cs="宋体"/>
          <w:color w:val="auto"/>
          <w:szCs w:val="21"/>
          <w:highlight w:val="none"/>
          <w:lang w:val="zh-CN"/>
        </w:rPr>
        <w:t>1）多证合一营业执照</w:t>
      </w:r>
      <w:r>
        <w:rPr>
          <w:rFonts w:hint="eastAsia" w:ascii="宋体" w:hAnsi="宋体" w:eastAsia="宋体" w:cs="宋体"/>
          <w:color w:val="auto"/>
          <w:kern w:val="0"/>
          <w:szCs w:val="21"/>
          <w:highlight w:val="none"/>
        </w:rPr>
        <w:t>（或事业单位法人证书）</w:t>
      </w:r>
      <w:r>
        <w:rPr>
          <w:rFonts w:hint="eastAsia" w:ascii="宋体" w:hAnsi="宋体" w:eastAsia="宋体" w:cs="宋体"/>
          <w:color w:val="auto"/>
          <w:szCs w:val="21"/>
          <w:highlight w:val="none"/>
          <w:lang w:val="zh-CN"/>
        </w:rPr>
        <w:t>原件扫描件；</w:t>
      </w:r>
      <w:bookmarkEnd w:id="237"/>
      <w:bookmarkEnd w:id="238"/>
      <w:bookmarkEnd w:id="239"/>
    </w:p>
    <w:p w14:paraId="230E14CC">
      <w:pPr>
        <w:autoSpaceDE w:val="0"/>
        <w:autoSpaceDN w:val="0"/>
        <w:adjustRightInd w:val="0"/>
        <w:spacing w:line="360" w:lineRule="auto"/>
        <w:ind w:left="283" w:hanging="283" w:hangingChars="135"/>
        <w:rPr>
          <w:rFonts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p>
    <w:p w14:paraId="73163BE1">
      <w:pPr>
        <w:autoSpaceDE w:val="0"/>
        <w:autoSpaceDN w:val="0"/>
        <w:adjustRightInd w:val="0"/>
        <w:spacing w:line="360" w:lineRule="auto"/>
        <w:ind w:left="283" w:hanging="283" w:hangingChars="135"/>
        <w:rPr>
          <w:rFonts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）法定代表人身份证明书和法定代表人授权书（法定代表人投标时只提供法定代表人身份证明书，委托</w:t>
      </w:r>
      <w:r>
        <w:rPr>
          <w:rFonts w:hint="eastAsia" w:ascii="宋体" w:hAnsi="宋体" w:eastAsia="宋体" w:cs="宋体"/>
          <w:color w:val="auto"/>
          <w:szCs w:val="21"/>
          <w:highlight w:val="none"/>
        </w:rPr>
        <w:t>他人</w:t>
      </w:r>
      <w:r>
        <w:rPr>
          <w:rFonts w:hint="eastAsia" w:ascii="宋体" w:hAnsi="宋体" w:eastAsia="宋体" w:cs="宋体"/>
          <w:color w:val="auto"/>
          <w:szCs w:val="21"/>
          <w:highlight w:val="none"/>
          <w:lang w:val="zh-CN"/>
        </w:rPr>
        <w:t>为投标代表时同时提供法定代表人授权书）；</w:t>
      </w:r>
    </w:p>
    <w:p w14:paraId="62F30778">
      <w:pPr>
        <w:spacing w:line="360" w:lineRule="auto"/>
        <w:ind w:left="218" w:hanging="218" w:hangingChars="104"/>
        <w:rPr>
          <w:rFonts w:ascii="宋体" w:hAnsi="宋体" w:eastAsia="宋体" w:cs="宋体"/>
          <w:color w:val="auto"/>
          <w:szCs w:val="21"/>
          <w:highlight w:val="none"/>
          <w:lang w:val="zh-CN"/>
        </w:rPr>
      </w:pPr>
      <w:bookmarkStart w:id="240" w:name="OLE_LINK400"/>
      <w:r>
        <w:rPr>
          <w:rFonts w:hint="eastAsia" w:ascii="宋体" w:hAnsi="宋体" w:eastAsia="宋体" w:cs="宋体"/>
          <w:color w:val="auto"/>
          <w:szCs w:val="21"/>
          <w:highlight w:val="none"/>
        </w:rPr>
        <w:t>4）</w:t>
      </w:r>
      <w:bookmarkStart w:id="241" w:name="OLE_LINK401"/>
      <w:r>
        <w:rPr>
          <w:rFonts w:hint="eastAsia" w:ascii="宋体" w:hAnsi="宋体" w:eastAsia="宋体" w:cs="宋体"/>
          <w:color w:val="auto"/>
          <w:szCs w:val="21"/>
          <w:highlight w:val="none"/>
        </w:rPr>
        <w:t>本项目的特定</w:t>
      </w:r>
      <w:bookmarkStart w:id="242" w:name="OLE_LINK159"/>
      <w:r>
        <w:rPr>
          <w:rFonts w:hint="eastAsia" w:ascii="宋体" w:hAnsi="宋体" w:eastAsia="宋体" w:cs="宋体"/>
          <w:color w:val="auto"/>
          <w:szCs w:val="21"/>
          <w:highlight w:val="none"/>
        </w:rPr>
        <w:t>资格要</w:t>
      </w:r>
      <w:bookmarkEnd w:id="242"/>
      <w:r>
        <w:rPr>
          <w:rFonts w:hint="eastAsia" w:ascii="宋体" w:hAnsi="宋体" w:eastAsia="宋体" w:cs="宋体"/>
          <w:color w:val="auto"/>
          <w:szCs w:val="21"/>
          <w:highlight w:val="none"/>
        </w:rPr>
        <w:t>求</w:t>
      </w:r>
      <w:bookmarkEnd w:id="241"/>
      <w:r>
        <w:rPr>
          <w:rFonts w:hint="eastAsia" w:ascii="宋体" w:hAnsi="宋体" w:eastAsia="宋体" w:cs="宋体"/>
          <w:color w:val="auto"/>
          <w:szCs w:val="21"/>
          <w:highlight w:val="none"/>
        </w:rPr>
        <w:t>：</w:t>
      </w:r>
      <w:bookmarkStart w:id="243" w:name="OLE_LINK403"/>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供货安装</w:t>
      </w:r>
      <w:r>
        <w:rPr>
          <w:rFonts w:hint="eastAsia" w:ascii="宋体" w:hAnsi="宋体" w:eastAsia="宋体" w:cs="宋体"/>
          <w:color w:val="auto"/>
          <w:szCs w:val="21"/>
          <w:highlight w:val="none"/>
          <w:lang w:val="zh-CN"/>
        </w:rPr>
        <w:t>资质：①具有以下其中一种资质：a）电力工程施工总承包</w:t>
      </w:r>
      <w:r>
        <w:rPr>
          <w:rFonts w:hint="eastAsia" w:ascii="宋体" w:hAnsi="宋体" w:eastAsia="宋体" w:cs="宋体"/>
          <w:color w:val="auto"/>
          <w:szCs w:val="21"/>
          <w:highlight w:val="none"/>
        </w:rPr>
        <w:t>乙级</w:t>
      </w:r>
      <w:r>
        <w:rPr>
          <w:rFonts w:hint="eastAsia" w:ascii="宋体" w:hAnsi="宋体" w:eastAsia="宋体" w:cs="宋体"/>
          <w:color w:val="auto"/>
          <w:szCs w:val="21"/>
          <w:highlight w:val="none"/>
          <w:lang w:val="zh-CN"/>
        </w:rPr>
        <w:t>（或以上）企业资质；</w:t>
      </w:r>
      <w:r>
        <w:rPr>
          <w:rFonts w:hint="eastAsia" w:ascii="宋体" w:hAnsi="宋体" w:eastAsia="宋体" w:cs="宋体"/>
          <w:color w:val="auto"/>
          <w:szCs w:val="21"/>
          <w:highlight w:val="none"/>
        </w:rPr>
        <w:t>b</w:t>
      </w:r>
      <w:r>
        <w:rPr>
          <w:rFonts w:hint="eastAsia" w:ascii="宋体" w:hAnsi="宋体" w:eastAsia="宋体" w:cs="宋体"/>
          <w:color w:val="auto"/>
          <w:szCs w:val="21"/>
          <w:highlight w:val="none"/>
          <w:lang w:val="zh-CN"/>
        </w:rPr>
        <w:t>）输变电工程专业承包</w:t>
      </w:r>
      <w:r>
        <w:rPr>
          <w:rFonts w:hint="eastAsia" w:ascii="宋体" w:hAnsi="宋体" w:eastAsia="宋体" w:cs="宋体"/>
          <w:color w:val="auto"/>
          <w:szCs w:val="21"/>
          <w:highlight w:val="none"/>
        </w:rPr>
        <w:t>乙级</w:t>
      </w:r>
      <w:r>
        <w:rPr>
          <w:rFonts w:hint="eastAsia" w:ascii="宋体" w:hAnsi="宋体" w:eastAsia="宋体" w:cs="宋体"/>
          <w:color w:val="auto"/>
          <w:szCs w:val="21"/>
          <w:highlight w:val="none"/>
          <w:lang w:val="zh-CN"/>
        </w:rPr>
        <w:t>（或以上）企业资质【</w:t>
      </w:r>
      <w:r>
        <w:rPr>
          <w:rFonts w:hint="eastAsia" w:ascii="宋体" w:hAnsi="宋体" w:eastAsia="宋体" w:cs="宋体"/>
          <w:color w:val="auto"/>
          <w:szCs w:val="21"/>
          <w:highlight w:val="none"/>
        </w:rPr>
        <w:t>或更换资质证书前有效期内：</w:t>
      </w:r>
      <w:r>
        <w:rPr>
          <w:rFonts w:hint="eastAsia" w:ascii="宋体" w:hAnsi="宋体" w:eastAsia="宋体" w:cs="宋体"/>
          <w:color w:val="auto"/>
          <w:szCs w:val="21"/>
          <w:highlight w:val="none"/>
          <w:lang w:val="zh-CN"/>
        </w:rPr>
        <w:t>电力工程施工总承包三级（或以上）企业资质；</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val="zh-CN"/>
        </w:rPr>
        <w:t>输变电工程专业承包三级（或以上）企业资质】；②具有《承装（修、试）电力设施许可证》承装类五级或以上资质</w:t>
      </w:r>
      <w:r>
        <w:rPr>
          <w:rFonts w:hint="eastAsia" w:ascii="宋体" w:hAnsi="宋体" w:eastAsia="宋体" w:cs="宋体"/>
          <w:bCs/>
          <w:color w:val="auto"/>
          <w:szCs w:val="21"/>
          <w:highlight w:val="none"/>
          <w:lang w:val="zh-CN"/>
        </w:rPr>
        <w:t>【或具</w:t>
      </w:r>
      <w:r>
        <w:rPr>
          <w:rFonts w:hint="eastAsia" w:ascii="宋体" w:hAnsi="宋体" w:eastAsia="宋体" w:cs="宋体"/>
          <w:bCs/>
          <w:color w:val="auto"/>
          <w:szCs w:val="21"/>
          <w:highlight w:val="none"/>
        </w:rPr>
        <w:t>有</w:t>
      </w:r>
      <w:r>
        <w:rPr>
          <w:rFonts w:hint="eastAsia" w:ascii="宋体" w:hAnsi="宋体" w:eastAsia="宋体" w:cs="宋体"/>
          <w:bCs/>
          <w:color w:val="auto"/>
          <w:szCs w:val="24"/>
          <w:highlight w:val="none"/>
        </w:rPr>
        <w:t>2025年7月1日</w:t>
      </w:r>
      <w:r>
        <w:rPr>
          <w:rFonts w:hint="eastAsia" w:ascii="宋体" w:hAnsi="宋体" w:eastAsia="宋体" w:cs="宋体"/>
          <w:bCs/>
          <w:color w:val="auto"/>
          <w:szCs w:val="21"/>
          <w:highlight w:val="none"/>
        </w:rPr>
        <w:t>以来</w:t>
      </w:r>
      <w:r>
        <w:rPr>
          <w:rFonts w:hint="eastAsia" w:ascii="宋体" w:hAnsi="宋体" w:eastAsia="宋体" w:cs="宋体"/>
          <w:bCs/>
          <w:color w:val="auto"/>
          <w:szCs w:val="21"/>
          <w:highlight w:val="none"/>
          <w:lang w:val="zh-CN"/>
        </w:rPr>
        <w:t>颁发</w:t>
      </w:r>
      <w:r>
        <w:rPr>
          <w:rFonts w:hint="eastAsia" w:ascii="宋体" w:hAnsi="宋体" w:eastAsia="宋体" w:cs="宋体"/>
          <w:bCs/>
          <w:color w:val="auto"/>
          <w:szCs w:val="21"/>
          <w:highlight w:val="none"/>
        </w:rPr>
        <w:t>或换领</w:t>
      </w:r>
      <w:r>
        <w:rPr>
          <w:rFonts w:hint="eastAsia" w:ascii="宋体" w:hAnsi="宋体" w:eastAsia="宋体" w:cs="宋体"/>
          <w:bCs/>
          <w:color w:val="auto"/>
          <w:szCs w:val="21"/>
          <w:highlight w:val="none"/>
          <w:lang w:val="zh-CN"/>
        </w:rPr>
        <w:t>的《承装（修、试）电力设施许可证》承装类三级或以上电子证照】；</w:t>
      </w:r>
      <w:r>
        <w:rPr>
          <w:rFonts w:hint="eastAsia" w:ascii="宋体" w:hAnsi="宋体" w:eastAsia="宋体" w:cs="宋体"/>
          <w:color w:val="auto"/>
          <w:szCs w:val="21"/>
          <w:highlight w:val="none"/>
          <w:lang w:val="zh-CN"/>
        </w:rPr>
        <w:t>③具有在效期内的《安全生产许可证》。（</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）设计资质：具有有效期内</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zh-CN"/>
        </w:rPr>
        <w:t>工程设计综合资质，或工程设计电力行业乙级（或以上）资质，或工程设计电力行业（送</w:t>
      </w:r>
      <w:r>
        <w:rPr>
          <w:rFonts w:hint="eastAsia" w:ascii="宋体" w:hAnsi="宋体" w:eastAsia="宋体" w:cs="宋体"/>
          <w:color w:val="auto"/>
          <w:szCs w:val="21"/>
          <w:highlight w:val="none"/>
        </w:rPr>
        <w:t>变</w:t>
      </w:r>
      <w:r>
        <w:rPr>
          <w:rFonts w:hint="eastAsia" w:ascii="宋体" w:hAnsi="宋体" w:eastAsia="宋体" w:cs="宋体"/>
          <w:color w:val="auto"/>
          <w:szCs w:val="21"/>
          <w:highlight w:val="none"/>
          <w:lang w:val="zh-CN"/>
        </w:rPr>
        <w:t>电工程）专业乙级（或以上）资质，或工程设计电力行业（新能源发电</w:t>
      </w:r>
      <w:r>
        <w:rPr>
          <w:rFonts w:hint="eastAsia" w:ascii="宋体" w:hAnsi="宋体" w:eastAsia="宋体" w:cs="宋体"/>
          <w:color w:val="auto"/>
          <w:szCs w:val="21"/>
          <w:highlight w:val="none"/>
        </w:rPr>
        <w:t>工程</w:t>
      </w:r>
      <w:r>
        <w:rPr>
          <w:rFonts w:hint="eastAsia" w:ascii="宋体" w:hAnsi="宋体" w:eastAsia="宋体" w:cs="宋体"/>
          <w:color w:val="auto"/>
          <w:szCs w:val="21"/>
          <w:highlight w:val="none"/>
          <w:lang w:val="zh-CN"/>
        </w:rPr>
        <w:t>）专业乙级（或以上）资质【</w:t>
      </w:r>
      <w:r>
        <w:rPr>
          <w:rFonts w:hint="eastAsia" w:ascii="宋体" w:hAnsi="宋体" w:eastAsia="宋体" w:cs="宋体"/>
          <w:color w:val="auto"/>
          <w:szCs w:val="21"/>
          <w:highlight w:val="none"/>
        </w:rPr>
        <w:t>或更换资质证书前有效期内</w:t>
      </w:r>
      <w:r>
        <w:rPr>
          <w:rFonts w:hint="eastAsia" w:ascii="宋体" w:hAnsi="宋体" w:eastAsia="宋体" w:cs="宋体"/>
          <w:color w:val="auto"/>
          <w:szCs w:val="21"/>
          <w:highlight w:val="none"/>
          <w:lang w:val="zh-CN"/>
        </w:rPr>
        <w:t>：工程设计综合</w:t>
      </w:r>
      <w:r>
        <w:rPr>
          <w:rFonts w:hint="eastAsia" w:ascii="宋体" w:hAnsi="宋体" w:eastAsia="宋体" w:cs="宋体"/>
          <w:color w:val="auto"/>
          <w:szCs w:val="21"/>
          <w:highlight w:val="none"/>
        </w:rPr>
        <w:t>甲级</w:t>
      </w:r>
      <w:r>
        <w:rPr>
          <w:rFonts w:hint="eastAsia" w:ascii="宋体" w:hAnsi="宋体" w:eastAsia="宋体" w:cs="宋体"/>
          <w:color w:val="auto"/>
          <w:szCs w:val="21"/>
          <w:highlight w:val="none"/>
          <w:lang w:val="zh-CN"/>
        </w:rPr>
        <w:t>资质，或工程设计电力行业乙级（或以上）资质，或工程设计电力行业（送电工程或变电工程）专业丙级（或以上）资质，或工程设计电力行业（新能源发电）专业乙级资质】；</w:t>
      </w:r>
      <w:r>
        <w:rPr>
          <w:rFonts w:hint="eastAsia" w:ascii="宋体" w:hAnsi="宋体" w:eastAsia="宋体" w:cs="宋体"/>
          <w:color w:val="auto"/>
          <w:szCs w:val="21"/>
          <w:highlight w:val="none"/>
        </w:rPr>
        <w:t>【投标人提供以上资质证书扫描件】</w:t>
      </w:r>
      <w:bookmarkEnd w:id="240"/>
      <w:bookmarkEnd w:id="243"/>
    </w:p>
    <w:p w14:paraId="3D843680">
      <w:pPr>
        <w:tabs>
          <w:tab w:val="left" w:pos="1276"/>
        </w:tabs>
        <w:spacing w:line="360" w:lineRule="auto"/>
        <w:ind w:left="283" w:hanging="283" w:hangingChars="135"/>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项目负责人要求（若为联合体投标的，以联合体牵头单位提供的人员为准，联合体成员单位提供的人员不予认可）：投标人为本项目投入的项目负责人应具备二级或以上等级的注册建造师，建造师注册证书中列明的专业类别为电力工程（或机电工程），且具备建设行政主管部门颁发的安全生产考核合格证（须为项目负责人安全生产考核合格证，即“建安B”类证）；【提供有效的相关证书扫描件，并提供由人力资源和社会保障部门（或税务部门）出具的投标人2025年2月至2025年7月为其缴纳的社会保险凭证扫描件】</w:t>
      </w:r>
    </w:p>
    <w:p w14:paraId="36E3AB11">
      <w:pPr>
        <w:tabs>
          <w:tab w:val="left" w:pos="1276"/>
        </w:tabs>
        <w:spacing w:line="360" w:lineRule="auto"/>
        <w:ind w:left="283" w:hanging="283" w:hangingChars="135"/>
        <w:rPr>
          <w:rFonts w:ascii="宋体" w:hAnsi="宋体" w:eastAsia="宋体" w:cs="宋体"/>
          <w:color w:val="auto"/>
          <w:szCs w:val="21"/>
          <w:highlight w:val="none"/>
        </w:rPr>
      </w:pPr>
      <w:r>
        <w:rPr>
          <w:rFonts w:hint="eastAsia" w:ascii="宋体" w:hAnsi="宋体" w:eastAsia="宋体" w:cs="宋体"/>
          <w:b w:val="0"/>
          <w:bCs w:val="0"/>
          <w:color w:val="auto"/>
          <w:szCs w:val="21"/>
          <w:highlight w:val="none"/>
          <w:lang w:val="en-US" w:eastAsia="zh-CN"/>
        </w:rPr>
        <w:t>6）</w:t>
      </w:r>
      <w:r>
        <w:rPr>
          <w:rFonts w:hint="eastAsia" w:ascii="宋体" w:hAnsi="宋体" w:eastAsia="宋体" w:cs="宋体"/>
          <w:b/>
          <w:bCs/>
          <w:color w:val="auto"/>
          <w:szCs w:val="21"/>
          <w:highlight w:val="none"/>
        </w:rPr>
        <w:t>资格业绩</w:t>
      </w:r>
      <w:r>
        <w:rPr>
          <w:rFonts w:hint="eastAsia" w:ascii="宋体" w:hAnsi="宋体" w:eastAsia="宋体" w:cs="宋体"/>
          <w:color w:val="auto"/>
          <w:szCs w:val="21"/>
          <w:highlight w:val="none"/>
        </w:rPr>
        <w:t>【投标人提供一份2022年1月1日以来分布式光伏发电的业绩（合同签订日期为2022年1月1日或以后），资格业绩证明材料提交要求详见招标文件第六篇投标文件格式4.</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p>
    <w:p w14:paraId="6D40125C">
      <w:pPr>
        <w:autoSpaceDE w:val="0"/>
        <w:autoSpaceDN w:val="0"/>
        <w:adjustRightInd w:val="0"/>
        <w:spacing w:line="360" w:lineRule="auto"/>
        <w:ind w:left="913" w:hanging="913" w:hangingChars="435"/>
        <w:outlineLvl w:val="2"/>
        <w:rPr>
          <w:rFonts w:ascii="宋体" w:hAnsi="宋体" w:eastAsia="宋体" w:cs="宋体"/>
          <w:color w:val="auto"/>
          <w:szCs w:val="21"/>
          <w:highlight w:val="none"/>
          <w:lang w:val="zh-CN"/>
        </w:rPr>
      </w:pPr>
      <w:bookmarkStart w:id="244" w:name="_Toc15361"/>
      <w:bookmarkStart w:id="245" w:name="_Toc27355"/>
      <w:bookmarkStart w:id="246" w:name="_Toc21927"/>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bookmarkEnd w:id="244"/>
      <w:bookmarkEnd w:id="245"/>
      <w:bookmarkEnd w:id="246"/>
    </w:p>
    <w:p w14:paraId="5F1B30C2">
      <w:pPr>
        <w:autoSpaceDE w:val="0"/>
        <w:autoSpaceDN w:val="0"/>
        <w:adjustRightInd w:val="0"/>
        <w:spacing w:line="360" w:lineRule="auto"/>
        <w:ind w:left="913" w:hanging="913" w:hangingChars="435"/>
        <w:rPr>
          <w:rFonts w:ascii="宋体" w:hAnsi="宋体" w:eastAsia="宋体" w:cs="宋体"/>
          <w:color w:val="auto"/>
          <w:szCs w:val="21"/>
          <w:highlight w:val="none"/>
          <w:lang w:val="zh-CN"/>
        </w:rPr>
      </w:pPr>
      <w:bookmarkStart w:id="247" w:name="OLE_LINK67"/>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）联合体共同投标协议书（</w:t>
      </w:r>
      <w:bookmarkStart w:id="248" w:name="OLE_LINK231"/>
      <w:r>
        <w:rPr>
          <w:rFonts w:hint="eastAsia" w:ascii="宋体" w:hAnsi="宋体" w:eastAsia="宋体" w:cs="宋体"/>
          <w:color w:val="auto"/>
          <w:szCs w:val="21"/>
          <w:highlight w:val="none"/>
        </w:rPr>
        <w:t>当联合体投标时提供</w:t>
      </w:r>
      <w:bookmarkEnd w:id="248"/>
      <w:r>
        <w:rPr>
          <w:rFonts w:hint="eastAsia" w:ascii="宋体" w:hAnsi="宋体" w:eastAsia="宋体" w:cs="宋体"/>
          <w:color w:val="auto"/>
          <w:szCs w:val="21"/>
          <w:highlight w:val="none"/>
        </w:rPr>
        <w:t>）；</w:t>
      </w:r>
      <w:bookmarkEnd w:id="247"/>
    </w:p>
    <w:p w14:paraId="4B32F98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）投标人基本情况一览表；</w:t>
      </w:r>
    </w:p>
    <w:p w14:paraId="3712309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）投标人财务状况表；</w:t>
      </w:r>
    </w:p>
    <w:p w14:paraId="62DCB6F5">
      <w:pPr>
        <w:tabs>
          <w:tab w:val="left" w:pos="567"/>
        </w:tabs>
        <w:autoSpaceDE w:val="0"/>
        <w:autoSpaceDN w:val="0"/>
        <w:adjustRightInd w:val="0"/>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（7）标准化体系认证；</w:t>
      </w:r>
    </w:p>
    <w:p w14:paraId="2907562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（8）合同条款响应程度（合同条款偏离表）；</w:t>
      </w:r>
    </w:p>
    <w:p w14:paraId="5B0761C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）业绩表；</w:t>
      </w:r>
    </w:p>
    <w:p w14:paraId="1254B843">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zh-CN"/>
        </w:rPr>
        <w:t>）中标服务费承诺书；</w:t>
      </w:r>
    </w:p>
    <w:p w14:paraId="2F71DFA2">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扫描件等投标人认为有需要证明其具备为本次招标项目提供货物及有关服务能力的有关其它商务文件（不做强制要求）。</w:t>
      </w:r>
    </w:p>
    <w:p w14:paraId="0EC92976">
      <w:pPr>
        <w:autoSpaceDE w:val="0"/>
        <w:autoSpaceDN w:val="0"/>
        <w:adjustRightInd w:val="0"/>
        <w:spacing w:line="360" w:lineRule="auto"/>
        <w:ind w:left="422" w:leftChars="-100" w:hanging="632" w:hangingChars="300"/>
        <w:outlineLvl w:val="1"/>
        <w:rPr>
          <w:rFonts w:ascii="宋体" w:hAnsi="宋体" w:eastAsia="宋体" w:cs="宋体"/>
          <w:b/>
          <w:color w:val="auto"/>
          <w:kern w:val="0"/>
          <w:szCs w:val="24"/>
          <w:highlight w:val="none"/>
        </w:rPr>
      </w:pPr>
      <w:bookmarkStart w:id="249" w:name="_Toc21437"/>
      <w:bookmarkStart w:id="250" w:name="_Toc7987"/>
      <w:bookmarkStart w:id="251" w:name="_Toc31177"/>
      <w:r>
        <w:rPr>
          <w:rFonts w:hint="eastAsia" w:ascii="宋体" w:hAnsi="宋体" w:eastAsia="宋体" w:cs="宋体"/>
          <w:b/>
          <w:color w:val="auto"/>
          <w:kern w:val="0"/>
          <w:szCs w:val="24"/>
          <w:highlight w:val="none"/>
        </w:rPr>
        <w:t>9.1.2 技术标：</w:t>
      </w:r>
      <w:bookmarkEnd w:id="249"/>
      <w:bookmarkEnd w:id="250"/>
      <w:bookmarkEnd w:id="251"/>
    </w:p>
    <w:p w14:paraId="393F1EAA">
      <w:pPr>
        <w:autoSpaceDE w:val="0"/>
        <w:autoSpaceDN w:val="0"/>
        <w:adjustRightInd w:val="0"/>
        <w:spacing w:line="360" w:lineRule="auto"/>
        <w:ind w:right="-23" w:rightChars="-11"/>
        <w:jc w:val="left"/>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 xml:space="preserve">    目录：</w:t>
      </w:r>
    </w:p>
    <w:p w14:paraId="0991F512">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（1）用户需求的响应程度（即用户需求偏离表）；</w:t>
      </w:r>
    </w:p>
    <w:p w14:paraId="17777325">
      <w:pPr>
        <w:spacing w:line="360" w:lineRule="auto"/>
        <w:ind w:left="222" w:leftChars="-100" w:hanging="432" w:hangingChars="20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供货货物清单表</w:t>
      </w:r>
      <w:bookmarkStart w:id="252" w:name="OLE_LINK367"/>
      <w:r>
        <w:rPr>
          <w:rFonts w:hint="eastAsia" w:ascii="宋体" w:hAnsi="宋体" w:eastAsia="宋体" w:cs="宋体"/>
          <w:color w:val="auto"/>
          <w:kern w:val="0"/>
          <w:szCs w:val="21"/>
          <w:highlight w:val="none"/>
          <w:lang w:val="zh-CN"/>
        </w:rPr>
        <w:t>（货物明细中的</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zh-CN"/>
        </w:rPr>
        <w:t>名称、</w:t>
      </w:r>
      <w:r>
        <w:rPr>
          <w:rFonts w:hint="eastAsia" w:ascii="宋体" w:hAnsi="宋体" w:eastAsia="宋体" w:cs="宋体"/>
          <w:color w:val="auto"/>
          <w:kern w:val="0"/>
          <w:szCs w:val="21"/>
          <w:highlight w:val="none"/>
        </w:rPr>
        <w:t>单位</w:t>
      </w:r>
      <w:r>
        <w:rPr>
          <w:rFonts w:hint="eastAsia" w:ascii="宋体" w:hAnsi="宋体" w:eastAsia="宋体" w:cs="宋体"/>
          <w:color w:val="auto"/>
          <w:kern w:val="0"/>
          <w:szCs w:val="21"/>
          <w:highlight w:val="none"/>
          <w:lang w:val="zh-CN"/>
        </w:rPr>
        <w:t>、数量等，应与用户需求书</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zh-CN"/>
        </w:rPr>
        <w:t>附件1项目清单一致，需包含光伏组件、逆变器、电缆、汇流箱、并网柜、计量设备、支架材料、监控设备等主材）</w:t>
      </w:r>
      <w:bookmarkEnd w:id="252"/>
      <w:r>
        <w:rPr>
          <w:rFonts w:hint="eastAsia" w:ascii="宋体" w:hAnsi="宋体" w:eastAsia="宋体" w:cs="宋体"/>
          <w:color w:val="auto"/>
          <w:kern w:val="0"/>
          <w:szCs w:val="21"/>
          <w:highlight w:val="none"/>
        </w:rPr>
        <w:t>；</w:t>
      </w:r>
    </w:p>
    <w:p w14:paraId="557FA275">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（3）光伏发电设施技术证明材料；</w:t>
      </w:r>
    </w:p>
    <w:p w14:paraId="4684EBD3">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（4）光伏系统主要设备产品性能；</w:t>
      </w:r>
    </w:p>
    <w:p w14:paraId="73E038C7">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（5）质保时间</w:t>
      </w:r>
      <w:r>
        <w:rPr>
          <w:rFonts w:hint="eastAsia" w:ascii="宋体" w:hAnsi="宋体" w:eastAsia="宋体" w:cs="宋体"/>
          <w:color w:val="auto"/>
          <w:szCs w:val="21"/>
          <w:highlight w:val="none"/>
        </w:rPr>
        <w:t>（质保说明书）；</w:t>
      </w:r>
    </w:p>
    <w:p w14:paraId="537DE981">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（6）技术服务团队实力（投标人提供证明资料）；</w:t>
      </w:r>
    </w:p>
    <w:p w14:paraId="1F8790A1">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（7）系统总体设计方案（投标人自行编写）；</w:t>
      </w:r>
    </w:p>
    <w:p w14:paraId="3E343EE7">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r>
        <w:rPr>
          <w:rFonts w:hint="eastAsia" w:ascii="宋体" w:hAnsi="宋体" w:eastAsia="宋体" w:cs="宋体"/>
          <w:color w:val="auto"/>
          <w:szCs w:val="21"/>
          <w:highlight w:val="none"/>
          <w:lang w:bidi="ar"/>
        </w:rPr>
        <w:t>项目实施方案</w:t>
      </w:r>
      <w:r>
        <w:rPr>
          <w:rFonts w:hint="eastAsia" w:ascii="宋体" w:hAnsi="宋体" w:eastAsia="宋体" w:cs="宋体"/>
          <w:color w:val="auto"/>
          <w:kern w:val="0"/>
          <w:szCs w:val="21"/>
          <w:highlight w:val="none"/>
        </w:rPr>
        <w:t>（投标人自行编写）；</w:t>
      </w:r>
    </w:p>
    <w:p w14:paraId="687F9CC5">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r>
        <w:rPr>
          <w:rFonts w:hint="eastAsia" w:ascii="宋体" w:hAnsi="宋体" w:eastAsia="宋体" w:cs="宋体"/>
          <w:color w:val="auto"/>
          <w:szCs w:val="21"/>
          <w:highlight w:val="none"/>
          <w:lang w:bidi="ar"/>
        </w:rPr>
        <w:t>安全保证措施</w:t>
      </w:r>
      <w:r>
        <w:rPr>
          <w:rFonts w:hint="eastAsia" w:ascii="宋体" w:hAnsi="宋体" w:eastAsia="宋体" w:cs="宋体"/>
          <w:color w:val="auto"/>
          <w:kern w:val="0"/>
          <w:szCs w:val="21"/>
          <w:highlight w:val="none"/>
        </w:rPr>
        <w:t>（投标人自行编写）；</w:t>
      </w:r>
    </w:p>
    <w:p w14:paraId="78F49539">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（10）技术服务运维方案（投标人自行编写）；</w:t>
      </w:r>
    </w:p>
    <w:p w14:paraId="12D1BCE4">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（11）投标人认为有必要提供的其它材料（不做强制要求）。</w:t>
      </w:r>
    </w:p>
    <w:p w14:paraId="4E21EB49">
      <w:pPr>
        <w:autoSpaceDE w:val="0"/>
        <w:autoSpaceDN w:val="0"/>
        <w:adjustRightInd w:val="0"/>
        <w:spacing w:line="360" w:lineRule="auto"/>
        <w:ind w:left="422" w:leftChars="-100" w:hanging="632" w:hangingChars="300"/>
        <w:outlineLvl w:val="1"/>
        <w:rPr>
          <w:rFonts w:ascii="宋体" w:hAnsi="宋体" w:eastAsia="宋体" w:cs="宋体"/>
          <w:b/>
          <w:bCs/>
          <w:color w:val="auto"/>
          <w:szCs w:val="21"/>
          <w:highlight w:val="none"/>
          <w:lang w:val="zh-CN"/>
        </w:rPr>
      </w:pPr>
      <w:bookmarkStart w:id="253" w:name="_Toc25430"/>
      <w:bookmarkStart w:id="254" w:name="_Toc29166"/>
      <w:bookmarkStart w:id="255" w:name="_Toc28692"/>
      <w:r>
        <w:rPr>
          <w:rFonts w:hint="eastAsia" w:ascii="宋体" w:hAnsi="宋体" w:eastAsia="宋体" w:cs="宋体"/>
          <w:b/>
          <w:bCs/>
          <w:color w:val="auto"/>
          <w:szCs w:val="21"/>
          <w:highlight w:val="none"/>
          <w:lang w:val="zh-CN"/>
        </w:rPr>
        <w:t>9.1.</w:t>
      </w: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val="zh-CN"/>
        </w:rPr>
        <w:t xml:space="preserve"> 报价信封</w:t>
      </w:r>
      <w:bookmarkEnd w:id="253"/>
      <w:bookmarkEnd w:id="254"/>
      <w:bookmarkEnd w:id="255"/>
      <w:r>
        <w:rPr>
          <w:rFonts w:hint="eastAsia" w:ascii="宋体" w:hAnsi="宋体" w:eastAsia="宋体" w:cs="宋体"/>
          <w:b/>
          <w:bCs/>
          <w:color w:val="auto"/>
          <w:szCs w:val="21"/>
          <w:highlight w:val="none"/>
          <w:lang w:val="zh-CN"/>
        </w:rPr>
        <w:t>：</w:t>
      </w:r>
    </w:p>
    <w:p w14:paraId="5CF27C3D">
      <w:pPr>
        <w:autoSpaceDE w:val="0"/>
        <w:autoSpaceDN w:val="0"/>
        <w:adjustRightInd w:val="0"/>
        <w:spacing w:line="360" w:lineRule="auto"/>
        <w:ind w:left="420" w:leftChars="200"/>
        <w:rPr>
          <w:rFonts w:ascii="宋体" w:hAnsi="宋体" w:eastAsia="宋体" w:cs="宋体"/>
          <w:color w:val="auto"/>
          <w:szCs w:val="21"/>
          <w:highlight w:val="none"/>
        </w:rPr>
      </w:pPr>
      <w:r>
        <w:rPr>
          <w:rFonts w:hint="eastAsia" w:ascii="宋体" w:hAnsi="宋体" w:eastAsia="宋体" w:cs="宋体"/>
          <w:color w:val="auto"/>
          <w:szCs w:val="21"/>
          <w:highlight w:val="none"/>
        </w:rPr>
        <w:t>按照投标文件格式中的要求进行编制。</w:t>
      </w:r>
    </w:p>
    <w:p w14:paraId="70BD1F81">
      <w:pPr>
        <w:autoSpaceDE w:val="0"/>
        <w:autoSpaceDN w:val="0"/>
        <w:adjustRightInd w:val="0"/>
        <w:spacing w:line="360" w:lineRule="auto"/>
        <w:ind w:left="317" w:leftChars="-100" w:hanging="527" w:hangingChars="250"/>
        <w:outlineLvl w:val="2"/>
        <w:rPr>
          <w:rFonts w:ascii="宋体" w:hAnsi="宋体" w:eastAsia="宋体" w:cs="宋体"/>
          <w:b/>
          <w:bCs/>
          <w:color w:val="auto"/>
          <w:szCs w:val="21"/>
          <w:highlight w:val="none"/>
        </w:rPr>
      </w:pPr>
      <w:bookmarkStart w:id="256" w:name="_Toc6364"/>
      <w:bookmarkStart w:id="257" w:name="_Toc6136"/>
      <w:bookmarkStart w:id="258" w:name="_Toc14519"/>
      <w:r>
        <w:rPr>
          <w:rFonts w:hint="eastAsia" w:ascii="宋体" w:hAnsi="宋体" w:eastAsia="宋体" w:cs="宋体"/>
          <w:b/>
          <w:bCs/>
          <w:color w:val="auto"/>
          <w:szCs w:val="21"/>
          <w:highlight w:val="none"/>
        </w:rPr>
        <w:t>9.2  投标文件格式</w:t>
      </w:r>
      <w:bookmarkEnd w:id="256"/>
      <w:bookmarkEnd w:id="257"/>
      <w:bookmarkEnd w:id="258"/>
      <w:r>
        <w:rPr>
          <w:rFonts w:hint="eastAsia" w:ascii="宋体" w:hAnsi="宋体" w:eastAsia="宋体" w:cs="宋体"/>
          <w:b/>
          <w:bCs/>
          <w:color w:val="auto"/>
          <w:szCs w:val="21"/>
          <w:highlight w:val="none"/>
        </w:rPr>
        <w:t xml:space="preserve"> </w:t>
      </w:r>
    </w:p>
    <w:p w14:paraId="045996DA">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）商务标必须按招标文件所附的商务标格式编制（参见第六篇）。</w:t>
      </w:r>
    </w:p>
    <w:p w14:paraId="1987099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）技术标必须按招标文件所附的技术标格式编制（参见第六篇）。</w:t>
      </w:r>
    </w:p>
    <w:p w14:paraId="0B72097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）报价信封由投标人使用电子标书制作软件编制（参见第六篇）。</w:t>
      </w:r>
    </w:p>
    <w:p w14:paraId="35FFD16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 xml:space="preserve">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w:t>
      </w:r>
    </w:p>
    <w:p w14:paraId="490C376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宋体"/>
          <w:b/>
          <w:color w:val="auto"/>
          <w:szCs w:val="21"/>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05423FF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72C5C302">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59" w:name="_Toc7017"/>
      <w:bookmarkStart w:id="260" w:name="_Toc142508324"/>
      <w:bookmarkStart w:id="261" w:name="_Toc10119"/>
      <w:bookmarkStart w:id="262" w:name="_Toc13214"/>
      <w:bookmarkStart w:id="263" w:name="_Toc16938"/>
      <w:bookmarkStart w:id="264" w:name="_Toc486167674"/>
      <w:bookmarkStart w:id="265" w:name="_Toc19362"/>
      <w:bookmarkStart w:id="266" w:name="_Toc450662860"/>
      <w:bookmarkStart w:id="267" w:name="_Toc8675_WPSOffice_Level3"/>
      <w:bookmarkStart w:id="268" w:name="_Toc11170"/>
      <w:bookmarkStart w:id="269" w:name="_Toc195714228"/>
      <w:r>
        <w:rPr>
          <w:rFonts w:hint="eastAsia" w:ascii="宋体" w:hAnsi="宋体" w:eastAsia="宋体" w:cs="宋体"/>
          <w:color w:val="auto"/>
          <w:szCs w:val="21"/>
          <w:highlight w:val="none"/>
          <w:lang w:val="zh-CN"/>
        </w:rPr>
        <w:t>10 投标函</w:t>
      </w:r>
      <w:bookmarkEnd w:id="259"/>
      <w:bookmarkEnd w:id="260"/>
      <w:bookmarkEnd w:id="261"/>
      <w:bookmarkEnd w:id="262"/>
      <w:bookmarkEnd w:id="263"/>
      <w:bookmarkEnd w:id="264"/>
      <w:bookmarkEnd w:id="265"/>
      <w:bookmarkEnd w:id="266"/>
      <w:bookmarkEnd w:id="267"/>
      <w:bookmarkEnd w:id="268"/>
      <w:bookmarkEnd w:id="269"/>
    </w:p>
    <w:p w14:paraId="1AA9E38E">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1035F126">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512DD198">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70" w:name="_Toc15427"/>
      <w:bookmarkStart w:id="271" w:name="_Toc27908"/>
      <w:bookmarkStart w:id="272" w:name="_Toc486167675"/>
      <w:bookmarkStart w:id="273" w:name="_Toc450662861"/>
      <w:bookmarkStart w:id="274" w:name="_Toc15933"/>
      <w:bookmarkStart w:id="275" w:name="_Toc14736"/>
      <w:bookmarkStart w:id="276" w:name="_Toc142508325"/>
      <w:bookmarkStart w:id="277" w:name="_Toc24311"/>
      <w:bookmarkStart w:id="278" w:name="_Toc10582"/>
      <w:bookmarkStart w:id="279" w:name="_Toc4385_WPSOffice_Level3"/>
      <w:bookmarkStart w:id="280" w:name="_Toc195714229"/>
      <w:r>
        <w:rPr>
          <w:rFonts w:hint="eastAsia" w:ascii="宋体" w:hAnsi="宋体" w:eastAsia="宋体" w:cs="宋体"/>
          <w:color w:val="auto"/>
          <w:szCs w:val="21"/>
          <w:highlight w:val="none"/>
          <w:lang w:val="zh-CN"/>
        </w:rPr>
        <w:t>11 投标报价</w:t>
      </w:r>
      <w:bookmarkEnd w:id="270"/>
      <w:bookmarkEnd w:id="271"/>
      <w:bookmarkEnd w:id="272"/>
      <w:bookmarkEnd w:id="273"/>
      <w:bookmarkEnd w:id="274"/>
      <w:bookmarkEnd w:id="275"/>
      <w:bookmarkEnd w:id="276"/>
      <w:bookmarkEnd w:id="277"/>
      <w:bookmarkEnd w:id="278"/>
      <w:bookmarkEnd w:id="279"/>
      <w:bookmarkEnd w:id="280"/>
    </w:p>
    <w:p w14:paraId="7069B748">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11.1 </w:t>
      </w:r>
      <w:r>
        <w:rPr>
          <w:rFonts w:hint="eastAsia" w:ascii="宋体" w:hAnsi="宋体" w:eastAsia="宋体" w:cs="宋体"/>
          <w:b/>
          <w:color w:val="auto"/>
          <w:szCs w:val="21"/>
          <w:highlight w:val="none"/>
          <w:u w:val="single"/>
          <w:lang w:val="zh-CN"/>
        </w:rPr>
        <w:t>本项目只允许有一个报价价格，任何有选择的或</w:t>
      </w:r>
      <w:r>
        <w:rPr>
          <w:rFonts w:hint="eastAsia" w:ascii="宋体" w:hAnsi="宋体" w:eastAsia="宋体" w:cs="宋体"/>
          <w:b/>
          <w:color w:val="auto"/>
          <w:kern w:val="0"/>
          <w:szCs w:val="21"/>
          <w:highlight w:val="none"/>
          <w:u w:val="single"/>
          <w:lang w:val="zh-CN"/>
        </w:rPr>
        <w:t>不是固定价的</w:t>
      </w:r>
      <w:r>
        <w:rPr>
          <w:rFonts w:hint="eastAsia" w:ascii="宋体" w:hAnsi="宋体" w:eastAsia="宋体" w:cs="宋体"/>
          <w:b/>
          <w:color w:val="auto"/>
          <w:szCs w:val="21"/>
          <w:highlight w:val="none"/>
          <w:u w:val="single"/>
          <w:lang w:val="zh-CN"/>
        </w:rPr>
        <w:t>投标报价将不予接受，</w:t>
      </w:r>
      <w:r>
        <w:rPr>
          <w:rFonts w:hint="eastAsia" w:ascii="宋体" w:hAnsi="宋体" w:eastAsia="宋体" w:cs="宋体"/>
          <w:b/>
          <w:color w:val="auto"/>
          <w:kern w:val="0"/>
          <w:szCs w:val="21"/>
          <w:highlight w:val="none"/>
          <w:u w:val="single"/>
          <w:lang w:val="zh-CN"/>
        </w:rPr>
        <w:t>作为非实质性响应投标而予以拒绝。</w:t>
      </w:r>
      <w:r>
        <w:rPr>
          <w:rFonts w:hint="eastAsia" w:ascii="宋体" w:hAnsi="宋体" w:eastAsia="宋体" w:cs="宋体"/>
          <w:b/>
          <w:color w:val="auto"/>
          <w:kern w:val="0"/>
          <w:szCs w:val="21"/>
          <w:highlight w:val="none"/>
          <w:u w:val="single"/>
        </w:rPr>
        <w:t>投标人不得以低于企业自身成本的价格竞投</w:t>
      </w:r>
      <w:r>
        <w:rPr>
          <w:rFonts w:hint="eastAsia" w:ascii="宋体" w:hAnsi="宋体" w:eastAsia="宋体" w:cs="宋体"/>
          <w:b/>
          <w:color w:val="auto"/>
          <w:szCs w:val="21"/>
          <w:highlight w:val="none"/>
          <w:lang w:val="zh-CN"/>
        </w:rPr>
        <w:t>。</w:t>
      </w:r>
    </w:p>
    <w:p w14:paraId="5041340C">
      <w:pPr>
        <w:tabs>
          <w:tab w:val="left" w:pos="567"/>
        </w:tabs>
        <w:autoSpaceDE w:val="0"/>
        <w:autoSpaceDN w:val="0"/>
        <w:adjustRightInd w:val="0"/>
        <w:spacing w:line="360" w:lineRule="auto"/>
        <w:ind w:left="399" w:leftChars="190" w:firstLine="358" w:firstLineChars="170"/>
        <w:rPr>
          <w:rFonts w:ascii="宋体" w:hAnsi="宋体" w:eastAsia="宋体" w:cs="宋体"/>
          <w:b/>
          <w:color w:val="auto"/>
          <w:szCs w:val="21"/>
          <w:highlight w:val="none"/>
          <w:lang w:val="zh-CN"/>
        </w:rPr>
      </w:pPr>
      <w:r>
        <w:rPr>
          <w:rFonts w:hint="eastAsia" w:ascii="宋体" w:hAnsi="宋体" w:eastAsia="宋体" w:cs="宋体"/>
          <w:b/>
          <w:color w:val="auto"/>
          <w:szCs w:val="21"/>
          <w:highlight w:val="none"/>
          <w:u w:val="singl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r>
        <w:rPr>
          <w:rFonts w:hint="eastAsia" w:ascii="宋体" w:hAnsi="宋体" w:eastAsia="宋体" w:cs="宋体"/>
          <w:b/>
          <w:color w:val="auto"/>
          <w:szCs w:val="21"/>
          <w:highlight w:val="none"/>
          <w:lang w:val="zh-CN"/>
        </w:rPr>
        <w:t>。</w:t>
      </w:r>
    </w:p>
    <w:p w14:paraId="49EF874D">
      <w:pPr>
        <w:tabs>
          <w:tab w:val="left" w:pos="567"/>
        </w:tabs>
        <w:autoSpaceDE w:val="0"/>
        <w:autoSpaceDN w:val="0"/>
        <w:adjustRightInd w:val="0"/>
        <w:spacing w:line="360" w:lineRule="auto"/>
        <w:ind w:left="199" w:leftChars="95" w:firstLine="569" w:firstLineChars="270"/>
        <w:rPr>
          <w:rFonts w:ascii="宋体" w:hAnsi="宋体" w:eastAsia="宋体" w:cs="宋体"/>
          <w:b/>
          <w:color w:val="auto"/>
          <w:szCs w:val="21"/>
          <w:highlight w:val="none"/>
          <w:lang w:val="zh-CN"/>
        </w:rPr>
      </w:pPr>
      <w:r>
        <w:rPr>
          <w:rFonts w:hint="eastAsia" w:ascii="宋体" w:hAnsi="宋体" w:eastAsia="宋体" w:cs="宋体"/>
          <w:b/>
          <w:color w:val="auto"/>
          <w:szCs w:val="21"/>
          <w:highlight w:val="none"/>
          <w:u w:val="single"/>
          <w:lang w:val="zh-CN"/>
        </w:rPr>
        <w:t>对是否低于企业成本价报价的事宜有争议的投标文件，评标委员会成员将以记名方式表决，</w:t>
      </w:r>
      <w:r>
        <w:rPr>
          <w:rFonts w:hint="eastAsia" w:ascii="宋体" w:hAnsi="宋体" w:eastAsia="宋体" w:cs="宋体"/>
          <w:b/>
          <w:color w:val="auto"/>
          <w:szCs w:val="21"/>
          <w:highlight w:val="none"/>
          <w:u w:val="single"/>
        </w:rPr>
        <w:t>根据少数服从多数的原则，获多数表决通过</w:t>
      </w:r>
      <w:r>
        <w:rPr>
          <w:rFonts w:hint="eastAsia" w:ascii="宋体" w:hAnsi="宋体" w:eastAsia="宋体" w:cs="宋体"/>
          <w:b/>
          <w:color w:val="auto"/>
          <w:szCs w:val="21"/>
          <w:highlight w:val="none"/>
          <w:u w:val="single"/>
          <w:lang w:val="zh-CN"/>
        </w:rPr>
        <w:t>的投标人才有资格进入下一阶段的评审，否则将按无效投标处理</w:t>
      </w:r>
      <w:r>
        <w:rPr>
          <w:rFonts w:hint="eastAsia" w:ascii="宋体" w:hAnsi="宋体" w:eastAsia="宋体" w:cs="宋体"/>
          <w:b/>
          <w:color w:val="auto"/>
          <w:szCs w:val="21"/>
          <w:highlight w:val="none"/>
          <w:lang w:val="zh-CN"/>
        </w:rPr>
        <w:t>。</w:t>
      </w:r>
    </w:p>
    <w:p w14:paraId="7D9DA1EA">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本项目投标报价为不含税</w:t>
      </w:r>
      <w:r>
        <w:rPr>
          <w:rFonts w:hint="eastAsia" w:ascii="宋体" w:hAnsi="宋体" w:eastAsia="宋体" w:cs="宋体"/>
          <w:b/>
          <w:color w:val="auto"/>
          <w:szCs w:val="21"/>
          <w:highlight w:val="none"/>
          <w:u w:val="single"/>
        </w:rPr>
        <w:t>总</w:t>
      </w:r>
      <w:r>
        <w:rPr>
          <w:rFonts w:hint="eastAsia" w:ascii="宋体" w:hAnsi="宋体" w:eastAsia="宋体" w:cs="宋体"/>
          <w:b/>
          <w:color w:val="auto"/>
          <w:szCs w:val="21"/>
          <w:highlight w:val="none"/>
          <w:u w:val="single"/>
          <w:lang w:val="zh-CN"/>
        </w:rPr>
        <w:t>价，即为《中华人民共和国增值税暂行条例》（国务院令第691号修订版）规定的销售额</w:t>
      </w:r>
      <w:r>
        <w:rPr>
          <w:rFonts w:hint="eastAsia" w:ascii="宋体" w:hAnsi="宋体" w:eastAsia="宋体" w:cs="宋体"/>
          <w:color w:val="auto"/>
          <w:szCs w:val="21"/>
          <w:highlight w:val="none"/>
          <w:lang w:val="zh-CN"/>
        </w:rPr>
        <w:t>。本招标文件所称的不含税</w:t>
      </w:r>
      <w:r>
        <w:rPr>
          <w:rFonts w:hint="eastAsia" w:ascii="宋体" w:hAnsi="宋体" w:eastAsia="宋体" w:cs="宋体"/>
          <w:color w:val="auto"/>
          <w:szCs w:val="21"/>
          <w:highlight w:val="none"/>
        </w:rPr>
        <w:t>总</w:t>
      </w:r>
      <w:r>
        <w:rPr>
          <w:rFonts w:hint="eastAsia" w:ascii="宋体" w:hAnsi="宋体" w:eastAsia="宋体" w:cs="宋体"/>
          <w:color w:val="auto"/>
          <w:szCs w:val="21"/>
          <w:highlight w:val="none"/>
          <w:lang w:val="zh-CN"/>
        </w:rPr>
        <w:t>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bookmarkStart w:id="281" w:name="OLE_LINK373"/>
    </w:p>
    <w:p w14:paraId="5E630C19">
      <w:pPr>
        <w:spacing w:line="360" w:lineRule="auto"/>
        <w:ind w:left="315" w:leftChars="-100" w:hanging="525" w:hangingChars="250"/>
        <w:rPr>
          <w:rFonts w:ascii="宋体" w:hAnsi="宋体" w:eastAsia="宋体" w:cs="宋体"/>
          <w:color w:val="auto"/>
          <w:szCs w:val="21"/>
          <w:highlight w:val="none"/>
        </w:rPr>
      </w:pPr>
      <w:r>
        <w:rPr>
          <w:rFonts w:hint="eastAsia" w:ascii="宋体" w:hAnsi="宋体" w:eastAsia="宋体" w:cs="宋体"/>
          <w:color w:val="auto"/>
          <w:szCs w:val="21"/>
          <w:highlight w:val="none"/>
        </w:rPr>
        <w:t>（1）太阳能光伏组件至并网点全部项目的勘察与设计、设备材料供应及安装费用（含并网设施、光伏组件、交流汇流箱、逆变器、开关柜、光伏支架、电缆、监控、防雷及安全等配套设施等光伏发电项目所有设备材料，运输、储存），以及在各供水厂现状条件下为满足本项目实施的相关拆除、迁改、基础制作、安装所产生的费用，按厂区要求增设的钢结构室外楼梯和安全线缆的费用，电网接入系统检测、全部项目系统调试及试运、验收（含为满足并网条件，需按供电局要求完成线路改造、安健环改造、网络安防、电能质量优化及调度控制系统建设等相关工作，</w:t>
      </w:r>
      <w:r>
        <w:rPr>
          <w:rFonts w:hint="eastAsia" w:ascii="宋体" w:hAnsi="宋体" w:eastAsia="宋体" w:cs="宋体"/>
          <w:bCs/>
          <w:color w:val="auto"/>
          <w:szCs w:val="21"/>
          <w:highlight w:val="none"/>
        </w:rPr>
        <w:t>以及供电局所需的试验</w:t>
      </w:r>
      <w:r>
        <w:rPr>
          <w:rFonts w:hint="eastAsia" w:ascii="宋体" w:hAnsi="宋体" w:eastAsia="宋体" w:cs="宋体"/>
          <w:color w:val="auto"/>
          <w:szCs w:val="21"/>
          <w:highlight w:val="none"/>
        </w:rPr>
        <w:t>）并交付生产、培训、质量保修期内的消缺等完成并网投运全过程费用，即包括但不限于勘察与设计费、货物及零配件成本费、运输费、包装费、装卸费、搬运（含二次搬运）费、保险费、安装费及安装设备所需的配件等费用、安装所需的一切配套工作费用、安全防护文明施工措施费（其中含不停产情况下池面上空作业、高空作业、带电作业的安全措施费）、调试费、材料费、验收费（含验收所需的专家费、会务费、差旅费、验收材料费、满足供电局验收要求的试验费，竣工验收阶段委托第三方检测机构的检测费等）、人工费、技术培训费、技术服务（包括技术资料、图纸的提供等）等；</w:t>
      </w:r>
    </w:p>
    <w:p w14:paraId="01BD6177">
      <w:pPr>
        <w:spacing w:line="360" w:lineRule="auto"/>
        <w:ind w:left="315" w:leftChars="-100" w:hanging="525" w:hangingChars="250"/>
        <w:rPr>
          <w:rFonts w:ascii="宋体" w:hAnsi="宋体" w:eastAsia="宋体" w:cs="宋体"/>
          <w:color w:val="auto"/>
          <w:szCs w:val="21"/>
          <w:highlight w:val="none"/>
        </w:rPr>
      </w:pPr>
      <w:r>
        <w:rPr>
          <w:rFonts w:hint="eastAsia" w:ascii="宋体" w:hAnsi="宋体" w:eastAsia="宋体" w:cs="宋体"/>
          <w:color w:val="auto"/>
          <w:szCs w:val="21"/>
          <w:highlight w:val="none"/>
        </w:rPr>
        <w:t>（2）</w:t>
      </w:r>
      <w:bookmarkStart w:id="282" w:name="OLE_LINK438"/>
      <w:r>
        <w:rPr>
          <w:rFonts w:hint="eastAsia" w:ascii="宋体" w:hAnsi="宋体" w:eastAsia="宋体" w:cs="宋体"/>
          <w:color w:val="auto"/>
          <w:szCs w:val="21"/>
          <w:highlight w:val="none"/>
        </w:rPr>
        <w:t>1年的运营维护服务费用（含日常办公、设备巡检、维修养护、组件清洗、耗材更换、人员工资及保险、管理酬金等所有相关费用）</w:t>
      </w:r>
      <w:bookmarkEnd w:id="282"/>
      <w:r>
        <w:rPr>
          <w:rFonts w:hint="eastAsia" w:ascii="宋体" w:hAnsi="宋体" w:eastAsia="宋体" w:cs="宋体"/>
          <w:color w:val="auto"/>
          <w:szCs w:val="21"/>
          <w:highlight w:val="none"/>
        </w:rPr>
        <w:t>；</w:t>
      </w:r>
    </w:p>
    <w:p w14:paraId="419C07DF">
      <w:pPr>
        <w:spacing w:line="360" w:lineRule="auto"/>
        <w:ind w:left="315" w:leftChars="-100" w:hanging="525" w:hangingChars="250"/>
        <w:rPr>
          <w:rFonts w:ascii="宋体" w:hAnsi="宋体" w:eastAsia="宋体" w:cs="宋体"/>
          <w:color w:val="auto"/>
          <w:szCs w:val="21"/>
          <w:highlight w:val="none"/>
        </w:rPr>
      </w:pPr>
      <w:r>
        <w:rPr>
          <w:rFonts w:hint="eastAsia" w:ascii="宋体" w:hAnsi="宋体" w:eastAsia="宋体" w:cs="宋体"/>
          <w:color w:val="auto"/>
          <w:szCs w:val="21"/>
          <w:highlight w:val="none"/>
        </w:rPr>
        <w:t>（3）72块预留光伏组件的费用；</w:t>
      </w:r>
    </w:p>
    <w:p w14:paraId="7F50148D">
      <w:pPr>
        <w:spacing w:line="360" w:lineRule="auto"/>
        <w:ind w:left="315" w:leftChars="-100" w:hanging="525" w:hangingChars="250"/>
        <w:rPr>
          <w:rFonts w:ascii="宋体" w:hAnsi="宋体" w:eastAsia="宋体" w:cs="宋体"/>
          <w:color w:val="auto"/>
          <w:szCs w:val="21"/>
          <w:highlight w:val="none"/>
        </w:rPr>
      </w:pPr>
      <w:r>
        <w:rPr>
          <w:rFonts w:hint="eastAsia" w:ascii="宋体" w:hAnsi="宋体" w:eastAsia="宋体" w:cs="宋体"/>
          <w:color w:val="auto"/>
          <w:szCs w:val="21"/>
          <w:highlight w:val="none"/>
        </w:rPr>
        <w:t>（4）项目实施过程中需按要求办理项目的全部手续及合规性工作所需费用，包括但不限于：①向项目所在地相关主管部门办理备案手续；②供电局对项目接入意见办理、接入方案的设计与编制、评审、接入施工图纸的设计、评审、接入系统的设备、材料的采购、施工、调试以及竣工验收；③政府部门或售电公司上网项目核准；④为满足并网条件，需按供电局要求完成线路改造、对侧变电站改造、网络安防、电能质量优化及调度控制系统建设等相关工作；</w:t>
      </w:r>
      <w:r>
        <w:rPr>
          <w:rFonts w:hint="eastAsia" w:ascii="宋体" w:hAnsi="宋体" w:eastAsia="宋体" w:cs="宋体"/>
          <w:color w:val="auto"/>
          <w:szCs w:val="21"/>
          <w:highlight w:val="none"/>
          <w:shd w:val="clear" w:color="auto" w:fill="FFFFFF"/>
        </w:rPr>
        <w:t>⑤办理对应手续需向有关部门、单位缴纳的费用；</w:t>
      </w:r>
    </w:p>
    <w:p w14:paraId="10CFABF3">
      <w:pPr>
        <w:spacing w:line="360" w:lineRule="auto"/>
        <w:ind w:left="315" w:leftChars="-100" w:hanging="525" w:hangingChars="250"/>
        <w:rPr>
          <w:rFonts w:ascii="宋体" w:hAnsi="宋体" w:eastAsia="宋体" w:cs="宋体"/>
          <w:color w:val="auto"/>
          <w:szCs w:val="21"/>
          <w:highlight w:val="none"/>
        </w:rPr>
      </w:pPr>
      <w:r>
        <w:rPr>
          <w:rFonts w:hint="eastAsia" w:ascii="宋体" w:hAnsi="宋体" w:eastAsia="宋体" w:cs="宋体"/>
          <w:color w:val="auto"/>
          <w:szCs w:val="21"/>
          <w:highlight w:val="none"/>
        </w:rPr>
        <w:t>（5）中标人负责为项目招标范围内的设计、供货、安装和验收及满足并网投运所需要的一切手续的费用，即便在合同或招标文件内没有载明，但实际证明是确保项目发电运行所必须的，均纳入设计、采购、安装及提供服务范围，费用已包含在不含税固定每瓦单价内；</w:t>
      </w:r>
    </w:p>
    <w:p w14:paraId="72E88CE0">
      <w:pPr>
        <w:spacing w:line="360" w:lineRule="auto"/>
        <w:ind w:left="315" w:leftChars="-100" w:hanging="525" w:hangingChars="250"/>
        <w:rPr>
          <w:rFonts w:ascii="宋体" w:hAnsi="宋体" w:eastAsia="宋体" w:cs="宋体"/>
          <w:color w:val="auto"/>
          <w:szCs w:val="21"/>
          <w:highlight w:val="none"/>
        </w:rPr>
      </w:pPr>
      <w:r>
        <w:rPr>
          <w:rFonts w:hint="eastAsia" w:ascii="宋体" w:hAnsi="宋体" w:eastAsia="宋体" w:cs="宋体"/>
          <w:color w:val="auto"/>
          <w:szCs w:val="21"/>
          <w:highlight w:val="none"/>
        </w:rPr>
        <w:t>（6）供货货物及其工艺所有制造方、使用方应支付的对专有技术、商标权、专利权和版权、设计或其他知识产权而需要向其他方支付的版税；</w:t>
      </w:r>
    </w:p>
    <w:p w14:paraId="4F26945C">
      <w:pPr>
        <w:spacing w:line="360" w:lineRule="auto"/>
        <w:ind w:left="315" w:leftChars="-100" w:hanging="525" w:hangingChars="250"/>
        <w:rPr>
          <w:rFonts w:ascii="宋体" w:hAnsi="宋体" w:eastAsia="宋体" w:cs="宋体"/>
          <w:color w:val="auto"/>
          <w:szCs w:val="21"/>
          <w:highlight w:val="none"/>
        </w:rPr>
      </w:pPr>
      <w:r>
        <w:rPr>
          <w:rFonts w:hint="eastAsia" w:ascii="宋体" w:hAnsi="宋体" w:eastAsia="宋体" w:cs="宋体"/>
          <w:color w:val="auto"/>
          <w:szCs w:val="21"/>
          <w:highlight w:val="none"/>
        </w:rPr>
        <w:t>（7）日常技术指导，免费的质保服务，包括但不限于免费现场质量问题处理或更换失效产品；</w:t>
      </w:r>
    </w:p>
    <w:p w14:paraId="18238906">
      <w:pPr>
        <w:spacing w:line="360" w:lineRule="auto"/>
        <w:ind w:left="315" w:leftChars="-100" w:hanging="525" w:hangingChars="250"/>
        <w:rPr>
          <w:rFonts w:ascii="宋体" w:hAnsi="宋体" w:eastAsia="宋体" w:cs="宋体"/>
          <w:color w:val="auto"/>
          <w:szCs w:val="21"/>
          <w:highlight w:val="none"/>
        </w:rPr>
      </w:pPr>
      <w:r>
        <w:rPr>
          <w:rFonts w:hint="eastAsia" w:ascii="宋体" w:hAnsi="宋体" w:eastAsia="宋体" w:cs="宋体"/>
          <w:color w:val="auto"/>
          <w:szCs w:val="21"/>
          <w:highlight w:val="none"/>
        </w:rPr>
        <w:t>（8）中标服务费、合理利润、中标人销项税额以外的税费及合同实施过程中的应预见和不可预见费用等完成合同规定责任和义务、达到合同目的的一切费用等；</w:t>
      </w:r>
    </w:p>
    <w:p w14:paraId="71ED52D7">
      <w:pPr>
        <w:spacing w:line="360" w:lineRule="auto"/>
        <w:ind w:left="315" w:leftChars="-100" w:hanging="525" w:hangingChars="250"/>
        <w:rPr>
          <w:rFonts w:ascii="宋体" w:hAnsi="宋体" w:eastAsia="宋体" w:cs="宋体"/>
          <w:color w:val="auto"/>
          <w:szCs w:val="21"/>
          <w:highlight w:val="none"/>
        </w:rPr>
      </w:pPr>
      <w:r>
        <w:rPr>
          <w:rFonts w:hint="eastAsia" w:ascii="宋体" w:hAnsi="宋体" w:eastAsia="宋体" w:cs="宋体"/>
          <w:color w:val="auto"/>
          <w:szCs w:val="21"/>
          <w:highlight w:val="none"/>
        </w:rPr>
        <w:t>（9）法律法规、商业公认、招标文件规定由中标人承担的其他直接及间接费用。</w:t>
      </w:r>
    </w:p>
    <w:bookmarkEnd w:id="281"/>
    <w:p w14:paraId="63837EA0">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11.3 </w:t>
      </w:r>
      <w:r>
        <w:rPr>
          <w:rFonts w:hint="eastAsia" w:ascii="宋体" w:hAnsi="宋体" w:eastAsia="宋体" w:cs="宋体"/>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宋体"/>
          <w:color w:val="auto"/>
          <w:szCs w:val="21"/>
          <w:highlight w:val="none"/>
          <w:lang w:val="zh-CN"/>
        </w:rPr>
        <w:t>第11.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款</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所报的价格分项仅供评标委员会评审时使用；在任何情况下不限制投标人以不同的条件中标的权利。</w:t>
      </w:r>
    </w:p>
    <w:p w14:paraId="628D8025">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 xml:space="preserve"> </w:t>
      </w:r>
    </w:p>
    <w:p w14:paraId="1492EB70">
      <w:pPr>
        <w:autoSpaceDE w:val="0"/>
        <w:autoSpaceDN w:val="0"/>
        <w:adjustRightInd w:val="0"/>
        <w:spacing w:line="360" w:lineRule="auto"/>
        <w:ind w:left="357" w:leftChars="-100" w:hanging="567"/>
        <w:rPr>
          <w:rFonts w:ascii="宋体" w:hAnsi="宋体" w:eastAsia="宋体" w:cs="宋体"/>
          <w:b/>
          <w:bCs/>
          <w:color w:val="auto"/>
          <w:szCs w:val="21"/>
          <w:highlight w:val="none"/>
        </w:rPr>
      </w:pPr>
      <w:r>
        <w:rPr>
          <w:rFonts w:hint="eastAsia" w:ascii="宋体" w:hAnsi="宋体" w:eastAsia="宋体" w:cs="宋体"/>
          <w:color w:val="auto"/>
          <w:szCs w:val="21"/>
          <w:highlight w:val="none"/>
          <w:lang w:val="zh-CN"/>
        </w:rPr>
        <w:t xml:space="preserve">11.5 </w:t>
      </w:r>
      <w:r>
        <w:rPr>
          <w:rFonts w:hint="eastAsia" w:ascii="宋体" w:hAnsi="宋体" w:eastAsia="宋体" w:cs="宋体"/>
          <w:b/>
          <w:bCs/>
          <w:color w:val="auto"/>
          <w:szCs w:val="21"/>
          <w:highlight w:val="none"/>
          <w:lang w:val="zh-CN"/>
        </w:rPr>
        <w:t>合同项下，招标人需要的货物及</w:t>
      </w:r>
      <w:r>
        <w:rPr>
          <w:rFonts w:hint="eastAsia" w:ascii="宋体" w:hAnsi="宋体" w:eastAsia="宋体" w:cs="宋体"/>
          <w:b/>
          <w:bCs/>
          <w:color w:val="auto"/>
          <w:szCs w:val="21"/>
          <w:highlight w:val="none"/>
        </w:rPr>
        <w:t>有关</w:t>
      </w:r>
      <w:r>
        <w:rPr>
          <w:rFonts w:hint="eastAsia" w:ascii="宋体" w:hAnsi="宋体" w:eastAsia="宋体" w:cs="宋体"/>
          <w:b/>
          <w:bCs/>
          <w:color w:val="auto"/>
          <w:szCs w:val="21"/>
          <w:highlight w:val="none"/>
          <w:lang w:val="zh-CN"/>
        </w:rPr>
        <w:t>服务所需的费用，投标人都应计入</w:t>
      </w:r>
      <w:r>
        <w:rPr>
          <w:rFonts w:hint="eastAsia" w:ascii="宋体" w:hAnsi="宋体" w:eastAsia="宋体" w:cs="宋体"/>
          <w:b/>
          <w:bCs/>
          <w:color w:val="auto"/>
          <w:szCs w:val="21"/>
          <w:highlight w:val="none"/>
        </w:rPr>
        <w:t>不含税</w:t>
      </w:r>
      <w:r>
        <w:rPr>
          <w:rFonts w:hint="eastAsia" w:ascii="宋体" w:hAnsi="宋体" w:eastAsia="宋体" w:cs="宋体"/>
          <w:b/>
          <w:bCs/>
          <w:color w:val="auto"/>
          <w:szCs w:val="21"/>
          <w:highlight w:val="none"/>
          <w:lang w:val="zh-CN"/>
        </w:rPr>
        <w:t>投标报价总价</w:t>
      </w:r>
      <w:r>
        <w:rPr>
          <w:rFonts w:ascii="宋体" w:hAnsi="宋体" w:eastAsia="宋体" w:cs="宋体"/>
          <w:b/>
          <w:bCs/>
          <w:color w:val="auto"/>
          <w:szCs w:val="21"/>
          <w:highlight w:val="none"/>
        </w:rPr>
        <w:t>。</w:t>
      </w:r>
      <w:r>
        <w:rPr>
          <w:rFonts w:hint="eastAsia" w:ascii="宋体" w:hAnsi="宋体" w:eastAsia="宋体" w:cs="宋体"/>
          <w:b/>
          <w:bCs/>
          <w:color w:val="auto"/>
          <w:szCs w:val="21"/>
          <w:highlight w:val="none"/>
        </w:rPr>
        <w:t>最终根据合同约定的</w:t>
      </w:r>
      <w:r>
        <w:rPr>
          <w:rFonts w:hint="eastAsia" w:ascii="宋体" w:hAnsi="宋体" w:eastAsia="宋体" w:cs="宋体"/>
          <w:b/>
          <w:bCs/>
          <w:color w:val="auto"/>
          <w:szCs w:val="21"/>
          <w:highlight w:val="none"/>
          <w:u w:val="single"/>
        </w:rPr>
        <w:t>结算装机容量、不含税固定每瓦单价及对应的销项税额结算。不含税</w:t>
      </w:r>
      <w:r>
        <w:rPr>
          <w:rFonts w:hint="eastAsia" w:ascii="宋体" w:hAnsi="宋体" w:eastAsia="宋体" w:cs="宋体"/>
          <w:b/>
          <w:bCs/>
          <w:color w:val="auto"/>
          <w:kern w:val="0"/>
          <w:szCs w:val="21"/>
          <w:highlight w:val="none"/>
          <w:u w:val="single"/>
        </w:rPr>
        <w:t>固定每瓦单价=暂定不含税总价（即中标人的投标报价）÷用户需求书约定的暂定总装机容量（计算的单价按四舍五入保留小数点后3位小数）。</w:t>
      </w:r>
    </w:p>
    <w:p w14:paraId="6C562CDB">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11.6</w:t>
      </w:r>
      <w:bookmarkStart w:id="283" w:name="OLE_LINK121"/>
      <w:r>
        <w:rPr>
          <w:rFonts w:hint="eastAsia" w:ascii="宋体" w:hAnsi="宋体" w:eastAsia="宋体" w:cs="宋体"/>
          <w:b/>
          <w:bCs/>
          <w:color w:val="auto"/>
          <w:szCs w:val="21"/>
          <w:highlight w:val="none"/>
        </w:rPr>
        <w:t xml:space="preserve"> </w:t>
      </w:r>
      <w:bookmarkStart w:id="284" w:name="OLE_LINK519"/>
      <w:r>
        <w:rPr>
          <w:rFonts w:hint="eastAsia" w:ascii="宋体" w:hAnsi="宋体" w:eastAsia="宋体" w:cs="宋体"/>
          <w:b/>
          <w:color w:val="auto"/>
          <w:szCs w:val="21"/>
          <w:highlight w:val="none"/>
          <w:u w:val="single"/>
          <w:lang w:val="zh-CN"/>
        </w:rPr>
        <w:t>投标人</w:t>
      </w:r>
      <w:r>
        <w:rPr>
          <w:rFonts w:hint="eastAsia" w:ascii="宋体" w:hAnsi="宋体" w:eastAsia="宋体" w:cs="宋体"/>
          <w:b/>
          <w:bCs/>
          <w:color w:val="auto"/>
          <w:kern w:val="0"/>
          <w:szCs w:val="24"/>
          <w:highlight w:val="none"/>
          <w:u w:val="single"/>
        </w:rPr>
        <w:t>的</w:t>
      </w:r>
      <w:bookmarkStart w:id="285" w:name="OLE_LINK521"/>
      <w:r>
        <w:rPr>
          <w:rFonts w:hint="eastAsia" w:ascii="宋体" w:hAnsi="宋体" w:eastAsia="宋体" w:cs="宋体"/>
          <w:b/>
          <w:bCs/>
          <w:color w:val="auto"/>
          <w:kern w:val="0"/>
          <w:szCs w:val="24"/>
          <w:highlight w:val="none"/>
          <w:u w:val="single"/>
        </w:rPr>
        <w:t>投标报价</w:t>
      </w:r>
      <w:bookmarkEnd w:id="285"/>
      <w:r>
        <w:rPr>
          <w:rFonts w:hint="eastAsia" w:ascii="宋体" w:hAnsi="宋体" w:eastAsia="宋体" w:cs="宋体"/>
          <w:b/>
          <w:bCs/>
          <w:color w:val="auto"/>
          <w:kern w:val="0"/>
          <w:szCs w:val="24"/>
          <w:highlight w:val="none"/>
          <w:u w:val="single"/>
        </w:rPr>
        <w:t>高于</w:t>
      </w:r>
      <w:bookmarkStart w:id="286" w:name="OLE_LINK371"/>
      <w:bookmarkStart w:id="287" w:name="OLE_LINK520"/>
      <w:r>
        <w:rPr>
          <w:rFonts w:hint="eastAsia" w:ascii="宋体" w:hAnsi="宋体" w:eastAsia="宋体" w:cs="宋体"/>
          <w:b/>
          <w:color w:val="auto"/>
          <w:kern w:val="0"/>
          <w:szCs w:val="21"/>
          <w:highlight w:val="none"/>
          <w:u w:val="single"/>
        </w:rPr>
        <w:t>本项目投标最高限价的</w:t>
      </w:r>
      <w:bookmarkEnd w:id="286"/>
      <w:bookmarkEnd w:id="287"/>
      <w:r>
        <w:rPr>
          <w:rFonts w:hint="eastAsia" w:ascii="宋体" w:hAnsi="宋体" w:eastAsia="宋体" w:cs="宋体"/>
          <w:b/>
          <w:bCs/>
          <w:color w:val="auto"/>
          <w:kern w:val="0"/>
          <w:szCs w:val="24"/>
          <w:highlight w:val="none"/>
          <w:u w:val="single"/>
        </w:rPr>
        <w:t>，该投标人的投标文件将被视为无效投标</w:t>
      </w:r>
      <w:r>
        <w:rPr>
          <w:rFonts w:hint="eastAsia" w:ascii="宋体" w:hAnsi="宋体" w:eastAsia="宋体" w:cs="宋体"/>
          <w:b/>
          <w:color w:val="auto"/>
          <w:szCs w:val="21"/>
          <w:highlight w:val="none"/>
          <w:u w:val="single"/>
          <w:lang w:val="zh-CN"/>
        </w:rPr>
        <w:t>。本项目的不含税</w:t>
      </w:r>
      <w:bookmarkStart w:id="288" w:name="OLE_LINK374"/>
      <w:r>
        <w:rPr>
          <w:rFonts w:hint="eastAsia" w:ascii="宋体" w:hAnsi="宋体" w:eastAsia="宋体" w:cs="宋体"/>
          <w:b/>
          <w:color w:val="auto"/>
          <w:szCs w:val="21"/>
          <w:highlight w:val="none"/>
          <w:u w:val="single"/>
        </w:rPr>
        <w:t>总价</w:t>
      </w:r>
      <w:bookmarkEnd w:id="288"/>
      <w:r>
        <w:rPr>
          <w:rFonts w:hint="eastAsia" w:ascii="宋体" w:hAnsi="宋体" w:eastAsia="宋体" w:cs="宋体"/>
          <w:b/>
          <w:color w:val="auto"/>
          <w:kern w:val="0"/>
          <w:szCs w:val="21"/>
          <w:highlight w:val="none"/>
          <w:u w:val="single"/>
        </w:rPr>
        <w:t>投标最高限价</w:t>
      </w:r>
      <w:r>
        <w:rPr>
          <w:rFonts w:hint="eastAsia" w:ascii="宋体" w:hAnsi="宋体" w:eastAsia="宋体" w:cs="宋体"/>
          <w:b/>
          <w:bCs/>
          <w:color w:val="auto"/>
          <w:szCs w:val="21"/>
          <w:highlight w:val="none"/>
          <w:u w:val="single"/>
          <w:lang w:val="zh-CN"/>
        </w:rPr>
        <w:t>为</w:t>
      </w:r>
      <w:bookmarkStart w:id="289" w:name="OLE_LINK378"/>
      <w:r>
        <w:rPr>
          <w:rFonts w:hint="eastAsia" w:ascii="宋体" w:hAnsi="宋体" w:eastAsia="宋体" w:cs="宋体"/>
          <w:b/>
          <w:color w:val="auto"/>
          <w:szCs w:val="21"/>
          <w:highlight w:val="none"/>
          <w:u w:val="single"/>
        </w:rPr>
        <w:t>¥32,581,393.85</w:t>
      </w:r>
      <w:r>
        <w:rPr>
          <w:rFonts w:hint="eastAsia" w:ascii="宋体" w:hAnsi="宋体" w:eastAsia="宋体" w:cs="宋体"/>
          <w:b/>
          <w:bCs/>
          <w:color w:val="auto"/>
          <w:szCs w:val="21"/>
          <w:highlight w:val="none"/>
          <w:u w:val="single"/>
          <w:lang w:val="zh-CN"/>
        </w:rPr>
        <w:t>元</w:t>
      </w:r>
      <w:bookmarkEnd w:id="289"/>
      <w:r>
        <w:rPr>
          <w:rFonts w:hint="eastAsia" w:ascii="宋体" w:hAnsi="宋体" w:eastAsia="宋体" w:cs="宋体"/>
          <w:b/>
          <w:bCs/>
          <w:color w:val="auto"/>
          <w:szCs w:val="21"/>
          <w:highlight w:val="none"/>
          <w:u w:val="single"/>
          <w:lang w:val="zh-CN"/>
        </w:rPr>
        <w:t>（大写</w:t>
      </w:r>
      <w:r>
        <w:rPr>
          <w:rFonts w:hint="eastAsia" w:ascii="宋体" w:hAnsi="宋体" w:eastAsia="宋体" w:cs="宋体"/>
          <w:b/>
          <w:color w:val="auto"/>
          <w:szCs w:val="21"/>
          <w:highlight w:val="none"/>
          <w:u w:val="single"/>
          <w:lang w:val="zh-CN"/>
        </w:rPr>
        <w:t>：人民币</w:t>
      </w:r>
      <w:r>
        <w:rPr>
          <w:rFonts w:hint="eastAsia" w:ascii="宋体" w:hAnsi="宋体" w:eastAsia="宋体" w:cs="宋体"/>
          <w:b/>
          <w:color w:val="auto"/>
          <w:szCs w:val="21"/>
          <w:highlight w:val="none"/>
          <w:u w:val="single"/>
          <w:lang w:val="en-US" w:eastAsia="zh-CN"/>
        </w:rPr>
        <w:t>叁仟贰佰伍拾捌万壹仟叁佰玖拾叁元捌角伍分</w:t>
      </w:r>
      <w:r>
        <w:rPr>
          <w:rFonts w:hint="eastAsia" w:ascii="宋体" w:hAnsi="宋体" w:eastAsia="宋体" w:cs="宋体"/>
          <w:b/>
          <w:color w:val="auto"/>
          <w:szCs w:val="21"/>
          <w:highlight w:val="none"/>
          <w:u w:val="single"/>
          <w:lang w:val="zh-CN"/>
        </w:rPr>
        <w:t>）</w:t>
      </w:r>
      <w:bookmarkEnd w:id="283"/>
      <w:bookmarkEnd w:id="284"/>
      <w:r>
        <w:rPr>
          <w:rFonts w:hint="eastAsia" w:ascii="宋体" w:hAnsi="宋体" w:eastAsia="宋体" w:cs="宋体"/>
          <w:b/>
          <w:bCs/>
          <w:color w:val="auto"/>
          <w:szCs w:val="21"/>
          <w:highlight w:val="none"/>
          <w:lang w:val="zh-CN"/>
        </w:rPr>
        <w:t>。</w:t>
      </w:r>
    </w:p>
    <w:p w14:paraId="3C65D9AD">
      <w:pPr>
        <w:autoSpaceDE w:val="0"/>
        <w:autoSpaceDN w:val="0"/>
        <w:adjustRightInd w:val="0"/>
        <w:spacing w:line="360" w:lineRule="auto"/>
        <w:ind w:left="357" w:leftChars="-100" w:hanging="567"/>
        <w:rPr>
          <w:rFonts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     </w:t>
      </w:r>
    </w:p>
    <w:p w14:paraId="553062F5">
      <w:pPr>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290" w:name="_Toc486167676"/>
      <w:bookmarkStart w:id="291" w:name="_Toc450662862"/>
      <w:bookmarkStart w:id="292" w:name="_Toc20950"/>
      <w:bookmarkStart w:id="293" w:name="_Toc199"/>
      <w:bookmarkStart w:id="294" w:name="_Toc32740"/>
      <w:bookmarkStart w:id="295" w:name="_Toc3469"/>
      <w:bookmarkStart w:id="296" w:name="_Toc30042_WPSOffice_Level3"/>
      <w:bookmarkStart w:id="297" w:name="_Toc195714230"/>
      <w:bookmarkStart w:id="298" w:name="_Toc142508326"/>
      <w:bookmarkStart w:id="299" w:name="_Toc20312"/>
      <w:bookmarkStart w:id="300" w:name="_Toc2284"/>
      <w:r>
        <w:rPr>
          <w:rFonts w:hint="eastAsia" w:ascii="宋体" w:hAnsi="宋体" w:eastAsia="宋体" w:cs="宋体"/>
          <w:b/>
          <w:color w:val="auto"/>
          <w:szCs w:val="21"/>
          <w:highlight w:val="none"/>
          <w:lang w:val="zh-CN"/>
        </w:rPr>
        <w:t>12 投标报价货币</w:t>
      </w:r>
      <w:bookmarkEnd w:id="290"/>
      <w:bookmarkEnd w:id="291"/>
      <w:bookmarkEnd w:id="292"/>
      <w:bookmarkEnd w:id="293"/>
      <w:bookmarkEnd w:id="294"/>
      <w:bookmarkEnd w:id="295"/>
      <w:bookmarkEnd w:id="296"/>
      <w:bookmarkEnd w:id="297"/>
      <w:bookmarkEnd w:id="298"/>
      <w:bookmarkEnd w:id="299"/>
      <w:bookmarkEnd w:id="300"/>
    </w:p>
    <w:p w14:paraId="23161183">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本项目投标报价或以投标报价换算的金额采用的币种为人民币，以其</w:t>
      </w:r>
      <w:r>
        <w:rPr>
          <w:rFonts w:hint="eastAsia" w:ascii="宋体" w:hAnsi="宋体" w:eastAsia="宋体" w:cs="宋体"/>
          <w:b/>
          <w:color w:val="auto"/>
          <w:szCs w:val="21"/>
          <w:highlight w:val="none"/>
        </w:rPr>
        <w:t>他</w:t>
      </w:r>
      <w:r>
        <w:rPr>
          <w:rFonts w:hint="eastAsia" w:ascii="宋体" w:hAnsi="宋体" w:eastAsia="宋体" w:cs="宋体"/>
          <w:b/>
          <w:color w:val="auto"/>
          <w:szCs w:val="21"/>
          <w:highlight w:val="none"/>
          <w:lang w:val="zh-CN"/>
        </w:rPr>
        <w:t>货币标价的投标将予以拒绝。</w:t>
      </w:r>
    </w:p>
    <w:p w14:paraId="4360D6D2">
      <w:pPr>
        <w:autoSpaceDE w:val="0"/>
        <w:autoSpaceDN w:val="0"/>
        <w:adjustRightInd w:val="0"/>
        <w:spacing w:line="360" w:lineRule="auto"/>
        <w:ind w:left="265" w:leftChars="119" w:hanging="15"/>
        <w:rPr>
          <w:rFonts w:ascii="宋体" w:hAnsi="宋体" w:eastAsia="宋体" w:cs="宋体"/>
          <w:color w:val="auto"/>
          <w:szCs w:val="21"/>
          <w:highlight w:val="none"/>
        </w:rPr>
      </w:pPr>
    </w:p>
    <w:p w14:paraId="39641EBC">
      <w:pPr>
        <w:tabs>
          <w:tab w:val="left" w:pos="57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01" w:name="_Toc9411_WPSOffice_Level3"/>
      <w:bookmarkStart w:id="302" w:name="_Toc195714231"/>
      <w:bookmarkStart w:id="303" w:name="_Toc26828"/>
      <w:bookmarkStart w:id="304" w:name="_Toc142508327"/>
      <w:bookmarkStart w:id="305" w:name="_Toc486167677"/>
      <w:bookmarkStart w:id="306" w:name="_Toc3961"/>
      <w:bookmarkStart w:id="307" w:name="_Toc20031"/>
      <w:bookmarkStart w:id="308" w:name="_Toc21705"/>
      <w:bookmarkStart w:id="309" w:name="_Toc24570"/>
      <w:bookmarkStart w:id="310" w:name="_Toc9097"/>
      <w:bookmarkStart w:id="311" w:name="_Toc450662863"/>
      <w:r>
        <w:rPr>
          <w:rFonts w:hint="eastAsia" w:ascii="宋体" w:hAnsi="宋体" w:eastAsia="宋体" w:cs="宋体"/>
          <w:color w:val="auto"/>
          <w:szCs w:val="21"/>
          <w:highlight w:val="none"/>
          <w:lang w:val="zh-CN"/>
        </w:rPr>
        <w:t>13 证明投标人的合格性和资格的声明文件</w:t>
      </w:r>
      <w:bookmarkEnd w:id="301"/>
      <w:bookmarkEnd w:id="302"/>
      <w:bookmarkEnd w:id="303"/>
      <w:bookmarkEnd w:id="304"/>
      <w:bookmarkEnd w:id="305"/>
      <w:bookmarkEnd w:id="306"/>
      <w:bookmarkEnd w:id="307"/>
      <w:bookmarkEnd w:id="308"/>
      <w:bookmarkEnd w:id="309"/>
      <w:bookmarkEnd w:id="310"/>
      <w:bookmarkEnd w:id="311"/>
    </w:p>
    <w:p w14:paraId="12DA685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6E441817">
      <w:pPr>
        <w:autoSpaceDE w:val="0"/>
        <w:autoSpaceDN w:val="0"/>
        <w:adjustRightInd w:val="0"/>
        <w:spacing w:line="360" w:lineRule="auto"/>
        <w:ind w:left="357" w:leftChars="-100" w:hanging="567"/>
        <w:outlineLvl w:val="1"/>
        <w:rPr>
          <w:rFonts w:ascii="宋体" w:hAnsi="宋体" w:eastAsia="宋体" w:cs="宋体"/>
          <w:color w:val="auto"/>
          <w:szCs w:val="21"/>
          <w:highlight w:val="none"/>
          <w:vertAlign w:val="superscript"/>
          <w:lang w:val="zh-CN"/>
        </w:rPr>
      </w:pPr>
      <w:bookmarkStart w:id="312" w:name="_Toc1492"/>
      <w:bookmarkStart w:id="313" w:name="_Toc28005"/>
      <w:bookmarkStart w:id="314" w:name="_Toc21754"/>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bookmarkEnd w:id="312"/>
      <w:bookmarkEnd w:id="313"/>
      <w:bookmarkEnd w:id="314"/>
    </w:p>
    <w:p w14:paraId="50E5C15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301461C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34D7F77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（3）投标人证明其相应资格符合或优于招标文件要求的其它文件。</w:t>
      </w:r>
    </w:p>
    <w:p w14:paraId="2856A2D0">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投标人根据招标文件载明的货物及有关服务要求的实际情况，拟在中标后将中标项目的非主体、非关键性专业工作交由他人完成的，应当在投标文件中载明，并提供他人的资质、能力证明材料。</w:t>
      </w:r>
    </w:p>
    <w:p w14:paraId="62647FB8">
      <w:pPr>
        <w:autoSpaceDE w:val="0"/>
        <w:autoSpaceDN w:val="0"/>
        <w:adjustRightInd w:val="0"/>
        <w:spacing w:line="360" w:lineRule="auto"/>
        <w:ind w:left="357" w:leftChars="-100" w:hanging="567"/>
        <w:rPr>
          <w:rFonts w:ascii="宋体" w:hAnsi="宋体" w:eastAsia="宋体" w:cs="宋体"/>
          <w:color w:val="auto"/>
          <w:szCs w:val="21"/>
          <w:highlight w:val="none"/>
        </w:rPr>
      </w:pPr>
    </w:p>
    <w:p w14:paraId="0952E0B2">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15" w:name="_Toc22622"/>
      <w:bookmarkStart w:id="316" w:name="_Toc18559"/>
      <w:bookmarkStart w:id="317" w:name="_Toc29009"/>
      <w:bookmarkStart w:id="318" w:name="_Toc486167678"/>
      <w:bookmarkStart w:id="319" w:name="_Toc27771_WPSOffice_Level3"/>
      <w:bookmarkStart w:id="320" w:name="_Toc142508328"/>
      <w:bookmarkStart w:id="321" w:name="_Toc450662864"/>
      <w:bookmarkStart w:id="322" w:name="_Toc11182"/>
      <w:bookmarkStart w:id="323" w:name="_Toc29754"/>
      <w:bookmarkStart w:id="324" w:name="_Toc8615"/>
      <w:bookmarkStart w:id="325" w:name="_Toc195714232"/>
      <w:r>
        <w:rPr>
          <w:rFonts w:hint="eastAsia" w:ascii="宋体" w:hAnsi="宋体" w:eastAsia="宋体" w:cs="宋体"/>
          <w:color w:val="auto"/>
          <w:szCs w:val="21"/>
          <w:highlight w:val="none"/>
          <w:lang w:val="zh-CN"/>
        </w:rPr>
        <w:t>14 证明</w:t>
      </w:r>
      <w:r>
        <w:rPr>
          <w:rFonts w:hint="eastAsia" w:ascii="宋体" w:hAnsi="宋体" w:eastAsia="宋体" w:cs="宋体"/>
          <w:color w:val="auto"/>
          <w:szCs w:val="21"/>
          <w:highlight w:val="none"/>
        </w:rPr>
        <w:t>服务</w:t>
      </w:r>
      <w:r>
        <w:rPr>
          <w:rFonts w:hint="eastAsia" w:ascii="宋体" w:hAnsi="宋体" w:eastAsia="宋体" w:cs="宋体"/>
          <w:color w:val="auto"/>
          <w:szCs w:val="21"/>
          <w:highlight w:val="none"/>
          <w:lang w:val="zh-CN"/>
        </w:rPr>
        <w:t>的合格性并符合招标文件规定的声明文件</w:t>
      </w:r>
      <w:bookmarkEnd w:id="315"/>
      <w:bookmarkEnd w:id="316"/>
      <w:bookmarkEnd w:id="317"/>
      <w:bookmarkEnd w:id="318"/>
      <w:bookmarkEnd w:id="319"/>
      <w:bookmarkEnd w:id="320"/>
      <w:bookmarkEnd w:id="321"/>
      <w:bookmarkEnd w:id="322"/>
      <w:bookmarkEnd w:id="323"/>
      <w:bookmarkEnd w:id="324"/>
      <w:bookmarkEnd w:id="325"/>
    </w:p>
    <w:p w14:paraId="36FFE233">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4CCD0CDC">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385995B8">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u w:val="single"/>
          <w:lang w:val="zh-CN"/>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w:t>
      </w:r>
      <w:r>
        <w:rPr>
          <w:rFonts w:hint="eastAsia" w:ascii="宋体" w:hAnsi="宋体" w:eastAsia="宋体" w:cs="宋体"/>
          <w:b/>
          <w:color w:val="auto"/>
          <w:szCs w:val="21"/>
          <w:highlight w:val="none"/>
          <w:lang w:val="zh-CN"/>
        </w:rPr>
        <w:t>。</w:t>
      </w:r>
    </w:p>
    <w:p w14:paraId="0ED792F2">
      <w:pPr>
        <w:autoSpaceDE w:val="0"/>
        <w:autoSpaceDN w:val="0"/>
        <w:adjustRightInd w:val="0"/>
        <w:spacing w:line="360" w:lineRule="auto"/>
        <w:rPr>
          <w:rFonts w:ascii="宋体" w:hAnsi="宋体" w:eastAsia="宋体" w:cs="宋体"/>
          <w:color w:val="auto"/>
          <w:kern w:val="0"/>
          <w:sz w:val="24"/>
          <w:szCs w:val="24"/>
          <w:highlight w:val="none"/>
        </w:rPr>
      </w:pPr>
    </w:p>
    <w:p w14:paraId="16239791">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26" w:name="_Toc9240"/>
      <w:bookmarkStart w:id="327" w:name="_Toc195714233"/>
      <w:bookmarkStart w:id="328" w:name="_Toc3206"/>
      <w:bookmarkStart w:id="329" w:name="_Toc142508329"/>
      <w:bookmarkStart w:id="330" w:name="_Toc373"/>
      <w:bookmarkStart w:id="331" w:name="_Toc5356_WPSOffice_Level3"/>
      <w:bookmarkStart w:id="332" w:name="_Toc486167679"/>
      <w:bookmarkStart w:id="333" w:name="_Toc8644"/>
      <w:bookmarkStart w:id="334" w:name="_Toc3748"/>
      <w:bookmarkStart w:id="335" w:name="_Toc30555"/>
      <w:r>
        <w:rPr>
          <w:rFonts w:hint="eastAsia" w:ascii="宋体" w:hAnsi="宋体" w:eastAsia="宋体" w:cs="宋体"/>
          <w:color w:val="auto"/>
          <w:szCs w:val="21"/>
          <w:highlight w:val="none"/>
          <w:lang w:val="zh-CN"/>
        </w:rPr>
        <w:t>15 投标保证金</w:t>
      </w:r>
      <w:bookmarkEnd w:id="326"/>
      <w:bookmarkEnd w:id="327"/>
      <w:bookmarkEnd w:id="328"/>
      <w:bookmarkEnd w:id="329"/>
      <w:bookmarkEnd w:id="330"/>
      <w:bookmarkEnd w:id="331"/>
      <w:bookmarkEnd w:id="332"/>
      <w:bookmarkEnd w:id="333"/>
      <w:bookmarkEnd w:id="334"/>
      <w:bookmarkEnd w:id="335"/>
    </w:p>
    <w:p w14:paraId="677921E3">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.1 投标人在投标截止时间前，应按第一篇《招标公告》中规定的形式和金额提交投标保证金。投标保证金到账时间应为投标保证金的关联时间。投标保证金数据超过投标截止时间后到达交易系统的，无法关联。投标人应提前办理投标保证金手续，自行承担数据延误风险。投标人如发现到账异常情况，须在投标截止时间前向东莞市公共资源交易中心（以下简称交易中心）工作人员提出投标保证金到账异常处理申请。投标人必须在招标人接受的方式中任选一种提交投标保证金。对应于各种方式的投标保证金的提交要求如下：</w:t>
      </w:r>
    </w:p>
    <w:p w14:paraId="0D3B27CD">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（1）若采用单项投标保证金，投标人必须按全国公共资源交易平台（广东省·东莞市）办事指南的规定及时向交易中心缴存单项投标保证金，并确保上述款项在投标文件提交截止时间前匹配到本</w:t>
      </w:r>
      <w:r>
        <w:rPr>
          <w:rFonts w:hint="eastAsia" w:ascii="宋体" w:hAnsi="宋体" w:eastAsia="宋体" w:cs="宋体"/>
          <w:bCs/>
          <w:color w:val="auto"/>
          <w:kern w:val="0"/>
          <w:szCs w:val="21"/>
          <w:highlight w:val="none"/>
        </w:rPr>
        <w:t>项目</w:t>
      </w:r>
      <w:r>
        <w:rPr>
          <w:rFonts w:hint="eastAsia" w:ascii="宋体" w:hAnsi="宋体" w:eastAsia="宋体" w:cs="宋体"/>
          <w:bCs/>
          <w:color w:val="auto"/>
          <w:kern w:val="0"/>
          <w:szCs w:val="21"/>
          <w:highlight w:val="none"/>
          <w:lang w:val="zh-CN"/>
        </w:rPr>
        <w:t>，否则，其投标保证金视为无效。</w:t>
      </w:r>
    </w:p>
    <w:p w14:paraId="650EC19B">
      <w:pPr>
        <w:autoSpaceDE w:val="0"/>
        <w:autoSpaceDN w:val="0"/>
        <w:adjustRightInd w:val="0"/>
        <w:spacing w:line="360" w:lineRule="auto"/>
        <w:ind w:left="225" w:leftChars="107" w:firstLine="489" w:firstLineChars="233"/>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投标截止时间前，已在公共资源交易企业库建档的投标人应将保证金关联至本</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zh-CN"/>
        </w:rPr>
        <w:t>。具体要求详见全国公共资源交易平台（广东省·东莞市）（网址：https://ygp.gdzwfw.gov.cn/#/441900/index）办事指南中的相关规定。</w:t>
      </w:r>
    </w:p>
    <w:p w14:paraId="28F21181">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按《关于实行投标保证金企业基本账户备案制度的通知》(东建市〔2014〕18号)要求，缴纳的投标保证金须由投标人基本账户转出。投标人开具银行电子保函或保险电子保单存入的保证金（如有）及相关费用须从基本账户转出。投标保证金或相关费用不由其基本账户转入的，交易中心一律不予认定，无法参与投标的相关责任由投标人自行承担。</w:t>
      </w:r>
    </w:p>
    <w:p w14:paraId="55AA0A2A">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若采用银行电子保函或保险电子保单，投标人必须按《东莞市住房和城乡建设局关于我市房屋建筑和市政基础设施工程建设项目投标保证金使用银行电子保函及保险电子保单的通知》(东建市〔2022〕6号)规定办理，保证出具的保函或保单有效。保函或保单在投标人签到时关联。</w:t>
      </w:r>
    </w:p>
    <w:p w14:paraId="02B9FB88">
      <w:pPr>
        <w:autoSpaceDE w:val="0"/>
        <w:autoSpaceDN w:val="0"/>
        <w:adjustRightInd w:val="0"/>
        <w:spacing w:line="360" w:lineRule="auto"/>
        <w:ind w:left="225" w:leftChars="107" w:firstLine="489" w:firstLineChars="233"/>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银行电子保函参考样式按照《住房和城乡建设部关于印发工程保函示范文本的通知》（建市〔2021〕11号）执行。 保险公司所提供的建设工程保证保险条款应当经国家金融监督管理总局批准、备案或注册，并在本公司门户网站主动公开单位信息、投保单（范本）以及保险合同含条款（范本）。</w:t>
      </w:r>
    </w:p>
    <w:p w14:paraId="5C272FD4">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.2 投标人签到时应按本投标人须知第</w:t>
      </w: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.1</w:t>
      </w:r>
      <w:r>
        <w:rPr>
          <w:rFonts w:hint="eastAsia" w:ascii="宋体" w:hAnsi="宋体" w:eastAsia="宋体" w:cs="宋体"/>
          <w:bCs/>
          <w:color w:val="auto"/>
          <w:kern w:val="0"/>
          <w:szCs w:val="21"/>
          <w:highlight w:val="none"/>
        </w:rPr>
        <w:t>款</w:t>
      </w:r>
      <w:r>
        <w:rPr>
          <w:rFonts w:hint="eastAsia" w:ascii="宋体" w:hAnsi="宋体" w:eastAsia="宋体" w:cs="宋体"/>
          <w:bCs/>
          <w:color w:val="auto"/>
          <w:kern w:val="0"/>
          <w:szCs w:val="21"/>
          <w:highlight w:val="none"/>
          <w:lang w:val="zh-CN"/>
        </w:rPr>
        <w:t>要求提交投标保证金。投标截止时间前，投标人如果撤销签到，已关联的投标保证金同步取消关联；撤销签到的投标人可以重新签到并关联保证金。投标截止后，已关联的投标保证金不能取消关联。</w:t>
      </w:r>
    </w:p>
    <w:p w14:paraId="371DA366">
      <w:pPr>
        <w:tabs>
          <w:tab w:val="left" w:pos="567"/>
        </w:tabs>
        <w:autoSpaceDE w:val="0"/>
        <w:autoSpaceDN w:val="0"/>
        <w:adjustRightInd w:val="0"/>
        <w:spacing w:line="360" w:lineRule="auto"/>
        <w:ind w:left="357" w:leftChars="-100" w:hanging="567"/>
        <w:jc w:val="left"/>
        <w:outlineLvl w:val="1"/>
        <w:rPr>
          <w:rFonts w:ascii="宋体" w:hAnsi="宋体" w:eastAsia="宋体" w:cs="宋体"/>
          <w:bCs/>
          <w:color w:val="auto"/>
          <w:kern w:val="0"/>
          <w:szCs w:val="21"/>
          <w:highlight w:val="none"/>
          <w:lang w:val="zh-CN"/>
        </w:rPr>
      </w:pPr>
      <w:bookmarkStart w:id="336" w:name="_Toc23554"/>
      <w:bookmarkStart w:id="337" w:name="_Toc10723"/>
      <w:bookmarkStart w:id="338" w:name="_Toc17857"/>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.3 投标保证金退还程序。</w:t>
      </w:r>
      <w:bookmarkEnd w:id="336"/>
      <w:bookmarkEnd w:id="337"/>
      <w:bookmarkEnd w:id="338"/>
    </w:p>
    <w:p w14:paraId="5278FCB1">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（1）对未通过资格</w:t>
      </w:r>
      <w:r>
        <w:rPr>
          <w:rFonts w:hint="eastAsia" w:ascii="宋体" w:hAnsi="宋体" w:eastAsia="宋体" w:cs="宋体"/>
          <w:bCs/>
          <w:color w:val="auto"/>
          <w:kern w:val="0"/>
          <w:szCs w:val="21"/>
          <w:highlight w:val="none"/>
        </w:rPr>
        <w:t>性</w:t>
      </w:r>
      <w:r>
        <w:rPr>
          <w:rFonts w:hint="eastAsia" w:ascii="宋体" w:hAnsi="宋体" w:eastAsia="宋体" w:cs="宋体"/>
          <w:bCs/>
          <w:color w:val="auto"/>
          <w:kern w:val="0"/>
          <w:szCs w:val="21"/>
          <w:highlight w:val="none"/>
          <w:lang w:val="zh-CN"/>
        </w:rPr>
        <w:t>审查或未通过</w:t>
      </w:r>
      <w:r>
        <w:rPr>
          <w:rFonts w:hint="eastAsia" w:ascii="宋体" w:hAnsi="宋体" w:eastAsia="宋体" w:cs="宋体"/>
          <w:bCs/>
          <w:color w:val="auto"/>
          <w:kern w:val="0"/>
          <w:szCs w:val="21"/>
          <w:highlight w:val="none"/>
        </w:rPr>
        <w:t>符合性检查</w:t>
      </w:r>
      <w:r>
        <w:rPr>
          <w:rFonts w:hint="eastAsia" w:ascii="宋体" w:hAnsi="宋体" w:eastAsia="宋体" w:cs="宋体"/>
          <w:bCs/>
          <w:color w:val="auto"/>
          <w:kern w:val="0"/>
          <w:szCs w:val="21"/>
          <w:highlight w:val="none"/>
          <w:lang w:val="zh-CN"/>
        </w:rPr>
        <w:t>的投标人，招标人在</w:t>
      </w:r>
      <w:r>
        <w:rPr>
          <w:rFonts w:hint="eastAsia" w:ascii="宋体" w:hAnsi="宋体" w:eastAsia="宋体" w:cs="宋体"/>
          <w:bCs/>
          <w:color w:val="auto"/>
          <w:kern w:val="0"/>
          <w:szCs w:val="21"/>
          <w:highlight w:val="none"/>
        </w:rPr>
        <w:t>评标会</w:t>
      </w:r>
      <w:r>
        <w:rPr>
          <w:rFonts w:hint="eastAsia" w:ascii="宋体" w:hAnsi="宋体" w:eastAsia="宋体" w:cs="宋体"/>
          <w:bCs/>
          <w:color w:val="auto"/>
          <w:kern w:val="0"/>
          <w:szCs w:val="21"/>
          <w:highlight w:val="none"/>
          <w:lang w:val="zh-CN"/>
        </w:rPr>
        <w:t>结束后第一个工作日向交易中心发送退还指令；</w:t>
      </w:r>
    </w:p>
    <w:p w14:paraId="440A24E0">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（2）对除中标候选人外的投标人，招标人在发布评标结果公示后3个工作日内向交易中心发送退还指令；</w:t>
      </w:r>
    </w:p>
    <w:p w14:paraId="3CD4FA07">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（3）招标人与中标人在签订书面合同后3个工作日内向交易中心对中标人及其余中标候选人投标保证金发送退还指令。</w:t>
      </w:r>
    </w:p>
    <w:p w14:paraId="6BDB2CC3">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（4）若</w:t>
      </w:r>
      <w:r>
        <w:rPr>
          <w:rFonts w:hint="eastAsia" w:ascii="宋体" w:hAnsi="宋体" w:eastAsia="宋体" w:cs="宋体"/>
          <w:bCs/>
          <w:color w:val="auto"/>
          <w:kern w:val="0"/>
          <w:szCs w:val="21"/>
          <w:highlight w:val="none"/>
        </w:rPr>
        <w:t>项目</w:t>
      </w:r>
      <w:r>
        <w:rPr>
          <w:rFonts w:hint="eastAsia" w:ascii="宋体" w:hAnsi="宋体" w:eastAsia="宋体" w:cs="宋体"/>
          <w:bCs/>
          <w:color w:val="auto"/>
          <w:kern w:val="0"/>
          <w:szCs w:val="21"/>
          <w:highlight w:val="none"/>
          <w:lang w:val="zh-CN"/>
        </w:rPr>
        <w:t>受到监督部门调查时，招标人根据实际情况处理投标保证金退回有关工作。招标人将按调查结果处理涉事投标保证金。</w:t>
      </w:r>
    </w:p>
    <w:p w14:paraId="77EB345E">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（5）如因投诉等异常情况不能正常签发中标通知书，招标人可以退回未中标的且不涉及异常情况处理投标人的投标保证金发送退还指令。</w:t>
      </w:r>
    </w:p>
    <w:p w14:paraId="3F9EB90E">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.4 投标保证金有效期应当与投标有效期一致。招标人如果按本</w:t>
      </w:r>
      <w:r>
        <w:rPr>
          <w:rFonts w:hint="eastAsia" w:ascii="宋体" w:hAnsi="宋体" w:eastAsia="宋体" w:cs="宋体"/>
          <w:bCs/>
          <w:color w:val="auto"/>
          <w:kern w:val="0"/>
          <w:szCs w:val="21"/>
          <w:highlight w:val="none"/>
        </w:rPr>
        <w:t>投标人</w:t>
      </w:r>
      <w:r>
        <w:rPr>
          <w:rFonts w:hint="eastAsia" w:ascii="宋体" w:hAnsi="宋体" w:eastAsia="宋体" w:cs="宋体"/>
          <w:bCs/>
          <w:color w:val="auto"/>
          <w:kern w:val="0"/>
          <w:szCs w:val="21"/>
          <w:highlight w:val="none"/>
          <w:lang w:val="zh-CN"/>
        </w:rPr>
        <w:t>须知第</w:t>
      </w:r>
      <w:r>
        <w:rPr>
          <w:rFonts w:hint="eastAsia" w:ascii="宋体" w:hAnsi="宋体" w:eastAsia="宋体" w:cs="宋体"/>
          <w:bCs/>
          <w:color w:val="auto"/>
          <w:kern w:val="0"/>
          <w:szCs w:val="21"/>
          <w:highlight w:val="none"/>
        </w:rPr>
        <w:t>16.3款</w:t>
      </w:r>
      <w:r>
        <w:rPr>
          <w:rFonts w:hint="eastAsia" w:ascii="宋体" w:hAnsi="宋体" w:eastAsia="宋体" w:cs="宋体"/>
          <w:bCs/>
          <w:color w:val="auto"/>
          <w:kern w:val="0"/>
          <w:szCs w:val="21"/>
          <w:highlight w:val="none"/>
          <w:lang w:val="zh-CN"/>
        </w:rPr>
        <w:t>的规定延长了投标文件有效期，则投标保证金的有效期也相应延长。</w:t>
      </w:r>
    </w:p>
    <w:p w14:paraId="4B2A47A7">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 xml:space="preserve">.5 若发生下列情况，招标人在书面通知投标人（或中标人）后有权不予退还投标保证金： </w:t>
      </w:r>
    </w:p>
    <w:p w14:paraId="36D37205">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（1）投标人在规定的投标截止时间后至投标有效期满之前撤销或修改其投标文件；</w:t>
      </w:r>
    </w:p>
    <w:p w14:paraId="09A7BD13">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（2）中标人未能在规定期限内提交履约担保；</w:t>
      </w:r>
    </w:p>
    <w:p w14:paraId="019409AA">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（3）未根据</w:t>
      </w:r>
      <w:r>
        <w:rPr>
          <w:rFonts w:hint="eastAsia" w:ascii="宋体" w:hAnsi="宋体" w:eastAsia="宋体" w:cs="宋体"/>
          <w:bCs/>
          <w:color w:val="auto"/>
          <w:kern w:val="0"/>
          <w:szCs w:val="21"/>
          <w:highlight w:val="none"/>
        </w:rPr>
        <w:t>本投标人须知</w:t>
      </w:r>
      <w:r>
        <w:rPr>
          <w:rFonts w:hint="eastAsia" w:ascii="宋体" w:hAnsi="宋体" w:eastAsia="宋体" w:cs="宋体"/>
          <w:bCs/>
          <w:color w:val="auto"/>
          <w:kern w:val="0"/>
          <w:szCs w:val="21"/>
          <w:highlight w:val="none"/>
          <w:lang w:val="zh-CN"/>
        </w:rPr>
        <w:t>第3</w:t>
      </w:r>
      <w:r>
        <w:rPr>
          <w:rFonts w:hint="eastAsia" w:ascii="宋体" w:hAnsi="宋体" w:eastAsia="宋体" w:cs="宋体"/>
          <w:bCs/>
          <w:color w:val="auto"/>
          <w:kern w:val="0"/>
          <w:szCs w:val="21"/>
          <w:highlight w:val="none"/>
        </w:rPr>
        <w:t>6</w:t>
      </w:r>
      <w:r>
        <w:rPr>
          <w:rFonts w:hint="eastAsia" w:ascii="宋体" w:hAnsi="宋体" w:eastAsia="宋体" w:cs="宋体"/>
          <w:bCs/>
          <w:color w:val="auto"/>
          <w:kern w:val="0"/>
          <w:szCs w:val="21"/>
          <w:highlight w:val="none"/>
          <w:lang w:val="zh-CN"/>
        </w:rPr>
        <w:t>条规定签署合同；</w:t>
      </w:r>
    </w:p>
    <w:p w14:paraId="78202E76">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（4）将中标项目转让给他人，或者在投标文件中未说明，且未经招标人同意，将中标项目的合同的权利义务转让给第三方的；</w:t>
      </w:r>
    </w:p>
    <w:p w14:paraId="0D956A08">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（5）提供虚假投标文件或虚假补充文件的，或违反《中华人民共和国招标投标法》等有关法律、法规、规章及招标投标相关规定的行为。</w:t>
      </w:r>
    </w:p>
    <w:p w14:paraId="4DA93FE7">
      <w:pPr>
        <w:tabs>
          <w:tab w:val="left" w:pos="567"/>
        </w:tabs>
        <w:autoSpaceDE w:val="0"/>
        <w:autoSpaceDN w:val="0"/>
        <w:adjustRightInd w:val="0"/>
        <w:spacing w:line="360" w:lineRule="auto"/>
        <w:ind w:left="357" w:leftChars="-100" w:hanging="567"/>
        <w:jc w:val="left"/>
        <w:outlineLvl w:val="1"/>
        <w:rPr>
          <w:rFonts w:ascii="宋体" w:hAnsi="宋体" w:eastAsia="宋体" w:cs="宋体"/>
          <w:bCs/>
          <w:color w:val="auto"/>
          <w:kern w:val="0"/>
          <w:szCs w:val="21"/>
          <w:highlight w:val="none"/>
        </w:rPr>
      </w:pPr>
      <w:bookmarkStart w:id="339" w:name="_Toc32409"/>
      <w:bookmarkStart w:id="340" w:name="_Toc20321"/>
      <w:bookmarkStart w:id="341" w:name="_Toc1712"/>
      <w:r>
        <w:rPr>
          <w:rFonts w:hint="eastAsia" w:ascii="宋体" w:hAnsi="宋体" w:eastAsia="宋体" w:cs="宋体"/>
          <w:bCs/>
          <w:color w:val="auto"/>
          <w:kern w:val="0"/>
          <w:szCs w:val="21"/>
          <w:highlight w:val="none"/>
        </w:rPr>
        <w:t>15.6 对于提交银行电子保函（保险电子保单）的有关注意事项：</w:t>
      </w:r>
      <w:bookmarkEnd w:id="339"/>
      <w:bookmarkEnd w:id="340"/>
      <w:bookmarkEnd w:id="341"/>
    </w:p>
    <w:p w14:paraId="37A6B696">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6.1投标人所提交的银行电子保函（保险电子保单）经核实出现以下情况的，作自动弃权处理：①担保的有效期或金额不符合要求的；②出现不符合招标文件要求或招标人不能接受的条款。</w:t>
      </w:r>
    </w:p>
    <w:p w14:paraId="00DF632A">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6.2投标人应当选择具备银行电子保函（保险电子保单）相关业务的银行（保险公司）开具投标保函（保单）。具备相关业务的银行（保险公司）应满足能与交易中心端口对接、关联基本账户、退款等条件，以保证电子指令的正常发送与接收。</w:t>
      </w:r>
    </w:p>
    <w:p w14:paraId="5691D239">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6.3银行电子保函采用“电子保函+电子指令”模式，保险电子保单采用“电子保单+电子指令”模式，即银行（保险公司）向投标人开具电子保函（保单）的同时向交易中心发送经加密的电子指令，投标人自行登录交易系统进行确认。</w:t>
      </w:r>
    </w:p>
    <w:p w14:paraId="606C24DE">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6.4投标人需预留足够的时间，提前办理好银行电子保函或保险电子保单，自行查询确认电子指令是否已经送到交易中心，并核对相关资料和信息的准确性。若投标人未预留足够的时间办理相关手续，因网络或系统等原因导致电子指令超过投标文件递交截止时间未能到达交易系统导致招标人拒绝其投标的，其后果由投标人自行负责。</w:t>
      </w:r>
    </w:p>
    <w:p w14:paraId="0D7DF0F4">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7</w:t>
      </w:r>
      <w:r>
        <w:rPr>
          <w:rFonts w:hint="eastAsia" w:ascii="宋体" w:hAnsi="宋体" w:eastAsia="宋体" w:cs="宋体"/>
          <w:bCs/>
          <w:color w:val="auto"/>
          <w:kern w:val="0"/>
          <w:szCs w:val="21"/>
          <w:highlight w:val="none"/>
        </w:rPr>
        <w:t xml:space="preserve"> </w:t>
      </w:r>
      <w:r>
        <w:rPr>
          <w:rFonts w:hint="eastAsia" w:ascii="宋体" w:hAnsi="宋体" w:eastAsia="宋体" w:cs="宋体"/>
          <w:bCs/>
          <w:color w:val="auto"/>
          <w:kern w:val="0"/>
          <w:szCs w:val="21"/>
          <w:highlight w:val="none"/>
          <w:lang w:val="zh-CN"/>
        </w:rPr>
        <w:t>投标保证金缴存银行</w:t>
      </w:r>
      <w:r>
        <w:rPr>
          <w:rFonts w:hint="eastAsia" w:ascii="宋体" w:hAnsi="宋体" w:eastAsia="宋体" w:cs="宋体"/>
          <w:bCs/>
          <w:color w:val="auto"/>
          <w:kern w:val="0"/>
          <w:szCs w:val="21"/>
          <w:highlight w:val="none"/>
        </w:rPr>
        <w:t>账户</w:t>
      </w:r>
      <w:r>
        <w:rPr>
          <w:rFonts w:hint="eastAsia" w:ascii="宋体" w:hAnsi="宋体" w:eastAsia="宋体" w:cs="宋体"/>
          <w:bCs/>
          <w:color w:val="auto"/>
          <w:kern w:val="0"/>
          <w:szCs w:val="21"/>
          <w:highlight w:val="none"/>
          <w:lang w:val="zh-CN"/>
        </w:rPr>
        <w:t>见全国公共资源交易平台（广东省·东莞市）办事指南。</w:t>
      </w:r>
    </w:p>
    <w:p w14:paraId="1F0FB9D8">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7B66F69F">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42" w:name="_Toc2317"/>
      <w:bookmarkStart w:id="343" w:name="_Toc142508330"/>
      <w:bookmarkStart w:id="344" w:name="_Toc16480"/>
      <w:bookmarkStart w:id="345" w:name="_Toc195714234"/>
      <w:bookmarkStart w:id="346" w:name="_Toc486167680"/>
      <w:bookmarkStart w:id="347" w:name="_Toc5674"/>
      <w:bookmarkStart w:id="348" w:name="_Toc22649_WPSOffice_Level3"/>
      <w:bookmarkStart w:id="349" w:name="_Toc13276"/>
      <w:bookmarkStart w:id="350" w:name="_Toc1458"/>
      <w:bookmarkStart w:id="351" w:name="_Toc450662865"/>
      <w:bookmarkStart w:id="352" w:name="_Toc29607"/>
      <w:r>
        <w:rPr>
          <w:rFonts w:hint="eastAsia" w:ascii="宋体" w:hAnsi="宋体" w:eastAsia="宋体" w:cs="宋体"/>
          <w:color w:val="auto"/>
          <w:szCs w:val="21"/>
          <w:highlight w:val="none"/>
          <w:lang w:val="zh-CN"/>
        </w:rPr>
        <w:t>16 投标有效期</w:t>
      </w:r>
      <w:bookmarkEnd w:id="342"/>
      <w:bookmarkEnd w:id="343"/>
      <w:bookmarkEnd w:id="344"/>
      <w:bookmarkEnd w:id="345"/>
      <w:bookmarkEnd w:id="346"/>
      <w:bookmarkEnd w:id="347"/>
      <w:bookmarkEnd w:id="348"/>
      <w:bookmarkEnd w:id="349"/>
      <w:bookmarkEnd w:id="350"/>
      <w:bookmarkEnd w:id="351"/>
      <w:bookmarkEnd w:id="352"/>
    </w:p>
    <w:p w14:paraId="3411BFEF">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6B8579C7">
      <w:pPr>
        <w:autoSpaceDE w:val="0"/>
        <w:autoSpaceDN w:val="0"/>
        <w:adjustRightInd w:val="0"/>
        <w:spacing w:line="360" w:lineRule="auto"/>
        <w:ind w:left="357" w:leftChars="-100" w:hanging="567"/>
        <w:outlineLvl w:val="1"/>
        <w:rPr>
          <w:rFonts w:ascii="宋体" w:hAnsi="宋体" w:eastAsia="宋体" w:cs="宋体"/>
          <w:color w:val="auto"/>
          <w:szCs w:val="21"/>
          <w:highlight w:val="none"/>
          <w:lang w:val="zh-CN"/>
        </w:rPr>
      </w:pPr>
      <w:bookmarkStart w:id="353" w:name="_Toc20357"/>
      <w:bookmarkStart w:id="354" w:name="_Toc24424"/>
      <w:bookmarkStart w:id="355" w:name="_Toc13330"/>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bookmarkEnd w:id="353"/>
      <w:bookmarkEnd w:id="354"/>
      <w:bookmarkEnd w:id="355"/>
    </w:p>
    <w:p w14:paraId="24495C7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zh-CN"/>
        </w:rPr>
        <w:t>将退还其投标保证金。对于同意该要求的投标人，既不要求也不允许其修改投标文件，但将要求其相应延长投标保证金的有效期。第15条投标保证金的有关规定在投标保证金延长期内仍适用。</w:t>
      </w:r>
    </w:p>
    <w:p w14:paraId="651970F5">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6E5E0234">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56" w:name="_Toc195714235"/>
      <w:bookmarkStart w:id="357" w:name="_Toc25637_WPSOffice_Level3"/>
      <w:bookmarkStart w:id="358" w:name="_Toc15065"/>
      <w:bookmarkStart w:id="359" w:name="_Toc32032"/>
      <w:bookmarkStart w:id="360" w:name="_Toc486167681"/>
      <w:bookmarkStart w:id="361" w:name="_Toc932"/>
      <w:bookmarkStart w:id="362" w:name="_Toc20422"/>
      <w:bookmarkStart w:id="363" w:name="_Toc29025"/>
      <w:bookmarkStart w:id="364" w:name="_Toc142508331"/>
      <w:bookmarkStart w:id="365" w:name="_Toc25839"/>
      <w:bookmarkStart w:id="366" w:name="_Toc450662866"/>
      <w:r>
        <w:rPr>
          <w:rFonts w:hint="eastAsia" w:ascii="宋体" w:hAnsi="宋体" w:eastAsia="宋体" w:cs="宋体"/>
          <w:color w:val="auto"/>
          <w:szCs w:val="21"/>
          <w:highlight w:val="none"/>
          <w:lang w:val="zh-CN"/>
        </w:rPr>
        <w:t>17 投标文件的编制和签署</w:t>
      </w:r>
      <w:bookmarkEnd w:id="356"/>
      <w:bookmarkEnd w:id="357"/>
      <w:bookmarkEnd w:id="358"/>
      <w:bookmarkEnd w:id="359"/>
      <w:bookmarkEnd w:id="360"/>
      <w:bookmarkEnd w:id="361"/>
      <w:bookmarkEnd w:id="362"/>
      <w:bookmarkEnd w:id="363"/>
      <w:bookmarkEnd w:id="364"/>
      <w:bookmarkEnd w:id="365"/>
      <w:bookmarkEnd w:id="366"/>
    </w:p>
    <w:p w14:paraId="0FDC97A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投标文件采用电子标书形式编制。投标人使用网络上传投标文件。</w:t>
      </w:r>
      <w:r>
        <w:rPr>
          <w:rFonts w:hint="eastAsia" w:ascii="宋体" w:hAnsi="宋体" w:eastAsia="宋体" w:cs="宋体"/>
          <w:b/>
          <w:bCs/>
          <w:color w:val="auto"/>
          <w:szCs w:val="21"/>
          <w:highlight w:val="none"/>
          <w:lang w:val="zh-CN"/>
        </w:rPr>
        <w:t>招标人名称</w:t>
      </w:r>
      <w:r>
        <w:rPr>
          <w:rFonts w:hint="eastAsia" w:ascii="宋体" w:hAnsi="宋体" w:eastAsia="宋体" w:cs="宋体"/>
          <w:b/>
          <w:bCs/>
          <w:color w:val="auto"/>
          <w:szCs w:val="21"/>
          <w:highlight w:val="none"/>
          <w:lang w:val="en-US" w:eastAsia="zh-CN"/>
        </w:rPr>
        <w:t>将于本项目公告期间</w:t>
      </w:r>
      <w:r>
        <w:rPr>
          <w:rFonts w:hint="eastAsia" w:ascii="宋体" w:hAnsi="宋体" w:eastAsia="宋体" w:cs="宋体"/>
          <w:b/>
          <w:bCs/>
          <w:color w:val="auto"/>
          <w:szCs w:val="21"/>
          <w:highlight w:val="none"/>
          <w:lang w:val="zh-CN"/>
        </w:rPr>
        <w:t>发生</w:t>
      </w:r>
      <w:r>
        <w:rPr>
          <w:rFonts w:hint="eastAsia" w:ascii="宋体" w:hAnsi="宋体" w:eastAsia="宋体" w:cs="宋体"/>
          <w:b/>
          <w:bCs/>
          <w:color w:val="auto"/>
          <w:szCs w:val="21"/>
          <w:highlight w:val="none"/>
          <w:lang w:val="zh-CN" w:eastAsia="zh-CN"/>
        </w:rPr>
        <w:t>工商</w:t>
      </w:r>
      <w:r>
        <w:rPr>
          <w:rFonts w:hint="eastAsia" w:ascii="宋体" w:hAnsi="宋体" w:eastAsia="宋体" w:cs="宋体"/>
          <w:b/>
          <w:bCs/>
          <w:color w:val="auto"/>
          <w:szCs w:val="21"/>
          <w:highlight w:val="none"/>
          <w:lang w:val="zh-CN"/>
        </w:rPr>
        <w:t>变更，投标人的投标文件中，</w:t>
      </w:r>
      <w:r>
        <w:rPr>
          <w:rFonts w:hint="eastAsia" w:ascii="宋体" w:hAnsi="宋体" w:eastAsia="宋体" w:cs="宋体"/>
          <w:b/>
          <w:bCs/>
          <w:color w:val="auto"/>
          <w:szCs w:val="21"/>
          <w:highlight w:val="none"/>
          <w:lang w:val="en-US" w:eastAsia="zh-CN"/>
        </w:rPr>
        <w:t>无</w:t>
      </w:r>
      <w:r>
        <w:rPr>
          <w:rFonts w:hint="eastAsia" w:ascii="宋体" w:hAnsi="宋体" w:eastAsia="宋体" w:cs="宋体"/>
          <w:b/>
          <w:bCs/>
          <w:color w:val="auto"/>
          <w:szCs w:val="21"/>
          <w:highlight w:val="none"/>
          <w:lang w:val="zh-CN"/>
        </w:rPr>
        <w:t>论招标人的名称填写为旧名</w:t>
      </w:r>
      <w:r>
        <w:rPr>
          <w:rFonts w:hint="eastAsia" w:ascii="宋体" w:hAnsi="宋体" w:eastAsia="宋体" w:cs="宋体"/>
          <w:b/>
          <w:bCs/>
          <w:color w:val="auto"/>
          <w:szCs w:val="21"/>
          <w:highlight w:val="none"/>
          <w:lang w:val="zh-CN" w:eastAsia="zh-CN"/>
        </w:rPr>
        <w:t>称（东莞市水务集团科技发展有限公司）</w:t>
      </w:r>
      <w:r>
        <w:rPr>
          <w:rFonts w:hint="eastAsia" w:ascii="宋体" w:hAnsi="宋体" w:eastAsia="宋体" w:cs="宋体"/>
          <w:b/>
          <w:bCs/>
          <w:color w:val="auto"/>
          <w:szCs w:val="21"/>
          <w:highlight w:val="none"/>
          <w:lang w:val="zh-CN"/>
        </w:rPr>
        <w:t>或</w:t>
      </w:r>
      <w:r>
        <w:rPr>
          <w:rFonts w:hint="eastAsia" w:ascii="宋体" w:hAnsi="宋体" w:eastAsia="宋体" w:cs="宋体"/>
          <w:b/>
          <w:bCs/>
          <w:color w:val="auto"/>
          <w:szCs w:val="21"/>
          <w:highlight w:val="none"/>
          <w:lang w:val="zh-CN" w:eastAsia="zh-CN"/>
        </w:rPr>
        <w:t>工商变更后的</w:t>
      </w:r>
      <w:r>
        <w:rPr>
          <w:rFonts w:hint="eastAsia" w:ascii="宋体" w:hAnsi="宋体" w:eastAsia="宋体" w:cs="宋体"/>
          <w:b/>
          <w:bCs/>
          <w:color w:val="auto"/>
          <w:szCs w:val="21"/>
          <w:highlight w:val="none"/>
          <w:lang w:val="zh-CN"/>
        </w:rPr>
        <w:t>新名称均予以认可</w:t>
      </w:r>
      <w:r>
        <w:rPr>
          <w:rFonts w:hint="eastAsia" w:ascii="宋体" w:hAnsi="宋体" w:eastAsia="宋体" w:cs="宋体"/>
          <w:color w:val="auto"/>
          <w:szCs w:val="21"/>
          <w:highlight w:val="none"/>
          <w:lang w:val="zh-CN"/>
        </w:rPr>
        <w:t>。</w:t>
      </w:r>
    </w:p>
    <w:p w14:paraId="47727F1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投标人应使用全国公共资源交易平台（广东省·东莞市发布的投标文件电子标书制作软件（以下简称“电子标书制作软件”）进行投标文件的合成、电子</w:t>
      </w:r>
      <w:r>
        <w:rPr>
          <w:rFonts w:hint="eastAsia" w:ascii="宋体" w:hAnsi="宋体" w:eastAsia="宋体" w:cs="宋体"/>
          <w:color w:val="auto"/>
          <w:szCs w:val="21"/>
          <w:highlight w:val="none"/>
        </w:rPr>
        <w:t>签名</w:t>
      </w:r>
      <w:r>
        <w:rPr>
          <w:rFonts w:hint="eastAsia" w:ascii="宋体" w:hAnsi="宋体" w:eastAsia="宋体" w:cs="宋体"/>
          <w:color w:val="auto"/>
          <w:szCs w:val="21"/>
          <w:highlight w:val="none"/>
          <w:lang w:val="zh-CN"/>
        </w:rPr>
        <w:t>工作。</w:t>
      </w:r>
    </w:p>
    <w:p w14:paraId="05EC5B0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投标人应使用依法设立的电子认证服务提供者签发的电子签名认证证书对电子投标文件进行电子签名。该电子</w:t>
      </w:r>
      <w:r>
        <w:rPr>
          <w:rFonts w:hint="eastAsia" w:ascii="宋体" w:hAnsi="宋体" w:eastAsia="宋体" w:cs="宋体"/>
          <w:color w:val="auto"/>
          <w:szCs w:val="21"/>
          <w:highlight w:val="none"/>
        </w:rPr>
        <w:t>签名</w:t>
      </w:r>
      <w:r>
        <w:rPr>
          <w:rFonts w:hint="eastAsia" w:ascii="宋体" w:hAnsi="宋体" w:eastAsia="宋体" w:cs="宋体"/>
          <w:color w:val="auto"/>
          <w:szCs w:val="21"/>
          <w:highlight w:val="none"/>
          <w:lang w:val="zh-CN"/>
        </w:rPr>
        <w:t>与手写签名或者盖章具有同等的法律效力。</w:t>
      </w:r>
    </w:p>
    <w:p w14:paraId="67B498B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投标人使用电子标书制作软件编制电子投标文件时必须按招标文件相关条款及投标文件格式中的要求进行编制。</w:t>
      </w:r>
    </w:p>
    <w:p w14:paraId="5899109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投标文件应按上述编制的要求编制电子标书。如投标文件未按上述编制要求编制的，所引起交易系统无法检索、读取相关信息时，其结果将由投标人自行承担。</w:t>
      </w:r>
    </w:p>
    <w:p w14:paraId="1B829E60">
      <w:pPr>
        <w:tabs>
          <w:tab w:val="left" w:pos="567"/>
        </w:tabs>
        <w:autoSpaceDE w:val="0"/>
        <w:autoSpaceDN w:val="0"/>
        <w:adjustRightInd w:val="0"/>
        <w:spacing w:line="360" w:lineRule="auto"/>
        <w:ind w:left="357" w:leftChars="-100" w:hanging="567"/>
        <w:outlineLvl w:val="1"/>
        <w:rPr>
          <w:rFonts w:ascii="宋体" w:hAnsi="宋体" w:eastAsia="宋体" w:cs="宋体"/>
          <w:color w:val="auto"/>
          <w:szCs w:val="21"/>
          <w:highlight w:val="none"/>
          <w:lang w:val="zh-CN"/>
        </w:rPr>
      </w:pPr>
      <w:bookmarkStart w:id="367" w:name="_Toc31695"/>
      <w:bookmarkStart w:id="368" w:name="_Toc9158"/>
      <w:bookmarkStart w:id="369" w:name="_Toc31964"/>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投标文件必须按下列要求编制、使用数字证书电子</w:t>
      </w:r>
      <w:r>
        <w:rPr>
          <w:rFonts w:hint="eastAsia" w:ascii="宋体" w:hAnsi="宋体" w:eastAsia="宋体" w:cs="宋体"/>
          <w:color w:val="auto"/>
          <w:szCs w:val="21"/>
          <w:highlight w:val="none"/>
        </w:rPr>
        <w:t>签名：</w:t>
      </w:r>
      <w:bookmarkEnd w:id="367"/>
      <w:bookmarkEnd w:id="368"/>
      <w:bookmarkEnd w:id="369"/>
    </w:p>
    <w:p w14:paraId="67617AF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.6.1按本投标人须知第</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3、14</w:t>
      </w:r>
      <w:r>
        <w:rPr>
          <w:rFonts w:hint="eastAsia" w:ascii="宋体" w:hAnsi="宋体" w:eastAsia="宋体" w:cs="宋体"/>
          <w:color w:val="auto"/>
          <w:szCs w:val="21"/>
          <w:highlight w:val="none"/>
          <w:lang w:val="zh-CN"/>
        </w:rPr>
        <w:t>条的规定编制，按本投标人须知第1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条的规定填报投标报价，“投标文件的组成”中列明的内容在投标文件中不能有漏缺。</w:t>
      </w:r>
    </w:p>
    <w:p w14:paraId="373F464B">
      <w:pPr>
        <w:tabs>
          <w:tab w:val="left" w:pos="567"/>
        </w:tabs>
        <w:autoSpaceDE w:val="0"/>
        <w:autoSpaceDN w:val="0"/>
        <w:adjustRightInd w:val="0"/>
        <w:spacing w:line="360" w:lineRule="auto"/>
        <w:ind w:left="357" w:leftChars="-100" w:hanging="567"/>
        <w:outlineLvl w:val="2"/>
        <w:rPr>
          <w:rFonts w:ascii="宋体" w:hAnsi="宋体" w:eastAsia="宋体" w:cs="宋体"/>
          <w:color w:val="auto"/>
          <w:szCs w:val="21"/>
          <w:highlight w:val="none"/>
          <w:lang w:val="zh-CN"/>
        </w:rPr>
      </w:pPr>
      <w:bookmarkStart w:id="370" w:name="_Toc10861"/>
      <w:bookmarkStart w:id="371" w:name="_Toc297"/>
      <w:bookmarkStart w:id="372" w:name="_Toc2480"/>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.6.2投标文件商务标、技术标编制要求：</w:t>
      </w:r>
      <w:bookmarkEnd w:id="370"/>
      <w:bookmarkEnd w:id="371"/>
      <w:bookmarkEnd w:id="372"/>
    </w:p>
    <w:p w14:paraId="1405632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（1）投标文件必须按招标文件中规定的投标文件格式编制，并转换成PDF格式合成到电子投标文件中；</w:t>
      </w:r>
    </w:p>
    <w:p w14:paraId="02FC295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（2）投标文件商务标、技术标必须按招标文件的规定填写，不能出现缺项、缺页、手写、关键语句（或字）错误； </w:t>
      </w:r>
    </w:p>
    <w:p w14:paraId="6EAA271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（3）投标文件的任何一页都不应有涂改、行间插字或删除；</w:t>
      </w:r>
    </w:p>
    <w:p w14:paraId="46C7B37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（4）投标文件商务标、技术标应按其格式要求由投标人的法定代表人或其授权代表电子签名、企业数字证书电子签名；</w:t>
      </w:r>
    </w:p>
    <w:p w14:paraId="5474D6D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（5）严格按照第六篇投标文件格式内的要求完整、真实的填写《合同条款偏离表》《用户需求偏离表》；</w:t>
      </w:r>
    </w:p>
    <w:p w14:paraId="385B507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（6）投标人要特别加以注意，必须严格按照第六篇商务标格式的要求完整、真实的填写《资格业绩》及提供对应证明资料；</w:t>
      </w:r>
    </w:p>
    <w:p w14:paraId="5FCE418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（7）投标文件技术标部分必须按招标文件第六篇“技术标格式”编制。</w:t>
      </w:r>
    </w:p>
    <w:p w14:paraId="340BD0D0">
      <w:pPr>
        <w:tabs>
          <w:tab w:val="left" w:pos="567"/>
        </w:tabs>
        <w:autoSpaceDE w:val="0"/>
        <w:autoSpaceDN w:val="0"/>
        <w:adjustRightInd w:val="0"/>
        <w:spacing w:line="360" w:lineRule="auto"/>
        <w:ind w:left="357" w:leftChars="-100" w:hanging="567"/>
        <w:outlineLvl w:val="2"/>
        <w:rPr>
          <w:rFonts w:ascii="宋体" w:hAnsi="宋体" w:eastAsia="宋体" w:cs="宋体"/>
          <w:color w:val="auto"/>
          <w:szCs w:val="21"/>
          <w:highlight w:val="none"/>
          <w:lang w:val="zh-CN"/>
        </w:rPr>
      </w:pPr>
      <w:bookmarkStart w:id="373" w:name="_Toc12477"/>
      <w:bookmarkStart w:id="374" w:name="_Toc2080"/>
      <w:bookmarkStart w:id="375" w:name="_Toc19952"/>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.6.3投标文件报价信封编制要求：</w:t>
      </w:r>
      <w:bookmarkEnd w:id="373"/>
      <w:bookmarkEnd w:id="374"/>
      <w:bookmarkEnd w:id="375"/>
    </w:p>
    <w:p w14:paraId="5ECB783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（1）投标人应使用电子标书制作软件编制并生成报价信封，内容根据招标文件设置的报价信封内容按实填报。</w:t>
      </w:r>
    </w:p>
    <w:p w14:paraId="556722E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（2）投标人应把其投标报价（不含销项税，元）报价填入报价信封的“投标值”中。</w:t>
      </w:r>
    </w:p>
    <w:p w14:paraId="769A7B5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）投标文件价格部分应按其格式要求使用依法设立的电子认证服务提供者签发的电子签名认证证书对电子投标文件进行电子签名。该电子签名与手写签名或者盖章具有同等的法律效力。</w:t>
      </w:r>
    </w:p>
    <w:p w14:paraId="137C321F">
      <w:pPr>
        <w:autoSpaceDE w:val="0"/>
        <w:autoSpaceDN w:val="0"/>
        <w:adjustRightInd w:val="0"/>
        <w:jc w:val="left"/>
        <w:rPr>
          <w:rFonts w:ascii="宋体" w:hAnsi="宋体" w:eastAsia="宋体" w:cs="宋体"/>
          <w:color w:val="auto"/>
          <w:kern w:val="0"/>
          <w:sz w:val="24"/>
          <w:szCs w:val="24"/>
          <w:highlight w:val="none"/>
        </w:rPr>
      </w:pPr>
      <w:bookmarkStart w:id="376" w:name="_Toc450662867"/>
    </w:p>
    <w:p w14:paraId="120F7C84">
      <w:pPr>
        <w:keepNext/>
        <w:keepLines/>
        <w:tabs>
          <w:tab w:val="left" w:pos="509"/>
        </w:tab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377" w:name="_Toc195714236"/>
      <w:bookmarkStart w:id="378" w:name="_Toc11307"/>
      <w:bookmarkStart w:id="379" w:name="_Toc142508332"/>
      <w:bookmarkStart w:id="380" w:name="_Toc21624"/>
      <w:bookmarkStart w:id="381" w:name="_Toc30851"/>
      <w:bookmarkStart w:id="382" w:name="_Toc22356_WPSOffice_Level2"/>
      <w:bookmarkStart w:id="383" w:name="_Toc17199"/>
      <w:bookmarkStart w:id="384" w:name="_Toc26605"/>
      <w:bookmarkStart w:id="385" w:name="_Toc486167682"/>
      <w:bookmarkStart w:id="386" w:name="_Toc140596891"/>
      <w:r>
        <w:rPr>
          <w:rFonts w:hint="eastAsia" w:ascii="宋体" w:hAnsi="宋体" w:eastAsia="宋体" w:cs="宋体"/>
          <w:b/>
          <w:bCs/>
          <w:color w:val="auto"/>
          <w:kern w:val="44"/>
          <w:szCs w:val="21"/>
          <w:highlight w:val="none"/>
          <w:lang w:val="zh-CN"/>
        </w:rPr>
        <w:t>四、投标</w:t>
      </w:r>
      <w:bookmarkEnd w:id="376"/>
      <w:bookmarkEnd w:id="377"/>
      <w:bookmarkEnd w:id="378"/>
      <w:bookmarkEnd w:id="379"/>
      <w:bookmarkEnd w:id="380"/>
      <w:bookmarkEnd w:id="381"/>
      <w:bookmarkEnd w:id="382"/>
      <w:bookmarkEnd w:id="383"/>
      <w:bookmarkEnd w:id="384"/>
      <w:bookmarkEnd w:id="385"/>
      <w:bookmarkEnd w:id="386"/>
    </w:p>
    <w:p w14:paraId="679172C6">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87" w:name="_Toc29885"/>
      <w:bookmarkStart w:id="388" w:name="_Toc450662868"/>
      <w:bookmarkStart w:id="389" w:name="_Toc195714237"/>
      <w:bookmarkStart w:id="390" w:name="_Toc142508333"/>
      <w:bookmarkStart w:id="391" w:name="_Toc12192_WPSOffice_Level3"/>
      <w:bookmarkStart w:id="392" w:name="_Toc31551"/>
      <w:bookmarkStart w:id="393" w:name="_Toc486167683"/>
      <w:bookmarkStart w:id="394" w:name="_Toc5340"/>
      <w:bookmarkStart w:id="395" w:name="_Toc19067"/>
      <w:bookmarkStart w:id="396" w:name="_Toc3466"/>
      <w:bookmarkStart w:id="397" w:name="_Toc12343"/>
      <w:r>
        <w:rPr>
          <w:rFonts w:hint="eastAsia" w:ascii="宋体" w:hAnsi="宋体" w:eastAsia="宋体" w:cs="宋体"/>
          <w:color w:val="auto"/>
          <w:szCs w:val="21"/>
          <w:highlight w:val="none"/>
          <w:lang w:val="zh-CN"/>
        </w:rPr>
        <w:t xml:space="preserve">18 </w:t>
      </w:r>
      <w:bookmarkEnd w:id="387"/>
      <w:bookmarkEnd w:id="388"/>
      <w:bookmarkEnd w:id="389"/>
      <w:bookmarkEnd w:id="390"/>
      <w:bookmarkEnd w:id="391"/>
      <w:bookmarkEnd w:id="392"/>
      <w:bookmarkEnd w:id="393"/>
      <w:r>
        <w:rPr>
          <w:rFonts w:hint="eastAsia" w:ascii="宋体" w:hAnsi="宋体" w:eastAsia="宋体" w:cs="宋体"/>
          <w:color w:val="auto"/>
          <w:szCs w:val="21"/>
          <w:highlight w:val="none"/>
          <w:lang w:val="zh-CN"/>
        </w:rPr>
        <w:t>投标文件的加密</w:t>
      </w:r>
      <w:bookmarkEnd w:id="394"/>
      <w:bookmarkEnd w:id="395"/>
      <w:bookmarkEnd w:id="396"/>
      <w:bookmarkEnd w:id="397"/>
    </w:p>
    <w:p w14:paraId="73DADE1B">
      <w:pPr>
        <w:tabs>
          <w:tab w:val="left" w:pos="567"/>
        </w:tabs>
        <w:adjustRightInd w:val="0"/>
        <w:spacing w:line="360" w:lineRule="auto"/>
        <w:ind w:firstLine="144" w:firstLineChars="6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投标人应使用依法设立的电子认证服务提供者签发的电子签章认证证书对电子投标文件进行电子签章并加密。</w:t>
      </w:r>
    </w:p>
    <w:p w14:paraId="695F099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rPr>
      </w:pPr>
    </w:p>
    <w:p w14:paraId="047F0420">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98" w:name="_Toc3867"/>
      <w:bookmarkStart w:id="399" w:name="_Toc195714238"/>
      <w:bookmarkStart w:id="400" w:name="_Toc21351"/>
      <w:bookmarkStart w:id="401" w:name="_Toc17599"/>
      <w:bookmarkStart w:id="402" w:name="_Toc6519"/>
      <w:r>
        <w:rPr>
          <w:rFonts w:hint="eastAsia" w:ascii="宋体" w:hAnsi="宋体" w:eastAsia="宋体" w:cs="宋体"/>
          <w:color w:val="auto"/>
          <w:szCs w:val="21"/>
          <w:highlight w:val="none"/>
        </w:rPr>
        <w:t xml:space="preserve">19 </w:t>
      </w:r>
      <w:r>
        <w:rPr>
          <w:rFonts w:hint="eastAsia" w:ascii="宋体" w:hAnsi="宋体" w:eastAsia="宋体" w:cs="宋体"/>
          <w:color w:val="auto"/>
          <w:szCs w:val="21"/>
          <w:highlight w:val="none"/>
          <w:lang w:val="zh-CN"/>
        </w:rPr>
        <w:t>投标文件的提交</w:t>
      </w:r>
      <w:bookmarkEnd w:id="398"/>
      <w:bookmarkEnd w:id="399"/>
      <w:bookmarkEnd w:id="400"/>
      <w:bookmarkEnd w:id="401"/>
      <w:bookmarkEnd w:id="402"/>
    </w:p>
    <w:p w14:paraId="4534066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投标人应在本招标公告规定的投标截止时间前通过交易系统在线上传投标文件。上述方式外提交的投标文件，招标人将不予受理。</w:t>
      </w:r>
    </w:p>
    <w:p w14:paraId="0F21EE2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在通过交易系统在线上传投标文件时，需设置投标文件查询密码（用于查询投标文件递交情况、撤销投标文件及签到时匹配对应的招标文件）。上传成功后，投标人应打印“电子标书网站上传回执”作为成功上传的凭证。</w:t>
      </w:r>
    </w:p>
    <w:p w14:paraId="2D6E859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投标文件成功上传后，交易系统将生成投标文件识别码。本识别码是投标人提交投标文件的唯一凭证，投标人须妥善保管。识别码丢失后，投标人将无法找回投标文件，需重新上传提交。</w:t>
      </w:r>
    </w:p>
    <w:p w14:paraId="15C2C946">
      <w:pPr>
        <w:tabs>
          <w:tab w:val="left" w:pos="567"/>
        </w:tabs>
        <w:autoSpaceDE w:val="0"/>
        <w:autoSpaceDN w:val="0"/>
        <w:adjustRightInd w:val="0"/>
        <w:spacing w:line="360" w:lineRule="auto"/>
        <w:ind w:left="357" w:leftChars="-100" w:right="15" w:rightChars="7" w:hanging="567"/>
        <w:outlineLvl w:val="1"/>
        <w:rPr>
          <w:rFonts w:ascii="宋体" w:hAnsi="宋体" w:eastAsia="宋体" w:cs="宋体"/>
          <w:color w:val="auto"/>
          <w:szCs w:val="21"/>
          <w:highlight w:val="none"/>
          <w:lang w:val="zh-CN"/>
        </w:rPr>
      </w:pPr>
      <w:bookmarkStart w:id="403" w:name="_Toc31914"/>
      <w:bookmarkStart w:id="404" w:name="_Toc22560"/>
      <w:bookmarkStart w:id="405" w:name="_Toc31040"/>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投标会议</w:t>
      </w:r>
      <w:r>
        <w:rPr>
          <w:rFonts w:hint="eastAsia" w:ascii="宋体" w:hAnsi="宋体" w:eastAsia="宋体" w:cs="宋体"/>
          <w:color w:val="auto"/>
          <w:szCs w:val="21"/>
          <w:highlight w:val="none"/>
        </w:rPr>
        <w:t>时间及</w:t>
      </w:r>
      <w:r>
        <w:rPr>
          <w:rFonts w:hint="eastAsia" w:ascii="宋体" w:hAnsi="宋体" w:eastAsia="宋体" w:cs="宋体"/>
          <w:color w:val="auto"/>
          <w:szCs w:val="21"/>
          <w:highlight w:val="none"/>
          <w:lang w:val="zh-CN"/>
        </w:rPr>
        <w:t>地点：见招标公告。</w:t>
      </w:r>
      <w:bookmarkEnd w:id="403"/>
      <w:bookmarkEnd w:id="404"/>
      <w:bookmarkEnd w:id="405"/>
    </w:p>
    <w:p w14:paraId="39EA033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逾期送达的或者未按指定方式提交的投标文件，招标人不予受理。</w:t>
      </w:r>
    </w:p>
    <w:p w14:paraId="007DC72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0A7D8648">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406" w:name="_Toc195714239"/>
      <w:bookmarkStart w:id="407" w:name="_Toc27240"/>
      <w:bookmarkStart w:id="408" w:name="_Toc360"/>
      <w:bookmarkStart w:id="409" w:name="_Toc2123"/>
      <w:bookmarkStart w:id="410" w:name="_Toc10547"/>
      <w:r>
        <w:rPr>
          <w:rFonts w:hint="eastAsia" w:ascii="宋体" w:hAnsi="宋体" w:eastAsia="宋体" w:cs="宋体"/>
          <w:color w:val="auto"/>
          <w:szCs w:val="21"/>
          <w:highlight w:val="none"/>
        </w:rPr>
        <w:t xml:space="preserve">20 </w:t>
      </w:r>
      <w:r>
        <w:rPr>
          <w:rFonts w:hint="eastAsia" w:ascii="宋体" w:hAnsi="宋体" w:eastAsia="宋体" w:cs="宋体"/>
          <w:color w:val="auto"/>
          <w:szCs w:val="21"/>
          <w:highlight w:val="none"/>
          <w:lang w:val="zh-CN"/>
        </w:rPr>
        <w:t>投标会时间、地点及投标文件提交的截止时间</w:t>
      </w:r>
      <w:bookmarkEnd w:id="406"/>
      <w:bookmarkEnd w:id="407"/>
      <w:bookmarkEnd w:id="408"/>
      <w:bookmarkEnd w:id="409"/>
      <w:bookmarkEnd w:id="410"/>
    </w:p>
    <w:p w14:paraId="3AD0A1C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投标人应按招标公告的时间、地点，或根据本投标人须知第</w:t>
      </w:r>
      <w:r>
        <w:rPr>
          <w:rFonts w:hint="eastAsia" w:ascii="宋体" w:hAnsi="宋体" w:eastAsia="宋体" w:cs="宋体"/>
          <w:color w:val="auto"/>
          <w:szCs w:val="21"/>
          <w:highlight w:val="none"/>
        </w:rPr>
        <w:t>7.2</w:t>
      </w:r>
      <w:r>
        <w:rPr>
          <w:rFonts w:hint="eastAsia" w:ascii="宋体" w:hAnsi="宋体" w:eastAsia="宋体" w:cs="宋体"/>
          <w:color w:val="auto"/>
          <w:szCs w:val="21"/>
          <w:highlight w:val="none"/>
          <w:lang w:val="zh-CN"/>
        </w:rPr>
        <w:t xml:space="preserve">款规定所延长的日期和时间之前通过交易系统在线上传投标文件。 </w:t>
      </w:r>
    </w:p>
    <w:p w14:paraId="6EAD7F6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招标人有权按本投标人须知第</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条的规定发出补充通知书，延长投标文件递交的截止时间。这时，原截止时间前，招标人与投标人的权利和义务相应延长至新的投标截止时间。</w:t>
      </w:r>
    </w:p>
    <w:p w14:paraId="5CAD884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22091772">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411" w:name="_Toc17411"/>
      <w:bookmarkStart w:id="412" w:name="_Toc5699"/>
      <w:bookmarkStart w:id="413" w:name="_Toc3433"/>
      <w:bookmarkStart w:id="414" w:name="_Toc195714240"/>
      <w:bookmarkStart w:id="415" w:name="_Toc28082"/>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val="zh-CN"/>
        </w:rPr>
        <w:t>投标文件的拒绝</w:t>
      </w:r>
      <w:bookmarkEnd w:id="411"/>
      <w:bookmarkEnd w:id="412"/>
      <w:bookmarkEnd w:id="413"/>
      <w:bookmarkEnd w:id="414"/>
      <w:bookmarkEnd w:id="415"/>
    </w:p>
    <w:p w14:paraId="38FDEF6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投标会上，出现下列情形之一的投标文件，将被招标人拒绝：</w:t>
      </w:r>
    </w:p>
    <w:p w14:paraId="5548AE6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.1.1招标人在本投标人须知第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.4款规定的投标截止时间以后或指定方式以外收到的投标文件。</w:t>
      </w:r>
    </w:p>
    <w:p w14:paraId="0503F47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.1.2投标人未按本投标人须知第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.4款规定提交的投标文件。</w:t>
      </w:r>
    </w:p>
    <w:p w14:paraId="57C499B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72848612">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416" w:name="_Toc195714241"/>
      <w:bookmarkStart w:id="417" w:name="_Toc21097"/>
      <w:bookmarkStart w:id="418" w:name="_Toc26166"/>
      <w:bookmarkStart w:id="419" w:name="_Toc1693"/>
      <w:bookmarkStart w:id="420" w:name="_Toc1209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val="zh-CN"/>
        </w:rPr>
        <w:t>投标文件的补充、修改与撤回</w:t>
      </w:r>
      <w:bookmarkEnd w:id="416"/>
      <w:bookmarkEnd w:id="417"/>
      <w:bookmarkEnd w:id="418"/>
      <w:bookmarkEnd w:id="419"/>
      <w:bookmarkEnd w:id="420"/>
    </w:p>
    <w:p w14:paraId="39BDCA2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.1款规定的投标截止时间前，投标人可以修改或撤回已递交的投标文件。在投标截止时间之后，投标人不得补充、修改投标文件。</w:t>
      </w:r>
    </w:p>
    <w:p w14:paraId="75DDC06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投标人应使用企业数字证书、投标文件识别码及投标文件查询密码通过网络撤回已递交投标文件。</w:t>
      </w:r>
    </w:p>
    <w:p w14:paraId="3E57BC2E">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在投标截止时间至投标有效期满之前，投标人不得撤销其投标文件。投标截止后投标人撤销投标文件的，招标人没收其投标保证金（逾期未解密投标文件的除外）。</w:t>
      </w:r>
    </w:p>
    <w:p w14:paraId="4395F0B5">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2A91BC52">
      <w:pPr>
        <w:keepNext/>
        <w:keepLines/>
        <w:tabs>
          <w:tab w:val="left" w:pos="509"/>
        </w:tab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421" w:name="_Toc11843"/>
      <w:bookmarkStart w:id="422" w:name="_Toc486167687"/>
      <w:bookmarkStart w:id="423" w:name="_Toc5498"/>
      <w:bookmarkStart w:id="424" w:name="_Toc31358"/>
      <w:bookmarkStart w:id="425" w:name="_Toc450662872"/>
      <w:bookmarkStart w:id="426" w:name="_Toc600"/>
      <w:bookmarkStart w:id="427" w:name="_Toc28824"/>
      <w:bookmarkStart w:id="428" w:name="_Toc30428"/>
      <w:bookmarkStart w:id="429" w:name="_Toc140596896"/>
      <w:bookmarkStart w:id="430" w:name="_Toc1049_WPSOffice_Level2"/>
      <w:bookmarkStart w:id="431" w:name="_Toc195714242"/>
      <w:bookmarkStart w:id="432" w:name="_Toc142508337"/>
      <w:r>
        <w:rPr>
          <w:rFonts w:hint="eastAsia" w:ascii="宋体" w:hAnsi="宋体" w:eastAsia="宋体" w:cs="宋体"/>
          <w:b/>
          <w:bCs/>
          <w:color w:val="auto"/>
          <w:kern w:val="44"/>
          <w:szCs w:val="21"/>
          <w:highlight w:val="none"/>
          <w:lang w:val="zh-CN"/>
        </w:rPr>
        <w:t>五、开标与评标</w:t>
      </w:r>
      <w:bookmarkEnd w:id="421"/>
      <w:bookmarkEnd w:id="422"/>
      <w:bookmarkEnd w:id="423"/>
      <w:bookmarkEnd w:id="424"/>
      <w:bookmarkEnd w:id="425"/>
      <w:bookmarkEnd w:id="426"/>
      <w:bookmarkEnd w:id="427"/>
      <w:bookmarkEnd w:id="428"/>
      <w:bookmarkEnd w:id="429"/>
      <w:bookmarkEnd w:id="430"/>
      <w:bookmarkEnd w:id="431"/>
      <w:bookmarkEnd w:id="432"/>
    </w:p>
    <w:p w14:paraId="3A09D76D">
      <w:pPr>
        <w:tabs>
          <w:tab w:val="left" w:pos="567"/>
        </w:tabs>
        <w:autoSpaceDE w:val="0"/>
        <w:autoSpaceDN w:val="0"/>
        <w:adjustRightInd w:val="0"/>
        <w:spacing w:line="360" w:lineRule="auto"/>
        <w:ind w:left="357" w:leftChars="-100" w:right="15" w:rightChars="7" w:hanging="567"/>
        <w:outlineLvl w:val="0"/>
        <w:rPr>
          <w:rFonts w:ascii="宋体" w:hAnsi="宋体" w:eastAsia="宋体" w:cs="宋体"/>
          <w:color w:val="auto"/>
          <w:szCs w:val="21"/>
          <w:highlight w:val="none"/>
          <w:lang w:val="zh-CN"/>
        </w:rPr>
      </w:pPr>
      <w:bookmarkStart w:id="433" w:name="_Toc195714243"/>
      <w:bookmarkStart w:id="434" w:name="_Toc32731"/>
      <w:bookmarkStart w:id="435" w:name="_Toc29163"/>
      <w:bookmarkStart w:id="436" w:name="_Toc17477"/>
      <w:bookmarkStart w:id="437" w:name="_Toc1036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开标</w:t>
      </w:r>
      <w:bookmarkEnd w:id="433"/>
      <w:bookmarkEnd w:id="434"/>
      <w:bookmarkEnd w:id="435"/>
      <w:bookmarkEnd w:id="436"/>
      <w:bookmarkEnd w:id="437"/>
    </w:p>
    <w:p w14:paraId="4A5C2137">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招标人在19.1款规定的投标截止时间（开标时间）和19.4款规定的地点召开投标会并公开开标，投标人可在规定的时间和地点参加投标会或通过登录交易系统在线查看开标过程相关信息。</w:t>
      </w:r>
    </w:p>
    <w:p w14:paraId="0FE440C7">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rPr>
      </w:pPr>
      <w:r>
        <w:rPr>
          <w:rFonts w:hint="eastAsia" w:ascii="宋体" w:hAnsi="宋体" w:eastAsia="宋体" w:cs="宋体"/>
          <w:color w:val="auto"/>
          <w:szCs w:val="21"/>
          <w:highlight w:val="none"/>
        </w:rPr>
        <w:t>23.2 投标人网上签到时间为开标当天上午6时至投标截止时间，使用企业数字证书（机构证书或业务证书）登录交易系统在线完成投标保证金关联及电子投标文件关联等的网上签到手续。招标人在投标会现场不受理投标人签到事项，因投标人原因造成投标人签到失败、关联相关投标信息错误及不完整的，视为其投标文件无效，招标人将否决其投标。</w:t>
      </w:r>
    </w:p>
    <w:p w14:paraId="6FCD57B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rPr>
      </w:pPr>
      <w:r>
        <w:rPr>
          <w:rFonts w:hint="eastAsia" w:ascii="宋体" w:hAnsi="宋体" w:eastAsia="宋体" w:cs="宋体"/>
          <w:color w:val="auto"/>
          <w:szCs w:val="21"/>
          <w:highlight w:val="none"/>
        </w:rPr>
        <w:t>23.3 投标人网上签到需要由法定代表人或</w:t>
      </w:r>
      <w:r>
        <w:rPr>
          <w:rFonts w:hint="eastAsia" w:ascii="宋体" w:hAnsi="宋体" w:eastAsia="宋体" w:cs="宋体"/>
          <w:color w:val="auto"/>
          <w:szCs w:val="21"/>
          <w:highlight w:val="none"/>
          <w:lang w:val="zh-CN"/>
        </w:rPr>
        <w:t>其授权代表</w:t>
      </w:r>
      <w:r>
        <w:rPr>
          <w:rFonts w:hint="eastAsia" w:ascii="宋体" w:hAnsi="宋体" w:eastAsia="宋体" w:cs="宋体"/>
          <w:color w:val="auto"/>
          <w:szCs w:val="21"/>
          <w:highlight w:val="none"/>
        </w:rPr>
        <w:t>进行人脸识别完成签到。（注：投标人在网上签到时须关联的法定代表人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rPr>
        <w:t>为本项目法定代表人授权书列明的被授权人。）</w:t>
      </w:r>
    </w:p>
    <w:p w14:paraId="43A6510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 xml:space="preserve">4 </w:t>
      </w:r>
      <w:r>
        <w:rPr>
          <w:rFonts w:hint="eastAsia" w:ascii="宋体" w:hAnsi="宋体" w:eastAsia="宋体" w:cs="宋体"/>
          <w:color w:val="auto"/>
          <w:szCs w:val="21"/>
          <w:highlight w:val="none"/>
          <w:lang w:val="zh-CN"/>
        </w:rPr>
        <w:t>投标文件提交截止时间后，招标人按本投标人须知第2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.1款规定拒绝不符合要求的投标文件。</w:t>
      </w:r>
    </w:p>
    <w:p w14:paraId="0FA4462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 xml:space="preserve">5 </w:t>
      </w:r>
      <w:r>
        <w:rPr>
          <w:rFonts w:hint="eastAsia" w:ascii="宋体" w:hAnsi="宋体" w:eastAsia="宋体" w:cs="宋体"/>
          <w:b/>
          <w:bCs/>
          <w:color w:val="auto"/>
          <w:szCs w:val="21"/>
          <w:highlight w:val="none"/>
          <w:lang w:val="zh-CN"/>
        </w:rPr>
        <w:t>解密投标文件的时间：投标文件提交截止时间后60分钟内</w:t>
      </w:r>
      <w:r>
        <w:rPr>
          <w:rFonts w:hint="eastAsia" w:ascii="宋体" w:hAnsi="宋体" w:eastAsia="宋体" w:cs="宋体"/>
          <w:color w:val="auto"/>
          <w:szCs w:val="21"/>
          <w:highlight w:val="none"/>
          <w:lang w:val="zh-CN"/>
        </w:rPr>
        <w:t>。解密投标文件时间段内，投标人必须进行线上解密并且完成投标文件解密。若全部投标文件均在解密时间内完成解密，经招标人确认，可以提前进入下一环节。投标会现场不受理投标人的投标文件解密等事项。因投标人原因造成投标文件未解密的，视为撤销其投标文件；因投标人</w:t>
      </w:r>
      <w:r>
        <w:rPr>
          <w:rFonts w:hint="eastAsia" w:ascii="宋体" w:hAnsi="宋体" w:eastAsia="宋体" w:cs="宋体"/>
          <w:color w:val="auto"/>
          <w:szCs w:val="21"/>
          <w:highlight w:val="none"/>
        </w:rPr>
        <w:t>之外的</w:t>
      </w:r>
      <w:r>
        <w:rPr>
          <w:rFonts w:hint="eastAsia" w:ascii="宋体" w:hAnsi="宋体" w:eastAsia="宋体" w:cs="宋体"/>
          <w:color w:val="auto"/>
          <w:szCs w:val="21"/>
          <w:highlight w:val="none"/>
          <w:lang w:val="zh-CN"/>
        </w:rPr>
        <w:t>原因造成投标文件未解密的，视为撤回其投标文件。</w:t>
      </w:r>
      <w:r>
        <w:rPr>
          <w:rFonts w:hint="eastAsia" w:ascii="宋体" w:hAnsi="宋体" w:eastAsia="宋体" w:cs="宋体"/>
          <w:b/>
          <w:bCs/>
          <w:color w:val="auto"/>
          <w:szCs w:val="21"/>
          <w:highlight w:val="none"/>
          <w:lang w:val="zh-CN"/>
        </w:rPr>
        <w:t>投标文件解密需要由法定代表人或其授权代表进行人脸识别完成解密。</w:t>
      </w:r>
      <w:r>
        <w:rPr>
          <w:rFonts w:hint="eastAsia" w:ascii="宋体" w:hAnsi="宋体" w:eastAsia="宋体" w:cs="宋体"/>
          <w:b/>
          <w:bCs/>
          <w:color w:val="auto"/>
          <w:szCs w:val="21"/>
          <w:highlight w:val="none"/>
        </w:rPr>
        <w:t>（注：投标人在网上签到时须关联的法定代表人</w:t>
      </w:r>
      <w:r>
        <w:rPr>
          <w:rFonts w:hint="eastAsia" w:ascii="宋体" w:hAnsi="宋体" w:eastAsia="宋体" w:cs="宋体"/>
          <w:b/>
          <w:bCs/>
          <w:color w:val="auto"/>
          <w:szCs w:val="21"/>
          <w:highlight w:val="none"/>
          <w:lang w:val="zh-CN"/>
        </w:rPr>
        <w:t>授权代表</w:t>
      </w:r>
      <w:r>
        <w:rPr>
          <w:rFonts w:hint="eastAsia" w:ascii="宋体" w:hAnsi="宋体" w:eastAsia="宋体" w:cs="宋体"/>
          <w:b/>
          <w:bCs/>
          <w:color w:val="auto"/>
          <w:szCs w:val="21"/>
          <w:highlight w:val="none"/>
        </w:rPr>
        <w:t>为本项目法定代表人授权书列明的被授权人。）</w:t>
      </w:r>
    </w:p>
    <w:p w14:paraId="270D78B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6 由招标人及其委托的招标代理机构开启投标文件的报价信封进行唱标。</w:t>
      </w:r>
    </w:p>
    <w:p w14:paraId="263C46A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23.7 </w:t>
      </w:r>
      <w:r>
        <w:rPr>
          <w:rFonts w:hint="eastAsia" w:ascii="宋体" w:hAnsi="宋体" w:eastAsia="宋体" w:cs="宋体"/>
          <w:color w:val="auto"/>
          <w:szCs w:val="21"/>
          <w:highlight w:val="none"/>
          <w:lang w:val="zh-CN"/>
        </w:rPr>
        <w:t>招标人将所有已解密的电子投标文件，按要求通过开标系统将进入评标环节的投标文件打包并导入评标系统。</w:t>
      </w:r>
    </w:p>
    <w:p w14:paraId="71D82F8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招标人、招标代理工作人员、监督部门（如有）等有关人员在开标记录上签字确认，开标记录封存。</w:t>
      </w:r>
    </w:p>
    <w:p w14:paraId="6EFEEA25">
      <w:pPr>
        <w:tabs>
          <w:tab w:val="left" w:pos="567"/>
        </w:tabs>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70663260">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438" w:name="_Toc450662874"/>
      <w:bookmarkStart w:id="439" w:name="_Toc32232"/>
      <w:bookmarkStart w:id="440" w:name="_Toc12165_WPSOffice_Level3"/>
      <w:bookmarkStart w:id="441" w:name="_Toc32534"/>
      <w:bookmarkStart w:id="442" w:name="_Toc195714244"/>
      <w:bookmarkStart w:id="443" w:name="_Toc26515"/>
      <w:bookmarkStart w:id="444" w:name="_Toc18808"/>
      <w:bookmarkStart w:id="445" w:name="_Toc23059"/>
      <w:bookmarkStart w:id="446" w:name="_Toc29774"/>
      <w:bookmarkStart w:id="447" w:name="_Toc486167689"/>
      <w:bookmarkStart w:id="448" w:name="_Toc142508339"/>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438"/>
      <w:bookmarkEnd w:id="439"/>
      <w:bookmarkEnd w:id="440"/>
      <w:bookmarkEnd w:id="441"/>
      <w:bookmarkEnd w:id="442"/>
      <w:bookmarkEnd w:id="443"/>
      <w:bookmarkEnd w:id="444"/>
      <w:bookmarkEnd w:id="445"/>
      <w:bookmarkEnd w:id="446"/>
      <w:bookmarkEnd w:id="447"/>
      <w:bookmarkEnd w:id="448"/>
    </w:p>
    <w:p w14:paraId="5379CD27">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4A32563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266D529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38891568">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449" w:name="_Toc15565_WPSOffice_Level3"/>
      <w:bookmarkStart w:id="450" w:name="_Toc23401"/>
      <w:bookmarkStart w:id="451" w:name="_Toc450662875"/>
      <w:bookmarkStart w:id="452" w:name="_Toc16920"/>
      <w:bookmarkStart w:id="453" w:name="_Toc195714245"/>
      <w:bookmarkStart w:id="454" w:name="_Toc6241"/>
      <w:bookmarkStart w:id="455" w:name="_Toc21922"/>
      <w:bookmarkStart w:id="456" w:name="_Toc486167690"/>
      <w:bookmarkStart w:id="457" w:name="_Toc18963"/>
      <w:bookmarkStart w:id="458" w:name="_Toc800"/>
      <w:bookmarkStart w:id="459" w:name="_Toc142508340"/>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 xml:space="preserve"> 评标委员会</w:t>
      </w:r>
      <w:bookmarkEnd w:id="449"/>
      <w:bookmarkEnd w:id="450"/>
      <w:bookmarkEnd w:id="451"/>
      <w:bookmarkEnd w:id="452"/>
      <w:bookmarkEnd w:id="453"/>
      <w:bookmarkEnd w:id="454"/>
      <w:bookmarkEnd w:id="455"/>
      <w:bookmarkEnd w:id="456"/>
      <w:bookmarkEnd w:id="457"/>
      <w:bookmarkEnd w:id="458"/>
      <w:bookmarkEnd w:id="459"/>
    </w:p>
    <w:p w14:paraId="4630696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69BFE13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6B049576">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315CC6FD">
      <w:pPr>
        <w:autoSpaceDE w:val="0"/>
        <w:autoSpaceDN w:val="0"/>
        <w:adjustRightInd w:val="0"/>
        <w:spacing w:line="360" w:lineRule="auto"/>
        <w:ind w:left="357" w:leftChars="-100" w:hanging="567"/>
        <w:outlineLvl w:val="0"/>
        <w:rPr>
          <w:rFonts w:ascii="宋体" w:hAnsi="宋体" w:eastAsia="宋体" w:cs="宋体"/>
          <w:color w:val="auto"/>
          <w:szCs w:val="21"/>
          <w:highlight w:val="none"/>
          <w:lang w:val="zh-CN"/>
        </w:rPr>
      </w:pPr>
      <w:bookmarkStart w:id="460" w:name="_Toc94"/>
      <w:bookmarkStart w:id="461" w:name="_Toc4946"/>
      <w:bookmarkStart w:id="462" w:name="_Toc32114"/>
      <w:bookmarkStart w:id="463" w:name="_Toc195714246"/>
      <w:bookmarkStart w:id="464" w:name="_Toc10195"/>
      <w:r>
        <w:rPr>
          <w:rFonts w:hint="eastAsia" w:ascii="宋体" w:hAnsi="宋体" w:eastAsia="宋体" w:cs="宋体"/>
          <w:color w:val="auto"/>
          <w:szCs w:val="21"/>
          <w:highlight w:val="none"/>
          <w:lang w:val="zh-CN"/>
        </w:rPr>
        <w:t>26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投标文件的有效性</w:t>
      </w:r>
      <w:bookmarkEnd w:id="460"/>
      <w:bookmarkEnd w:id="461"/>
      <w:bookmarkEnd w:id="462"/>
      <w:bookmarkEnd w:id="463"/>
      <w:bookmarkEnd w:id="464"/>
    </w:p>
    <w:p w14:paraId="2AE64E6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26.1开标（评标）时，投标文件出现下列情形之一的，应当作为无效投标文件：</w:t>
      </w:r>
    </w:p>
    <w:p w14:paraId="506D56BF">
      <w:pPr>
        <w:autoSpaceDE w:val="0"/>
        <w:autoSpaceDN w:val="0"/>
        <w:adjustRightInd w:val="0"/>
        <w:spacing w:line="360" w:lineRule="auto"/>
        <w:ind w:left="357" w:leftChars="-100" w:hanging="567"/>
        <w:outlineLvl w:val="1"/>
        <w:rPr>
          <w:rFonts w:ascii="宋体" w:hAnsi="宋体" w:eastAsia="宋体" w:cs="宋体"/>
          <w:color w:val="auto"/>
          <w:szCs w:val="21"/>
          <w:highlight w:val="none"/>
          <w:lang w:val="zh-CN"/>
        </w:rPr>
      </w:pPr>
      <w:bookmarkStart w:id="465" w:name="_Toc11432"/>
      <w:bookmarkStart w:id="466" w:name="_Toc30757"/>
      <w:bookmarkStart w:id="467" w:name="_Toc2950"/>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上传的投标文件损坏或无法读取的；</w:t>
      </w:r>
      <w:bookmarkEnd w:id="465"/>
      <w:bookmarkEnd w:id="466"/>
      <w:bookmarkEnd w:id="467"/>
    </w:p>
    <w:p w14:paraId="4F27CFA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经招标人确认，投标人在公共资源交易企业库填报的与本项目密切相关的信息与事实不相符的；</w:t>
      </w:r>
    </w:p>
    <w:p w14:paraId="016C6A0A">
      <w:pPr>
        <w:autoSpaceDE w:val="0"/>
        <w:autoSpaceDN w:val="0"/>
        <w:adjustRightInd w:val="0"/>
        <w:spacing w:line="360" w:lineRule="auto"/>
        <w:ind w:left="357" w:leftChars="-100" w:hanging="567"/>
        <w:rPr>
          <w:rFonts w:ascii="宋体" w:hAnsi="宋体" w:eastAsia="宋体" w:cs="宋体"/>
          <w:color w:val="auto"/>
          <w:szCs w:val="21"/>
          <w:highlight w:val="none"/>
        </w:rPr>
      </w:pPr>
      <w:r>
        <w:rPr>
          <w:rFonts w:hint="eastAsia" w:ascii="宋体" w:hAnsi="宋体" w:eastAsia="宋体" w:cs="宋体"/>
          <w:color w:val="auto"/>
          <w:szCs w:val="21"/>
          <w:highlight w:val="none"/>
        </w:rPr>
        <w:t>26.1.3投标文件中使用的本项目招标文件版本，与交易系统上发布的本项目招标文件的最新版本不一致的；</w:t>
      </w:r>
    </w:p>
    <w:p w14:paraId="081C400A">
      <w:pPr>
        <w:autoSpaceDE w:val="0"/>
        <w:autoSpaceDN w:val="0"/>
        <w:adjustRightInd w:val="0"/>
        <w:spacing w:line="360" w:lineRule="auto"/>
        <w:ind w:left="357" w:leftChars="-100" w:hanging="567"/>
        <w:outlineLvl w:val="1"/>
        <w:rPr>
          <w:rFonts w:ascii="宋体" w:hAnsi="宋体" w:eastAsia="宋体" w:cs="宋体"/>
          <w:color w:val="auto"/>
          <w:szCs w:val="21"/>
          <w:highlight w:val="none"/>
          <w:lang w:val="zh-CN"/>
        </w:rPr>
      </w:pPr>
      <w:bookmarkStart w:id="468" w:name="_Toc29102"/>
      <w:bookmarkStart w:id="469" w:name="_Toc9379"/>
      <w:bookmarkStart w:id="470" w:name="_Toc30023"/>
      <w:r>
        <w:rPr>
          <w:rFonts w:hint="eastAsia" w:ascii="宋体" w:hAnsi="宋体" w:eastAsia="宋体" w:cs="宋体"/>
          <w:color w:val="auto"/>
          <w:szCs w:val="21"/>
          <w:highlight w:val="none"/>
        </w:rPr>
        <w:t>26.1.4</w:t>
      </w:r>
      <w:r>
        <w:rPr>
          <w:rFonts w:hint="eastAsia" w:ascii="宋体" w:hAnsi="宋体" w:eastAsia="宋体" w:cs="宋体"/>
          <w:color w:val="auto"/>
          <w:szCs w:val="21"/>
          <w:highlight w:val="none"/>
          <w:lang w:val="zh-CN"/>
        </w:rPr>
        <w:t>投标文件未使用企业数字证书签名的；</w:t>
      </w:r>
      <w:bookmarkEnd w:id="468"/>
      <w:bookmarkEnd w:id="469"/>
      <w:bookmarkEnd w:id="470"/>
    </w:p>
    <w:p w14:paraId="6EC8BF2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投标文件签名使用的数字证书与签到的投标人名称不一致的；</w:t>
      </w:r>
    </w:p>
    <w:p w14:paraId="4E75AFC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投标人的投标编制MAC信息、投标编制CPU序列号、投标编制硬盘序列号均与其他投标人相同的；</w:t>
      </w:r>
    </w:p>
    <w:p w14:paraId="7039C21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投标文件附有招标人不能接受的条件的；</w:t>
      </w:r>
    </w:p>
    <w:p w14:paraId="1077FC3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投标人资格不满足本投标人须知第</w:t>
      </w:r>
      <w:r>
        <w:rPr>
          <w:rFonts w:hint="eastAsia" w:ascii="宋体" w:hAnsi="宋体" w:eastAsia="宋体" w:cs="宋体"/>
          <w:color w:val="auto"/>
          <w:szCs w:val="21"/>
          <w:highlight w:val="none"/>
        </w:rPr>
        <w:t>2条</w:t>
      </w:r>
      <w:r>
        <w:rPr>
          <w:rFonts w:hint="eastAsia" w:ascii="宋体" w:hAnsi="宋体" w:eastAsia="宋体" w:cs="宋体"/>
          <w:color w:val="auto"/>
          <w:szCs w:val="21"/>
          <w:highlight w:val="none"/>
          <w:lang w:val="zh-CN"/>
        </w:rPr>
        <w:t>的要求；</w:t>
      </w:r>
    </w:p>
    <w:p w14:paraId="4A00A43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投标人未按招标文件要求交纳投标保证金的；</w:t>
      </w:r>
    </w:p>
    <w:p w14:paraId="689AC3F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zh-CN"/>
        </w:rPr>
        <w:t>投标文件报价信封中填报的投标报价高于</w:t>
      </w:r>
      <w:bookmarkStart w:id="471" w:name="OLE_LINK35"/>
      <w:r>
        <w:rPr>
          <w:rFonts w:hint="eastAsia" w:ascii="宋体" w:hAnsi="宋体" w:eastAsia="宋体" w:cs="宋体"/>
          <w:color w:val="auto"/>
          <w:szCs w:val="21"/>
          <w:highlight w:val="none"/>
          <w:lang w:val="zh-CN"/>
        </w:rPr>
        <w:t>本项目</w:t>
      </w:r>
      <w:r>
        <w:rPr>
          <w:rFonts w:hint="eastAsia" w:ascii="宋体" w:hAnsi="宋体" w:eastAsia="宋体" w:cs="宋体"/>
          <w:color w:val="auto"/>
          <w:szCs w:val="21"/>
          <w:highlight w:val="none"/>
        </w:rPr>
        <w:t>投标最高限价</w:t>
      </w:r>
      <w:r>
        <w:rPr>
          <w:rFonts w:hint="eastAsia" w:ascii="宋体" w:hAnsi="宋体" w:eastAsia="宋体" w:cs="宋体"/>
          <w:color w:val="auto"/>
          <w:szCs w:val="21"/>
          <w:highlight w:val="none"/>
          <w:lang w:val="zh-CN"/>
        </w:rPr>
        <w:t>的</w:t>
      </w:r>
      <w:bookmarkEnd w:id="471"/>
      <w:r>
        <w:rPr>
          <w:rFonts w:hint="eastAsia" w:ascii="宋体" w:hAnsi="宋体" w:eastAsia="宋体" w:cs="宋体"/>
          <w:color w:val="auto"/>
          <w:szCs w:val="21"/>
          <w:highlight w:val="none"/>
          <w:lang w:val="zh-CN"/>
        </w:rPr>
        <w:t>；</w:t>
      </w:r>
    </w:p>
    <w:p w14:paraId="580BB61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zh-CN"/>
        </w:rPr>
        <w:t>投标人以低于企业成本价报价，且投标人不能合理说明或不能提供相关证明材料；</w:t>
      </w:r>
    </w:p>
    <w:p w14:paraId="6BF0ED9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val="zh-CN"/>
        </w:rPr>
        <w:t>投标人递交两份或多份内容不同的投标文件，或在一份投标文件中报有两个或多个报价，且未书面声明哪一个有效；</w:t>
      </w:r>
    </w:p>
    <w:p w14:paraId="11CFF68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13</w:t>
      </w:r>
      <w:r>
        <w:rPr>
          <w:rFonts w:hint="eastAsia" w:ascii="宋体" w:hAnsi="宋体" w:eastAsia="宋体" w:cs="宋体"/>
          <w:color w:val="auto"/>
          <w:szCs w:val="21"/>
          <w:highlight w:val="none"/>
          <w:lang w:val="zh-CN"/>
        </w:rPr>
        <w:t>投标文件未按</w:t>
      </w:r>
      <w:r>
        <w:rPr>
          <w:rFonts w:hint="eastAsia" w:ascii="宋体" w:hAnsi="宋体" w:eastAsia="宋体" w:cs="宋体"/>
          <w:color w:val="auto"/>
          <w:szCs w:val="21"/>
          <w:highlight w:val="none"/>
        </w:rPr>
        <w:t>本</w:t>
      </w:r>
      <w:r>
        <w:rPr>
          <w:rFonts w:hint="eastAsia" w:ascii="宋体" w:hAnsi="宋体" w:eastAsia="宋体" w:cs="宋体"/>
          <w:color w:val="auto"/>
          <w:szCs w:val="21"/>
          <w:highlight w:val="none"/>
          <w:lang w:val="zh-CN"/>
        </w:rPr>
        <w:t>投标人须知第17</w:t>
      </w:r>
      <w:r>
        <w:rPr>
          <w:rFonts w:hint="eastAsia" w:ascii="宋体" w:hAnsi="宋体" w:eastAsia="宋体" w:cs="宋体"/>
          <w:color w:val="auto"/>
          <w:szCs w:val="21"/>
          <w:highlight w:val="none"/>
        </w:rPr>
        <w:t>条</w:t>
      </w:r>
      <w:r>
        <w:rPr>
          <w:rFonts w:hint="eastAsia" w:ascii="宋体" w:hAnsi="宋体" w:eastAsia="宋体" w:cs="宋体"/>
          <w:color w:val="auto"/>
          <w:szCs w:val="21"/>
          <w:highlight w:val="none"/>
          <w:lang w:val="zh-CN"/>
        </w:rPr>
        <w:t xml:space="preserve">的要求编制、使用企业数字证书或个人数字证书电子签名的； </w:t>
      </w:r>
    </w:p>
    <w:p w14:paraId="01DD9873">
      <w:pPr>
        <w:autoSpaceDE w:val="0"/>
        <w:autoSpaceDN w:val="0"/>
        <w:adjustRightInd w:val="0"/>
        <w:spacing w:line="360" w:lineRule="auto"/>
        <w:ind w:left="357" w:leftChars="-100" w:hanging="567"/>
        <w:outlineLvl w:val="1"/>
        <w:rPr>
          <w:rFonts w:ascii="宋体" w:hAnsi="宋体" w:eastAsia="宋体" w:cs="宋体"/>
          <w:color w:val="auto"/>
          <w:szCs w:val="21"/>
          <w:highlight w:val="none"/>
          <w:lang w:val="zh-CN"/>
        </w:rPr>
      </w:pPr>
      <w:bookmarkStart w:id="472" w:name="_Toc18440"/>
      <w:bookmarkStart w:id="473" w:name="_Toc5657"/>
      <w:bookmarkStart w:id="474" w:name="_Toc7042"/>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14</w:t>
      </w:r>
      <w:r>
        <w:rPr>
          <w:rFonts w:hint="eastAsia" w:ascii="宋体" w:hAnsi="宋体" w:eastAsia="宋体" w:cs="宋体"/>
          <w:color w:val="auto"/>
          <w:szCs w:val="21"/>
          <w:highlight w:val="none"/>
          <w:lang w:val="zh-CN"/>
        </w:rPr>
        <w:t>投标有效期限不符合要求；</w:t>
      </w:r>
      <w:bookmarkEnd w:id="472"/>
      <w:bookmarkEnd w:id="473"/>
      <w:bookmarkEnd w:id="474"/>
    </w:p>
    <w:p w14:paraId="1E53333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15</w:t>
      </w:r>
      <w:r>
        <w:rPr>
          <w:rFonts w:hint="eastAsia" w:ascii="宋体" w:hAnsi="宋体" w:eastAsia="宋体" w:cs="宋体"/>
          <w:color w:val="auto"/>
          <w:szCs w:val="21"/>
          <w:highlight w:val="none"/>
          <w:lang w:val="zh-CN"/>
        </w:rPr>
        <w:t>投标文件未对招标范围内的全部内容进行投标报价或投标方案不是唯一；</w:t>
      </w:r>
    </w:p>
    <w:p w14:paraId="54F1E17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16</w:t>
      </w:r>
      <w:r>
        <w:rPr>
          <w:rFonts w:hint="eastAsia" w:ascii="宋体" w:hAnsi="宋体" w:eastAsia="宋体" w:cs="宋体"/>
          <w:color w:val="auto"/>
          <w:szCs w:val="21"/>
          <w:highlight w:val="none"/>
          <w:lang w:val="zh-CN"/>
        </w:rPr>
        <w:t>未提供或虚假填写《合同条款偏离表》，或对《合同条款偏离表》有负偏离的；</w:t>
      </w:r>
    </w:p>
    <w:p w14:paraId="4FF4B328">
      <w:pPr>
        <w:autoSpaceDE w:val="0"/>
        <w:autoSpaceDN w:val="0"/>
        <w:adjustRightInd w:val="0"/>
        <w:spacing w:line="360" w:lineRule="auto"/>
        <w:ind w:left="357" w:leftChars="-100" w:hanging="567"/>
        <w:outlineLvl w:val="1"/>
        <w:rPr>
          <w:rFonts w:ascii="宋体" w:hAnsi="宋体" w:eastAsia="宋体" w:cs="宋体"/>
          <w:color w:val="auto"/>
          <w:szCs w:val="21"/>
          <w:highlight w:val="none"/>
          <w:lang w:val="zh-CN"/>
        </w:rPr>
      </w:pPr>
      <w:bookmarkStart w:id="475" w:name="_Toc2887"/>
      <w:bookmarkStart w:id="476" w:name="_Toc23158"/>
      <w:bookmarkStart w:id="477" w:name="_Toc13512"/>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17</w:t>
      </w:r>
      <w:r>
        <w:rPr>
          <w:rFonts w:hint="eastAsia" w:ascii="宋体" w:hAnsi="宋体" w:eastAsia="宋体" w:cs="宋体"/>
          <w:color w:val="auto"/>
          <w:szCs w:val="21"/>
          <w:highlight w:val="none"/>
          <w:lang w:val="zh-CN"/>
        </w:rPr>
        <w:t>未填写或虚假填写《用户需求偏离表》的；</w:t>
      </w:r>
      <w:bookmarkEnd w:id="475"/>
      <w:bookmarkEnd w:id="476"/>
      <w:bookmarkEnd w:id="477"/>
    </w:p>
    <w:p w14:paraId="045CB8B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18</w:t>
      </w:r>
      <w:r>
        <w:rPr>
          <w:rFonts w:hint="eastAsia" w:ascii="宋体" w:hAnsi="宋体" w:eastAsia="宋体" w:cs="宋体"/>
          <w:color w:val="auto"/>
          <w:szCs w:val="21"/>
          <w:highlight w:val="none"/>
          <w:lang w:val="zh-CN"/>
        </w:rPr>
        <w:t>未响应招标文件提出的实质性要求和条件（标注★的条款）；</w:t>
      </w:r>
    </w:p>
    <w:p w14:paraId="17BB66D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属于招标文件中规定为无效标的；属于法律、法规、规章规定的应作无效投标文件处理的。</w:t>
      </w:r>
    </w:p>
    <w:p w14:paraId="124B9EF3">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43D59DC5">
      <w:pPr>
        <w:tabs>
          <w:tab w:val="left" w:pos="567"/>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478" w:name="_Toc195714247"/>
      <w:bookmarkStart w:id="479" w:name="_Toc13586"/>
      <w:bookmarkStart w:id="480" w:name="_Toc28910_WPSOffice_Level3"/>
      <w:bookmarkStart w:id="481" w:name="_Toc13396"/>
      <w:bookmarkStart w:id="482" w:name="_Toc3515"/>
      <w:bookmarkStart w:id="483" w:name="_Toc18668"/>
      <w:bookmarkStart w:id="484" w:name="_Toc486167691"/>
      <w:bookmarkStart w:id="485" w:name="_Toc8692"/>
      <w:bookmarkStart w:id="486" w:name="_Toc450662876"/>
      <w:bookmarkStart w:id="487" w:name="_Toc12715"/>
      <w:bookmarkStart w:id="488" w:name="_Toc142508341"/>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 xml:space="preserve"> 投标文件的初审</w:t>
      </w:r>
      <w:bookmarkEnd w:id="478"/>
      <w:bookmarkEnd w:id="479"/>
      <w:bookmarkEnd w:id="480"/>
      <w:bookmarkEnd w:id="481"/>
      <w:bookmarkEnd w:id="482"/>
      <w:bookmarkEnd w:id="483"/>
      <w:bookmarkEnd w:id="484"/>
      <w:bookmarkEnd w:id="485"/>
      <w:bookmarkEnd w:id="486"/>
      <w:bookmarkEnd w:id="487"/>
      <w:bookmarkEnd w:id="488"/>
    </w:p>
    <w:p w14:paraId="14CADEFB">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 资格性检查：依据法律法规和招标文件的规定，对投标文件中的资格证明、投标保证金等进行审查，以确定投标人是否具备投标资格。</w:t>
      </w:r>
    </w:p>
    <w:p w14:paraId="71327107">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.2 符合性检查：依据招标文件的规定，从投标文件的有效性、完整性和对招标文件的响应程度进行审查，以确定是否对招标文件的实质性要求作出响应。</w:t>
      </w:r>
    </w:p>
    <w:p w14:paraId="25E5F41E">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6C162FE9">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489" w:name="_Toc7736"/>
      <w:bookmarkStart w:id="490" w:name="_Toc195714248"/>
      <w:bookmarkStart w:id="491" w:name="_Toc486167692"/>
      <w:bookmarkStart w:id="492" w:name="_Toc4837"/>
      <w:bookmarkStart w:id="493" w:name="_Toc30225"/>
      <w:bookmarkStart w:id="494" w:name="_Toc26001"/>
      <w:bookmarkStart w:id="495" w:name="_Toc6362"/>
      <w:bookmarkStart w:id="496" w:name="_Toc450662877"/>
      <w:bookmarkStart w:id="497" w:name="_Toc142508342"/>
      <w:bookmarkStart w:id="498" w:name="_Toc338_WPSOffice_Level3"/>
      <w:bookmarkStart w:id="499" w:name="_Toc24260"/>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 投标文件的澄清</w:t>
      </w:r>
      <w:bookmarkEnd w:id="489"/>
      <w:bookmarkEnd w:id="490"/>
      <w:bookmarkEnd w:id="491"/>
      <w:bookmarkEnd w:id="492"/>
      <w:bookmarkEnd w:id="493"/>
      <w:bookmarkEnd w:id="494"/>
      <w:bookmarkEnd w:id="495"/>
      <w:bookmarkEnd w:id="496"/>
      <w:bookmarkEnd w:id="497"/>
      <w:bookmarkEnd w:id="498"/>
      <w:bookmarkEnd w:id="499"/>
    </w:p>
    <w:p w14:paraId="2DFE51B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1EF4292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500" w:name="_Toc45066287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.2 </w:t>
      </w:r>
      <w:r>
        <w:rPr>
          <w:rFonts w:hint="eastAsia" w:ascii="宋体" w:hAnsi="宋体" w:eastAsia="宋体" w:cs="宋体"/>
          <w:color w:val="auto"/>
          <w:szCs w:val="21"/>
          <w:highlight w:val="none"/>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因此温馨提示各投标人：编制投标文件时，请认真填写本项目递交投标文件时法定代表人或法定代表人授权书列明的被授权人的联系电话，如招标文件</w:t>
      </w:r>
      <w:r>
        <w:rPr>
          <w:rFonts w:hint="eastAsia" w:ascii="宋体" w:hAnsi="宋体" w:eastAsia="宋体" w:cs="宋体"/>
          <w:color w:val="auto"/>
          <w:szCs w:val="21"/>
          <w:highlight w:val="none"/>
        </w:rPr>
        <w:t>第六篇</w:t>
      </w:r>
      <w:r>
        <w:rPr>
          <w:rFonts w:hint="eastAsia" w:ascii="宋体" w:hAnsi="宋体" w:eastAsia="宋体" w:cs="宋体"/>
          <w:color w:val="auto"/>
          <w:szCs w:val="21"/>
          <w:highlight w:val="none"/>
          <w:lang w:val="zh-CN"/>
        </w:rPr>
        <w:t>投标文件格式“投标函”</w:t>
      </w:r>
      <w:r>
        <w:rPr>
          <w:rFonts w:hint="eastAsia" w:ascii="宋体" w:hAnsi="宋体" w:eastAsia="宋体" w:cs="宋体"/>
          <w:color w:val="auto"/>
          <w:szCs w:val="21"/>
          <w:highlight w:val="none"/>
        </w:rPr>
        <w:t>和“法定代表人授权书”</w:t>
      </w:r>
      <w:r>
        <w:rPr>
          <w:rFonts w:hint="eastAsia" w:ascii="宋体" w:hAnsi="宋体" w:eastAsia="宋体" w:cs="宋体"/>
          <w:color w:val="auto"/>
          <w:szCs w:val="21"/>
          <w:highlight w:val="none"/>
          <w:lang w:val="zh-CN"/>
        </w:rPr>
        <w:t>中的</w:t>
      </w:r>
      <w:r>
        <w:rPr>
          <w:rFonts w:hint="eastAsia" w:ascii="宋体" w:hAnsi="宋体" w:eastAsia="宋体" w:cs="宋体"/>
          <w:color w:val="auto"/>
          <w:szCs w:val="21"/>
          <w:highlight w:val="none"/>
        </w:rPr>
        <w:t>联系方式及电子邮箱</w:t>
      </w:r>
      <w:r>
        <w:rPr>
          <w:rFonts w:hint="eastAsia" w:ascii="宋体" w:hAnsi="宋体" w:eastAsia="宋体" w:cs="宋体"/>
          <w:color w:val="auto"/>
          <w:szCs w:val="21"/>
          <w:highlight w:val="none"/>
          <w:lang w:val="zh-CN"/>
        </w:rPr>
        <w:t>，以便能及时收到澄清通知。</w:t>
      </w:r>
    </w:p>
    <w:p w14:paraId="4EBC23CA">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p>
    <w:bookmarkEnd w:id="500"/>
    <w:p w14:paraId="5D7C55A8">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501" w:name="_Toc28909"/>
      <w:bookmarkStart w:id="502" w:name="_Toc142508343"/>
      <w:bookmarkStart w:id="503" w:name="_Toc195714249"/>
      <w:bookmarkStart w:id="504" w:name="_Toc18368_WPSOffice_Level3"/>
      <w:bookmarkStart w:id="505" w:name="_Toc10087"/>
      <w:bookmarkStart w:id="506" w:name="_Toc10292"/>
      <w:bookmarkStart w:id="507" w:name="_Toc1795"/>
      <w:bookmarkStart w:id="508" w:name="_Toc521918096"/>
      <w:bookmarkStart w:id="509" w:name="_Toc522047355"/>
      <w:bookmarkStart w:id="510" w:name="_Toc10967"/>
      <w:bookmarkStart w:id="511" w:name="_Toc22065"/>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 xml:space="preserve"> 对投标文件的比较和评价</w:t>
      </w:r>
      <w:bookmarkEnd w:id="501"/>
      <w:bookmarkEnd w:id="502"/>
      <w:bookmarkEnd w:id="503"/>
      <w:bookmarkEnd w:id="504"/>
      <w:bookmarkEnd w:id="505"/>
      <w:bookmarkEnd w:id="506"/>
      <w:bookmarkEnd w:id="507"/>
      <w:bookmarkEnd w:id="508"/>
      <w:bookmarkEnd w:id="509"/>
      <w:bookmarkEnd w:id="510"/>
      <w:bookmarkEnd w:id="511"/>
    </w:p>
    <w:p w14:paraId="1C79A3FB">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评标委员会将对资格性检查和符合性检查合格的投标文件进行比较和评价，包括商务、技术、价格</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zh-CN"/>
        </w:rPr>
        <w:t>详细评审。</w:t>
      </w:r>
    </w:p>
    <w:p w14:paraId="097593DF">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7958DD5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5F1BFFC6">
      <w:pPr>
        <w:autoSpaceDE w:val="0"/>
        <w:autoSpaceDN w:val="0"/>
        <w:adjustRightInd w:val="0"/>
        <w:spacing w:line="360" w:lineRule="auto"/>
        <w:ind w:left="330" w:leftChars="-100" w:right="15" w:rightChars="7" w:hanging="54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29.4 </w:t>
      </w:r>
      <w:r>
        <w:rPr>
          <w:rFonts w:hint="eastAsia" w:ascii="宋体" w:hAnsi="宋体" w:eastAsia="宋体" w:cs="宋体"/>
          <w:color w:val="auto"/>
          <w:szCs w:val="21"/>
          <w:highlight w:val="none"/>
          <w:lang w:val="zh-CN"/>
        </w:rPr>
        <w:t>对投标价格的评审详见评标工作大纲。</w:t>
      </w:r>
    </w:p>
    <w:p w14:paraId="0E2F345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43D6324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2E4A3D90">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512" w:name="_Toc521918097"/>
      <w:bookmarkStart w:id="513" w:name="_Toc522047356"/>
    </w:p>
    <w:p w14:paraId="6590F576">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514" w:name="_Toc195714250"/>
      <w:bookmarkStart w:id="515" w:name="_Toc27026"/>
      <w:bookmarkStart w:id="516" w:name="_Toc17653"/>
      <w:bookmarkStart w:id="517" w:name="_Toc18614"/>
      <w:bookmarkStart w:id="518" w:name="_Toc27655"/>
      <w:bookmarkStart w:id="519" w:name="_Toc29299"/>
      <w:bookmarkStart w:id="520" w:name="_Toc142508344"/>
      <w:bookmarkStart w:id="521" w:name="_Toc21460_WPSOffice_Level3"/>
      <w:bookmarkStart w:id="522" w:name="_Toc14804"/>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评标原则及方法</w:t>
      </w:r>
      <w:bookmarkEnd w:id="512"/>
      <w:bookmarkEnd w:id="513"/>
      <w:bookmarkEnd w:id="514"/>
      <w:bookmarkEnd w:id="515"/>
      <w:bookmarkEnd w:id="516"/>
      <w:bookmarkEnd w:id="517"/>
      <w:bookmarkEnd w:id="518"/>
      <w:bookmarkEnd w:id="519"/>
      <w:bookmarkEnd w:id="520"/>
      <w:bookmarkEnd w:id="521"/>
      <w:bookmarkEnd w:id="522"/>
    </w:p>
    <w:p w14:paraId="342C2E5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对所有投标文件的评审，都采用相同的程序和标准。按步骤先进行初步评审，再进行商务、技术评审。</w:t>
      </w:r>
    </w:p>
    <w:p w14:paraId="7AE57940">
      <w:pPr>
        <w:tabs>
          <w:tab w:val="left" w:pos="360"/>
        </w:tabs>
        <w:autoSpaceDE w:val="0"/>
        <w:autoSpaceDN w:val="0"/>
        <w:adjustRightInd w:val="0"/>
        <w:spacing w:line="360" w:lineRule="auto"/>
        <w:ind w:left="330" w:leftChars="-100" w:right="44" w:rightChars="21" w:hanging="540"/>
        <w:outlineLvl w:val="1"/>
        <w:rPr>
          <w:rFonts w:ascii="宋体" w:hAnsi="宋体" w:eastAsia="宋体" w:cs="宋体"/>
          <w:color w:val="auto"/>
          <w:szCs w:val="21"/>
          <w:highlight w:val="none"/>
          <w:lang w:val="zh-CN"/>
        </w:rPr>
      </w:pPr>
      <w:bookmarkStart w:id="523" w:name="_Toc13185"/>
      <w:bookmarkStart w:id="524" w:name="_Toc6776"/>
      <w:bookmarkStart w:id="525" w:name="_Toc13082"/>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.2 评标严格按照招标文件的要求和条件进行。</w:t>
      </w:r>
      <w:bookmarkEnd w:id="523"/>
      <w:bookmarkEnd w:id="524"/>
      <w:bookmarkEnd w:id="525"/>
    </w:p>
    <w:p w14:paraId="65322CEA">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w:t>
      </w: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条，采用综合评分法的评审方法，对所有实质响应性投标文件进行综合打分。</w:t>
      </w:r>
    </w:p>
    <w:p w14:paraId="49FFBAFE">
      <w:pPr>
        <w:tabs>
          <w:tab w:val="left" w:pos="360"/>
        </w:tabs>
        <w:autoSpaceDE w:val="0"/>
        <w:autoSpaceDN w:val="0"/>
        <w:adjustRightInd w:val="0"/>
        <w:spacing w:line="360" w:lineRule="auto"/>
        <w:ind w:left="330" w:leftChars="-100" w:right="44" w:rightChars="21" w:hanging="54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rPr>
        <w:t>30</w:t>
      </w:r>
      <w:r>
        <w:rPr>
          <w:rFonts w:hint="eastAsia" w:ascii="宋体" w:hAnsi="宋体" w:eastAsia="宋体" w:cs="宋体"/>
          <w:b/>
          <w:bCs/>
          <w:color w:val="auto"/>
          <w:szCs w:val="21"/>
          <w:highlight w:val="none"/>
          <w:lang w:val="zh-CN"/>
        </w:rPr>
        <w:t>.3 若本次招标过程中有效投标人不足三个时，公开招标失败，并由评标委员会论证，招标文件是否没有不合理条款、招标程序是否符合规定</w:t>
      </w:r>
      <w:r>
        <w:rPr>
          <w:rFonts w:hint="eastAsia" w:ascii="宋体" w:hAnsi="宋体" w:eastAsia="宋体" w:cs="宋体"/>
          <w:b/>
          <w:bCs/>
          <w:color w:val="auto"/>
          <w:szCs w:val="21"/>
          <w:highlight w:val="none"/>
        </w:rPr>
        <w:t>。</w:t>
      </w:r>
    </w:p>
    <w:p w14:paraId="231EC222">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5CF226B1">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526" w:name="_Toc465358969"/>
      <w:bookmarkStart w:id="527" w:name="_Toc142508345"/>
      <w:bookmarkStart w:id="528" w:name="_Toc4819"/>
      <w:bookmarkStart w:id="529" w:name="_Toc195714251"/>
      <w:bookmarkStart w:id="530" w:name="_Toc15217"/>
      <w:bookmarkStart w:id="531" w:name="_Toc19179"/>
      <w:bookmarkStart w:id="532" w:name="_Toc486167694"/>
      <w:bookmarkStart w:id="533" w:name="_Toc466882017"/>
      <w:bookmarkStart w:id="534" w:name="_Toc18766"/>
      <w:bookmarkStart w:id="535" w:name="_Toc2612"/>
      <w:bookmarkStart w:id="536" w:name="_Toc32498_WPSOffice_Level3"/>
      <w:bookmarkStart w:id="537" w:name="_Toc11615"/>
      <w:r>
        <w:rPr>
          <w:rFonts w:hint="eastAsia" w:ascii="宋体" w:hAnsi="宋体" w:eastAsia="宋体" w:cs="宋体"/>
          <w:color w:val="auto"/>
          <w:szCs w:val="21"/>
          <w:highlight w:val="none"/>
        </w:rPr>
        <w:t xml:space="preserve">31 </w:t>
      </w:r>
      <w:r>
        <w:rPr>
          <w:rFonts w:hint="eastAsia" w:ascii="宋体" w:hAnsi="宋体" w:eastAsia="宋体" w:cs="宋体"/>
          <w:color w:val="auto"/>
          <w:szCs w:val="21"/>
          <w:highlight w:val="none"/>
          <w:lang w:val="zh-CN"/>
        </w:rPr>
        <w:t>评标结果公示及异议、投诉</w:t>
      </w:r>
      <w:bookmarkEnd w:id="526"/>
      <w:bookmarkEnd w:id="527"/>
      <w:bookmarkEnd w:id="528"/>
      <w:bookmarkEnd w:id="529"/>
      <w:bookmarkEnd w:id="530"/>
      <w:bookmarkEnd w:id="531"/>
      <w:bookmarkEnd w:id="532"/>
      <w:bookmarkEnd w:id="533"/>
      <w:bookmarkEnd w:id="534"/>
      <w:bookmarkEnd w:id="535"/>
      <w:bookmarkEnd w:id="536"/>
      <w:bookmarkEnd w:id="537"/>
    </w:p>
    <w:p w14:paraId="3DEC1733">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.1 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宋体"/>
          <w:color w:val="auto"/>
          <w:szCs w:val="21"/>
          <w:highlight w:val="none"/>
        </w:rPr>
        <w:t>评标结果</w:t>
      </w:r>
      <w:r>
        <w:rPr>
          <w:rFonts w:hint="eastAsia" w:ascii="宋体" w:hAnsi="宋体" w:eastAsia="宋体" w:cs="宋体"/>
          <w:color w:val="auto"/>
          <w:szCs w:val="21"/>
          <w:highlight w:val="none"/>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14:paraId="2C25A1E4">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r>
        <w:rPr>
          <w:rFonts w:hint="eastAsia" w:ascii="宋体" w:hAnsi="宋体" w:eastAsia="宋体" w:cs="宋体"/>
          <w:color w:val="auto"/>
          <w:kern w:val="0"/>
          <w:szCs w:val="21"/>
          <w:highlight w:val="none"/>
          <w:lang w:val="zh-CN"/>
        </w:rPr>
        <w:t>。</w:t>
      </w:r>
    </w:p>
    <w:p w14:paraId="1E8612E1">
      <w:pPr>
        <w:autoSpaceDE w:val="0"/>
        <w:autoSpaceDN w:val="0"/>
        <w:adjustRightInd w:val="0"/>
        <w:spacing w:line="360" w:lineRule="auto"/>
        <w:ind w:left="284" w:hanging="568"/>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 xml:space="preserve">31.2 </w:t>
      </w:r>
      <w:r>
        <w:rPr>
          <w:rFonts w:hint="eastAsia" w:ascii="宋体" w:hAnsi="宋体" w:eastAsia="宋体" w:cs="宋体"/>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3E6C723F">
      <w:pPr>
        <w:autoSpaceDE w:val="0"/>
        <w:autoSpaceDN w:val="0"/>
        <w:adjustRightInd w:val="0"/>
        <w:snapToGrid w:val="0"/>
        <w:spacing w:line="360" w:lineRule="auto"/>
        <w:ind w:left="246" w:leftChars="117" w:firstLine="422" w:firstLineChars="200"/>
        <w:jc w:val="lef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highlight w:val="none"/>
        </w:rPr>
        <w:t>第一中标候选人未能在招标人（或其委托的招标代理机构)书面要求的时间(一般不少于三个工作日)内提供完整的材料原件进行核查的</w:t>
      </w:r>
      <w:r>
        <w:rPr>
          <w:rFonts w:hint="eastAsia" w:ascii="宋体" w:hAnsi="宋体" w:eastAsia="宋体" w:cs="宋体"/>
          <w:b/>
          <w:color w:val="auto"/>
          <w:szCs w:val="21"/>
          <w:highlight w:val="none"/>
          <w:lang w:val="zh-CN"/>
        </w:rPr>
        <w:t>，视为其无法提供真实的资料，招标人有权取消其中标候选人资格。</w:t>
      </w:r>
    </w:p>
    <w:p w14:paraId="7FEE01E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710223D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3E5F2B7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02EBBE0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04B2506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7709DCD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3A9177A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48EC240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6D7392C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投诉人投诉的事项不得超出已异议事项的范围，但基于异议答复内容提出的投诉事项除外。</w:t>
      </w:r>
    </w:p>
    <w:p w14:paraId="7C63833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监督部门：东莞市水务环境投资控股集团有限公司，联系人：莫先生，联系电话：0769-28823251。</w:t>
      </w:r>
    </w:p>
    <w:p w14:paraId="0CE81A5B">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5949F69A">
      <w:pPr>
        <w:tabs>
          <w:tab w:val="left" w:pos="567"/>
        </w:tabs>
        <w:autoSpaceDE w:val="0"/>
        <w:autoSpaceDN w:val="0"/>
        <w:adjustRightInd w:val="0"/>
        <w:spacing w:line="360" w:lineRule="auto"/>
        <w:ind w:left="288" w:leftChars="-100" w:hanging="498" w:hangingChars="236"/>
        <w:outlineLvl w:val="0"/>
        <w:rPr>
          <w:rFonts w:ascii="宋体" w:hAnsi="宋体" w:eastAsia="宋体" w:cs="宋体"/>
          <w:b/>
          <w:color w:val="auto"/>
          <w:szCs w:val="21"/>
          <w:highlight w:val="none"/>
          <w:lang w:val="zh-CN"/>
        </w:rPr>
      </w:pPr>
      <w:bookmarkStart w:id="538" w:name="_Toc26283"/>
      <w:bookmarkStart w:id="539" w:name="_Toc30498"/>
      <w:bookmarkStart w:id="540" w:name="_Toc466882018"/>
      <w:bookmarkStart w:id="541" w:name="_Toc1848_WPSOffice_Level3"/>
      <w:bookmarkStart w:id="542" w:name="_Toc545"/>
      <w:bookmarkStart w:id="543" w:name="_Toc195714252"/>
      <w:bookmarkStart w:id="544" w:name="_Toc3154"/>
      <w:bookmarkStart w:id="545" w:name="_Toc26354"/>
      <w:bookmarkStart w:id="546" w:name="_Toc465358970"/>
      <w:bookmarkStart w:id="547" w:name="_Toc486167695"/>
      <w:bookmarkStart w:id="548" w:name="_Toc3609"/>
      <w:bookmarkStart w:id="549" w:name="_Toc142508346"/>
      <w:r>
        <w:rPr>
          <w:rFonts w:hint="eastAsia" w:ascii="宋体" w:hAnsi="宋体" w:eastAsia="宋体" w:cs="宋体"/>
          <w:b/>
          <w:color w:val="auto"/>
          <w:szCs w:val="21"/>
          <w:highlight w:val="none"/>
        </w:rPr>
        <w:t>32</w:t>
      </w:r>
      <w:r>
        <w:rPr>
          <w:rFonts w:hint="eastAsia" w:ascii="宋体" w:hAnsi="宋体" w:eastAsia="宋体" w:cs="宋体"/>
          <w:b/>
          <w:color w:val="auto"/>
          <w:szCs w:val="21"/>
          <w:highlight w:val="none"/>
          <w:lang w:val="zh-CN"/>
        </w:rPr>
        <w:t xml:space="preserve"> 真实性审查</w:t>
      </w:r>
      <w:bookmarkEnd w:id="538"/>
      <w:bookmarkEnd w:id="539"/>
      <w:bookmarkEnd w:id="540"/>
      <w:bookmarkEnd w:id="541"/>
      <w:bookmarkEnd w:id="542"/>
      <w:bookmarkEnd w:id="543"/>
      <w:bookmarkEnd w:id="544"/>
      <w:bookmarkEnd w:id="545"/>
      <w:bookmarkEnd w:id="546"/>
      <w:bookmarkEnd w:id="547"/>
      <w:bookmarkEnd w:id="548"/>
      <w:bookmarkEnd w:id="549"/>
    </w:p>
    <w:p w14:paraId="63C2D974">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32.1 在</w:t>
      </w:r>
      <w:r>
        <w:rPr>
          <w:rFonts w:hint="eastAsia" w:ascii="宋体" w:hAnsi="宋体" w:eastAsia="宋体" w:cs="宋体"/>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470A0E4A">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32.2 投标人</w:t>
      </w:r>
      <w:r>
        <w:rPr>
          <w:rFonts w:hint="eastAsia" w:ascii="宋体" w:hAnsi="宋体" w:eastAsia="宋体" w:cs="宋体"/>
          <w:b/>
          <w:color w:val="auto"/>
          <w:kern w:val="0"/>
          <w:szCs w:val="21"/>
          <w:highlight w:val="none"/>
        </w:rPr>
        <w:t>在招标人（或其委托的招标代理机构）、或评标委员会通知其提供</w:t>
      </w:r>
      <w:r>
        <w:rPr>
          <w:rFonts w:hint="eastAsia" w:ascii="宋体" w:hAnsi="宋体" w:eastAsia="宋体" w:cs="宋体"/>
          <w:b/>
          <w:color w:val="auto"/>
          <w:szCs w:val="21"/>
          <w:highlight w:val="none"/>
          <w:lang w:val="zh-CN"/>
        </w:rPr>
        <w:t>上述投标文件或投标文件外其他相关（包括但不限于业绩合同对应的发票等）的证明资料原件</w:t>
      </w:r>
      <w:r>
        <w:rPr>
          <w:rFonts w:hint="eastAsia" w:ascii="宋体" w:hAnsi="宋体" w:eastAsia="宋体" w:cs="宋体"/>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23E992FB">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32.3 若投标人在投标或履约过程中存在提供虚假材料、虚假响应招标文件要求等弄虚作假行为，或未能根据本须知31.2款约定按时提供原件进行核查的，或不按照投标文件承诺履约或撤回投标或放弃中标资格或不按要求与招标人签订合同等影响中标结果的行为，因此导致投标人无法参与东莞市水务环境投资控股集团有限公司相关招标采购等活动的，由投标人自行承担全部后果。</w:t>
      </w:r>
    </w:p>
    <w:p w14:paraId="35F347B8">
      <w:pPr>
        <w:autoSpaceDE w:val="0"/>
        <w:autoSpaceDN w:val="0"/>
        <w:adjustRightInd w:val="0"/>
        <w:snapToGrid w:val="0"/>
        <w:spacing w:line="360" w:lineRule="auto"/>
        <w:jc w:val="left"/>
        <w:rPr>
          <w:rFonts w:ascii="宋体" w:hAnsi="宋体" w:eastAsia="宋体" w:cs="宋体"/>
          <w:color w:val="auto"/>
          <w:szCs w:val="21"/>
          <w:highlight w:val="none"/>
        </w:rPr>
      </w:pPr>
      <w:bookmarkStart w:id="550" w:name="_Toc466882019"/>
      <w:bookmarkStart w:id="551" w:name="_Toc465358971"/>
    </w:p>
    <w:p w14:paraId="4879EB1B">
      <w:pPr>
        <w:tabs>
          <w:tab w:val="left" w:pos="567"/>
        </w:tabs>
        <w:autoSpaceDE w:val="0"/>
        <w:autoSpaceDN w:val="0"/>
        <w:adjustRightInd w:val="0"/>
        <w:spacing w:line="360" w:lineRule="auto"/>
        <w:ind w:left="16" w:leftChars="-59" w:hanging="140" w:hangingChars="67"/>
        <w:outlineLvl w:val="0"/>
        <w:rPr>
          <w:rFonts w:ascii="宋体" w:hAnsi="宋体" w:eastAsia="宋体" w:cs="宋体"/>
          <w:color w:val="auto"/>
          <w:szCs w:val="21"/>
          <w:highlight w:val="none"/>
          <w:lang w:val="zh-CN"/>
        </w:rPr>
      </w:pPr>
      <w:bookmarkStart w:id="552" w:name="_Toc195714253"/>
      <w:bookmarkStart w:id="553" w:name="_Toc6704"/>
      <w:bookmarkStart w:id="554" w:name="_Toc7390"/>
      <w:bookmarkStart w:id="555" w:name="_Toc8654"/>
      <w:bookmarkStart w:id="556" w:name="_Toc23672"/>
      <w:bookmarkStart w:id="557" w:name="_Toc10867_WPSOffice_Level3"/>
      <w:bookmarkStart w:id="558" w:name="_Toc486167696"/>
      <w:bookmarkStart w:id="559" w:name="_Toc142508347"/>
      <w:bookmarkStart w:id="560" w:name="_Toc13303"/>
      <w:bookmarkStart w:id="561" w:name="_Toc19798"/>
      <w:r>
        <w:rPr>
          <w:rFonts w:hint="eastAsia" w:ascii="宋体" w:hAnsi="宋体" w:eastAsia="宋体" w:cs="宋体"/>
          <w:color w:val="auto"/>
          <w:szCs w:val="21"/>
          <w:highlight w:val="none"/>
        </w:rPr>
        <w:t>33</w:t>
      </w:r>
      <w:r>
        <w:rPr>
          <w:rFonts w:hint="eastAsia" w:ascii="宋体" w:hAnsi="宋体" w:eastAsia="宋体" w:cs="宋体"/>
          <w:color w:val="auto"/>
          <w:szCs w:val="21"/>
          <w:highlight w:val="none"/>
          <w:lang w:val="zh-CN"/>
        </w:rPr>
        <w:t xml:space="preserve"> 评标委员会和招标人接受或拒绝任何投标或所有投标的权利</w:t>
      </w:r>
      <w:bookmarkEnd w:id="550"/>
      <w:bookmarkEnd w:id="551"/>
      <w:bookmarkEnd w:id="552"/>
      <w:bookmarkEnd w:id="553"/>
      <w:bookmarkEnd w:id="554"/>
      <w:bookmarkEnd w:id="555"/>
      <w:bookmarkEnd w:id="556"/>
      <w:bookmarkEnd w:id="557"/>
      <w:bookmarkEnd w:id="558"/>
      <w:bookmarkEnd w:id="559"/>
      <w:bookmarkEnd w:id="560"/>
      <w:bookmarkEnd w:id="561"/>
    </w:p>
    <w:p w14:paraId="38AB2CE6">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58486EAC">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562" w:name="_Toc450662880"/>
    </w:p>
    <w:p w14:paraId="596283A5">
      <w:pPr>
        <w:keepNext/>
        <w:keepLine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563" w:name="_Toc16848_WPSOffice_Level2"/>
      <w:bookmarkStart w:id="564" w:name="_Toc486167697"/>
      <w:bookmarkStart w:id="565" w:name="_Toc195714254"/>
      <w:bookmarkStart w:id="566" w:name="_Toc16789"/>
      <w:bookmarkStart w:id="567" w:name="_Toc31130"/>
      <w:bookmarkStart w:id="568" w:name="_Toc27936"/>
      <w:bookmarkStart w:id="569" w:name="_Toc140596907"/>
      <w:bookmarkStart w:id="570" w:name="_Toc25011"/>
      <w:bookmarkStart w:id="571" w:name="_Toc16147"/>
      <w:bookmarkStart w:id="572" w:name="_Toc142508348"/>
      <w:bookmarkStart w:id="573" w:name="_Toc11915"/>
      <w:r>
        <w:rPr>
          <w:rFonts w:hint="eastAsia" w:ascii="宋体" w:hAnsi="宋体" w:eastAsia="宋体" w:cs="宋体"/>
          <w:b/>
          <w:bCs/>
          <w:color w:val="auto"/>
          <w:kern w:val="44"/>
          <w:szCs w:val="21"/>
          <w:highlight w:val="none"/>
          <w:lang w:val="zh-CN"/>
        </w:rPr>
        <w:t>六、授予合同</w:t>
      </w:r>
      <w:bookmarkEnd w:id="562"/>
      <w:bookmarkEnd w:id="563"/>
      <w:bookmarkEnd w:id="564"/>
      <w:bookmarkEnd w:id="565"/>
      <w:bookmarkEnd w:id="566"/>
      <w:bookmarkEnd w:id="567"/>
      <w:bookmarkEnd w:id="568"/>
      <w:bookmarkEnd w:id="569"/>
      <w:bookmarkEnd w:id="570"/>
      <w:bookmarkEnd w:id="571"/>
      <w:bookmarkEnd w:id="572"/>
      <w:bookmarkEnd w:id="573"/>
    </w:p>
    <w:p w14:paraId="23E3511C">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574" w:name="_Toc8164"/>
      <w:bookmarkStart w:id="575" w:name="_Toc450662881"/>
      <w:bookmarkStart w:id="576" w:name="_Toc142508349"/>
      <w:bookmarkStart w:id="577" w:name="_Toc9884"/>
      <w:bookmarkStart w:id="578" w:name="_Toc6401_WPSOffice_Level3"/>
      <w:bookmarkStart w:id="579" w:name="_Toc14272"/>
      <w:bookmarkStart w:id="580" w:name="_Toc29383"/>
      <w:bookmarkStart w:id="581" w:name="_Toc15958"/>
      <w:bookmarkStart w:id="582" w:name="_Toc486167698"/>
      <w:bookmarkStart w:id="583" w:name="_Toc31713"/>
      <w:bookmarkStart w:id="584" w:name="_Toc195714255"/>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授予合同的准则</w:t>
      </w:r>
      <w:bookmarkEnd w:id="574"/>
      <w:bookmarkEnd w:id="575"/>
      <w:bookmarkEnd w:id="576"/>
      <w:bookmarkEnd w:id="577"/>
      <w:bookmarkEnd w:id="578"/>
      <w:bookmarkEnd w:id="579"/>
      <w:bookmarkEnd w:id="580"/>
      <w:bookmarkEnd w:id="581"/>
      <w:bookmarkEnd w:id="582"/>
      <w:bookmarkEnd w:id="583"/>
      <w:bookmarkEnd w:id="584"/>
    </w:p>
    <w:p w14:paraId="645B65C8">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w:t>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条、</w:t>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33</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50995A96">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240E6570">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Cs/>
          <w:color w:val="auto"/>
          <w:kern w:val="0"/>
          <w:szCs w:val="21"/>
          <w:highlight w:val="none"/>
        </w:rPr>
        <w:t>。</w:t>
      </w:r>
    </w:p>
    <w:p w14:paraId="13E89BCC">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585" w:name="_Toc450662885"/>
    </w:p>
    <w:p w14:paraId="3FCDBC0A">
      <w:pPr>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586" w:name="_Toc8196"/>
      <w:bookmarkStart w:id="587" w:name="_Toc19650"/>
      <w:bookmarkStart w:id="588" w:name="_Toc486167699"/>
      <w:bookmarkStart w:id="589" w:name="_Toc18984"/>
      <w:bookmarkStart w:id="590" w:name="_Toc142508350"/>
      <w:bookmarkStart w:id="591" w:name="_Toc31229"/>
      <w:bookmarkStart w:id="592" w:name="_Toc6726_WPSOffice_Level3"/>
      <w:bookmarkStart w:id="593" w:name="_Toc6265"/>
      <w:bookmarkStart w:id="594" w:name="_Toc195714256"/>
      <w:bookmarkStart w:id="595" w:name="_Toc13906"/>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 xml:space="preserve"> 中标通知</w:t>
      </w:r>
      <w:bookmarkEnd w:id="585"/>
      <w:bookmarkEnd w:id="586"/>
      <w:bookmarkEnd w:id="587"/>
      <w:bookmarkEnd w:id="588"/>
      <w:bookmarkEnd w:id="589"/>
      <w:bookmarkEnd w:id="590"/>
      <w:bookmarkEnd w:id="591"/>
      <w:bookmarkEnd w:id="592"/>
      <w:bookmarkEnd w:id="593"/>
      <w:bookmarkEnd w:id="594"/>
      <w:bookmarkEnd w:id="595"/>
    </w:p>
    <w:p w14:paraId="36B73DA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596" w:name="_Toc450662886"/>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4703983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2432B74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7315F04A">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597" w:name="_Toc13861"/>
      <w:bookmarkStart w:id="598" w:name="_Toc19127"/>
      <w:bookmarkStart w:id="599" w:name="_Toc4722"/>
      <w:bookmarkStart w:id="600" w:name="_Toc27020"/>
      <w:bookmarkStart w:id="601" w:name="_Toc195714257"/>
      <w:bookmarkStart w:id="602" w:name="_Toc20648"/>
      <w:bookmarkStart w:id="603" w:name="_Toc486167700"/>
      <w:bookmarkStart w:id="604" w:name="_Toc142508351"/>
      <w:bookmarkStart w:id="605" w:name="_Toc28020"/>
      <w:bookmarkStart w:id="606" w:name="_Toc9694_WPSOffice_Level3"/>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签署合同</w:t>
      </w:r>
      <w:bookmarkEnd w:id="596"/>
      <w:bookmarkEnd w:id="597"/>
      <w:bookmarkEnd w:id="598"/>
      <w:bookmarkEnd w:id="599"/>
      <w:bookmarkEnd w:id="600"/>
      <w:bookmarkEnd w:id="601"/>
      <w:bookmarkEnd w:id="602"/>
      <w:bookmarkEnd w:id="603"/>
      <w:bookmarkEnd w:id="604"/>
      <w:bookmarkEnd w:id="605"/>
      <w:bookmarkEnd w:id="606"/>
    </w:p>
    <w:p w14:paraId="4A13C32C">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72E35DAA">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 xml:space="preserve">2 </w:t>
      </w:r>
      <w:r>
        <w:rPr>
          <w:rFonts w:hint="eastAsia" w:ascii="宋体" w:hAnsi="宋体" w:eastAsia="宋体" w:cs="宋体"/>
          <w:b/>
          <w:bCs/>
          <w:color w:val="auto"/>
          <w:szCs w:val="21"/>
          <w:highlight w:val="none"/>
          <w:u w:val="single"/>
        </w:rPr>
        <w:t>按暂定不含税总价计算不含税</w:t>
      </w:r>
      <w:r>
        <w:rPr>
          <w:rFonts w:hint="eastAsia" w:ascii="宋体" w:hAnsi="宋体" w:eastAsia="宋体" w:cs="宋体"/>
          <w:b/>
          <w:bCs/>
          <w:color w:val="auto"/>
          <w:kern w:val="0"/>
          <w:szCs w:val="21"/>
          <w:highlight w:val="none"/>
          <w:u w:val="single"/>
        </w:rPr>
        <w:t>固定每瓦单价，计算公式</w:t>
      </w:r>
      <w:r>
        <w:rPr>
          <w:rFonts w:hint="eastAsia" w:ascii="宋体" w:hAnsi="宋体" w:eastAsia="宋体" w:cs="宋体"/>
          <w:b/>
          <w:bCs/>
          <w:color w:val="auto"/>
          <w:szCs w:val="21"/>
          <w:highlight w:val="none"/>
          <w:u w:val="single"/>
          <w:lang w:val="zh-CN"/>
        </w:rPr>
        <w:t>：</w:t>
      </w:r>
      <w:bookmarkStart w:id="607" w:name="OLE_LINK382"/>
      <w:r>
        <w:rPr>
          <w:rFonts w:hint="eastAsia" w:ascii="宋体" w:hAnsi="宋体" w:eastAsia="宋体" w:cs="宋体"/>
          <w:b/>
          <w:bCs/>
          <w:color w:val="auto"/>
          <w:szCs w:val="21"/>
          <w:highlight w:val="none"/>
          <w:u w:val="single"/>
        </w:rPr>
        <w:t>不含税</w:t>
      </w:r>
      <w:r>
        <w:rPr>
          <w:rFonts w:hint="eastAsia" w:ascii="宋体" w:hAnsi="宋体" w:eastAsia="宋体" w:cs="宋体"/>
          <w:b/>
          <w:bCs/>
          <w:color w:val="auto"/>
          <w:kern w:val="0"/>
          <w:szCs w:val="21"/>
          <w:highlight w:val="none"/>
          <w:u w:val="single"/>
        </w:rPr>
        <w:t>固定每瓦单价=暂定不含税总价（即中标人的投标报价）÷用户需求书约定的暂定总装机容量（计算的单价按四舍五入保留小数点后3位小数）</w:t>
      </w:r>
      <w:bookmarkEnd w:id="607"/>
      <w:r>
        <w:rPr>
          <w:rFonts w:hint="eastAsia" w:ascii="宋体" w:hAnsi="宋体" w:eastAsia="宋体" w:cs="宋体"/>
          <w:color w:val="auto"/>
          <w:kern w:val="0"/>
          <w:szCs w:val="21"/>
          <w:highlight w:val="none"/>
        </w:rPr>
        <w:t>。</w:t>
      </w:r>
    </w:p>
    <w:p w14:paraId="43AF620C">
      <w:pPr>
        <w:autoSpaceDE w:val="0"/>
        <w:autoSpaceDN w:val="0"/>
        <w:adjustRightInd w:val="0"/>
        <w:snapToGrid w:val="0"/>
        <w:spacing w:line="360" w:lineRule="auto"/>
        <w:ind w:left="315" w:leftChars="100" w:hanging="105" w:hangingChars="50"/>
        <w:jc w:val="left"/>
        <w:rPr>
          <w:rFonts w:ascii="宋体" w:hAnsi="宋体" w:eastAsia="宋体" w:cs="宋体"/>
          <w:color w:val="auto"/>
          <w:szCs w:val="21"/>
          <w:highlight w:val="none"/>
          <w:lang w:val="zh-CN"/>
        </w:rPr>
      </w:pPr>
    </w:p>
    <w:p w14:paraId="42309C35">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608" w:name="_Toc30380"/>
      <w:bookmarkStart w:id="609" w:name="_Toc8181"/>
      <w:bookmarkStart w:id="610" w:name="_Toc5304"/>
      <w:bookmarkStart w:id="611" w:name="_Toc486167701"/>
      <w:bookmarkStart w:id="612" w:name="_Toc10371"/>
      <w:bookmarkStart w:id="613" w:name="_Toc20036"/>
      <w:bookmarkStart w:id="614" w:name="_Toc450662887"/>
      <w:bookmarkStart w:id="615" w:name="_Toc142508352"/>
      <w:bookmarkStart w:id="616" w:name="_Toc23798"/>
      <w:bookmarkStart w:id="617" w:name="_Toc10513_WPSOffice_Level3"/>
      <w:bookmarkStart w:id="618" w:name="_Toc195714258"/>
      <w:r>
        <w:rPr>
          <w:rFonts w:hint="eastAsia" w:ascii="宋体" w:hAnsi="宋体" w:eastAsia="宋体" w:cs="宋体"/>
          <w:color w:val="auto"/>
          <w:szCs w:val="21"/>
          <w:highlight w:val="none"/>
        </w:rPr>
        <w:t xml:space="preserve">37 </w:t>
      </w:r>
      <w:r>
        <w:rPr>
          <w:rFonts w:hint="eastAsia" w:ascii="宋体" w:hAnsi="宋体" w:eastAsia="宋体" w:cs="宋体"/>
          <w:color w:val="auto"/>
          <w:szCs w:val="21"/>
          <w:highlight w:val="none"/>
          <w:lang w:val="zh-CN"/>
        </w:rPr>
        <w:t>履约担保</w:t>
      </w:r>
      <w:bookmarkEnd w:id="608"/>
      <w:bookmarkEnd w:id="609"/>
      <w:bookmarkEnd w:id="610"/>
      <w:bookmarkEnd w:id="611"/>
      <w:bookmarkEnd w:id="612"/>
      <w:bookmarkEnd w:id="613"/>
      <w:bookmarkEnd w:id="614"/>
      <w:bookmarkEnd w:id="615"/>
      <w:bookmarkEnd w:id="616"/>
      <w:bookmarkEnd w:id="617"/>
      <w:bookmarkEnd w:id="618"/>
    </w:p>
    <w:p w14:paraId="3E1C1F14">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619" w:name="_Toc466882025"/>
      <w:bookmarkStart w:id="620" w:name="_Toc465358977"/>
      <w:r>
        <w:rPr>
          <w:rFonts w:hint="eastAsia" w:ascii="宋体" w:hAnsi="宋体" w:eastAsia="宋体" w:cs="宋体"/>
          <w:bCs/>
          <w:color w:val="auto"/>
          <w:szCs w:val="21"/>
          <w:highlight w:val="none"/>
        </w:rPr>
        <w:t>37</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宋体"/>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宋体"/>
          <w:b/>
          <w:bCs/>
          <w:color w:val="auto"/>
          <w:szCs w:val="21"/>
          <w:highlight w:val="none"/>
          <w:u w:val="single"/>
        </w:rPr>
        <w:t>或履约保证保险</w:t>
      </w:r>
      <w:r>
        <w:rPr>
          <w:rFonts w:hint="eastAsia" w:ascii="宋体" w:hAnsi="宋体" w:eastAsia="宋体" w:cs="宋体"/>
          <w:b/>
          <w:bCs/>
          <w:color w:val="auto"/>
          <w:szCs w:val="21"/>
          <w:highlight w:val="none"/>
          <w:u w:val="single"/>
          <w:lang w:val="zh-CN"/>
        </w:rPr>
        <w:t>或担保公司履约担保书），作为履约担保（所需费用由中标人自行承担），</w:t>
      </w:r>
      <w:r>
        <w:rPr>
          <w:rFonts w:hint="eastAsia" w:ascii="宋体" w:hAnsi="宋体" w:eastAsia="宋体" w:cs="宋体"/>
          <w:b/>
          <w:bCs/>
          <w:color w:val="auto"/>
          <w:kern w:val="0"/>
          <w:szCs w:val="24"/>
          <w:highlight w:val="none"/>
          <w:u w:val="single"/>
        </w:rPr>
        <w:t>否则招标人可取消中标人的中标资格，不予退还其投标保证金。</w:t>
      </w:r>
      <w:r>
        <w:rPr>
          <w:rFonts w:hint="eastAsia" w:ascii="宋体" w:hAnsi="宋体" w:eastAsia="宋体" w:cs="宋体"/>
          <w:b/>
          <w:bCs/>
          <w:color w:val="auto"/>
          <w:szCs w:val="21"/>
          <w:highlight w:val="none"/>
          <w:u w:val="single"/>
          <w:lang w:val="zh-CN"/>
        </w:rPr>
        <w:t>其中，采用履约保证金（银行转账形式）的金额为暂定</w:t>
      </w:r>
      <w:r>
        <w:rPr>
          <w:rFonts w:hint="eastAsia" w:ascii="宋体" w:hAnsi="宋体" w:eastAsia="宋体" w:cs="宋体"/>
          <w:b/>
          <w:bCs/>
          <w:color w:val="auto"/>
          <w:szCs w:val="21"/>
          <w:highlight w:val="none"/>
          <w:u w:val="single"/>
        </w:rPr>
        <w:t>不含税总</w:t>
      </w:r>
      <w:r>
        <w:rPr>
          <w:rFonts w:hint="eastAsia" w:ascii="宋体" w:hAnsi="宋体" w:eastAsia="宋体" w:cs="宋体"/>
          <w:b/>
          <w:bCs/>
          <w:color w:val="auto"/>
          <w:szCs w:val="21"/>
          <w:highlight w:val="none"/>
          <w:u w:val="single"/>
          <w:lang w:val="zh-CN"/>
        </w:rPr>
        <w:t>价的5%，采用不可撤销银行履约保函形式的金额为暂定</w:t>
      </w:r>
      <w:r>
        <w:rPr>
          <w:rFonts w:hint="eastAsia" w:ascii="宋体" w:hAnsi="宋体" w:eastAsia="宋体" w:cs="宋体"/>
          <w:b/>
          <w:bCs/>
          <w:color w:val="auto"/>
          <w:szCs w:val="21"/>
          <w:highlight w:val="none"/>
          <w:u w:val="single"/>
        </w:rPr>
        <w:t>不含税</w:t>
      </w:r>
      <w:r>
        <w:rPr>
          <w:rFonts w:hint="eastAsia" w:ascii="宋体" w:hAnsi="宋体" w:eastAsia="宋体" w:cs="宋体"/>
          <w:b/>
          <w:bCs/>
          <w:color w:val="auto"/>
          <w:szCs w:val="21"/>
          <w:highlight w:val="none"/>
          <w:u w:val="single"/>
          <w:lang w:val="zh-CN"/>
        </w:rPr>
        <w:t>总价的8%，采用</w:t>
      </w:r>
      <w:r>
        <w:rPr>
          <w:rFonts w:hint="eastAsia" w:ascii="宋体" w:hAnsi="宋体" w:eastAsia="宋体" w:cs="宋体"/>
          <w:b/>
          <w:bCs/>
          <w:color w:val="auto"/>
          <w:szCs w:val="21"/>
          <w:highlight w:val="none"/>
          <w:u w:val="single"/>
        </w:rPr>
        <w:t>履约保证保险</w:t>
      </w:r>
      <w:r>
        <w:rPr>
          <w:rFonts w:hint="eastAsia" w:ascii="宋体" w:hAnsi="宋体" w:eastAsia="宋体" w:cs="宋体"/>
          <w:b/>
          <w:bCs/>
          <w:color w:val="auto"/>
          <w:szCs w:val="21"/>
          <w:highlight w:val="none"/>
          <w:u w:val="single"/>
          <w:lang w:val="zh-CN"/>
        </w:rPr>
        <w:t>形式的金额为暂定</w:t>
      </w:r>
      <w:r>
        <w:rPr>
          <w:rFonts w:hint="eastAsia" w:ascii="宋体" w:hAnsi="宋体" w:eastAsia="宋体" w:cs="宋体"/>
          <w:b/>
          <w:bCs/>
          <w:color w:val="auto"/>
          <w:szCs w:val="21"/>
          <w:highlight w:val="none"/>
          <w:u w:val="single"/>
        </w:rPr>
        <w:t>不含税</w:t>
      </w:r>
      <w:r>
        <w:rPr>
          <w:rFonts w:hint="eastAsia" w:ascii="宋体" w:hAnsi="宋体" w:eastAsia="宋体" w:cs="宋体"/>
          <w:b/>
          <w:bCs/>
          <w:color w:val="auto"/>
          <w:szCs w:val="21"/>
          <w:highlight w:val="none"/>
          <w:u w:val="single"/>
          <w:lang w:val="zh-CN"/>
        </w:rPr>
        <w:t>总价的8%，采用担保公司履约担保书形式的金额为暂定</w:t>
      </w:r>
      <w:r>
        <w:rPr>
          <w:rFonts w:hint="eastAsia" w:ascii="宋体" w:hAnsi="宋体" w:eastAsia="宋体" w:cs="宋体"/>
          <w:b/>
          <w:bCs/>
          <w:color w:val="auto"/>
          <w:szCs w:val="21"/>
          <w:highlight w:val="none"/>
          <w:u w:val="single"/>
        </w:rPr>
        <w:t>不含税</w:t>
      </w:r>
      <w:r>
        <w:rPr>
          <w:rFonts w:hint="eastAsia" w:ascii="宋体" w:hAnsi="宋体" w:eastAsia="宋体" w:cs="宋体"/>
          <w:b/>
          <w:bCs/>
          <w:color w:val="auto"/>
          <w:szCs w:val="21"/>
          <w:highlight w:val="none"/>
          <w:u w:val="single"/>
          <w:lang w:val="zh-CN"/>
        </w:rPr>
        <w:t>总价的10%</w:t>
      </w:r>
      <w:bookmarkStart w:id="621" w:name="OLE_LINK387"/>
      <w:r>
        <w:rPr>
          <w:rFonts w:hint="eastAsia" w:ascii="宋体" w:hAnsi="宋体" w:eastAsia="宋体" w:cs="宋体"/>
          <w:b/>
          <w:bCs/>
          <w:color w:val="auto"/>
          <w:szCs w:val="21"/>
          <w:highlight w:val="none"/>
          <w:u w:val="single"/>
          <w:lang w:val="zh-CN"/>
        </w:rPr>
        <w:t>。</w:t>
      </w:r>
      <w:bookmarkEnd w:id="621"/>
      <w:r>
        <w:rPr>
          <w:rFonts w:hint="eastAsia" w:ascii="宋体" w:hAnsi="宋体" w:eastAsia="宋体" w:cs="宋体"/>
          <w:bCs/>
          <w:color w:val="auto"/>
          <w:kern w:val="0"/>
          <w:szCs w:val="24"/>
          <w:highlight w:val="none"/>
        </w:rPr>
        <w:t>合同履行过程中，中标人</w:t>
      </w:r>
      <w:r>
        <w:rPr>
          <w:rFonts w:hint="eastAsia" w:ascii="宋体" w:hAnsi="宋体" w:eastAsia="宋体" w:cs="宋体"/>
          <w:color w:val="auto"/>
          <w:kern w:val="0"/>
          <w:szCs w:val="24"/>
          <w:highlight w:val="none"/>
        </w:rPr>
        <w:t>给招标人造成的损失超过履约担保数额的，中标人还应当对超过部分予以赔偿，招标人并依法追究中标人的相应责任。</w:t>
      </w:r>
    </w:p>
    <w:p w14:paraId="7B9A6AE1">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37.2 履约担保用于补偿招标人因中标人不能完全履行其合同义务而蒙受的损失或其他合同约定的事项。如发生下列任一情况时，招标人有权依合同追究违约责任外，同时有权提取履约担保并进行相应处理：</w:t>
      </w:r>
    </w:p>
    <w:p w14:paraId="27F915C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（1）中标人将合同项下中标人的权利义务全部转让给第三方，或未经招标人书面同意将部分权利义务转让给第三方的，招标人有权没收其履约担保。</w:t>
      </w:r>
    </w:p>
    <w:p w14:paraId="3AE28C5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szCs w:val="21"/>
          <w:highlight w:val="none"/>
        </w:rPr>
        <w:t>在合同履行期间，中标人怠于履行合同义务，经招标人通知或要求限期整改后，中标人仍拒不改正的，招标人有权没收其履约担保</w:t>
      </w:r>
      <w:r>
        <w:rPr>
          <w:rFonts w:hint="eastAsia" w:ascii="宋体" w:hAnsi="宋体" w:eastAsia="宋体" w:cs="宋体"/>
          <w:color w:val="auto"/>
          <w:kern w:val="0"/>
          <w:szCs w:val="21"/>
          <w:highlight w:val="none"/>
        </w:rPr>
        <w:t>。</w:t>
      </w:r>
    </w:p>
    <w:p w14:paraId="56F43F2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szCs w:val="21"/>
          <w:highlight w:val="none"/>
        </w:rPr>
        <w:t>在合同履行期间，因中标人货物、运营维护服务质量问题造成损害、侵权损失（包括但不限于招标人（含其人员）经济损失、中标人所雇人员及第三人人身财产损失等）、拖欠供应商货款或与其所雇用员工发生劳资纠纷、上访、闹事或其他影响招标人生产经营等情况而其未及时妥善处理的，招标人有权使用履约担保予以支付或作出相应处理，由此产生的一切法律后果由中标人承担</w:t>
      </w:r>
      <w:r>
        <w:rPr>
          <w:rFonts w:hint="eastAsia" w:ascii="宋体" w:hAnsi="宋体" w:eastAsia="宋体" w:cs="宋体"/>
          <w:color w:val="auto"/>
          <w:kern w:val="0"/>
          <w:szCs w:val="21"/>
          <w:highlight w:val="none"/>
        </w:rPr>
        <w:t>。</w:t>
      </w:r>
    </w:p>
    <w:p w14:paraId="0FB201F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（4）在合同履行期间，中标人违约产生的违约金、赔偿、罚款或其他应付费用等款项，招标人有权直接从未付款项中直接扣除或启用履约担保予以支付。</w:t>
      </w:r>
    </w:p>
    <w:p w14:paraId="55E5E2E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（5）合同期内，中标人不能及时完成合同某项义务的，招标人有权提取履约担保用于处理该项工作。</w:t>
      </w:r>
    </w:p>
    <w:p w14:paraId="2678849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（6）其他根据本合同约定或法律规定，招标人可启用履约担保的情形。</w:t>
      </w:r>
    </w:p>
    <w:p w14:paraId="047DF63A">
      <w:pPr>
        <w:tabs>
          <w:tab w:val="left" w:pos="360"/>
          <w:tab w:val="left" w:pos="4725"/>
        </w:tabs>
        <w:autoSpaceDE w:val="0"/>
        <w:autoSpaceDN w:val="0"/>
        <w:adjustRightInd w:val="0"/>
        <w:spacing w:line="360" w:lineRule="auto"/>
        <w:ind w:left="315" w:leftChars="-100" w:hanging="525" w:hangingChars="250"/>
        <w:jc w:val="left"/>
        <w:outlineLvl w:val="1"/>
        <w:rPr>
          <w:rFonts w:ascii="宋体" w:hAnsi="宋体" w:eastAsia="宋体" w:cs="宋体"/>
          <w:color w:val="auto"/>
          <w:kern w:val="0"/>
          <w:szCs w:val="21"/>
          <w:highlight w:val="none"/>
        </w:rPr>
      </w:pPr>
      <w:bookmarkStart w:id="622" w:name="_Toc1901"/>
      <w:bookmarkStart w:id="623" w:name="_Toc5"/>
      <w:bookmarkStart w:id="624" w:name="_Toc4689"/>
      <w:r>
        <w:rPr>
          <w:rFonts w:hint="eastAsia" w:ascii="宋体" w:hAnsi="宋体" w:eastAsia="宋体" w:cs="宋体"/>
          <w:color w:val="auto"/>
          <w:kern w:val="0"/>
          <w:szCs w:val="21"/>
          <w:highlight w:val="none"/>
        </w:rPr>
        <w:t>37.3  履约担保应符合如下规定：</w:t>
      </w:r>
      <w:bookmarkEnd w:id="622"/>
      <w:bookmarkEnd w:id="623"/>
      <w:bookmarkEnd w:id="624"/>
    </w:p>
    <w:p w14:paraId="3E15403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（1）出具履约保函的银行必须是境内支行一级以上机构，并经招标人同意，执行本款时所发生的费用由中标人承担。</w:t>
      </w:r>
    </w:p>
    <w:p w14:paraId="004BC76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格式应采用招标文件中提供的，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的书面同意。</w:t>
      </w:r>
    </w:p>
    <w:p w14:paraId="4E527F2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担保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14:paraId="275ACF5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或履约保证保险或担保公司履约担保书）到期后中标人未按招标人要求重新提供的，招标人有权要求中标人支付30万元违约金，违约金招标人可直接从未付款项中扣除。</w:t>
      </w:r>
    </w:p>
    <w:p w14:paraId="2A97A13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金数额不符合招标文件要求的，中标人应当在15日内予以补足。逾期不予补足的，招标人有权按需补足的金额要求中标人承担违约金，并要求限期补足。如中标人仍不补足的，招标人有权要求中标人支付30万元违约金，并有权单方解除合同。</w:t>
      </w:r>
    </w:p>
    <w:p w14:paraId="46A62A3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（6）不可撤销银行履约保函（或履约保证保险或担保公司履约担保书）应自合同签订之日起至运维期结束且中标人按合同约定完成运维期届满前的全部义务后二十八（28）日内保持有效。</w:t>
      </w:r>
    </w:p>
    <w:p w14:paraId="0A91CEE2">
      <w:pPr>
        <w:tabs>
          <w:tab w:val="left" w:pos="360"/>
          <w:tab w:val="left" w:pos="4725"/>
        </w:tabs>
        <w:autoSpaceDE w:val="0"/>
        <w:autoSpaceDN w:val="0"/>
        <w:adjustRightInd w:val="0"/>
        <w:spacing w:line="360" w:lineRule="auto"/>
        <w:ind w:left="315" w:leftChars="-100" w:hanging="525" w:hangingChars="250"/>
        <w:jc w:val="left"/>
        <w:outlineLvl w:val="1"/>
        <w:rPr>
          <w:rFonts w:ascii="宋体" w:hAnsi="宋体" w:eastAsia="宋体" w:cs="宋体"/>
          <w:color w:val="auto"/>
          <w:kern w:val="0"/>
          <w:szCs w:val="21"/>
          <w:highlight w:val="none"/>
        </w:rPr>
      </w:pPr>
      <w:bookmarkStart w:id="625" w:name="_Toc32006"/>
      <w:bookmarkStart w:id="626" w:name="_Toc62"/>
      <w:bookmarkStart w:id="627" w:name="_Toc2648"/>
      <w:r>
        <w:rPr>
          <w:rFonts w:hint="eastAsia" w:ascii="宋体" w:hAnsi="宋体" w:eastAsia="宋体" w:cs="宋体"/>
          <w:color w:val="auto"/>
          <w:kern w:val="0"/>
          <w:szCs w:val="21"/>
          <w:highlight w:val="none"/>
        </w:rPr>
        <w:t>37.4  履约保证金应用本合同货币。</w:t>
      </w:r>
      <w:bookmarkEnd w:id="625"/>
      <w:bookmarkEnd w:id="626"/>
      <w:bookmarkEnd w:id="627"/>
    </w:p>
    <w:p w14:paraId="065935C2">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37.5  中标人也可以按招标文件约定的额度和时间，向招标人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14:paraId="3CD8B44B">
      <w:pPr>
        <w:tabs>
          <w:tab w:val="left" w:pos="360"/>
          <w:tab w:val="left" w:pos="4725"/>
        </w:tabs>
        <w:autoSpaceDE w:val="0"/>
        <w:autoSpaceDN w:val="0"/>
        <w:adjustRightInd w:val="0"/>
        <w:spacing w:line="360" w:lineRule="auto"/>
        <w:ind w:firstLine="632" w:firstLineChars="300"/>
        <w:jc w:val="left"/>
        <w:outlineLvl w:val="0"/>
        <w:rPr>
          <w:rFonts w:ascii="宋体" w:hAnsi="宋体" w:eastAsia="宋体" w:cs="宋体"/>
          <w:b/>
          <w:color w:val="auto"/>
          <w:kern w:val="0"/>
          <w:szCs w:val="21"/>
          <w:highlight w:val="none"/>
        </w:rPr>
      </w:pPr>
      <w:bookmarkStart w:id="628" w:name="_Toc22893"/>
      <w:bookmarkStart w:id="629" w:name="_Toc10932"/>
      <w:bookmarkStart w:id="630" w:name="_Toc24436"/>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bookmarkEnd w:id="628"/>
      <w:bookmarkEnd w:id="629"/>
      <w:bookmarkEnd w:id="630"/>
    </w:p>
    <w:p w14:paraId="74FEF872">
      <w:pPr>
        <w:autoSpaceDE w:val="0"/>
        <w:autoSpaceDN w:val="0"/>
        <w:adjustRightInd w:val="0"/>
        <w:snapToGri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开户名称：东莞市水务集团科技发展有限公司</w:t>
      </w:r>
    </w:p>
    <w:p w14:paraId="20169458">
      <w:pPr>
        <w:autoSpaceDE w:val="0"/>
        <w:autoSpaceDN w:val="0"/>
        <w:adjustRightInd w:val="0"/>
        <w:snapToGri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银行账号：2010021309200593250</w:t>
      </w:r>
    </w:p>
    <w:p w14:paraId="4FE32F29">
      <w:pPr>
        <w:autoSpaceDE w:val="0"/>
        <w:autoSpaceDN w:val="0"/>
        <w:adjustRightInd w:val="0"/>
        <w:snapToGri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w:t>
      </w:r>
      <w:bookmarkStart w:id="631" w:name="OLE_LINK393"/>
      <w:r>
        <w:rPr>
          <w:rFonts w:hint="eastAsia" w:ascii="宋体" w:hAnsi="宋体" w:eastAsia="宋体" w:cs="宋体"/>
          <w:b/>
          <w:color w:val="auto"/>
          <w:kern w:val="0"/>
          <w:szCs w:val="21"/>
          <w:highlight w:val="none"/>
        </w:rPr>
        <w:t>中国工商银行东莞分行</w:t>
      </w:r>
      <w:bookmarkEnd w:id="631"/>
    </w:p>
    <w:p w14:paraId="0290FCAB">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37.6  中标</w:t>
      </w:r>
      <w:r>
        <w:rPr>
          <w:rFonts w:hint="eastAsia" w:ascii="宋体" w:hAnsi="宋体" w:eastAsia="宋体" w:cs="宋体"/>
          <w:color w:val="auto"/>
          <w:kern w:val="0"/>
          <w:szCs w:val="24"/>
          <w:highlight w:val="none"/>
        </w:rPr>
        <w:t>单位提交了履约担保后，当履约保证金转达招标人履约保证金账户后，</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人将履约保证金的汇款凭证用A4纸复印件（</w:t>
      </w:r>
      <w:r>
        <w:rPr>
          <w:rFonts w:hint="eastAsia" w:ascii="宋体" w:hAnsi="宋体" w:eastAsia="宋体" w:cs="宋体"/>
          <w:bCs/>
          <w:color w:val="auto"/>
          <w:kern w:val="0"/>
          <w:szCs w:val="24"/>
          <w:highlight w:val="none"/>
        </w:rPr>
        <w:t>注明</w:t>
      </w:r>
      <w:r>
        <w:rPr>
          <w:rFonts w:hint="eastAsia" w:ascii="宋体" w:hAnsi="宋体" w:eastAsia="宋体" w:cs="宋体"/>
          <w:bCs/>
          <w:color w:val="auto"/>
          <w:szCs w:val="21"/>
          <w:highlight w:val="none"/>
          <w:lang w:val="zh-CN"/>
        </w:rPr>
        <w:t>招标</w:t>
      </w:r>
      <w:r>
        <w:rPr>
          <w:rFonts w:hint="eastAsia" w:ascii="宋体" w:hAnsi="宋体" w:eastAsia="宋体" w:cs="宋体"/>
          <w:bCs/>
          <w:color w:val="auto"/>
          <w:kern w:val="0"/>
          <w:szCs w:val="24"/>
          <w:highlight w:val="none"/>
        </w:rPr>
        <w:t>编号</w:t>
      </w:r>
      <w:r>
        <w:rPr>
          <w:rFonts w:hint="eastAsia" w:ascii="宋体" w:hAnsi="宋体" w:eastAsia="宋体" w:cs="宋体"/>
          <w:color w:val="auto"/>
          <w:kern w:val="0"/>
          <w:szCs w:val="24"/>
          <w:highlight w:val="none"/>
        </w:rPr>
        <w:t>）一式二份并加盖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人的公章送招标代理机构，[或当中标人采取不可撤销银行履约保函（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或担保公司履约担保书）的方式缴纳履约担保时，中标人将不可撤销银行履约保函（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或担保公司履约担保书）原件</w:t>
      </w:r>
      <w:r>
        <w:rPr>
          <w:rFonts w:hint="eastAsia" w:ascii="宋体" w:hAnsi="宋体" w:eastAsia="宋体" w:cs="宋体"/>
          <w:color w:val="auto"/>
          <w:szCs w:val="21"/>
          <w:highlight w:val="none"/>
          <w:lang w:val="zh-CN"/>
        </w:rPr>
        <w:t>交给招标人，由招标人在</w:t>
      </w:r>
      <w:r>
        <w:rPr>
          <w:rFonts w:hint="eastAsia" w:ascii="宋体" w:hAnsi="宋体" w:eastAsia="宋体" w:cs="宋体"/>
          <w:color w:val="auto"/>
          <w:kern w:val="0"/>
          <w:szCs w:val="24"/>
          <w:highlight w:val="none"/>
        </w:rPr>
        <w:t>履约保函一式两份复印件上</w:t>
      </w:r>
      <w:r>
        <w:rPr>
          <w:rFonts w:hint="eastAsia" w:ascii="宋体" w:hAnsi="宋体" w:eastAsia="宋体" w:cs="宋体"/>
          <w:color w:val="auto"/>
          <w:szCs w:val="21"/>
          <w:highlight w:val="none"/>
          <w:lang w:val="zh-CN"/>
        </w:rPr>
        <w:t>注明“原件已收”及签收人、日期后，中标人在每份复印件上</w:t>
      </w:r>
      <w:r>
        <w:rPr>
          <w:rFonts w:hint="eastAsia" w:ascii="宋体" w:hAnsi="宋体" w:eastAsia="宋体" w:cs="宋体"/>
          <w:color w:val="auto"/>
          <w:kern w:val="0"/>
          <w:szCs w:val="24"/>
          <w:highlight w:val="none"/>
        </w:rPr>
        <w:t>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w:t>
      </w:r>
      <w:r>
        <w:rPr>
          <w:rFonts w:hint="eastAsia" w:ascii="宋体" w:hAnsi="宋体" w:eastAsia="宋体" w:cs="宋体"/>
          <w:color w:val="auto"/>
          <w:kern w:val="0"/>
          <w:szCs w:val="21"/>
          <w:highlight w:val="none"/>
        </w:rPr>
        <w:t>。</w:t>
      </w:r>
    </w:p>
    <w:p w14:paraId="3BFA281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37.7  </w:t>
      </w:r>
      <w:r>
        <w:rPr>
          <w:rFonts w:hint="eastAsia" w:ascii="宋体" w:hAnsi="宋体" w:eastAsia="宋体" w:cs="宋体"/>
          <w:color w:val="auto"/>
          <w:kern w:val="0"/>
          <w:szCs w:val="21"/>
          <w:highlight w:val="none"/>
        </w:rPr>
        <w:t>中标人以履约保证金（银行转账形式）提供履约担保的，在运维期结束且中标人按合同约定完成运维期届满前的全部义务后，经招标人确认，中标人可向招标人提交退回履约担保的申请。招标人审核无异议后，办理履约担保退还手续，退回时一律以银行转账的形式无息退回到中标人的账户。</w:t>
      </w:r>
    </w:p>
    <w:p w14:paraId="3313954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0603CB15">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632" w:name="_Toc486167702"/>
      <w:bookmarkStart w:id="633" w:name="_Toc31651"/>
      <w:bookmarkStart w:id="634" w:name="_Toc3311"/>
      <w:bookmarkStart w:id="635" w:name="_Toc28138"/>
      <w:bookmarkStart w:id="636" w:name="_Toc195714259"/>
      <w:bookmarkStart w:id="637" w:name="_Toc10548"/>
      <w:bookmarkStart w:id="638" w:name="_Toc142508353"/>
      <w:bookmarkStart w:id="639" w:name="_Toc27162"/>
      <w:bookmarkStart w:id="640" w:name="_Toc17443"/>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在合同履行中变更采购范围的权利</w:t>
      </w:r>
      <w:bookmarkEnd w:id="619"/>
      <w:bookmarkEnd w:id="620"/>
      <w:bookmarkEnd w:id="632"/>
      <w:bookmarkEnd w:id="633"/>
      <w:bookmarkEnd w:id="634"/>
      <w:bookmarkEnd w:id="635"/>
      <w:bookmarkEnd w:id="636"/>
      <w:bookmarkEnd w:id="637"/>
      <w:bookmarkEnd w:id="638"/>
      <w:bookmarkEnd w:id="639"/>
      <w:bookmarkEnd w:id="640"/>
    </w:p>
    <w:p w14:paraId="220B7877">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38.1 合同履行中，招标人在合同约定的范围内，招标人有权根据项目实际情况及有关法律法规、政策的规定对采购范围进行变更调整，变更采购范围后，投标人应遵照执行。</w:t>
      </w:r>
    </w:p>
    <w:p w14:paraId="6F5F0BB9">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641" w:name="_Toc450662888"/>
    </w:p>
    <w:p w14:paraId="376FDC58">
      <w:pPr>
        <w:tabs>
          <w:tab w:val="left" w:pos="46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642" w:name="_Toc486167703"/>
      <w:bookmarkStart w:id="643" w:name="_Toc1997"/>
      <w:bookmarkStart w:id="644" w:name="_Toc26963"/>
      <w:bookmarkStart w:id="645" w:name="_Toc195714260"/>
      <w:bookmarkStart w:id="646" w:name="_Toc142508354"/>
      <w:bookmarkStart w:id="647" w:name="_Toc6262"/>
      <w:bookmarkStart w:id="648" w:name="_Toc23218"/>
      <w:bookmarkStart w:id="649" w:name="_Toc2401"/>
      <w:bookmarkStart w:id="650" w:name="_Toc28921_WPSOffice_Level3"/>
      <w:bookmarkStart w:id="651" w:name="_Toc14850"/>
      <w:r>
        <w:rPr>
          <w:rFonts w:hint="eastAsia" w:ascii="宋体" w:hAnsi="宋体" w:eastAsia="宋体" w:cs="宋体"/>
          <w:color w:val="auto"/>
          <w:szCs w:val="21"/>
          <w:highlight w:val="none"/>
        </w:rPr>
        <w:t>39</w:t>
      </w:r>
      <w:r>
        <w:rPr>
          <w:rFonts w:hint="eastAsia" w:ascii="宋体" w:hAnsi="宋体" w:eastAsia="宋体" w:cs="宋体"/>
          <w:color w:val="auto"/>
          <w:szCs w:val="21"/>
          <w:highlight w:val="none"/>
          <w:lang w:val="zh-CN"/>
        </w:rPr>
        <w:t xml:space="preserve"> 中标服务费</w:t>
      </w:r>
      <w:bookmarkEnd w:id="641"/>
      <w:bookmarkEnd w:id="642"/>
      <w:bookmarkEnd w:id="643"/>
      <w:bookmarkEnd w:id="644"/>
      <w:bookmarkEnd w:id="645"/>
      <w:bookmarkEnd w:id="646"/>
      <w:bookmarkEnd w:id="647"/>
      <w:bookmarkEnd w:id="648"/>
      <w:bookmarkEnd w:id="649"/>
      <w:bookmarkEnd w:id="650"/>
      <w:bookmarkEnd w:id="651"/>
    </w:p>
    <w:p w14:paraId="25BA92E5">
      <w:pPr>
        <w:widowControl/>
        <w:autoSpaceDE w:val="0"/>
        <w:autoSpaceDN w:val="0"/>
        <w:adjustRightInd w:val="0"/>
        <w:spacing w:line="360" w:lineRule="auto"/>
        <w:ind w:left="357" w:leftChars="-100" w:hanging="567" w:hangingChars="270"/>
        <w:jc w:val="left"/>
        <w:rPr>
          <w:rFonts w:ascii="宋体" w:hAnsi="宋体" w:eastAsia="宋体" w:cs="宋体"/>
          <w:color w:val="auto"/>
          <w:szCs w:val="21"/>
          <w:highlight w:val="none"/>
        </w:rPr>
      </w:pPr>
      <w:bookmarkStart w:id="652" w:name="_Toc450662889"/>
      <w:r>
        <w:rPr>
          <w:rFonts w:hint="eastAsia" w:ascii="宋体" w:hAnsi="宋体" w:eastAsia="宋体" w:cs="宋体"/>
          <w:color w:val="auto"/>
          <w:szCs w:val="21"/>
          <w:highlight w:val="none"/>
        </w:rPr>
        <w:t>39.1 中标人应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以本项目的中标不含税总价金额为计费额，按差额定率累进法和下表中的具体的</w:t>
      </w:r>
      <w:r>
        <w:rPr>
          <w:rFonts w:hint="eastAsia" w:ascii="宋体" w:hAnsi="宋体" w:eastAsia="宋体" w:cs="宋体"/>
          <w:color w:val="auto"/>
          <w:szCs w:val="21"/>
          <w:highlight w:val="none"/>
          <w:lang w:val="zh-CN"/>
        </w:rPr>
        <w:t>代理服务收费标准(费率)</w:t>
      </w:r>
      <w:r>
        <w:rPr>
          <w:rFonts w:hint="eastAsia" w:ascii="宋体" w:hAnsi="宋体" w:eastAsia="宋体" w:cs="宋体"/>
          <w:color w:val="auto"/>
          <w:szCs w:val="21"/>
          <w:highlight w:val="none"/>
        </w:rPr>
        <w:t>计费。</w:t>
      </w:r>
    </w:p>
    <w:tbl>
      <w:tblPr>
        <w:tblStyle w:val="45"/>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434"/>
        <w:gridCol w:w="1980"/>
      </w:tblGrid>
      <w:tr w14:paraId="3D0D63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blHeader/>
          <w:tblCellSpacing w:w="0" w:type="dxa"/>
          <w:jc w:val="center"/>
        </w:trPr>
        <w:tc>
          <w:tcPr>
            <w:tcW w:w="3434" w:type="dxa"/>
            <w:tcBorders>
              <w:top w:val="outset" w:color="auto" w:sz="6" w:space="0"/>
              <w:left w:val="outset" w:color="auto" w:sz="6" w:space="0"/>
              <w:bottom w:val="outset" w:color="auto" w:sz="6" w:space="0"/>
              <w:right w:val="outset" w:color="auto" w:sz="6" w:space="0"/>
            </w:tcBorders>
            <w:vAlign w:val="center"/>
          </w:tcPr>
          <w:p w14:paraId="21A6B8E1">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不含税</w:t>
            </w:r>
            <w:r>
              <w:rPr>
                <w:rFonts w:hint="eastAsia" w:ascii="宋体" w:hAnsi="宋体" w:eastAsia="宋体" w:cs="宋体"/>
                <w:color w:val="auto"/>
                <w:szCs w:val="21"/>
                <w:highlight w:val="none"/>
                <w:lang w:val="zh-CN"/>
              </w:rPr>
              <w:t>中标</w:t>
            </w:r>
            <w:r>
              <w:rPr>
                <w:rFonts w:hint="eastAsia" w:ascii="宋体" w:hAnsi="宋体" w:eastAsia="宋体" w:cs="宋体"/>
                <w:color w:val="auto"/>
                <w:szCs w:val="21"/>
                <w:highlight w:val="none"/>
              </w:rPr>
              <w:t>总</w:t>
            </w:r>
            <w:r>
              <w:rPr>
                <w:rFonts w:hint="eastAsia" w:ascii="宋体" w:hAnsi="宋体" w:eastAsia="宋体" w:cs="宋体"/>
                <w:color w:val="auto"/>
                <w:szCs w:val="21"/>
                <w:highlight w:val="none"/>
                <w:lang w:val="zh-CN"/>
              </w:rPr>
              <w:t>金额（万元）</w:t>
            </w:r>
          </w:p>
        </w:tc>
        <w:tc>
          <w:tcPr>
            <w:tcW w:w="1980" w:type="dxa"/>
            <w:tcBorders>
              <w:top w:val="outset" w:color="auto" w:sz="6" w:space="0"/>
              <w:left w:val="outset" w:color="auto" w:sz="6" w:space="0"/>
              <w:bottom w:val="outset" w:color="auto" w:sz="6" w:space="0"/>
              <w:right w:val="outset" w:color="auto" w:sz="6" w:space="0"/>
            </w:tcBorders>
            <w:vAlign w:val="center"/>
          </w:tcPr>
          <w:p w14:paraId="36279E88">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本项目费率</w:t>
            </w:r>
          </w:p>
        </w:tc>
      </w:tr>
      <w:tr w14:paraId="07D4F4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434" w:type="dxa"/>
            <w:tcBorders>
              <w:top w:val="outset" w:color="auto" w:sz="6" w:space="0"/>
              <w:left w:val="outset" w:color="auto" w:sz="6" w:space="0"/>
              <w:bottom w:val="outset" w:color="auto" w:sz="6" w:space="0"/>
              <w:right w:val="outset" w:color="auto" w:sz="6" w:space="0"/>
            </w:tcBorders>
            <w:vAlign w:val="center"/>
          </w:tcPr>
          <w:p w14:paraId="362CBC3E">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100以下</w:t>
            </w:r>
          </w:p>
        </w:tc>
        <w:tc>
          <w:tcPr>
            <w:tcW w:w="1980" w:type="dxa"/>
            <w:tcBorders>
              <w:top w:val="outset" w:color="auto" w:sz="6" w:space="0"/>
              <w:left w:val="outset" w:color="auto" w:sz="6" w:space="0"/>
              <w:bottom w:val="outset" w:color="auto" w:sz="6" w:space="0"/>
              <w:right w:val="outset" w:color="auto" w:sz="6" w:space="0"/>
            </w:tcBorders>
            <w:vAlign w:val="center"/>
          </w:tcPr>
          <w:p w14:paraId="3C799FB5">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1.0％</w:t>
            </w:r>
          </w:p>
        </w:tc>
      </w:tr>
      <w:tr w14:paraId="09B536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434" w:type="dxa"/>
            <w:tcBorders>
              <w:top w:val="outset" w:color="auto" w:sz="6" w:space="0"/>
              <w:left w:val="outset" w:color="auto" w:sz="6" w:space="0"/>
              <w:bottom w:val="outset" w:color="auto" w:sz="6" w:space="0"/>
              <w:right w:val="outset" w:color="auto" w:sz="6" w:space="0"/>
            </w:tcBorders>
            <w:vAlign w:val="center"/>
          </w:tcPr>
          <w:p w14:paraId="01D95AF5">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100—500</w:t>
            </w:r>
          </w:p>
        </w:tc>
        <w:tc>
          <w:tcPr>
            <w:tcW w:w="1980" w:type="dxa"/>
            <w:tcBorders>
              <w:top w:val="outset" w:color="auto" w:sz="6" w:space="0"/>
              <w:left w:val="outset" w:color="auto" w:sz="6" w:space="0"/>
              <w:bottom w:val="outset" w:color="auto" w:sz="6" w:space="0"/>
              <w:right w:val="outset" w:color="auto" w:sz="6" w:space="0"/>
            </w:tcBorders>
            <w:vAlign w:val="center"/>
          </w:tcPr>
          <w:p w14:paraId="384F2DC4">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0.7％</w:t>
            </w:r>
          </w:p>
        </w:tc>
      </w:tr>
      <w:tr w14:paraId="73FDB7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434" w:type="dxa"/>
            <w:tcBorders>
              <w:top w:val="outset" w:color="auto" w:sz="6" w:space="0"/>
              <w:left w:val="outset" w:color="auto" w:sz="6" w:space="0"/>
              <w:bottom w:val="outset" w:color="auto" w:sz="6" w:space="0"/>
              <w:right w:val="outset" w:color="auto" w:sz="6" w:space="0"/>
            </w:tcBorders>
            <w:vAlign w:val="center"/>
          </w:tcPr>
          <w:p w14:paraId="0CFA0EA8">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500—1000</w:t>
            </w:r>
          </w:p>
        </w:tc>
        <w:tc>
          <w:tcPr>
            <w:tcW w:w="1980" w:type="dxa"/>
            <w:tcBorders>
              <w:top w:val="outset" w:color="auto" w:sz="6" w:space="0"/>
              <w:left w:val="outset" w:color="auto" w:sz="6" w:space="0"/>
              <w:bottom w:val="outset" w:color="auto" w:sz="6" w:space="0"/>
              <w:right w:val="outset" w:color="auto" w:sz="6" w:space="0"/>
            </w:tcBorders>
            <w:vAlign w:val="center"/>
          </w:tcPr>
          <w:p w14:paraId="2C1ACDA4">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0.55％</w:t>
            </w:r>
          </w:p>
        </w:tc>
      </w:tr>
      <w:tr w14:paraId="4E4AC0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434" w:type="dxa"/>
            <w:tcBorders>
              <w:top w:val="outset" w:color="auto" w:sz="6" w:space="0"/>
              <w:left w:val="outset" w:color="auto" w:sz="6" w:space="0"/>
              <w:bottom w:val="outset" w:color="auto" w:sz="6" w:space="0"/>
              <w:right w:val="outset" w:color="auto" w:sz="6" w:space="0"/>
            </w:tcBorders>
            <w:vAlign w:val="center"/>
          </w:tcPr>
          <w:p w14:paraId="76A2FE84">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1000—5000</w:t>
            </w:r>
          </w:p>
        </w:tc>
        <w:tc>
          <w:tcPr>
            <w:tcW w:w="1980" w:type="dxa"/>
            <w:tcBorders>
              <w:top w:val="outset" w:color="auto" w:sz="6" w:space="0"/>
              <w:left w:val="outset" w:color="auto" w:sz="6" w:space="0"/>
              <w:bottom w:val="outset" w:color="auto" w:sz="6" w:space="0"/>
              <w:right w:val="outset" w:color="auto" w:sz="6" w:space="0"/>
            </w:tcBorders>
            <w:vAlign w:val="center"/>
          </w:tcPr>
          <w:p w14:paraId="62F844B5">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0.35％</w:t>
            </w:r>
          </w:p>
        </w:tc>
      </w:tr>
      <w:tr w14:paraId="67E5FF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434" w:type="dxa"/>
            <w:tcBorders>
              <w:top w:val="outset" w:color="auto" w:sz="6" w:space="0"/>
              <w:left w:val="outset" w:color="auto" w:sz="6" w:space="0"/>
              <w:bottom w:val="outset" w:color="auto" w:sz="6" w:space="0"/>
              <w:right w:val="outset" w:color="auto" w:sz="6" w:space="0"/>
            </w:tcBorders>
            <w:vAlign w:val="center"/>
          </w:tcPr>
          <w:p w14:paraId="0353AEEF">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5000—10000</w:t>
            </w:r>
          </w:p>
        </w:tc>
        <w:tc>
          <w:tcPr>
            <w:tcW w:w="1980" w:type="dxa"/>
            <w:tcBorders>
              <w:top w:val="outset" w:color="auto" w:sz="6" w:space="0"/>
              <w:left w:val="outset" w:color="auto" w:sz="6" w:space="0"/>
              <w:bottom w:val="outset" w:color="auto" w:sz="6" w:space="0"/>
              <w:right w:val="outset" w:color="auto" w:sz="6" w:space="0"/>
            </w:tcBorders>
            <w:vAlign w:val="center"/>
          </w:tcPr>
          <w:p w14:paraId="436590C8">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0.2％</w:t>
            </w:r>
          </w:p>
        </w:tc>
      </w:tr>
      <w:tr w14:paraId="591DF8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434" w:type="dxa"/>
            <w:tcBorders>
              <w:top w:val="outset" w:color="auto" w:sz="6" w:space="0"/>
              <w:left w:val="outset" w:color="auto" w:sz="6" w:space="0"/>
              <w:bottom w:val="outset" w:color="auto" w:sz="6" w:space="0"/>
              <w:right w:val="outset" w:color="auto" w:sz="6" w:space="0"/>
            </w:tcBorders>
            <w:vAlign w:val="center"/>
          </w:tcPr>
          <w:p w14:paraId="16E03738">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10000——50000</w:t>
            </w:r>
          </w:p>
        </w:tc>
        <w:tc>
          <w:tcPr>
            <w:tcW w:w="1980" w:type="dxa"/>
            <w:tcBorders>
              <w:top w:val="outset" w:color="auto" w:sz="6" w:space="0"/>
              <w:left w:val="outset" w:color="auto" w:sz="6" w:space="0"/>
              <w:bottom w:val="outset" w:color="auto" w:sz="6" w:space="0"/>
              <w:right w:val="outset" w:color="auto" w:sz="6" w:space="0"/>
            </w:tcBorders>
            <w:vAlign w:val="center"/>
          </w:tcPr>
          <w:p w14:paraId="1C8A8526">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0.05％</w:t>
            </w:r>
          </w:p>
        </w:tc>
      </w:tr>
    </w:tbl>
    <w:p w14:paraId="3791BD8C">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例如，某</w:t>
      </w:r>
      <w:r>
        <w:rPr>
          <w:rFonts w:hint="eastAsia" w:ascii="宋体" w:hAnsi="宋体" w:eastAsia="宋体" w:cs="宋体"/>
          <w:color w:val="auto"/>
          <w:szCs w:val="21"/>
          <w:highlight w:val="none"/>
        </w:rPr>
        <w:t>光伏发电项目</w:t>
      </w:r>
      <w:r>
        <w:rPr>
          <w:rFonts w:hint="eastAsia" w:ascii="宋体" w:hAnsi="宋体" w:eastAsia="宋体" w:cs="宋体"/>
          <w:color w:val="auto"/>
          <w:szCs w:val="21"/>
          <w:highlight w:val="none"/>
          <w:lang w:val="zh-CN"/>
        </w:rPr>
        <w:t>招标代理业务中标</w:t>
      </w:r>
      <w:r>
        <w:rPr>
          <w:rFonts w:hint="eastAsia" w:ascii="宋体" w:hAnsi="宋体" w:eastAsia="宋体" w:cs="宋体"/>
          <w:color w:val="auto"/>
          <w:szCs w:val="21"/>
          <w:highlight w:val="none"/>
        </w:rPr>
        <w:t>不含税总价</w:t>
      </w:r>
      <w:r>
        <w:rPr>
          <w:rFonts w:hint="eastAsia" w:ascii="宋体" w:hAnsi="宋体" w:eastAsia="宋体" w:cs="宋体"/>
          <w:color w:val="auto"/>
          <w:szCs w:val="21"/>
          <w:highlight w:val="none"/>
          <w:lang w:val="zh-CN"/>
        </w:rPr>
        <w:t>金额为</w:t>
      </w:r>
      <w:r>
        <w:rPr>
          <w:rFonts w:hint="eastAsia" w:ascii="宋体" w:hAnsi="宋体" w:eastAsia="宋体" w:cs="宋体"/>
          <w:color w:val="auto"/>
          <w:szCs w:val="21"/>
          <w:highlight w:val="none"/>
        </w:rPr>
        <w:t>500</w:t>
      </w:r>
      <w:r>
        <w:rPr>
          <w:rFonts w:hint="eastAsia" w:ascii="宋体" w:hAnsi="宋体" w:eastAsia="宋体" w:cs="宋体"/>
          <w:color w:val="auto"/>
          <w:szCs w:val="21"/>
          <w:highlight w:val="none"/>
          <w:lang w:val="zh-CN"/>
        </w:rPr>
        <w:t>万元，计算</w:t>
      </w:r>
      <w:r>
        <w:rPr>
          <w:rFonts w:hint="eastAsia" w:ascii="宋体" w:hAnsi="宋体" w:eastAsia="宋体" w:cs="宋体"/>
          <w:color w:val="auto"/>
          <w:szCs w:val="21"/>
          <w:highlight w:val="none"/>
        </w:rPr>
        <w:t>中标服务费（</w:t>
      </w:r>
      <w:r>
        <w:rPr>
          <w:rFonts w:hint="eastAsia" w:ascii="宋体" w:hAnsi="宋体" w:eastAsia="宋体" w:cs="宋体"/>
          <w:color w:val="auto"/>
          <w:szCs w:val="21"/>
          <w:highlight w:val="none"/>
          <w:lang w:val="zh-CN"/>
        </w:rPr>
        <w:t>招标代理服务费）</w:t>
      </w:r>
      <w:r>
        <w:rPr>
          <w:rFonts w:hint="eastAsia" w:ascii="宋体" w:hAnsi="宋体" w:eastAsia="宋体" w:cs="宋体"/>
          <w:color w:val="auto"/>
          <w:szCs w:val="21"/>
          <w:highlight w:val="none"/>
        </w:rPr>
        <w:t>金</w:t>
      </w:r>
      <w:r>
        <w:rPr>
          <w:rFonts w:hint="eastAsia" w:ascii="宋体" w:hAnsi="宋体" w:eastAsia="宋体" w:cs="宋体"/>
          <w:color w:val="auto"/>
          <w:szCs w:val="21"/>
          <w:highlight w:val="none"/>
          <w:lang w:val="zh-CN"/>
        </w:rPr>
        <w:t>额如下：</w:t>
      </w:r>
    </w:p>
    <w:p w14:paraId="495EBE7C">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100万元×1.</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zh-CN"/>
        </w:rPr>
        <w:t>万元</w:t>
      </w:r>
    </w:p>
    <w:p w14:paraId="2BBA8B5C">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500</w:t>
      </w:r>
      <w:r>
        <w:rPr>
          <w:rFonts w:hint="eastAsia" w:ascii="宋体" w:hAnsi="宋体" w:eastAsia="宋体" w:cs="宋体"/>
          <w:color w:val="auto"/>
          <w:szCs w:val="21"/>
          <w:highlight w:val="none"/>
          <w:lang w:val="zh-CN"/>
        </w:rPr>
        <w:t>-100）万元×0.</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2.8</w:t>
      </w:r>
      <w:r>
        <w:rPr>
          <w:rFonts w:hint="eastAsia" w:ascii="宋体" w:hAnsi="宋体" w:eastAsia="宋体" w:cs="宋体"/>
          <w:color w:val="auto"/>
          <w:szCs w:val="21"/>
          <w:highlight w:val="none"/>
          <w:lang w:val="zh-CN"/>
        </w:rPr>
        <w:t>万元</w:t>
      </w:r>
    </w:p>
    <w:p w14:paraId="628AA47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zh-CN"/>
        </w:rPr>
        <w:t>合计标准收费</w:t>
      </w:r>
      <w:r>
        <w:rPr>
          <w:rFonts w:hint="eastAsia" w:ascii="宋体" w:hAnsi="宋体" w:eastAsia="宋体" w:cs="宋体"/>
          <w:color w:val="auto"/>
          <w:szCs w:val="21"/>
          <w:highlight w:val="none"/>
        </w:rPr>
        <w:t>为3.8</w:t>
      </w:r>
      <w:r>
        <w:rPr>
          <w:rFonts w:hint="eastAsia" w:ascii="宋体" w:hAnsi="宋体" w:eastAsia="宋体" w:cs="宋体"/>
          <w:color w:val="auto"/>
          <w:szCs w:val="21"/>
          <w:highlight w:val="none"/>
          <w:lang w:val="zh-CN"/>
        </w:rPr>
        <w:t>万元，</w:t>
      </w:r>
      <w:r>
        <w:rPr>
          <w:rFonts w:hint="eastAsia" w:ascii="宋体" w:hAnsi="宋体" w:eastAsia="宋体" w:cs="宋体"/>
          <w:color w:val="auto"/>
          <w:szCs w:val="21"/>
          <w:highlight w:val="none"/>
        </w:rPr>
        <w:t>本案例对应的中标服务费为3.8</w:t>
      </w:r>
      <w:r>
        <w:rPr>
          <w:rFonts w:hint="eastAsia" w:ascii="宋体" w:hAnsi="宋体" w:eastAsia="宋体" w:cs="宋体"/>
          <w:color w:val="auto"/>
          <w:szCs w:val="21"/>
          <w:highlight w:val="none"/>
          <w:lang w:val="zh-CN"/>
        </w:rPr>
        <w:t>万元×0.</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3.04</w:t>
      </w:r>
      <w:r>
        <w:rPr>
          <w:rFonts w:hint="eastAsia" w:ascii="宋体" w:hAnsi="宋体" w:eastAsia="宋体" w:cs="宋体"/>
          <w:color w:val="auto"/>
          <w:szCs w:val="21"/>
          <w:highlight w:val="none"/>
          <w:lang w:val="zh-CN"/>
        </w:rPr>
        <w:t>万元。</w:t>
      </w:r>
    </w:p>
    <w:p w14:paraId="7F4155A2">
      <w:pPr>
        <w:autoSpaceDE w:val="0"/>
        <w:autoSpaceDN w:val="0"/>
        <w:adjustRightInd w:val="0"/>
        <w:spacing w:line="360" w:lineRule="auto"/>
        <w:ind w:left="357" w:leftChars="-100" w:hanging="567" w:hangingChars="270"/>
        <w:jc w:val="left"/>
        <w:rPr>
          <w:rFonts w:ascii="宋体" w:hAnsi="宋体" w:eastAsia="宋体" w:cs="宋体"/>
          <w:color w:val="auto"/>
          <w:szCs w:val="21"/>
          <w:highlight w:val="none"/>
        </w:rPr>
      </w:pPr>
      <w:r>
        <w:rPr>
          <w:rFonts w:hint="eastAsia" w:ascii="宋体" w:hAnsi="宋体" w:eastAsia="宋体" w:cs="宋体"/>
          <w:color w:val="auto"/>
          <w:szCs w:val="21"/>
          <w:highlight w:val="none"/>
        </w:rPr>
        <w:t>39.2 中标人收到中标通知后，须在15日内向招标代理机构交纳中标服务费用。</w:t>
      </w:r>
    </w:p>
    <w:p w14:paraId="7EF11701">
      <w:pPr>
        <w:autoSpaceDE w:val="0"/>
        <w:autoSpaceDN w:val="0"/>
        <w:adjustRightInd w:val="0"/>
        <w:spacing w:line="360" w:lineRule="auto"/>
        <w:ind w:left="357" w:leftChars="-100" w:hanging="567" w:hangingChars="270"/>
        <w:jc w:val="left"/>
        <w:rPr>
          <w:rFonts w:ascii="宋体" w:hAnsi="宋体" w:eastAsia="宋体" w:cs="宋体"/>
          <w:color w:val="auto"/>
          <w:szCs w:val="21"/>
          <w:highlight w:val="none"/>
        </w:rPr>
      </w:pPr>
      <w:r>
        <w:rPr>
          <w:rFonts w:hint="eastAsia" w:ascii="宋体" w:hAnsi="宋体" w:eastAsia="宋体" w:cs="宋体"/>
          <w:color w:val="auto"/>
          <w:szCs w:val="21"/>
          <w:highlight w:val="none"/>
        </w:rPr>
        <w:t>39.3 中标服务费只接受以银行转账、电汇方式交纳</w:t>
      </w:r>
    </w:p>
    <w:p w14:paraId="3B68210B">
      <w:pPr>
        <w:autoSpaceDE w:val="0"/>
        <w:autoSpaceDN w:val="0"/>
        <w:adjustRightInd w:val="0"/>
        <w:spacing w:line="360" w:lineRule="auto"/>
        <w:ind w:left="357" w:leftChars="-100" w:hanging="567" w:hangingChars="27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中标服务费汇入账号</w:t>
      </w:r>
      <w:r>
        <w:rPr>
          <w:rFonts w:hint="eastAsia" w:ascii="宋体" w:hAnsi="宋体" w:eastAsia="宋体" w:cs="宋体"/>
          <w:b/>
          <w:bCs/>
          <w:color w:val="auto"/>
          <w:szCs w:val="21"/>
          <w:highlight w:val="none"/>
        </w:rPr>
        <w:t>（特别提醒，本账户非投标保证金汇入账户)</w:t>
      </w:r>
      <w:r>
        <w:rPr>
          <w:rFonts w:hint="eastAsia" w:ascii="宋体" w:hAnsi="宋体" w:eastAsia="宋体" w:cs="宋体"/>
          <w:color w:val="auto"/>
          <w:szCs w:val="21"/>
          <w:highlight w:val="none"/>
        </w:rPr>
        <w:t>：</w:t>
      </w:r>
    </w:p>
    <w:p w14:paraId="052FF6E4">
      <w:pPr>
        <w:autoSpaceDE w:val="0"/>
        <w:autoSpaceDN w:val="0"/>
        <w:adjustRightInd w:val="0"/>
        <w:spacing w:line="360" w:lineRule="auto"/>
        <w:ind w:left="357" w:leftChars="-100" w:hanging="567" w:hangingChars="27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开户名称：广东有德招标采购有限公司东莞分公司</w:t>
      </w:r>
    </w:p>
    <w:p w14:paraId="5EA9B882">
      <w:pPr>
        <w:autoSpaceDE w:val="0"/>
        <w:autoSpaceDN w:val="0"/>
        <w:adjustRightInd w:val="0"/>
        <w:spacing w:line="360" w:lineRule="auto"/>
        <w:ind w:left="357" w:leftChars="-100" w:hanging="567" w:hangingChars="27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银行账号：44001776040053011261</w:t>
      </w:r>
    </w:p>
    <w:p w14:paraId="072D3EC7">
      <w:pPr>
        <w:autoSpaceDE w:val="0"/>
        <w:autoSpaceDN w:val="0"/>
        <w:adjustRightInd w:val="0"/>
        <w:spacing w:line="360" w:lineRule="auto"/>
        <w:ind w:left="357" w:leftChars="-100" w:hanging="567" w:hangingChars="27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开户银行：建行东莞南城支行</w:t>
      </w:r>
    </w:p>
    <w:p w14:paraId="11859602">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39.4 中标人如未按第39.1款、第39.2款规定办理，将不予退还其投标保证金。</w:t>
      </w:r>
    </w:p>
    <w:p w14:paraId="4131283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7E60074F">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653" w:name="_Toc6764_WPSOffice_Level3"/>
      <w:bookmarkStart w:id="654" w:name="_Toc486167704"/>
      <w:bookmarkStart w:id="655" w:name="_Toc21985"/>
      <w:bookmarkStart w:id="656" w:name="_Toc31030"/>
      <w:bookmarkStart w:id="657" w:name="_Toc26459"/>
      <w:bookmarkStart w:id="658" w:name="_Toc12666"/>
      <w:bookmarkStart w:id="659" w:name="_Toc195714261"/>
      <w:bookmarkStart w:id="660" w:name="_Toc142508355"/>
      <w:bookmarkStart w:id="661" w:name="_Toc29055"/>
      <w:bookmarkStart w:id="662" w:name="_Toc6796"/>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 xml:space="preserve"> 发票</w:t>
      </w:r>
      <w:bookmarkEnd w:id="652"/>
      <w:bookmarkEnd w:id="653"/>
      <w:bookmarkEnd w:id="654"/>
      <w:bookmarkEnd w:id="655"/>
      <w:bookmarkEnd w:id="656"/>
      <w:bookmarkEnd w:id="657"/>
      <w:bookmarkEnd w:id="658"/>
      <w:bookmarkEnd w:id="659"/>
      <w:bookmarkEnd w:id="660"/>
      <w:bookmarkEnd w:id="661"/>
      <w:bookmarkEnd w:id="662"/>
    </w:p>
    <w:p w14:paraId="1D1C21B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.1</w:t>
      </w:r>
      <w:bookmarkStart w:id="663" w:name="_Toc486167705"/>
      <w:bookmarkStart w:id="664" w:name="_Toc31106_WPSOffice_Level3"/>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该项目获得中标的中标人在执行合同过程中，向招标人出具的发票必须是由中标人开具，不得以其他单位或个人名义出具，本项目中标人向招标人出具的发票类型为增值税专用发票。</w:t>
      </w:r>
    </w:p>
    <w:p w14:paraId="43F9FD2A">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2A7160E1">
      <w:pPr>
        <w:tabs>
          <w:tab w:val="left" w:pos="360"/>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rPr>
      </w:pPr>
      <w:bookmarkStart w:id="665" w:name="_Toc10243"/>
      <w:bookmarkStart w:id="666" w:name="_Toc142508356"/>
      <w:bookmarkStart w:id="667" w:name="_Toc24547"/>
      <w:bookmarkStart w:id="668" w:name="_Toc23953"/>
      <w:bookmarkStart w:id="669" w:name="_Toc26433"/>
      <w:bookmarkStart w:id="670" w:name="_Toc8619"/>
      <w:bookmarkStart w:id="671" w:name="_Toc195714262"/>
      <w:bookmarkStart w:id="672" w:name="_Toc31948"/>
      <w:r>
        <w:rPr>
          <w:rFonts w:hint="eastAsia" w:ascii="宋体" w:hAnsi="宋体" w:eastAsia="宋体" w:cs="宋体"/>
          <w:b/>
          <w:color w:val="auto"/>
          <w:szCs w:val="21"/>
          <w:highlight w:val="none"/>
        </w:rPr>
        <w:t>41 招标相关补充约定</w:t>
      </w:r>
      <w:bookmarkEnd w:id="665"/>
      <w:bookmarkEnd w:id="666"/>
      <w:bookmarkEnd w:id="667"/>
      <w:bookmarkEnd w:id="668"/>
      <w:bookmarkEnd w:id="669"/>
      <w:bookmarkEnd w:id="670"/>
      <w:bookmarkEnd w:id="671"/>
      <w:bookmarkEnd w:id="672"/>
    </w:p>
    <w:p w14:paraId="6DB62BB8">
      <w:pPr>
        <w:autoSpaceDE w:val="0"/>
        <w:autoSpaceDN w:val="0"/>
        <w:adjustRightInd w:val="0"/>
        <w:snapToGrid w:val="0"/>
        <w:spacing w:line="360" w:lineRule="auto"/>
        <w:ind w:left="317" w:leftChars="-100" w:hanging="527" w:hangingChars="250"/>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41.1</w:t>
      </w:r>
      <w:r>
        <w:rPr>
          <w:rFonts w:hint="eastAsia" w:ascii="宋体" w:hAnsi="宋体" w:eastAsia="宋体" w:cs="宋体"/>
          <w:b/>
          <w:color w:val="auto"/>
          <w:szCs w:val="21"/>
          <w:highlight w:val="none"/>
        </w:rPr>
        <w:tab/>
      </w:r>
      <w:r>
        <w:rPr>
          <w:rFonts w:hint="eastAsia" w:ascii="宋体" w:hAnsi="宋体" w:eastAsia="宋体" w:cs="宋体"/>
          <w:b/>
          <w:color w:val="auto"/>
          <w:szCs w:val="21"/>
          <w:highlight w:val="none"/>
        </w:rPr>
        <w:t>本项目投标人须知第2条所述行政处罚信息，以开标当天在“信用中国”网站（www.creditchina.gov.cn）查询结果为准，或以司法、仲裁机构等出具的生效文件予以认定,时间以认定文件的落款时间为准。开标结束后，有关投标单位的行政处罚信息，以开标当天查询结果为准；结果公示期间，如投标人对有关投标单位的行政处罚信息存在异议，但不涉及第一中标候选人的，视为对中标结果没有造成实质影响。</w:t>
      </w:r>
    </w:p>
    <w:p w14:paraId="5821DAFE">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673" w:name="_Toc13471"/>
      <w:bookmarkStart w:id="674" w:name="OLE_LINK510"/>
      <w:bookmarkStart w:id="675" w:name="OLE_LINK505"/>
    </w:p>
    <w:p w14:paraId="30818E46">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676" w:name="_Toc2203"/>
      <w:bookmarkStart w:id="677" w:name="_Toc19408"/>
      <w:bookmarkStart w:id="678" w:name="_Toc30299"/>
      <w:r>
        <w:rPr>
          <w:rFonts w:hint="eastAsia" w:ascii="宋体" w:hAnsi="宋体" w:eastAsia="宋体" w:cs="宋体"/>
          <w:b/>
          <w:color w:val="auto"/>
          <w:szCs w:val="21"/>
          <w:highlight w:val="none"/>
        </w:rPr>
        <w:t>42 以</w:t>
      </w:r>
      <w:bookmarkStart w:id="679" w:name="OLE_LINK506"/>
      <w:r>
        <w:rPr>
          <w:rFonts w:hint="eastAsia" w:ascii="宋体" w:hAnsi="宋体" w:eastAsia="宋体" w:cs="宋体"/>
          <w:b/>
          <w:color w:val="auto"/>
          <w:szCs w:val="21"/>
          <w:highlight w:val="none"/>
        </w:rPr>
        <w:t>联合体形式</w:t>
      </w:r>
      <w:bookmarkEnd w:id="679"/>
      <w:r>
        <w:rPr>
          <w:rFonts w:hint="eastAsia" w:ascii="宋体" w:hAnsi="宋体" w:eastAsia="宋体" w:cs="宋体"/>
          <w:b/>
          <w:color w:val="auto"/>
          <w:szCs w:val="21"/>
          <w:highlight w:val="none"/>
        </w:rPr>
        <w:t>投标的，应符合以下规定：</w:t>
      </w:r>
      <w:bookmarkEnd w:id="673"/>
      <w:bookmarkEnd w:id="676"/>
      <w:bookmarkEnd w:id="677"/>
      <w:bookmarkEnd w:id="678"/>
    </w:p>
    <w:bookmarkEnd w:id="674"/>
    <w:p w14:paraId="41A060E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42.1 联合体各方均应当满足</w:t>
      </w:r>
      <w:bookmarkStart w:id="680" w:name="OLE_LINK503"/>
      <w:r>
        <w:rPr>
          <w:rFonts w:hint="eastAsia" w:ascii="宋体" w:hAnsi="宋体" w:eastAsia="宋体" w:cs="宋体"/>
          <w:color w:val="auto"/>
          <w:kern w:val="0"/>
          <w:szCs w:val="21"/>
          <w:highlight w:val="none"/>
        </w:rPr>
        <w:t>第2条“合格投标人资格要求”</w:t>
      </w:r>
      <w:bookmarkEnd w:id="680"/>
      <w:r>
        <w:rPr>
          <w:rFonts w:hint="eastAsia" w:ascii="宋体" w:hAnsi="宋体" w:eastAsia="宋体" w:cs="宋体"/>
          <w:color w:val="auto"/>
          <w:kern w:val="0"/>
          <w:szCs w:val="21"/>
          <w:highlight w:val="none"/>
        </w:rPr>
        <w:t>规定的条件，并在投标文件中提供联合体各方的相关证明材料。</w:t>
      </w:r>
    </w:p>
    <w:p w14:paraId="63C227D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42.2 </w:t>
      </w:r>
      <w:r>
        <w:rPr>
          <w:rFonts w:hint="eastAsia" w:ascii="宋体" w:hAnsi="宋体" w:eastAsia="宋体" w:cs="宋体"/>
          <w:b/>
          <w:bCs/>
          <w:color w:val="auto"/>
          <w:kern w:val="0"/>
          <w:szCs w:val="21"/>
          <w:highlight w:val="none"/>
          <w:u w:val="single"/>
        </w:rPr>
        <w:t>联合体各方之间应签订联合体共同投标协议书并在投标文件中提交，明确约定联合体各方承担的工作和相应的责任。联合体各方签订共同投标协议书后，不得再以自己名义单独在同一项目中投标，也不得组成新的联合体参加同一项目投标，若违反规定则其参与的所有投标将视为无效投标</w:t>
      </w:r>
      <w:r>
        <w:rPr>
          <w:rFonts w:hint="eastAsia" w:ascii="宋体" w:hAnsi="宋体" w:eastAsia="宋体" w:cs="宋体"/>
          <w:color w:val="auto"/>
          <w:kern w:val="0"/>
          <w:szCs w:val="21"/>
          <w:highlight w:val="none"/>
        </w:rPr>
        <w:t>。</w:t>
      </w:r>
    </w:p>
    <w:p w14:paraId="5A51A91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42.3 联合体应以联合协议中确定的牵头单位名义</w:t>
      </w:r>
      <w:bookmarkStart w:id="681" w:name="OLE_LINK502"/>
      <w:r>
        <w:rPr>
          <w:rFonts w:hint="eastAsia" w:ascii="宋体" w:hAnsi="宋体" w:eastAsia="宋体" w:cs="宋体"/>
          <w:color w:val="auto"/>
          <w:kern w:val="0"/>
          <w:szCs w:val="21"/>
          <w:highlight w:val="none"/>
        </w:rPr>
        <w:t>进</w:t>
      </w:r>
      <w:bookmarkEnd w:id="681"/>
      <w:r>
        <w:rPr>
          <w:rFonts w:hint="eastAsia" w:ascii="宋体" w:hAnsi="宋体" w:eastAsia="宋体" w:cs="宋体"/>
          <w:color w:val="auto"/>
          <w:kern w:val="0"/>
          <w:szCs w:val="21"/>
          <w:highlight w:val="none"/>
        </w:rPr>
        <w:t>行项目投标，联合体名称需与共同投标协议书签署方一致。对于需交投标保证金的，以牵头单位名义缴纳。</w:t>
      </w:r>
    </w:p>
    <w:p w14:paraId="4CEF1F3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42.4 联合体任一成员存在不良信用记录的，视同联合体存在不良信用记录。</w:t>
      </w:r>
    </w:p>
    <w:p w14:paraId="5C95ADF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bookmarkStart w:id="682" w:name="OLE_LINK507"/>
      <w:r>
        <w:rPr>
          <w:rFonts w:hint="eastAsia" w:ascii="宋体" w:hAnsi="宋体" w:eastAsia="宋体" w:cs="宋体"/>
          <w:color w:val="auto"/>
          <w:kern w:val="0"/>
          <w:szCs w:val="21"/>
          <w:highlight w:val="none"/>
        </w:rPr>
        <w:t>42.5 联合体各方均应</w:t>
      </w:r>
      <w:bookmarkStart w:id="683" w:name="OLE_LINK504"/>
      <w:r>
        <w:rPr>
          <w:rFonts w:hint="eastAsia" w:ascii="宋体" w:hAnsi="宋体" w:eastAsia="宋体" w:cs="宋体"/>
          <w:color w:val="auto"/>
          <w:kern w:val="0"/>
          <w:szCs w:val="21"/>
          <w:highlight w:val="none"/>
        </w:rPr>
        <w:t>满足</w:t>
      </w:r>
      <w:bookmarkEnd w:id="683"/>
      <w:r>
        <w:rPr>
          <w:rFonts w:hint="eastAsia" w:ascii="宋体" w:hAnsi="宋体" w:eastAsia="宋体" w:cs="宋体"/>
          <w:color w:val="auto"/>
          <w:kern w:val="0"/>
          <w:szCs w:val="21"/>
          <w:highlight w:val="none"/>
        </w:rPr>
        <w:t>第一篇 招标公告 第2条“合格投标人资格要求”规定的条件。联合体中有同类资质的供应商按照联合体分工承担相同工作的，应当按照资质等级较低的供应商确定资质等级。</w:t>
      </w:r>
    </w:p>
    <w:p w14:paraId="2495C14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42.6 联合体各方应当共同与招标人签订采购合同，就合同约定的事项对招标人承担连带责任。</w:t>
      </w:r>
    </w:p>
    <w:p w14:paraId="250A579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42.7</w:t>
      </w:r>
      <w:r>
        <w:rPr>
          <w:rFonts w:hint="eastAsia" w:ascii="宋体" w:hAnsi="宋体" w:eastAsia="宋体" w:cs="宋体"/>
          <w:b/>
          <w:bCs/>
          <w:color w:val="auto"/>
          <w:kern w:val="0"/>
          <w:szCs w:val="21"/>
          <w:highlight w:val="none"/>
          <w:u w:val="single"/>
        </w:rPr>
        <w:t xml:space="preserve"> 联合体牵头单位须在投标文件上按招标文件要求进行企业数字证书电子签名或</w:t>
      </w:r>
      <w:r>
        <w:rPr>
          <w:rFonts w:hint="eastAsia" w:ascii="宋体" w:hAnsi="宋体" w:eastAsia="宋体" w:cs="宋体"/>
          <w:b/>
          <w:bCs/>
          <w:color w:val="auto"/>
          <w:szCs w:val="21"/>
          <w:highlight w:val="none"/>
          <w:u w:val="single"/>
          <w:lang w:val="zh-CN"/>
        </w:rPr>
        <w:t>法定代表人（或其授权代表）</w:t>
      </w:r>
      <w:r>
        <w:rPr>
          <w:rFonts w:hint="eastAsia" w:ascii="宋体" w:hAnsi="宋体" w:eastAsia="宋体" w:cs="宋体"/>
          <w:b/>
          <w:bCs/>
          <w:color w:val="auto"/>
          <w:szCs w:val="21"/>
          <w:highlight w:val="none"/>
          <w:u w:val="single"/>
        </w:rPr>
        <w:t>电子签名</w:t>
      </w:r>
      <w:r>
        <w:rPr>
          <w:rFonts w:hint="eastAsia" w:ascii="宋体" w:hAnsi="宋体" w:eastAsia="宋体" w:cs="宋体"/>
          <w:b/>
          <w:bCs/>
          <w:color w:val="auto"/>
          <w:kern w:val="0"/>
          <w:szCs w:val="21"/>
          <w:highlight w:val="none"/>
          <w:u w:val="single"/>
        </w:rPr>
        <w:t>，无需联合体各方共同进行企业数字证书电子签名或</w:t>
      </w:r>
      <w:r>
        <w:rPr>
          <w:rFonts w:hint="eastAsia" w:ascii="宋体" w:hAnsi="宋体" w:eastAsia="宋体" w:cs="宋体"/>
          <w:b/>
          <w:bCs/>
          <w:color w:val="auto"/>
          <w:szCs w:val="21"/>
          <w:highlight w:val="none"/>
          <w:u w:val="single"/>
          <w:lang w:val="zh-CN"/>
        </w:rPr>
        <w:t>法定代表人（或其授权代表）</w:t>
      </w:r>
      <w:r>
        <w:rPr>
          <w:rFonts w:hint="eastAsia" w:ascii="宋体" w:hAnsi="宋体" w:eastAsia="宋体" w:cs="宋体"/>
          <w:b/>
          <w:bCs/>
          <w:color w:val="auto"/>
          <w:szCs w:val="21"/>
          <w:highlight w:val="none"/>
          <w:u w:val="single"/>
        </w:rPr>
        <w:t>电子签名</w:t>
      </w:r>
      <w:r>
        <w:rPr>
          <w:rFonts w:hint="eastAsia" w:ascii="宋体" w:hAnsi="宋体" w:eastAsia="宋体" w:cs="宋体"/>
          <w:b/>
          <w:bCs/>
          <w:color w:val="auto"/>
          <w:kern w:val="0"/>
          <w:szCs w:val="21"/>
          <w:highlight w:val="none"/>
          <w:u w:val="single"/>
        </w:rPr>
        <w:t>【招标文件另有约定要求联合体各方各自进行企业数字证书电子签名或</w:t>
      </w:r>
      <w:r>
        <w:rPr>
          <w:rFonts w:hint="eastAsia" w:ascii="宋体" w:hAnsi="宋体" w:eastAsia="宋体" w:cs="宋体"/>
          <w:b/>
          <w:bCs/>
          <w:color w:val="auto"/>
          <w:szCs w:val="21"/>
          <w:highlight w:val="none"/>
          <w:u w:val="single"/>
          <w:lang w:val="zh-CN"/>
        </w:rPr>
        <w:t>法定代表人（或其授权代表）</w:t>
      </w:r>
      <w:r>
        <w:rPr>
          <w:rFonts w:hint="eastAsia" w:ascii="宋体" w:hAnsi="宋体" w:eastAsia="宋体" w:cs="宋体"/>
          <w:b/>
          <w:bCs/>
          <w:color w:val="auto"/>
          <w:szCs w:val="21"/>
          <w:highlight w:val="none"/>
          <w:u w:val="single"/>
        </w:rPr>
        <w:t>电子签名</w:t>
      </w:r>
      <w:r>
        <w:rPr>
          <w:rFonts w:hint="eastAsia" w:ascii="宋体" w:hAnsi="宋体" w:eastAsia="宋体" w:cs="宋体"/>
          <w:b/>
          <w:bCs/>
          <w:color w:val="auto"/>
          <w:kern w:val="0"/>
          <w:szCs w:val="21"/>
          <w:highlight w:val="none"/>
          <w:u w:val="single"/>
        </w:rPr>
        <w:t>的除外】</w:t>
      </w:r>
      <w:r>
        <w:rPr>
          <w:rFonts w:hint="eastAsia" w:ascii="宋体" w:hAnsi="宋体" w:eastAsia="宋体" w:cs="宋体"/>
          <w:color w:val="auto"/>
          <w:kern w:val="0"/>
          <w:szCs w:val="21"/>
          <w:highlight w:val="none"/>
        </w:rPr>
        <w:t>。</w:t>
      </w:r>
    </w:p>
    <w:bookmarkEnd w:id="675"/>
    <w:bookmarkEnd w:id="682"/>
    <w:p w14:paraId="6421CCB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593DC4A5">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684" w:name="_Toc27425"/>
      <w:bookmarkStart w:id="685" w:name="_Toc23349"/>
      <w:bookmarkStart w:id="686" w:name="_Toc700"/>
      <w:bookmarkStart w:id="687" w:name="_Toc29070"/>
      <w:bookmarkStart w:id="688" w:name="OLE_LINK508"/>
      <w:r>
        <w:rPr>
          <w:rFonts w:hint="eastAsia" w:ascii="宋体" w:hAnsi="宋体" w:eastAsia="宋体" w:cs="宋体"/>
          <w:b/>
          <w:color w:val="auto"/>
          <w:szCs w:val="21"/>
          <w:highlight w:val="none"/>
        </w:rPr>
        <w:t>43 以联合体形式投标的企业说明</w:t>
      </w:r>
      <w:bookmarkEnd w:id="684"/>
      <w:bookmarkEnd w:id="685"/>
      <w:bookmarkEnd w:id="686"/>
      <w:bookmarkEnd w:id="687"/>
    </w:p>
    <w:p w14:paraId="324DAB3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43.1 除联合体外，投标人负责人为同一人或者存在控股、管理关系的不同投标人，不得参加同一项目投标。</w:t>
      </w:r>
      <w:bookmarkStart w:id="689" w:name="OLE_LINK509"/>
      <w:r>
        <w:rPr>
          <w:rFonts w:hint="eastAsia" w:ascii="宋体" w:hAnsi="宋体" w:eastAsia="宋体" w:cs="宋体"/>
          <w:color w:val="auto"/>
          <w:kern w:val="0"/>
          <w:szCs w:val="21"/>
          <w:highlight w:val="none"/>
        </w:rPr>
        <w:t>上述情况一经发现，相关投标均无效</w:t>
      </w:r>
      <w:bookmarkEnd w:id="689"/>
      <w:r>
        <w:rPr>
          <w:rFonts w:hint="eastAsia" w:ascii="宋体" w:hAnsi="宋体" w:eastAsia="宋体" w:cs="宋体"/>
          <w:color w:val="auto"/>
          <w:kern w:val="0"/>
          <w:szCs w:val="21"/>
          <w:highlight w:val="none"/>
        </w:rPr>
        <w:t>。</w:t>
      </w:r>
    </w:p>
    <w:bookmarkEnd w:id="688"/>
    <w:p w14:paraId="683C183E">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7C90F27B">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rPr>
      </w:pPr>
      <w:bookmarkStart w:id="690" w:name="_Toc18189"/>
      <w:bookmarkStart w:id="691" w:name="_Toc22346"/>
      <w:bookmarkStart w:id="692" w:name="_Toc17799"/>
      <w:bookmarkStart w:id="693" w:name="_Toc29758"/>
      <w:bookmarkStart w:id="694" w:name="_Toc142508357"/>
      <w:bookmarkStart w:id="695" w:name="_Toc3138"/>
      <w:bookmarkStart w:id="696" w:name="_Toc195714263"/>
      <w:bookmarkStart w:id="697" w:name="_Toc26594"/>
      <w:r>
        <w:rPr>
          <w:rFonts w:hint="eastAsia" w:ascii="宋体" w:hAnsi="宋体" w:eastAsia="宋体" w:cs="宋体"/>
          <w:color w:val="auto"/>
          <w:szCs w:val="21"/>
          <w:highlight w:val="none"/>
        </w:rPr>
        <w:t>44 本次招标活动的最终解释权归招标代理机构及招标人所有。</w:t>
      </w:r>
      <w:bookmarkEnd w:id="663"/>
      <w:bookmarkEnd w:id="664"/>
      <w:bookmarkEnd w:id="690"/>
      <w:bookmarkEnd w:id="691"/>
      <w:bookmarkEnd w:id="692"/>
      <w:bookmarkEnd w:id="693"/>
      <w:bookmarkEnd w:id="694"/>
      <w:bookmarkEnd w:id="695"/>
      <w:bookmarkEnd w:id="696"/>
      <w:bookmarkEnd w:id="697"/>
    </w:p>
    <w:p w14:paraId="6B0287EB">
      <w:pPr>
        <w:pageBreakBefore/>
        <w:tabs>
          <w:tab w:val="left" w:pos="1080"/>
        </w:tabs>
        <w:autoSpaceDE w:val="0"/>
        <w:autoSpaceDN w:val="0"/>
        <w:adjustRightInd w:val="0"/>
        <w:spacing w:line="360" w:lineRule="auto"/>
        <w:ind w:left="357" w:leftChars="-100" w:hanging="567"/>
        <w:jc w:val="center"/>
        <w:outlineLvl w:val="1"/>
        <w:rPr>
          <w:rFonts w:ascii="宋体" w:hAnsi="宋体" w:eastAsia="宋体" w:cs="宋体"/>
          <w:b/>
          <w:bCs/>
          <w:color w:val="auto"/>
          <w:kern w:val="44"/>
          <w:sz w:val="32"/>
          <w:szCs w:val="32"/>
          <w:highlight w:val="none"/>
          <w:lang w:val="zh-CN"/>
        </w:rPr>
      </w:pPr>
      <w:bookmarkStart w:id="698" w:name="_Toc195714264"/>
      <w:bookmarkStart w:id="699" w:name="_Toc7612"/>
      <w:bookmarkStart w:id="700" w:name="_Toc27939_WPSOffice_Level1"/>
      <w:bookmarkStart w:id="701" w:name="_Toc13484"/>
      <w:bookmarkStart w:id="702" w:name="_Toc14879"/>
      <w:bookmarkStart w:id="703" w:name="_Toc21406"/>
      <w:bookmarkStart w:id="704" w:name="_Toc142508358"/>
      <w:bookmarkStart w:id="705" w:name="_Toc486167706"/>
      <w:bookmarkStart w:id="706" w:name="_Toc31662"/>
      <w:bookmarkStart w:id="707" w:name="_Toc450662891"/>
      <w:bookmarkStart w:id="708" w:name="_Toc21446"/>
      <w:r>
        <w:rPr>
          <w:rFonts w:hint="eastAsia" w:ascii="宋体" w:hAnsi="宋体" w:eastAsia="宋体" w:cs="宋体"/>
          <w:b/>
          <w:bCs/>
          <w:color w:val="auto"/>
          <w:kern w:val="44"/>
          <w:sz w:val="32"/>
          <w:szCs w:val="32"/>
          <w:highlight w:val="none"/>
          <w:lang w:val="zh-CN"/>
        </w:rPr>
        <w:t>第三篇 用户需求书</w:t>
      </w:r>
      <w:bookmarkEnd w:id="698"/>
      <w:bookmarkEnd w:id="699"/>
      <w:bookmarkEnd w:id="700"/>
      <w:bookmarkEnd w:id="701"/>
      <w:bookmarkEnd w:id="702"/>
      <w:bookmarkEnd w:id="703"/>
      <w:bookmarkEnd w:id="704"/>
      <w:bookmarkEnd w:id="705"/>
      <w:bookmarkEnd w:id="706"/>
      <w:bookmarkEnd w:id="707"/>
      <w:bookmarkEnd w:id="708"/>
    </w:p>
    <w:p w14:paraId="4BB4E8F8">
      <w:pPr>
        <w:rPr>
          <w:rFonts w:ascii="宋体" w:hAnsi="宋体" w:eastAsia="宋体" w:cs="宋体"/>
          <w:b/>
          <w:color w:val="auto"/>
          <w:szCs w:val="21"/>
          <w:highlight w:val="none"/>
        </w:rPr>
      </w:pPr>
    </w:p>
    <w:p w14:paraId="4F2ACFC2">
      <w:pPr>
        <w:spacing w:line="360" w:lineRule="auto"/>
        <w:ind w:firstLine="9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一、项目概况</w:t>
      </w:r>
    </w:p>
    <w:p w14:paraId="57ACE17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zh-CN"/>
        </w:rPr>
        <w:t>为贯彻落实国家“双碳”战略，积极响应市委市政府关于市属国企积极参与光伏发电项目开发建设的要求，</w:t>
      </w:r>
      <w:r>
        <w:rPr>
          <w:rFonts w:hint="eastAsia" w:ascii="宋体" w:hAnsi="宋体" w:eastAsia="宋体" w:cs="宋体"/>
          <w:color w:val="auto"/>
          <w:kern w:val="0"/>
          <w:szCs w:val="21"/>
          <w:highlight w:val="none"/>
          <w:lang w:eastAsia="zh-CN"/>
        </w:rPr>
        <w:t>东莞市水务环境投资控股集团</w:t>
      </w:r>
      <w:r>
        <w:rPr>
          <w:rFonts w:hint="eastAsia" w:ascii="宋体" w:hAnsi="宋体" w:eastAsia="宋体" w:cs="宋体"/>
          <w:color w:val="auto"/>
          <w:szCs w:val="21"/>
          <w:highlight w:val="none"/>
          <w:lang w:val="en-US" w:eastAsia="zh-CN"/>
        </w:rPr>
        <w:t>有限公司</w:t>
      </w:r>
      <w:r>
        <w:rPr>
          <w:rFonts w:hint="eastAsia" w:ascii="宋体" w:hAnsi="宋体" w:eastAsia="宋体" w:cs="宋体"/>
          <w:color w:val="auto"/>
          <w:szCs w:val="21"/>
          <w:highlight w:val="none"/>
          <w:lang w:val="zh-CN"/>
        </w:rPr>
        <w:t>正大力拓展绿色新能源业务板块。根据</w:t>
      </w:r>
      <w:r>
        <w:rPr>
          <w:rFonts w:hint="eastAsia" w:ascii="宋体" w:hAnsi="宋体" w:eastAsia="宋体" w:cs="宋体"/>
          <w:color w:val="auto"/>
          <w:kern w:val="0"/>
          <w:szCs w:val="21"/>
          <w:highlight w:val="none"/>
          <w:lang w:eastAsia="zh-CN"/>
        </w:rPr>
        <w:t>东莞市水务环境投资控股集团</w:t>
      </w:r>
      <w:r>
        <w:rPr>
          <w:rFonts w:hint="eastAsia" w:ascii="宋体" w:hAnsi="宋体" w:eastAsia="宋体" w:cs="宋体"/>
          <w:color w:val="auto"/>
          <w:szCs w:val="21"/>
          <w:highlight w:val="none"/>
          <w:lang w:val="en-US" w:eastAsia="zh-CN"/>
        </w:rPr>
        <w:t>有限公司</w:t>
      </w:r>
      <w:r>
        <w:rPr>
          <w:rFonts w:hint="eastAsia" w:ascii="宋体" w:hAnsi="宋体" w:eastAsia="宋体" w:cs="宋体"/>
          <w:color w:val="auto"/>
          <w:szCs w:val="21"/>
          <w:highlight w:val="none"/>
          <w:lang w:val="zh-CN"/>
        </w:rPr>
        <w:t>工作部署，拟在市第四水厂、市第六水厂、石龙黄洲水厂、市第五水厂、石碣水厂、企石水厂、谢岗第三水厂、塘厦凤凰水厂、塘厦中心水厂、黄江水厂、凤岗第二水厂、樟木头簕竹排水厂、塘厦虾公岩水厂、市第三水厂等14家供水水厂的工作间屋</w:t>
      </w:r>
      <w:r>
        <w:rPr>
          <w:rFonts w:hint="eastAsia" w:ascii="宋体" w:hAnsi="宋体" w:eastAsia="宋体" w:cs="宋体"/>
          <w:color w:val="auto"/>
          <w:szCs w:val="21"/>
          <w:highlight w:val="none"/>
        </w:rPr>
        <w:t>面</w:t>
      </w:r>
      <w:r>
        <w:rPr>
          <w:rFonts w:hint="eastAsia" w:ascii="宋体" w:hAnsi="宋体" w:eastAsia="宋体" w:cs="宋体"/>
          <w:color w:val="auto"/>
          <w:szCs w:val="21"/>
          <w:highlight w:val="none"/>
          <w:lang w:val="zh-CN"/>
        </w:rPr>
        <w:t>和部分工作池池面安装光伏发电设施，直属企业东莞市水务集团科技发展有限公司（以下简称“招标人”）负责上述14家厂区光伏发电项目（以下简称“供水厂光伏项目”）投资、建设及运营。</w:t>
      </w:r>
    </w:p>
    <w:p w14:paraId="260FE96E">
      <w:pPr>
        <w:spacing w:line="360" w:lineRule="auto"/>
        <w:ind w:firstLine="9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二、工作内容</w:t>
      </w:r>
    </w:p>
    <w:p w14:paraId="7F217F82">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1、项目建设内容：</w:t>
      </w:r>
    </w:p>
    <w:p w14:paraId="3DA9D9B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根据《东莞市水务集团分布式光伏发电项目（第一批）》方案优化内容，供水厂光伏项目主要建设内容包括但不限于光伏组件、并网设施、交流汇流箱、逆变器、开关柜、光伏支架、电缆、监控、通讯、防雷及安全防护等配套设施的安装及相关配套手续的办理，光伏发电建设规模初定为</w:t>
      </w:r>
      <w:r>
        <w:rPr>
          <w:rFonts w:hint="eastAsia" w:ascii="宋体" w:hAnsi="宋体" w:eastAsia="宋体" w:cs="宋体"/>
          <w:color w:val="auto"/>
          <w:kern w:val="0"/>
          <w:szCs w:val="21"/>
          <w:highlight w:val="none"/>
          <w:lang w:bidi="ar"/>
        </w:rPr>
        <w:t>10491.02</w:t>
      </w:r>
      <w:r>
        <w:rPr>
          <w:rFonts w:hint="eastAsia" w:ascii="宋体" w:hAnsi="宋体" w:eastAsia="宋体" w:cs="宋体"/>
          <w:color w:val="auto"/>
          <w:szCs w:val="21"/>
          <w:highlight w:val="none"/>
        </w:rPr>
        <w:t>kWp，详见下表。</w:t>
      </w:r>
    </w:p>
    <w:p w14:paraId="15B46190">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最终安装容量以项目实际安装容量为准，据实际建设</w:t>
      </w:r>
      <w:r>
        <w:rPr>
          <w:rFonts w:hint="eastAsia" w:ascii="宋体" w:hAnsi="宋体" w:eastAsia="宋体" w:cs="宋体"/>
          <w:color w:val="auto"/>
          <w:sz w:val="21"/>
          <w:szCs w:val="21"/>
          <w:highlight w:val="none"/>
          <w:lang w:val="en-US" w:eastAsia="zh-CN"/>
        </w:rPr>
        <w:t>后的结算装机</w:t>
      </w:r>
      <w:r>
        <w:rPr>
          <w:rFonts w:hint="eastAsia" w:ascii="宋体" w:hAnsi="宋体" w:eastAsia="宋体" w:cs="宋体"/>
          <w:color w:val="auto"/>
          <w:szCs w:val="21"/>
          <w:highlight w:val="none"/>
        </w:rPr>
        <w:t>容量及每瓦单价结算。</w:t>
      </w:r>
    </w:p>
    <w:tbl>
      <w:tblPr>
        <w:tblStyle w:val="45"/>
        <w:tblW w:w="5000" w:type="pct"/>
        <w:tblInd w:w="0" w:type="dxa"/>
        <w:tblLayout w:type="autofit"/>
        <w:tblCellMar>
          <w:top w:w="0" w:type="dxa"/>
          <w:left w:w="108" w:type="dxa"/>
          <w:bottom w:w="0" w:type="dxa"/>
          <w:right w:w="108" w:type="dxa"/>
        </w:tblCellMar>
      </w:tblPr>
      <w:tblGrid>
        <w:gridCol w:w="2381"/>
        <w:gridCol w:w="1736"/>
        <w:gridCol w:w="1742"/>
        <w:gridCol w:w="1717"/>
        <w:gridCol w:w="2740"/>
        <w:gridCol w:w="54"/>
      </w:tblGrid>
      <w:tr w14:paraId="7930B819">
        <w:tblPrEx>
          <w:tblCellMar>
            <w:top w:w="0" w:type="dxa"/>
            <w:left w:w="108" w:type="dxa"/>
            <w:bottom w:w="0" w:type="dxa"/>
            <w:right w:w="108" w:type="dxa"/>
          </w:tblCellMar>
        </w:tblPrEx>
        <w:trPr>
          <w:gridAfter w:val="1"/>
          <w:wAfter w:w="24" w:type="pct"/>
          <w:trHeight w:val="780" w:hRule="atLeast"/>
        </w:trPr>
        <w:tc>
          <w:tcPr>
            <w:tcW w:w="1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5AD3D">
            <w:pPr>
              <w:widowControl/>
              <w:spacing w:line="360" w:lineRule="auto"/>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厂区名称</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63AE1">
            <w:pPr>
              <w:widowControl/>
              <w:spacing w:line="360" w:lineRule="auto"/>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安装区域</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51490">
            <w:pPr>
              <w:widowControl/>
              <w:spacing w:line="360" w:lineRule="auto"/>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面积</w:t>
            </w:r>
            <w:r>
              <w:rPr>
                <w:rFonts w:hint="eastAsia" w:ascii="宋体" w:hAnsi="宋体" w:eastAsia="宋体" w:cs="宋体"/>
                <w:b/>
                <w:bCs/>
                <w:color w:val="auto"/>
                <w:kern w:val="0"/>
                <w:szCs w:val="21"/>
                <w:highlight w:val="none"/>
                <w:lang w:bidi="ar"/>
              </w:rPr>
              <w:br w:type="textWrapping"/>
            </w:r>
            <w:r>
              <w:rPr>
                <w:rFonts w:hint="eastAsia" w:ascii="宋体" w:hAnsi="宋体" w:eastAsia="宋体" w:cs="宋体"/>
                <w:b/>
                <w:bCs/>
                <w:color w:val="auto"/>
                <w:kern w:val="0"/>
                <w:szCs w:val="21"/>
                <w:highlight w:val="none"/>
                <w:lang w:bidi="ar"/>
              </w:rPr>
              <w:t>（单位：㎡）</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CE838">
            <w:pPr>
              <w:widowControl/>
              <w:spacing w:line="360" w:lineRule="auto"/>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暂定装机容量</w:t>
            </w:r>
            <w:r>
              <w:rPr>
                <w:rFonts w:hint="eastAsia" w:ascii="宋体" w:hAnsi="宋体" w:eastAsia="宋体" w:cs="宋体"/>
                <w:b/>
                <w:bCs/>
                <w:color w:val="auto"/>
                <w:kern w:val="0"/>
                <w:szCs w:val="21"/>
                <w:highlight w:val="none"/>
                <w:lang w:bidi="ar"/>
              </w:rPr>
              <w:br w:type="textWrapping"/>
            </w:r>
            <w:r>
              <w:rPr>
                <w:rFonts w:hint="eastAsia" w:ascii="宋体" w:hAnsi="宋体" w:eastAsia="宋体" w:cs="宋体"/>
                <w:b/>
                <w:bCs/>
                <w:color w:val="auto"/>
                <w:kern w:val="0"/>
                <w:szCs w:val="21"/>
                <w:highlight w:val="none"/>
                <w:lang w:bidi="ar"/>
              </w:rPr>
              <w:t>（单位：kWp）</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CD79E">
            <w:pPr>
              <w:widowControl/>
              <w:spacing w:line="360" w:lineRule="auto"/>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安装步梯位置</w:t>
            </w:r>
          </w:p>
        </w:tc>
      </w:tr>
      <w:tr w14:paraId="4CC3028D">
        <w:tblPrEx>
          <w:tblCellMar>
            <w:top w:w="0" w:type="dxa"/>
            <w:left w:w="108" w:type="dxa"/>
            <w:bottom w:w="0" w:type="dxa"/>
            <w:right w:w="108" w:type="dxa"/>
          </w:tblCellMar>
        </w:tblPrEx>
        <w:trPr>
          <w:gridAfter w:val="1"/>
          <w:wAfter w:w="24" w:type="pct"/>
          <w:trHeight w:val="90" w:hRule="atLeast"/>
        </w:trPr>
        <w:tc>
          <w:tcPr>
            <w:tcW w:w="1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7A1C3">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市第四水厂</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1F3BF">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池面</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33067">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2863.26</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8E8B4">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657.2</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B4F0D">
            <w:pPr>
              <w:spacing w:line="360" w:lineRule="auto"/>
              <w:jc w:val="center"/>
              <w:rPr>
                <w:rFonts w:ascii="宋体" w:hAnsi="宋体" w:eastAsia="宋体" w:cs="宋体"/>
                <w:color w:val="auto"/>
                <w:szCs w:val="21"/>
                <w:highlight w:val="none"/>
              </w:rPr>
            </w:pPr>
          </w:p>
        </w:tc>
      </w:tr>
      <w:tr w14:paraId="3CCBC271">
        <w:tblPrEx>
          <w:tblCellMar>
            <w:top w:w="0" w:type="dxa"/>
            <w:left w:w="108" w:type="dxa"/>
            <w:bottom w:w="0" w:type="dxa"/>
            <w:right w:w="108" w:type="dxa"/>
          </w:tblCellMar>
        </w:tblPrEx>
        <w:trPr>
          <w:gridAfter w:val="1"/>
          <w:wAfter w:w="24" w:type="pct"/>
          <w:trHeight w:val="90" w:hRule="atLeast"/>
        </w:trPr>
        <w:tc>
          <w:tcPr>
            <w:tcW w:w="1148" w:type="pct"/>
            <w:vMerge w:val="restart"/>
            <w:tcBorders>
              <w:top w:val="single" w:color="000000" w:sz="4" w:space="0"/>
              <w:left w:val="single" w:color="000000" w:sz="4" w:space="0"/>
              <w:right w:val="single" w:color="000000" w:sz="4" w:space="0"/>
            </w:tcBorders>
            <w:shd w:val="clear" w:color="auto" w:fill="auto"/>
            <w:vAlign w:val="center"/>
          </w:tcPr>
          <w:p w14:paraId="116CDB2C">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市第六水厂</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8053B">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池面</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8B032">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3241.43</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47C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744</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D7414">
            <w:pPr>
              <w:spacing w:line="360" w:lineRule="auto"/>
              <w:jc w:val="center"/>
              <w:rPr>
                <w:rFonts w:ascii="宋体" w:hAnsi="宋体" w:eastAsia="宋体" w:cs="宋体"/>
                <w:color w:val="auto"/>
                <w:szCs w:val="21"/>
                <w:highlight w:val="none"/>
              </w:rPr>
            </w:pPr>
          </w:p>
        </w:tc>
      </w:tr>
      <w:tr w14:paraId="1ECB3184">
        <w:tblPrEx>
          <w:tblCellMar>
            <w:top w:w="0" w:type="dxa"/>
            <w:left w:w="108" w:type="dxa"/>
            <w:bottom w:w="0" w:type="dxa"/>
            <w:right w:w="108" w:type="dxa"/>
          </w:tblCellMar>
        </w:tblPrEx>
        <w:trPr>
          <w:gridAfter w:val="1"/>
          <w:wAfter w:w="24" w:type="pct"/>
          <w:trHeight w:val="538" w:hRule="atLeast"/>
        </w:trPr>
        <w:tc>
          <w:tcPr>
            <w:tcW w:w="1148" w:type="pct"/>
            <w:vMerge w:val="continue"/>
            <w:tcBorders>
              <w:left w:val="single" w:color="000000" w:sz="4" w:space="0"/>
              <w:bottom w:val="single" w:color="000000" w:sz="4" w:space="0"/>
              <w:right w:val="single" w:color="000000" w:sz="4" w:space="0"/>
            </w:tcBorders>
            <w:shd w:val="clear" w:color="auto" w:fill="auto"/>
            <w:vAlign w:val="center"/>
          </w:tcPr>
          <w:p w14:paraId="78015F25">
            <w:pPr>
              <w:widowControl/>
              <w:spacing w:line="360" w:lineRule="auto"/>
              <w:jc w:val="center"/>
              <w:textAlignment w:val="center"/>
              <w:rPr>
                <w:rFonts w:ascii="宋体" w:hAnsi="宋体" w:eastAsia="宋体" w:cs="宋体"/>
                <w:color w:val="auto"/>
                <w:szCs w:val="21"/>
                <w:highlight w:val="none"/>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9630D">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屋面</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B275">
            <w:pPr>
              <w:keepNext w:val="0"/>
              <w:keepLines w:val="0"/>
              <w:widowControl/>
              <w:suppressLineNumbers w:val="0"/>
              <w:jc w:val="center"/>
              <w:textAlignment w:val="center"/>
              <w:rPr>
                <w:rFonts w:ascii="宋体" w:hAnsi="宋体" w:eastAsia="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3533.16</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E18C">
            <w:pPr>
              <w:keepNext w:val="0"/>
              <w:keepLines w:val="0"/>
              <w:widowControl/>
              <w:suppressLineNumbers w:val="0"/>
              <w:jc w:val="center"/>
              <w:textAlignment w:val="center"/>
              <w:rPr>
                <w:rFonts w:ascii="宋体" w:hAnsi="宋体" w:eastAsia="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810.96</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E57F5">
            <w:pPr>
              <w:spacing w:line="360" w:lineRule="auto"/>
              <w:jc w:val="center"/>
              <w:rPr>
                <w:rFonts w:ascii="宋体" w:hAnsi="宋体" w:eastAsia="宋体" w:cs="宋体"/>
                <w:color w:val="auto"/>
                <w:szCs w:val="21"/>
                <w:highlight w:val="none"/>
              </w:rPr>
            </w:pPr>
          </w:p>
        </w:tc>
      </w:tr>
      <w:tr w14:paraId="7B847ECD">
        <w:tblPrEx>
          <w:tblCellMar>
            <w:top w:w="0" w:type="dxa"/>
            <w:left w:w="108" w:type="dxa"/>
            <w:bottom w:w="0" w:type="dxa"/>
            <w:right w:w="108" w:type="dxa"/>
          </w:tblCellMar>
        </w:tblPrEx>
        <w:trPr>
          <w:gridAfter w:val="1"/>
          <w:wAfter w:w="24" w:type="pct"/>
          <w:trHeight w:val="511" w:hRule="atLeast"/>
        </w:trPr>
        <w:tc>
          <w:tcPr>
            <w:tcW w:w="1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FF910">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石龙黄洲水厂</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4E65E">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屋面</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665C1">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4124.71</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DEFAD">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946.12</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C1E01">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取水泵房、配水泵房</w:t>
            </w:r>
          </w:p>
        </w:tc>
      </w:tr>
      <w:tr w14:paraId="48728698">
        <w:tblPrEx>
          <w:tblCellMar>
            <w:top w:w="0" w:type="dxa"/>
            <w:left w:w="108" w:type="dxa"/>
            <w:bottom w:w="0" w:type="dxa"/>
            <w:right w:w="108" w:type="dxa"/>
          </w:tblCellMar>
        </w:tblPrEx>
        <w:trPr>
          <w:gridAfter w:val="1"/>
          <w:wAfter w:w="24" w:type="pct"/>
          <w:trHeight w:val="497" w:hRule="atLeast"/>
        </w:trPr>
        <w:tc>
          <w:tcPr>
            <w:tcW w:w="1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FE558">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第五水厂</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B1AB9">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屋面</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E2010">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4340.82</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61D38">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993.86</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C0849">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主配电室（排泥水处理主配电室）、脱水机房、投药间、反冲洗泵房、二期配水泵房、一期配水泵房、一期取水泵房、二期取水泵房</w:t>
            </w:r>
          </w:p>
        </w:tc>
      </w:tr>
      <w:tr w14:paraId="3F5CE455">
        <w:tblPrEx>
          <w:tblCellMar>
            <w:top w:w="0" w:type="dxa"/>
            <w:left w:w="108" w:type="dxa"/>
            <w:bottom w:w="0" w:type="dxa"/>
            <w:right w:w="108" w:type="dxa"/>
          </w:tblCellMar>
        </w:tblPrEx>
        <w:trPr>
          <w:gridAfter w:val="1"/>
          <w:wAfter w:w="24" w:type="pct"/>
          <w:trHeight w:val="470" w:hRule="atLeast"/>
        </w:trPr>
        <w:tc>
          <w:tcPr>
            <w:tcW w:w="1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0AC1B">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石碣水厂</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5C504">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池面</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4CE3B">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353.86</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3B9B6">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81.22</w:t>
            </w:r>
          </w:p>
        </w:tc>
        <w:tc>
          <w:tcPr>
            <w:tcW w:w="1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69DCA">
            <w:pPr>
              <w:spacing w:line="360" w:lineRule="auto"/>
              <w:jc w:val="center"/>
              <w:rPr>
                <w:rFonts w:ascii="宋体" w:hAnsi="宋体" w:eastAsia="宋体" w:cs="宋体"/>
                <w:color w:val="auto"/>
                <w:szCs w:val="21"/>
                <w:highlight w:val="none"/>
              </w:rPr>
            </w:pPr>
          </w:p>
        </w:tc>
      </w:tr>
      <w:tr w14:paraId="7C381CAC">
        <w:tblPrEx>
          <w:tblCellMar>
            <w:top w:w="0" w:type="dxa"/>
            <w:left w:w="108" w:type="dxa"/>
            <w:bottom w:w="0" w:type="dxa"/>
            <w:right w:w="108" w:type="dxa"/>
          </w:tblCellMar>
        </w:tblPrEx>
        <w:trPr>
          <w:gridAfter w:val="1"/>
          <w:wAfter w:w="24" w:type="pct"/>
          <w:trHeight w:val="470" w:hRule="atLeast"/>
        </w:trPr>
        <w:tc>
          <w:tcPr>
            <w:tcW w:w="1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5874E">
            <w:pPr>
              <w:spacing w:line="360" w:lineRule="auto"/>
              <w:jc w:val="center"/>
              <w:rPr>
                <w:rFonts w:ascii="宋体" w:hAnsi="宋体" w:eastAsia="宋体" w:cs="宋体"/>
                <w:color w:val="auto"/>
                <w:szCs w:val="21"/>
                <w:highlight w:val="none"/>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1D81A">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屋面</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429DC">
            <w:pPr>
              <w:widowControl/>
              <w:spacing w:line="360" w:lineRule="auto"/>
              <w:jc w:val="center"/>
              <w:textAlignment w:val="center"/>
              <w:rPr>
                <w:rFonts w:ascii="宋体" w:hAnsi="宋体" w:eastAsia="宋体" w:cs="宋体"/>
                <w:color w:val="auto"/>
                <w:szCs w:val="21"/>
                <w:highlight w:val="none"/>
              </w:rPr>
            </w:pPr>
            <w:r>
              <w:rPr>
                <w:rFonts w:ascii="宋体" w:hAnsi="宋体" w:eastAsia="宋体" w:cs="宋体"/>
                <w:color w:val="auto"/>
                <w:kern w:val="0"/>
                <w:szCs w:val="21"/>
                <w:highlight w:val="none"/>
                <w:lang w:bidi="ar"/>
              </w:rPr>
              <w:t>2206.87</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0C7B3">
            <w:pPr>
              <w:widowControl/>
              <w:spacing w:line="360" w:lineRule="auto"/>
              <w:jc w:val="center"/>
              <w:textAlignment w:val="center"/>
              <w:rPr>
                <w:rFonts w:ascii="宋体" w:hAnsi="宋体" w:eastAsia="宋体" w:cs="宋体"/>
                <w:color w:val="auto"/>
                <w:szCs w:val="21"/>
                <w:highlight w:val="none"/>
              </w:rPr>
            </w:pPr>
            <w:r>
              <w:rPr>
                <w:rFonts w:ascii="宋体" w:hAnsi="宋体" w:eastAsia="宋体" w:cs="宋体"/>
                <w:color w:val="auto"/>
                <w:kern w:val="0"/>
                <w:szCs w:val="21"/>
                <w:highlight w:val="none"/>
                <w:lang w:bidi="ar"/>
              </w:rPr>
              <w:t>506.54</w:t>
            </w:r>
          </w:p>
        </w:tc>
        <w:tc>
          <w:tcPr>
            <w:tcW w:w="1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CD10F">
            <w:pPr>
              <w:spacing w:line="360" w:lineRule="auto"/>
              <w:jc w:val="center"/>
              <w:rPr>
                <w:rFonts w:ascii="宋体" w:hAnsi="宋体" w:eastAsia="宋体" w:cs="宋体"/>
                <w:color w:val="auto"/>
                <w:szCs w:val="21"/>
                <w:highlight w:val="none"/>
              </w:rPr>
            </w:pPr>
          </w:p>
        </w:tc>
      </w:tr>
      <w:tr w14:paraId="39DB484F">
        <w:tblPrEx>
          <w:tblCellMar>
            <w:top w:w="0" w:type="dxa"/>
            <w:left w:w="108" w:type="dxa"/>
            <w:bottom w:w="0" w:type="dxa"/>
            <w:right w:w="108" w:type="dxa"/>
          </w:tblCellMar>
        </w:tblPrEx>
        <w:trPr>
          <w:gridAfter w:val="1"/>
          <w:wAfter w:w="24" w:type="pct"/>
          <w:trHeight w:val="429" w:hRule="atLeast"/>
        </w:trPr>
        <w:tc>
          <w:tcPr>
            <w:tcW w:w="1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9C209">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企石水厂</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41911">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池面</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63837">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826.56</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E2A65">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189.72</w:t>
            </w:r>
          </w:p>
        </w:tc>
        <w:tc>
          <w:tcPr>
            <w:tcW w:w="1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CB3C0">
            <w:pPr>
              <w:spacing w:line="320" w:lineRule="exac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一期清水池、投药间、二期滤池</w:t>
            </w:r>
          </w:p>
        </w:tc>
      </w:tr>
      <w:tr w14:paraId="2F9C3121">
        <w:tblPrEx>
          <w:tblCellMar>
            <w:top w:w="0" w:type="dxa"/>
            <w:left w:w="108" w:type="dxa"/>
            <w:bottom w:w="0" w:type="dxa"/>
            <w:right w:w="108" w:type="dxa"/>
          </w:tblCellMar>
        </w:tblPrEx>
        <w:trPr>
          <w:gridAfter w:val="1"/>
          <w:wAfter w:w="24" w:type="pct"/>
          <w:trHeight w:val="511" w:hRule="atLeast"/>
        </w:trPr>
        <w:tc>
          <w:tcPr>
            <w:tcW w:w="1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2F4A9">
            <w:pPr>
              <w:spacing w:line="360" w:lineRule="auto"/>
              <w:jc w:val="center"/>
              <w:rPr>
                <w:rFonts w:ascii="宋体" w:hAnsi="宋体" w:eastAsia="宋体" w:cs="宋体"/>
                <w:color w:val="auto"/>
                <w:szCs w:val="21"/>
                <w:highlight w:val="none"/>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9E72E">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屋面</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3BDE3">
            <w:pPr>
              <w:widowControl/>
              <w:spacing w:line="360" w:lineRule="auto"/>
              <w:jc w:val="center"/>
              <w:textAlignment w:val="center"/>
              <w:rPr>
                <w:rFonts w:ascii="宋体" w:hAnsi="宋体" w:eastAsia="宋体" w:cs="宋体"/>
                <w:color w:val="auto"/>
                <w:szCs w:val="21"/>
                <w:highlight w:val="none"/>
              </w:rPr>
            </w:pPr>
            <w:r>
              <w:rPr>
                <w:rFonts w:ascii="宋体" w:hAnsi="宋体" w:eastAsia="宋体" w:cs="宋体"/>
                <w:color w:val="auto"/>
                <w:kern w:val="0"/>
                <w:szCs w:val="21"/>
                <w:highlight w:val="none"/>
                <w:lang w:bidi="ar"/>
              </w:rPr>
              <w:t>1626.12</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8791B">
            <w:pPr>
              <w:widowControl/>
              <w:spacing w:line="360" w:lineRule="auto"/>
              <w:jc w:val="center"/>
              <w:textAlignment w:val="center"/>
              <w:rPr>
                <w:rFonts w:ascii="宋体" w:hAnsi="宋体" w:eastAsia="宋体" w:cs="宋体"/>
                <w:color w:val="auto"/>
                <w:szCs w:val="21"/>
                <w:highlight w:val="none"/>
              </w:rPr>
            </w:pPr>
            <w:r>
              <w:rPr>
                <w:rFonts w:ascii="宋体" w:hAnsi="宋体" w:eastAsia="宋体" w:cs="宋体"/>
                <w:color w:val="auto"/>
                <w:kern w:val="0"/>
                <w:szCs w:val="21"/>
                <w:highlight w:val="none"/>
                <w:lang w:bidi="ar"/>
              </w:rPr>
              <w:t>373.24</w:t>
            </w:r>
          </w:p>
        </w:tc>
        <w:tc>
          <w:tcPr>
            <w:tcW w:w="1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2F4F2">
            <w:pPr>
              <w:spacing w:line="360" w:lineRule="auto"/>
              <w:jc w:val="center"/>
              <w:rPr>
                <w:rFonts w:ascii="宋体" w:hAnsi="宋体" w:eastAsia="宋体" w:cs="宋体"/>
                <w:color w:val="auto"/>
                <w:szCs w:val="21"/>
                <w:highlight w:val="none"/>
              </w:rPr>
            </w:pPr>
          </w:p>
        </w:tc>
      </w:tr>
      <w:tr w14:paraId="49713A06">
        <w:tblPrEx>
          <w:tblCellMar>
            <w:top w:w="0" w:type="dxa"/>
            <w:left w:w="108" w:type="dxa"/>
            <w:bottom w:w="0" w:type="dxa"/>
            <w:right w:w="108" w:type="dxa"/>
          </w:tblCellMar>
        </w:tblPrEx>
        <w:trPr>
          <w:gridAfter w:val="1"/>
          <w:wAfter w:w="24" w:type="pct"/>
          <w:trHeight w:val="497" w:hRule="atLeast"/>
        </w:trPr>
        <w:tc>
          <w:tcPr>
            <w:tcW w:w="1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16AE9">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谢岗第三水厂</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30DFB">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屋面</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1245D">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2160.94</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3940B">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496</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247B7">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投药间、反冲洗泵房、配水泵房、配电间</w:t>
            </w:r>
          </w:p>
        </w:tc>
      </w:tr>
      <w:tr w14:paraId="37477512">
        <w:tblPrEx>
          <w:tblCellMar>
            <w:top w:w="0" w:type="dxa"/>
            <w:left w:w="108" w:type="dxa"/>
            <w:bottom w:w="0" w:type="dxa"/>
            <w:right w:w="108" w:type="dxa"/>
          </w:tblCellMar>
        </w:tblPrEx>
        <w:trPr>
          <w:gridAfter w:val="1"/>
          <w:wAfter w:w="24" w:type="pct"/>
          <w:trHeight w:val="902" w:hRule="atLeast"/>
        </w:trPr>
        <w:tc>
          <w:tcPr>
            <w:tcW w:w="1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9CDC8">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塘厦凤凰水厂</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70613">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屋面</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4DBF7">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1785.48</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1B05D">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409.82</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F811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加药间、滤池、脱水机房、配水泵房（含配电间</w:t>
            </w:r>
          </w:p>
        </w:tc>
      </w:tr>
      <w:tr w14:paraId="546BB0F7">
        <w:tblPrEx>
          <w:tblCellMar>
            <w:top w:w="0" w:type="dxa"/>
            <w:left w:w="108" w:type="dxa"/>
            <w:bottom w:w="0" w:type="dxa"/>
            <w:right w:w="108" w:type="dxa"/>
          </w:tblCellMar>
        </w:tblPrEx>
        <w:trPr>
          <w:gridAfter w:val="1"/>
          <w:wAfter w:w="24" w:type="pct"/>
          <w:trHeight w:val="511" w:hRule="atLeast"/>
        </w:trPr>
        <w:tc>
          <w:tcPr>
            <w:tcW w:w="1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0E652">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塘厦中心水厂</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78F6A">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池面</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3A86A">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850.87</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6F74B">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195.3</w:t>
            </w:r>
          </w:p>
        </w:tc>
        <w:tc>
          <w:tcPr>
            <w:tcW w:w="1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58827">
            <w:pPr>
              <w:spacing w:line="320" w:lineRule="exac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1#清水池、3#清水池、一级泵房、送水泵房、综合办公楼、公司仓库、高压泵房</w:t>
            </w:r>
          </w:p>
        </w:tc>
      </w:tr>
      <w:tr w14:paraId="4FCEFCAF">
        <w:tblPrEx>
          <w:tblCellMar>
            <w:top w:w="0" w:type="dxa"/>
            <w:left w:w="108" w:type="dxa"/>
            <w:bottom w:w="0" w:type="dxa"/>
            <w:right w:w="108" w:type="dxa"/>
          </w:tblCellMar>
        </w:tblPrEx>
        <w:trPr>
          <w:gridAfter w:val="1"/>
          <w:wAfter w:w="24" w:type="pct"/>
          <w:trHeight w:val="228" w:hRule="atLeast"/>
        </w:trPr>
        <w:tc>
          <w:tcPr>
            <w:tcW w:w="1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91FCD">
            <w:pPr>
              <w:spacing w:line="360" w:lineRule="auto"/>
              <w:jc w:val="center"/>
              <w:rPr>
                <w:rFonts w:ascii="宋体" w:hAnsi="宋体" w:eastAsia="宋体" w:cs="宋体"/>
                <w:color w:val="auto"/>
                <w:szCs w:val="21"/>
                <w:highlight w:val="none"/>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342B7">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屋面</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E1929">
            <w:pPr>
              <w:widowControl/>
              <w:spacing w:line="360" w:lineRule="auto"/>
              <w:jc w:val="center"/>
              <w:textAlignment w:val="center"/>
              <w:rPr>
                <w:rFonts w:ascii="宋体" w:hAnsi="宋体" w:eastAsia="宋体" w:cs="宋体"/>
                <w:color w:val="auto"/>
                <w:szCs w:val="21"/>
                <w:highlight w:val="none"/>
              </w:rPr>
            </w:pPr>
            <w:r>
              <w:rPr>
                <w:rFonts w:ascii="宋体" w:hAnsi="宋体" w:eastAsia="宋体" w:cs="宋体"/>
                <w:color w:val="auto"/>
                <w:kern w:val="0"/>
                <w:szCs w:val="21"/>
                <w:highlight w:val="none"/>
                <w:lang w:bidi="ar"/>
              </w:rPr>
              <w:t>2206.87</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841E6">
            <w:pPr>
              <w:widowControl/>
              <w:spacing w:line="360" w:lineRule="auto"/>
              <w:jc w:val="center"/>
              <w:textAlignment w:val="center"/>
              <w:rPr>
                <w:rFonts w:ascii="宋体" w:hAnsi="宋体" w:eastAsia="宋体" w:cs="宋体"/>
                <w:color w:val="auto"/>
                <w:szCs w:val="21"/>
                <w:highlight w:val="none"/>
              </w:rPr>
            </w:pPr>
            <w:r>
              <w:rPr>
                <w:rFonts w:ascii="宋体" w:hAnsi="宋体" w:eastAsia="宋体" w:cs="宋体"/>
                <w:color w:val="auto"/>
                <w:kern w:val="0"/>
                <w:szCs w:val="21"/>
                <w:highlight w:val="none"/>
                <w:lang w:bidi="ar"/>
              </w:rPr>
              <w:t>506.54</w:t>
            </w:r>
          </w:p>
        </w:tc>
        <w:tc>
          <w:tcPr>
            <w:tcW w:w="1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C7B18">
            <w:pPr>
              <w:spacing w:line="360" w:lineRule="auto"/>
              <w:jc w:val="center"/>
              <w:rPr>
                <w:rFonts w:ascii="宋体" w:hAnsi="宋体" w:eastAsia="宋体" w:cs="宋体"/>
                <w:color w:val="auto"/>
                <w:szCs w:val="21"/>
                <w:highlight w:val="none"/>
              </w:rPr>
            </w:pPr>
          </w:p>
        </w:tc>
      </w:tr>
      <w:tr w14:paraId="2E7D86AF">
        <w:tblPrEx>
          <w:tblCellMar>
            <w:top w:w="0" w:type="dxa"/>
            <w:left w:w="108" w:type="dxa"/>
            <w:bottom w:w="0" w:type="dxa"/>
            <w:right w:w="108" w:type="dxa"/>
          </w:tblCellMar>
        </w:tblPrEx>
        <w:trPr>
          <w:gridAfter w:val="1"/>
          <w:wAfter w:w="24" w:type="pct"/>
          <w:trHeight w:val="606" w:hRule="atLeast"/>
        </w:trPr>
        <w:tc>
          <w:tcPr>
            <w:tcW w:w="1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526F8">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黄江水厂</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51DEA">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池面</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1D39B">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378.17</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ED0D8">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86.8</w:t>
            </w:r>
          </w:p>
        </w:tc>
        <w:tc>
          <w:tcPr>
            <w:tcW w:w="1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89E9A">
            <w:pPr>
              <w:spacing w:line="320" w:lineRule="exac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化验室、二线滤池、送水泵房、投药间、一线宿舍、一线送水泵房、一线原水泵房、一线电房</w:t>
            </w:r>
          </w:p>
        </w:tc>
      </w:tr>
      <w:tr w14:paraId="2519F1F3">
        <w:tblPrEx>
          <w:tblCellMar>
            <w:top w:w="0" w:type="dxa"/>
            <w:left w:w="108" w:type="dxa"/>
            <w:bottom w:w="0" w:type="dxa"/>
            <w:right w:w="108" w:type="dxa"/>
          </w:tblCellMar>
        </w:tblPrEx>
        <w:trPr>
          <w:gridAfter w:val="1"/>
          <w:wAfter w:w="24" w:type="pct"/>
          <w:trHeight w:val="626" w:hRule="atLeast"/>
        </w:trPr>
        <w:tc>
          <w:tcPr>
            <w:tcW w:w="1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630D2">
            <w:pPr>
              <w:spacing w:line="360" w:lineRule="auto"/>
              <w:jc w:val="center"/>
              <w:rPr>
                <w:rFonts w:ascii="宋体" w:hAnsi="宋体" w:eastAsia="宋体" w:cs="宋体"/>
                <w:color w:val="auto"/>
                <w:szCs w:val="21"/>
                <w:highlight w:val="none"/>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58479">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屋面</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53940">
            <w:pPr>
              <w:widowControl/>
              <w:spacing w:line="360" w:lineRule="auto"/>
              <w:jc w:val="center"/>
              <w:textAlignment w:val="center"/>
              <w:rPr>
                <w:rFonts w:ascii="宋体" w:hAnsi="宋体" w:eastAsia="宋体" w:cs="宋体"/>
                <w:color w:val="auto"/>
                <w:szCs w:val="21"/>
                <w:highlight w:val="none"/>
              </w:rPr>
            </w:pPr>
            <w:r>
              <w:rPr>
                <w:rFonts w:ascii="宋体" w:hAnsi="宋体" w:eastAsia="宋体" w:cs="宋体"/>
                <w:color w:val="auto"/>
                <w:kern w:val="0"/>
                <w:szCs w:val="21"/>
                <w:highlight w:val="none"/>
                <w:lang w:bidi="ar"/>
              </w:rPr>
              <w:t>2709.3</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60272">
            <w:pPr>
              <w:widowControl/>
              <w:spacing w:line="360" w:lineRule="auto"/>
              <w:jc w:val="center"/>
              <w:textAlignment w:val="center"/>
              <w:rPr>
                <w:rFonts w:ascii="宋体" w:hAnsi="宋体" w:eastAsia="宋体" w:cs="宋体"/>
                <w:color w:val="auto"/>
                <w:szCs w:val="21"/>
                <w:highlight w:val="none"/>
              </w:rPr>
            </w:pPr>
            <w:r>
              <w:rPr>
                <w:rFonts w:ascii="宋体" w:hAnsi="宋体" w:eastAsia="宋体" w:cs="宋体"/>
                <w:color w:val="auto"/>
                <w:kern w:val="0"/>
                <w:szCs w:val="21"/>
                <w:highlight w:val="none"/>
                <w:lang w:bidi="ar"/>
              </w:rPr>
              <w:t>621.86</w:t>
            </w:r>
          </w:p>
        </w:tc>
        <w:tc>
          <w:tcPr>
            <w:tcW w:w="1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EEA2C">
            <w:pPr>
              <w:spacing w:line="360" w:lineRule="auto"/>
              <w:jc w:val="center"/>
              <w:rPr>
                <w:rFonts w:ascii="宋体" w:hAnsi="宋体" w:eastAsia="宋体" w:cs="宋体"/>
                <w:color w:val="auto"/>
                <w:szCs w:val="21"/>
                <w:highlight w:val="none"/>
              </w:rPr>
            </w:pPr>
          </w:p>
        </w:tc>
      </w:tr>
      <w:tr w14:paraId="52DD2A89">
        <w:tblPrEx>
          <w:tblCellMar>
            <w:top w:w="0" w:type="dxa"/>
            <w:left w:w="108" w:type="dxa"/>
            <w:bottom w:w="0" w:type="dxa"/>
            <w:right w:w="108" w:type="dxa"/>
          </w:tblCellMar>
        </w:tblPrEx>
        <w:trPr>
          <w:gridAfter w:val="1"/>
          <w:wAfter w:w="24" w:type="pct"/>
          <w:trHeight w:val="457" w:hRule="atLeast"/>
        </w:trPr>
        <w:tc>
          <w:tcPr>
            <w:tcW w:w="1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03083">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凤岗第二水厂</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A19A7">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池面</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68980">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994.04</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00025">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228.16</w:t>
            </w:r>
          </w:p>
        </w:tc>
        <w:tc>
          <w:tcPr>
            <w:tcW w:w="1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1FB88">
            <w:pPr>
              <w:spacing w:line="360" w:lineRule="auto"/>
              <w:jc w:val="center"/>
              <w:rPr>
                <w:rFonts w:ascii="宋体" w:hAnsi="宋体" w:eastAsia="宋体" w:cs="宋体"/>
                <w:color w:val="auto"/>
                <w:szCs w:val="21"/>
                <w:highlight w:val="none"/>
              </w:rPr>
            </w:pPr>
          </w:p>
        </w:tc>
      </w:tr>
      <w:tr w14:paraId="28DB9573">
        <w:tblPrEx>
          <w:tblCellMar>
            <w:top w:w="0" w:type="dxa"/>
            <w:left w:w="108" w:type="dxa"/>
            <w:bottom w:w="0" w:type="dxa"/>
            <w:right w:w="108" w:type="dxa"/>
          </w:tblCellMar>
        </w:tblPrEx>
        <w:trPr>
          <w:gridAfter w:val="1"/>
          <w:wAfter w:w="24" w:type="pct"/>
          <w:trHeight w:val="420" w:hRule="atLeast"/>
        </w:trPr>
        <w:tc>
          <w:tcPr>
            <w:tcW w:w="1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F4615">
            <w:pPr>
              <w:spacing w:line="360" w:lineRule="auto"/>
              <w:jc w:val="center"/>
              <w:rPr>
                <w:rFonts w:ascii="宋体" w:hAnsi="宋体" w:eastAsia="宋体" w:cs="宋体"/>
                <w:color w:val="auto"/>
                <w:szCs w:val="21"/>
                <w:highlight w:val="none"/>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4BC5E">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屋面</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D26AD">
            <w:pPr>
              <w:widowControl/>
              <w:spacing w:line="360" w:lineRule="auto"/>
              <w:jc w:val="center"/>
              <w:textAlignment w:val="center"/>
              <w:rPr>
                <w:rFonts w:ascii="宋体" w:hAnsi="宋体" w:eastAsia="宋体" w:cs="宋体"/>
                <w:color w:val="auto"/>
                <w:szCs w:val="21"/>
                <w:highlight w:val="none"/>
              </w:rPr>
            </w:pPr>
            <w:r>
              <w:rPr>
                <w:rFonts w:ascii="宋体" w:hAnsi="宋体" w:eastAsia="宋体" w:cs="宋体"/>
                <w:color w:val="auto"/>
                <w:kern w:val="0"/>
                <w:szCs w:val="21"/>
                <w:highlight w:val="none"/>
                <w:lang w:bidi="ar"/>
              </w:rPr>
              <w:t>1188.52</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6E9B0">
            <w:pPr>
              <w:widowControl/>
              <w:spacing w:line="360" w:lineRule="auto"/>
              <w:jc w:val="center"/>
              <w:textAlignment w:val="center"/>
              <w:rPr>
                <w:rFonts w:ascii="宋体" w:hAnsi="宋体" w:eastAsia="宋体" w:cs="宋体"/>
                <w:color w:val="auto"/>
                <w:szCs w:val="21"/>
                <w:highlight w:val="none"/>
              </w:rPr>
            </w:pPr>
            <w:r>
              <w:rPr>
                <w:rFonts w:ascii="宋体" w:hAnsi="宋体" w:eastAsia="宋体" w:cs="宋体"/>
                <w:color w:val="auto"/>
                <w:kern w:val="0"/>
                <w:szCs w:val="21"/>
                <w:highlight w:val="none"/>
                <w:lang w:bidi="ar"/>
              </w:rPr>
              <w:t>272.8</w:t>
            </w:r>
          </w:p>
        </w:tc>
        <w:tc>
          <w:tcPr>
            <w:tcW w:w="1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3B062">
            <w:pPr>
              <w:spacing w:line="360" w:lineRule="auto"/>
              <w:jc w:val="center"/>
              <w:rPr>
                <w:rFonts w:ascii="宋体" w:hAnsi="宋体" w:eastAsia="宋体" w:cs="宋体"/>
                <w:color w:val="auto"/>
                <w:szCs w:val="21"/>
                <w:highlight w:val="none"/>
              </w:rPr>
            </w:pPr>
          </w:p>
        </w:tc>
      </w:tr>
      <w:tr w14:paraId="0B0CC367">
        <w:tblPrEx>
          <w:tblCellMar>
            <w:top w:w="0" w:type="dxa"/>
            <w:left w:w="108" w:type="dxa"/>
            <w:bottom w:w="0" w:type="dxa"/>
            <w:right w:w="108" w:type="dxa"/>
          </w:tblCellMar>
        </w:tblPrEx>
        <w:trPr>
          <w:gridAfter w:val="1"/>
          <w:wAfter w:w="24" w:type="pct"/>
          <w:trHeight w:val="420" w:hRule="atLeast"/>
        </w:trPr>
        <w:tc>
          <w:tcPr>
            <w:tcW w:w="1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EECAD">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樟木头簕竹排水厂</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6E03B">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屋面</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DD76D">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2204.17</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18DC6">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505.92</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3C41E">
            <w:pPr>
              <w:spacing w:line="360" w:lineRule="auto"/>
              <w:jc w:val="center"/>
              <w:rPr>
                <w:rFonts w:ascii="宋体" w:hAnsi="宋体" w:eastAsia="宋体" w:cs="宋体"/>
                <w:color w:val="auto"/>
                <w:szCs w:val="21"/>
                <w:highlight w:val="none"/>
              </w:rPr>
            </w:pPr>
          </w:p>
        </w:tc>
      </w:tr>
      <w:tr w14:paraId="7FFBF2BD">
        <w:tblPrEx>
          <w:tblCellMar>
            <w:top w:w="0" w:type="dxa"/>
            <w:left w:w="108" w:type="dxa"/>
            <w:bottom w:w="0" w:type="dxa"/>
            <w:right w:w="108" w:type="dxa"/>
          </w:tblCellMar>
        </w:tblPrEx>
        <w:trPr>
          <w:gridAfter w:val="1"/>
          <w:wAfter w:w="24" w:type="pct"/>
          <w:trHeight w:val="377" w:hRule="atLeast"/>
        </w:trPr>
        <w:tc>
          <w:tcPr>
            <w:tcW w:w="1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B6D91">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塘厦虾公岩水厂</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5D3EF">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池面</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E6556">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378.17</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9795F">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86.8</w:t>
            </w:r>
          </w:p>
        </w:tc>
        <w:tc>
          <w:tcPr>
            <w:tcW w:w="1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216EA">
            <w:pPr>
              <w:spacing w:line="360" w:lineRule="auto"/>
              <w:jc w:val="center"/>
              <w:rPr>
                <w:rFonts w:ascii="宋体" w:hAnsi="宋体" w:eastAsia="宋体" w:cs="宋体"/>
                <w:color w:val="auto"/>
                <w:szCs w:val="21"/>
                <w:highlight w:val="none"/>
              </w:rPr>
            </w:pPr>
          </w:p>
        </w:tc>
      </w:tr>
      <w:tr w14:paraId="1A02E70B">
        <w:tblPrEx>
          <w:tblCellMar>
            <w:top w:w="0" w:type="dxa"/>
            <w:left w:w="108" w:type="dxa"/>
            <w:bottom w:w="0" w:type="dxa"/>
            <w:right w:w="108" w:type="dxa"/>
          </w:tblCellMar>
        </w:tblPrEx>
        <w:trPr>
          <w:gridAfter w:val="1"/>
          <w:wAfter w:w="24" w:type="pct"/>
          <w:trHeight w:val="447" w:hRule="atLeast"/>
        </w:trPr>
        <w:tc>
          <w:tcPr>
            <w:tcW w:w="1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90783">
            <w:pPr>
              <w:spacing w:line="360" w:lineRule="auto"/>
              <w:jc w:val="center"/>
              <w:rPr>
                <w:rFonts w:ascii="宋体" w:hAnsi="宋体" w:eastAsia="宋体" w:cs="宋体"/>
                <w:color w:val="auto"/>
                <w:szCs w:val="21"/>
                <w:highlight w:val="none"/>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015FF">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屋面</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21701">
            <w:pPr>
              <w:widowControl/>
              <w:spacing w:line="360" w:lineRule="auto"/>
              <w:jc w:val="center"/>
              <w:textAlignment w:val="center"/>
              <w:rPr>
                <w:rFonts w:ascii="宋体" w:hAnsi="宋体" w:eastAsia="宋体" w:cs="宋体"/>
                <w:color w:val="auto"/>
                <w:szCs w:val="21"/>
                <w:highlight w:val="none"/>
              </w:rPr>
            </w:pPr>
            <w:r>
              <w:rPr>
                <w:rFonts w:ascii="宋体" w:hAnsi="宋体" w:eastAsia="宋体" w:cs="宋体"/>
                <w:color w:val="auto"/>
                <w:kern w:val="0"/>
                <w:szCs w:val="21"/>
                <w:highlight w:val="none"/>
                <w:lang w:bidi="ar"/>
              </w:rPr>
              <w:t>2147.44</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C3BC5">
            <w:pPr>
              <w:widowControl/>
              <w:spacing w:line="360" w:lineRule="auto"/>
              <w:jc w:val="center"/>
              <w:textAlignment w:val="center"/>
              <w:rPr>
                <w:rFonts w:ascii="宋体" w:hAnsi="宋体" w:eastAsia="宋体" w:cs="宋体"/>
                <w:color w:val="auto"/>
                <w:szCs w:val="21"/>
                <w:highlight w:val="none"/>
              </w:rPr>
            </w:pPr>
            <w:r>
              <w:rPr>
                <w:rFonts w:ascii="宋体" w:hAnsi="宋体" w:eastAsia="宋体" w:cs="宋体"/>
                <w:color w:val="auto"/>
                <w:kern w:val="0"/>
                <w:szCs w:val="21"/>
                <w:highlight w:val="none"/>
                <w:lang w:bidi="ar"/>
              </w:rPr>
              <w:t>492.9</w:t>
            </w:r>
          </w:p>
        </w:tc>
        <w:tc>
          <w:tcPr>
            <w:tcW w:w="1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5FDE5">
            <w:pPr>
              <w:spacing w:line="360" w:lineRule="auto"/>
              <w:jc w:val="center"/>
              <w:rPr>
                <w:rFonts w:ascii="宋体" w:hAnsi="宋体" w:eastAsia="宋体" w:cs="宋体"/>
                <w:color w:val="auto"/>
                <w:szCs w:val="21"/>
                <w:highlight w:val="none"/>
              </w:rPr>
            </w:pPr>
          </w:p>
        </w:tc>
      </w:tr>
      <w:tr w14:paraId="6866D990">
        <w:tblPrEx>
          <w:tblCellMar>
            <w:top w:w="0" w:type="dxa"/>
            <w:left w:w="108" w:type="dxa"/>
            <w:bottom w:w="0" w:type="dxa"/>
            <w:right w:w="108" w:type="dxa"/>
          </w:tblCellMar>
        </w:tblPrEx>
        <w:trPr>
          <w:gridAfter w:val="1"/>
          <w:wAfter w:w="24" w:type="pct"/>
          <w:trHeight w:val="422" w:hRule="atLeast"/>
        </w:trPr>
        <w:tc>
          <w:tcPr>
            <w:tcW w:w="1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18AA9">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市第三水厂</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9F927">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池面</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9E4B5">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2649.87</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10FAB">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608.22</w:t>
            </w:r>
          </w:p>
        </w:tc>
        <w:tc>
          <w:tcPr>
            <w:tcW w:w="1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1630C">
            <w:pPr>
              <w:spacing w:line="360" w:lineRule="auto"/>
              <w:jc w:val="center"/>
              <w:rPr>
                <w:rFonts w:ascii="宋体" w:hAnsi="宋体" w:eastAsia="宋体" w:cs="宋体"/>
                <w:color w:val="auto"/>
                <w:szCs w:val="21"/>
                <w:highlight w:val="none"/>
              </w:rPr>
            </w:pPr>
          </w:p>
        </w:tc>
      </w:tr>
      <w:tr w14:paraId="3986E6C0">
        <w:tblPrEx>
          <w:tblCellMar>
            <w:top w:w="0" w:type="dxa"/>
            <w:left w:w="108" w:type="dxa"/>
            <w:bottom w:w="0" w:type="dxa"/>
            <w:right w:w="108" w:type="dxa"/>
          </w:tblCellMar>
        </w:tblPrEx>
        <w:trPr>
          <w:gridAfter w:val="1"/>
          <w:wAfter w:w="24" w:type="pct"/>
          <w:trHeight w:val="446" w:hRule="atLeast"/>
        </w:trPr>
        <w:tc>
          <w:tcPr>
            <w:tcW w:w="1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BC7E0">
            <w:pPr>
              <w:spacing w:line="360" w:lineRule="auto"/>
              <w:jc w:val="center"/>
              <w:rPr>
                <w:rFonts w:ascii="宋体" w:hAnsi="宋体" w:eastAsia="宋体" w:cs="宋体"/>
                <w:color w:val="auto"/>
                <w:szCs w:val="21"/>
                <w:highlight w:val="none"/>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13D40">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屋面</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B5CA1">
            <w:pPr>
              <w:widowControl/>
              <w:spacing w:line="360" w:lineRule="auto"/>
              <w:jc w:val="center"/>
              <w:textAlignment w:val="center"/>
              <w:rPr>
                <w:rFonts w:ascii="宋体" w:hAnsi="宋体" w:eastAsia="宋体" w:cs="宋体"/>
                <w:color w:val="auto"/>
                <w:szCs w:val="21"/>
                <w:highlight w:val="none"/>
              </w:rPr>
            </w:pPr>
            <w:r>
              <w:rPr>
                <w:rFonts w:ascii="宋体" w:hAnsi="宋体" w:eastAsia="宋体" w:cs="宋体"/>
                <w:color w:val="auto"/>
                <w:kern w:val="0"/>
                <w:szCs w:val="21"/>
                <w:highlight w:val="none"/>
                <w:lang w:bidi="ar"/>
              </w:rPr>
              <w:t>3989.65</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E2E17">
            <w:pPr>
              <w:widowControl/>
              <w:spacing w:line="360" w:lineRule="auto"/>
              <w:jc w:val="center"/>
              <w:textAlignment w:val="center"/>
              <w:rPr>
                <w:rFonts w:ascii="宋体" w:hAnsi="宋体" w:eastAsia="宋体" w:cs="宋体"/>
                <w:color w:val="auto"/>
                <w:szCs w:val="21"/>
                <w:highlight w:val="none"/>
              </w:rPr>
            </w:pPr>
            <w:r>
              <w:rPr>
                <w:rFonts w:ascii="宋体" w:hAnsi="宋体" w:eastAsia="宋体" w:cs="宋体"/>
                <w:color w:val="auto"/>
                <w:kern w:val="0"/>
                <w:szCs w:val="21"/>
                <w:highlight w:val="none"/>
                <w:lang w:bidi="ar"/>
              </w:rPr>
              <w:t>677.04</w:t>
            </w:r>
          </w:p>
        </w:tc>
        <w:tc>
          <w:tcPr>
            <w:tcW w:w="1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72C89">
            <w:pPr>
              <w:spacing w:line="360" w:lineRule="auto"/>
              <w:jc w:val="center"/>
              <w:rPr>
                <w:rFonts w:ascii="宋体" w:hAnsi="宋体" w:eastAsia="宋体" w:cs="宋体"/>
                <w:color w:val="auto"/>
                <w:szCs w:val="21"/>
                <w:highlight w:val="none"/>
              </w:rPr>
            </w:pPr>
          </w:p>
        </w:tc>
      </w:tr>
      <w:tr w14:paraId="6DBFC2EF">
        <w:tblPrEx>
          <w:tblCellMar>
            <w:top w:w="0" w:type="dxa"/>
            <w:left w:w="108" w:type="dxa"/>
            <w:bottom w:w="0" w:type="dxa"/>
            <w:right w:w="108" w:type="dxa"/>
          </w:tblCellMar>
        </w:tblPrEx>
        <w:trPr>
          <w:gridAfter w:val="1"/>
          <w:wAfter w:w="24" w:type="pct"/>
          <w:trHeight w:val="446" w:hRule="atLeast"/>
        </w:trPr>
        <w:tc>
          <w:tcPr>
            <w:tcW w:w="28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91D726">
            <w:pPr>
              <w:widowControl/>
              <w:spacing w:line="360" w:lineRule="auto"/>
              <w:jc w:val="center"/>
              <w:textAlignment w:val="center"/>
              <w:rPr>
                <w:rFonts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暂定总装机容量（单位：kWp）</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00F1C">
            <w:pPr>
              <w:widowControl/>
              <w:spacing w:line="360" w:lineRule="auto"/>
              <w:jc w:val="center"/>
              <w:textAlignment w:val="center"/>
              <w:rPr>
                <w:rFonts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10491.02</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205F2">
            <w:pPr>
              <w:spacing w:line="360" w:lineRule="auto"/>
              <w:jc w:val="center"/>
              <w:rPr>
                <w:rFonts w:ascii="宋体" w:hAnsi="宋体" w:eastAsia="宋体" w:cs="宋体"/>
                <w:color w:val="auto"/>
                <w:szCs w:val="21"/>
                <w:highlight w:val="none"/>
              </w:rPr>
            </w:pPr>
          </w:p>
        </w:tc>
      </w:tr>
      <w:tr w14:paraId="5E764668">
        <w:tblPrEx>
          <w:tblCellMar>
            <w:top w:w="0" w:type="dxa"/>
            <w:left w:w="108" w:type="dxa"/>
            <w:bottom w:w="0" w:type="dxa"/>
            <w:right w:w="108" w:type="dxa"/>
          </w:tblCellMar>
        </w:tblPrEx>
        <w:trPr>
          <w:trHeight w:val="78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DCAE7D">
            <w:pPr>
              <w:spacing w:line="320" w:lineRule="exact"/>
              <w:rPr>
                <w:rFonts w:ascii="宋体" w:hAnsi="宋体" w:eastAsia="宋体" w:cs="宋体"/>
                <w:color w:val="auto"/>
                <w:sz w:val="22"/>
                <w:highlight w:val="none"/>
              </w:rPr>
            </w:pPr>
            <w:r>
              <w:rPr>
                <w:rFonts w:hint="eastAsia" w:ascii="宋体" w:hAnsi="宋体" w:eastAsia="宋体" w:cs="宋体"/>
                <w:color w:val="auto"/>
                <w:kern w:val="0"/>
                <w:szCs w:val="21"/>
                <w:highlight w:val="none"/>
                <w:lang w:bidi="ar"/>
              </w:rPr>
              <w:t>注：新增踏步钢梯费用由投标人承担，投标人须在投标报价中全额计入此项费用，中标后不再另行调整。</w:t>
            </w:r>
          </w:p>
        </w:tc>
      </w:tr>
    </w:tbl>
    <w:p w14:paraId="38C6B06E">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2、服务内容：</w:t>
      </w:r>
    </w:p>
    <w:p w14:paraId="3F2C60DC">
      <w:pPr>
        <w:pStyle w:val="24"/>
        <w:spacing w:line="360" w:lineRule="auto"/>
        <w:ind w:firstLine="420"/>
        <w:rPr>
          <w:rFonts w:hAnsi="宋体" w:cs="宋体"/>
          <w:color w:val="auto"/>
          <w:szCs w:val="21"/>
          <w:highlight w:val="none"/>
        </w:rPr>
      </w:pPr>
      <w:r>
        <w:rPr>
          <w:rFonts w:hint="eastAsia" w:hAnsi="宋体" w:cs="宋体"/>
          <w:color w:val="auto"/>
          <w:szCs w:val="21"/>
          <w:highlight w:val="none"/>
        </w:rPr>
        <w:t>本项目按图纸、用户需求书、合同范围总承包，</w:t>
      </w:r>
      <w:r>
        <w:rPr>
          <w:rFonts w:hint="eastAsia" w:hAnsi="宋体" w:cs="仿宋"/>
          <w:color w:val="auto"/>
          <w:szCs w:val="21"/>
          <w:highlight w:val="none"/>
        </w:rPr>
        <w:t>包括但不限于完成太阳能光伏组件至并网点全部项目的勘察与设计、设备材料供应及安装（含并网设施、光伏组件、交流汇流箱、逆变器、开关柜、光伏支架、电缆、监控、防雷及</w:t>
      </w:r>
      <w:r>
        <w:rPr>
          <w:rFonts w:hint="eastAsia" w:hAnsi="宋体" w:cs="仿宋"/>
          <w:color w:val="auto"/>
          <w:szCs w:val="21"/>
          <w:highlight w:val="none"/>
          <w:lang w:val="zh-CN"/>
        </w:rPr>
        <w:t>安全等配套设施</w:t>
      </w:r>
      <w:r>
        <w:rPr>
          <w:rFonts w:hint="eastAsia" w:hAnsi="宋体" w:cs="仿宋"/>
          <w:color w:val="auto"/>
          <w:szCs w:val="21"/>
          <w:highlight w:val="none"/>
        </w:rPr>
        <w:t>等光伏发电项目所有设备材料，运输、储存），以及在各供水厂现状条件下为满足本项目实施的相关拆除、迁改、基础制作、安装，按厂区要求增设的钢结构室外楼梯和安全线缆，电网接入系统检测、全部项目系统调试及试运、验收（含为满足并网条件，需按供电局要求完成线路改造、安健环改造、网络安防、电能质量优化及调度控制系统建设等相关工作</w:t>
      </w:r>
      <w:r>
        <w:rPr>
          <w:rFonts w:hint="eastAsia" w:hAnsi="宋体" w:cs="宋体"/>
          <w:bCs/>
          <w:color w:val="auto"/>
          <w:szCs w:val="21"/>
          <w:highlight w:val="none"/>
        </w:rPr>
        <w:t>，以及供电局所需的试验</w:t>
      </w:r>
      <w:r>
        <w:rPr>
          <w:rFonts w:hint="eastAsia" w:hAnsi="宋体" w:cs="仿宋"/>
          <w:color w:val="auto"/>
          <w:szCs w:val="21"/>
          <w:highlight w:val="none"/>
        </w:rPr>
        <w:t>）并交付生产、培训、质量保修期内的消缺等</w:t>
      </w:r>
      <w:r>
        <w:rPr>
          <w:rFonts w:hint="eastAsia" w:hAnsi="宋体" w:cs="宋体"/>
          <w:color w:val="auto"/>
          <w:szCs w:val="21"/>
          <w:highlight w:val="none"/>
        </w:rPr>
        <w:t>完成并网投运</w:t>
      </w:r>
      <w:r>
        <w:rPr>
          <w:rFonts w:hint="eastAsia" w:hAnsi="宋体" w:cs="仿宋"/>
          <w:color w:val="auto"/>
          <w:szCs w:val="21"/>
          <w:highlight w:val="none"/>
        </w:rPr>
        <w:t>全过程的工作，办理从项目备案到供电局并网投运全过程中所需的各类手续，在满足合同其它责任和义务的同时使本项目符合相关达标验收的要求，提供1年的</w:t>
      </w:r>
      <w:r>
        <w:rPr>
          <w:rFonts w:hint="eastAsia" w:hAnsi="宋体" w:cs="仿宋"/>
          <w:color w:val="auto"/>
          <w:szCs w:val="21"/>
          <w:highlight w:val="none"/>
          <w:lang w:val="zh-CN"/>
        </w:rPr>
        <w:t>运营维护服务</w:t>
      </w:r>
      <w:r>
        <w:rPr>
          <w:rFonts w:hint="eastAsia" w:hAnsi="宋体" w:cs="宋体"/>
          <w:color w:val="auto"/>
          <w:szCs w:val="21"/>
          <w:highlight w:val="none"/>
        </w:rPr>
        <w:t>。</w:t>
      </w:r>
    </w:p>
    <w:p w14:paraId="11D8F8FB">
      <w:pPr>
        <w:widowControl/>
        <w:spacing w:line="360" w:lineRule="auto"/>
        <w:ind w:firstLine="9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三、费用说明</w:t>
      </w:r>
    </w:p>
    <w:p w14:paraId="4F3F5C8E">
      <w:pPr>
        <w:widowControl/>
        <w:tabs>
          <w:tab w:val="center" w:pos="3125"/>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项目经供电局验收通过且全容量并网发电后1年内的全部运维费（含日常办公、设备巡检、维修养护、组件清洗、耗材更换、人员工资及保险、管理酬金等所有相关费用）均已包含在总承包费用中，中标人须自行承担上述全部成本，招标人不再另行支付任何费用。</w:t>
      </w:r>
    </w:p>
    <w:p w14:paraId="36C67E9C">
      <w:pPr>
        <w:pStyle w:val="20"/>
        <w:autoSpaceDE/>
        <w:autoSpaceDN/>
        <w:adjustRightInd/>
        <w:spacing w:line="360" w:lineRule="auto"/>
        <w:ind w:right="-28" w:firstLine="422" w:firstLineChars="200"/>
        <w:jc w:val="left"/>
        <w:rPr>
          <w:rFonts w:hAnsi="宋体" w:cs="宋体"/>
          <w:color w:val="auto"/>
          <w:sz w:val="21"/>
          <w:szCs w:val="21"/>
          <w:highlight w:val="none"/>
          <w:lang w:val="en-US"/>
        </w:rPr>
      </w:pPr>
      <w:r>
        <w:rPr>
          <w:rFonts w:hint="eastAsia" w:hAnsi="宋体" w:cs="宋体"/>
          <w:color w:val="auto"/>
          <w:sz w:val="21"/>
          <w:szCs w:val="21"/>
          <w:highlight w:val="none"/>
          <w:lang w:val="en-US"/>
        </w:rPr>
        <w:t>★2、</w:t>
      </w:r>
      <w:r>
        <w:rPr>
          <w:rFonts w:hint="eastAsia" w:hAnsi="宋体" w:cs="宋体"/>
          <w:color w:val="auto"/>
          <w:sz w:val="21"/>
          <w:szCs w:val="21"/>
          <w:highlight w:val="none"/>
          <w:u w:val="single"/>
          <w:lang w:val="en-US"/>
        </w:rPr>
        <w:t>投标人需提供</w:t>
      </w:r>
      <w:r>
        <w:rPr>
          <w:rFonts w:hint="eastAsia" w:hAnsi="宋体" w:cs="宋体"/>
          <w:color w:val="auto"/>
          <w:sz w:val="21"/>
          <w:szCs w:val="21"/>
          <w:highlight w:val="none"/>
          <w:u w:val="single"/>
          <w:lang w:val="en-US" w:eastAsia="zh-CN"/>
        </w:rPr>
        <w:t>72块预留</w:t>
      </w:r>
      <w:r>
        <w:rPr>
          <w:rFonts w:hint="eastAsia" w:hAnsi="宋体" w:cs="宋体"/>
          <w:color w:val="auto"/>
          <w:sz w:val="21"/>
          <w:szCs w:val="21"/>
          <w:highlight w:val="none"/>
          <w:u w:val="single"/>
          <w:lang w:val="en-US"/>
        </w:rPr>
        <w:t>光伏组件作为招标人在项目整体质保期满后运维使用，根据招标人的要求送货到指定地点，费用包含在总承包费用</w:t>
      </w:r>
      <w:r>
        <w:rPr>
          <w:rFonts w:hint="eastAsia" w:hAnsi="宋体" w:cs="宋体"/>
          <w:color w:val="auto"/>
          <w:sz w:val="21"/>
          <w:szCs w:val="21"/>
          <w:highlight w:val="none"/>
          <w:u w:val="single"/>
          <w:lang w:val="en-US" w:eastAsia="zh-CN"/>
        </w:rPr>
        <w:t>（固定每瓦单价）</w:t>
      </w:r>
      <w:r>
        <w:rPr>
          <w:rFonts w:hint="eastAsia" w:hAnsi="宋体" w:cs="宋体"/>
          <w:color w:val="auto"/>
          <w:sz w:val="21"/>
          <w:szCs w:val="21"/>
          <w:highlight w:val="none"/>
          <w:u w:val="single"/>
          <w:lang w:val="en-US"/>
        </w:rPr>
        <w:t>中</w:t>
      </w:r>
      <w:r>
        <w:rPr>
          <w:rFonts w:hint="eastAsia" w:hAnsi="宋体" w:cs="宋体"/>
          <w:color w:val="auto"/>
          <w:sz w:val="21"/>
          <w:szCs w:val="21"/>
          <w:highlight w:val="none"/>
          <w:u w:val="single"/>
          <w:lang w:val="en-US" w:eastAsia="zh-CN"/>
        </w:rPr>
        <w:t>，不另行计费</w:t>
      </w:r>
      <w:r>
        <w:rPr>
          <w:rFonts w:hint="eastAsia" w:hAnsi="宋体" w:cs="宋体"/>
          <w:color w:val="auto"/>
          <w:sz w:val="21"/>
          <w:szCs w:val="21"/>
          <w:highlight w:val="none"/>
          <w:lang w:val="en-US"/>
        </w:rPr>
        <w:t>。</w:t>
      </w:r>
    </w:p>
    <w:p w14:paraId="6DD34D9D">
      <w:pPr>
        <w:pStyle w:val="24"/>
        <w:spacing w:line="360" w:lineRule="auto"/>
        <w:ind w:firstLine="420"/>
        <w:rPr>
          <w:rFonts w:hAnsi="宋体" w:cs="宋体"/>
          <w:color w:val="auto"/>
          <w:szCs w:val="21"/>
          <w:highlight w:val="none"/>
        </w:rPr>
      </w:pPr>
      <w:r>
        <w:rPr>
          <w:rFonts w:hint="eastAsia" w:hAnsi="宋体" w:cs="宋体"/>
          <w:color w:val="auto"/>
          <w:szCs w:val="21"/>
          <w:highlight w:val="none"/>
        </w:rPr>
        <w:t>3、项目实施过程中，与本项目相关的原建（构）筑物的拆除、设备迁改（生产设备除外）、原彩钢瓦屋顶、车棚顶拆除或为方便厂区后期运维，按厂区要求增设的室外楼梯（钢结构）和安全线缆等，其费用包含在总承包费用里。</w:t>
      </w:r>
    </w:p>
    <w:p w14:paraId="6AC410BC">
      <w:pPr>
        <w:pStyle w:val="24"/>
        <w:spacing w:line="360" w:lineRule="auto"/>
        <w:ind w:firstLine="420"/>
        <w:rPr>
          <w:rFonts w:hAnsi="宋体" w:cs="宋体"/>
          <w:color w:val="auto"/>
          <w:szCs w:val="21"/>
          <w:highlight w:val="none"/>
        </w:rPr>
      </w:pPr>
      <w:r>
        <w:rPr>
          <w:rFonts w:hint="eastAsia" w:hAnsi="宋体" w:cs="宋体"/>
          <w:color w:val="auto"/>
          <w:szCs w:val="21"/>
          <w:highlight w:val="none"/>
        </w:rPr>
        <w:t>4、项目实施过程中需按要求办理项目的全部手续及合规性工作，包括但不限于：（1）向项目所在地相关主管部门办理备案手续；（2）供电局对项目接入意见办理、接入方案的设计、评审、接入施工图纸的设计、评审、接入系统的设备、材料的采购、施工、调试以及竣工验收；（3）政府部门或售电公司上网项目核准；（4）为满足并网条件，需按供电局要求完成线路改造、安健环改造、网络安防、电能质量优化及调度控制系统建设等相关工作。前述所有手续的办理、协调及实施费用均已包含在总承包费用中，不因任何原因调整总承包费用。投标人须自行承担因手续延误或变更产生的全部责任及额外成本。</w:t>
      </w:r>
    </w:p>
    <w:p w14:paraId="1A0FE0AB">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5、投标人需负责项目招标范围内的设计、供货、施工和验收及满足并网投运所需要的一切手续，即便在招标范围内没有载明，但实际证明是确保项目发电运行所必须的，则需纳入设计、采购、安装及提供服务范围。</w:t>
      </w:r>
    </w:p>
    <w:p w14:paraId="29E34505">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6、接入方式以供电局批复为准；技术要求以本用户需求书“五、光伏发电设施技术要求”为准。根据项目的要求，等保测评、涉网试验等包括在本次招标范围内。</w:t>
      </w:r>
    </w:p>
    <w:p w14:paraId="60E32F5F">
      <w:pPr>
        <w:widowControl/>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四</w:t>
      </w:r>
      <w:r>
        <w:rPr>
          <w:rFonts w:hint="eastAsia" w:ascii="宋体" w:hAnsi="宋体" w:eastAsia="宋体" w:cs="宋体"/>
          <w:b/>
          <w:color w:val="auto"/>
          <w:szCs w:val="21"/>
          <w:highlight w:val="none"/>
          <w:lang w:val="zh-CN"/>
        </w:rPr>
        <w:t>、设计规范和设计依据</w:t>
      </w:r>
    </w:p>
    <w:p w14:paraId="70BA9AF9">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（1）建筑平面、总平面；其他相关专业提出的要求。</w:t>
      </w:r>
    </w:p>
    <w:p w14:paraId="3C34717A">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（2）招标人所提供的可行性研究报告、房屋检定报告、原厂区设计图纸等资料。</w:t>
      </w:r>
    </w:p>
    <w:p w14:paraId="77A4DA6B">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（3）国家及省的有关规范、标准、规程：</w:t>
      </w:r>
    </w:p>
    <w:p w14:paraId="47770EED">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《光伏发电站防雷技术规程》 DL/T 1364-2014(国家能源局)</w:t>
      </w:r>
    </w:p>
    <w:p w14:paraId="4C65785F">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《光伏并网逆变器技术规范》 NB/T 32004-2018(国家能源局)</w:t>
      </w:r>
    </w:p>
    <w:p w14:paraId="218C0A06">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《光伏发电站电能质量检测技术规程》 NB/T 32006-2013(国家能源局)</w:t>
      </w:r>
    </w:p>
    <w:p w14:paraId="38621710">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《光伏发电站功率预测系统技术要求》 NB/T 32011-2013(国家能源局)</w:t>
      </w:r>
    </w:p>
    <w:p w14:paraId="2292C55F">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《光伏发电站防孤岛效应检测技术规程》 NB/T 32014-2013(国家能源局)</w:t>
      </w:r>
    </w:p>
    <w:p w14:paraId="2D7B67EE">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《并网光伏发电监控系统技术规范》 NB/T 32016-2013(国家能源局)</w:t>
      </w:r>
    </w:p>
    <w:p w14:paraId="72E0B501">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《太阳能光伏系统防雷技术规范》 QX/T 263-2015(中国气象局)</w:t>
      </w:r>
    </w:p>
    <w:p w14:paraId="2B07B4D8">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《光伏发电接入配电网设计规范》 GB/T 50865-2013</w:t>
      </w:r>
    </w:p>
    <w:p w14:paraId="346B3DA8">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《光伏发电站接入电力系统设计规范》 GB/T 50866-2013</w:t>
      </w:r>
    </w:p>
    <w:p w14:paraId="6CA14E81">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《光伏发电站继电保护技术规范》 GB/T 32900-2016</w:t>
      </w:r>
    </w:p>
    <w:p w14:paraId="44337F09">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《分布式光伏发电系统接入电网技术规范》 Q/CSG_1211001-2014</w:t>
      </w:r>
    </w:p>
    <w:p w14:paraId="3F35CD16">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《光伏发电站接入电网技术规范》 Q/CSG_1211002-2014</w:t>
      </w:r>
    </w:p>
    <w:p w14:paraId="01C66228">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《光伏发电并网技术标准》 Q/CSG_1211006-2016</w:t>
      </w:r>
    </w:p>
    <w:p w14:paraId="2F460375">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《并网光伏发电站监控系统技术规范》 Q/CSG_1211011-2016</w:t>
      </w:r>
    </w:p>
    <w:p w14:paraId="0D98A745">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《光伏发电站设计标准》 GB50797-2012</w:t>
      </w:r>
    </w:p>
    <w:p w14:paraId="6D1593FF">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《建筑结构荷载规范》 GB50009-2012</w:t>
      </w:r>
    </w:p>
    <w:p w14:paraId="261C4499">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《建筑物防雷设计规范》 GB50057-2010</w:t>
      </w:r>
    </w:p>
    <w:p w14:paraId="05764A05">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且包含未明列但属国家或地方规定的其他强制执行标准或规范（条款）</w:t>
      </w:r>
    </w:p>
    <w:p w14:paraId="41DC883B">
      <w:pPr>
        <w:widowControl/>
        <w:numPr>
          <w:ilvl w:val="255"/>
          <w:numId w:val="0"/>
        </w:num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五、光伏发电设施技术要求</w:t>
      </w:r>
    </w:p>
    <w:p w14:paraId="6BAB5671">
      <w:pPr>
        <w:wordWrap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1、光伏组件</w:t>
      </w:r>
    </w:p>
    <w:p w14:paraId="58CB8A71">
      <w:pPr>
        <w:wordWrap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（1）光伏组件光伏发电系统采用高效单晶硅光伏组件，单块容量620Wp</w:t>
      </w:r>
      <w:r>
        <w:rPr>
          <w:rFonts w:hint="eastAsia" w:ascii="宋体" w:hAnsi="宋体" w:eastAsia="宋体" w:cs="宋体"/>
          <w:b/>
          <w:bCs/>
          <w:color w:val="auto"/>
          <w:spacing w:val="-2"/>
          <w:szCs w:val="21"/>
          <w:highlight w:val="none"/>
        </w:rPr>
        <w:t>～</w:t>
      </w:r>
      <w:r>
        <w:rPr>
          <w:rFonts w:hint="eastAsia" w:ascii="宋体" w:hAnsi="宋体" w:eastAsia="宋体" w:cs="宋体"/>
          <w:b/>
          <w:bCs/>
          <w:color w:val="auto"/>
          <w:spacing w:val="-2"/>
          <w:szCs w:val="21"/>
          <w:highlight w:val="none"/>
          <w:lang w:val="en-US" w:eastAsia="zh-CN"/>
        </w:rPr>
        <w:t>650</w:t>
      </w:r>
      <w:r>
        <w:rPr>
          <w:rFonts w:hint="eastAsia" w:ascii="宋体" w:hAnsi="宋体" w:eastAsia="宋体" w:cs="宋体"/>
          <w:b/>
          <w:bCs/>
          <w:color w:val="auto"/>
          <w:spacing w:val="-2"/>
          <w:szCs w:val="21"/>
          <w:highlight w:val="none"/>
        </w:rPr>
        <w:t>Wp</w:t>
      </w:r>
      <w:r>
        <w:rPr>
          <w:rFonts w:hint="eastAsia" w:ascii="宋体" w:hAnsi="宋体" w:eastAsia="宋体" w:cs="宋体"/>
          <w:b/>
          <w:color w:val="auto"/>
          <w:szCs w:val="21"/>
          <w:highlight w:val="none"/>
        </w:rPr>
        <w:t>,具体参数如下：</w:t>
      </w:r>
    </w:p>
    <w:p w14:paraId="3FCFEFC8">
      <w:pPr>
        <w:wordWrap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pacing w:val="13"/>
          <w:szCs w:val="21"/>
          <w:highlight w:val="none"/>
        </w:rPr>
        <w:t>光伏组</w:t>
      </w:r>
      <w:r>
        <w:rPr>
          <w:rFonts w:hint="eastAsia" w:ascii="宋体" w:hAnsi="宋体" w:eastAsia="宋体" w:cs="宋体"/>
          <w:b/>
          <w:color w:val="auto"/>
          <w:spacing w:val="8"/>
          <w:szCs w:val="21"/>
          <w:highlight w:val="none"/>
        </w:rPr>
        <w:t>件主要技术参数表</w:t>
      </w:r>
    </w:p>
    <w:tbl>
      <w:tblPr>
        <w:tblStyle w:val="45"/>
        <w:tblW w:w="502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874"/>
        <w:gridCol w:w="5333"/>
      </w:tblGrid>
      <w:tr w14:paraId="4DF59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4FA06F0C">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6"/>
                <w:szCs w:val="21"/>
                <w:highlight w:val="none"/>
              </w:rPr>
              <w:t>型号规</w:t>
            </w:r>
            <w:r>
              <w:rPr>
                <w:rFonts w:hint="eastAsia" w:ascii="宋体" w:hAnsi="宋体" w:eastAsia="宋体" w:cs="宋体"/>
                <w:color w:val="auto"/>
                <w:spacing w:val="5"/>
                <w:szCs w:val="21"/>
                <w:highlight w:val="none"/>
              </w:rPr>
              <w:t>格</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5775FB3B">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单晶硅双面双玻</w:t>
            </w:r>
            <w:r>
              <w:rPr>
                <w:rFonts w:hint="eastAsia" w:ascii="宋体" w:hAnsi="宋体" w:eastAsia="宋体" w:cs="宋体"/>
                <w:color w:val="auto"/>
                <w:spacing w:val="-2"/>
                <w:szCs w:val="21"/>
                <w:highlight w:val="none"/>
              </w:rPr>
              <w:t>620Wp～</w:t>
            </w:r>
            <w:r>
              <w:rPr>
                <w:rFonts w:hint="eastAsia" w:ascii="宋体" w:hAnsi="宋体" w:eastAsia="宋体" w:cs="宋体"/>
                <w:color w:val="auto"/>
                <w:spacing w:val="-2"/>
                <w:szCs w:val="21"/>
                <w:highlight w:val="none"/>
                <w:lang w:val="en-US" w:eastAsia="zh-CN"/>
              </w:rPr>
              <w:t>650</w:t>
            </w:r>
            <w:r>
              <w:rPr>
                <w:rFonts w:hint="eastAsia" w:ascii="宋体" w:hAnsi="宋体" w:eastAsia="宋体" w:cs="宋体"/>
                <w:color w:val="auto"/>
                <w:spacing w:val="-2"/>
                <w:szCs w:val="21"/>
                <w:highlight w:val="none"/>
              </w:rPr>
              <w:t>Wp</w:t>
            </w:r>
          </w:p>
        </w:tc>
      </w:tr>
      <w:tr w14:paraId="27B17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725B7FB6">
            <w:pPr>
              <w:spacing w:line="360" w:lineRule="auto"/>
              <w:jc w:val="center"/>
              <w:rPr>
                <w:rFonts w:ascii="宋体" w:hAnsi="宋体" w:eastAsia="宋体" w:cs="宋体"/>
                <w:color w:val="auto"/>
                <w:szCs w:val="21"/>
                <w:highlight w:val="none"/>
              </w:rPr>
            </w:pPr>
            <w:bookmarkStart w:id="709" w:name="OLE_LINK42"/>
            <w:r>
              <w:rPr>
                <w:rFonts w:hint="eastAsia" w:ascii="宋体" w:hAnsi="宋体" w:eastAsia="宋体" w:cs="宋体"/>
                <w:color w:val="auto"/>
                <w:spacing w:val="1"/>
                <w:szCs w:val="21"/>
                <w:highlight w:val="none"/>
              </w:rPr>
              <w:t>标称功率</w:t>
            </w:r>
            <w:bookmarkEnd w:id="709"/>
            <w:r>
              <w:rPr>
                <w:rFonts w:hint="eastAsia" w:ascii="宋体" w:hAnsi="宋体" w:eastAsia="宋体" w:cs="宋体"/>
                <w:color w:val="auto"/>
                <w:szCs w:val="21"/>
                <w:highlight w:val="none"/>
              </w:rPr>
              <w:t>(W)</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34A67A9C">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2"/>
                <w:szCs w:val="21"/>
                <w:highlight w:val="none"/>
              </w:rPr>
              <w:t>620Wp～</w:t>
            </w:r>
            <w:r>
              <w:rPr>
                <w:rFonts w:hint="eastAsia" w:ascii="宋体" w:hAnsi="宋体" w:eastAsia="宋体" w:cs="宋体"/>
                <w:color w:val="auto"/>
                <w:spacing w:val="-2"/>
                <w:szCs w:val="21"/>
                <w:highlight w:val="none"/>
                <w:lang w:val="en-US" w:eastAsia="zh-CN"/>
              </w:rPr>
              <w:t>650</w:t>
            </w:r>
            <w:r>
              <w:rPr>
                <w:rFonts w:hint="eastAsia" w:ascii="宋体" w:hAnsi="宋体" w:eastAsia="宋体" w:cs="宋体"/>
                <w:color w:val="auto"/>
                <w:spacing w:val="-2"/>
                <w:szCs w:val="21"/>
                <w:highlight w:val="none"/>
              </w:rPr>
              <w:t>Wp</w:t>
            </w:r>
          </w:p>
        </w:tc>
      </w:tr>
      <w:tr w14:paraId="00C57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4CFFE1DF">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8"/>
                <w:szCs w:val="21"/>
                <w:highlight w:val="none"/>
              </w:rPr>
              <w:t>组</w:t>
            </w:r>
            <w:r>
              <w:rPr>
                <w:rFonts w:hint="eastAsia" w:ascii="宋体" w:hAnsi="宋体" w:eastAsia="宋体" w:cs="宋体"/>
                <w:color w:val="auto"/>
                <w:spacing w:val="-5"/>
                <w:szCs w:val="21"/>
                <w:highlight w:val="none"/>
              </w:rPr>
              <w:t>件效率(</w:t>
            </w:r>
            <w:r>
              <w:rPr>
                <w:rFonts w:hint="eastAsia" w:ascii="宋体" w:hAnsi="宋体" w:eastAsia="宋体" w:cs="宋体"/>
                <w:color w:val="auto"/>
                <w:spacing w:val="2"/>
                <w:position w:val="-1"/>
                <w:szCs w:val="21"/>
                <w:highlight w:val="none"/>
              </w:rPr>
              <w:t>%</w:t>
            </w:r>
            <w:r>
              <w:rPr>
                <w:rFonts w:hint="eastAsia" w:ascii="宋体" w:hAnsi="宋体" w:eastAsia="宋体" w:cs="宋体"/>
                <w:color w:val="auto"/>
                <w:spacing w:val="-5"/>
                <w:szCs w:val="21"/>
                <w:highlight w:val="none"/>
              </w:rPr>
              <w:t>)</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674D8340">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pacing w:val="-2"/>
                <w:szCs w:val="21"/>
                <w:highlight w:val="none"/>
              </w:rPr>
              <w:t>23</w:t>
            </w:r>
          </w:p>
        </w:tc>
      </w:tr>
      <w:tr w14:paraId="30F65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38FA5AA1">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首年功率衰减率</w:t>
            </w:r>
            <w:r>
              <w:rPr>
                <w:rFonts w:hint="eastAsia" w:ascii="宋体" w:hAnsi="宋体" w:eastAsia="宋体" w:cs="宋体"/>
                <w:color w:val="auto"/>
                <w:spacing w:val="-5"/>
                <w:szCs w:val="21"/>
                <w:highlight w:val="none"/>
              </w:rPr>
              <w:t>(</w:t>
            </w:r>
            <w:r>
              <w:rPr>
                <w:rFonts w:hint="eastAsia" w:ascii="宋体" w:hAnsi="宋体" w:eastAsia="宋体" w:cs="宋体"/>
                <w:color w:val="auto"/>
                <w:spacing w:val="2"/>
                <w:position w:val="-1"/>
                <w:szCs w:val="21"/>
                <w:highlight w:val="none"/>
              </w:rPr>
              <w:t>%</w:t>
            </w:r>
            <w:r>
              <w:rPr>
                <w:rFonts w:hint="eastAsia" w:ascii="宋体" w:hAnsi="宋体" w:eastAsia="宋体" w:cs="宋体"/>
                <w:color w:val="auto"/>
                <w:spacing w:val="-5"/>
                <w:szCs w:val="21"/>
                <w:highlight w:val="none"/>
              </w:rPr>
              <w:t>)</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35BBE5B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r>
      <w:tr w14:paraId="1E0D6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4CCA837D">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次年后每年功率衰减率</w:t>
            </w:r>
            <w:r>
              <w:rPr>
                <w:rFonts w:hint="eastAsia" w:ascii="宋体" w:hAnsi="宋体" w:eastAsia="宋体" w:cs="宋体"/>
                <w:color w:val="auto"/>
                <w:spacing w:val="-5"/>
                <w:szCs w:val="21"/>
                <w:highlight w:val="none"/>
              </w:rPr>
              <w:t>(</w:t>
            </w:r>
            <w:r>
              <w:rPr>
                <w:rFonts w:hint="eastAsia" w:ascii="宋体" w:hAnsi="宋体" w:eastAsia="宋体" w:cs="宋体"/>
                <w:color w:val="auto"/>
                <w:spacing w:val="2"/>
                <w:position w:val="-1"/>
                <w:szCs w:val="21"/>
                <w:highlight w:val="none"/>
              </w:rPr>
              <w:t>%</w:t>
            </w:r>
            <w:r>
              <w:rPr>
                <w:rFonts w:hint="eastAsia" w:ascii="宋体" w:hAnsi="宋体" w:eastAsia="宋体" w:cs="宋体"/>
                <w:color w:val="auto"/>
                <w:spacing w:val="-5"/>
                <w:szCs w:val="21"/>
                <w:highlight w:val="none"/>
              </w:rPr>
              <w:t>)</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072F6B3F">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pacing w:val="-2"/>
                <w:szCs w:val="21"/>
                <w:highlight w:val="none"/>
              </w:rPr>
              <w:t>0.4</w:t>
            </w:r>
          </w:p>
        </w:tc>
      </w:tr>
      <w:tr w14:paraId="5730A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00BFA253">
            <w:pPr>
              <w:spacing w:line="360" w:lineRule="auto"/>
              <w:jc w:val="center"/>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25年后</w:t>
            </w:r>
            <w:r>
              <w:rPr>
                <w:rFonts w:hint="eastAsia" w:ascii="宋体" w:hAnsi="宋体" w:eastAsia="宋体" w:cs="宋体"/>
                <w:color w:val="auto"/>
                <w:szCs w:val="21"/>
                <w:highlight w:val="none"/>
              </w:rPr>
              <w:t>功率衰减率</w:t>
            </w:r>
            <w:r>
              <w:rPr>
                <w:rFonts w:hint="eastAsia" w:ascii="宋体" w:hAnsi="宋体" w:eastAsia="宋体" w:cs="宋体"/>
                <w:color w:val="auto"/>
                <w:spacing w:val="-5"/>
                <w:szCs w:val="21"/>
                <w:highlight w:val="none"/>
              </w:rPr>
              <w:t>(</w:t>
            </w:r>
            <w:r>
              <w:rPr>
                <w:rFonts w:hint="eastAsia" w:ascii="宋体" w:hAnsi="宋体" w:eastAsia="宋体" w:cs="宋体"/>
                <w:color w:val="auto"/>
                <w:spacing w:val="2"/>
                <w:position w:val="-1"/>
                <w:szCs w:val="21"/>
                <w:highlight w:val="none"/>
              </w:rPr>
              <w:t>%</w:t>
            </w:r>
            <w:r>
              <w:rPr>
                <w:rFonts w:hint="eastAsia" w:ascii="宋体" w:hAnsi="宋体" w:eastAsia="宋体" w:cs="宋体"/>
                <w:color w:val="auto"/>
                <w:spacing w:val="-5"/>
                <w:szCs w:val="21"/>
                <w:highlight w:val="none"/>
              </w:rPr>
              <w:t>)</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3E4A9422">
            <w:pPr>
              <w:spacing w:line="360" w:lineRule="auto"/>
              <w:jc w:val="center"/>
              <w:rPr>
                <w:rFonts w:ascii="宋体" w:hAnsi="宋体" w:eastAsia="宋体" w:cs="宋体"/>
                <w:color w:val="auto"/>
                <w:spacing w:val="-12"/>
                <w:position w:val="1"/>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pacing w:val="-2"/>
                <w:szCs w:val="21"/>
                <w:highlight w:val="none"/>
              </w:rPr>
              <w:t>13</w:t>
            </w:r>
          </w:p>
        </w:tc>
      </w:tr>
      <w:tr w14:paraId="353AA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262918E4">
            <w:pPr>
              <w:spacing w:line="360" w:lineRule="auto"/>
              <w:jc w:val="center"/>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功率公差(</w:t>
            </w:r>
            <w:r>
              <w:rPr>
                <w:rFonts w:hint="eastAsia" w:ascii="宋体" w:hAnsi="宋体" w:eastAsia="宋体" w:cs="宋体"/>
                <w:color w:val="auto"/>
                <w:spacing w:val="2"/>
                <w:position w:val="-1"/>
                <w:szCs w:val="21"/>
                <w:highlight w:val="none"/>
              </w:rPr>
              <w:t>%</w:t>
            </w:r>
            <w:r>
              <w:rPr>
                <w:rFonts w:hint="eastAsia" w:ascii="宋体" w:hAnsi="宋体" w:eastAsia="宋体" w:cs="宋体"/>
                <w:color w:val="auto"/>
                <w:spacing w:val="5"/>
                <w:szCs w:val="21"/>
                <w:highlight w:val="none"/>
              </w:rPr>
              <w:t>)</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1E81A5AD">
            <w:pPr>
              <w:spacing w:line="360" w:lineRule="auto"/>
              <w:jc w:val="center"/>
              <w:rPr>
                <w:rFonts w:ascii="宋体" w:hAnsi="宋体" w:eastAsia="宋体" w:cs="宋体"/>
                <w:color w:val="auto"/>
                <w:spacing w:val="-12"/>
                <w:position w:val="1"/>
                <w:szCs w:val="21"/>
                <w:highlight w:val="none"/>
              </w:rPr>
            </w:pPr>
            <w:r>
              <w:rPr>
                <w:rFonts w:hint="eastAsia" w:ascii="宋体" w:hAnsi="宋体" w:eastAsia="宋体" w:cs="宋体"/>
                <w:color w:val="auto"/>
                <w:spacing w:val="2"/>
                <w:position w:val="-1"/>
                <w:szCs w:val="21"/>
                <w:highlight w:val="none"/>
              </w:rPr>
              <w:t>0</w:t>
            </w:r>
            <w:r>
              <w:rPr>
                <w:rFonts w:hint="eastAsia" w:ascii="宋体" w:hAnsi="宋体" w:eastAsia="宋体" w:cs="宋体"/>
                <w:color w:val="auto"/>
                <w:spacing w:val="5"/>
                <w:szCs w:val="21"/>
                <w:highlight w:val="none"/>
              </w:rPr>
              <w:t>⁓+</w:t>
            </w:r>
            <w:r>
              <w:rPr>
                <w:rFonts w:hint="eastAsia" w:ascii="宋体" w:hAnsi="宋体" w:eastAsia="宋体" w:cs="宋体"/>
                <w:color w:val="auto"/>
                <w:spacing w:val="2"/>
                <w:position w:val="-1"/>
                <w:szCs w:val="21"/>
                <w:highlight w:val="none"/>
              </w:rPr>
              <w:t>3</w:t>
            </w:r>
          </w:p>
        </w:tc>
      </w:tr>
      <w:tr w14:paraId="4A26F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400268D9">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6"/>
                <w:szCs w:val="21"/>
                <w:highlight w:val="none"/>
              </w:rPr>
              <w:t>功</w:t>
            </w:r>
            <w:r>
              <w:rPr>
                <w:rFonts w:hint="eastAsia" w:ascii="宋体" w:hAnsi="宋体" w:eastAsia="宋体" w:cs="宋体"/>
                <w:color w:val="auto"/>
                <w:spacing w:val="5"/>
                <w:szCs w:val="21"/>
                <w:highlight w:val="none"/>
              </w:rPr>
              <w:t>率误差(%)</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44EA3EB4">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12"/>
                <w:position w:val="1"/>
                <w:szCs w:val="21"/>
                <w:highlight w:val="none"/>
              </w:rPr>
              <w:t>±</w:t>
            </w:r>
            <w:r>
              <w:rPr>
                <w:rFonts w:hint="eastAsia" w:ascii="宋体" w:hAnsi="宋体" w:eastAsia="宋体" w:cs="宋体"/>
                <w:color w:val="auto"/>
                <w:spacing w:val="-11"/>
                <w:position w:val="1"/>
                <w:szCs w:val="21"/>
                <w:highlight w:val="none"/>
              </w:rPr>
              <w:t>3</w:t>
            </w:r>
          </w:p>
        </w:tc>
      </w:tr>
      <w:tr w14:paraId="0D473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2ADEC434">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7"/>
                <w:szCs w:val="21"/>
                <w:highlight w:val="none"/>
              </w:rPr>
              <w:t>短路电流温度系数(%/℃</w:t>
            </w:r>
            <w:r>
              <w:rPr>
                <w:rFonts w:hint="eastAsia" w:ascii="宋体" w:hAnsi="宋体" w:eastAsia="宋体" w:cs="宋体"/>
                <w:color w:val="auto"/>
                <w:spacing w:val="6"/>
                <w:szCs w:val="21"/>
                <w:highlight w:val="none"/>
              </w:rPr>
              <w:t>)</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60EDD426">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3"/>
                <w:position w:val="1"/>
                <w:szCs w:val="21"/>
                <w:highlight w:val="none"/>
              </w:rPr>
              <w:t>+0.0</w:t>
            </w:r>
            <w:r>
              <w:rPr>
                <w:rFonts w:hint="eastAsia" w:ascii="宋体" w:hAnsi="宋体" w:eastAsia="宋体" w:cs="宋体"/>
                <w:color w:val="auto"/>
                <w:spacing w:val="2"/>
                <w:position w:val="1"/>
                <w:szCs w:val="21"/>
                <w:highlight w:val="none"/>
              </w:rPr>
              <w:t>5</w:t>
            </w:r>
          </w:p>
        </w:tc>
      </w:tr>
      <w:tr w14:paraId="21D88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64B1A99A">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8"/>
                <w:szCs w:val="21"/>
                <w:highlight w:val="none"/>
              </w:rPr>
              <w:t>开</w:t>
            </w:r>
            <w:r>
              <w:rPr>
                <w:rFonts w:hint="eastAsia" w:ascii="宋体" w:hAnsi="宋体" w:eastAsia="宋体" w:cs="宋体"/>
                <w:color w:val="auto"/>
                <w:spacing w:val="7"/>
                <w:szCs w:val="21"/>
                <w:highlight w:val="none"/>
              </w:rPr>
              <w:t>路电压温度系数(%/℃)</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232F55BC">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5"/>
                <w:szCs w:val="21"/>
                <w:highlight w:val="none"/>
              </w:rPr>
              <w:t>-</w:t>
            </w:r>
            <w:r>
              <w:rPr>
                <w:rFonts w:hint="eastAsia" w:ascii="宋体" w:hAnsi="宋体" w:eastAsia="宋体" w:cs="宋体"/>
                <w:color w:val="auto"/>
                <w:spacing w:val="3"/>
                <w:szCs w:val="21"/>
                <w:highlight w:val="none"/>
              </w:rPr>
              <w:t>0.23</w:t>
            </w:r>
          </w:p>
        </w:tc>
      </w:tr>
      <w:tr w14:paraId="5F3BC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2810DAE9">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7"/>
                <w:szCs w:val="21"/>
                <w:highlight w:val="none"/>
              </w:rPr>
              <w:t>最大功率温度系数(%/℃</w:t>
            </w:r>
            <w:r>
              <w:rPr>
                <w:rFonts w:hint="eastAsia" w:ascii="宋体" w:hAnsi="宋体" w:eastAsia="宋体" w:cs="宋体"/>
                <w:color w:val="auto"/>
                <w:spacing w:val="6"/>
                <w:szCs w:val="21"/>
                <w:highlight w:val="none"/>
              </w:rPr>
              <w:t>)</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0D5214A3">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5"/>
                <w:szCs w:val="21"/>
                <w:highlight w:val="none"/>
              </w:rPr>
              <w:t>-</w:t>
            </w:r>
            <w:r>
              <w:rPr>
                <w:rFonts w:hint="eastAsia" w:ascii="宋体" w:hAnsi="宋体" w:eastAsia="宋体" w:cs="宋体"/>
                <w:color w:val="auto"/>
                <w:spacing w:val="3"/>
                <w:szCs w:val="21"/>
                <w:highlight w:val="none"/>
              </w:rPr>
              <w:t>0.29</w:t>
            </w:r>
          </w:p>
        </w:tc>
      </w:tr>
      <w:tr w14:paraId="5D77E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2F3946BC">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8"/>
                <w:szCs w:val="21"/>
                <w:highlight w:val="none"/>
              </w:rPr>
              <w:t>最大系统电</w:t>
            </w:r>
            <w:r>
              <w:rPr>
                <w:rFonts w:hint="eastAsia" w:ascii="宋体" w:hAnsi="宋体" w:eastAsia="宋体" w:cs="宋体"/>
                <w:color w:val="auto"/>
                <w:spacing w:val="7"/>
                <w:szCs w:val="21"/>
                <w:highlight w:val="none"/>
              </w:rPr>
              <w:t>压</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470D9998">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DC</w:t>
            </w:r>
            <w:r>
              <w:rPr>
                <w:rFonts w:hint="eastAsia" w:ascii="宋体" w:hAnsi="宋体" w:eastAsia="宋体" w:cs="宋体"/>
                <w:color w:val="auto"/>
                <w:spacing w:val="9"/>
                <w:szCs w:val="21"/>
                <w:highlight w:val="none"/>
              </w:rPr>
              <w:t>1</w:t>
            </w:r>
            <w:r>
              <w:rPr>
                <w:rFonts w:hint="eastAsia" w:ascii="宋体" w:hAnsi="宋体" w:eastAsia="宋体" w:cs="宋体"/>
                <w:color w:val="auto"/>
                <w:spacing w:val="7"/>
                <w:szCs w:val="21"/>
                <w:highlight w:val="none"/>
              </w:rPr>
              <w:t>500</w:t>
            </w:r>
            <w:r>
              <w:rPr>
                <w:rFonts w:hint="eastAsia" w:ascii="宋体" w:hAnsi="宋体" w:eastAsia="宋体" w:cs="宋体"/>
                <w:color w:val="auto"/>
                <w:szCs w:val="21"/>
                <w:highlight w:val="none"/>
              </w:rPr>
              <w:t>V（IEC）</w:t>
            </w:r>
          </w:p>
        </w:tc>
      </w:tr>
      <w:tr w14:paraId="64ACD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3DA70A27">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7"/>
                <w:szCs w:val="21"/>
                <w:highlight w:val="none"/>
              </w:rPr>
              <w:t>工作温度范围</w:t>
            </w:r>
            <w:r>
              <w:rPr>
                <w:rFonts w:hint="eastAsia" w:ascii="宋体" w:hAnsi="宋体" w:eastAsia="宋体" w:cs="宋体"/>
                <w:color w:val="auto"/>
                <w:spacing w:val="6"/>
                <w:szCs w:val="21"/>
                <w:highlight w:val="none"/>
              </w:rPr>
              <w:t>(</w:t>
            </w:r>
            <w:r>
              <w:rPr>
                <w:rFonts w:hint="eastAsia" w:ascii="宋体" w:hAnsi="宋体" w:eastAsia="宋体" w:cs="宋体"/>
                <w:color w:val="auto"/>
                <w:spacing w:val="5"/>
                <w:szCs w:val="21"/>
                <w:highlight w:val="none"/>
              </w:rPr>
              <w:t>℃，高温±5℃)</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7C4AA7CB">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7"/>
                <w:szCs w:val="21"/>
                <w:highlight w:val="none"/>
              </w:rPr>
              <w:t>-</w:t>
            </w:r>
            <w:r>
              <w:rPr>
                <w:rFonts w:hint="eastAsia" w:ascii="宋体" w:hAnsi="宋体" w:eastAsia="宋体" w:cs="宋体"/>
                <w:color w:val="auto"/>
                <w:spacing w:val="5"/>
                <w:szCs w:val="21"/>
                <w:highlight w:val="none"/>
              </w:rPr>
              <w:t>40 ⁓+85</w:t>
            </w:r>
          </w:p>
        </w:tc>
      </w:tr>
      <w:tr w14:paraId="643AB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4370277D">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9"/>
                <w:szCs w:val="21"/>
                <w:highlight w:val="none"/>
              </w:rPr>
              <w:t>接</w:t>
            </w:r>
            <w:r>
              <w:rPr>
                <w:rFonts w:hint="eastAsia" w:ascii="宋体" w:hAnsi="宋体" w:eastAsia="宋体" w:cs="宋体"/>
                <w:color w:val="auto"/>
                <w:spacing w:val="8"/>
                <w:szCs w:val="21"/>
                <w:highlight w:val="none"/>
              </w:rPr>
              <w:t>线盒类型</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7C1C4927">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4"/>
                <w:szCs w:val="21"/>
                <w:highlight w:val="none"/>
              </w:rPr>
              <w:t>密封防水型 防护等级</w:t>
            </w:r>
            <w:r>
              <w:rPr>
                <w:rFonts w:hint="eastAsia" w:ascii="宋体" w:hAnsi="宋体" w:eastAsia="宋体" w:cs="宋体"/>
                <w:color w:val="auto"/>
                <w:szCs w:val="21"/>
                <w:highlight w:val="none"/>
              </w:rPr>
              <w:t>IP</w:t>
            </w:r>
            <w:r>
              <w:rPr>
                <w:rFonts w:hint="eastAsia" w:ascii="宋体" w:hAnsi="宋体" w:eastAsia="宋体" w:cs="宋体"/>
                <w:color w:val="auto"/>
                <w:spacing w:val="4"/>
                <w:szCs w:val="21"/>
                <w:highlight w:val="none"/>
              </w:rPr>
              <w:t>6</w:t>
            </w:r>
            <w:r>
              <w:rPr>
                <w:rFonts w:hint="eastAsia" w:ascii="宋体" w:hAnsi="宋体" w:eastAsia="宋体" w:cs="宋体"/>
                <w:color w:val="auto"/>
                <w:spacing w:val="1"/>
                <w:szCs w:val="21"/>
                <w:highlight w:val="none"/>
              </w:rPr>
              <w:t>8</w:t>
            </w:r>
          </w:p>
        </w:tc>
      </w:tr>
      <w:tr w14:paraId="57797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73B17570">
            <w:pPr>
              <w:spacing w:line="360" w:lineRule="auto"/>
              <w:jc w:val="center"/>
              <w:rPr>
                <w:rFonts w:ascii="宋体" w:hAnsi="宋体" w:eastAsia="宋体" w:cs="宋体"/>
                <w:color w:val="auto"/>
                <w:spacing w:val="5"/>
                <w:szCs w:val="21"/>
                <w:highlight w:val="none"/>
              </w:rPr>
            </w:pPr>
            <w:r>
              <w:rPr>
                <w:rFonts w:hint="eastAsia" w:ascii="宋体" w:hAnsi="宋体" w:eastAsia="宋体" w:cs="宋体"/>
                <w:color w:val="auto"/>
                <w:spacing w:val="5"/>
                <w:szCs w:val="21"/>
                <w:highlight w:val="none"/>
              </w:rPr>
              <w:t>边框</w:t>
            </w:r>
            <w:r>
              <w:rPr>
                <w:rFonts w:hint="eastAsia" w:ascii="宋体" w:hAnsi="宋体" w:eastAsia="宋体" w:cs="宋体"/>
                <w:color w:val="auto"/>
                <w:spacing w:val="8"/>
                <w:szCs w:val="21"/>
                <w:highlight w:val="none"/>
              </w:rPr>
              <w:t>类型</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26DBEAA6">
            <w:pPr>
              <w:spacing w:line="360" w:lineRule="auto"/>
              <w:jc w:val="center"/>
              <w:rPr>
                <w:rFonts w:ascii="宋体" w:hAnsi="宋体" w:eastAsia="宋体" w:cs="宋体"/>
                <w:color w:val="auto"/>
                <w:spacing w:val="5"/>
                <w:position w:val="1"/>
                <w:szCs w:val="21"/>
                <w:highlight w:val="none"/>
              </w:rPr>
            </w:pPr>
            <w:r>
              <w:rPr>
                <w:rFonts w:hint="eastAsia" w:ascii="宋体" w:hAnsi="宋体" w:eastAsia="宋体" w:cs="宋体"/>
                <w:color w:val="auto"/>
                <w:spacing w:val="5"/>
                <w:position w:val="1"/>
                <w:szCs w:val="21"/>
                <w:highlight w:val="none"/>
              </w:rPr>
              <w:t>阳极氧化铝合金 防积灰设计（可加装导流器）</w:t>
            </w:r>
          </w:p>
        </w:tc>
      </w:tr>
      <w:tr w14:paraId="11A67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24707469">
            <w:pPr>
              <w:spacing w:line="360" w:lineRule="auto"/>
              <w:jc w:val="center"/>
              <w:rPr>
                <w:rFonts w:ascii="宋体" w:hAnsi="宋体" w:eastAsia="宋体" w:cs="宋体"/>
                <w:color w:val="auto"/>
                <w:spacing w:val="5"/>
                <w:szCs w:val="21"/>
                <w:highlight w:val="none"/>
              </w:rPr>
            </w:pPr>
            <w:r>
              <w:rPr>
                <w:rFonts w:hint="eastAsia" w:ascii="宋体" w:hAnsi="宋体" w:eastAsia="宋体" w:cs="宋体"/>
                <w:color w:val="auto"/>
                <w:spacing w:val="5"/>
                <w:szCs w:val="21"/>
                <w:highlight w:val="none"/>
              </w:rPr>
              <w:t>安全防护等级</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6649B758">
            <w:pPr>
              <w:spacing w:line="360" w:lineRule="auto"/>
              <w:jc w:val="center"/>
              <w:rPr>
                <w:rFonts w:ascii="宋体" w:hAnsi="宋体" w:eastAsia="宋体" w:cs="宋体"/>
                <w:color w:val="auto"/>
                <w:spacing w:val="5"/>
                <w:position w:val="1"/>
                <w:szCs w:val="21"/>
                <w:highlight w:val="none"/>
              </w:rPr>
            </w:pPr>
            <w:r>
              <w:rPr>
                <w:rFonts w:hint="eastAsia" w:ascii="宋体" w:hAnsi="宋体" w:eastAsia="宋体" w:cs="宋体"/>
                <w:color w:val="auto"/>
                <w:spacing w:val="5"/>
                <w:position w:val="1"/>
                <w:szCs w:val="21"/>
                <w:highlight w:val="none"/>
              </w:rPr>
              <w:t>ClassⅡ</w:t>
            </w:r>
          </w:p>
        </w:tc>
      </w:tr>
    </w:tbl>
    <w:p w14:paraId="5578B42D">
      <w:pPr>
        <w:spacing w:line="360" w:lineRule="auto"/>
        <w:ind w:firstLine="210" w:firstLineChars="100"/>
        <w:rPr>
          <w:rFonts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b/>
          <w:bCs/>
          <w:color w:val="auto"/>
          <w:szCs w:val="21"/>
          <w:highlight w:val="none"/>
          <w:u w:val="single"/>
        </w:rPr>
        <w:t>光伏项目建设使用的太阳能组件须为A级品质，其生产企业要纳入国家工信部名录或产品通过TUV国际产品质量认证或CQC认证，投标时提供对应证明材料</w:t>
      </w:r>
      <w:r>
        <w:rPr>
          <w:rFonts w:hint="eastAsia" w:ascii="宋体" w:hAnsi="宋体" w:eastAsia="宋体" w:cs="宋体"/>
          <w:color w:val="auto"/>
          <w:szCs w:val="21"/>
          <w:highlight w:val="none"/>
        </w:rPr>
        <w:t>。</w:t>
      </w:r>
    </w:p>
    <w:p w14:paraId="23E43A49">
      <w:pPr>
        <w:spacing w:line="360" w:lineRule="auto"/>
        <w:ind w:firstLine="210" w:firstLineChars="100"/>
        <w:rPr>
          <w:rFonts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光伏组件防护等级不低于IP66，在雨、雾、露水的湿气的环境下能正常工作，耐火等级达到A级不燃。</w:t>
      </w:r>
      <w:r>
        <w:rPr>
          <w:rFonts w:hint="eastAsia" w:ascii="宋体" w:hAnsi="宋体" w:eastAsia="宋体" w:cs="宋体"/>
          <w:b/>
          <w:bCs/>
          <w:color w:val="auto"/>
          <w:highlight w:val="none"/>
          <w:u w:val="single"/>
        </w:rPr>
        <w:t>投标时需</w:t>
      </w:r>
      <w:r>
        <w:rPr>
          <w:rFonts w:hint="eastAsia" w:ascii="宋体" w:hAnsi="宋体" w:eastAsia="宋体" w:cs="宋体"/>
          <w:b/>
          <w:bCs/>
          <w:color w:val="auto"/>
          <w:szCs w:val="21"/>
          <w:highlight w:val="none"/>
          <w:u w:val="single"/>
        </w:rPr>
        <w:t>提供具有相应资质机构出具的检测报告，若检测机构为英文版则需提供中文版检测报告</w:t>
      </w:r>
      <w:r>
        <w:rPr>
          <w:rFonts w:hint="eastAsia" w:ascii="宋体" w:hAnsi="宋体" w:eastAsia="宋体" w:cs="宋体"/>
          <w:color w:val="auto"/>
          <w:szCs w:val="21"/>
          <w:highlight w:val="none"/>
        </w:rPr>
        <w:t>。</w:t>
      </w:r>
    </w:p>
    <w:p w14:paraId="7B5C62D9">
      <w:pPr>
        <w:spacing w:line="360" w:lineRule="auto"/>
        <w:ind w:firstLine="210" w:firstLineChars="100"/>
        <w:rPr>
          <w:rFonts w:ascii="宋体" w:hAnsi="宋体" w:eastAsia="宋体" w:cs="宋体"/>
          <w:color w:val="auto"/>
          <w:szCs w:val="21"/>
          <w:highlight w:val="none"/>
        </w:rPr>
      </w:pPr>
      <w:r>
        <w:rPr>
          <w:rFonts w:ascii="宋体" w:hAnsi="宋体" w:eastAsia="宋体" w:cs="宋体"/>
          <w:color w:val="auto"/>
          <w:szCs w:val="21"/>
          <w:highlight w:val="none"/>
        </w:rPr>
        <w:t>（4）</w:t>
      </w:r>
      <w:r>
        <w:rPr>
          <w:rFonts w:hint="eastAsia" w:ascii="宋体" w:hAnsi="宋体" w:eastAsia="宋体" w:cs="宋体"/>
          <w:color w:val="auto"/>
          <w:szCs w:val="21"/>
          <w:highlight w:val="none"/>
        </w:rPr>
        <w:t>所供电池组件需满足抗25mm冰雹的撞击要求，</w:t>
      </w:r>
      <w:r>
        <w:rPr>
          <w:rFonts w:hint="eastAsia" w:ascii="宋体" w:hAnsi="宋体" w:eastAsia="宋体" w:cs="宋体"/>
          <w:b/>
          <w:bCs/>
          <w:color w:val="auto"/>
          <w:szCs w:val="21"/>
          <w:highlight w:val="none"/>
          <w:u w:val="single"/>
        </w:rPr>
        <w:t>冰雹实验需满足 IEC61215 相关规定，并提供实验冰球质量、尺寸及试验速度</w:t>
      </w:r>
      <w:r>
        <w:rPr>
          <w:rFonts w:hint="eastAsia" w:ascii="宋体" w:hAnsi="宋体" w:eastAsia="宋体" w:cs="宋体"/>
          <w:color w:val="auto"/>
          <w:szCs w:val="21"/>
          <w:highlight w:val="none"/>
        </w:rPr>
        <w:t>，同时提供组件适应安装的气候条件，</w:t>
      </w:r>
      <w:r>
        <w:rPr>
          <w:rFonts w:hint="eastAsia" w:ascii="宋体" w:hAnsi="宋体" w:eastAsia="宋体" w:cs="宋体"/>
          <w:b/>
          <w:bCs/>
          <w:color w:val="auto"/>
          <w:szCs w:val="21"/>
          <w:highlight w:val="none"/>
          <w:u w:val="single"/>
        </w:rPr>
        <w:t>需对所供组件的抗冰雹能力加以说明并提供证明文件</w:t>
      </w:r>
      <w:r>
        <w:rPr>
          <w:rFonts w:hint="eastAsia" w:ascii="宋体" w:hAnsi="宋体" w:eastAsia="宋体" w:cs="宋体"/>
          <w:color w:val="auto"/>
          <w:szCs w:val="21"/>
          <w:highlight w:val="none"/>
        </w:rPr>
        <w:t>。</w:t>
      </w:r>
    </w:p>
    <w:p w14:paraId="5198B605">
      <w:pPr>
        <w:spacing w:line="360" w:lineRule="auto"/>
        <w:ind w:firstLine="210" w:firstLineChars="100"/>
        <w:rPr>
          <w:rFonts w:ascii="宋体" w:hAnsi="宋体" w:eastAsia="宋体" w:cs="宋体"/>
          <w:color w:val="auto"/>
          <w:szCs w:val="21"/>
          <w:highlight w:val="none"/>
        </w:rPr>
      </w:pPr>
      <w:r>
        <w:rPr>
          <w:rFonts w:ascii="宋体" w:hAnsi="宋体" w:eastAsia="宋体" w:cs="宋体"/>
          <w:color w:val="auto"/>
          <w:szCs w:val="21"/>
          <w:highlight w:val="none"/>
        </w:rPr>
        <w:t>（5）</w:t>
      </w:r>
      <w:r>
        <w:rPr>
          <w:rFonts w:hint="eastAsia" w:ascii="宋体" w:hAnsi="宋体" w:eastAsia="宋体" w:cs="宋体"/>
          <w:color w:val="auto"/>
          <w:szCs w:val="21"/>
          <w:highlight w:val="none"/>
        </w:rPr>
        <w:t>所供组电池组件需具备防盐雾腐蚀功能，不因盐雾腐蚀出现绝缘降低、发电量减少情况。</w:t>
      </w:r>
    </w:p>
    <w:p w14:paraId="69B0BCC6">
      <w:pPr>
        <w:spacing w:line="360" w:lineRule="auto"/>
        <w:ind w:firstLine="210" w:firstLineChars="100"/>
        <w:rPr>
          <w:rFonts w:ascii="宋体" w:hAnsi="宋体" w:eastAsia="宋体" w:cs="宋体"/>
          <w:color w:val="auto"/>
          <w:szCs w:val="21"/>
          <w:highlight w:val="none"/>
        </w:rPr>
      </w:pPr>
      <w:r>
        <w:rPr>
          <w:rFonts w:ascii="宋体" w:hAnsi="宋体" w:eastAsia="宋体" w:cs="宋体"/>
          <w:color w:val="auto"/>
          <w:szCs w:val="21"/>
          <w:highlight w:val="none"/>
        </w:rPr>
        <w:t>（6）</w:t>
      </w:r>
      <w:r>
        <w:rPr>
          <w:rFonts w:hint="eastAsia" w:ascii="宋体" w:hAnsi="宋体" w:eastAsia="宋体" w:cs="宋体"/>
          <w:color w:val="auto"/>
          <w:szCs w:val="21"/>
          <w:highlight w:val="none"/>
        </w:rPr>
        <w:t>电池组件需具备一定的抗潮湿能力，组件在雨、雾、露水的湿气的环境下，组件能正常工作，绝缘性能满足要求，不允许出现漏电现象，湿漏电流试验需满足IEC61215相关条款规定。</w:t>
      </w:r>
    </w:p>
    <w:p w14:paraId="61D44A21">
      <w:pPr>
        <w:spacing w:line="360" w:lineRule="auto"/>
        <w:ind w:firstLine="210" w:firstLineChars="100"/>
        <w:rPr>
          <w:rFonts w:ascii="宋体" w:hAnsi="宋体" w:eastAsia="宋体" w:cs="宋体"/>
          <w:color w:val="auto"/>
          <w:szCs w:val="21"/>
          <w:highlight w:val="none"/>
        </w:rPr>
      </w:pPr>
      <w:r>
        <w:rPr>
          <w:rFonts w:ascii="宋体" w:hAnsi="宋体" w:eastAsia="宋体" w:cs="宋体"/>
          <w:color w:val="auto"/>
          <w:szCs w:val="21"/>
          <w:highlight w:val="none"/>
        </w:rPr>
        <w:t>（7）</w:t>
      </w:r>
      <w:r>
        <w:rPr>
          <w:rFonts w:hint="eastAsia" w:ascii="宋体" w:hAnsi="宋体" w:eastAsia="宋体" w:cs="宋体"/>
          <w:color w:val="auto"/>
          <w:szCs w:val="21"/>
          <w:highlight w:val="none"/>
        </w:rPr>
        <w:t>要求同一光伏发电单元内光伏组件的电池片需为同一批次原料，表面颜色均匀一致，无机械损伤，焊点无氧化斑，电池组件的I-V曲线基本相同。</w:t>
      </w:r>
    </w:p>
    <w:p w14:paraId="538F91FA">
      <w:pPr>
        <w:spacing w:line="360" w:lineRule="auto"/>
        <w:ind w:firstLine="210" w:firstLineChars="100"/>
        <w:rPr>
          <w:rFonts w:ascii="宋体" w:hAnsi="宋体" w:eastAsia="宋体" w:cs="宋体"/>
          <w:color w:val="auto"/>
          <w:szCs w:val="21"/>
          <w:highlight w:val="none"/>
        </w:rPr>
      </w:pPr>
      <w:r>
        <w:rPr>
          <w:rFonts w:ascii="宋体" w:hAnsi="宋体" w:eastAsia="宋体" w:cs="宋体"/>
          <w:color w:val="auto"/>
          <w:szCs w:val="21"/>
          <w:highlight w:val="none"/>
        </w:rPr>
        <w:t>（8）</w:t>
      </w:r>
      <w:r>
        <w:rPr>
          <w:rFonts w:hint="eastAsia" w:ascii="宋体" w:hAnsi="宋体" w:eastAsia="宋体" w:cs="宋体"/>
          <w:color w:val="auto"/>
          <w:szCs w:val="21"/>
          <w:highlight w:val="none"/>
        </w:rPr>
        <w:t>光伏组件进场后投标人需安排抽样进行开箱检查与EL检测，对不合格组件免费进行更换，并且在项目施工完成验收时，需组织对安装组件隐裂情况进行检测，检测到的存在不合格的组件，投标人需安排替换。</w:t>
      </w:r>
    </w:p>
    <w:p w14:paraId="3128E0DA">
      <w:pPr>
        <w:keepNext/>
        <w:keepLines/>
        <w:spacing w:line="360" w:lineRule="auto"/>
        <w:ind w:firstLine="422" w:firstLineChars="200"/>
        <w:outlineLvl w:val="3"/>
        <w:rPr>
          <w:rFonts w:ascii="宋体" w:hAnsi="宋体" w:eastAsia="宋体" w:cs="宋体"/>
          <w:b/>
          <w:color w:val="auto"/>
          <w:szCs w:val="21"/>
          <w:highlight w:val="none"/>
        </w:rPr>
      </w:pPr>
      <w:r>
        <w:rPr>
          <w:rFonts w:hint="eastAsia" w:ascii="宋体" w:hAnsi="宋体" w:eastAsia="宋体" w:cs="宋体"/>
          <w:b/>
          <w:color w:val="auto"/>
          <w:szCs w:val="21"/>
          <w:highlight w:val="none"/>
        </w:rPr>
        <w:t>2、逆变器</w:t>
      </w:r>
    </w:p>
    <w:p w14:paraId="429EACF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逆变器选型时除应考虑具有过/欠电压、过/欠频率、防孤岛效应、短路保护、逆向功率保护等保护功能外，同时应考虑其电压（电流）总谐波畸变率满足国际规定要求，减少对电网的干扰。整个光伏系统采用若干组逆变器每个逆变器具有自动最大功率跟踪功能，并能够随着光伏组件接收的功率，以最经济的方式自动识别并投入运行。</w:t>
      </w:r>
    </w:p>
    <w:p w14:paraId="306CA59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（2）逆变器必须是经国家认监委批准的认证机构认证且达标的产品（须具备直流拉弧检测功能），并提供不低于5年的质保。</w:t>
      </w:r>
    </w:p>
    <w:p w14:paraId="543595DC">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（3）最大逆变效率≥98.5%，中国效率≥98%，交流输出400V机型直流输入电压范围范围200~1100V或更宽，交流输出800V机型直流输入电压范围500~1500V或更宽。</w:t>
      </w:r>
    </w:p>
    <w:p w14:paraId="3671A5AF">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（4）逆变器输出功率大于其额定功率的50%时，功率因数应不小于0.98，输出有功功率在20%-50%之间时，功率因数不小于0.95。同时逆变器功率因素必须满足项目所在地电网要求。</w:t>
      </w:r>
    </w:p>
    <w:p w14:paraId="1FB00DC4">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10%额定功率及以上下电流总谐波畸变率≤3%；交流输出三相电压的允许偏差不超过额定电压的±7%；直流分量不超过其交流额定值的0.5%；具有电网过/欠压保护、过/欠频保护、防孤岛保护、恢复并网保护、过流保护、极性反接保护、过载保护功能、Anti-PID功能，具备远程操作功能。</w:t>
      </w:r>
    </w:p>
    <w:p w14:paraId="18438BA9">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（6）逆变器要求能够自动化运行，可维护性强。采用近端线连或者 app 通讯方式，可实时了解各项运行数据、实时故障数据、历史故障数据、总发电量等数据，逆变器镶有设备的铭牌，需提供标准/开放的协议和接口。</w:t>
      </w:r>
    </w:p>
    <w:p w14:paraId="3FC39F5F">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（7）逆变器≥110kW需安装高温排风装置，在环境温度高于45℃时自动启动排风装置，排风口应具有防尘措施。</w:t>
      </w:r>
    </w:p>
    <w:p w14:paraId="5F2E1B73">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（8）组串式逆变器箱体须具备防盐雾腐蚀措施，具备防盐雾腐蚀功能，确保箱体内部25年内无任何腐蚀现象。</w:t>
      </w:r>
    </w:p>
    <w:p w14:paraId="70C3AC2C">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（9）要求配置每路组串电压电流检测功能。</w:t>
      </w:r>
    </w:p>
    <w:p w14:paraId="34C72595">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（10）具有直流拉弧检测功能。</w:t>
      </w:r>
    </w:p>
    <w:p w14:paraId="51AFDE20">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（11）逆变器必须满足系统抗PID功能和修复PID功能。</w:t>
      </w:r>
    </w:p>
    <w:p w14:paraId="4774A120">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（12）逆变器内置交直流防雷和直流开关，交直流浪涌保护II 级以上，具备良好的电气隔离性，整机符合国家相关标准。</w:t>
      </w:r>
    </w:p>
    <w:p w14:paraId="040F2104">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（13）逆变器直流输入支路必须配置光伏专用熔断器，确保当直流侧发生短路或热斑效应时，可快速隔离故障点。</w:t>
      </w:r>
    </w:p>
    <w:p w14:paraId="4741328F">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（14）支持PLC通讯，项目通电并网后投标人必须负责为招标人技术员注册APP监控软件，并将光伏电站现场实时监测数据联通传送至招标人指定的数据控制中心PC端。</w:t>
      </w:r>
    </w:p>
    <w:p w14:paraId="0238EE3C">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（15）户外安装时，要求具备遮阳挡雨措施，挡雨板材质应采用304及以上不锈钢材质。</w:t>
      </w:r>
    </w:p>
    <w:p w14:paraId="30351997">
      <w:pPr>
        <w:keepNext/>
        <w:keepLines/>
        <w:numPr>
          <w:ilvl w:val="0"/>
          <w:numId w:val="2"/>
        </w:numPr>
        <w:spacing w:line="360" w:lineRule="auto"/>
        <w:ind w:firstLine="422" w:firstLineChars="200"/>
        <w:outlineLvl w:val="3"/>
        <w:rPr>
          <w:rFonts w:ascii="宋体" w:hAnsi="宋体" w:eastAsia="宋体" w:cs="宋体"/>
          <w:b/>
          <w:color w:val="auto"/>
          <w:szCs w:val="21"/>
          <w:highlight w:val="none"/>
        </w:rPr>
      </w:pPr>
      <w:r>
        <w:rPr>
          <w:rFonts w:hint="eastAsia" w:ascii="宋体" w:hAnsi="宋体" w:eastAsia="宋体" w:cs="宋体"/>
          <w:b/>
          <w:color w:val="auto"/>
          <w:szCs w:val="21"/>
          <w:highlight w:val="none"/>
        </w:rPr>
        <w:t>交流汇流箱</w:t>
      </w:r>
    </w:p>
    <w:p w14:paraId="00F9905B">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（1）配电箱必须是成套配电箱，</w:t>
      </w:r>
      <w:r>
        <w:rPr>
          <w:rFonts w:hint="eastAsia" w:ascii="宋体" w:hAnsi="宋体" w:eastAsia="宋体" w:cs="宋体"/>
          <w:b/>
          <w:bCs/>
          <w:color w:val="auto"/>
          <w:szCs w:val="21"/>
          <w:highlight w:val="none"/>
          <w:u w:val="single"/>
        </w:rPr>
        <w:t>成套配电箱内开关要提供3C认证和出厂检验报告，投标时提供对应证明材料</w:t>
      </w:r>
      <w:r>
        <w:rPr>
          <w:rFonts w:hint="eastAsia" w:ascii="宋体" w:hAnsi="宋体" w:eastAsia="宋体" w:cs="宋体"/>
          <w:color w:val="auto"/>
          <w:szCs w:val="21"/>
          <w:highlight w:val="none"/>
        </w:rPr>
        <w:t>。箱内并网设备要配备符合安全需求的闸刀、断路器、浪涌保护器，并应具备光伏元件故障、漏电自动断开光伏输出总开关。</w:t>
      </w:r>
    </w:p>
    <w:p w14:paraId="0E3BA5D2">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（2）采用的内置漏电保护和浪涌保护，采用交直II级防雷保护，整体符合国家相关标准。</w:t>
      </w:r>
    </w:p>
    <w:p w14:paraId="419F8EF4">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（3）箱体的防护等级不低于IP65，适合户外安装，满足防水、防尘、防紫外线、防盐雾、耐腐蚀等，安装位置干燥、通风良好。</w:t>
      </w:r>
    </w:p>
    <w:p w14:paraId="105E8199">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（4）箱体需采用304不锈钢，钢板的厚度≥1.5mm，经过静电喷塑处理，内部全部的金属结构都需经过防腐处理，内外表面平整、光洁，无锈蚀、涂层脱落和磕碰损伤现象。</w:t>
      </w:r>
    </w:p>
    <w:p w14:paraId="132E659E">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（5）箱体内部结构具有足够的机械强度，保证元器件安装后及操作时无摇晃、不变形；元器 件安装走线应整齐、可靠、合理布置；电器间绝缘应符合国家有关标准，进出线必须通过接线端子。</w:t>
      </w:r>
    </w:p>
    <w:p w14:paraId="5C697655">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（6）箱体内应该针对接入的设备及线路，拥有明显的电气开断元件，能够确保检修时能够逐级断开系统，每个汇流箱必须给出一次及二次接线图。</w:t>
      </w:r>
    </w:p>
    <w:p w14:paraId="26A2FF73">
      <w:pPr>
        <w:numPr>
          <w:ilvl w:val="0"/>
          <w:numId w:val="2"/>
        </w:numPr>
        <w:tabs>
          <w:tab w:val="left" w:pos="735"/>
          <w:tab w:val="left" w:pos="2160"/>
        </w:tabs>
        <w:adjustRightInd w:val="0"/>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并网柜</w:t>
      </w:r>
    </w:p>
    <w:p w14:paraId="3ECA5235">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（1）中压10千伏项目中配置的配电箱应为自动化成套配电箱。</w:t>
      </w:r>
    </w:p>
    <w:p w14:paraId="54FF2F85">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
          <w:bCs/>
          <w:color w:val="auto"/>
          <w:szCs w:val="21"/>
          <w:highlight w:val="none"/>
          <w:u w:val="single"/>
        </w:rPr>
        <w:t>并网柜与电气元件均应具备国内3C认证，投标时提供对应证明材料</w:t>
      </w:r>
      <w:r>
        <w:rPr>
          <w:rFonts w:hint="eastAsia" w:ascii="宋体" w:hAnsi="宋体" w:eastAsia="宋体" w:cs="宋体"/>
          <w:color w:val="auto"/>
          <w:szCs w:val="21"/>
          <w:highlight w:val="none"/>
        </w:rPr>
        <w:t>。</w:t>
      </w:r>
    </w:p>
    <w:p w14:paraId="54E2A359">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并网柜具备被动孤岛检测、有压自动重合闸、失压跳闸、过欠压保护、过电流保护、防雷保护、短路保护、高低频保护、防孤岛保护等基本功能，若当地供电部门要求，还需配置逆功率保护；同时具备智能通讯功能，可以和后台系统通讯组网，远程操作断路器分合闸，远程查看并网柜各种电参量及开关位置信息。</w:t>
      </w:r>
    </w:p>
    <w:p w14:paraId="55F7B968">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（4）光伏并网柜可以加装计量仓，计量表具备双向计量功能，计量表有功电能精度不低于0.5S 级，电压互感器、电流互感器不低于0.2S 级。计量电表数据均接入到监控系统后台。</w:t>
      </w:r>
    </w:p>
    <w:p w14:paraId="1A8C9497">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（5）柜体的防护等级不低于IP41，配电房内安装，柜型按照原有配电房开关柜定做，整体符合国家相关标准。</w:t>
      </w:r>
    </w:p>
    <w:p w14:paraId="782B6BF4">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（6）柜体需采用冷轧钢板制作，钢板的厚度≥1.5mm，经过静电喷塑处理，内部全部的金属结构都需经过防腐处理，内外表面平整、光洁，无锈蚀、涂层脱落和磕碰损伤现象。</w:t>
      </w:r>
    </w:p>
    <w:p w14:paraId="10217E2B">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（7）630A及以上低压断路器采用固定式框架式断路器，要求配置具有三段保护的数显智能模块，630A以下采用塑壳式断路器。</w:t>
      </w:r>
    </w:p>
    <w:p w14:paraId="00E7CB84">
      <w:p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（8）</w:t>
      </w:r>
      <w:r>
        <w:rPr>
          <w:rFonts w:hint="eastAsia" w:ascii="宋体" w:hAnsi="宋体" w:eastAsia="宋体" w:cs="宋体"/>
          <w:color w:val="auto"/>
          <w:szCs w:val="21"/>
          <w:highlight w:val="none"/>
        </w:rPr>
        <w:t>柜体内应该针对接入的设备及线路，拥有明显的电气开断元件，能够确保检修时能够逐级断开系统，每个并网柜在安装时必须给出一次及二次接线图。</w:t>
      </w:r>
    </w:p>
    <w:p w14:paraId="3E54AB2E">
      <w:p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（9）</w:t>
      </w:r>
      <w:r>
        <w:rPr>
          <w:rFonts w:hint="eastAsia" w:ascii="宋体" w:hAnsi="宋体" w:eastAsia="宋体" w:cs="宋体"/>
          <w:color w:val="auto"/>
          <w:szCs w:val="21"/>
          <w:highlight w:val="none"/>
        </w:rPr>
        <w:t>所有电气设备安装完成后，应进行电气交接试验，并形成记录。</w:t>
      </w:r>
    </w:p>
    <w:p w14:paraId="7035E667">
      <w:pPr>
        <w:keepNext/>
        <w:keepLines/>
        <w:numPr>
          <w:ilvl w:val="0"/>
          <w:numId w:val="2"/>
        </w:numPr>
        <w:spacing w:line="360" w:lineRule="auto"/>
        <w:ind w:firstLine="422" w:firstLineChars="200"/>
        <w:outlineLvl w:val="3"/>
        <w:rPr>
          <w:rFonts w:ascii="宋体" w:hAnsi="宋体" w:eastAsia="宋体" w:cs="宋体"/>
          <w:b/>
          <w:color w:val="auto"/>
          <w:szCs w:val="21"/>
          <w:highlight w:val="none"/>
        </w:rPr>
      </w:pPr>
      <w:r>
        <w:rPr>
          <w:rFonts w:hint="eastAsia" w:ascii="宋体" w:hAnsi="宋体" w:eastAsia="宋体" w:cs="宋体"/>
          <w:b/>
          <w:color w:val="auto"/>
          <w:szCs w:val="21"/>
          <w:highlight w:val="none"/>
        </w:rPr>
        <w:t>光伏支架</w:t>
      </w:r>
    </w:p>
    <w:p w14:paraId="0283C9FC">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支架（含阵列式）的强度应满足在自重、风荷载和地震荷载共同作用下的使用要求，设计时光伏支架基础设计使用年限50年，光伏支架结构设计使用年限25年，表面防腐应满足10年内可拆卸再利用和25年内安全使用的要求；建筑光伏一体化的光伏支架设计使用年限应与一体化建筑主体结构一致。</w:t>
      </w:r>
    </w:p>
    <w:p w14:paraId="6664C099">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（2）支架设计（含阵列式）必须满足东莞地区的风压等级要求（即0.65KN/m²风压，风速在32.27米/秒以上的热带气旋）的抗风要求。</w:t>
      </w:r>
    </w:p>
    <w:p w14:paraId="348E5B16">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（3）本项目支架形式采用固定式钢支架的，需选用Q235B及以上钢材，钢材防腐可采用热浸锌和镀镁铝锌两种方式。若采用热浸锌防腐，镀锌层厚度应满足《光伏支架结构设计规程》（NB/T 10115-2018）、《金属覆盖层 钢铁制件热浸镀锌层技术要求及试验方法》（GB/T13912-2020）的相关要求。钢构件厚度＞6mm 时，热浸镀锌平均厚度不应小于85μm，局部镀锌厚度不应小于70μm；对于3＜钢构件厚度≤6mm 时，热浸镀锌平均厚度不应小于70μm，局部镀锌厚度不应小于55μm；镀镁铝锌不低于275mg/m</w:t>
      </w:r>
      <w:r>
        <w:rPr>
          <w:rFonts w:hint="eastAsia" w:ascii="宋体" w:hAnsi="宋体" w:eastAsia="宋体" w:cs="宋体"/>
          <w:color w:val="auto"/>
          <w:szCs w:val="21"/>
          <w:highlight w:val="none"/>
          <w:vertAlign w:val="superscript"/>
        </w:rPr>
        <w:t>2</w:t>
      </w:r>
      <w:r>
        <w:rPr>
          <w:rFonts w:hint="eastAsia" w:ascii="宋体" w:hAnsi="宋体" w:eastAsia="宋体" w:cs="宋体"/>
          <w:color w:val="auto"/>
          <w:szCs w:val="21"/>
          <w:highlight w:val="none"/>
        </w:rPr>
        <w:t>；光伏支架铝构件阳极氧化膜平均厚度不应小于15μm，局部厚度不应小于12μm，铝合金连接件阳极氧化膜平均厚度不应小于10μm，局部厚度不应小于8μm。</w:t>
      </w:r>
    </w:p>
    <w:p w14:paraId="026578F7">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彩钢瓦屋面采用夹具固定，夹具、压块及安装龙骨均采用600铝合金，强度等级不低于6063-T6，铝合金支架的使用寿命应在25年以上。结构主材化学成分和力学性能应符合《铝合金结构设计规范》（GB50429-2007）规定。铝合金型材经阳极氧化处理，氧化膜平均厚度不小于15μm，并满足《光伏发电站设计标准》（GB50797-2012）中相关要求。</w:t>
      </w:r>
    </w:p>
    <w:p w14:paraId="44903D99">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（5）光伏支架施工图设计应根据</w:t>
      </w:r>
      <w:r>
        <w:rPr>
          <w:rFonts w:hint="eastAsia" w:ascii="宋体" w:hAnsi="宋体" w:eastAsia="宋体" w:cs="宋体"/>
          <w:color w:val="auto"/>
          <w:szCs w:val="21"/>
          <w:highlight w:val="none"/>
          <w:lang w:bidi="en-US"/>
        </w:rPr>
        <w:t>建构筑物承载力检测报告</w:t>
      </w:r>
      <w:r>
        <w:rPr>
          <w:rFonts w:hint="eastAsia" w:ascii="宋体" w:hAnsi="宋体" w:eastAsia="宋体" w:cs="宋体"/>
          <w:color w:val="auto"/>
          <w:szCs w:val="21"/>
          <w:highlight w:val="none"/>
        </w:rPr>
        <w:t>进行深化，并在过程中征得招标人同意，钢材选用及防腐要求同混凝土屋面支架要求。</w:t>
      </w:r>
    </w:p>
    <w:p w14:paraId="7B73CE06">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（6）光伏车棚钢材选用及防腐要求同混凝土屋面支架要求。</w:t>
      </w:r>
    </w:p>
    <w:p w14:paraId="47C9D738">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本项目光伏支架布置必须考虑光伏电站的建设和后期运行不能影响厂区的正常运作，厂区地下管网错综复杂，支架基础要注意避开地下管网，基础桩基施工过程注意对厂区生产构筑物、管道、电缆的安全监测，如因施工原因造成安全隐患，投标人需无条件修复。</w:t>
      </w:r>
    </w:p>
    <w:p w14:paraId="08988971">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（8）光伏支架根据</w:t>
      </w:r>
      <w:r>
        <w:rPr>
          <w:rFonts w:hint="eastAsia" w:ascii="宋体" w:hAnsi="宋体" w:eastAsia="宋体" w:cs="宋体"/>
          <w:color w:val="auto"/>
          <w:szCs w:val="21"/>
          <w:highlight w:val="none"/>
          <w:lang w:bidi="en-US"/>
        </w:rPr>
        <w:t>建构筑物承载力检测报告</w:t>
      </w:r>
      <w:r>
        <w:rPr>
          <w:rFonts w:hint="eastAsia" w:ascii="宋体" w:hAnsi="宋体" w:eastAsia="宋体" w:cs="宋体"/>
          <w:color w:val="auto"/>
          <w:szCs w:val="21"/>
          <w:highlight w:val="none"/>
        </w:rPr>
        <w:t>，如确因屋面承载力不满足抗风荷载要求，光伏支架可采用膨胀螺栓或化学螺栓锚固，但投标人需及时修复锚固过程中破损的屋面防水层，并保障屋面的防水性能不低于本项目工程实施前。若因光伏项目造成屋面漏水的，由投标人负责处理修复完好。</w:t>
      </w:r>
    </w:p>
    <w:p w14:paraId="22C38644">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（9）本项目光伏支架布置需为后期光伏板机器人自动清洗、厂区维护运营预留操作路径。</w:t>
      </w:r>
    </w:p>
    <w:p w14:paraId="4C9D9E75">
      <w:pPr>
        <w:numPr>
          <w:ilvl w:val="255"/>
          <w:numId w:val="0"/>
        </w:numPr>
        <w:tabs>
          <w:tab w:val="center" w:pos="3125"/>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（10）设计时，整个支架结构的强度、挠度、稳定性应符合国家结构设计相关规范的安全性要求；同时，支架结构的的节点连接也应满足国家结构设计规范的结构安全性的要求。</w:t>
      </w:r>
      <w:r>
        <w:rPr>
          <w:rFonts w:hint="eastAsia" w:ascii="宋体" w:hAnsi="宋体" w:eastAsia="宋体" w:cs="宋体"/>
          <w:b/>
          <w:bCs/>
          <w:color w:val="auto"/>
          <w:szCs w:val="21"/>
          <w:highlight w:val="none"/>
          <w:u w:val="single"/>
        </w:rPr>
        <w:t>若在现有变压器容量的基础上，若因单块光伏板容量增大，导致组件排布数量减少的，中标人需采用与运维通道相同材质的板材，把空缺部分补平，达到</w:t>
      </w:r>
      <w:r>
        <w:rPr>
          <w:rFonts w:hint="eastAsia" w:ascii="宋体" w:hAnsi="宋体" w:eastAsia="宋体" w:cs="宋体"/>
          <w:b/>
          <w:bCs/>
          <w:color w:val="auto"/>
          <w:szCs w:val="21"/>
          <w:highlight w:val="none"/>
          <w:u w:val="single"/>
          <w:lang w:val="en-US" w:eastAsia="zh-CN"/>
        </w:rPr>
        <w:t>招标人</w:t>
      </w:r>
      <w:r>
        <w:rPr>
          <w:rFonts w:hint="eastAsia" w:ascii="宋体" w:hAnsi="宋体" w:eastAsia="宋体" w:cs="宋体"/>
          <w:b/>
          <w:bCs/>
          <w:color w:val="auto"/>
          <w:szCs w:val="21"/>
          <w:highlight w:val="none"/>
          <w:u w:val="single"/>
        </w:rPr>
        <w:t>或厂区的美观要求，费用已包含在合同不含税固定每瓦单价内，招标人无需另行支付费用</w:t>
      </w:r>
      <w:r>
        <w:rPr>
          <w:rFonts w:hint="eastAsia" w:ascii="宋体" w:hAnsi="宋体" w:eastAsia="宋体" w:cs="宋体"/>
          <w:color w:val="auto"/>
          <w:szCs w:val="21"/>
          <w:highlight w:val="none"/>
        </w:rPr>
        <w:t>。</w:t>
      </w:r>
    </w:p>
    <w:p w14:paraId="17DCABFF">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（11）组件安装螺栓选用不锈钢304及以上材质，表面需钝化，安装前须点胶或采用防松动螺母。</w:t>
      </w:r>
    </w:p>
    <w:p w14:paraId="623EC8DB">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（12）支架安装完毕后中标人须委托第三方完成支架抗拉拔测试，要求符合《GB 50797-2012光伏电站设计标准》和《JGJ 145-2013混凝土结构后锚固技术规程》相关内容，锚栓抗拔力需达到设计荷载的1.5–2倍，且滑移量≤0.5 mm、残余变形≤0.2%。</w:t>
      </w:r>
    </w:p>
    <w:p w14:paraId="6DED651C">
      <w:pPr>
        <w:keepNext/>
        <w:keepLines/>
        <w:numPr>
          <w:ilvl w:val="0"/>
          <w:numId w:val="2"/>
        </w:numPr>
        <w:spacing w:line="360" w:lineRule="auto"/>
        <w:ind w:firstLine="422" w:firstLineChars="200"/>
        <w:outlineLvl w:val="3"/>
        <w:rPr>
          <w:rFonts w:ascii="宋体" w:hAnsi="宋体" w:eastAsia="宋体" w:cs="宋体"/>
          <w:b/>
          <w:color w:val="auto"/>
          <w:szCs w:val="21"/>
          <w:highlight w:val="none"/>
        </w:rPr>
      </w:pPr>
      <w:r>
        <w:rPr>
          <w:rFonts w:hint="eastAsia" w:ascii="宋体" w:hAnsi="宋体" w:eastAsia="宋体" w:cs="宋体"/>
          <w:b/>
          <w:color w:val="auto"/>
          <w:szCs w:val="21"/>
          <w:highlight w:val="none"/>
        </w:rPr>
        <w:t>电气安装要求</w:t>
      </w:r>
    </w:p>
    <w:p w14:paraId="3FF5F171">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（1）光伏电站必须在逆变器输出汇总点设置易于操作、可闭锁、且具有明显断开点的并网总断路器，以保证电力设备检修维护人员的人身安全。</w:t>
      </w:r>
    </w:p>
    <w:p w14:paraId="2F8CF3C3">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（2）光伏电站和并网点设备的防雷和接地应符合当地供电部门规定要求，光伏电站接地网接地电阻合格，接地电阻应按规定周期进行测试。</w:t>
      </w:r>
    </w:p>
    <w:p w14:paraId="1E84DB0F">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光伏电站或电网异常、故障时为保护设备和人身安全，应具有相应继电保护功能，保护电网和光伏设备的安全运行，确保维护人员和公众人身安全。光伏电站的保护应符合当地供电部门规定的可靠性、选择性、灵活性和速动性的要求。</w:t>
      </w:r>
    </w:p>
    <w:p w14:paraId="5B44BD11">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（4）光伏电站的过流与短路保护、防孤岛能力、逆变器保护、恢复并网等应满足当地供电部门规定的要求。</w:t>
      </w:r>
    </w:p>
    <w:p w14:paraId="59D2D70C">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（5）光伏电站的二次用直流系统的设计配置及蓄电池的放电容量应符合相关规程的技术要求。</w:t>
      </w:r>
    </w:p>
    <w:p w14:paraId="31932822">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（6）光伏电站的电能质量满足规程要求，电压谐波和波形畸变、电压偏差、电压波动和闪变、电压不平衡度、直流分量在规定的范围内，保证功率因素在0.98以上。</w:t>
      </w:r>
    </w:p>
    <w:p w14:paraId="66D03243">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（7）光伏电站的安全自动装置应按国家规定配置齐全。</w:t>
      </w:r>
    </w:p>
    <w:p w14:paraId="148AF73E">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（8）直流部分和交流低压部分的总线路损耗应控制在2%以内。</w:t>
      </w:r>
    </w:p>
    <w:p w14:paraId="6405F9CE">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（9）配线线槽在建筑物上的布置应美观，与整个建筑协调一致，布线应隐蔽，从底部不能明显的看到线缆。各方阵的线缆便于连接，并有足够的强度，线缆连接附件应防水、抗老化。</w:t>
      </w:r>
    </w:p>
    <w:p w14:paraId="2FAB9EB7">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（10）直流侧电缆要以减少线损并防止外界干扰的原则选型，选用双绝缘防紫外线阻燃铜芯电缆，电缆性能符合《橡胶和塑料软管 实验室光源暴露试验法 颜色、外观和其他物理性能变化的测定》（GB/T18950-2023）性能测试的要求；交流侧需要考虑敷设的形式和安全来选择，应采用铜芯阻燃5芯电缆，若涉及埋管电缆须采用铠装。</w:t>
      </w:r>
    </w:p>
    <w:p w14:paraId="3B434999">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（11）电缆要采用铜芯电缆，其中直流电缆采用中国质量中心认证的光伏专用电缆，能满足室外30年的使用年限。光伏线缆 MC4 插头制作应严格按规范进行，各类线缆不能裸露。</w:t>
      </w:r>
    </w:p>
    <w:p w14:paraId="615C3F76">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（12）所有线缆敷设完成后，应进行直流电阻、绝缘电阻、直流耐压/交流耐压试验，并形成记录。</w:t>
      </w:r>
    </w:p>
    <w:p w14:paraId="2413EDBC">
      <w:pPr>
        <w:spacing w:line="360" w:lineRule="auto"/>
        <w:ind w:firstLine="422" w:firstLineChars="200"/>
        <w:outlineLvl w:val="2"/>
        <w:rPr>
          <w:rFonts w:ascii="宋体" w:hAnsi="宋体" w:eastAsia="宋体" w:cs="宋体"/>
          <w:b/>
          <w:bCs/>
          <w:color w:val="auto"/>
          <w:szCs w:val="21"/>
          <w:highlight w:val="none"/>
        </w:rPr>
      </w:pPr>
      <w:r>
        <w:rPr>
          <w:rFonts w:hint="eastAsia" w:ascii="宋体" w:hAnsi="宋体" w:eastAsia="宋体" w:cs="宋体"/>
          <w:b/>
          <w:bCs/>
          <w:color w:val="auto"/>
          <w:szCs w:val="21"/>
          <w:highlight w:val="none"/>
        </w:rPr>
        <w:t>7、防雷系统技术要求</w:t>
      </w:r>
    </w:p>
    <w:p w14:paraId="5B33F024">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（1）光伏系统的防雷设计，应满足雷电防护分区、分级确定的防雷等级要求。各连接点的连接 电阻应小于4Ω。接地网的制作应符合国家相关规范要求。屋顶必须有等电位接地地网作为接地连接。防雷接地设施符合国家《建筑物防雷设计规范》（GB50057-2010）。</w:t>
      </w:r>
    </w:p>
    <w:p w14:paraId="4AD365E2">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（2）提供的并网逆变器安全可靠，能确保25年内有效防止光伏组件PID现象的发生。</w:t>
      </w:r>
    </w:p>
    <w:p w14:paraId="0D10A478">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（3）带边框的光伏太阳能组件防雷接地要牢靠，并网逆变器将外壳可靠接地，避雷针、避雷扁钢、接地线及接地级要符合规范要求。</w:t>
      </w:r>
    </w:p>
    <w:p w14:paraId="1CBFA50E">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（4）组件与组件之间、组件与导轨之间需用接地线连接，线槽需做好等电位连接与接地。</w:t>
      </w:r>
    </w:p>
    <w:p w14:paraId="37C3C89F">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光伏组件作为建筑一部分，本身要具备很好的防雷措施，能够与建筑物的防雷带有很明显的防雷连接点。在并网逆变器、交流汇流箱，光伏并网柜都应该有分级别的防雷防浪涌保护模块，保护相关的电气设备和线路。</w:t>
      </w:r>
    </w:p>
    <w:p w14:paraId="386983F6">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（5）防雷系统完成后由中标人委托具备防雷检测CMA、CNAS资质认证的第三方检测单位进行防雷检测工作，出具加盖CMA或CNAS章的检测报告。</w:t>
      </w:r>
    </w:p>
    <w:p w14:paraId="6C41AF77">
      <w:pPr>
        <w:spacing w:line="360" w:lineRule="auto"/>
        <w:ind w:firstLine="422" w:firstLineChars="200"/>
        <w:outlineLvl w:val="2"/>
        <w:rPr>
          <w:rFonts w:ascii="宋体" w:hAnsi="宋体" w:eastAsia="宋体" w:cs="宋体"/>
          <w:b/>
          <w:bCs/>
          <w:color w:val="auto"/>
          <w:szCs w:val="21"/>
          <w:highlight w:val="none"/>
        </w:rPr>
      </w:pPr>
      <w:r>
        <w:rPr>
          <w:rFonts w:hint="eastAsia" w:ascii="宋体" w:hAnsi="宋体" w:eastAsia="宋体" w:cs="宋体"/>
          <w:b/>
          <w:bCs/>
          <w:color w:val="auto"/>
          <w:szCs w:val="21"/>
          <w:highlight w:val="none"/>
        </w:rPr>
        <w:t>8、视频监控系统技术要求</w:t>
      </w:r>
    </w:p>
    <w:p w14:paraId="4AF6AAA8">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（1）本项目中系统监控管理由投标人提供，投标人负责安装调试及配合招标人后期维护。</w:t>
      </w:r>
    </w:p>
    <w:p w14:paraId="1954B266">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（2）视频监控采用高清光口网络摄像机加光口高速摄像机的模式，招标人能通过投标人提供的网络地址或软件对光伏电站进行实时远程监控，图像分辨率达到2560×1440以上，镜头变倍≥20 倍光学变焦，能够分辨出设备的外观及运行状态、识别出人员车辆等，防护等级要求达到IP67，TVS 8000V防雷、防浪涌、防突波，具有红外夜视功能，夜视距离≥150 米，使用先进的压缩编码技术，视频图像直接在前端进行压缩，通过网络传输回电站监控室，避免外界电磁场对图像的影响。</w:t>
      </w:r>
    </w:p>
    <w:p w14:paraId="596BAF4E">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视频监控系统既支持光伏电站全景展示又能进行细节展示，对于重要设备还具有从多个摄像机进行多角度监视的功能，同时实时图像自动复位，即可对发电阵列内可旋转的摄像机设定默认监视位置，正常状态下摄像机保持默认位置；在控制完成后自动恢复到默认监视位置。</w:t>
      </w:r>
    </w:p>
    <w:p w14:paraId="138138BB">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项目通电并网后投标人必须负责为招标人技术员注册APP视频监控软件，软件长期有效且可免费升级，并将光伏电站现场实时监测数据联通传送至招标人指定的数据控制中心PC端，实现集中监控，具体要求如下：</w:t>
      </w:r>
    </w:p>
    <w:tbl>
      <w:tblPr>
        <w:tblStyle w:val="216"/>
        <w:tblW w:w="5046"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76"/>
        <w:gridCol w:w="2680"/>
        <w:gridCol w:w="6302"/>
      </w:tblGrid>
      <w:tr w14:paraId="26D9B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622" w:type="pct"/>
            <w:tcBorders>
              <w:top w:val="single" w:color="auto" w:sz="4" w:space="0"/>
              <w:left w:val="single" w:color="auto" w:sz="4" w:space="0"/>
              <w:bottom w:val="single" w:color="auto" w:sz="4" w:space="0"/>
              <w:right w:val="single" w:color="auto" w:sz="4" w:space="0"/>
            </w:tcBorders>
            <w:vAlign w:val="center"/>
          </w:tcPr>
          <w:p w14:paraId="3E93855C">
            <w:pPr>
              <w:autoSpaceDE/>
              <w:autoSpaceDN/>
              <w:spacing w:line="360" w:lineRule="auto"/>
              <w:jc w:val="center"/>
              <w:rPr>
                <w:rFonts w:ascii="宋体" w:hAnsi="宋体" w:eastAsia="宋体" w:cs="宋体"/>
                <w:b/>
                <w:bCs/>
                <w:color w:val="auto"/>
                <w:szCs w:val="21"/>
                <w:highlight w:val="none"/>
                <w:lang w:eastAsia="en-US"/>
              </w:rPr>
            </w:pPr>
            <w:r>
              <w:rPr>
                <w:rFonts w:hint="eastAsia" w:ascii="宋体" w:hAnsi="宋体" w:eastAsia="宋体" w:cs="宋体"/>
                <w:b/>
                <w:bCs/>
                <w:color w:val="auto"/>
                <w:spacing w:val="-5"/>
                <w:szCs w:val="21"/>
                <w:highlight w:val="none"/>
                <w:lang w:eastAsia="en-US"/>
              </w:rPr>
              <w:t>区</w:t>
            </w:r>
            <w:r>
              <w:rPr>
                <w:rFonts w:hint="eastAsia" w:ascii="宋体" w:hAnsi="宋体" w:eastAsia="宋体" w:cs="宋体"/>
                <w:b/>
                <w:bCs/>
                <w:color w:val="auto"/>
                <w:spacing w:val="-3"/>
                <w:szCs w:val="21"/>
                <w:highlight w:val="none"/>
                <w:lang w:eastAsia="en-US"/>
              </w:rPr>
              <w:t>域</w:t>
            </w:r>
          </w:p>
        </w:tc>
        <w:tc>
          <w:tcPr>
            <w:tcW w:w="1306" w:type="pct"/>
            <w:tcBorders>
              <w:top w:val="single" w:color="auto" w:sz="4" w:space="0"/>
              <w:left w:val="single" w:color="auto" w:sz="4" w:space="0"/>
              <w:bottom w:val="single" w:color="auto" w:sz="4" w:space="0"/>
              <w:right w:val="single" w:color="auto" w:sz="4" w:space="0"/>
            </w:tcBorders>
            <w:vAlign w:val="center"/>
          </w:tcPr>
          <w:p w14:paraId="1BF8FA49">
            <w:pPr>
              <w:autoSpaceDE/>
              <w:autoSpaceDN/>
              <w:spacing w:line="360" w:lineRule="auto"/>
              <w:jc w:val="center"/>
              <w:rPr>
                <w:rFonts w:ascii="宋体" w:hAnsi="宋体" w:eastAsia="宋体" w:cs="宋体"/>
                <w:b/>
                <w:bCs/>
                <w:color w:val="auto"/>
                <w:szCs w:val="21"/>
                <w:highlight w:val="none"/>
                <w:lang w:eastAsia="en-US"/>
              </w:rPr>
            </w:pPr>
            <w:r>
              <w:rPr>
                <w:rFonts w:hint="eastAsia" w:ascii="宋体" w:hAnsi="宋体" w:eastAsia="宋体" w:cs="宋体"/>
                <w:b/>
                <w:bCs/>
                <w:color w:val="auto"/>
                <w:spacing w:val="8"/>
                <w:szCs w:val="21"/>
                <w:highlight w:val="none"/>
                <w:lang w:eastAsia="en-US"/>
              </w:rPr>
              <w:t>摄像头数量</w:t>
            </w:r>
          </w:p>
        </w:tc>
        <w:tc>
          <w:tcPr>
            <w:tcW w:w="3071" w:type="pct"/>
            <w:tcBorders>
              <w:top w:val="single" w:color="auto" w:sz="4" w:space="0"/>
              <w:left w:val="single" w:color="auto" w:sz="4" w:space="0"/>
              <w:bottom w:val="single" w:color="auto" w:sz="4" w:space="0"/>
              <w:right w:val="single" w:color="auto" w:sz="4" w:space="0"/>
            </w:tcBorders>
            <w:vAlign w:val="center"/>
          </w:tcPr>
          <w:p w14:paraId="100E9474">
            <w:pPr>
              <w:autoSpaceDE/>
              <w:autoSpaceDN/>
              <w:spacing w:line="360" w:lineRule="auto"/>
              <w:jc w:val="center"/>
              <w:rPr>
                <w:rFonts w:ascii="宋体" w:hAnsi="宋体" w:eastAsia="宋体" w:cs="宋体"/>
                <w:b/>
                <w:bCs/>
                <w:color w:val="auto"/>
                <w:szCs w:val="21"/>
                <w:highlight w:val="none"/>
                <w:lang w:eastAsia="en-US"/>
              </w:rPr>
            </w:pPr>
            <w:r>
              <w:rPr>
                <w:rFonts w:hint="eastAsia" w:ascii="宋体" w:hAnsi="宋体" w:eastAsia="宋体" w:cs="宋体"/>
                <w:b/>
                <w:bCs/>
                <w:color w:val="auto"/>
                <w:spacing w:val="4"/>
                <w:szCs w:val="21"/>
                <w:highlight w:val="none"/>
                <w:lang w:eastAsia="en-US"/>
              </w:rPr>
              <w:t>技术</w:t>
            </w:r>
          </w:p>
        </w:tc>
      </w:tr>
      <w:tr w14:paraId="766EB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7" w:hRule="atLeast"/>
          <w:jc w:val="center"/>
        </w:trPr>
        <w:tc>
          <w:tcPr>
            <w:tcW w:w="622" w:type="pct"/>
            <w:tcBorders>
              <w:top w:val="single" w:color="auto" w:sz="4" w:space="0"/>
              <w:left w:val="single" w:color="auto" w:sz="4" w:space="0"/>
              <w:bottom w:val="single" w:color="auto" w:sz="4" w:space="0"/>
              <w:right w:val="single" w:color="auto" w:sz="4" w:space="0"/>
            </w:tcBorders>
            <w:vAlign w:val="center"/>
          </w:tcPr>
          <w:p w14:paraId="78DE45EC">
            <w:pPr>
              <w:autoSpaceDE/>
              <w:autoSpaceDN/>
              <w:spacing w:line="360" w:lineRule="auto"/>
              <w:jc w:val="center"/>
              <w:rPr>
                <w:rFonts w:ascii="宋体" w:hAnsi="宋体" w:eastAsia="宋体" w:cs="宋体"/>
                <w:color w:val="auto"/>
                <w:szCs w:val="21"/>
                <w:highlight w:val="none"/>
                <w:lang w:eastAsia="en-US"/>
              </w:rPr>
            </w:pPr>
            <w:r>
              <w:rPr>
                <w:rFonts w:hint="eastAsia" w:ascii="宋体" w:hAnsi="宋体" w:eastAsia="宋体" w:cs="宋体"/>
                <w:color w:val="auto"/>
                <w:spacing w:val="4"/>
                <w:szCs w:val="21"/>
                <w:highlight w:val="none"/>
                <w:lang w:eastAsia="en-US"/>
              </w:rPr>
              <w:t>光伏组件</w:t>
            </w:r>
          </w:p>
        </w:tc>
        <w:tc>
          <w:tcPr>
            <w:tcW w:w="1306" w:type="pct"/>
            <w:vMerge w:val="restart"/>
            <w:tcBorders>
              <w:top w:val="single" w:color="auto" w:sz="4" w:space="0"/>
              <w:left w:val="single" w:color="auto" w:sz="4" w:space="0"/>
              <w:bottom w:val="single" w:color="auto" w:sz="4" w:space="0"/>
              <w:right w:val="single" w:color="auto" w:sz="4" w:space="0"/>
            </w:tcBorders>
            <w:vAlign w:val="center"/>
          </w:tcPr>
          <w:p w14:paraId="6E3805FB">
            <w:pPr>
              <w:autoSpaceDE/>
              <w:autoSpaceDN/>
              <w:spacing w:line="360" w:lineRule="auto"/>
              <w:ind w:right="203"/>
              <w:jc w:val="left"/>
              <w:rPr>
                <w:rFonts w:ascii="宋体" w:hAnsi="宋体" w:eastAsia="宋体" w:cs="宋体"/>
                <w:color w:val="auto"/>
                <w:szCs w:val="21"/>
                <w:highlight w:val="none"/>
                <w:lang w:eastAsia="zh-CN"/>
              </w:rPr>
            </w:pPr>
            <w:r>
              <w:rPr>
                <w:rFonts w:hint="eastAsia" w:ascii="宋体" w:hAnsi="宋体" w:eastAsia="宋体" w:cs="宋体"/>
                <w:color w:val="auto"/>
                <w:spacing w:val="-4"/>
                <w:szCs w:val="21"/>
                <w:highlight w:val="none"/>
                <w:lang w:eastAsia="zh-CN"/>
              </w:rPr>
              <w:t>1.</w:t>
            </w:r>
            <w:r>
              <w:rPr>
                <w:rFonts w:hint="eastAsia" w:ascii="宋体" w:hAnsi="宋体" w:eastAsia="宋体" w:cs="宋体"/>
                <w:color w:val="auto"/>
                <w:szCs w:val="21"/>
                <w:highlight w:val="none"/>
                <w:lang w:eastAsia="zh-CN"/>
              </w:rPr>
              <w:t>根据现场及招标人意见调整；</w:t>
            </w:r>
          </w:p>
          <w:p w14:paraId="2CB4733B">
            <w:pPr>
              <w:autoSpaceDE/>
              <w:autoSpaceDN/>
              <w:spacing w:line="360" w:lineRule="auto"/>
              <w:ind w:right="203"/>
              <w:jc w:val="left"/>
              <w:rPr>
                <w:rFonts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2.视频监控画面必须覆盖所有光伏组件、逆变器区域，不得存在盲区。</w:t>
            </w:r>
          </w:p>
        </w:tc>
        <w:tc>
          <w:tcPr>
            <w:tcW w:w="3071" w:type="pct"/>
            <w:vMerge w:val="restart"/>
            <w:tcBorders>
              <w:top w:val="single" w:color="auto" w:sz="4" w:space="0"/>
              <w:left w:val="single" w:color="auto" w:sz="4" w:space="0"/>
              <w:bottom w:val="single" w:color="auto" w:sz="4" w:space="0"/>
              <w:right w:val="single" w:color="auto" w:sz="4" w:space="0"/>
            </w:tcBorders>
            <w:vAlign w:val="center"/>
          </w:tcPr>
          <w:p w14:paraId="02110621">
            <w:pPr>
              <w:autoSpaceDE/>
              <w:autoSpaceDN/>
              <w:spacing w:line="360" w:lineRule="auto"/>
              <w:ind w:right="203"/>
              <w:rPr>
                <w:rFonts w:ascii="宋体" w:hAnsi="宋体" w:eastAsia="宋体" w:cs="宋体"/>
                <w:color w:val="auto"/>
                <w:spacing w:val="-4"/>
                <w:szCs w:val="21"/>
                <w:highlight w:val="none"/>
                <w:lang w:eastAsia="zh-CN"/>
              </w:rPr>
            </w:pPr>
            <w:r>
              <w:rPr>
                <w:rFonts w:hint="eastAsia" w:ascii="宋体" w:hAnsi="宋体" w:eastAsia="宋体" w:cs="宋体"/>
                <w:color w:val="auto"/>
                <w:spacing w:val="-4"/>
                <w:szCs w:val="21"/>
                <w:highlight w:val="none"/>
                <w:lang w:eastAsia="zh-CN"/>
              </w:rPr>
              <w:t>1.</w:t>
            </w:r>
            <w:r>
              <w:rPr>
                <w:rFonts w:hint="eastAsia" w:ascii="宋体" w:hAnsi="宋体" w:eastAsia="宋体" w:cs="宋体"/>
                <w:color w:val="auto"/>
                <w:spacing w:val="-4"/>
                <w:sz w:val="21"/>
                <w:szCs w:val="21"/>
                <w:highlight w:val="none"/>
              </w:rPr>
              <w:t>支持使用4G/5G卡，</w:t>
            </w:r>
            <w:r>
              <w:rPr>
                <w:rFonts w:hint="eastAsia" w:ascii="宋体" w:hAnsi="宋体" w:eastAsia="宋体" w:cs="宋体"/>
                <w:color w:val="auto"/>
                <w:spacing w:val="-4"/>
                <w:sz w:val="21"/>
                <w:szCs w:val="21"/>
                <w:highlight w:val="none"/>
                <w:lang w:val="en-US" w:eastAsia="zh-CN"/>
              </w:rPr>
              <w:t>含</w:t>
            </w:r>
            <w:r>
              <w:rPr>
                <w:rFonts w:hint="eastAsia" w:ascii="宋体" w:hAnsi="宋体" w:eastAsia="宋体" w:cs="宋体"/>
                <w:color w:val="auto"/>
                <w:spacing w:val="-4"/>
                <w:sz w:val="21"/>
                <w:szCs w:val="21"/>
                <w:highlight w:val="none"/>
              </w:rPr>
              <w:t>1年流量包</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lang w:val="en-US" w:eastAsia="zh-CN"/>
              </w:rPr>
              <w:t>设备具备插卡功能</w:t>
            </w:r>
            <w:r>
              <w:rPr>
                <w:rFonts w:hint="eastAsia" w:ascii="宋体" w:hAnsi="宋体" w:eastAsia="宋体" w:cs="宋体"/>
                <w:color w:val="auto"/>
                <w:spacing w:val="-4"/>
                <w:sz w:val="21"/>
                <w:szCs w:val="21"/>
                <w:highlight w:val="none"/>
              </w:rPr>
              <w:t>；</w:t>
            </w:r>
          </w:p>
          <w:p w14:paraId="19CFBFCB">
            <w:pPr>
              <w:autoSpaceDE/>
              <w:autoSpaceDN/>
              <w:spacing w:line="360" w:lineRule="auto"/>
              <w:ind w:right="203"/>
              <w:rPr>
                <w:rFonts w:ascii="宋体" w:hAnsi="宋体" w:eastAsia="宋体" w:cs="宋体"/>
                <w:color w:val="auto"/>
                <w:spacing w:val="-4"/>
                <w:szCs w:val="21"/>
                <w:highlight w:val="none"/>
                <w:lang w:eastAsia="zh-CN"/>
              </w:rPr>
            </w:pPr>
            <w:r>
              <w:rPr>
                <w:rFonts w:hint="eastAsia" w:ascii="宋体" w:hAnsi="宋体" w:eastAsia="宋体" w:cs="宋体"/>
                <w:color w:val="auto"/>
                <w:spacing w:val="-4"/>
                <w:szCs w:val="21"/>
                <w:highlight w:val="none"/>
                <w:lang w:eastAsia="zh-CN"/>
              </w:rPr>
              <w:t>2.支持手机远程监控，TF卡容量不小于256G，所有监控数据要保留1个月以上；</w:t>
            </w:r>
          </w:p>
          <w:p w14:paraId="51F78BD6">
            <w:pPr>
              <w:autoSpaceDE/>
              <w:autoSpaceDN/>
              <w:spacing w:line="360" w:lineRule="auto"/>
              <w:ind w:right="203"/>
              <w:rPr>
                <w:rFonts w:ascii="宋体" w:hAnsi="宋体" w:eastAsia="宋体" w:cs="宋体"/>
                <w:color w:val="auto"/>
                <w:spacing w:val="-4"/>
                <w:szCs w:val="21"/>
                <w:highlight w:val="none"/>
                <w:lang w:eastAsia="zh-CN"/>
              </w:rPr>
            </w:pPr>
            <w:r>
              <w:rPr>
                <w:rFonts w:hint="eastAsia" w:ascii="宋体" w:hAnsi="宋体" w:eastAsia="宋体" w:cs="宋体"/>
                <w:color w:val="auto"/>
                <w:spacing w:val="-4"/>
                <w:szCs w:val="21"/>
                <w:highlight w:val="none"/>
                <w:lang w:eastAsia="zh-CN"/>
              </w:rPr>
              <w:t>3.视频摄像头为高清、具有夜视功能，支持移动侦测报警；</w:t>
            </w:r>
          </w:p>
          <w:p w14:paraId="6C1FCB01">
            <w:pPr>
              <w:autoSpaceDE/>
              <w:autoSpaceDN/>
              <w:spacing w:line="360" w:lineRule="auto"/>
              <w:ind w:right="203"/>
              <w:rPr>
                <w:rFonts w:ascii="宋体" w:hAnsi="宋体" w:eastAsia="宋体" w:cs="宋体"/>
                <w:color w:val="auto"/>
                <w:spacing w:val="-4"/>
                <w:szCs w:val="21"/>
                <w:highlight w:val="none"/>
                <w:lang w:eastAsia="zh-CN"/>
              </w:rPr>
            </w:pPr>
            <w:r>
              <w:rPr>
                <w:rFonts w:hint="eastAsia" w:ascii="宋体" w:hAnsi="宋体" w:eastAsia="宋体" w:cs="宋体"/>
                <w:color w:val="auto"/>
                <w:spacing w:val="-4"/>
                <w:szCs w:val="21"/>
                <w:highlight w:val="none"/>
                <w:lang w:eastAsia="zh-CN"/>
              </w:rPr>
              <w:t>4.视频监控电源需引自市电，若配置室外立杆需可靠接地并不造成光伏组件阴影遮挡；</w:t>
            </w:r>
          </w:p>
          <w:p w14:paraId="44DF555C">
            <w:pPr>
              <w:autoSpaceDE/>
              <w:autoSpaceDN/>
              <w:spacing w:line="360" w:lineRule="auto"/>
              <w:ind w:right="203"/>
              <w:rPr>
                <w:rFonts w:ascii="宋体" w:hAnsi="宋体" w:eastAsia="宋体" w:cs="宋体"/>
                <w:color w:val="auto"/>
                <w:spacing w:val="-4"/>
                <w:szCs w:val="21"/>
                <w:highlight w:val="none"/>
                <w:lang w:eastAsia="zh-CN"/>
              </w:rPr>
            </w:pPr>
            <w:r>
              <w:rPr>
                <w:rFonts w:hint="eastAsia" w:ascii="宋体" w:hAnsi="宋体" w:eastAsia="宋体" w:cs="宋体"/>
                <w:color w:val="auto"/>
                <w:spacing w:val="-4"/>
                <w:szCs w:val="21"/>
                <w:highlight w:val="none"/>
                <w:lang w:eastAsia="zh-CN"/>
              </w:rPr>
              <w:t>5.所有摄像头均可360°自由转动巡检；</w:t>
            </w:r>
          </w:p>
          <w:p w14:paraId="32E6ECE2">
            <w:pPr>
              <w:autoSpaceDE/>
              <w:autoSpaceDN/>
              <w:spacing w:line="360" w:lineRule="auto"/>
              <w:ind w:right="203"/>
              <w:rPr>
                <w:rFonts w:ascii="宋体" w:hAnsi="宋体" w:eastAsia="宋体" w:cs="宋体"/>
                <w:color w:val="auto"/>
                <w:szCs w:val="21"/>
                <w:highlight w:val="none"/>
                <w:lang w:eastAsia="zh-CN"/>
              </w:rPr>
            </w:pPr>
            <w:r>
              <w:rPr>
                <w:rFonts w:hint="eastAsia" w:ascii="宋体" w:hAnsi="宋体" w:eastAsia="宋体" w:cs="宋体"/>
                <w:color w:val="auto"/>
                <w:spacing w:val="-4"/>
                <w:szCs w:val="21"/>
                <w:highlight w:val="none"/>
                <w:lang w:eastAsia="zh-CN"/>
              </w:rPr>
              <w:t>6.提供标准/开放的协议和接口，由招标人实现集成整合应用。</w:t>
            </w:r>
          </w:p>
        </w:tc>
      </w:tr>
      <w:tr w14:paraId="3CEA2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jc w:val="center"/>
        </w:trPr>
        <w:tc>
          <w:tcPr>
            <w:tcW w:w="622" w:type="pct"/>
            <w:tcBorders>
              <w:top w:val="single" w:color="auto" w:sz="4" w:space="0"/>
            </w:tcBorders>
            <w:vAlign w:val="center"/>
          </w:tcPr>
          <w:p w14:paraId="559B67BE">
            <w:pPr>
              <w:autoSpaceDE/>
              <w:autoSpaceDN/>
              <w:spacing w:line="360" w:lineRule="auto"/>
              <w:jc w:val="center"/>
              <w:rPr>
                <w:rFonts w:ascii="宋体" w:hAnsi="宋体" w:eastAsia="宋体" w:cs="宋体"/>
                <w:color w:val="auto"/>
                <w:szCs w:val="21"/>
                <w:highlight w:val="none"/>
                <w:lang w:eastAsia="en-US"/>
              </w:rPr>
            </w:pPr>
            <w:r>
              <w:rPr>
                <w:rFonts w:hint="eastAsia" w:ascii="宋体" w:hAnsi="宋体" w:eastAsia="宋体" w:cs="宋体"/>
                <w:color w:val="auto"/>
                <w:spacing w:val="7"/>
                <w:szCs w:val="21"/>
                <w:highlight w:val="none"/>
                <w:lang w:eastAsia="en-US"/>
              </w:rPr>
              <w:t>并网逆变器</w:t>
            </w:r>
          </w:p>
        </w:tc>
        <w:tc>
          <w:tcPr>
            <w:tcW w:w="1306" w:type="pct"/>
            <w:vMerge w:val="continue"/>
            <w:tcBorders>
              <w:top w:val="single" w:color="auto" w:sz="4" w:space="0"/>
            </w:tcBorders>
            <w:vAlign w:val="center"/>
          </w:tcPr>
          <w:p w14:paraId="5A6DAF09">
            <w:pPr>
              <w:autoSpaceDE/>
              <w:autoSpaceDN/>
              <w:spacing w:line="360" w:lineRule="auto"/>
              <w:jc w:val="center"/>
              <w:rPr>
                <w:rFonts w:ascii="宋体" w:hAnsi="宋体" w:eastAsia="宋体" w:cs="宋体"/>
                <w:color w:val="auto"/>
                <w:szCs w:val="21"/>
                <w:highlight w:val="none"/>
                <w:lang w:eastAsia="en-US"/>
              </w:rPr>
            </w:pPr>
          </w:p>
        </w:tc>
        <w:tc>
          <w:tcPr>
            <w:tcW w:w="3071" w:type="pct"/>
            <w:vMerge w:val="continue"/>
            <w:tcBorders>
              <w:top w:val="single" w:color="auto" w:sz="4" w:space="0"/>
              <w:right w:val="single" w:color="auto" w:sz="4" w:space="0"/>
            </w:tcBorders>
            <w:vAlign w:val="center"/>
          </w:tcPr>
          <w:p w14:paraId="1E2F57A2">
            <w:pPr>
              <w:autoSpaceDE/>
              <w:autoSpaceDN/>
              <w:spacing w:line="360" w:lineRule="auto"/>
              <w:jc w:val="center"/>
              <w:rPr>
                <w:rFonts w:ascii="宋体" w:hAnsi="宋体" w:eastAsia="宋体" w:cs="宋体"/>
                <w:color w:val="auto"/>
                <w:szCs w:val="21"/>
                <w:highlight w:val="none"/>
                <w:lang w:eastAsia="en-US"/>
              </w:rPr>
            </w:pPr>
          </w:p>
        </w:tc>
      </w:tr>
    </w:tbl>
    <w:p w14:paraId="499CDFA6">
      <w:pPr>
        <w:pStyle w:val="20"/>
        <w:autoSpaceDE/>
        <w:autoSpaceDN/>
        <w:adjustRightInd/>
        <w:spacing w:line="360" w:lineRule="auto"/>
        <w:ind w:right="-28" w:firstLine="422" w:firstLineChars="200"/>
        <w:jc w:val="left"/>
        <w:rPr>
          <w:rFonts w:hAnsi="宋体" w:cs="宋体"/>
          <w:color w:val="auto"/>
          <w:sz w:val="21"/>
          <w:szCs w:val="21"/>
          <w:highlight w:val="none"/>
          <w:lang w:val="en-US"/>
        </w:rPr>
      </w:pPr>
      <w:r>
        <w:rPr>
          <w:rFonts w:hint="eastAsia" w:hAnsi="宋体" w:cs="宋体"/>
          <w:color w:val="auto"/>
          <w:sz w:val="21"/>
          <w:szCs w:val="21"/>
          <w:highlight w:val="none"/>
          <w:lang w:val="en-US"/>
        </w:rPr>
        <w:t>(5)中标人须在项目进场施工后7天内按以上要求完成所有区域视频监控的安装投运和移交，确保视频监控系统正常运行。</w:t>
      </w:r>
    </w:p>
    <w:p w14:paraId="55A3C604">
      <w:pPr>
        <w:widowControl/>
        <w:numPr>
          <w:ilvl w:val="255"/>
          <w:numId w:val="0"/>
        </w:numPr>
        <w:spacing w:line="360" w:lineRule="auto"/>
        <w:ind w:firstLine="90"/>
        <w:rPr>
          <w:rFonts w:ascii="宋体" w:hAnsi="宋体" w:eastAsia="宋体" w:cs="宋体"/>
          <w:b/>
          <w:color w:val="auto"/>
          <w:szCs w:val="21"/>
          <w:highlight w:val="none"/>
        </w:rPr>
      </w:pPr>
      <w:r>
        <w:rPr>
          <w:rFonts w:hint="eastAsia" w:ascii="宋体" w:hAnsi="宋体" w:eastAsia="宋体" w:cs="宋体"/>
          <w:b/>
          <w:color w:val="auto"/>
          <w:szCs w:val="21"/>
          <w:highlight w:val="none"/>
        </w:rPr>
        <w:t>六</w:t>
      </w:r>
      <w:r>
        <w:rPr>
          <w:rFonts w:ascii="宋体" w:hAnsi="宋体" w:eastAsia="宋体" w:cs="宋体"/>
          <w:b/>
          <w:color w:val="auto"/>
          <w:szCs w:val="21"/>
          <w:highlight w:val="none"/>
        </w:rPr>
        <w:t>、质量及安全保障</w:t>
      </w:r>
    </w:p>
    <w:p w14:paraId="649C2C09">
      <w:pPr>
        <w:wordWrap w:val="0"/>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1、质量要求</w:t>
      </w:r>
    </w:p>
    <w:p w14:paraId="60450C73">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（1）达到国家或光伏、电力行业质量检验评定的</w:t>
      </w:r>
      <w:r>
        <w:rPr>
          <w:rFonts w:hint="eastAsia" w:ascii="宋体" w:hAnsi="宋体" w:eastAsia="宋体" w:cs="宋体"/>
          <w:color w:val="auto"/>
          <w:szCs w:val="21"/>
          <w:highlight w:val="none"/>
          <w:u w:val="single"/>
        </w:rPr>
        <w:t xml:space="preserve"> 合格 </w:t>
      </w:r>
      <w:r>
        <w:rPr>
          <w:rFonts w:hint="eastAsia" w:ascii="宋体" w:hAnsi="宋体" w:eastAsia="宋体" w:cs="宋体"/>
          <w:color w:val="auto"/>
          <w:szCs w:val="21"/>
          <w:highlight w:val="none"/>
        </w:rPr>
        <w:t>标准。</w:t>
      </w:r>
    </w:p>
    <w:p w14:paraId="618FAEE9">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（2）建立健全质量保证体系，并保证其正常运作。</w:t>
      </w:r>
    </w:p>
    <w:p w14:paraId="55CB459A">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（3）加强安装调试过程控制，设专人对安装质量进行跟踪检查。</w:t>
      </w:r>
    </w:p>
    <w:p w14:paraId="14A03B06">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（4）对项目质量的检查严格执行三检制（自检、互检、专检）。</w:t>
      </w:r>
    </w:p>
    <w:p w14:paraId="27E5B88F">
      <w:pPr>
        <w:wordWrap w:val="0"/>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2、安全保证措施</w:t>
      </w:r>
    </w:p>
    <w:p w14:paraId="57CD8438">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（1）建立安全生产体系，制定详细的安全保证措施，加强安全管理，保证安全生产无事故。</w:t>
      </w:r>
    </w:p>
    <w:p w14:paraId="379ECEE6">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（2）项目现场的布置符合防火、防爆、防雷电等安全规定及文明施工的要求。项目现场生活办公用房、仓库、材料堆放场按批准的总平面布置图进行布置。</w:t>
      </w:r>
    </w:p>
    <w:p w14:paraId="40841FA2">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（3）现场道路保持畅通，危险地点悬挂安全警示标牌，项目现场设置安全宣传标语。</w:t>
      </w:r>
    </w:p>
    <w:p w14:paraId="5D709B49">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（4）各类房屋、库棚、料场等安全消防距离符合有关规定，现场易燃杂物随时清理，严禁在有火种的场所或其近旁堆放易燃物品。</w:t>
      </w:r>
    </w:p>
    <w:p w14:paraId="2A5757AB">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（5）成品保护措施：脆弱屋面在实施前应采集承载数据，经结构荷载计算光伏荷载≤0.71KN/m</w:t>
      </w:r>
      <w:r>
        <w:rPr>
          <w:rFonts w:hint="eastAsia" w:ascii="宋体" w:hAnsi="宋体" w:eastAsia="宋体" w:cs="宋体"/>
          <w:color w:val="auto"/>
          <w:szCs w:val="21"/>
          <w:highlight w:val="none"/>
          <w:vertAlign w:val="superscript"/>
        </w:rPr>
        <w:t>2</w:t>
      </w:r>
      <w:r>
        <w:rPr>
          <w:rFonts w:hint="eastAsia" w:ascii="宋体" w:hAnsi="宋体" w:eastAsia="宋体" w:cs="宋体"/>
          <w:color w:val="auto"/>
          <w:szCs w:val="21"/>
          <w:highlight w:val="none"/>
        </w:rPr>
        <w:t>，符合承载要求才可进行安装；应采取避免集中受力的保证措施，如架设轻质木板或其他增大受力面积的保证措施，同时必须优先安装运维通道，避免屋面因集中受力变形破裂受损。如因保护措施不足，使原有屋面受损，投标人应承担维修责任及费用，情况严重的，招标人有权要求投标人按照招标人遭受的损失进行赔偿。</w:t>
      </w:r>
    </w:p>
    <w:p w14:paraId="3C86409D">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（6）项目现场的临时用电严格按照《建筑与市政工程施工现场临时用电安全技术标准》JGJ/46-2024 的规定执行，严格按照三相五线制布设电线，做到二级保护，三级控制，一机一闸，同时需出专项方案。</w:t>
      </w:r>
    </w:p>
    <w:p w14:paraId="53CF8B3D">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（7）项目现场的高处作业严格按照《</w:t>
      </w:r>
      <w:bookmarkStart w:id="710" w:name="OLE_LINK126"/>
      <w:r>
        <w:rPr>
          <w:rFonts w:hint="eastAsia" w:ascii="宋体" w:hAnsi="宋体" w:eastAsia="宋体" w:cs="宋体"/>
          <w:color w:val="auto"/>
          <w:szCs w:val="21"/>
          <w:highlight w:val="none"/>
        </w:rPr>
        <w:t>建筑施工高处作业安全技术规范</w:t>
      </w:r>
      <w:bookmarkEnd w:id="710"/>
      <w:r>
        <w:rPr>
          <w:rFonts w:hint="eastAsia" w:ascii="宋体" w:hAnsi="宋体" w:eastAsia="宋体" w:cs="宋体"/>
          <w:color w:val="auto"/>
          <w:szCs w:val="21"/>
          <w:highlight w:val="none"/>
        </w:rPr>
        <w:t>》JGJ80-2016的规定落实安全措施，正确佩戴五点式安全带（绳）、安全帽，同时需出</w:t>
      </w:r>
      <w:bookmarkStart w:id="711" w:name="OLE_LINK85"/>
      <w:r>
        <w:rPr>
          <w:rFonts w:hint="eastAsia" w:ascii="宋体" w:hAnsi="宋体" w:eastAsia="宋体" w:cs="宋体"/>
          <w:color w:val="auto"/>
          <w:szCs w:val="21"/>
          <w:highlight w:val="none"/>
        </w:rPr>
        <w:t>专项方案</w:t>
      </w:r>
      <w:bookmarkEnd w:id="711"/>
      <w:r>
        <w:rPr>
          <w:rFonts w:hint="eastAsia" w:ascii="宋体" w:hAnsi="宋体" w:eastAsia="宋体" w:cs="宋体"/>
          <w:color w:val="auto"/>
          <w:szCs w:val="21"/>
          <w:highlight w:val="none"/>
        </w:rPr>
        <w:t>。</w:t>
      </w:r>
    </w:p>
    <w:p w14:paraId="3762C5C8">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（8）项目现场的吊装作业必须设置警戒区域，禁止人员跟随物体起吊，禁止人员站在吊物作业范围内下方，同时需出</w:t>
      </w:r>
      <w:bookmarkStart w:id="712" w:name="OLE_LINK86"/>
      <w:r>
        <w:rPr>
          <w:rFonts w:hint="eastAsia" w:ascii="宋体" w:hAnsi="宋体" w:eastAsia="宋体" w:cs="宋体"/>
          <w:color w:val="auto"/>
          <w:szCs w:val="21"/>
          <w:highlight w:val="none"/>
        </w:rPr>
        <w:t>专项方案</w:t>
      </w:r>
      <w:bookmarkEnd w:id="712"/>
      <w:r>
        <w:rPr>
          <w:rFonts w:hint="eastAsia" w:ascii="宋体" w:hAnsi="宋体" w:eastAsia="宋体" w:cs="宋体"/>
          <w:color w:val="auto"/>
          <w:szCs w:val="21"/>
          <w:highlight w:val="none"/>
        </w:rPr>
        <w:t>。</w:t>
      </w:r>
    </w:p>
    <w:p w14:paraId="4F23DFC6">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（9）项目现场的动火作业点应落实消防安全措施，清理周边易燃、可燃物体，设置灭火毯、灭火器等设施，严禁在禁火区域进行动火，同时需出</w:t>
      </w:r>
      <w:bookmarkStart w:id="713" w:name="OLE_LINK87"/>
      <w:r>
        <w:rPr>
          <w:rFonts w:hint="eastAsia" w:ascii="宋体" w:hAnsi="宋体" w:eastAsia="宋体" w:cs="宋体"/>
          <w:color w:val="auto"/>
          <w:szCs w:val="21"/>
          <w:highlight w:val="none"/>
        </w:rPr>
        <w:t>专项方案</w:t>
      </w:r>
      <w:bookmarkEnd w:id="713"/>
      <w:r>
        <w:rPr>
          <w:rFonts w:hint="eastAsia" w:ascii="宋体" w:hAnsi="宋体" w:eastAsia="宋体" w:cs="宋体"/>
          <w:color w:val="auto"/>
          <w:szCs w:val="21"/>
          <w:highlight w:val="none"/>
        </w:rPr>
        <w:t>。</w:t>
      </w:r>
    </w:p>
    <w:p w14:paraId="157D619B">
      <w:pPr>
        <w:tabs>
          <w:tab w:val="left" w:pos="360"/>
        </w:tabs>
        <w:spacing w:line="360" w:lineRule="auto"/>
        <w:ind w:firstLine="420" w:firstLineChars="200"/>
        <w:rPr>
          <w:rFonts w:ascii="宋体" w:hAnsi="宋体" w:eastAsia="宋体" w:cs="宋体"/>
          <w:b/>
          <w:bCs/>
          <w:color w:val="auto"/>
          <w:szCs w:val="21"/>
          <w:highlight w:val="none"/>
        </w:rPr>
      </w:pPr>
      <w:r>
        <w:rPr>
          <w:rFonts w:hint="eastAsia" w:ascii="宋体" w:hAnsi="宋体" w:eastAsia="宋体" w:cs="宋体"/>
          <w:color w:val="auto"/>
          <w:szCs w:val="21"/>
          <w:highlight w:val="none"/>
        </w:rPr>
        <w:t>（10）项目现场设立安全警示牌。危险区域必须悬挂“临边区域，当心坠落”、“高空作业，当心坠落”、“小心踏空，以防坠落”、“以防坠落，请勿攀爬”、“吊装作业，请勿靠近”、“高压有电，请勿靠近”、“当心触电”、“注意安全 ”、“严禁烟火”、“禁止通行”或“高空作业，系好安全带”、“必须系安全带”、“必须戴安全帽”等警示标志。</w:t>
      </w:r>
    </w:p>
    <w:p w14:paraId="429EE717">
      <w:pPr>
        <w:widowControl/>
        <w:spacing w:line="360" w:lineRule="auto"/>
        <w:ind w:firstLine="90"/>
        <w:rPr>
          <w:rFonts w:ascii="宋体" w:hAnsi="宋体" w:eastAsia="宋体" w:cs="宋体"/>
          <w:b/>
          <w:color w:val="auto"/>
          <w:szCs w:val="21"/>
          <w:highlight w:val="none"/>
        </w:rPr>
      </w:pPr>
      <w:r>
        <w:rPr>
          <w:rFonts w:hint="eastAsia" w:ascii="宋体" w:hAnsi="宋体" w:eastAsia="宋体" w:cs="宋体"/>
          <w:b/>
          <w:bCs/>
          <w:color w:val="auto"/>
          <w:szCs w:val="21"/>
          <w:highlight w:val="none"/>
        </w:rPr>
        <w:t>七</w:t>
      </w:r>
      <w:r>
        <w:rPr>
          <w:rFonts w:ascii="宋体" w:hAnsi="宋体" w:eastAsia="宋体" w:cs="宋体"/>
          <w:b/>
          <w:color w:val="auto"/>
          <w:szCs w:val="21"/>
          <w:highlight w:val="none"/>
        </w:rPr>
        <w:t>、</w:t>
      </w:r>
      <w:bookmarkStart w:id="714" w:name="OLE_LINK324"/>
      <w:r>
        <w:rPr>
          <w:rFonts w:ascii="宋体" w:hAnsi="宋体" w:eastAsia="宋体" w:cs="宋体"/>
          <w:b/>
          <w:color w:val="auto"/>
          <w:szCs w:val="21"/>
          <w:highlight w:val="none"/>
        </w:rPr>
        <w:t>安全运维技术要求</w:t>
      </w:r>
      <w:bookmarkEnd w:id="714"/>
    </w:p>
    <w:p w14:paraId="72AC4327">
      <w:pPr>
        <w:wordWrap w:val="0"/>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1、安全运维要求</w:t>
      </w:r>
    </w:p>
    <w:p w14:paraId="152892FC">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投标人应当在光伏系统并网成功后在招标人要求时间内，按投标文件及合同约定制定相应的运维制度，成立专门的管理团队，编制运维方案，确保光伏设施的安全运行；投标人在质保期内需配合招标人进行运维管理。</w:t>
      </w:r>
    </w:p>
    <w:p w14:paraId="0DDF015A">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（2）质保期内投标人应确保光伏系统安全、稳定、可靠运行，定期派人检查、监管和记录项目的运行情况，并定期汇总给招标人安全运维部门。</w:t>
      </w:r>
    </w:p>
    <w:p w14:paraId="2ECEEF3E">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（3）投标人对光伏系统提供一年的运营维护服务，负责项目照管责任并承担全部运营维护所需费用。</w:t>
      </w:r>
    </w:p>
    <w:p w14:paraId="46724394">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（4）投标人承诺对光伏系统提供质保期内维修保养服务，并承担维修保养费用。</w:t>
      </w:r>
    </w:p>
    <w:p w14:paraId="69F0081A">
      <w:pPr>
        <w:wordWrap w:val="0"/>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2、安全运维设施</w:t>
      </w:r>
    </w:p>
    <w:p w14:paraId="404785E1">
      <w:pPr>
        <w:tabs>
          <w:tab w:val="left" w:pos="360"/>
        </w:tabs>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（1）水清洗系统</w:t>
      </w:r>
    </w:p>
    <w:p w14:paraId="3371C0CC">
      <w:pPr>
        <w:tabs>
          <w:tab w:val="left" w:pos="360"/>
        </w:tabs>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①考虑到后期光伏组件清洗，每个屋面光伏系统需设计水清洗系统，要求在光伏组件排布屋面安装水管，并在出水口加装水龙头，在每个接水口需要配置相应的计量水表。</w:t>
      </w:r>
    </w:p>
    <w:p w14:paraId="5B927374">
      <w:pPr>
        <w:tabs>
          <w:tab w:val="left" w:pos="360"/>
        </w:tabs>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②水清洗系统冲洗端水压不足（压力小于0.2MPa时）需加装增压泵，出口压力可调节，最小出口压力保证每个终端同时开启时冲洗压力大于0.2MPa，泵入口设置可拆卸式滤网保证冲洗水不含杂质。</w:t>
      </w:r>
    </w:p>
    <w:p w14:paraId="12624597">
      <w:pPr>
        <w:tabs>
          <w:tab w:val="left" w:pos="360"/>
        </w:tabs>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③所有的冲洗水管采用PPR热熔管，清洗水管管网放在通道上，水管拖长不超过50米且不能放在光伏组件上，在棚架光伏组件面每25米设置一个水龙头，按只能走通道的原则来布置水龙头。</w:t>
      </w:r>
    </w:p>
    <w:p w14:paraId="0DDFE43B">
      <w:pPr>
        <w:tabs>
          <w:tab w:val="left" w:pos="360"/>
        </w:tabs>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④水管、水龙头应安装整齐、牢固，外观无明显破损和质量问题。</w:t>
      </w:r>
    </w:p>
    <w:p w14:paraId="4527B265">
      <w:pPr>
        <w:tabs>
          <w:tab w:val="left" w:pos="360"/>
        </w:tabs>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⑤混凝土屋顶原排水系统不足以及时排水或建筑物业主方要求增加新的排水管时需设计安装引到地面的排水管</w:t>
      </w:r>
      <w:r>
        <w:rPr>
          <w:rFonts w:hint="eastAsia" w:ascii="宋体" w:hAnsi="宋体" w:eastAsia="宋体" w:cs="宋体"/>
          <w:color w:val="auto"/>
          <w:szCs w:val="21"/>
          <w:highlight w:val="none"/>
        </w:rPr>
        <w:t>。</w:t>
      </w:r>
    </w:p>
    <w:p w14:paraId="4D5D70D6">
      <w:pPr>
        <w:tabs>
          <w:tab w:val="left" w:pos="360"/>
        </w:tabs>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（2）运维通道</w:t>
      </w:r>
    </w:p>
    <w:p w14:paraId="571AAD27">
      <w:pPr>
        <w:tabs>
          <w:tab w:val="left" w:pos="360"/>
        </w:tabs>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各项目根据组件排布设置合理的运维通道，确保方便运维人员进行运维。运维通道应连成一体，并和水管、桥架等统一布置。</w:t>
      </w:r>
    </w:p>
    <w:p w14:paraId="21A8AF0B">
      <w:pPr>
        <w:tabs>
          <w:tab w:val="left" w:pos="360"/>
        </w:tabs>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A.混凝土屋面光伏结构棚面中间设置花纹钢板运维通道，通道能直达到检修楼梯平台且不影响光伏系统件的正常运行。运维花纹钢板要求如下：</w:t>
      </w:r>
    </w:p>
    <w:p w14:paraId="7422AEDE">
      <w:pPr>
        <w:tabs>
          <w:tab w:val="left" w:pos="360"/>
        </w:tabs>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①花纹钢板材质采用镀锌钢，花纹钢板的重量在15kg/m2以内，宽度不低于400mm；</w:t>
      </w:r>
    </w:p>
    <w:p w14:paraId="01CBD857">
      <w:pPr>
        <w:tabs>
          <w:tab w:val="left" w:pos="360"/>
        </w:tabs>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②花纹钢板能够满足并能覆盖整个屋面太阳能板区域运维过程中的清洗、检修等工作；</w:t>
      </w:r>
    </w:p>
    <w:p w14:paraId="7855D8C5">
      <w:pPr>
        <w:tabs>
          <w:tab w:val="left" w:pos="360"/>
        </w:tabs>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③花纹钢板与花纹钢板衔接处可靠固定，花纹钢板与光伏结构棚可靠连接；</w:t>
      </w:r>
    </w:p>
    <w:p w14:paraId="32F21095">
      <w:pPr>
        <w:tabs>
          <w:tab w:val="left" w:pos="360"/>
        </w:tabs>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④花纹钢板强度和质量，满足如下要求：确保花纹钢板不移位晃动，不下垂并满足踩踏强度要求，寿命要求25年以上；</w:t>
      </w:r>
    </w:p>
    <w:p w14:paraId="17A51F6A">
      <w:pPr>
        <w:tabs>
          <w:tab w:val="left" w:pos="360"/>
        </w:tabs>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⑤花纹钢板侧必须设置悬挂安全绳的牢固点，并参照《坠落防护水平生命线装置》GB38454-2019沿着花纹钢板加装水平生命线，确保方便运维人员安全清洗、运维。</w:t>
      </w:r>
    </w:p>
    <w:p w14:paraId="148B7C38">
      <w:pPr>
        <w:tabs>
          <w:tab w:val="left" w:pos="360"/>
        </w:tabs>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（3）检修配电箱</w:t>
      </w:r>
    </w:p>
    <w:p w14:paraId="2F25DF52">
      <w:pPr>
        <w:tabs>
          <w:tab w:val="left" w:pos="360"/>
        </w:tabs>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为方便运维人员进行后期运维作业，安装光伏系统的屋面需加装检修配电箱，做法同逆变器一样，安装户外支架或挂墙安装,箱体采用厚度≥1.5mm的</w:t>
      </w:r>
      <w:r>
        <w:rPr>
          <w:rFonts w:hint="eastAsia" w:ascii="宋体" w:hAnsi="宋体" w:eastAsia="宋体" w:cs="宋体"/>
          <w:color w:val="auto"/>
          <w:szCs w:val="21"/>
          <w:highlight w:val="none"/>
        </w:rPr>
        <w:t>304不锈钢</w:t>
      </w:r>
      <w:r>
        <w:rPr>
          <w:rFonts w:ascii="宋体" w:hAnsi="宋体" w:eastAsia="宋体" w:cs="宋体"/>
          <w:color w:val="auto"/>
          <w:szCs w:val="21"/>
          <w:highlight w:val="none"/>
        </w:rPr>
        <w:t>，防护等级不低于IP65，可靠接地，电源由交流汇流箱、逆变器交流端就近引入，开关与线缆大小的选型需满足焊接要求，同时方便视频监控系统取电。</w:t>
      </w:r>
    </w:p>
    <w:p w14:paraId="788E33E6">
      <w:pPr>
        <w:tabs>
          <w:tab w:val="left" w:pos="360"/>
        </w:tabs>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（4）安全护栏、钢斜梯、采光带标识</w:t>
      </w:r>
    </w:p>
    <w:p w14:paraId="652E2CD2">
      <w:pPr>
        <w:tabs>
          <w:tab w:val="left" w:pos="360"/>
        </w:tabs>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①安全护栏：若屋顶无护栏或女儿墙屋顶的屋顶临边、洞口处，需加装高度≥1200mm的永久热镀锌角钢、U型钢材质防护围栏，以保护人身安全，同时也要减少护栏对光伏组件阴影遮挡影响。护栏立柱之间的间距小于1.5m，横杆之间的间距小于0.6m，护栏按间隔可靠防雷接地。护栏安装应牢固、美观，符合《建筑施工高处作业安全技术规范》JGJ80-2016。</w:t>
      </w:r>
    </w:p>
    <w:p w14:paraId="6D4663BE">
      <w:pPr>
        <w:tabs>
          <w:tab w:val="left" w:pos="360"/>
        </w:tabs>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②扶手踏步钢斜梯：为方便运维和安全作业，未设置楼梯的屋面、棚架式光伏组件面，须设置扶手踏步镀锌钢斜梯，钢梯宽度≥0.8m，扶手高度≥0.9m，同时加装0.8m×1.2m运维操作平台并与运维通道进行连接，应符合《固定式钢梯及平台安全要求</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第2部分:钢斜梯》GB4053.2-2009规定。钢斜梯入口要有带锁的活动门，钢斜梯旁边设置“非内部人员禁止进入”等安全警示牌。</w:t>
      </w:r>
    </w:p>
    <w:p w14:paraId="2BD2B3E6">
      <w:pPr>
        <w:tabs>
          <w:tab w:val="left" w:pos="360"/>
        </w:tabs>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③采光带周围用宽度不少于100mm黄色油漆标识（或贴警示带），并设置“禁止踩踏”警示牌；同时设置防坠落网进行保护，防止人员踩空</w:t>
      </w:r>
      <w:r>
        <w:rPr>
          <w:rFonts w:hint="eastAsia" w:ascii="宋体" w:hAnsi="宋体" w:eastAsia="宋体" w:cs="宋体"/>
          <w:color w:val="auto"/>
          <w:szCs w:val="21"/>
          <w:highlight w:val="none"/>
        </w:rPr>
        <w:t>。</w:t>
      </w:r>
    </w:p>
    <w:p w14:paraId="5DDF4E3C">
      <w:pPr>
        <w:widowControl/>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八、</w:t>
      </w:r>
      <w:bookmarkStart w:id="715" w:name="OLE_LINK326"/>
      <w:r>
        <w:rPr>
          <w:rFonts w:hint="eastAsia" w:ascii="宋体" w:hAnsi="宋体" w:eastAsia="宋体" w:cs="宋体"/>
          <w:b/>
          <w:bCs/>
          <w:color w:val="auto"/>
          <w:szCs w:val="21"/>
          <w:highlight w:val="none"/>
        </w:rPr>
        <w:t>消防要求</w:t>
      </w:r>
      <w:bookmarkEnd w:id="715"/>
    </w:p>
    <w:p w14:paraId="40B9866D">
      <w:pPr>
        <w:wordWrap w:val="0"/>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1、主要设计原则、功能及配置</w:t>
      </w:r>
    </w:p>
    <w:p w14:paraId="136044F8">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本项目依据国家有关消防条例、规范进行设计，本着“预防为主、防消结合 ”的消防工作方针，消防系统的设置以加强自身防范力量为主，立足于自救，同时与消防部门联防，做到“防患于未然”，从积极的方面预防火灾的发生及蔓延。变电站内电气设备较多，消防设计的重点是防止电气火灾。</w:t>
      </w:r>
    </w:p>
    <w:p w14:paraId="5E9D4F7A">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（1）对设有电气仪表设备的房间，应配置移动式气体灭火器和手动火灾报警（警铃）。</w:t>
      </w:r>
    </w:p>
    <w:p w14:paraId="4EF43442">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（2）对光伏组件屋面应按方阵、逆变器数量配置干粉灭火器和消防沙，用于发电单元电气设备的灭火。</w:t>
      </w:r>
    </w:p>
    <w:p w14:paraId="2A08AA55">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根据“预防为主、防消结合”的原则，本着减少着火几率，阻止电缆着火延燃及窜燃的目的，结合现场实际情况，主要采取“封”“堵”“隔”“涂”等技术措施，封堵施工按照国家及行业有关标准和以往的电缆防火封堵措施并结合电站实际情况进行，交流电缆采用阻燃型。安装主要达到《电气装置安装工程 电缆线路施工及验收标准》GB50168-2018。</w:t>
      </w:r>
    </w:p>
    <w:p w14:paraId="72EC681A">
      <w:pPr>
        <w:wordWrap w:val="0"/>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2、消防设计及消防验收</w:t>
      </w:r>
    </w:p>
    <w:p w14:paraId="24B721FE">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投标人须依据《中华人民共和国消防法》、《建设工程消防设计审查验收管理暂行规定》等法律法规及当地消防管理部门的要求，完成如下事项（包括但不限于）:</w:t>
      </w:r>
    </w:p>
    <w:p w14:paraId="1F0142BF">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（1）光伏发电项目的消防设计及备案；</w:t>
      </w:r>
    </w:p>
    <w:p w14:paraId="5920A846">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（2）委托有资质的第三方机构进行消防检测，并取得消防设施检测合格证明文件；</w:t>
      </w:r>
    </w:p>
    <w:p w14:paraId="4FCCC7F3">
      <w:pPr>
        <w:tabs>
          <w:tab w:val="left" w:pos="360"/>
        </w:tabs>
        <w:spacing w:line="360" w:lineRule="auto"/>
        <w:ind w:firstLine="420" w:firstLineChars="200"/>
        <w:rPr>
          <w:rFonts w:ascii="宋体" w:hAnsi="宋体" w:eastAsia="宋体" w:cs="宋体"/>
          <w:color w:val="auto"/>
          <w:szCs w:val="21"/>
          <w:highlight w:val="none"/>
        </w:rPr>
      </w:pPr>
      <w:bookmarkStart w:id="716" w:name="OLE_LINK103"/>
      <w:r>
        <w:rPr>
          <w:rFonts w:hint="eastAsia" w:ascii="宋体" w:hAnsi="宋体" w:eastAsia="宋体" w:cs="宋体"/>
          <w:color w:val="auto"/>
          <w:szCs w:val="21"/>
          <w:highlight w:val="none"/>
        </w:rPr>
        <w:t>（3）</w:t>
      </w:r>
      <w:bookmarkStart w:id="717" w:name="OLE_LINK104"/>
      <w:r>
        <w:rPr>
          <w:rFonts w:hint="eastAsia" w:ascii="宋体" w:hAnsi="宋体" w:eastAsia="宋体" w:cs="宋体"/>
          <w:color w:val="auto"/>
          <w:szCs w:val="21"/>
          <w:highlight w:val="none"/>
        </w:rPr>
        <w:t>竣工</w:t>
      </w:r>
      <w:bookmarkEnd w:id="717"/>
      <w:r>
        <w:rPr>
          <w:rFonts w:hint="eastAsia" w:ascii="宋体" w:hAnsi="宋体" w:eastAsia="宋体" w:cs="宋体"/>
          <w:color w:val="auto"/>
          <w:szCs w:val="21"/>
          <w:highlight w:val="none"/>
        </w:rPr>
        <w:t>验收消防备案；</w:t>
      </w:r>
    </w:p>
    <w:bookmarkEnd w:id="716"/>
    <w:p w14:paraId="1CE9EBF4">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（4）如本项目被确定为抽查对象，须通过当地消防管理部门的检测检验。</w:t>
      </w:r>
    </w:p>
    <w:p w14:paraId="2EBDCEB9">
      <w:pPr>
        <w:widowControl/>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九、</w:t>
      </w:r>
      <w:bookmarkStart w:id="718" w:name="OLE_LINK327"/>
      <w:r>
        <w:rPr>
          <w:rFonts w:hint="eastAsia" w:ascii="宋体" w:hAnsi="宋体" w:eastAsia="宋体" w:cs="宋体"/>
          <w:b/>
          <w:bCs/>
          <w:color w:val="auto"/>
          <w:szCs w:val="21"/>
          <w:highlight w:val="none"/>
        </w:rPr>
        <w:t>其他</w:t>
      </w:r>
      <w:bookmarkEnd w:id="718"/>
      <w:r>
        <w:rPr>
          <w:rFonts w:hint="eastAsia" w:ascii="宋体" w:hAnsi="宋体" w:eastAsia="宋体" w:cs="宋体"/>
          <w:b/>
          <w:bCs/>
          <w:color w:val="auto"/>
          <w:szCs w:val="21"/>
          <w:highlight w:val="none"/>
        </w:rPr>
        <w:t>要求</w:t>
      </w:r>
    </w:p>
    <w:p w14:paraId="448B4E09">
      <w:pPr>
        <w:pStyle w:val="24"/>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1、工期安排：</w:t>
      </w:r>
    </w:p>
    <w:p w14:paraId="612E9AF0">
      <w:pPr>
        <w:pStyle w:val="24"/>
        <w:spacing w:line="360" w:lineRule="auto"/>
        <w:ind w:firstLine="420" w:firstLineChars="200"/>
        <w:rPr>
          <w:rFonts w:hint="eastAsia" w:hAnsi="宋体"/>
          <w:color w:val="auto"/>
          <w:highlight w:val="none"/>
          <w:lang w:eastAsia="zh-CN"/>
        </w:rPr>
      </w:pPr>
      <w:r>
        <w:rPr>
          <w:rFonts w:hint="eastAsia" w:hAnsi="宋体" w:cs="宋体"/>
          <w:color w:val="auto"/>
          <w:szCs w:val="21"/>
          <w:highlight w:val="none"/>
          <w:lang w:eastAsia="zh-CN"/>
        </w:rPr>
        <w:t>（</w:t>
      </w:r>
      <w:r>
        <w:rPr>
          <w:rFonts w:hint="eastAsia" w:hAnsi="宋体" w:cs="宋体"/>
          <w:color w:val="auto"/>
          <w:szCs w:val="21"/>
          <w:highlight w:val="none"/>
          <w:lang w:val="en-US" w:eastAsia="zh-CN"/>
        </w:rPr>
        <w:t>1）深化设计工期：合同签订之日起，</w:t>
      </w:r>
      <w:r>
        <w:rPr>
          <w:rFonts w:hint="eastAsia"/>
          <w:color w:val="auto"/>
          <w:highlight w:val="none"/>
          <w:lang w:val="en-US" w:eastAsia="zh-CN"/>
        </w:rPr>
        <w:t>10</w:t>
      </w:r>
      <w:r>
        <w:rPr>
          <w:rFonts w:hint="eastAsia"/>
          <w:color w:val="auto"/>
          <w:highlight w:val="none"/>
        </w:rPr>
        <w:t>日</w:t>
      </w:r>
      <w:r>
        <w:rPr>
          <w:rFonts w:hint="eastAsia" w:hAnsi="宋体" w:cs="宋体"/>
          <w:color w:val="auto"/>
          <w:highlight w:val="none"/>
        </w:rPr>
        <w:t>（日历日，下同）</w:t>
      </w:r>
      <w:r>
        <w:rPr>
          <w:rFonts w:hint="eastAsia" w:hAnsi="宋体"/>
          <w:color w:val="auto"/>
          <w:highlight w:val="none"/>
        </w:rPr>
        <w:t>内完成项目深化设计文件</w:t>
      </w:r>
      <w:r>
        <w:rPr>
          <w:rFonts w:hint="eastAsia" w:hAnsi="宋体"/>
          <w:color w:val="auto"/>
          <w:highlight w:val="none"/>
          <w:lang w:eastAsia="zh-CN"/>
        </w:rPr>
        <w:t>。</w:t>
      </w:r>
    </w:p>
    <w:p w14:paraId="2B0975C9">
      <w:pPr>
        <w:pStyle w:val="24"/>
        <w:spacing w:line="360" w:lineRule="auto"/>
        <w:ind w:firstLine="420" w:firstLineChars="200"/>
        <w:rPr>
          <w:rFonts w:hAnsi="宋体" w:cs="宋体"/>
          <w:color w:val="auto"/>
          <w:szCs w:val="21"/>
          <w:highlight w:val="none"/>
        </w:rPr>
      </w:pPr>
      <w:r>
        <w:rPr>
          <w:rFonts w:hint="eastAsia" w:hAnsi="宋体"/>
          <w:color w:val="auto"/>
          <w:highlight w:val="none"/>
          <w:lang w:eastAsia="zh-CN"/>
        </w:rPr>
        <w:t>（</w:t>
      </w:r>
      <w:r>
        <w:rPr>
          <w:rFonts w:hint="eastAsia" w:hAnsi="宋体"/>
          <w:color w:val="auto"/>
          <w:highlight w:val="none"/>
          <w:lang w:val="en-US" w:eastAsia="zh-CN"/>
        </w:rPr>
        <w:t>2）供货安装工期：</w:t>
      </w:r>
      <w:r>
        <w:rPr>
          <w:rFonts w:hint="eastAsia" w:hAnsi="宋体" w:cs="宋体"/>
          <w:color w:val="auto"/>
          <w:szCs w:val="21"/>
          <w:highlight w:val="none"/>
        </w:rPr>
        <w:t>每个子项目（厂区）的基准实施周期为150</w:t>
      </w:r>
      <w:r>
        <w:rPr>
          <w:rFonts w:hint="eastAsia" w:hAnsi="宋体" w:cs="宋体"/>
          <w:color w:val="auto"/>
          <w:highlight w:val="none"/>
        </w:rPr>
        <w:t>日</w:t>
      </w:r>
      <w:r>
        <w:rPr>
          <w:rFonts w:hint="eastAsia" w:hAnsi="宋体" w:cs="宋体"/>
          <w:color w:val="auto"/>
          <w:szCs w:val="21"/>
          <w:highlight w:val="none"/>
        </w:rPr>
        <w:t>，</w:t>
      </w:r>
      <w:r>
        <w:rPr>
          <w:rFonts w:hint="eastAsia" w:hAnsi="宋体" w:cs="宋体"/>
          <w:color w:val="auto"/>
          <w:szCs w:val="21"/>
          <w:highlight w:val="none"/>
          <w:lang w:val="en-US" w:eastAsia="zh-CN"/>
        </w:rPr>
        <w:t>子项目完成项目备案并由招标人</w:t>
      </w:r>
      <w:r>
        <w:rPr>
          <w:rFonts w:hint="eastAsia" w:hAnsi="宋体" w:cs="宋体"/>
          <w:color w:val="auto"/>
          <w:szCs w:val="21"/>
          <w:highlight w:val="none"/>
        </w:rPr>
        <w:t>或其委托的项目管理公司签发该子项目开工通知之日起120</w:t>
      </w:r>
      <w:r>
        <w:rPr>
          <w:rFonts w:hint="eastAsia" w:hAnsi="宋体" w:cs="宋体"/>
          <w:color w:val="auto"/>
          <w:highlight w:val="none"/>
        </w:rPr>
        <w:t>日</w:t>
      </w:r>
      <w:r>
        <w:rPr>
          <w:rFonts w:hint="eastAsia" w:hAnsi="宋体" w:cs="宋体"/>
          <w:color w:val="auto"/>
          <w:szCs w:val="21"/>
          <w:highlight w:val="none"/>
        </w:rPr>
        <w:t>内完成该子项目所有建设内容</w:t>
      </w:r>
      <w:r>
        <w:rPr>
          <w:rFonts w:hint="eastAsia" w:hAnsi="宋体" w:cs="宋体"/>
          <w:color w:val="auto"/>
          <w:highlight w:val="none"/>
        </w:rPr>
        <w:t>（即初步验收合格）</w:t>
      </w:r>
      <w:r>
        <w:rPr>
          <w:rFonts w:hint="eastAsia" w:hAnsi="宋体" w:cs="宋体"/>
          <w:color w:val="auto"/>
          <w:szCs w:val="21"/>
          <w:highlight w:val="none"/>
        </w:rPr>
        <w:t>，建设完成后，30</w:t>
      </w:r>
      <w:r>
        <w:rPr>
          <w:rFonts w:hint="eastAsia" w:hAnsi="宋体" w:cs="宋体"/>
          <w:color w:val="auto"/>
          <w:highlight w:val="none"/>
        </w:rPr>
        <w:t>日</w:t>
      </w:r>
      <w:r>
        <w:rPr>
          <w:rFonts w:hint="eastAsia" w:hAnsi="宋体" w:cs="宋体"/>
          <w:color w:val="auto"/>
          <w:szCs w:val="21"/>
          <w:highlight w:val="none"/>
        </w:rPr>
        <w:t>内完成并网通电。若本项目未能在工期要求时间内完成工作，</w:t>
      </w:r>
      <w:r>
        <w:rPr>
          <w:rFonts w:hint="eastAsia" w:hAnsi="宋体" w:cs="宋体"/>
          <w:color w:val="auto"/>
          <w:szCs w:val="21"/>
          <w:highlight w:val="none"/>
          <w:lang w:val="en-US" w:eastAsia="zh-CN"/>
        </w:rPr>
        <w:t>中标人</w:t>
      </w:r>
      <w:r>
        <w:rPr>
          <w:rFonts w:hint="eastAsia" w:hAnsi="宋体" w:cs="宋体"/>
          <w:color w:val="auto"/>
          <w:szCs w:val="21"/>
          <w:highlight w:val="none"/>
        </w:rPr>
        <w:t>需承担违约责任，并根据</w:t>
      </w:r>
      <w:r>
        <w:rPr>
          <w:rFonts w:hint="eastAsia" w:hAnsi="宋体" w:cs="宋体"/>
          <w:color w:val="auto"/>
          <w:szCs w:val="21"/>
          <w:highlight w:val="none"/>
          <w:lang w:val="en-US" w:eastAsia="zh-CN"/>
        </w:rPr>
        <w:t>本项目</w:t>
      </w:r>
      <w:r>
        <w:rPr>
          <w:rFonts w:hint="eastAsia" w:hAnsi="宋体" w:cs="宋体"/>
          <w:color w:val="auto"/>
          <w:szCs w:val="21"/>
          <w:highlight w:val="none"/>
        </w:rPr>
        <w:t>合同第二十一条的约定向</w:t>
      </w:r>
      <w:r>
        <w:rPr>
          <w:rFonts w:hint="eastAsia" w:hAnsi="宋体" w:cs="宋体"/>
          <w:color w:val="auto"/>
          <w:szCs w:val="21"/>
          <w:highlight w:val="none"/>
          <w:lang w:val="en-US" w:eastAsia="zh-CN"/>
        </w:rPr>
        <w:t>招标人</w:t>
      </w:r>
      <w:r>
        <w:rPr>
          <w:rFonts w:hint="eastAsia" w:hAnsi="宋体" w:cs="宋体"/>
          <w:color w:val="auto"/>
          <w:szCs w:val="21"/>
          <w:highlight w:val="none"/>
        </w:rPr>
        <w:t>支付对应的违约金。如因供电部门审批延误、不可抗力或其他非项目</w:t>
      </w:r>
      <w:r>
        <w:rPr>
          <w:rFonts w:hint="eastAsia" w:hAnsi="宋体" w:cs="宋体"/>
          <w:color w:val="auto"/>
          <w:szCs w:val="21"/>
          <w:highlight w:val="none"/>
          <w:lang w:val="en-US" w:eastAsia="zh-CN"/>
        </w:rPr>
        <w:t>中标人</w:t>
      </w:r>
      <w:r>
        <w:rPr>
          <w:rFonts w:hint="eastAsia" w:hAnsi="宋体" w:cs="宋体"/>
          <w:color w:val="auto"/>
          <w:szCs w:val="21"/>
          <w:highlight w:val="none"/>
        </w:rPr>
        <w:t>原因且不可归责于</w:t>
      </w:r>
      <w:r>
        <w:rPr>
          <w:rFonts w:hint="eastAsia" w:hAnsi="宋体" w:cs="宋体"/>
          <w:color w:val="auto"/>
          <w:szCs w:val="21"/>
          <w:highlight w:val="none"/>
          <w:lang w:val="en-US" w:eastAsia="zh-CN"/>
        </w:rPr>
        <w:t>中标人</w:t>
      </w:r>
      <w:r>
        <w:rPr>
          <w:rFonts w:hint="eastAsia" w:hAnsi="宋体" w:cs="宋体"/>
          <w:color w:val="auto"/>
          <w:szCs w:val="21"/>
          <w:highlight w:val="none"/>
        </w:rPr>
        <w:t>的客观因素导致工期延误，则受影响子项目的工期应相应顺延，顺延时长以实际延误时间为准，并经</w:t>
      </w:r>
      <w:r>
        <w:rPr>
          <w:rFonts w:hint="eastAsia" w:hAnsi="宋体" w:cs="宋体"/>
          <w:color w:val="auto"/>
          <w:szCs w:val="21"/>
          <w:highlight w:val="none"/>
          <w:lang w:val="en-US" w:eastAsia="zh-CN"/>
        </w:rPr>
        <w:t>招标人、中标人</w:t>
      </w:r>
      <w:r>
        <w:rPr>
          <w:rFonts w:hint="eastAsia" w:hAnsi="宋体" w:cs="宋体"/>
          <w:color w:val="auto"/>
          <w:szCs w:val="21"/>
          <w:highlight w:val="none"/>
        </w:rPr>
        <w:t>双方盖章确认。</w:t>
      </w:r>
    </w:p>
    <w:p w14:paraId="406357DE">
      <w:pPr>
        <w:tabs>
          <w:tab w:val="center" w:pos="3125"/>
        </w:tabs>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2、运维期：1年，自项目下全部子项目并网审批通过开始正式送电之日起计算。</w:t>
      </w:r>
    </w:p>
    <w:p w14:paraId="50C1AF06">
      <w:pPr>
        <w:tabs>
          <w:tab w:val="center" w:pos="3125"/>
        </w:tabs>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3、质保期：质保期为项目整体最终验收（即本项目下全部子项目竣工验收）合格后2年，如个体设备有更高要求的，遵循更高要求。</w:t>
      </w:r>
    </w:p>
    <w:p w14:paraId="0ABA0F6C">
      <w:pPr>
        <w:tabs>
          <w:tab w:val="center" w:pos="3125"/>
        </w:tabs>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4、合同价格形式</w:t>
      </w:r>
    </w:p>
    <w:p w14:paraId="2ACB1ED0">
      <w:pPr>
        <w:tabs>
          <w:tab w:val="center" w:pos="3125"/>
        </w:tabs>
        <w:spacing w:line="360" w:lineRule="auto"/>
        <w:ind w:firstLine="420" w:firstLineChars="200"/>
        <w:rPr>
          <w:rFonts w:ascii="宋体" w:hAnsi="宋体" w:eastAsia="宋体" w:cs="宋体"/>
          <w:color w:val="auto"/>
          <w:szCs w:val="21"/>
          <w:highlight w:val="none"/>
        </w:rPr>
      </w:pPr>
      <w:bookmarkStart w:id="719" w:name="OLE_LINK454"/>
      <w:r>
        <w:rPr>
          <w:rFonts w:hint="eastAsia" w:ascii="宋体" w:hAnsi="宋体" w:eastAsia="宋体" w:cs="宋体"/>
          <w:color w:val="auto"/>
          <w:szCs w:val="21"/>
          <w:highlight w:val="none"/>
        </w:rPr>
        <w:t>（1）关于合同价格形式的约定：以暂定不含税总价、不含税固定每瓦单价总承包的方式。</w:t>
      </w:r>
    </w:p>
    <w:p w14:paraId="788D940B">
      <w:pPr>
        <w:tabs>
          <w:tab w:val="center" w:pos="3125"/>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（2）关于合同价格调整的约定：根据最终</w:t>
      </w:r>
      <w:r>
        <w:rPr>
          <w:rFonts w:hint="eastAsia" w:ascii="宋体" w:hAnsi="宋体" w:eastAsia="宋体" w:cs="宋体"/>
          <w:color w:val="auto"/>
          <w:szCs w:val="21"/>
          <w:highlight w:val="none"/>
          <w:lang w:val="en-US" w:eastAsia="zh-CN"/>
        </w:rPr>
        <w:t>结算</w:t>
      </w:r>
      <w:r>
        <w:rPr>
          <w:rFonts w:hint="eastAsia" w:ascii="宋体" w:hAnsi="宋体" w:eastAsia="宋体" w:cs="宋体"/>
          <w:color w:val="auto"/>
          <w:szCs w:val="21"/>
          <w:highlight w:val="none"/>
        </w:rPr>
        <w:t>装机容量及合同约定相应调整。</w:t>
      </w:r>
    </w:p>
    <w:p w14:paraId="42C523A0">
      <w:pPr>
        <w:tabs>
          <w:tab w:val="center" w:pos="3125"/>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注：</w:t>
      </w:r>
    </w:p>
    <w:p w14:paraId="34998E40">
      <w:pPr>
        <w:tabs>
          <w:tab w:val="center" w:pos="3125"/>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eastAsia="宋体" w:cs="宋体"/>
          <w:b/>
          <w:bCs/>
          <w:color w:val="auto"/>
          <w:szCs w:val="21"/>
          <w:highlight w:val="none"/>
          <w:u w:val="single"/>
        </w:rPr>
        <w:t>结算合同价以结算装机容量计算，按以下方式确定结算装机容量：（1）如安装并网光伏组件单块容量与投标产品一致，以并网装机容量作为结算装机容量；（2）经招标人书面提出光伏组件型号变化时，该调整范围内以并网装机容量作为结算装机容量；（3）如果中标人因产能、产品迭代等自身原因提出安装使用质量条件不低于合同约定及用户需求书的单块并网组件，且容量（对比投标产品）增大导致实际并网装机容量增大的，经招标人书面同意后，可以调整，但按并网光伏组件数量和投标产品单块组件容量计算结算装机容量</w:t>
      </w:r>
      <w:r>
        <w:rPr>
          <w:rFonts w:hint="eastAsia" w:ascii="宋体" w:hAnsi="宋体" w:eastAsia="宋体" w:cs="宋体"/>
          <w:b/>
          <w:bCs/>
          <w:color w:val="auto"/>
          <w:szCs w:val="21"/>
          <w:highlight w:val="none"/>
          <w:u w:val="single"/>
          <w:lang w:eastAsia="zh-CN"/>
        </w:rPr>
        <w:t>（即结算装机容量=投标产品单块组件容量×并网光伏组件数量）</w:t>
      </w:r>
      <w:r>
        <w:rPr>
          <w:rFonts w:hint="eastAsia" w:ascii="宋体" w:hAnsi="宋体" w:eastAsia="宋体" w:cs="宋体"/>
          <w:b/>
          <w:bCs/>
          <w:color w:val="auto"/>
          <w:szCs w:val="21"/>
          <w:highlight w:val="none"/>
          <w:u w:val="single"/>
        </w:rPr>
        <w:t>；（4）原则上，单个子项目内建设范围（建设区域）不得改变，因招标人原因对单个子项目内建设范围（建设区域）增减的，经招标人书面确认后，对应调整，按照前述（1）至（3）项原则确定结算装机容量</w:t>
      </w:r>
      <w:r>
        <w:rPr>
          <w:rFonts w:hint="eastAsia" w:ascii="宋体" w:hAnsi="宋体" w:eastAsia="宋体" w:cs="宋体"/>
          <w:color w:val="auto"/>
          <w:szCs w:val="21"/>
          <w:highlight w:val="none"/>
        </w:rPr>
        <w:t>。</w:t>
      </w:r>
    </w:p>
    <w:p w14:paraId="4AFBEB5B">
      <w:pPr>
        <w:tabs>
          <w:tab w:val="center" w:pos="3125"/>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②中标不含税固定每瓦单价=暂定不含税总价（即中标人的投标报价）÷暂定总装机容量（计算的单价按四舍五入保留小数点后3位小数），招标人按中标不含税固定每瓦单价×实际结算装机容量和对应的销项税额进行结算。</w:t>
      </w:r>
    </w:p>
    <w:p w14:paraId="5B848888">
      <w:pPr>
        <w:tabs>
          <w:tab w:val="center" w:pos="3125"/>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③合同暂定价格仅为便于计算使用，不作为招标人最终采购实施数量的保证。招标人的实际需求数量以实际装机容量为准，按实际的结算装机容量结算。在履行期内，中标人不得因招标人实际采购实施数量的减少或增加而要求招标人作出任何形式的补偿或赔偿，或要求招标人按暂定数量采购。 </w:t>
      </w:r>
      <w:bookmarkEnd w:id="719"/>
    </w:p>
    <w:p w14:paraId="26525D2A">
      <w:pPr>
        <w:tabs>
          <w:tab w:val="center" w:pos="3125"/>
        </w:tabs>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5、付款方式：</w:t>
      </w:r>
    </w:p>
    <w:p w14:paraId="236A53B9">
      <w:pPr>
        <w:pStyle w:val="20"/>
        <w:autoSpaceDE/>
        <w:autoSpaceDN/>
        <w:adjustRightInd/>
        <w:spacing w:line="360" w:lineRule="auto"/>
        <w:ind w:right="-28"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第一阶段：合同签订后，</w:t>
      </w:r>
      <w:r>
        <w:rPr>
          <w:rFonts w:hint="eastAsia" w:hAnsi="宋体" w:cs="宋体"/>
          <w:b w:val="0"/>
          <w:bCs w:val="0"/>
          <w:color w:val="auto"/>
          <w:sz w:val="21"/>
          <w:szCs w:val="21"/>
          <w:highlight w:val="none"/>
          <w:lang w:val="en-US"/>
        </w:rPr>
        <w:t>中标人</w:t>
      </w:r>
      <w:r>
        <w:rPr>
          <w:rFonts w:hint="eastAsia" w:hAnsi="宋体" w:cs="宋体"/>
          <w:b w:val="0"/>
          <w:bCs w:val="0"/>
          <w:color w:val="auto"/>
          <w:sz w:val="21"/>
          <w:szCs w:val="21"/>
          <w:highlight w:val="none"/>
        </w:rPr>
        <w:t>向</w:t>
      </w:r>
      <w:r>
        <w:rPr>
          <w:rFonts w:hint="eastAsia" w:hAnsi="宋体" w:cs="宋体"/>
          <w:b w:val="0"/>
          <w:bCs w:val="0"/>
          <w:color w:val="auto"/>
          <w:sz w:val="21"/>
          <w:szCs w:val="21"/>
          <w:highlight w:val="none"/>
          <w:lang w:val="en-US"/>
        </w:rPr>
        <w:t>招标人</w:t>
      </w:r>
      <w:r>
        <w:rPr>
          <w:rFonts w:hint="eastAsia" w:hAnsi="宋体" w:cs="宋体"/>
          <w:b w:val="0"/>
          <w:bCs w:val="0"/>
          <w:color w:val="auto"/>
          <w:sz w:val="21"/>
          <w:szCs w:val="21"/>
          <w:highlight w:val="none"/>
        </w:rPr>
        <w:t>提交</w:t>
      </w:r>
      <w:r>
        <w:rPr>
          <w:rFonts w:hint="eastAsia" w:ascii="宋体" w:hAnsi="宋体" w:cs="宋体"/>
          <w:b w:val="0"/>
          <w:bCs w:val="0"/>
          <w:color w:val="auto"/>
          <w:sz w:val="21"/>
          <w:szCs w:val="21"/>
          <w:highlight w:val="none"/>
        </w:rPr>
        <w:t>等额</w:t>
      </w:r>
      <w:r>
        <w:rPr>
          <w:rFonts w:hint="eastAsia" w:hAnsi="宋体" w:cs="宋体"/>
          <w:b w:val="0"/>
          <w:bCs w:val="0"/>
          <w:color w:val="auto"/>
          <w:sz w:val="21"/>
          <w:szCs w:val="21"/>
          <w:highlight w:val="none"/>
          <w:lang w:val="en-US" w:eastAsia="zh-CN"/>
        </w:rPr>
        <w:t>不可撤销银行</w:t>
      </w:r>
      <w:r>
        <w:rPr>
          <w:rFonts w:hint="eastAsia" w:ascii="宋体" w:hAnsi="宋体" w:cs="宋体"/>
          <w:b w:val="0"/>
          <w:bCs w:val="0"/>
          <w:color w:val="auto"/>
          <w:sz w:val="21"/>
          <w:szCs w:val="21"/>
          <w:highlight w:val="none"/>
        </w:rPr>
        <w:t>预付款保函</w:t>
      </w:r>
      <w:r>
        <w:rPr>
          <w:rFonts w:hint="eastAsia" w:hAnsi="宋体" w:cs="宋体"/>
          <w:b w:val="0"/>
          <w:bCs w:val="0"/>
          <w:color w:val="auto"/>
          <w:sz w:val="21"/>
          <w:szCs w:val="21"/>
          <w:highlight w:val="none"/>
        </w:rPr>
        <w:t>，经</w:t>
      </w:r>
      <w:r>
        <w:rPr>
          <w:rFonts w:hint="eastAsia" w:hAnsi="宋体" w:cs="宋体"/>
          <w:b w:val="0"/>
          <w:bCs w:val="0"/>
          <w:color w:val="auto"/>
          <w:sz w:val="21"/>
          <w:szCs w:val="21"/>
          <w:highlight w:val="none"/>
          <w:lang w:val="en-US"/>
        </w:rPr>
        <w:t>招标人</w:t>
      </w:r>
      <w:r>
        <w:rPr>
          <w:rFonts w:hint="eastAsia" w:hAnsi="宋体" w:cs="宋体"/>
          <w:b w:val="0"/>
          <w:bCs w:val="0"/>
          <w:color w:val="auto"/>
          <w:sz w:val="21"/>
          <w:szCs w:val="21"/>
          <w:highlight w:val="none"/>
        </w:rPr>
        <w:t>审核确认后，</w:t>
      </w:r>
      <w:r>
        <w:rPr>
          <w:rFonts w:hint="eastAsia" w:hAnsi="宋体" w:cs="宋体"/>
          <w:b w:val="0"/>
          <w:bCs w:val="0"/>
          <w:color w:val="auto"/>
          <w:sz w:val="21"/>
          <w:szCs w:val="21"/>
          <w:highlight w:val="none"/>
          <w:lang w:val="en-US"/>
        </w:rPr>
        <w:t>招标人</w:t>
      </w:r>
      <w:r>
        <w:rPr>
          <w:rFonts w:hint="eastAsia" w:hAnsi="宋体" w:cs="宋体"/>
          <w:b w:val="0"/>
          <w:bCs w:val="0"/>
          <w:color w:val="auto"/>
          <w:sz w:val="21"/>
          <w:szCs w:val="21"/>
          <w:highlight w:val="none"/>
        </w:rPr>
        <w:t>向</w:t>
      </w:r>
      <w:r>
        <w:rPr>
          <w:rFonts w:hint="eastAsia" w:hAnsi="宋体" w:cs="宋体"/>
          <w:b w:val="0"/>
          <w:bCs w:val="0"/>
          <w:color w:val="auto"/>
          <w:sz w:val="21"/>
          <w:szCs w:val="21"/>
          <w:highlight w:val="none"/>
          <w:lang w:val="en-US"/>
        </w:rPr>
        <w:t>中标人</w:t>
      </w:r>
      <w:r>
        <w:rPr>
          <w:rFonts w:hint="eastAsia" w:hAnsi="宋体" w:cs="宋体"/>
          <w:b w:val="0"/>
          <w:bCs w:val="0"/>
          <w:color w:val="auto"/>
          <w:sz w:val="21"/>
          <w:szCs w:val="21"/>
          <w:highlight w:val="none"/>
        </w:rPr>
        <w:t>支付</w:t>
      </w:r>
      <w:r>
        <w:rPr>
          <w:rFonts w:hint="eastAsia" w:hAnsi="宋体" w:cs="宋体"/>
          <w:b w:val="0"/>
          <w:bCs w:val="0"/>
          <w:color w:val="auto"/>
          <w:sz w:val="21"/>
          <w:szCs w:val="21"/>
          <w:highlight w:val="none"/>
          <w:lang w:val="en-US" w:eastAsia="zh-CN"/>
        </w:rPr>
        <w:t>合同</w:t>
      </w:r>
      <w:r>
        <w:rPr>
          <w:rFonts w:hint="eastAsia" w:hAnsi="宋体" w:cs="宋体"/>
          <w:b w:val="0"/>
          <w:bCs w:val="0"/>
          <w:color w:val="auto"/>
          <w:sz w:val="21"/>
          <w:szCs w:val="21"/>
          <w:highlight w:val="none"/>
        </w:rPr>
        <w:t>暂定不含税总价20%</w:t>
      </w:r>
      <w:r>
        <w:rPr>
          <w:rFonts w:hint="eastAsia" w:hAnsi="宋体" w:cs="宋体"/>
          <w:b w:val="0"/>
          <w:bCs w:val="0"/>
          <w:color w:val="auto"/>
          <w:sz w:val="21"/>
          <w:szCs w:val="21"/>
          <w:highlight w:val="none"/>
          <w:lang w:val="en-US" w:eastAsia="zh-CN"/>
        </w:rPr>
        <w:t>的预付款</w:t>
      </w:r>
      <w:r>
        <w:rPr>
          <w:rFonts w:hint="eastAsia" w:hAnsi="宋体" w:cs="宋体"/>
          <w:b w:val="0"/>
          <w:bCs w:val="0"/>
          <w:color w:val="auto"/>
          <w:sz w:val="21"/>
          <w:szCs w:val="21"/>
          <w:highlight w:val="none"/>
          <w:lang w:val="en-US"/>
        </w:rPr>
        <w:t>和对应的销项税额</w:t>
      </w:r>
      <w:r>
        <w:rPr>
          <w:rFonts w:hint="eastAsia" w:hAnsi="宋体" w:cs="宋体"/>
          <w:b w:val="0"/>
          <w:bCs w:val="0"/>
          <w:color w:val="auto"/>
          <w:sz w:val="21"/>
          <w:szCs w:val="21"/>
          <w:highlight w:val="none"/>
        </w:rPr>
        <w:t>；</w:t>
      </w:r>
    </w:p>
    <w:p w14:paraId="7E83B220">
      <w:pPr>
        <w:pStyle w:val="20"/>
        <w:autoSpaceDE/>
        <w:autoSpaceDN/>
        <w:adjustRightInd/>
        <w:spacing w:line="360" w:lineRule="auto"/>
        <w:ind w:right="-28"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第二阶段：按子项目进度支付，所有子项目在该阶段累计支付金额不超过</w:t>
      </w:r>
      <w:r>
        <w:rPr>
          <w:rFonts w:hint="eastAsia" w:hAnsi="宋体" w:cs="宋体"/>
          <w:b w:val="0"/>
          <w:bCs w:val="0"/>
          <w:color w:val="auto"/>
          <w:sz w:val="21"/>
          <w:szCs w:val="21"/>
          <w:highlight w:val="none"/>
          <w:lang w:val="en-US" w:eastAsia="zh-CN"/>
        </w:rPr>
        <w:t>合同</w:t>
      </w:r>
      <w:r>
        <w:rPr>
          <w:rFonts w:hint="eastAsia" w:hAnsi="宋体" w:cs="宋体"/>
          <w:b w:val="0"/>
          <w:bCs w:val="0"/>
          <w:color w:val="auto"/>
          <w:sz w:val="21"/>
          <w:szCs w:val="21"/>
          <w:highlight w:val="none"/>
        </w:rPr>
        <w:t>暂定不含税总价的60%</w:t>
      </w:r>
      <w:r>
        <w:rPr>
          <w:rFonts w:hint="eastAsia" w:hAnsi="宋体" w:cs="宋体"/>
          <w:b w:val="0"/>
          <w:bCs w:val="0"/>
          <w:color w:val="auto"/>
          <w:sz w:val="21"/>
          <w:szCs w:val="21"/>
          <w:highlight w:val="none"/>
          <w:lang w:val="en-US"/>
        </w:rPr>
        <w:t>和对应的销项税额</w:t>
      </w:r>
      <w:r>
        <w:rPr>
          <w:rFonts w:hint="eastAsia" w:hAnsi="宋体" w:cs="宋体"/>
          <w:b w:val="0"/>
          <w:bCs w:val="0"/>
          <w:color w:val="auto"/>
          <w:sz w:val="21"/>
          <w:szCs w:val="21"/>
          <w:highlight w:val="none"/>
        </w:rPr>
        <w:t>，具体如下：</w:t>
      </w:r>
    </w:p>
    <w:p w14:paraId="68ED26C6">
      <w:pPr>
        <w:pStyle w:val="20"/>
        <w:autoSpaceDE/>
        <w:autoSpaceDN/>
        <w:adjustRightInd/>
        <w:spacing w:line="360" w:lineRule="auto"/>
        <w:ind w:right="-28"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（1）</w:t>
      </w:r>
      <w:r>
        <w:rPr>
          <w:rFonts w:hint="eastAsia" w:hAnsi="宋体" w:cs="宋体"/>
          <w:b w:val="0"/>
          <w:bCs w:val="0"/>
          <w:color w:val="auto"/>
          <w:sz w:val="21"/>
          <w:szCs w:val="21"/>
          <w:highlight w:val="none"/>
          <w:lang w:val="en-US"/>
        </w:rPr>
        <w:t>中标人</w:t>
      </w:r>
      <w:r>
        <w:rPr>
          <w:rFonts w:hint="eastAsia" w:hAnsi="宋体" w:cs="宋体"/>
          <w:b w:val="0"/>
          <w:bCs w:val="0"/>
          <w:color w:val="auto"/>
          <w:sz w:val="21"/>
          <w:szCs w:val="21"/>
          <w:highlight w:val="none"/>
        </w:rPr>
        <w:t>完成子项目备案</w:t>
      </w:r>
      <w:r>
        <w:rPr>
          <w:rFonts w:hint="eastAsia" w:hAnsi="宋体" w:cs="宋体"/>
          <w:b w:val="0"/>
          <w:bCs w:val="0"/>
          <w:color w:val="auto"/>
          <w:sz w:val="21"/>
          <w:szCs w:val="21"/>
          <w:highlight w:val="none"/>
          <w:lang w:val="en-US"/>
        </w:rPr>
        <w:t>并经招标人确认后</w:t>
      </w:r>
      <w:r>
        <w:rPr>
          <w:rFonts w:hint="eastAsia" w:hAnsi="宋体" w:cs="宋体"/>
          <w:b w:val="0"/>
          <w:bCs w:val="0"/>
          <w:color w:val="auto"/>
          <w:sz w:val="21"/>
          <w:szCs w:val="21"/>
          <w:highlight w:val="none"/>
        </w:rPr>
        <w:t>，招标人向中标人支付该子项目的项目暂定不含税总价的10%和对应的销项税额；</w:t>
      </w:r>
    </w:p>
    <w:p w14:paraId="7C2DCF11">
      <w:pPr>
        <w:pStyle w:val="20"/>
        <w:autoSpaceDE/>
        <w:autoSpaceDN/>
        <w:adjustRightInd/>
        <w:spacing w:line="360" w:lineRule="auto"/>
        <w:ind w:right="-28"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w:t>
      </w:r>
      <w:r>
        <w:rPr>
          <w:rFonts w:hint="eastAsia" w:hAnsi="宋体" w:cs="宋体"/>
          <w:b w:val="0"/>
          <w:bCs w:val="0"/>
          <w:color w:val="auto"/>
          <w:sz w:val="21"/>
          <w:szCs w:val="21"/>
          <w:highlight w:val="none"/>
          <w:lang w:val="en-US"/>
        </w:rPr>
        <w:t>2</w:t>
      </w:r>
      <w:r>
        <w:rPr>
          <w:rFonts w:hint="eastAsia" w:hAnsi="宋体" w:cs="宋体"/>
          <w:b w:val="0"/>
          <w:bCs w:val="0"/>
          <w:color w:val="auto"/>
          <w:sz w:val="21"/>
          <w:szCs w:val="21"/>
          <w:highlight w:val="none"/>
        </w:rPr>
        <w:t>）中标人完成光伏</w:t>
      </w:r>
      <w:r>
        <w:rPr>
          <w:rFonts w:hint="eastAsia" w:hAnsi="宋体" w:cs="宋体"/>
          <w:b w:val="0"/>
          <w:bCs w:val="0"/>
          <w:color w:val="auto"/>
          <w:sz w:val="21"/>
          <w:szCs w:val="21"/>
          <w:highlight w:val="none"/>
          <w:lang w:val="en-US" w:eastAsia="zh-CN"/>
        </w:rPr>
        <w:t>组件铺设</w:t>
      </w:r>
      <w:r>
        <w:rPr>
          <w:rFonts w:hint="eastAsia" w:hAnsi="宋体" w:cs="宋体"/>
          <w:b w:val="0"/>
          <w:bCs w:val="0"/>
          <w:color w:val="auto"/>
          <w:sz w:val="21"/>
          <w:szCs w:val="21"/>
          <w:highlight w:val="none"/>
        </w:rPr>
        <w:t>并经招标人确认后，招标人向中标人支付该子项目的项目暂定不含税总价的30%和对应的销项税额；</w:t>
      </w:r>
    </w:p>
    <w:p w14:paraId="7C38B23A">
      <w:pPr>
        <w:pStyle w:val="20"/>
        <w:autoSpaceDE/>
        <w:autoSpaceDN/>
        <w:adjustRightInd/>
        <w:spacing w:line="360" w:lineRule="auto"/>
        <w:ind w:right="-28"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w:t>
      </w:r>
      <w:r>
        <w:rPr>
          <w:rFonts w:hint="eastAsia" w:hAnsi="宋体" w:cs="宋体"/>
          <w:b w:val="0"/>
          <w:bCs w:val="0"/>
          <w:color w:val="auto"/>
          <w:sz w:val="21"/>
          <w:szCs w:val="21"/>
          <w:highlight w:val="none"/>
          <w:lang w:val="en-US"/>
        </w:rPr>
        <w:t>3</w:t>
      </w:r>
      <w:r>
        <w:rPr>
          <w:rFonts w:hint="eastAsia" w:hAnsi="宋体" w:cs="宋体"/>
          <w:b w:val="0"/>
          <w:bCs w:val="0"/>
          <w:color w:val="auto"/>
          <w:sz w:val="21"/>
          <w:szCs w:val="21"/>
          <w:highlight w:val="none"/>
        </w:rPr>
        <w:t>）子项目完成并网</w:t>
      </w:r>
      <w:r>
        <w:rPr>
          <w:rFonts w:hint="eastAsia" w:hAnsi="宋体" w:cs="宋体"/>
          <w:b w:val="0"/>
          <w:bCs w:val="0"/>
          <w:color w:val="auto"/>
          <w:sz w:val="21"/>
          <w:szCs w:val="21"/>
          <w:highlight w:val="none"/>
          <w:lang w:val="en-US"/>
        </w:rPr>
        <w:t>验收</w:t>
      </w:r>
      <w:r>
        <w:rPr>
          <w:rFonts w:hint="eastAsia" w:hAnsi="宋体" w:cs="宋体"/>
          <w:b w:val="0"/>
          <w:bCs w:val="0"/>
          <w:color w:val="auto"/>
          <w:sz w:val="21"/>
          <w:szCs w:val="21"/>
          <w:highlight w:val="none"/>
        </w:rPr>
        <w:t>，招标人向中标人支付该子项目的项目暂定不含税总价的20%</w:t>
      </w:r>
      <w:r>
        <w:rPr>
          <w:rFonts w:hint="eastAsia" w:hAnsi="宋体" w:cs="宋体"/>
          <w:b w:val="0"/>
          <w:bCs w:val="0"/>
          <w:color w:val="auto"/>
          <w:sz w:val="21"/>
          <w:szCs w:val="21"/>
          <w:highlight w:val="none"/>
          <w:lang w:val="en-US"/>
        </w:rPr>
        <w:t>和对应的销项税额</w:t>
      </w:r>
      <w:r>
        <w:rPr>
          <w:rFonts w:hint="eastAsia" w:hAnsi="宋体" w:cs="宋体"/>
          <w:b w:val="0"/>
          <w:bCs w:val="0"/>
          <w:color w:val="auto"/>
          <w:sz w:val="21"/>
          <w:szCs w:val="21"/>
          <w:highlight w:val="none"/>
        </w:rPr>
        <w:t>。</w:t>
      </w:r>
    </w:p>
    <w:p w14:paraId="284EAD7B">
      <w:pPr>
        <w:pStyle w:val="20"/>
        <w:autoSpaceDE/>
        <w:autoSpaceDN/>
        <w:adjustRightInd/>
        <w:spacing w:line="360" w:lineRule="auto"/>
        <w:ind w:right="-28" w:firstLine="420" w:firstLineChars="200"/>
        <w:jc w:val="left"/>
        <w:rPr>
          <w:rFonts w:hAnsi="宋体" w:cs="宋体"/>
          <w:b w:val="0"/>
          <w:bCs w:val="0"/>
          <w:color w:val="auto"/>
          <w:sz w:val="21"/>
          <w:szCs w:val="21"/>
          <w:highlight w:val="none"/>
          <w:lang w:val="en-US"/>
        </w:rPr>
      </w:pPr>
      <w:r>
        <w:rPr>
          <w:rFonts w:hint="eastAsia" w:hAnsi="宋体" w:cs="宋体"/>
          <w:b w:val="0"/>
          <w:bCs w:val="0"/>
          <w:color w:val="auto"/>
          <w:sz w:val="21"/>
          <w:szCs w:val="21"/>
          <w:highlight w:val="none"/>
        </w:rPr>
        <w:t>第三阶段：在所有子项目</w:t>
      </w:r>
      <w:r>
        <w:rPr>
          <w:rFonts w:hint="eastAsia" w:hAnsi="宋体" w:cs="宋体"/>
          <w:b w:val="0"/>
          <w:bCs w:val="0"/>
          <w:color w:val="auto"/>
          <w:sz w:val="21"/>
          <w:szCs w:val="21"/>
          <w:highlight w:val="none"/>
          <w:lang w:val="en-US"/>
        </w:rPr>
        <w:t>竣工</w:t>
      </w:r>
      <w:r>
        <w:rPr>
          <w:rFonts w:hint="eastAsia" w:hAnsi="宋体" w:cs="宋体"/>
          <w:b w:val="0"/>
          <w:bCs w:val="0"/>
          <w:color w:val="auto"/>
          <w:sz w:val="21"/>
          <w:szCs w:val="21"/>
          <w:highlight w:val="none"/>
        </w:rPr>
        <w:t>验收合格</w:t>
      </w:r>
      <w:r>
        <w:rPr>
          <w:rFonts w:hint="eastAsia" w:hAnsi="宋体" w:cs="宋体"/>
          <w:b w:val="0"/>
          <w:bCs w:val="0"/>
          <w:color w:val="auto"/>
          <w:sz w:val="21"/>
          <w:szCs w:val="21"/>
          <w:highlight w:val="none"/>
          <w:lang w:val="en-US"/>
        </w:rPr>
        <w:t>并</w:t>
      </w:r>
      <w:r>
        <w:rPr>
          <w:rFonts w:hint="eastAsia" w:hAnsi="宋体" w:cs="宋体"/>
          <w:b w:val="0"/>
          <w:bCs w:val="0"/>
          <w:color w:val="auto"/>
          <w:sz w:val="21"/>
          <w:szCs w:val="21"/>
          <w:highlight w:val="none"/>
        </w:rPr>
        <w:t>结算完成后，招标人向中标人支付至</w:t>
      </w:r>
      <w:r>
        <w:rPr>
          <w:rFonts w:hint="eastAsia" w:hAnsi="宋体" w:cs="宋体"/>
          <w:b w:val="0"/>
          <w:bCs w:val="0"/>
          <w:color w:val="auto"/>
          <w:sz w:val="21"/>
          <w:szCs w:val="21"/>
          <w:highlight w:val="none"/>
          <w:lang w:val="en-US" w:eastAsia="zh-CN"/>
        </w:rPr>
        <w:t>合同</w:t>
      </w:r>
      <w:r>
        <w:rPr>
          <w:rFonts w:hint="eastAsia" w:hAnsi="宋体" w:cs="宋体"/>
          <w:b w:val="0"/>
          <w:bCs w:val="0"/>
          <w:color w:val="auto"/>
          <w:sz w:val="21"/>
          <w:szCs w:val="21"/>
          <w:highlight w:val="none"/>
          <w:lang w:val="en-US"/>
        </w:rPr>
        <w:t>不含税</w:t>
      </w:r>
      <w:r>
        <w:rPr>
          <w:rFonts w:hint="eastAsia" w:hAnsi="宋体" w:cs="宋体"/>
          <w:b w:val="0"/>
          <w:bCs w:val="0"/>
          <w:color w:val="auto"/>
          <w:sz w:val="21"/>
          <w:szCs w:val="21"/>
          <w:highlight w:val="none"/>
        </w:rPr>
        <w:t>结算价款的90%</w:t>
      </w:r>
      <w:r>
        <w:rPr>
          <w:rFonts w:hint="eastAsia" w:hAnsi="宋体" w:cs="宋体"/>
          <w:b w:val="0"/>
          <w:bCs w:val="0"/>
          <w:color w:val="auto"/>
          <w:sz w:val="21"/>
          <w:szCs w:val="21"/>
          <w:highlight w:val="none"/>
          <w:lang w:val="en-US"/>
        </w:rPr>
        <w:t>和对应的销项税额。</w:t>
      </w:r>
    </w:p>
    <w:p w14:paraId="1D4585B5">
      <w:pPr>
        <w:pStyle w:val="20"/>
        <w:autoSpaceDE/>
        <w:autoSpaceDN/>
        <w:adjustRightInd/>
        <w:spacing w:line="360" w:lineRule="auto"/>
        <w:ind w:right="-28" w:firstLine="420" w:firstLineChars="200"/>
        <w:jc w:val="left"/>
        <w:rPr>
          <w:rFonts w:hAnsi="宋体" w:cs="宋体"/>
          <w:b w:val="0"/>
          <w:bCs w:val="0"/>
          <w:color w:val="auto"/>
          <w:sz w:val="21"/>
          <w:szCs w:val="21"/>
          <w:highlight w:val="none"/>
          <w:lang w:val="en-US"/>
        </w:rPr>
      </w:pPr>
      <w:r>
        <w:rPr>
          <w:rFonts w:hint="eastAsia" w:hAnsi="宋体" w:cs="宋体"/>
          <w:b w:val="0"/>
          <w:bCs w:val="0"/>
          <w:color w:val="auto"/>
          <w:sz w:val="21"/>
          <w:szCs w:val="21"/>
          <w:highlight w:val="none"/>
        </w:rPr>
        <w:t>第四阶段：</w:t>
      </w:r>
      <w:r>
        <w:rPr>
          <w:rFonts w:hint="eastAsia" w:hAnsi="宋体" w:cs="宋体"/>
          <w:b w:val="0"/>
          <w:bCs w:val="0"/>
          <w:color w:val="auto"/>
          <w:sz w:val="21"/>
          <w:szCs w:val="21"/>
          <w:highlight w:val="none"/>
          <w:lang w:val="en-US"/>
        </w:rPr>
        <w:t>不含税</w:t>
      </w:r>
      <w:r>
        <w:rPr>
          <w:rFonts w:hint="eastAsia" w:hAnsi="宋体" w:cs="宋体"/>
          <w:b w:val="0"/>
          <w:bCs w:val="0"/>
          <w:color w:val="auto"/>
          <w:sz w:val="21"/>
          <w:szCs w:val="21"/>
          <w:highlight w:val="none"/>
        </w:rPr>
        <w:t>总结算</w:t>
      </w:r>
      <w:r>
        <w:rPr>
          <w:rFonts w:hint="eastAsia" w:hAnsi="宋体" w:cs="宋体"/>
          <w:b w:val="0"/>
          <w:bCs w:val="0"/>
          <w:color w:val="auto"/>
          <w:sz w:val="21"/>
          <w:szCs w:val="21"/>
          <w:highlight w:val="none"/>
          <w:lang w:val="en-US"/>
        </w:rPr>
        <w:t>价</w:t>
      </w:r>
      <w:r>
        <w:rPr>
          <w:rFonts w:hint="eastAsia" w:hAnsi="宋体" w:cs="宋体"/>
          <w:b w:val="0"/>
          <w:bCs w:val="0"/>
          <w:color w:val="auto"/>
          <w:sz w:val="21"/>
          <w:szCs w:val="21"/>
          <w:highlight w:val="none"/>
        </w:rPr>
        <w:t>的7%和对应的销项税额</w:t>
      </w:r>
      <w:r>
        <w:rPr>
          <w:rFonts w:hint="eastAsia" w:hAnsi="宋体" w:cs="宋体"/>
          <w:b w:val="0"/>
          <w:bCs w:val="0"/>
          <w:color w:val="auto"/>
          <w:sz w:val="21"/>
          <w:szCs w:val="21"/>
          <w:highlight w:val="none"/>
          <w:lang w:val="en-US"/>
        </w:rPr>
        <w:t>作为1年运维费用，按一年四个季度分四期进行支付。运维期费用结合季度考核评价表按季度（运维起始期3个月视为一个季度）结算，具体如下：</w:t>
      </w:r>
    </w:p>
    <w:p w14:paraId="3B8A0FF8">
      <w:pPr>
        <w:pStyle w:val="20"/>
        <w:autoSpaceDE/>
        <w:autoSpaceDN/>
        <w:adjustRightInd/>
        <w:spacing w:line="360" w:lineRule="auto"/>
        <w:ind w:right="-28" w:firstLine="420" w:firstLineChars="200"/>
        <w:jc w:val="left"/>
        <w:rPr>
          <w:rFonts w:hAnsi="宋体" w:cs="宋体"/>
          <w:b w:val="0"/>
          <w:bCs w:val="0"/>
          <w:color w:val="auto"/>
          <w:sz w:val="21"/>
          <w:szCs w:val="21"/>
          <w:highlight w:val="none"/>
          <w:lang w:val="en-US"/>
        </w:rPr>
      </w:pPr>
      <w:r>
        <w:rPr>
          <w:rFonts w:hint="eastAsia" w:hAnsi="宋体" w:cs="宋体"/>
          <w:b w:val="0"/>
          <w:bCs w:val="0"/>
          <w:color w:val="auto"/>
          <w:sz w:val="21"/>
          <w:szCs w:val="21"/>
          <w:highlight w:val="none"/>
          <w:lang w:val="en-US"/>
        </w:rPr>
        <w:t>（1）每季度运维费用为1年运维费用的25%；</w:t>
      </w:r>
    </w:p>
    <w:p w14:paraId="3452AB6F">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（2）按季度考核评价表的评分结算当季度运维费用，评分90分以上（包括90分），按全额结算当季度运维费用；评分90分以下（不包括90分），按所得分数与满分的百分比结算当季度运维费用；</w:t>
      </w:r>
    </w:p>
    <w:p w14:paraId="1C1ED278">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（3）每季度运维费用中标人需在下一季度第一个月按要求提供请款资料，招标人在收到请款资料后20日内进行支付。</w:t>
      </w:r>
    </w:p>
    <w:p w14:paraId="65F61CAA">
      <w:pPr>
        <w:pStyle w:val="20"/>
        <w:autoSpaceDE/>
        <w:autoSpaceDN/>
        <w:adjustRightInd/>
        <w:spacing w:line="360" w:lineRule="auto"/>
        <w:ind w:right="-28" w:firstLine="420" w:firstLineChars="200"/>
        <w:jc w:val="left"/>
        <w:rPr>
          <w:rFonts w:hint="eastAsia" w:ascii="宋体" w:hAnsi="宋体" w:eastAsia="宋体" w:cs="宋体"/>
          <w:b w:val="0"/>
          <w:bCs w:val="0"/>
          <w:color w:val="auto"/>
          <w:sz w:val="21"/>
          <w:szCs w:val="21"/>
          <w:highlight w:val="none"/>
        </w:rPr>
      </w:pPr>
      <w:r>
        <w:rPr>
          <w:rFonts w:hint="eastAsia" w:hAnsi="宋体" w:cs="宋体"/>
          <w:b w:val="0"/>
          <w:bCs w:val="0"/>
          <w:color w:val="auto"/>
          <w:sz w:val="21"/>
          <w:szCs w:val="21"/>
          <w:highlight w:val="none"/>
          <w:lang w:val="en-US"/>
        </w:rPr>
        <w:t>第五阶段：</w:t>
      </w:r>
      <w:r>
        <w:rPr>
          <w:rFonts w:hint="eastAsia" w:ascii="宋体" w:hAnsi="宋体" w:eastAsia="宋体" w:cs="宋体"/>
          <w:b w:val="0"/>
          <w:bCs w:val="0"/>
          <w:color w:val="auto"/>
          <w:sz w:val="21"/>
          <w:szCs w:val="21"/>
          <w:highlight w:val="none"/>
        </w:rPr>
        <w:t>结算价款的3%</w:t>
      </w:r>
      <w:r>
        <w:rPr>
          <w:rFonts w:hint="eastAsia" w:hAnsi="宋体" w:cs="宋体"/>
          <w:b w:val="0"/>
          <w:bCs w:val="0"/>
          <w:color w:val="auto"/>
          <w:sz w:val="21"/>
          <w:szCs w:val="21"/>
          <w:highlight w:val="none"/>
          <w:lang w:val="en-US" w:eastAsia="zh-CN"/>
        </w:rPr>
        <w:t>及其销项税额</w:t>
      </w:r>
      <w:r>
        <w:rPr>
          <w:rFonts w:hint="eastAsia" w:ascii="宋体" w:hAnsi="宋体" w:eastAsia="宋体" w:cs="宋体"/>
          <w:b w:val="0"/>
          <w:bCs w:val="0"/>
          <w:color w:val="auto"/>
          <w:sz w:val="21"/>
          <w:szCs w:val="21"/>
          <w:highlight w:val="none"/>
        </w:rPr>
        <w:t>留作质量保修金。若中标人按合同约定履行质量保修义务，招标人将在质保期满后无息退还剩余质量保修金。如中标人未按合同约定履行质量保修义务，招标人有权不予退还或推迟退还质量保修金。中标人可在承诺的</w:t>
      </w:r>
      <w:r>
        <w:rPr>
          <w:rFonts w:hint="eastAsia" w:hAnsi="宋体" w:cs="宋体"/>
          <w:b w:val="0"/>
          <w:bCs w:val="0"/>
          <w:color w:val="auto"/>
          <w:sz w:val="21"/>
          <w:szCs w:val="21"/>
          <w:highlight w:val="none"/>
          <w:lang w:val="en-US" w:eastAsia="zh-CN"/>
        </w:rPr>
        <w:t>项目整体</w:t>
      </w:r>
      <w:r>
        <w:rPr>
          <w:rFonts w:hint="eastAsia" w:ascii="宋体" w:hAnsi="宋体" w:eastAsia="宋体" w:cs="宋体"/>
          <w:b w:val="0"/>
          <w:bCs w:val="0"/>
          <w:color w:val="auto"/>
          <w:sz w:val="21"/>
          <w:szCs w:val="21"/>
          <w:highlight w:val="none"/>
        </w:rPr>
        <w:t>质量保修期届满前，提前申请退还质量保修金。如提前申请，中标人须向招标人提交一份担保金额与质量保修金等额、无条件、见索即付且不可撤销</w:t>
      </w:r>
      <w:r>
        <w:rPr>
          <w:rFonts w:hint="eastAsia" w:hAnsi="宋体" w:cs="宋体"/>
          <w:b w:val="0"/>
          <w:bCs w:val="0"/>
          <w:color w:val="auto"/>
          <w:sz w:val="21"/>
          <w:szCs w:val="21"/>
          <w:highlight w:val="none"/>
          <w:lang w:val="en-US" w:eastAsia="zh-CN"/>
        </w:rPr>
        <w:t>银行</w:t>
      </w:r>
      <w:r>
        <w:rPr>
          <w:rFonts w:hint="eastAsia" w:ascii="宋体" w:hAnsi="宋体" w:eastAsia="宋体" w:cs="宋体"/>
          <w:b w:val="0"/>
          <w:bCs w:val="0"/>
          <w:color w:val="auto"/>
          <w:sz w:val="21"/>
          <w:szCs w:val="21"/>
          <w:highlight w:val="none"/>
        </w:rPr>
        <w:t>质量保修保函，该</w:t>
      </w:r>
      <w:r>
        <w:rPr>
          <w:rFonts w:hint="eastAsia" w:hAnsi="宋体" w:cs="宋体"/>
          <w:b w:val="0"/>
          <w:bCs w:val="0"/>
          <w:color w:val="auto"/>
          <w:sz w:val="21"/>
          <w:szCs w:val="21"/>
          <w:highlight w:val="none"/>
          <w:lang w:val="en-US" w:eastAsia="zh-CN"/>
        </w:rPr>
        <w:t>银行</w:t>
      </w:r>
      <w:r>
        <w:rPr>
          <w:rFonts w:hint="eastAsia" w:ascii="宋体" w:hAnsi="宋体" w:eastAsia="宋体" w:cs="宋体"/>
          <w:b w:val="0"/>
          <w:bCs w:val="0"/>
          <w:color w:val="auto"/>
          <w:sz w:val="21"/>
          <w:szCs w:val="21"/>
          <w:highlight w:val="none"/>
        </w:rPr>
        <w:t>保函的有效期应覆盖</w:t>
      </w:r>
      <w:r>
        <w:rPr>
          <w:rFonts w:hint="eastAsia" w:hAnsi="宋体" w:cs="宋体"/>
          <w:b w:val="0"/>
          <w:bCs w:val="0"/>
          <w:color w:val="auto"/>
          <w:sz w:val="21"/>
          <w:szCs w:val="21"/>
          <w:highlight w:val="none"/>
          <w:lang w:val="en-US" w:eastAsia="zh-CN"/>
        </w:rPr>
        <w:t>中</w:t>
      </w:r>
      <w:r>
        <w:rPr>
          <w:rFonts w:hint="eastAsia" w:ascii="宋体" w:hAnsi="宋体" w:eastAsia="宋体" w:cs="宋体"/>
          <w:b w:val="0"/>
          <w:bCs w:val="0"/>
          <w:color w:val="auto"/>
          <w:sz w:val="21"/>
          <w:szCs w:val="21"/>
          <w:highlight w:val="none"/>
        </w:rPr>
        <w:t>标人承诺的</w:t>
      </w:r>
      <w:r>
        <w:rPr>
          <w:rFonts w:hint="eastAsia" w:hAnsi="宋体" w:cs="宋体"/>
          <w:b w:val="0"/>
          <w:bCs w:val="0"/>
          <w:color w:val="auto"/>
          <w:sz w:val="21"/>
          <w:szCs w:val="21"/>
          <w:highlight w:val="none"/>
          <w:lang w:val="en-US" w:eastAsia="zh-CN"/>
        </w:rPr>
        <w:t>项目整体</w:t>
      </w:r>
      <w:r>
        <w:rPr>
          <w:rFonts w:hint="eastAsia" w:ascii="宋体" w:hAnsi="宋体" w:eastAsia="宋体" w:cs="宋体"/>
          <w:b w:val="0"/>
          <w:bCs w:val="0"/>
          <w:color w:val="auto"/>
          <w:sz w:val="21"/>
          <w:szCs w:val="21"/>
          <w:highlight w:val="none"/>
        </w:rPr>
        <w:t>质保期限。招标人将在收到符合要求的</w:t>
      </w:r>
      <w:r>
        <w:rPr>
          <w:rFonts w:hint="eastAsia" w:hAnsi="宋体" w:cs="宋体"/>
          <w:b w:val="0"/>
          <w:bCs w:val="0"/>
          <w:color w:val="auto"/>
          <w:sz w:val="21"/>
          <w:szCs w:val="21"/>
          <w:highlight w:val="none"/>
          <w:lang w:val="en-US" w:eastAsia="zh-CN"/>
        </w:rPr>
        <w:t>银行</w:t>
      </w:r>
      <w:r>
        <w:rPr>
          <w:rFonts w:hint="eastAsia" w:ascii="宋体" w:hAnsi="宋体" w:eastAsia="宋体" w:cs="宋体"/>
          <w:b w:val="0"/>
          <w:bCs w:val="0"/>
          <w:color w:val="auto"/>
          <w:sz w:val="21"/>
          <w:szCs w:val="21"/>
          <w:highlight w:val="none"/>
        </w:rPr>
        <w:t>保函后办理退还。</w:t>
      </w:r>
    </w:p>
    <w:p w14:paraId="213AEC66">
      <w:pPr>
        <w:pStyle w:val="20"/>
        <w:autoSpaceDE/>
        <w:autoSpaceDN/>
        <w:adjustRightInd/>
        <w:spacing w:line="360" w:lineRule="auto"/>
        <w:ind w:right="-28" w:firstLine="422" w:firstLineChars="200"/>
        <w:jc w:val="left"/>
        <w:rPr>
          <w:rFonts w:hAnsi="宋体" w:cs="宋体"/>
          <w:color w:val="auto"/>
          <w:sz w:val="21"/>
          <w:szCs w:val="21"/>
          <w:highlight w:val="none"/>
        </w:rPr>
      </w:pPr>
      <w:r>
        <w:rPr>
          <w:rFonts w:hint="eastAsia" w:hAnsi="宋体" w:cs="宋体"/>
          <w:color w:val="auto"/>
          <w:sz w:val="21"/>
          <w:szCs w:val="21"/>
          <w:highlight w:val="none"/>
        </w:rPr>
        <w:t>6、</w:t>
      </w:r>
      <w:r>
        <w:rPr>
          <w:rFonts w:hint="eastAsia" w:hAnsi="宋体" w:cs="宋体"/>
          <w:color w:val="auto"/>
          <w:sz w:val="21"/>
          <w:szCs w:val="21"/>
          <w:highlight w:val="none"/>
          <w:u w:val="single"/>
        </w:rPr>
        <w:t>投标人须对本项目为单位的货物及服务进行整体投标，任何只对其中一部分内容进行的投标都被视为无效投标</w:t>
      </w:r>
      <w:r>
        <w:rPr>
          <w:rFonts w:hint="eastAsia" w:hAnsi="宋体" w:cs="宋体"/>
          <w:color w:val="auto"/>
          <w:sz w:val="21"/>
          <w:szCs w:val="21"/>
          <w:highlight w:val="none"/>
        </w:rPr>
        <w:t>。如本项目的部分安装（实施）工程需要具有相应资质才能实施但投标人不具备该项资质的，投标人应在获得招标人的书面同意后，委托具有相应资质的单位实施。</w:t>
      </w:r>
    </w:p>
    <w:p w14:paraId="6EFF077D">
      <w:pPr>
        <w:pStyle w:val="17"/>
        <w:rPr>
          <w:color w:val="auto"/>
          <w:highlight w:val="none"/>
        </w:rPr>
      </w:pPr>
    </w:p>
    <w:p w14:paraId="330E5D45">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附件1 项目清单（详见本项目招标公告）</w:t>
      </w:r>
    </w:p>
    <w:p w14:paraId="16D254CA">
      <w:pPr>
        <w:tabs>
          <w:tab w:val="center" w:pos="3125"/>
        </w:tabs>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u w:val="single"/>
        </w:rPr>
        <w:t>特别说明：本项目按图纸、用户需求书、合同范围总承包，并以不含税固定每瓦单价包干。本项目清单仅供投标人核算造价，不作为结算计价标准，最终合同的结算价按合同约定的不含税固定每瓦单价×实际结算装机容量和对应的销项税额结算</w:t>
      </w:r>
      <w:r>
        <w:rPr>
          <w:rFonts w:hint="eastAsia" w:ascii="宋体" w:hAnsi="宋体" w:eastAsia="宋体" w:cs="宋体"/>
          <w:b/>
          <w:bCs/>
          <w:color w:val="auto"/>
          <w:szCs w:val="21"/>
          <w:highlight w:val="none"/>
        </w:rPr>
        <w:t>。</w:t>
      </w:r>
    </w:p>
    <w:p w14:paraId="69081C9E">
      <w:pPr>
        <w:numPr>
          <w:ilvl w:val="255"/>
          <w:numId w:val="0"/>
        </w:numPr>
        <w:spacing w:line="360" w:lineRule="auto"/>
        <w:rPr>
          <w:rFonts w:ascii="宋体" w:hAnsi="宋体" w:eastAsia="宋体" w:cs="宋体"/>
          <w:color w:val="auto"/>
          <w:szCs w:val="21"/>
          <w:highlight w:val="none"/>
        </w:rPr>
      </w:pPr>
    </w:p>
    <w:p w14:paraId="41498D61">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附件2 图纸（详见本项目招标公告）</w:t>
      </w:r>
    </w:p>
    <w:p w14:paraId="0B380E44">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图纸目录</w:t>
      </w:r>
    </w:p>
    <w:tbl>
      <w:tblPr>
        <w:tblStyle w:val="45"/>
        <w:tblW w:w="48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1152"/>
        <w:gridCol w:w="2041"/>
        <w:gridCol w:w="1463"/>
        <w:gridCol w:w="1749"/>
        <w:gridCol w:w="2366"/>
      </w:tblGrid>
      <w:tr w14:paraId="60CC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6" w:type="pct"/>
            <w:vAlign w:val="center"/>
          </w:tcPr>
          <w:p w14:paraId="2E57CFD2">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73" w:type="pct"/>
            <w:gridSpan w:val="2"/>
            <w:vAlign w:val="center"/>
          </w:tcPr>
          <w:p w14:paraId="5475F473">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图纸名称</w:t>
            </w:r>
          </w:p>
        </w:tc>
        <w:tc>
          <w:tcPr>
            <w:tcW w:w="721" w:type="pct"/>
            <w:vAlign w:val="center"/>
          </w:tcPr>
          <w:p w14:paraId="7EB2D521">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页数</w:t>
            </w:r>
          </w:p>
        </w:tc>
        <w:tc>
          <w:tcPr>
            <w:tcW w:w="862" w:type="pct"/>
            <w:vAlign w:val="center"/>
          </w:tcPr>
          <w:p w14:paraId="0CE4F124">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出图日期</w:t>
            </w:r>
          </w:p>
        </w:tc>
        <w:tc>
          <w:tcPr>
            <w:tcW w:w="1166" w:type="pct"/>
            <w:vAlign w:val="center"/>
          </w:tcPr>
          <w:p w14:paraId="7F45A1D4">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68C8B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pct"/>
            <w:vAlign w:val="center"/>
          </w:tcPr>
          <w:p w14:paraId="63BE97A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67" w:type="pct"/>
            <w:vMerge w:val="restart"/>
            <w:vAlign w:val="center"/>
          </w:tcPr>
          <w:p w14:paraId="2EF6BF8A">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东莞市水务集团分布式光伏发电项目（第一批）供水厂项目</w:t>
            </w:r>
          </w:p>
        </w:tc>
        <w:tc>
          <w:tcPr>
            <w:tcW w:w="1006" w:type="pct"/>
            <w:vAlign w:val="center"/>
          </w:tcPr>
          <w:p w14:paraId="1DA5CF17">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第六水厂</w:t>
            </w:r>
          </w:p>
        </w:tc>
        <w:tc>
          <w:tcPr>
            <w:tcW w:w="721" w:type="pct"/>
            <w:vAlign w:val="center"/>
          </w:tcPr>
          <w:p w14:paraId="13849B8B">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76</w:t>
            </w:r>
          </w:p>
        </w:tc>
        <w:tc>
          <w:tcPr>
            <w:tcW w:w="862" w:type="pct"/>
            <w:vAlign w:val="center"/>
          </w:tcPr>
          <w:p w14:paraId="7ABB8262">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2025.08</w:t>
            </w:r>
          </w:p>
        </w:tc>
        <w:tc>
          <w:tcPr>
            <w:tcW w:w="1166" w:type="pct"/>
            <w:vAlign w:val="center"/>
          </w:tcPr>
          <w:p w14:paraId="70F90957">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组成内容：</w:t>
            </w:r>
            <w:r>
              <w:rPr>
                <w:rFonts w:hint="eastAsia" w:ascii="宋体" w:hAnsi="宋体" w:eastAsia="宋体" w:cs="宋体"/>
                <w:color w:val="auto"/>
                <w:szCs w:val="21"/>
                <w:highlight w:val="none"/>
              </w:rPr>
              <w:t>电气</w:t>
            </w:r>
            <w:r>
              <w:rPr>
                <w:rFonts w:hint="eastAsia" w:ascii="宋体" w:hAnsi="宋体" w:eastAsia="宋体" w:cs="宋体"/>
                <w:color w:val="auto"/>
                <w:szCs w:val="21"/>
                <w:highlight w:val="none"/>
                <w:lang w:val="en-US" w:eastAsia="zh-CN"/>
              </w:rPr>
              <w:t>工程、结构工程</w:t>
            </w:r>
          </w:p>
        </w:tc>
      </w:tr>
      <w:tr w14:paraId="535F0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pct"/>
            <w:vAlign w:val="center"/>
          </w:tcPr>
          <w:p w14:paraId="04E53F4F">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567" w:type="pct"/>
            <w:vMerge w:val="continue"/>
            <w:vAlign w:val="center"/>
          </w:tcPr>
          <w:p w14:paraId="17DB64F1">
            <w:pPr>
              <w:jc w:val="center"/>
              <w:rPr>
                <w:rFonts w:ascii="宋体" w:hAnsi="宋体" w:eastAsia="宋体" w:cs="宋体"/>
                <w:color w:val="auto"/>
                <w:szCs w:val="21"/>
                <w:highlight w:val="none"/>
              </w:rPr>
            </w:pPr>
          </w:p>
        </w:tc>
        <w:tc>
          <w:tcPr>
            <w:tcW w:w="1006" w:type="pct"/>
            <w:vAlign w:val="center"/>
          </w:tcPr>
          <w:p w14:paraId="1C47D317">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第三水厂</w:t>
            </w:r>
          </w:p>
        </w:tc>
        <w:tc>
          <w:tcPr>
            <w:tcW w:w="721" w:type="pct"/>
            <w:vAlign w:val="center"/>
          </w:tcPr>
          <w:p w14:paraId="300ED4FF">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70</w:t>
            </w:r>
          </w:p>
        </w:tc>
        <w:tc>
          <w:tcPr>
            <w:tcW w:w="862" w:type="pct"/>
            <w:vAlign w:val="center"/>
          </w:tcPr>
          <w:p w14:paraId="4206BE0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2025.0</w:t>
            </w:r>
            <w:r>
              <w:rPr>
                <w:rFonts w:hint="eastAsia" w:ascii="宋体" w:hAnsi="宋体" w:eastAsia="宋体" w:cs="宋体"/>
                <w:color w:val="auto"/>
                <w:szCs w:val="21"/>
                <w:highlight w:val="none"/>
                <w:lang w:eastAsia="zh-CN"/>
              </w:rPr>
              <w:t>8</w:t>
            </w:r>
          </w:p>
        </w:tc>
        <w:tc>
          <w:tcPr>
            <w:tcW w:w="1166" w:type="pct"/>
            <w:vAlign w:val="center"/>
          </w:tcPr>
          <w:p w14:paraId="1BD8E1A7">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组成内容：</w:t>
            </w:r>
            <w:r>
              <w:rPr>
                <w:rFonts w:hint="eastAsia" w:ascii="宋体" w:hAnsi="宋体" w:eastAsia="宋体" w:cs="宋体"/>
                <w:color w:val="auto"/>
                <w:szCs w:val="21"/>
                <w:highlight w:val="none"/>
              </w:rPr>
              <w:t>电气</w:t>
            </w:r>
            <w:r>
              <w:rPr>
                <w:rFonts w:hint="eastAsia" w:ascii="宋体" w:hAnsi="宋体" w:eastAsia="宋体" w:cs="宋体"/>
                <w:color w:val="auto"/>
                <w:szCs w:val="21"/>
                <w:highlight w:val="none"/>
                <w:lang w:val="en-US" w:eastAsia="zh-CN"/>
              </w:rPr>
              <w:t>工程、结构工程</w:t>
            </w:r>
          </w:p>
        </w:tc>
      </w:tr>
      <w:tr w14:paraId="2AD87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pct"/>
            <w:vAlign w:val="center"/>
          </w:tcPr>
          <w:p w14:paraId="52C8815A">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567" w:type="pct"/>
            <w:vMerge w:val="continue"/>
            <w:vAlign w:val="center"/>
          </w:tcPr>
          <w:p w14:paraId="03404717">
            <w:pPr>
              <w:jc w:val="center"/>
              <w:rPr>
                <w:rFonts w:ascii="宋体" w:hAnsi="宋体" w:eastAsia="宋体" w:cs="宋体"/>
                <w:color w:val="auto"/>
                <w:szCs w:val="21"/>
                <w:highlight w:val="none"/>
              </w:rPr>
            </w:pPr>
          </w:p>
        </w:tc>
        <w:tc>
          <w:tcPr>
            <w:tcW w:w="1006" w:type="pct"/>
            <w:vAlign w:val="center"/>
          </w:tcPr>
          <w:p w14:paraId="0EAFCE9F">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第四水厂</w:t>
            </w:r>
          </w:p>
        </w:tc>
        <w:tc>
          <w:tcPr>
            <w:tcW w:w="721" w:type="pct"/>
            <w:vAlign w:val="center"/>
          </w:tcPr>
          <w:p w14:paraId="3D02B5C3">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64</w:t>
            </w:r>
          </w:p>
        </w:tc>
        <w:tc>
          <w:tcPr>
            <w:tcW w:w="862" w:type="pct"/>
            <w:vAlign w:val="center"/>
          </w:tcPr>
          <w:p w14:paraId="0C9472C3">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2025.08</w:t>
            </w:r>
          </w:p>
        </w:tc>
        <w:tc>
          <w:tcPr>
            <w:tcW w:w="1166" w:type="pct"/>
            <w:vAlign w:val="center"/>
          </w:tcPr>
          <w:p w14:paraId="6DD4CF84">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组成内容：</w:t>
            </w:r>
            <w:r>
              <w:rPr>
                <w:rFonts w:hint="eastAsia" w:ascii="宋体" w:hAnsi="宋体" w:eastAsia="宋体" w:cs="宋体"/>
                <w:color w:val="auto"/>
                <w:szCs w:val="21"/>
                <w:highlight w:val="none"/>
              </w:rPr>
              <w:t>电气</w:t>
            </w:r>
            <w:r>
              <w:rPr>
                <w:rFonts w:hint="eastAsia" w:ascii="宋体" w:hAnsi="宋体" w:eastAsia="宋体" w:cs="宋体"/>
                <w:color w:val="auto"/>
                <w:szCs w:val="21"/>
                <w:highlight w:val="none"/>
                <w:lang w:val="en-US" w:eastAsia="zh-CN"/>
              </w:rPr>
              <w:t>工程、结构工程</w:t>
            </w:r>
          </w:p>
        </w:tc>
      </w:tr>
      <w:tr w14:paraId="4D61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pct"/>
            <w:vAlign w:val="center"/>
          </w:tcPr>
          <w:p w14:paraId="2890634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567" w:type="pct"/>
            <w:vMerge w:val="continue"/>
            <w:vAlign w:val="center"/>
          </w:tcPr>
          <w:p w14:paraId="53773E2B">
            <w:pPr>
              <w:jc w:val="center"/>
              <w:rPr>
                <w:rFonts w:ascii="宋体" w:hAnsi="宋体" w:eastAsia="宋体" w:cs="宋体"/>
                <w:color w:val="auto"/>
                <w:szCs w:val="21"/>
                <w:highlight w:val="none"/>
              </w:rPr>
            </w:pPr>
          </w:p>
        </w:tc>
        <w:tc>
          <w:tcPr>
            <w:tcW w:w="1006" w:type="pct"/>
            <w:vAlign w:val="center"/>
          </w:tcPr>
          <w:p w14:paraId="143A298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第五水厂</w:t>
            </w:r>
          </w:p>
        </w:tc>
        <w:tc>
          <w:tcPr>
            <w:tcW w:w="721" w:type="pct"/>
            <w:vAlign w:val="center"/>
          </w:tcPr>
          <w:p w14:paraId="63936B10">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115</w:t>
            </w:r>
          </w:p>
        </w:tc>
        <w:tc>
          <w:tcPr>
            <w:tcW w:w="862" w:type="pct"/>
            <w:vAlign w:val="center"/>
          </w:tcPr>
          <w:p w14:paraId="25939DAB">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2025.08</w:t>
            </w:r>
          </w:p>
        </w:tc>
        <w:tc>
          <w:tcPr>
            <w:tcW w:w="1166" w:type="pct"/>
            <w:vAlign w:val="center"/>
          </w:tcPr>
          <w:p w14:paraId="769A3785">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组成内容：</w:t>
            </w:r>
            <w:r>
              <w:rPr>
                <w:rFonts w:hint="eastAsia" w:ascii="宋体" w:hAnsi="宋体" w:eastAsia="宋体" w:cs="宋体"/>
                <w:color w:val="auto"/>
                <w:szCs w:val="21"/>
                <w:highlight w:val="none"/>
              </w:rPr>
              <w:t>电气</w:t>
            </w:r>
            <w:r>
              <w:rPr>
                <w:rFonts w:hint="eastAsia" w:ascii="宋体" w:hAnsi="宋体" w:eastAsia="宋体" w:cs="宋体"/>
                <w:color w:val="auto"/>
                <w:szCs w:val="21"/>
                <w:highlight w:val="none"/>
                <w:lang w:val="en-US" w:eastAsia="zh-CN"/>
              </w:rPr>
              <w:t>工程、结构工程</w:t>
            </w:r>
          </w:p>
        </w:tc>
      </w:tr>
      <w:tr w14:paraId="78B3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pct"/>
            <w:vAlign w:val="center"/>
          </w:tcPr>
          <w:p w14:paraId="3F075DAD">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567" w:type="pct"/>
            <w:vMerge w:val="continue"/>
            <w:vAlign w:val="center"/>
          </w:tcPr>
          <w:p w14:paraId="248C20B2">
            <w:pPr>
              <w:jc w:val="center"/>
              <w:rPr>
                <w:rFonts w:ascii="宋体" w:hAnsi="宋体" w:eastAsia="宋体" w:cs="宋体"/>
                <w:color w:val="auto"/>
                <w:szCs w:val="21"/>
                <w:highlight w:val="none"/>
              </w:rPr>
            </w:pPr>
          </w:p>
        </w:tc>
        <w:tc>
          <w:tcPr>
            <w:tcW w:w="1006" w:type="pct"/>
            <w:vAlign w:val="center"/>
          </w:tcPr>
          <w:p w14:paraId="103188C4">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凤岗第二水厂</w:t>
            </w:r>
          </w:p>
        </w:tc>
        <w:tc>
          <w:tcPr>
            <w:tcW w:w="721" w:type="pct"/>
            <w:vAlign w:val="center"/>
          </w:tcPr>
          <w:p w14:paraId="6066413D">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64</w:t>
            </w:r>
          </w:p>
        </w:tc>
        <w:tc>
          <w:tcPr>
            <w:tcW w:w="862" w:type="pct"/>
            <w:vAlign w:val="center"/>
          </w:tcPr>
          <w:p w14:paraId="7AE8167D">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2025.08</w:t>
            </w:r>
          </w:p>
        </w:tc>
        <w:tc>
          <w:tcPr>
            <w:tcW w:w="1166" w:type="pct"/>
            <w:vAlign w:val="center"/>
          </w:tcPr>
          <w:p w14:paraId="2D5DD100">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组成内容：</w:t>
            </w:r>
            <w:r>
              <w:rPr>
                <w:rFonts w:hint="eastAsia" w:ascii="宋体" w:hAnsi="宋体" w:eastAsia="宋体" w:cs="宋体"/>
                <w:color w:val="auto"/>
                <w:szCs w:val="21"/>
                <w:highlight w:val="none"/>
              </w:rPr>
              <w:t>电气</w:t>
            </w:r>
            <w:r>
              <w:rPr>
                <w:rFonts w:hint="eastAsia" w:ascii="宋体" w:hAnsi="宋体" w:eastAsia="宋体" w:cs="宋体"/>
                <w:color w:val="auto"/>
                <w:szCs w:val="21"/>
                <w:highlight w:val="none"/>
                <w:lang w:val="en-US" w:eastAsia="zh-CN"/>
              </w:rPr>
              <w:t>工程、结构工程</w:t>
            </w:r>
          </w:p>
        </w:tc>
      </w:tr>
      <w:tr w14:paraId="18EF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pct"/>
            <w:vAlign w:val="center"/>
          </w:tcPr>
          <w:p w14:paraId="56CFB362">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567" w:type="pct"/>
            <w:vMerge w:val="continue"/>
            <w:vAlign w:val="center"/>
          </w:tcPr>
          <w:p w14:paraId="42910B02">
            <w:pPr>
              <w:jc w:val="center"/>
              <w:rPr>
                <w:rFonts w:ascii="宋体" w:hAnsi="宋体" w:eastAsia="宋体" w:cs="宋体"/>
                <w:color w:val="auto"/>
                <w:szCs w:val="21"/>
                <w:highlight w:val="none"/>
              </w:rPr>
            </w:pPr>
          </w:p>
        </w:tc>
        <w:tc>
          <w:tcPr>
            <w:tcW w:w="1006" w:type="pct"/>
            <w:vAlign w:val="center"/>
          </w:tcPr>
          <w:p w14:paraId="234AF17B">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黄江水厂</w:t>
            </w:r>
          </w:p>
        </w:tc>
        <w:tc>
          <w:tcPr>
            <w:tcW w:w="721" w:type="pct"/>
            <w:vAlign w:val="center"/>
          </w:tcPr>
          <w:p w14:paraId="3D564F1D">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96</w:t>
            </w:r>
          </w:p>
        </w:tc>
        <w:tc>
          <w:tcPr>
            <w:tcW w:w="862" w:type="pct"/>
            <w:vAlign w:val="center"/>
          </w:tcPr>
          <w:p w14:paraId="1474A54B">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2025.08</w:t>
            </w:r>
          </w:p>
        </w:tc>
        <w:tc>
          <w:tcPr>
            <w:tcW w:w="1166" w:type="pct"/>
            <w:vAlign w:val="center"/>
          </w:tcPr>
          <w:p w14:paraId="3AD41AE9">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组成内容：</w:t>
            </w:r>
            <w:r>
              <w:rPr>
                <w:rFonts w:hint="eastAsia" w:ascii="宋体" w:hAnsi="宋体" w:eastAsia="宋体" w:cs="宋体"/>
                <w:color w:val="auto"/>
                <w:szCs w:val="21"/>
                <w:highlight w:val="none"/>
              </w:rPr>
              <w:t>电气</w:t>
            </w:r>
            <w:r>
              <w:rPr>
                <w:rFonts w:hint="eastAsia" w:ascii="宋体" w:hAnsi="宋体" w:eastAsia="宋体" w:cs="宋体"/>
                <w:color w:val="auto"/>
                <w:szCs w:val="21"/>
                <w:highlight w:val="none"/>
                <w:lang w:val="en-US" w:eastAsia="zh-CN"/>
              </w:rPr>
              <w:t>工程、结构工程</w:t>
            </w:r>
          </w:p>
        </w:tc>
      </w:tr>
      <w:tr w14:paraId="5944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pct"/>
            <w:vAlign w:val="center"/>
          </w:tcPr>
          <w:p w14:paraId="2E064DC2">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567" w:type="pct"/>
            <w:vMerge w:val="continue"/>
            <w:vAlign w:val="center"/>
          </w:tcPr>
          <w:p w14:paraId="7B54DC5C">
            <w:pPr>
              <w:jc w:val="center"/>
              <w:rPr>
                <w:rFonts w:ascii="宋体" w:hAnsi="宋体" w:eastAsia="宋体" w:cs="宋体"/>
                <w:color w:val="auto"/>
                <w:szCs w:val="21"/>
                <w:highlight w:val="none"/>
              </w:rPr>
            </w:pPr>
          </w:p>
        </w:tc>
        <w:tc>
          <w:tcPr>
            <w:tcW w:w="1006" w:type="pct"/>
            <w:vAlign w:val="center"/>
          </w:tcPr>
          <w:p w14:paraId="06BD1A9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企石水厂</w:t>
            </w:r>
          </w:p>
        </w:tc>
        <w:tc>
          <w:tcPr>
            <w:tcW w:w="721" w:type="pct"/>
            <w:vAlign w:val="center"/>
          </w:tcPr>
          <w:p w14:paraId="1002704A">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78</w:t>
            </w:r>
          </w:p>
        </w:tc>
        <w:tc>
          <w:tcPr>
            <w:tcW w:w="862" w:type="pct"/>
            <w:vAlign w:val="center"/>
          </w:tcPr>
          <w:p w14:paraId="02DE882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2025.08</w:t>
            </w:r>
          </w:p>
        </w:tc>
        <w:tc>
          <w:tcPr>
            <w:tcW w:w="1166" w:type="pct"/>
            <w:vAlign w:val="center"/>
          </w:tcPr>
          <w:p w14:paraId="5EB8E486">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组成内容：</w:t>
            </w:r>
            <w:r>
              <w:rPr>
                <w:rFonts w:hint="eastAsia" w:ascii="宋体" w:hAnsi="宋体" w:eastAsia="宋体" w:cs="宋体"/>
                <w:color w:val="auto"/>
                <w:szCs w:val="21"/>
                <w:highlight w:val="none"/>
              </w:rPr>
              <w:t>电气</w:t>
            </w:r>
            <w:r>
              <w:rPr>
                <w:rFonts w:hint="eastAsia" w:ascii="宋体" w:hAnsi="宋体" w:eastAsia="宋体" w:cs="宋体"/>
                <w:color w:val="auto"/>
                <w:szCs w:val="21"/>
                <w:highlight w:val="none"/>
                <w:lang w:val="en-US" w:eastAsia="zh-CN"/>
              </w:rPr>
              <w:t>工程、结构工程</w:t>
            </w:r>
          </w:p>
        </w:tc>
      </w:tr>
      <w:tr w14:paraId="2938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pct"/>
            <w:vAlign w:val="center"/>
          </w:tcPr>
          <w:p w14:paraId="79326DFB">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567" w:type="pct"/>
            <w:vMerge w:val="continue"/>
            <w:vAlign w:val="center"/>
          </w:tcPr>
          <w:p w14:paraId="0A3E51AE">
            <w:pPr>
              <w:jc w:val="center"/>
              <w:rPr>
                <w:rFonts w:ascii="宋体" w:hAnsi="宋体" w:eastAsia="宋体" w:cs="宋体"/>
                <w:color w:val="auto"/>
                <w:szCs w:val="21"/>
                <w:highlight w:val="none"/>
              </w:rPr>
            </w:pPr>
          </w:p>
        </w:tc>
        <w:tc>
          <w:tcPr>
            <w:tcW w:w="1006" w:type="pct"/>
            <w:vAlign w:val="center"/>
          </w:tcPr>
          <w:p w14:paraId="3C75C5C3">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石碣水厂</w:t>
            </w:r>
          </w:p>
        </w:tc>
        <w:tc>
          <w:tcPr>
            <w:tcW w:w="721" w:type="pct"/>
            <w:vAlign w:val="center"/>
          </w:tcPr>
          <w:p w14:paraId="7ABF064C">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80</w:t>
            </w:r>
          </w:p>
        </w:tc>
        <w:tc>
          <w:tcPr>
            <w:tcW w:w="862" w:type="pct"/>
            <w:vAlign w:val="center"/>
          </w:tcPr>
          <w:p w14:paraId="7EE1B0A9">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2025.08</w:t>
            </w:r>
          </w:p>
        </w:tc>
        <w:tc>
          <w:tcPr>
            <w:tcW w:w="1166" w:type="pct"/>
            <w:vAlign w:val="center"/>
          </w:tcPr>
          <w:p w14:paraId="77407318">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组成内容：</w:t>
            </w:r>
            <w:r>
              <w:rPr>
                <w:rFonts w:hint="eastAsia" w:ascii="宋体" w:hAnsi="宋体" w:eastAsia="宋体" w:cs="宋体"/>
                <w:color w:val="auto"/>
                <w:szCs w:val="21"/>
                <w:highlight w:val="none"/>
              </w:rPr>
              <w:t>电气</w:t>
            </w:r>
            <w:r>
              <w:rPr>
                <w:rFonts w:hint="eastAsia" w:ascii="宋体" w:hAnsi="宋体" w:eastAsia="宋体" w:cs="宋体"/>
                <w:color w:val="auto"/>
                <w:szCs w:val="21"/>
                <w:highlight w:val="none"/>
                <w:lang w:val="en-US" w:eastAsia="zh-CN"/>
              </w:rPr>
              <w:t>工程、结构工程</w:t>
            </w:r>
          </w:p>
        </w:tc>
      </w:tr>
      <w:tr w14:paraId="0FBC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pct"/>
            <w:vAlign w:val="center"/>
          </w:tcPr>
          <w:p w14:paraId="3612FC3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567" w:type="pct"/>
            <w:vMerge w:val="continue"/>
            <w:vAlign w:val="center"/>
          </w:tcPr>
          <w:p w14:paraId="2B8F55B6">
            <w:pPr>
              <w:jc w:val="center"/>
              <w:rPr>
                <w:rFonts w:ascii="宋体" w:hAnsi="宋体" w:eastAsia="宋体" w:cs="宋体"/>
                <w:color w:val="auto"/>
                <w:szCs w:val="21"/>
                <w:highlight w:val="none"/>
              </w:rPr>
            </w:pPr>
          </w:p>
        </w:tc>
        <w:tc>
          <w:tcPr>
            <w:tcW w:w="1006" w:type="pct"/>
            <w:vAlign w:val="center"/>
          </w:tcPr>
          <w:p w14:paraId="516B058D">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石龙黄洲水厂</w:t>
            </w:r>
          </w:p>
        </w:tc>
        <w:tc>
          <w:tcPr>
            <w:tcW w:w="721" w:type="pct"/>
            <w:vAlign w:val="center"/>
          </w:tcPr>
          <w:p w14:paraId="2E14D866">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81</w:t>
            </w:r>
          </w:p>
        </w:tc>
        <w:tc>
          <w:tcPr>
            <w:tcW w:w="862" w:type="pct"/>
            <w:vAlign w:val="center"/>
          </w:tcPr>
          <w:p w14:paraId="538A296B">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2025.08</w:t>
            </w:r>
          </w:p>
        </w:tc>
        <w:tc>
          <w:tcPr>
            <w:tcW w:w="1166" w:type="pct"/>
            <w:vAlign w:val="center"/>
          </w:tcPr>
          <w:p w14:paraId="7D5E9D34">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组成内容：</w:t>
            </w:r>
            <w:r>
              <w:rPr>
                <w:rFonts w:hint="eastAsia" w:ascii="宋体" w:hAnsi="宋体" w:eastAsia="宋体" w:cs="宋体"/>
                <w:color w:val="auto"/>
                <w:szCs w:val="21"/>
                <w:highlight w:val="none"/>
              </w:rPr>
              <w:t>电气</w:t>
            </w:r>
            <w:r>
              <w:rPr>
                <w:rFonts w:hint="eastAsia" w:ascii="宋体" w:hAnsi="宋体" w:eastAsia="宋体" w:cs="宋体"/>
                <w:color w:val="auto"/>
                <w:szCs w:val="21"/>
                <w:highlight w:val="none"/>
                <w:lang w:val="en-US" w:eastAsia="zh-CN"/>
              </w:rPr>
              <w:t>工程、结构工程</w:t>
            </w:r>
          </w:p>
        </w:tc>
      </w:tr>
      <w:tr w14:paraId="0FBC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pct"/>
            <w:vAlign w:val="center"/>
          </w:tcPr>
          <w:p w14:paraId="369AC903">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567" w:type="pct"/>
            <w:vMerge w:val="continue"/>
            <w:vAlign w:val="center"/>
          </w:tcPr>
          <w:p w14:paraId="275EF124">
            <w:pPr>
              <w:jc w:val="center"/>
              <w:rPr>
                <w:rFonts w:ascii="宋体" w:hAnsi="宋体" w:eastAsia="宋体" w:cs="宋体"/>
                <w:color w:val="auto"/>
                <w:szCs w:val="21"/>
                <w:highlight w:val="none"/>
              </w:rPr>
            </w:pPr>
          </w:p>
        </w:tc>
        <w:tc>
          <w:tcPr>
            <w:tcW w:w="1006" w:type="pct"/>
            <w:vAlign w:val="center"/>
          </w:tcPr>
          <w:p w14:paraId="314BDB0A">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塘厦凤凰水厂</w:t>
            </w:r>
          </w:p>
        </w:tc>
        <w:tc>
          <w:tcPr>
            <w:tcW w:w="721" w:type="pct"/>
            <w:vAlign w:val="center"/>
          </w:tcPr>
          <w:p w14:paraId="66A157E6">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85</w:t>
            </w:r>
          </w:p>
        </w:tc>
        <w:tc>
          <w:tcPr>
            <w:tcW w:w="862" w:type="pct"/>
            <w:vAlign w:val="center"/>
          </w:tcPr>
          <w:p w14:paraId="031FF748">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2025.08</w:t>
            </w:r>
          </w:p>
        </w:tc>
        <w:tc>
          <w:tcPr>
            <w:tcW w:w="1166" w:type="pct"/>
            <w:vAlign w:val="center"/>
          </w:tcPr>
          <w:p w14:paraId="3B2DE6B9">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组成内容：</w:t>
            </w:r>
            <w:r>
              <w:rPr>
                <w:rFonts w:hint="eastAsia" w:ascii="宋体" w:hAnsi="宋体" w:eastAsia="宋体" w:cs="宋体"/>
                <w:color w:val="auto"/>
                <w:szCs w:val="21"/>
                <w:highlight w:val="none"/>
              </w:rPr>
              <w:t>电气</w:t>
            </w:r>
            <w:r>
              <w:rPr>
                <w:rFonts w:hint="eastAsia" w:ascii="宋体" w:hAnsi="宋体" w:eastAsia="宋体" w:cs="宋体"/>
                <w:color w:val="auto"/>
                <w:szCs w:val="21"/>
                <w:highlight w:val="none"/>
                <w:lang w:val="en-US" w:eastAsia="zh-CN"/>
              </w:rPr>
              <w:t>工程、结构工程</w:t>
            </w:r>
          </w:p>
        </w:tc>
      </w:tr>
      <w:tr w14:paraId="3BAA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pct"/>
            <w:vAlign w:val="center"/>
          </w:tcPr>
          <w:p w14:paraId="1066D97D">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567" w:type="pct"/>
            <w:vMerge w:val="continue"/>
            <w:vAlign w:val="center"/>
          </w:tcPr>
          <w:p w14:paraId="70448CA0">
            <w:pPr>
              <w:jc w:val="center"/>
              <w:rPr>
                <w:rFonts w:ascii="宋体" w:hAnsi="宋体" w:eastAsia="宋体" w:cs="宋体"/>
                <w:color w:val="auto"/>
                <w:szCs w:val="21"/>
                <w:highlight w:val="none"/>
              </w:rPr>
            </w:pPr>
          </w:p>
        </w:tc>
        <w:tc>
          <w:tcPr>
            <w:tcW w:w="1006" w:type="pct"/>
            <w:vAlign w:val="center"/>
          </w:tcPr>
          <w:p w14:paraId="2CF0263B">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塘厦虾公岩水厂</w:t>
            </w:r>
          </w:p>
        </w:tc>
        <w:tc>
          <w:tcPr>
            <w:tcW w:w="721" w:type="pct"/>
            <w:vAlign w:val="center"/>
          </w:tcPr>
          <w:p w14:paraId="77D55284">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99</w:t>
            </w:r>
          </w:p>
        </w:tc>
        <w:tc>
          <w:tcPr>
            <w:tcW w:w="862" w:type="pct"/>
            <w:vAlign w:val="center"/>
          </w:tcPr>
          <w:p w14:paraId="35DBBAEC">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2025.08</w:t>
            </w:r>
          </w:p>
        </w:tc>
        <w:tc>
          <w:tcPr>
            <w:tcW w:w="1166" w:type="pct"/>
            <w:vAlign w:val="center"/>
          </w:tcPr>
          <w:p w14:paraId="754F3A18">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组成内容：</w:t>
            </w:r>
            <w:r>
              <w:rPr>
                <w:rFonts w:hint="eastAsia" w:ascii="宋体" w:hAnsi="宋体" w:eastAsia="宋体" w:cs="宋体"/>
                <w:color w:val="auto"/>
                <w:szCs w:val="21"/>
                <w:highlight w:val="none"/>
              </w:rPr>
              <w:t>电气</w:t>
            </w:r>
            <w:r>
              <w:rPr>
                <w:rFonts w:hint="eastAsia" w:ascii="宋体" w:hAnsi="宋体" w:eastAsia="宋体" w:cs="宋体"/>
                <w:color w:val="auto"/>
                <w:szCs w:val="21"/>
                <w:highlight w:val="none"/>
                <w:lang w:val="en-US" w:eastAsia="zh-CN"/>
              </w:rPr>
              <w:t>工程、结构工程</w:t>
            </w:r>
          </w:p>
        </w:tc>
      </w:tr>
      <w:tr w14:paraId="4CF7E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pct"/>
            <w:vAlign w:val="center"/>
          </w:tcPr>
          <w:p w14:paraId="12F3E837">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567" w:type="pct"/>
            <w:vMerge w:val="continue"/>
            <w:vAlign w:val="center"/>
          </w:tcPr>
          <w:p w14:paraId="21D164A7">
            <w:pPr>
              <w:jc w:val="center"/>
              <w:rPr>
                <w:rFonts w:ascii="宋体" w:hAnsi="宋体" w:eastAsia="宋体" w:cs="宋体"/>
                <w:color w:val="auto"/>
                <w:szCs w:val="21"/>
                <w:highlight w:val="none"/>
              </w:rPr>
            </w:pPr>
          </w:p>
        </w:tc>
        <w:tc>
          <w:tcPr>
            <w:tcW w:w="1006" w:type="pct"/>
            <w:vAlign w:val="center"/>
          </w:tcPr>
          <w:p w14:paraId="783E2F73">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塘厦中心水厂</w:t>
            </w:r>
          </w:p>
        </w:tc>
        <w:tc>
          <w:tcPr>
            <w:tcW w:w="721" w:type="pct"/>
            <w:vAlign w:val="center"/>
          </w:tcPr>
          <w:p w14:paraId="47C5D246">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99</w:t>
            </w:r>
          </w:p>
        </w:tc>
        <w:tc>
          <w:tcPr>
            <w:tcW w:w="862" w:type="pct"/>
            <w:vAlign w:val="center"/>
          </w:tcPr>
          <w:p w14:paraId="6E5B19E3">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2025.08</w:t>
            </w:r>
          </w:p>
        </w:tc>
        <w:tc>
          <w:tcPr>
            <w:tcW w:w="1166" w:type="pct"/>
            <w:vAlign w:val="center"/>
          </w:tcPr>
          <w:p w14:paraId="5156C181">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组成内容：</w:t>
            </w:r>
            <w:r>
              <w:rPr>
                <w:rFonts w:hint="eastAsia" w:ascii="宋体" w:hAnsi="宋体" w:eastAsia="宋体" w:cs="宋体"/>
                <w:color w:val="auto"/>
                <w:szCs w:val="21"/>
                <w:highlight w:val="none"/>
              </w:rPr>
              <w:t>电气</w:t>
            </w:r>
            <w:r>
              <w:rPr>
                <w:rFonts w:hint="eastAsia" w:ascii="宋体" w:hAnsi="宋体" w:eastAsia="宋体" w:cs="宋体"/>
                <w:color w:val="auto"/>
                <w:szCs w:val="21"/>
                <w:highlight w:val="none"/>
                <w:lang w:val="en-US" w:eastAsia="zh-CN"/>
              </w:rPr>
              <w:t>工程、结构工程</w:t>
            </w:r>
          </w:p>
        </w:tc>
      </w:tr>
      <w:tr w14:paraId="1AF0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pct"/>
            <w:vAlign w:val="center"/>
          </w:tcPr>
          <w:p w14:paraId="69E72773">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567" w:type="pct"/>
            <w:vMerge w:val="continue"/>
            <w:vAlign w:val="center"/>
          </w:tcPr>
          <w:p w14:paraId="0C7F42FF">
            <w:pPr>
              <w:jc w:val="center"/>
              <w:rPr>
                <w:rFonts w:ascii="宋体" w:hAnsi="宋体" w:eastAsia="宋体" w:cs="宋体"/>
                <w:color w:val="auto"/>
                <w:szCs w:val="21"/>
                <w:highlight w:val="none"/>
              </w:rPr>
            </w:pPr>
          </w:p>
        </w:tc>
        <w:tc>
          <w:tcPr>
            <w:tcW w:w="1006" w:type="pct"/>
            <w:vAlign w:val="center"/>
          </w:tcPr>
          <w:p w14:paraId="4BA35284">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谢岗第三水厂</w:t>
            </w:r>
          </w:p>
        </w:tc>
        <w:tc>
          <w:tcPr>
            <w:tcW w:w="721" w:type="pct"/>
            <w:vAlign w:val="center"/>
          </w:tcPr>
          <w:p w14:paraId="21C7960E">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80</w:t>
            </w:r>
          </w:p>
        </w:tc>
        <w:tc>
          <w:tcPr>
            <w:tcW w:w="862" w:type="pct"/>
            <w:vAlign w:val="center"/>
          </w:tcPr>
          <w:p w14:paraId="4AB46DBB">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2025.08</w:t>
            </w:r>
          </w:p>
        </w:tc>
        <w:tc>
          <w:tcPr>
            <w:tcW w:w="1166" w:type="pct"/>
            <w:vAlign w:val="center"/>
          </w:tcPr>
          <w:p w14:paraId="0124FE3C">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组成内容：</w:t>
            </w:r>
            <w:r>
              <w:rPr>
                <w:rFonts w:hint="eastAsia" w:ascii="宋体" w:hAnsi="宋体" w:eastAsia="宋体" w:cs="宋体"/>
                <w:color w:val="auto"/>
                <w:szCs w:val="21"/>
                <w:highlight w:val="none"/>
              </w:rPr>
              <w:t>电气</w:t>
            </w:r>
            <w:r>
              <w:rPr>
                <w:rFonts w:hint="eastAsia" w:ascii="宋体" w:hAnsi="宋体" w:eastAsia="宋体" w:cs="宋体"/>
                <w:color w:val="auto"/>
                <w:szCs w:val="21"/>
                <w:highlight w:val="none"/>
                <w:lang w:val="en-US" w:eastAsia="zh-CN"/>
              </w:rPr>
              <w:t>工程、结构工程</w:t>
            </w:r>
          </w:p>
        </w:tc>
      </w:tr>
      <w:tr w14:paraId="2900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pct"/>
            <w:vAlign w:val="center"/>
          </w:tcPr>
          <w:p w14:paraId="58E0EC52">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567" w:type="pct"/>
            <w:vMerge w:val="continue"/>
            <w:vAlign w:val="center"/>
          </w:tcPr>
          <w:p w14:paraId="78603FD2">
            <w:pPr>
              <w:jc w:val="center"/>
              <w:rPr>
                <w:rFonts w:ascii="宋体" w:hAnsi="宋体" w:eastAsia="宋体" w:cs="宋体"/>
                <w:color w:val="auto"/>
                <w:szCs w:val="21"/>
                <w:highlight w:val="none"/>
              </w:rPr>
            </w:pPr>
          </w:p>
        </w:tc>
        <w:tc>
          <w:tcPr>
            <w:tcW w:w="1006" w:type="pct"/>
            <w:vAlign w:val="center"/>
          </w:tcPr>
          <w:p w14:paraId="2BB49056">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樟木头勒竹排水厂</w:t>
            </w:r>
          </w:p>
        </w:tc>
        <w:tc>
          <w:tcPr>
            <w:tcW w:w="721" w:type="pct"/>
            <w:vAlign w:val="center"/>
          </w:tcPr>
          <w:p w14:paraId="046D3805">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80</w:t>
            </w:r>
          </w:p>
        </w:tc>
        <w:tc>
          <w:tcPr>
            <w:tcW w:w="862" w:type="pct"/>
            <w:vAlign w:val="center"/>
          </w:tcPr>
          <w:p w14:paraId="448001F7">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2025.08</w:t>
            </w:r>
          </w:p>
        </w:tc>
        <w:tc>
          <w:tcPr>
            <w:tcW w:w="1166" w:type="pct"/>
            <w:vAlign w:val="center"/>
          </w:tcPr>
          <w:p w14:paraId="4DA235D8">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组成内容：</w:t>
            </w:r>
            <w:r>
              <w:rPr>
                <w:rFonts w:hint="eastAsia" w:ascii="宋体" w:hAnsi="宋体" w:eastAsia="宋体" w:cs="宋体"/>
                <w:color w:val="auto"/>
                <w:szCs w:val="21"/>
                <w:highlight w:val="none"/>
              </w:rPr>
              <w:t>电气</w:t>
            </w:r>
            <w:r>
              <w:rPr>
                <w:rFonts w:hint="eastAsia" w:ascii="宋体" w:hAnsi="宋体" w:eastAsia="宋体" w:cs="宋体"/>
                <w:color w:val="auto"/>
                <w:szCs w:val="21"/>
                <w:highlight w:val="none"/>
                <w:lang w:val="en-US" w:eastAsia="zh-CN"/>
              </w:rPr>
              <w:t>工程、结构工程</w:t>
            </w:r>
          </w:p>
        </w:tc>
      </w:tr>
    </w:tbl>
    <w:p w14:paraId="037851C0">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720" w:name="_Toc20401"/>
      <w:bookmarkStart w:id="721" w:name="_Toc142508359"/>
      <w:bookmarkStart w:id="722" w:name="_Toc486167707"/>
      <w:bookmarkStart w:id="723" w:name="_Toc8894"/>
      <w:bookmarkStart w:id="724" w:name="_Toc32243"/>
      <w:bookmarkStart w:id="725" w:name="_Toc11281_WPSOffice_Level1"/>
      <w:bookmarkStart w:id="726" w:name="_Toc25251"/>
      <w:bookmarkStart w:id="727" w:name="_Toc13960"/>
      <w:bookmarkStart w:id="728" w:name="_Toc19015"/>
      <w:bookmarkStart w:id="729" w:name="_Toc195714338"/>
      <w:bookmarkStart w:id="730" w:name="_Toc450662892"/>
      <w:bookmarkStart w:id="731" w:name="_Toc134469727"/>
      <w:r>
        <w:rPr>
          <w:rFonts w:hint="eastAsia" w:ascii="宋体" w:hAnsi="宋体" w:eastAsia="宋体" w:cs="宋体"/>
          <w:b/>
          <w:bCs/>
          <w:color w:val="auto"/>
          <w:kern w:val="44"/>
          <w:sz w:val="32"/>
          <w:szCs w:val="32"/>
          <w:highlight w:val="none"/>
        </w:rPr>
        <w:t>第</w:t>
      </w:r>
      <w:r>
        <w:rPr>
          <w:rFonts w:hint="eastAsia" w:ascii="宋体" w:hAnsi="宋体" w:eastAsia="宋体" w:cs="宋体"/>
          <w:b/>
          <w:bCs/>
          <w:color w:val="auto"/>
          <w:kern w:val="44"/>
          <w:sz w:val="32"/>
          <w:szCs w:val="32"/>
          <w:highlight w:val="none"/>
          <w:lang w:val="zh-CN"/>
        </w:rPr>
        <w:t>四篇 合同条款格式</w:t>
      </w:r>
      <w:bookmarkEnd w:id="720"/>
      <w:bookmarkEnd w:id="721"/>
      <w:bookmarkEnd w:id="722"/>
      <w:bookmarkEnd w:id="723"/>
      <w:bookmarkEnd w:id="724"/>
      <w:bookmarkEnd w:id="725"/>
      <w:bookmarkEnd w:id="726"/>
      <w:bookmarkEnd w:id="727"/>
      <w:bookmarkEnd w:id="728"/>
      <w:bookmarkEnd w:id="729"/>
      <w:bookmarkEnd w:id="730"/>
    </w:p>
    <w:p w14:paraId="3BACD75F">
      <w:pPr>
        <w:autoSpaceDE w:val="0"/>
        <w:autoSpaceDN w:val="0"/>
        <w:adjustRightInd w:val="0"/>
        <w:snapToGrid w:val="0"/>
        <w:spacing w:line="360" w:lineRule="auto"/>
        <w:jc w:val="center"/>
        <w:rPr>
          <w:rFonts w:ascii="宋体" w:hAnsi="宋体" w:eastAsia="宋体" w:cs="宋体"/>
          <w:color w:val="auto"/>
          <w:kern w:val="0"/>
          <w:sz w:val="24"/>
          <w:szCs w:val="24"/>
          <w:highlight w:val="none"/>
        </w:rPr>
      </w:pPr>
    </w:p>
    <w:p w14:paraId="61F80451">
      <w:pPr>
        <w:autoSpaceDE w:val="0"/>
        <w:autoSpaceDN w:val="0"/>
        <w:adjustRightInd w:val="0"/>
        <w:snapToGri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 xml:space="preserve"> </w:t>
      </w:r>
    </w:p>
    <w:p w14:paraId="072474AD">
      <w:pPr>
        <w:autoSpaceDE w:val="0"/>
        <w:autoSpaceDN w:val="0"/>
        <w:adjustRightInd w:val="0"/>
        <w:snapToGri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 xml:space="preserve"> </w:t>
      </w:r>
    </w:p>
    <w:p w14:paraId="59D18D6C">
      <w:pPr>
        <w:autoSpaceDE w:val="0"/>
        <w:autoSpaceDN w:val="0"/>
        <w:adjustRightInd w:val="0"/>
        <w:spacing w:line="360" w:lineRule="auto"/>
        <w:jc w:val="center"/>
        <w:rPr>
          <w:rFonts w:hint="eastAsia" w:ascii="宋体" w:hAnsi="宋体" w:eastAsia="宋体" w:cs="宋体"/>
          <w:b/>
          <w:color w:val="auto"/>
          <w:kern w:val="0"/>
          <w:sz w:val="52"/>
          <w:szCs w:val="52"/>
          <w:highlight w:val="none"/>
          <w:lang w:eastAsia="zh-CN"/>
        </w:rPr>
      </w:pPr>
      <w:r>
        <w:rPr>
          <w:rFonts w:hint="eastAsia" w:ascii="宋体" w:hAnsi="宋体" w:eastAsia="宋体" w:cs="宋体"/>
          <w:b/>
          <w:color w:val="auto"/>
          <w:kern w:val="0"/>
          <w:sz w:val="52"/>
          <w:szCs w:val="52"/>
          <w:highlight w:val="none"/>
          <w:lang w:eastAsia="zh-CN" w:bidi="ar"/>
        </w:rPr>
        <w:t>东莞市水务环境投资控股集团分布式光伏发电项目（第一批）供水厂项目</w:t>
      </w:r>
    </w:p>
    <w:p w14:paraId="736212D2">
      <w:pPr>
        <w:autoSpaceDE w:val="0"/>
        <w:autoSpaceDN w:val="0"/>
        <w:adjustRightInd w:val="0"/>
        <w:spacing w:line="360" w:lineRule="auto"/>
        <w:jc w:val="center"/>
        <w:rPr>
          <w:rFonts w:ascii="宋体" w:hAnsi="宋体" w:eastAsia="宋体" w:cs="宋体"/>
          <w:bCs/>
          <w:color w:val="auto"/>
          <w:kern w:val="0"/>
          <w:sz w:val="52"/>
          <w:szCs w:val="52"/>
          <w:highlight w:val="none"/>
        </w:rPr>
      </w:pPr>
      <w:r>
        <w:rPr>
          <w:rFonts w:hint="eastAsia" w:ascii="宋体" w:hAnsi="宋体" w:eastAsia="宋体" w:cs="宋体"/>
          <w:bCs/>
          <w:color w:val="auto"/>
          <w:kern w:val="0"/>
          <w:sz w:val="52"/>
          <w:szCs w:val="52"/>
          <w:highlight w:val="none"/>
          <w:lang w:bidi="ar"/>
        </w:rPr>
        <w:t xml:space="preserve"> </w:t>
      </w:r>
    </w:p>
    <w:p w14:paraId="32015A91">
      <w:pPr>
        <w:autoSpaceDE w:val="0"/>
        <w:autoSpaceDN w:val="0"/>
        <w:adjustRightInd w:val="0"/>
        <w:spacing w:before="840" w:beforeLines="350" w:after="360" w:afterLines="150" w:line="360" w:lineRule="auto"/>
        <w:jc w:val="center"/>
        <w:rPr>
          <w:rFonts w:ascii="宋体" w:hAnsi="宋体" w:eastAsia="宋体" w:cs="宋体"/>
          <w:b/>
          <w:bCs/>
          <w:color w:val="auto"/>
          <w:spacing w:val="60"/>
          <w:kern w:val="0"/>
          <w:sz w:val="52"/>
          <w:szCs w:val="52"/>
          <w:highlight w:val="none"/>
        </w:rPr>
      </w:pPr>
      <w:r>
        <w:rPr>
          <w:rFonts w:hint="eastAsia" w:ascii="宋体" w:hAnsi="宋体" w:eastAsia="宋体" w:cs="宋体"/>
          <w:b/>
          <w:bCs/>
          <w:color w:val="auto"/>
          <w:spacing w:val="60"/>
          <w:kern w:val="0"/>
          <w:sz w:val="52"/>
          <w:szCs w:val="52"/>
          <w:highlight w:val="none"/>
          <w:lang w:bidi="ar"/>
        </w:rPr>
        <w:t>采购合同</w:t>
      </w:r>
    </w:p>
    <w:p w14:paraId="41856522">
      <w:pPr>
        <w:autoSpaceDE w:val="0"/>
        <w:autoSpaceDN w:val="0"/>
        <w:adjustRightInd w:val="0"/>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bidi="ar"/>
        </w:rPr>
        <w:t>（合同编号：       ）</w:t>
      </w:r>
    </w:p>
    <w:p w14:paraId="42B538BC">
      <w:pPr>
        <w:autoSpaceDE w:val="0"/>
        <w:autoSpaceDN w:val="0"/>
        <w:adjustRightInd w:val="0"/>
        <w:spacing w:line="360" w:lineRule="auto"/>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bidi="ar"/>
        </w:rPr>
        <w:t xml:space="preserve"> </w:t>
      </w:r>
    </w:p>
    <w:p w14:paraId="5FCC8989">
      <w:pPr>
        <w:autoSpaceDE w:val="0"/>
        <w:autoSpaceDN w:val="0"/>
        <w:adjustRightInd w:val="0"/>
        <w:spacing w:line="360" w:lineRule="auto"/>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bidi="ar"/>
        </w:rPr>
        <w:t xml:space="preserve"> </w:t>
      </w:r>
    </w:p>
    <w:p w14:paraId="20E721B7">
      <w:pPr>
        <w:autoSpaceDE w:val="0"/>
        <w:autoSpaceDN w:val="0"/>
        <w:adjustRightInd w:val="0"/>
        <w:spacing w:line="360" w:lineRule="auto"/>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bidi="ar"/>
        </w:rPr>
        <w:t xml:space="preserve"> </w:t>
      </w:r>
    </w:p>
    <w:p w14:paraId="2FBB9A0F">
      <w:pPr>
        <w:autoSpaceDE w:val="0"/>
        <w:autoSpaceDN w:val="0"/>
        <w:adjustRightInd w:val="0"/>
        <w:spacing w:line="360" w:lineRule="auto"/>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bidi="ar"/>
        </w:rPr>
        <w:t xml:space="preserve"> </w:t>
      </w:r>
    </w:p>
    <w:p w14:paraId="14B682DD">
      <w:pPr>
        <w:autoSpaceDE w:val="0"/>
        <w:autoSpaceDN w:val="0"/>
        <w:adjustRightInd w:val="0"/>
        <w:spacing w:line="480" w:lineRule="auto"/>
        <w:ind w:firstLine="1102" w:firstLineChars="3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bidi="ar"/>
        </w:rPr>
        <w:t>甲方：</w:t>
      </w:r>
      <w:r>
        <w:rPr>
          <w:rFonts w:hint="eastAsia" w:ascii="宋体" w:hAnsi="宋体" w:eastAsia="宋体" w:cs="宋体"/>
          <w:b/>
          <w:bCs/>
          <w:color w:val="auto"/>
          <w:kern w:val="0"/>
          <w:sz w:val="28"/>
          <w:szCs w:val="28"/>
          <w:highlight w:val="none"/>
          <w:u w:val="single"/>
          <w:lang w:bidi="ar"/>
        </w:rPr>
        <w:t xml:space="preserve">东莞市水务集团科技发展有限公司 </w:t>
      </w:r>
      <w:r>
        <w:rPr>
          <w:rFonts w:hint="eastAsia" w:ascii="宋体" w:hAnsi="宋体" w:eastAsia="宋体" w:cs="宋体"/>
          <w:b/>
          <w:bCs/>
          <w:color w:val="auto"/>
          <w:kern w:val="0"/>
          <w:sz w:val="28"/>
          <w:szCs w:val="28"/>
          <w:highlight w:val="none"/>
          <w:lang w:bidi="ar"/>
        </w:rPr>
        <w:t xml:space="preserve"> </w:t>
      </w:r>
    </w:p>
    <w:p w14:paraId="6154E29C">
      <w:pPr>
        <w:autoSpaceDE w:val="0"/>
        <w:autoSpaceDN w:val="0"/>
        <w:adjustRightInd w:val="0"/>
        <w:spacing w:line="480" w:lineRule="auto"/>
        <w:ind w:firstLine="1102" w:firstLineChars="392"/>
        <w:jc w:val="left"/>
        <w:rPr>
          <w:rFonts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lang w:bidi="ar"/>
        </w:rPr>
        <w:t>乙方：</w:t>
      </w:r>
      <w:r>
        <w:rPr>
          <w:rFonts w:hint="eastAsia" w:ascii="宋体" w:hAnsi="宋体" w:eastAsia="宋体" w:cs="宋体"/>
          <w:b/>
          <w:bCs/>
          <w:color w:val="auto"/>
          <w:kern w:val="0"/>
          <w:sz w:val="28"/>
          <w:szCs w:val="28"/>
          <w:highlight w:val="none"/>
          <w:u w:val="single"/>
          <w:lang w:bidi="ar"/>
        </w:rPr>
        <w:t xml:space="preserve">                          </w:t>
      </w:r>
    </w:p>
    <w:p w14:paraId="48434622">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bidi="ar"/>
        </w:rPr>
        <w:t xml:space="preserve"> </w:t>
      </w:r>
    </w:p>
    <w:p w14:paraId="7F933563">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bidi="ar"/>
        </w:rPr>
        <w:t>签订日期：   年   月   日</w:t>
      </w:r>
    </w:p>
    <w:p w14:paraId="497FDF92">
      <w:pPr>
        <w:autoSpaceDE w:val="0"/>
        <w:autoSpaceDN w:val="0"/>
        <w:adjustRightInd w:val="0"/>
        <w:jc w:val="left"/>
        <w:rPr>
          <w:rFonts w:ascii="宋体" w:hAnsi="宋体" w:eastAsia="宋体" w:cs="宋体"/>
          <w:b/>
          <w:bCs/>
          <w:color w:val="auto"/>
          <w:kern w:val="0"/>
          <w:sz w:val="28"/>
          <w:szCs w:val="28"/>
          <w:highlight w:val="none"/>
          <w:lang w:bidi="ar"/>
        </w:rPr>
      </w:pPr>
      <w:r>
        <w:rPr>
          <w:rFonts w:hint="eastAsia" w:ascii="宋体" w:hAnsi="宋体" w:eastAsia="宋体" w:cs="宋体"/>
          <w:b/>
          <w:bCs/>
          <w:color w:val="auto"/>
          <w:kern w:val="0"/>
          <w:sz w:val="28"/>
          <w:szCs w:val="28"/>
          <w:highlight w:val="none"/>
          <w:lang w:bidi="ar"/>
        </w:rPr>
        <w:t xml:space="preserve"> </w:t>
      </w:r>
    </w:p>
    <w:p w14:paraId="42DCE196">
      <w:pPr>
        <w:autoSpaceDE w:val="0"/>
        <w:autoSpaceDN w:val="0"/>
        <w:adjustRightInd w:val="0"/>
        <w:jc w:val="left"/>
        <w:rPr>
          <w:rFonts w:ascii="宋体" w:hAnsi="宋体" w:eastAsia="宋体" w:cs="宋体"/>
          <w:b/>
          <w:bCs/>
          <w:color w:val="auto"/>
          <w:kern w:val="0"/>
          <w:sz w:val="28"/>
          <w:szCs w:val="28"/>
          <w:highlight w:val="none"/>
          <w:lang w:bidi="ar"/>
        </w:rPr>
      </w:pPr>
    </w:p>
    <w:p w14:paraId="2E5FC6FB">
      <w:pPr>
        <w:autoSpaceDE w:val="0"/>
        <w:autoSpaceDN w:val="0"/>
        <w:adjustRightInd w:val="0"/>
        <w:jc w:val="left"/>
        <w:rPr>
          <w:rFonts w:ascii="宋体" w:hAnsi="宋体" w:eastAsia="宋体" w:cs="宋体"/>
          <w:b/>
          <w:bCs/>
          <w:color w:val="auto"/>
          <w:kern w:val="0"/>
          <w:sz w:val="28"/>
          <w:szCs w:val="28"/>
          <w:highlight w:val="none"/>
          <w:lang w:bidi="ar"/>
        </w:rPr>
      </w:pPr>
    </w:p>
    <w:p w14:paraId="6ACACAA9">
      <w:pPr>
        <w:pStyle w:val="24"/>
        <w:spacing w:line="360" w:lineRule="auto"/>
        <w:ind w:firstLine="420" w:firstLineChars="200"/>
        <w:rPr>
          <w:rFonts w:hAnsi="宋体" w:cs="宋体"/>
          <w:color w:val="auto"/>
          <w:szCs w:val="21"/>
          <w:highlight w:val="none"/>
        </w:rPr>
      </w:pPr>
      <w:r>
        <w:rPr>
          <w:rFonts w:hint="eastAsia" w:hAnsi="宋体" w:cs="宋体"/>
          <w:color w:val="auto"/>
          <w:szCs w:val="21"/>
          <w:highlight w:val="none"/>
        </w:rPr>
        <w:t xml:space="preserve">根据《中华人民共和国民法典》及有关法律规定，遵循平等、自愿、公平和诚实信用的原则，双方就             </w:t>
      </w:r>
      <w:r>
        <w:rPr>
          <w:rFonts w:hint="eastAsia" w:hAnsi="宋体" w:cs="宋体"/>
          <w:color w:val="auto"/>
          <w:szCs w:val="21"/>
          <w:highlight w:val="none"/>
          <w:lang w:eastAsia="zh-CN"/>
        </w:rPr>
        <w:t>东莞市水务环境投资控股集团分布式光伏发电项目（第一批）供水厂项目</w:t>
      </w:r>
      <w:r>
        <w:rPr>
          <w:rFonts w:hint="eastAsia" w:hAnsi="宋体" w:cs="宋体"/>
          <w:color w:val="auto"/>
          <w:szCs w:val="21"/>
          <w:highlight w:val="none"/>
        </w:rPr>
        <w:t>设备采购及安装服务等有关事项协商一致，共同达成如下协议：</w:t>
      </w:r>
    </w:p>
    <w:p w14:paraId="348D1F7B">
      <w:pPr>
        <w:adjustRightInd w:val="0"/>
        <w:spacing w:line="360" w:lineRule="auto"/>
        <w:ind w:firstLine="373" w:firstLineChars="177"/>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第一条 </w:t>
      </w:r>
      <w:bookmarkStart w:id="732" w:name="OLE_LINK76"/>
      <w:r>
        <w:rPr>
          <w:rFonts w:hint="eastAsia" w:ascii="宋体" w:hAnsi="宋体" w:eastAsia="宋体" w:cs="宋体"/>
          <w:b/>
          <w:color w:val="auto"/>
          <w:szCs w:val="21"/>
          <w:highlight w:val="none"/>
        </w:rPr>
        <w:t>合同项目</w:t>
      </w:r>
      <w:bookmarkEnd w:id="732"/>
    </w:p>
    <w:p w14:paraId="7E995B63">
      <w:pPr>
        <w:pStyle w:val="24"/>
        <w:spacing w:line="360" w:lineRule="auto"/>
        <w:ind w:firstLine="420" w:firstLineChars="200"/>
        <w:rPr>
          <w:rFonts w:hAnsi="宋体" w:cs="宋体"/>
          <w:color w:val="auto"/>
          <w:szCs w:val="21"/>
          <w:highlight w:val="none"/>
        </w:rPr>
      </w:pPr>
      <w:r>
        <w:rPr>
          <w:rFonts w:hint="eastAsia" w:hAnsi="宋体" w:cs="宋体"/>
          <w:color w:val="auto"/>
          <w:szCs w:val="21"/>
          <w:highlight w:val="none"/>
        </w:rPr>
        <w:t>1、项目地址：市第四水厂、市第六水厂、石龙黄洲水厂、市第五水厂、石碣水厂、企石水厂、谢岗第三水厂、塘厦凤凰水厂、塘厦中心水厂、黄江水厂、凤岗第二水厂、樟木头簕竹排水厂、塘厦虾公岩水厂、市第三水厂等14家供水水厂的工作间屋面和部分工作池池面。</w:t>
      </w:r>
    </w:p>
    <w:p w14:paraId="06A68435">
      <w:pPr>
        <w:pStyle w:val="24"/>
        <w:spacing w:line="360" w:lineRule="auto"/>
        <w:ind w:firstLine="420" w:firstLineChars="200"/>
        <w:rPr>
          <w:rFonts w:hAnsi="宋体" w:cs="宋体"/>
          <w:color w:val="auto"/>
          <w:szCs w:val="21"/>
          <w:highlight w:val="none"/>
        </w:rPr>
      </w:pPr>
      <w:r>
        <w:rPr>
          <w:rFonts w:hint="eastAsia" w:hAnsi="宋体" w:cs="宋体"/>
          <w:color w:val="auto"/>
          <w:szCs w:val="21"/>
          <w:highlight w:val="none"/>
        </w:rPr>
        <w:t>2、项目规模：暂定总装机容量10491.02kWp，最终以各子项目经供电部门和甲方确认的并网装机容量为准，并按本合同约定的结算装机容量计费。</w:t>
      </w:r>
    </w:p>
    <w:p w14:paraId="1665FB6F">
      <w:pPr>
        <w:pStyle w:val="24"/>
        <w:spacing w:line="360" w:lineRule="auto"/>
        <w:ind w:firstLine="420" w:firstLineChars="200"/>
        <w:rPr>
          <w:rFonts w:hAnsi="宋体" w:cs="宋体"/>
          <w:color w:val="auto"/>
          <w:szCs w:val="21"/>
          <w:highlight w:val="none"/>
        </w:rPr>
      </w:pPr>
      <w:r>
        <w:rPr>
          <w:rFonts w:hint="eastAsia" w:hAnsi="宋体" w:cs="宋体"/>
          <w:color w:val="auto"/>
          <w:szCs w:val="21"/>
          <w:highlight w:val="none"/>
        </w:rPr>
        <w:t>3、安装方式：阳光棚或阵列式，自发自用，余电上网。</w:t>
      </w:r>
    </w:p>
    <w:p w14:paraId="4C411E85">
      <w:pPr>
        <w:pStyle w:val="24"/>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4、工期要求：</w:t>
      </w:r>
    </w:p>
    <w:p w14:paraId="5750E631">
      <w:pPr>
        <w:pStyle w:val="24"/>
        <w:spacing w:line="360" w:lineRule="auto"/>
        <w:ind w:firstLine="420" w:firstLineChars="200"/>
        <w:rPr>
          <w:rFonts w:hint="eastAsia" w:hAnsi="宋体"/>
          <w:color w:val="auto"/>
          <w:highlight w:val="none"/>
          <w:lang w:eastAsia="zh-CN"/>
        </w:rPr>
      </w:pPr>
      <w:r>
        <w:rPr>
          <w:rFonts w:hint="eastAsia" w:hAnsi="宋体" w:cs="宋体"/>
          <w:color w:val="auto"/>
          <w:szCs w:val="21"/>
          <w:highlight w:val="none"/>
          <w:lang w:eastAsia="zh-CN"/>
        </w:rPr>
        <w:t>（</w:t>
      </w:r>
      <w:r>
        <w:rPr>
          <w:rFonts w:hint="eastAsia" w:hAnsi="宋体" w:cs="宋体"/>
          <w:color w:val="auto"/>
          <w:szCs w:val="21"/>
          <w:highlight w:val="none"/>
          <w:lang w:val="en-US" w:eastAsia="zh-CN"/>
        </w:rPr>
        <w:t>1）深化设计工期：合同签订之日起，</w:t>
      </w:r>
      <w:r>
        <w:rPr>
          <w:rFonts w:hint="eastAsia"/>
          <w:color w:val="auto"/>
          <w:highlight w:val="none"/>
          <w:lang w:val="en-US" w:eastAsia="zh-CN"/>
        </w:rPr>
        <w:t>10</w:t>
      </w:r>
      <w:r>
        <w:rPr>
          <w:rFonts w:hint="eastAsia"/>
          <w:color w:val="auto"/>
          <w:highlight w:val="none"/>
        </w:rPr>
        <w:t>日</w:t>
      </w:r>
      <w:r>
        <w:rPr>
          <w:rFonts w:hint="eastAsia" w:hAnsi="宋体" w:cs="宋体"/>
          <w:color w:val="auto"/>
          <w:highlight w:val="none"/>
        </w:rPr>
        <w:t>（日历日，下同）</w:t>
      </w:r>
      <w:r>
        <w:rPr>
          <w:rFonts w:hint="eastAsia" w:hAnsi="宋体"/>
          <w:color w:val="auto"/>
          <w:highlight w:val="none"/>
        </w:rPr>
        <w:t>内完成项目深化设计文件</w:t>
      </w:r>
      <w:r>
        <w:rPr>
          <w:rFonts w:hint="eastAsia" w:hAnsi="宋体"/>
          <w:color w:val="auto"/>
          <w:highlight w:val="none"/>
          <w:lang w:eastAsia="zh-CN"/>
        </w:rPr>
        <w:t>。</w:t>
      </w:r>
    </w:p>
    <w:p w14:paraId="368E7920">
      <w:pPr>
        <w:pStyle w:val="24"/>
        <w:spacing w:line="360" w:lineRule="auto"/>
        <w:ind w:firstLine="420" w:firstLineChars="200"/>
        <w:rPr>
          <w:rFonts w:hAnsi="宋体" w:cs="宋体"/>
          <w:color w:val="auto"/>
          <w:szCs w:val="21"/>
          <w:highlight w:val="none"/>
        </w:rPr>
      </w:pPr>
      <w:r>
        <w:rPr>
          <w:rFonts w:hint="eastAsia" w:hAnsi="宋体"/>
          <w:color w:val="auto"/>
          <w:highlight w:val="none"/>
          <w:lang w:eastAsia="zh-CN"/>
        </w:rPr>
        <w:t>（</w:t>
      </w:r>
      <w:r>
        <w:rPr>
          <w:rFonts w:hint="eastAsia" w:hAnsi="宋体"/>
          <w:color w:val="auto"/>
          <w:highlight w:val="none"/>
          <w:lang w:val="en-US" w:eastAsia="zh-CN"/>
        </w:rPr>
        <w:t>2）供货安装工期：</w:t>
      </w:r>
      <w:r>
        <w:rPr>
          <w:rFonts w:hint="eastAsia" w:hAnsi="宋体" w:cs="宋体"/>
          <w:color w:val="auto"/>
          <w:szCs w:val="21"/>
          <w:highlight w:val="none"/>
        </w:rPr>
        <w:t>每个子项目（厂区）的基准实施周期为150</w:t>
      </w:r>
      <w:r>
        <w:rPr>
          <w:rFonts w:hint="eastAsia" w:hAnsi="宋体" w:cs="宋体"/>
          <w:color w:val="auto"/>
          <w:highlight w:val="none"/>
        </w:rPr>
        <w:t>日</w:t>
      </w:r>
      <w:r>
        <w:rPr>
          <w:rFonts w:hint="eastAsia" w:hAnsi="宋体" w:cs="宋体"/>
          <w:color w:val="auto"/>
          <w:szCs w:val="21"/>
          <w:highlight w:val="none"/>
        </w:rPr>
        <w:t>，</w:t>
      </w:r>
      <w:r>
        <w:rPr>
          <w:rFonts w:hint="eastAsia" w:hAnsi="宋体" w:cs="宋体"/>
          <w:color w:val="auto"/>
          <w:szCs w:val="21"/>
          <w:highlight w:val="none"/>
          <w:lang w:val="en-US" w:eastAsia="zh-CN"/>
        </w:rPr>
        <w:t>子项目完成项目备案并由</w:t>
      </w:r>
      <w:r>
        <w:rPr>
          <w:rFonts w:hint="eastAsia" w:hAnsi="宋体" w:cs="宋体"/>
          <w:color w:val="auto"/>
          <w:szCs w:val="21"/>
          <w:highlight w:val="none"/>
        </w:rPr>
        <w:t>甲方或其委托的项目管理公司签发该子项目开工通知之日起120</w:t>
      </w:r>
      <w:r>
        <w:rPr>
          <w:rFonts w:hint="eastAsia" w:hAnsi="宋体" w:cs="宋体"/>
          <w:color w:val="auto"/>
          <w:highlight w:val="none"/>
        </w:rPr>
        <w:t>日</w:t>
      </w:r>
      <w:r>
        <w:rPr>
          <w:rFonts w:hint="eastAsia" w:hAnsi="宋体" w:cs="宋体"/>
          <w:color w:val="auto"/>
          <w:szCs w:val="21"/>
          <w:highlight w:val="none"/>
        </w:rPr>
        <w:t>内完成该子项目所有建设内容</w:t>
      </w:r>
      <w:r>
        <w:rPr>
          <w:rFonts w:hint="eastAsia" w:hAnsi="宋体" w:cs="宋体"/>
          <w:color w:val="auto"/>
          <w:highlight w:val="none"/>
        </w:rPr>
        <w:t>（即初步验收合格）</w:t>
      </w:r>
      <w:r>
        <w:rPr>
          <w:rFonts w:hint="eastAsia" w:hAnsi="宋体" w:cs="宋体"/>
          <w:color w:val="auto"/>
          <w:szCs w:val="21"/>
          <w:highlight w:val="none"/>
        </w:rPr>
        <w:t>，建设完成后，30</w:t>
      </w:r>
      <w:r>
        <w:rPr>
          <w:rFonts w:hint="eastAsia" w:hAnsi="宋体" w:cs="宋体"/>
          <w:color w:val="auto"/>
          <w:highlight w:val="none"/>
        </w:rPr>
        <w:t>日</w:t>
      </w:r>
      <w:r>
        <w:rPr>
          <w:rFonts w:hint="eastAsia" w:hAnsi="宋体" w:cs="宋体"/>
          <w:color w:val="auto"/>
          <w:szCs w:val="21"/>
          <w:highlight w:val="none"/>
        </w:rPr>
        <w:t>内完成并网通电。若本项目未能在工期要求时间内完成工作，乙方需承担违约责任，并根据本合同第二十一条的约定向甲方支付对应的违约金。如因供电部门审批延误、不可抗力或其他非项目乙方原因且不可归责于乙方的客观因素导致工期延误，则受影响子项目的工期应相应顺延，顺延时长以实际延误时间为准，并经甲、乙双方盖章确认。</w:t>
      </w:r>
    </w:p>
    <w:p w14:paraId="509A2B88">
      <w:pPr>
        <w:pStyle w:val="24"/>
        <w:spacing w:line="360" w:lineRule="auto"/>
        <w:ind w:firstLine="420" w:firstLineChars="200"/>
        <w:rPr>
          <w:rFonts w:hAnsi="宋体" w:cs="宋体"/>
          <w:color w:val="auto"/>
          <w:szCs w:val="21"/>
          <w:highlight w:val="none"/>
        </w:rPr>
      </w:pPr>
      <w:r>
        <w:rPr>
          <w:rFonts w:hint="eastAsia" w:hAnsi="宋体" w:cs="宋体"/>
          <w:color w:val="auto"/>
          <w:szCs w:val="21"/>
          <w:highlight w:val="none"/>
        </w:rPr>
        <w:t>5、实施内容：本项目按图纸、用户需求书、合同范围总承包，</w:t>
      </w:r>
      <w:r>
        <w:rPr>
          <w:rFonts w:hint="eastAsia" w:hAnsi="宋体" w:cs="仿宋"/>
          <w:color w:val="auto"/>
          <w:szCs w:val="21"/>
          <w:highlight w:val="none"/>
        </w:rPr>
        <w:t>包括但不限于完成太阳能光伏组件至并网点全部项目的勘察与设计、设备材料供应及安装（含并网设施、光伏组件、交流汇流箱、逆变器、开关柜、光伏支架、电缆、监控、防雷及</w:t>
      </w:r>
      <w:r>
        <w:rPr>
          <w:rFonts w:hint="eastAsia" w:hAnsi="宋体" w:cs="仿宋"/>
          <w:color w:val="auto"/>
          <w:szCs w:val="21"/>
          <w:highlight w:val="none"/>
          <w:lang w:val="zh-CN"/>
        </w:rPr>
        <w:t>安全等配套设施</w:t>
      </w:r>
      <w:r>
        <w:rPr>
          <w:rFonts w:hint="eastAsia" w:hAnsi="宋体" w:cs="仿宋"/>
          <w:color w:val="auto"/>
          <w:szCs w:val="21"/>
          <w:highlight w:val="none"/>
        </w:rPr>
        <w:t>等光伏发电项目所有设备材料，运输、储存），以及在各供水厂现状条件下为满足本项目实施的相关拆除、迁改、基础制作、安装，按厂区要求增设的钢结构室外楼梯和安全线缆，电网接入系统检测、全部项目系统调试及试运、验收（含为满足并网条件，需按供电局要求完成线路改造、安健环改造、网络安防、电能质量优化及调度控制系统建设等相关工作</w:t>
      </w:r>
      <w:r>
        <w:rPr>
          <w:rFonts w:hint="eastAsia" w:hAnsi="宋体" w:cs="宋体"/>
          <w:bCs/>
          <w:color w:val="auto"/>
          <w:szCs w:val="21"/>
          <w:highlight w:val="none"/>
        </w:rPr>
        <w:t>，以及供电局所需的试验</w:t>
      </w:r>
      <w:r>
        <w:rPr>
          <w:rFonts w:hint="eastAsia" w:hAnsi="宋体" w:cs="仿宋"/>
          <w:color w:val="auto"/>
          <w:szCs w:val="21"/>
          <w:highlight w:val="none"/>
        </w:rPr>
        <w:t>）并交付生产、培训、质量保修期内的消缺等</w:t>
      </w:r>
      <w:r>
        <w:rPr>
          <w:rFonts w:hint="eastAsia" w:hAnsi="宋体" w:cs="宋体"/>
          <w:color w:val="auto"/>
          <w:szCs w:val="21"/>
          <w:highlight w:val="none"/>
        </w:rPr>
        <w:t>完成并网投运</w:t>
      </w:r>
      <w:r>
        <w:rPr>
          <w:rFonts w:hint="eastAsia" w:hAnsi="宋体" w:cs="仿宋"/>
          <w:color w:val="auto"/>
          <w:szCs w:val="21"/>
          <w:highlight w:val="none"/>
        </w:rPr>
        <w:t>全过程的工作，办理从项目备案到供电局并网投运全过程中所需的各类手续，在满足合同其它责任和义务的同时使本项目符合相关达标验收的要求，提供1年的</w:t>
      </w:r>
      <w:r>
        <w:rPr>
          <w:rFonts w:hint="eastAsia" w:hAnsi="宋体" w:cs="仿宋"/>
          <w:color w:val="auto"/>
          <w:szCs w:val="21"/>
          <w:highlight w:val="none"/>
          <w:lang w:val="zh-CN"/>
        </w:rPr>
        <w:t>运营维护服务</w:t>
      </w:r>
      <w:r>
        <w:rPr>
          <w:rFonts w:hint="eastAsia" w:hAnsi="宋体" w:cs="宋体"/>
          <w:color w:val="auto"/>
          <w:szCs w:val="21"/>
          <w:highlight w:val="none"/>
        </w:rPr>
        <w:t>，具体详见用户需求书。</w:t>
      </w:r>
    </w:p>
    <w:p w14:paraId="2D1A4C63">
      <w:pPr>
        <w:pStyle w:val="24"/>
        <w:spacing w:line="360" w:lineRule="auto"/>
        <w:ind w:firstLine="420" w:firstLineChars="200"/>
        <w:rPr>
          <w:rFonts w:hAnsi="宋体" w:cs="宋体"/>
          <w:color w:val="auto"/>
          <w:szCs w:val="21"/>
          <w:highlight w:val="none"/>
        </w:rPr>
      </w:pPr>
      <w:r>
        <w:rPr>
          <w:rFonts w:hint="eastAsia" w:hAnsi="宋体" w:cs="宋体"/>
          <w:color w:val="auto"/>
          <w:szCs w:val="21"/>
          <w:highlight w:val="none"/>
        </w:rPr>
        <w:t>6、</w:t>
      </w:r>
      <w:bookmarkStart w:id="733" w:name="OLE_LINK512"/>
      <w:bookmarkStart w:id="734" w:name="OLE_LINK455"/>
      <w:r>
        <w:rPr>
          <w:rFonts w:hint="eastAsia" w:hAnsi="宋体" w:cs="宋体"/>
          <w:color w:val="auto"/>
          <w:szCs w:val="21"/>
          <w:highlight w:val="none"/>
        </w:rPr>
        <w:t>运维期：1年，</w:t>
      </w:r>
      <w:bookmarkEnd w:id="733"/>
      <w:r>
        <w:rPr>
          <w:rFonts w:hint="eastAsia" w:hAnsi="宋体" w:cs="宋体"/>
          <w:color w:val="auto"/>
          <w:szCs w:val="21"/>
          <w:highlight w:val="none"/>
        </w:rPr>
        <w:t>自项目下全部子项目并网审批通过开始正式送电之日起计算。</w:t>
      </w:r>
      <w:bookmarkEnd w:id="734"/>
      <w:bookmarkStart w:id="735" w:name="OLE_LINK277"/>
    </w:p>
    <w:bookmarkEnd w:id="735"/>
    <w:p w14:paraId="70791D2C">
      <w:pPr>
        <w:adjustRightInd w:val="0"/>
        <w:spacing w:line="360" w:lineRule="auto"/>
        <w:ind w:firstLine="373" w:firstLineChars="177"/>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第二条 </w:t>
      </w:r>
      <w:bookmarkStart w:id="736" w:name="OLE_LINK77"/>
      <w:r>
        <w:rPr>
          <w:rFonts w:hint="eastAsia" w:ascii="宋体" w:hAnsi="宋体" w:eastAsia="宋体" w:cs="宋体"/>
          <w:b/>
          <w:color w:val="auto"/>
          <w:szCs w:val="21"/>
          <w:highlight w:val="none"/>
        </w:rPr>
        <w:t>合同价及销项税额</w:t>
      </w:r>
      <w:bookmarkEnd w:id="736"/>
    </w:p>
    <w:p w14:paraId="02C7DD64">
      <w:pPr>
        <w:tabs>
          <w:tab w:val="center" w:pos="3125"/>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1、本合同项目按图纸、用户需求书、合同范围总承包，以不含税固定每瓦单价包干，并根据最终结算装机容量及本合同约定确定结算价款。</w:t>
      </w:r>
    </w:p>
    <w:p w14:paraId="5903922C">
      <w:pPr>
        <w:pStyle w:val="24"/>
        <w:spacing w:line="360" w:lineRule="auto"/>
        <w:ind w:firstLine="420" w:firstLineChars="200"/>
        <w:rPr>
          <w:rFonts w:hAnsi="宋体" w:cs="宋体"/>
          <w:color w:val="auto"/>
          <w:szCs w:val="21"/>
          <w:highlight w:val="none"/>
        </w:rPr>
      </w:pPr>
      <w:r>
        <w:rPr>
          <w:rFonts w:hint="eastAsia" w:hAnsi="宋体" w:cs="宋体"/>
          <w:color w:val="auto"/>
          <w:szCs w:val="21"/>
          <w:highlight w:val="none"/>
        </w:rPr>
        <w:t>2、本合同暂定不含税总价（即销售额，不含乙方销项税额）为</w:t>
      </w:r>
      <w:r>
        <w:rPr>
          <w:rFonts w:hint="eastAsia" w:hAnsi="宋体" w:cs="宋体"/>
          <w:color w:val="auto"/>
          <w:szCs w:val="21"/>
          <w:highlight w:val="none"/>
          <w:u w:val="single"/>
        </w:rPr>
        <w:t xml:space="preserve">      </w:t>
      </w:r>
      <w:r>
        <w:rPr>
          <w:rFonts w:hint="eastAsia" w:hAnsi="宋体" w:cs="宋体"/>
          <w:color w:val="auto"/>
          <w:szCs w:val="21"/>
          <w:highlight w:val="none"/>
        </w:rPr>
        <w:t>元（大写人民币</w:t>
      </w:r>
      <w:r>
        <w:rPr>
          <w:rFonts w:hint="eastAsia" w:hAnsi="宋体" w:cs="宋体"/>
          <w:color w:val="auto"/>
          <w:szCs w:val="21"/>
          <w:highlight w:val="none"/>
          <w:u w:val="single"/>
        </w:rPr>
        <w:t xml:space="preserve">      </w:t>
      </w:r>
      <w:r>
        <w:rPr>
          <w:rFonts w:hint="eastAsia" w:hAnsi="宋体" w:cs="宋体"/>
          <w:color w:val="auto"/>
          <w:szCs w:val="21"/>
          <w:highlight w:val="none"/>
        </w:rPr>
        <w:t xml:space="preserve">），不含税固定每瓦单价=暂定不含税总价（即乙方的投标报价）÷暂定总装机容量，计算的单价按四舍五入保留小数点后3位小数。甲方按不含税固定每瓦单价×实际结算装机容量和对应的销项税额进行结算，不含税固定每瓦单价为【】元（大写人民币     </w:t>
      </w:r>
      <w:r>
        <w:rPr>
          <w:rFonts w:hint="eastAsia" w:hAnsi="宋体" w:cs="宋体"/>
          <w:color w:val="auto"/>
          <w:szCs w:val="21"/>
          <w:highlight w:val="none"/>
          <w:lang w:val="en-US" w:eastAsia="zh-CN"/>
        </w:rPr>
        <w:t xml:space="preserve">      </w:t>
      </w:r>
      <w:r>
        <w:rPr>
          <w:rFonts w:hint="eastAsia" w:hAnsi="宋体" w:cs="宋体"/>
          <w:color w:val="auto"/>
          <w:szCs w:val="21"/>
          <w:highlight w:val="none"/>
        </w:rPr>
        <w:t xml:space="preserve"> ）。</w:t>
      </w:r>
    </w:p>
    <w:p w14:paraId="3B1FC152">
      <w:pPr>
        <w:pStyle w:val="24"/>
        <w:spacing w:line="360" w:lineRule="auto"/>
        <w:ind w:firstLine="420" w:firstLineChars="200"/>
        <w:rPr>
          <w:rFonts w:hAnsi="宋体" w:cs="宋体"/>
          <w:color w:val="auto"/>
          <w:szCs w:val="21"/>
          <w:highlight w:val="none"/>
        </w:rPr>
      </w:pPr>
      <w:r>
        <w:rPr>
          <w:rFonts w:hint="eastAsia" w:hAnsi="宋体" w:cs="宋体"/>
          <w:color w:val="auto"/>
          <w:szCs w:val="21"/>
          <w:highlight w:val="none"/>
        </w:rPr>
        <w:t>不含税固定每瓦单价包含了乙方履行本合同的全部费用，包含但不限于：</w:t>
      </w:r>
    </w:p>
    <w:p w14:paraId="701AAE41">
      <w:pPr>
        <w:pStyle w:val="24"/>
        <w:spacing w:line="360" w:lineRule="auto"/>
        <w:ind w:firstLine="420" w:firstLineChars="200"/>
        <w:rPr>
          <w:rFonts w:hAnsi="宋体" w:cs="宋体"/>
          <w:color w:val="auto"/>
          <w:szCs w:val="21"/>
          <w:highlight w:val="none"/>
        </w:rPr>
      </w:pPr>
      <w:r>
        <w:rPr>
          <w:rFonts w:hint="eastAsia" w:hAnsi="宋体" w:cs="宋体"/>
          <w:color w:val="auto"/>
          <w:szCs w:val="21"/>
          <w:highlight w:val="none"/>
        </w:rPr>
        <w:t>（1）太阳能光伏组件至并网点全部项目的勘察与设计、设备材料供应及安装费用（含并网设施、光伏组件、交流汇流箱、逆变器、开关柜、光伏支架、电缆、监控、防雷及安全等配套设施等光伏发电项目所有设备材料，运输、储存），以及在各供水厂现状条件下为满足本项目实施的相关拆除、迁改、基础制作、安装所产生的费用，按厂区要求增设的钢结构室外楼梯和安全线缆的费用，电网接入系统检测、全部项目系统调试及试运、验收（含为满足并网条件，需按供电局要求完成线路改造、安健环改造、网络安防、电能质量优化及调度控制系统建设等相关工作，以及供电局所需的试验）并交付生产、培训、质量保修期内的消缺等完成并网投运全过程费用，即包括但不限于勘察与设计费、货物及零配件成本费、运输费、包装费、装卸费、搬运（含二次搬运）费、保险费、安装费及安装设备所需的配件等费用、安装所需的一切配套工作费用、安全防护文明施工措施费（其中含不停产情况下池面上空作业、高空作业、带电作业的安全措施费）、调试费、材料费、验收费（含验收所需的专家费、会务费、差旅费、验收材料费、满足供电局验收要求的试验费，竣工验收阶段委托第三方检测机构的检测费等）、人工费、技术培训费、技术服务（包括技术资料、图纸的提供等）等；</w:t>
      </w:r>
    </w:p>
    <w:p w14:paraId="3B542073">
      <w:pPr>
        <w:pStyle w:val="24"/>
        <w:spacing w:line="360" w:lineRule="auto"/>
        <w:ind w:firstLine="420" w:firstLineChars="200"/>
        <w:rPr>
          <w:rFonts w:hAnsi="宋体" w:cs="宋体"/>
          <w:color w:val="auto"/>
          <w:szCs w:val="21"/>
          <w:highlight w:val="none"/>
        </w:rPr>
      </w:pPr>
      <w:r>
        <w:rPr>
          <w:rFonts w:hint="eastAsia" w:hAnsi="宋体" w:cs="宋体"/>
          <w:color w:val="auto"/>
          <w:szCs w:val="21"/>
          <w:highlight w:val="none"/>
        </w:rPr>
        <w:t>（2）</w:t>
      </w:r>
      <w:r>
        <w:rPr>
          <w:rFonts w:hint="eastAsia" w:hAnsi="宋体" w:cs="仿宋"/>
          <w:color w:val="auto"/>
          <w:szCs w:val="21"/>
          <w:highlight w:val="none"/>
        </w:rPr>
        <w:t>1年的</w:t>
      </w:r>
      <w:r>
        <w:rPr>
          <w:rFonts w:hint="eastAsia" w:hAnsi="宋体" w:cs="仿宋"/>
          <w:color w:val="auto"/>
          <w:szCs w:val="21"/>
          <w:highlight w:val="none"/>
          <w:lang w:val="zh-CN"/>
        </w:rPr>
        <w:t>运营维护服务</w:t>
      </w:r>
      <w:r>
        <w:rPr>
          <w:rFonts w:hint="eastAsia" w:hAnsi="宋体" w:cs="仿宋"/>
          <w:color w:val="auto"/>
          <w:szCs w:val="21"/>
          <w:highlight w:val="none"/>
        </w:rPr>
        <w:t>费用</w:t>
      </w:r>
      <w:r>
        <w:rPr>
          <w:rFonts w:hint="eastAsia" w:hAnsi="宋体" w:cs="宋体"/>
          <w:color w:val="auto"/>
          <w:szCs w:val="21"/>
          <w:highlight w:val="none"/>
        </w:rPr>
        <w:t>（含日常办公、设备巡检、维修养护、组件清洗、耗材更换、人员工资及保险、管理酬金等所有相关费用）；</w:t>
      </w:r>
    </w:p>
    <w:p w14:paraId="3A011431">
      <w:pPr>
        <w:pStyle w:val="20"/>
        <w:autoSpaceDE/>
        <w:autoSpaceDN/>
        <w:spacing w:line="360" w:lineRule="auto"/>
        <w:ind w:firstLine="420" w:firstLineChars="200"/>
        <w:jc w:val="left"/>
        <w:rPr>
          <w:rFonts w:hAnsi="宋体" w:cs="宋体"/>
          <w:color w:val="auto"/>
          <w:sz w:val="21"/>
          <w:szCs w:val="21"/>
          <w:highlight w:val="none"/>
          <w:lang w:val="en-US"/>
        </w:rPr>
      </w:pPr>
      <w:r>
        <w:rPr>
          <w:rFonts w:hint="eastAsia" w:hAnsi="宋体" w:cs="宋体"/>
          <w:b w:val="0"/>
          <w:bCs w:val="0"/>
          <w:color w:val="auto"/>
          <w:sz w:val="21"/>
          <w:szCs w:val="21"/>
          <w:highlight w:val="none"/>
          <w:lang w:val="en-US"/>
        </w:rPr>
        <w:t>（3）</w:t>
      </w:r>
      <w:r>
        <w:rPr>
          <w:rFonts w:hint="eastAsia" w:hAnsi="宋体" w:cs="宋体"/>
          <w:b w:val="0"/>
          <w:bCs w:val="0"/>
          <w:color w:val="auto"/>
          <w:sz w:val="21"/>
          <w:szCs w:val="21"/>
          <w:highlight w:val="none"/>
          <w:lang w:val="en-US" w:eastAsia="zh-CN"/>
        </w:rPr>
        <w:t>72块预留</w:t>
      </w:r>
      <w:r>
        <w:rPr>
          <w:rFonts w:hint="eastAsia" w:hAnsi="宋体" w:cs="宋体"/>
          <w:b w:val="0"/>
          <w:bCs w:val="0"/>
          <w:color w:val="auto"/>
          <w:sz w:val="21"/>
          <w:szCs w:val="21"/>
          <w:highlight w:val="none"/>
          <w:lang w:val="en-US"/>
        </w:rPr>
        <w:t>光伏组件的费用；</w:t>
      </w:r>
    </w:p>
    <w:p w14:paraId="18155D6B">
      <w:pPr>
        <w:pStyle w:val="24"/>
        <w:spacing w:line="360" w:lineRule="auto"/>
        <w:ind w:firstLine="420" w:firstLineChars="200"/>
        <w:rPr>
          <w:color w:val="auto"/>
          <w:highlight w:val="none"/>
        </w:rPr>
      </w:pPr>
      <w:r>
        <w:rPr>
          <w:rFonts w:hint="eastAsia" w:hAnsi="宋体" w:cs="宋体"/>
          <w:color w:val="auto"/>
          <w:szCs w:val="21"/>
          <w:highlight w:val="none"/>
        </w:rPr>
        <w:t>（4）项目实施过程中需按要求办理项目的全部手续及合规性工作所需费用，包括但不限于：①向项目所在地相关主管部门办理备案手续；②供电局对项目接入意见办理、接入方案的设计与编制、评审、接入施工图纸的设计、评审、接入系统的设备、材料的采购、施工、调试以及竣工验收；③政府部门或售电公司上网项目核准；④为满足并网条件，需按供电局要求完成线路改造、对侧变电站改造、网络安防、电能质量优化及调度控制系统建设等相关工作；</w:t>
      </w:r>
      <w:r>
        <w:rPr>
          <w:rFonts w:hint="eastAsia" w:hAnsi="宋体" w:cs="宋体"/>
          <w:color w:val="auto"/>
          <w:szCs w:val="21"/>
          <w:highlight w:val="none"/>
          <w:shd w:val="clear" w:color="auto" w:fill="FFFFFF"/>
        </w:rPr>
        <w:t>⑤办理对应手续需向有关部门、单位缴纳的费用；</w:t>
      </w:r>
    </w:p>
    <w:p w14:paraId="59A60A18">
      <w:pPr>
        <w:pStyle w:val="24"/>
        <w:spacing w:line="360" w:lineRule="auto"/>
        <w:ind w:firstLine="420" w:firstLineChars="200"/>
        <w:rPr>
          <w:rFonts w:hAnsi="宋体" w:cs="宋体"/>
          <w:color w:val="auto"/>
          <w:szCs w:val="21"/>
          <w:highlight w:val="none"/>
        </w:rPr>
      </w:pPr>
      <w:r>
        <w:rPr>
          <w:rFonts w:hint="eastAsia" w:hAnsi="宋体" w:cs="宋体"/>
          <w:color w:val="auto"/>
          <w:szCs w:val="21"/>
          <w:highlight w:val="none"/>
        </w:rPr>
        <w:t>（5）乙方负责为项目招标范围内的设计、供货、安装和验收及满足并网投运所需要的一切手续的费用，即便在合同或招标文件内没有载明，但实际证明是确保项目发电运行所必须的，均纳入设计、采购、安装及提供服务范围，费用已包含在不含税固定每瓦单价内；</w:t>
      </w:r>
    </w:p>
    <w:p w14:paraId="5C0B68B8">
      <w:pPr>
        <w:pStyle w:val="24"/>
        <w:spacing w:line="360" w:lineRule="auto"/>
        <w:ind w:firstLine="420" w:firstLineChars="200"/>
        <w:rPr>
          <w:rFonts w:hAnsi="宋体" w:cs="宋体"/>
          <w:color w:val="auto"/>
          <w:szCs w:val="21"/>
          <w:highlight w:val="none"/>
        </w:rPr>
      </w:pPr>
      <w:r>
        <w:rPr>
          <w:rFonts w:hint="eastAsia" w:hAnsi="宋体" w:cs="宋体"/>
          <w:color w:val="auto"/>
          <w:szCs w:val="21"/>
          <w:highlight w:val="none"/>
        </w:rPr>
        <w:t>（6）供货货物及其工艺所有制造方、使用方应支付的对专有技术、商标权、专利权和版权、设计或其他知识产权而需要向其他方支付的版税；</w:t>
      </w:r>
    </w:p>
    <w:p w14:paraId="3FDBE56F">
      <w:pPr>
        <w:pStyle w:val="24"/>
        <w:spacing w:line="360" w:lineRule="auto"/>
        <w:ind w:firstLine="420" w:firstLineChars="200"/>
        <w:rPr>
          <w:rFonts w:hAnsi="宋体" w:cs="宋体"/>
          <w:color w:val="auto"/>
          <w:szCs w:val="21"/>
          <w:highlight w:val="none"/>
        </w:rPr>
      </w:pPr>
      <w:r>
        <w:rPr>
          <w:rFonts w:hint="eastAsia" w:hAnsi="宋体" w:cs="宋体"/>
          <w:color w:val="auto"/>
          <w:szCs w:val="21"/>
          <w:highlight w:val="none"/>
        </w:rPr>
        <w:t>（7）日常技术指导，免费的质保服务，包括但不限于免费现场质量问题处理或更换失效产品；</w:t>
      </w:r>
    </w:p>
    <w:p w14:paraId="18EF1487">
      <w:pPr>
        <w:pStyle w:val="24"/>
        <w:spacing w:line="360" w:lineRule="auto"/>
        <w:ind w:firstLine="420" w:firstLineChars="200"/>
        <w:rPr>
          <w:rFonts w:hAnsi="宋体" w:cs="宋体"/>
          <w:color w:val="auto"/>
          <w:szCs w:val="21"/>
          <w:highlight w:val="none"/>
        </w:rPr>
      </w:pPr>
      <w:r>
        <w:rPr>
          <w:rFonts w:hint="eastAsia" w:hAnsi="宋体" w:cs="宋体"/>
          <w:color w:val="auto"/>
          <w:szCs w:val="21"/>
          <w:highlight w:val="none"/>
        </w:rPr>
        <w:t>（8）中标服务费、合理利润、乙方销项税额以外的税费及合同实施过程中的应预见和不可预见费用等完成合同规定责任和义务、达到合同目的的一切费用等；</w:t>
      </w:r>
    </w:p>
    <w:p w14:paraId="2536A55A">
      <w:pPr>
        <w:pStyle w:val="24"/>
        <w:spacing w:line="360" w:lineRule="auto"/>
        <w:ind w:firstLine="420" w:firstLineChars="200"/>
        <w:rPr>
          <w:rFonts w:hAnsi="宋体" w:cs="宋体"/>
          <w:color w:val="auto"/>
          <w:szCs w:val="21"/>
          <w:highlight w:val="none"/>
        </w:rPr>
      </w:pPr>
      <w:r>
        <w:rPr>
          <w:rFonts w:hint="eastAsia" w:hAnsi="宋体" w:cs="宋体"/>
          <w:color w:val="auto"/>
          <w:szCs w:val="21"/>
          <w:highlight w:val="none"/>
        </w:rPr>
        <w:t>（9）法律法规、商业公认、招标文件规定由乙方承担的其他直接及间接费用。</w:t>
      </w:r>
    </w:p>
    <w:p w14:paraId="1F05C451">
      <w:pPr>
        <w:pStyle w:val="24"/>
        <w:spacing w:line="360" w:lineRule="auto"/>
        <w:ind w:firstLine="420" w:firstLineChars="200"/>
        <w:rPr>
          <w:rFonts w:hAnsi="宋体" w:cs="宋体"/>
          <w:color w:val="auto"/>
          <w:szCs w:val="21"/>
          <w:highlight w:val="none"/>
        </w:rPr>
      </w:pPr>
      <w:r>
        <w:rPr>
          <w:rFonts w:hint="eastAsia" w:hAnsi="宋体" w:cs="宋体"/>
          <w:color w:val="auto"/>
          <w:szCs w:val="21"/>
          <w:highlight w:val="none"/>
        </w:rPr>
        <w:t>在本合同履行过程中，不含税固定每瓦单价不随法律法规政策、物价人工、工期调整而进行调整，亦不随安装使用质量条件不低于本合同约定及用户需求书的单块并网组件而进行调整，未经甲方书面确认，乙方无权增加任何费用。</w:t>
      </w:r>
    </w:p>
    <w:p w14:paraId="672460E4">
      <w:pPr>
        <w:pStyle w:val="20"/>
        <w:tabs>
          <w:tab w:val="left" w:pos="2766"/>
          <w:tab w:val="left" w:pos="5888"/>
          <w:tab w:val="left" w:pos="8696"/>
          <w:tab w:val="left" w:pos="9074"/>
        </w:tabs>
        <w:snapToGrid w:val="0"/>
        <w:spacing w:line="360" w:lineRule="auto"/>
        <w:ind w:right="0" w:firstLine="422" w:firstLineChars="200"/>
        <w:jc w:val="both"/>
        <w:rPr>
          <w:rFonts w:hAnsi="宋体" w:cs="宋体"/>
          <w:color w:val="auto"/>
          <w:sz w:val="21"/>
          <w:szCs w:val="21"/>
          <w:highlight w:val="none"/>
        </w:rPr>
      </w:pPr>
      <w:r>
        <w:rPr>
          <w:rFonts w:hint="eastAsia" w:hAnsi="宋体" w:cs="宋体"/>
          <w:color w:val="auto"/>
          <w:sz w:val="21"/>
          <w:szCs w:val="21"/>
          <w:highlight w:val="none"/>
          <w:lang w:val="en-US"/>
        </w:rPr>
        <w:t>3</w:t>
      </w:r>
      <w:r>
        <w:rPr>
          <w:rFonts w:hint="eastAsia" w:hAnsi="宋体" w:cs="宋体"/>
          <w:b w:val="0"/>
          <w:bCs w:val="0"/>
          <w:color w:val="auto"/>
          <w:sz w:val="21"/>
          <w:szCs w:val="21"/>
          <w:highlight w:val="none"/>
        </w:rPr>
        <w:t>、依法计得并根据本合同约定确定的销项税额由甲方承担。根据《中华人民共和国增值税暂行条例》（国务院令第691号修订版）及当前税务部门的相关规定，本合同项目的增值税税率为</w:t>
      </w:r>
      <w:r>
        <w:rPr>
          <w:rFonts w:hint="eastAsia" w:hAnsi="宋体" w:cs="宋体"/>
          <w:b w:val="0"/>
          <w:bCs w:val="0"/>
          <w:color w:val="auto"/>
          <w:sz w:val="21"/>
          <w:szCs w:val="21"/>
          <w:highlight w:val="none"/>
          <w:u w:val="single"/>
          <w:lang w:val="en-US"/>
        </w:rPr>
        <w:t xml:space="preserve">  %</w:t>
      </w:r>
      <w:r>
        <w:rPr>
          <w:rFonts w:hint="eastAsia" w:hAnsi="宋体" w:cs="宋体"/>
          <w:b w:val="0"/>
          <w:bCs w:val="0"/>
          <w:color w:val="auto"/>
          <w:sz w:val="21"/>
          <w:szCs w:val="21"/>
          <w:highlight w:val="none"/>
        </w:rPr>
        <w:t>，对应的销项税额为</w:t>
      </w:r>
      <w:r>
        <w:rPr>
          <w:rFonts w:hint="eastAsia" w:hAnsi="宋体" w:cs="宋体"/>
          <w:b w:val="0"/>
          <w:bCs w:val="0"/>
          <w:color w:val="auto"/>
          <w:sz w:val="21"/>
          <w:szCs w:val="21"/>
          <w:highlight w:val="none"/>
          <w:u w:val="single"/>
          <w:lang w:val="en-US"/>
        </w:rPr>
        <w:t xml:space="preserve">   </w:t>
      </w:r>
      <w:r>
        <w:rPr>
          <w:rFonts w:hint="eastAsia" w:hAnsi="宋体" w:cs="宋体"/>
          <w:b w:val="0"/>
          <w:bCs w:val="0"/>
          <w:color w:val="auto"/>
          <w:sz w:val="21"/>
          <w:szCs w:val="21"/>
          <w:highlight w:val="none"/>
        </w:rPr>
        <w:t>元（大写人民币</w:t>
      </w:r>
      <w:r>
        <w:rPr>
          <w:rFonts w:hint="eastAsia" w:hAnsi="宋体" w:cs="宋体"/>
          <w:b w:val="0"/>
          <w:bCs w:val="0"/>
          <w:color w:val="auto"/>
          <w:sz w:val="21"/>
          <w:szCs w:val="21"/>
          <w:highlight w:val="none"/>
          <w:u w:val="single"/>
          <w:lang w:val="en-US"/>
        </w:rPr>
        <w:t xml:space="preserve">      </w:t>
      </w:r>
      <w:r>
        <w:rPr>
          <w:rFonts w:hint="eastAsia" w:hAnsi="宋体" w:cs="宋体"/>
          <w:b w:val="0"/>
          <w:bCs w:val="0"/>
          <w:color w:val="auto"/>
          <w:sz w:val="21"/>
          <w:szCs w:val="21"/>
          <w:highlight w:val="none"/>
        </w:rPr>
        <w:t>）。在本合同履行过程中，</w:t>
      </w:r>
      <w:r>
        <w:rPr>
          <w:rFonts w:hint="eastAsia" w:hAnsi="宋体" w:cs="宋体"/>
          <w:b w:val="0"/>
          <w:bCs w:val="0"/>
          <w:color w:val="auto"/>
          <w:sz w:val="21"/>
          <w:szCs w:val="21"/>
          <w:highlight w:val="none"/>
          <w:lang w:val="en-US"/>
        </w:rPr>
        <w:t>依法应调整</w:t>
      </w:r>
      <w:r>
        <w:rPr>
          <w:rFonts w:hint="eastAsia" w:hAnsi="宋体" w:cs="宋体"/>
          <w:b w:val="0"/>
          <w:bCs w:val="0"/>
          <w:color w:val="auto"/>
          <w:sz w:val="21"/>
          <w:szCs w:val="21"/>
          <w:highlight w:val="none"/>
        </w:rPr>
        <w:t>增值税税率</w:t>
      </w:r>
      <w:r>
        <w:rPr>
          <w:rFonts w:hint="eastAsia" w:hAnsi="宋体" w:cs="宋体"/>
          <w:b w:val="0"/>
          <w:bCs w:val="0"/>
          <w:color w:val="auto"/>
          <w:sz w:val="21"/>
          <w:szCs w:val="21"/>
          <w:highlight w:val="none"/>
          <w:lang w:val="en-US"/>
        </w:rPr>
        <w:t>的</w:t>
      </w:r>
      <w:r>
        <w:rPr>
          <w:rFonts w:hint="eastAsia" w:hAnsi="宋体" w:cs="宋体"/>
          <w:b w:val="0"/>
          <w:bCs w:val="0"/>
          <w:color w:val="auto"/>
          <w:sz w:val="21"/>
          <w:szCs w:val="21"/>
          <w:highlight w:val="none"/>
        </w:rPr>
        <w:t>，依法调整，销项税额</w:t>
      </w:r>
      <w:r>
        <w:rPr>
          <w:rFonts w:hint="eastAsia" w:hAnsi="宋体" w:cs="宋体"/>
          <w:b w:val="0"/>
          <w:bCs w:val="0"/>
          <w:color w:val="auto"/>
          <w:sz w:val="21"/>
          <w:szCs w:val="21"/>
          <w:highlight w:val="none"/>
          <w:lang w:val="en-US"/>
        </w:rPr>
        <w:t>按实结算</w:t>
      </w:r>
      <w:r>
        <w:rPr>
          <w:rFonts w:hint="eastAsia" w:hAnsi="宋体" w:cs="宋体"/>
          <w:b w:val="0"/>
          <w:bCs w:val="0"/>
          <w:color w:val="auto"/>
          <w:sz w:val="21"/>
          <w:szCs w:val="21"/>
          <w:highlight w:val="none"/>
        </w:rPr>
        <w:t>；但因乙方未按合同约定工期完工、未根据合同约定提供合法、完整的请款资料、项目验收不合格导致的返工或</w:t>
      </w:r>
      <w:r>
        <w:rPr>
          <w:rFonts w:hint="eastAsia" w:hAnsi="宋体" w:cs="宋体"/>
          <w:b w:val="0"/>
          <w:bCs w:val="0"/>
          <w:color w:val="auto"/>
          <w:sz w:val="21"/>
          <w:szCs w:val="21"/>
          <w:highlight w:val="none"/>
          <w:lang w:val="en-US"/>
        </w:rPr>
        <w:t>重做</w:t>
      </w:r>
      <w:r>
        <w:rPr>
          <w:rFonts w:hint="eastAsia" w:hAnsi="宋体" w:cs="宋体"/>
          <w:b w:val="0"/>
          <w:bCs w:val="0"/>
          <w:color w:val="auto"/>
          <w:sz w:val="21"/>
          <w:szCs w:val="21"/>
          <w:highlight w:val="none"/>
        </w:rPr>
        <w:t>、项目验收合格前的非正常损耗等原因导致销项税额增加的，相应损失由乙方承担。</w:t>
      </w:r>
    </w:p>
    <w:p w14:paraId="44B3A11C">
      <w:pPr>
        <w:pStyle w:val="20"/>
        <w:snapToGrid w:val="0"/>
        <w:spacing w:line="360" w:lineRule="auto"/>
        <w:ind w:right="0" w:firstLine="420" w:firstLineChars="200"/>
        <w:jc w:val="both"/>
        <w:rPr>
          <w:rFonts w:hAnsi="宋体" w:cs="宋体"/>
          <w:color w:val="auto"/>
          <w:sz w:val="21"/>
          <w:szCs w:val="21"/>
          <w:highlight w:val="none"/>
        </w:rPr>
      </w:pPr>
      <w:r>
        <w:rPr>
          <w:rFonts w:hint="eastAsia" w:hAnsi="宋体" w:cs="宋体"/>
          <w:b w:val="0"/>
          <w:bCs w:val="0"/>
          <w:color w:val="auto"/>
          <w:sz w:val="21"/>
          <w:szCs w:val="21"/>
          <w:highlight w:val="none"/>
          <w:lang w:val="en-US"/>
        </w:rPr>
        <w:t>因</w:t>
      </w:r>
      <w:r>
        <w:rPr>
          <w:rFonts w:hint="eastAsia" w:hAnsi="宋体" w:cs="宋体"/>
          <w:b w:val="0"/>
          <w:bCs w:val="0"/>
          <w:color w:val="auto"/>
          <w:sz w:val="21"/>
          <w:szCs w:val="21"/>
          <w:highlight w:val="none"/>
        </w:rPr>
        <w:t>乙方未按法定税率计算税额或未根据本合同约定出具对应税额的增值税专用发票等乙方原因导致甲方多支付税额的，乙方必须退还甲方，给甲方造成损失的，乙方须向甲方赔偿相应损失。</w:t>
      </w:r>
    </w:p>
    <w:p w14:paraId="17E1EDF7">
      <w:pPr>
        <w:pStyle w:val="20"/>
        <w:numPr>
          <w:ilvl w:val="255"/>
          <w:numId w:val="0"/>
        </w:numPr>
        <w:tabs>
          <w:tab w:val="left" w:pos="3331"/>
          <w:tab w:val="left" w:pos="6460"/>
        </w:tabs>
        <w:snapToGrid w:val="0"/>
        <w:spacing w:line="360" w:lineRule="auto"/>
        <w:ind w:right="0" w:firstLine="420" w:firstLineChars="200"/>
        <w:jc w:val="both"/>
        <w:rPr>
          <w:rFonts w:hAnsi="宋体" w:cs="宋体"/>
          <w:b w:val="0"/>
          <w:bCs w:val="0"/>
          <w:color w:val="auto"/>
          <w:sz w:val="21"/>
          <w:szCs w:val="21"/>
          <w:highlight w:val="none"/>
        </w:rPr>
      </w:pPr>
      <w:r>
        <w:rPr>
          <w:rFonts w:hint="eastAsia" w:hAnsi="宋体" w:cs="宋体"/>
          <w:b w:val="0"/>
          <w:bCs w:val="0"/>
          <w:color w:val="auto"/>
          <w:sz w:val="21"/>
          <w:szCs w:val="21"/>
          <w:highlight w:val="none"/>
          <w:lang w:val="en-US"/>
        </w:rPr>
        <w:t>4、</w:t>
      </w:r>
      <w:r>
        <w:rPr>
          <w:rFonts w:hint="eastAsia" w:hAnsi="宋体" w:cs="宋体"/>
          <w:b w:val="0"/>
          <w:bCs w:val="0"/>
          <w:color w:val="auto"/>
          <w:sz w:val="21"/>
          <w:szCs w:val="21"/>
          <w:highlight w:val="none"/>
          <w:lang w:val="en-US" w:eastAsia="zh-CN"/>
        </w:rPr>
        <w:t>暂定</w:t>
      </w:r>
      <w:r>
        <w:rPr>
          <w:rFonts w:hint="eastAsia" w:hAnsi="宋体" w:cs="宋体"/>
          <w:b w:val="0"/>
          <w:bCs w:val="0"/>
          <w:color w:val="auto"/>
          <w:sz w:val="21"/>
          <w:szCs w:val="21"/>
          <w:highlight w:val="none"/>
        </w:rPr>
        <w:t>合同价税合计为</w:t>
      </w:r>
      <w:r>
        <w:rPr>
          <w:rFonts w:hint="eastAsia" w:hAnsi="宋体" w:cs="宋体"/>
          <w:b w:val="0"/>
          <w:bCs w:val="0"/>
          <w:color w:val="auto"/>
          <w:sz w:val="21"/>
          <w:szCs w:val="21"/>
          <w:highlight w:val="none"/>
          <w:u w:val="single"/>
          <w:lang w:val="en-US"/>
        </w:rPr>
        <w:t xml:space="preserve">   </w:t>
      </w:r>
      <w:r>
        <w:rPr>
          <w:rFonts w:hint="eastAsia" w:hAnsi="宋体" w:cs="宋体"/>
          <w:b w:val="0"/>
          <w:bCs w:val="0"/>
          <w:color w:val="auto"/>
          <w:sz w:val="21"/>
          <w:szCs w:val="21"/>
          <w:highlight w:val="none"/>
        </w:rPr>
        <w:t>元（大写人民币</w:t>
      </w:r>
      <w:r>
        <w:rPr>
          <w:rFonts w:hint="eastAsia" w:hAnsi="宋体" w:cs="宋体"/>
          <w:b w:val="0"/>
          <w:bCs w:val="0"/>
          <w:color w:val="auto"/>
          <w:sz w:val="21"/>
          <w:szCs w:val="21"/>
          <w:highlight w:val="none"/>
          <w:u w:val="single"/>
          <w:lang w:val="en-US"/>
        </w:rPr>
        <w:t xml:space="preserve">     </w:t>
      </w:r>
      <w:r>
        <w:rPr>
          <w:rFonts w:hint="eastAsia" w:hAnsi="宋体" w:cs="宋体"/>
          <w:b w:val="0"/>
          <w:bCs w:val="0"/>
          <w:color w:val="auto"/>
          <w:sz w:val="21"/>
          <w:szCs w:val="21"/>
          <w:highlight w:val="none"/>
        </w:rPr>
        <w:t>），合同履行期间根据本条第</w:t>
      </w:r>
      <w:r>
        <w:rPr>
          <w:rFonts w:hint="eastAsia" w:hAnsi="宋体" w:cs="宋体"/>
          <w:b w:val="0"/>
          <w:bCs w:val="0"/>
          <w:color w:val="auto"/>
          <w:sz w:val="21"/>
          <w:szCs w:val="21"/>
          <w:highlight w:val="none"/>
          <w:lang w:val="en-US"/>
        </w:rPr>
        <w:t>3</w:t>
      </w:r>
      <w:r>
        <w:rPr>
          <w:rFonts w:hint="eastAsia" w:hAnsi="宋体" w:cs="宋体"/>
          <w:b w:val="0"/>
          <w:bCs w:val="0"/>
          <w:color w:val="auto"/>
          <w:sz w:val="21"/>
          <w:szCs w:val="21"/>
          <w:highlight w:val="none"/>
        </w:rPr>
        <w:t>项规定调整销项税额的，结算合同价税合计对应调整。</w:t>
      </w:r>
    </w:p>
    <w:p w14:paraId="18DC1BEB">
      <w:pPr>
        <w:numPr>
          <w:ilvl w:val="255"/>
          <w:numId w:val="0"/>
        </w:numPr>
        <w:tabs>
          <w:tab w:val="center" w:pos="3125"/>
        </w:tabs>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bCs/>
          <w:color w:val="auto"/>
          <w:szCs w:val="21"/>
          <w:highlight w:val="none"/>
          <w:u w:val="single"/>
        </w:rPr>
        <w:t>5、结算合同价以结算装机容量计算，按以下方式确定结算装机容量：（1）如安装并网光伏组件单块容量与投标产品一致，以并网装机容量作为结算装机容量；（2）经甲方书面提出光伏组件型号变化时，该调整范围内以并网装机容量作为结算装机容量；（3）如果乙方因产能、产品迭代等自身原因提出安装使用质量条件不低于本合同约定及用户需求书的单块并网组件，且容量（对比投标产品）增大导致实际并网装机容量增大的，经甲方书面同意后，可以调整组件，但结算时仍按并网光伏组件数量和投标产品单块组件容量为准计算结算装机容量（即结算装机容量=投标产品单块组件容量×并网光伏组件数量）；（4）原则上，单个子项目内建设范围（建设区域）不得改变，因甲方原因对单个子项目内建设范围（建设区域）增减的，经甲方书面确认后，对应调整，按照前述（1）至（3）项原则确定结算装机容量</w:t>
      </w:r>
      <w:r>
        <w:rPr>
          <w:rFonts w:hint="eastAsia" w:ascii="宋体" w:hAnsi="宋体" w:eastAsia="宋体" w:cs="宋体"/>
          <w:color w:val="auto"/>
          <w:szCs w:val="21"/>
          <w:highlight w:val="none"/>
        </w:rPr>
        <w:t>。</w:t>
      </w:r>
    </w:p>
    <w:p w14:paraId="1C891D33">
      <w:pPr>
        <w:tabs>
          <w:tab w:val="center" w:pos="3125"/>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本合同暂定不含税总价仅为便于计算使用，不作为甲方最终采购实施数量的保证。甲方的实际需求数量以实际装机容量为准，按实际的结算装机容量结算。在履行期内，乙方不得因甲方实际采购实施数量的减少或增加而要求甲方作出任何形式的补偿或赔偿，或要求甲方按暂定数量采购。</w:t>
      </w:r>
    </w:p>
    <w:p w14:paraId="1409646C">
      <w:pPr>
        <w:adjustRightInd w:val="0"/>
        <w:spacing w:line="360" w:lineRule="auto"/>
        <w:ind w:firstLine="422" w:firstLineChars="200"/>
        <w:rPr>
          <w:rFonts w:ascii="宋体" w:hAnsi="宋体" w:eastAsia="宋体" w:cs="宋体"/>
          <w:b/>
          <w:color w:val="auto"/>
          <w:szCs w:val="21"/>
          <w:highlight w:val="none"/>
        </w:rPr>
      </w:pPr>
      <w:bookmarkStart w:id="737" w:name="OLE_LINK248"/>
      <w:r>
        <w:rPr>
          <w:rFonts w:hint="eastAsia" w:ascii="宋体" w:hAnsi="宋体" w:eastAsia="宋体" w:cs="宋体"/>
          <w:b/>
          <w:color w:val="auto"/>
          <w:szCs w:val="21"/>
          <w:highlight w:val="none"/>
        </w:rPr>
        <w:t xml:space="preserve">第三条 </w:t>
      </w:r>
      <w:bookmarkStart w:id="738" w:name="OLE_LINK78"/>
      <w:r>
        <w:rPr>
          <w:rFonts w:hint="eastAsia" w:ascii="宋体" w:hAnsi="宋体" w:eastAsia="宋体" w:cs="宋体"/>
          <w:b/>
          <w:color w:val="auto"/>
          <w:szCs w:val="21"/>
          <w:highlight w:val="none"/>
        </w:rPr>
        <w:t>付款方式</w:t>
      </w:r>
      <w:bookmarkEnd w:id="738"/>
    </w:p>
    <w:bookmarkEnd w:id="737"/>
    <w:p w14:paraId="2B62B63B">
      <w:pPr>
        <w:pStyle w:val="20"/>
        <w:snapToGrid w:val="0"/>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lang w:val="en-US"/>
        </w:rPr>
        <w:t>1</w:t>
      </w:r>
      <w:r>
        <w:rPr>
          <w:rFonts w:hint="eastAsia" w:hAnsi="宋体" w:cs="宋体"/>
          <w:b w:val="0"/>
          <w:bCs w:val="0"/>
          <w:color w:val="auto"/>
          <w:sz w:val="21"/>
          <w:szCs w:val="21"/>
          <w:highlight w:val="none"/>
        </w:rPr>
        <w:t>、合同的履约过程中，乙方根据本合同约定需向甲方支付违约金、赔偿金、或其他应付费用等款项的，乙方必须先向甲方支付相关款项后，</w:t>
      </w:r>
      <w:r>
        <w:rPr>
          <w:rFonts w:hint="eastAsia" w:hAnsi="宋体" w:cs="宋体"/>
          <w:b w:val="0"/>
          <w:bCs w:val="0"/>
          <w:color w:val="auto"/>
          <w:sz w:val="21"/>
          <w:szCs w:val="21"/>
          <w:highlight w:val="none"/>
          <w:lang w:val="en-US"/>
        </w:rPr>
        <w:t>甲</w:t>
      </w:r>
      <w:r>
        <w:rPr>
          <w:rFonts w:hint="eastAsia" w:hAnsi="宋体" w:cs="宋体"/>
          <w:b w:val="0"/>
          <w:bCs w:val="0"/>
          <w:color w:val="auto"/>
          <w:sz w:val="21"/>
          <w:szCs w:val="21"/>
          <w:highlight w:val="none"/>
        </w:rPr>
        <w:t>方才根据本合同向乙方支付合同</w:t>
      </w:r>
      <w:r>
        <w:rPr>
          <w:rFonts w:hint="eastAsia" w:hAnsi="宋体" w:cs="宋体"/>
          <w:b w:val="0"/>
          <w:bCs w:val="0"/>
          <w:color w:val="auto"/>
          <w:sz w:val="21"/>
          <w:szCs w:val="21"/>
          <w:highlight w:val="none"/>
          <w:lang w:val="en-US"/>
        </w:rPr>
        <w:t>款</w:t>
      </w:r>
      <w:r>
        <w:rPr>
          <w:rFonts w:hint="eastAsia" w:hAnsi="宋体" w:cs="宋体"/>
          <w:b w:val="0"/>
          <w:bCs w:val="0"/>
          <w:color w:val="auto"/>
          <w:sz w:val="21"/>
          <w:szCs w:val="21"/>
          <w:highlight w:val="none"/>
        </w:rPr>
        <w:t>。若因乙方未能支付前述费用，影响项目实施的，</w:t>
      </w:r>
      <w:r>
        <w:rPr>
          <w:rFonts w:hint="eastAsia" w:hAnsi="宋体" w:cs="宋体"/>
          <w:b w:val="0"/>
          <w:bCs w:val="0"/>
          <w:color w:val="auto"/>
          <w:sz w:val="21"/>
          <w:szCs w:val="21"/>
          <w:highlight w:val="none"/>
          <w:lang w:val="en-US"/>
        </w:rPr>
        <w:t>甲</w:t>
      </w:r>
      <w:r>
        <w:rPr>
          <w:rFonts w:hint="eastAsia" w:hAnsi="宋体" w:cs="宋体"/>
          <w:b w:val="0"/>
          <w:bCs w:val="0"/>
          <w:color w:val="auto"/>
          <w:sz w:val="21"/>
          <w:szCs w:val="21"/>
          <w:highlight w:val="none"/>
        </w:rPr>
        <w:t>方有权启用履约担保或直接从未付合同款项、质</w:t>
      </w:r>
      <w:r>
        <w:rPr>
          <w:rFonts w:hint="eastAsia" w:hAnsi="宋体" w:cs="宋体"/>
          <w:b w:val="0"/>
          <w:bCs w:val="0"/>
          <w:color w:val="auto"/>
          <w:sz w:val="21"/>
          <w:szCs w:val="21"/>
          <w:highlight w:val="none"/>
          <w:lang w:val="en-US"/>
        </w:rPr>
        <w:t>量</w:t>
      </w:r>
      <w:r>
        <w:rPr>
          <w:rFonts w:hint="eastAsia" w:hAnsi="宋体" w:cs="宋体"/>
          <w:b w:val="0"/>
          <w:bCs w:val="0"/>
          <w:color w:val="auto"/>
          <w:sz w:val="21"/>
          <w:szCs w:val="21"/>
          <w:highlight w:val="none"/>
        </w:rPr>
        <w:t>保证金中直接扣除，</w:t>
      </w:r>
      <w:r>
        <w:rPr>
          <w:rFonts w:hint="eastAsia" w:hAnsi="宋体" w:cs="宋体"/>
          <w:b w:val="0"/>
          <w:bCs w:val="0"/>
          <w:color w:val="auto"/>
          <w:sz w:val="21"/>
          <w:szCs w:val="21"/>
          <w:highlight w:val="none"/>
          <w:lang w:val="en-US"/>
        </w:rPr>
        <w:t>且</w:t>
      </w:r>
      <w:r>
        <w:rPr>
          <w:rFonts w:hint="eastAsia" w:hAnsi="宋体" w:cs="宋体"/>
          <w:b w:val="0"/>
          <w:bCs w:val="0"/>
          <w:color w:val="auto"/>
          <w:sz w:val="21"/>
          <w:szCs w:val="21"/>
          <w:highlight w:val="none"/>
        </w:rPr>
        <w:t>乙方必须按照扣除前述费用前的合同价（销售额）开具增值税专用发票，保证增值税税额符合法律规定。</w:t>
      </w:r>
    </w:p>
    <w:p w14:paraId="12064AAB">
      <w:pPr>
        <w:pStyle w:val="20"/>
        <w:snapToGrid w:val="0"/>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lang w:val="en-US"/>
        </w:rPr>
        <w:t>2、</w:t>
      </w:r>
      <w:r>
        <w:rPr>
          <w:rFonts w:hint="eastAsia" w:hAnsi="宋体" w:cs="宋体"/>
          <w:b w:val="0"/>
          <w:bCs w:val="0"/>
          <w:color w:val="auto"/>
          <w:sz w:val="21"/>
          <w:szCs w:val="21"/>
          <w:highlight w:val="none"/>
        </w:rPr>
        <w:t>本项目的</w:t>
      </w:r>
      <w:r>
        <w:rPr>
          <w:rFonts w:hint="eastAsia" w:hAnsi="宋体" w:cs="宋体"/>
          <w:b w:val="0"/>
          <w:bCs w:val="0"/>
          <w:color w:val="auto"/>
          <w:sz w:val="21"/>
          <w:szCs w:val="21"/>
          <w:highlight w:val="none"/>
          <w:lang w:val="en-US"/>
        </w:rPr>
        <w:t>合同价</w:t>
      </w:r>
      <w:r>
        <w:rPr>
          <w:rFonts w:hint="eastAsia" w:hAnsi="宋体" w:cs="宋体"/>
          <w:b w:val="0"/>
          <w:bCs w:val="0"/>
          <w:color w:val="auto"/>
          <w:sz w:val="21"/>
          <w:szCs w:val="21"/>
          <w:highlight w:val="none"/>
        </w:rPr>
        <w:t>为</w:t>
      </w:r>
      <w:r>
        <w:rPr>
          <w:rFonts w:hint="eastAsia" w:hAnsi="宋体" w:cs="宋体"/>
          <w:b w:val="0"/>
          <w:bCs w:val="0"/>
          <w:color w:val="auto"/>
          <w:sz w:val="21"/>
          <w:szCs w:val="21"/>
          <w:highlight w:val="none"/>
          <w:lang w:val="en-US"/>
        </w:rPr>
        <w:t>固定单价</w:t>
      </w:r>
      <w:r>
        <w:rPr>
          <w:rFonts w:hint="eastAsia" w:hAnsi="宋体" w:cs="宋体"/>
          <w:b w:val="0"/>
          <w:bCs w:val="0"/>
          <w:color w:val="auto"/>
          <w:sz w:val="21"/>
          <w:szCs w:val="21"/>
          <w:highlight w:val="none"/>
        </w:rPr>
        <w:t>包干，未经甲方书面确认，乙方无权另行收取其它任何费用。</w:t>
      </w:r>
    </w:p>
    <w:p w14:paraId="55AB610C">
      <w:pPr>
        <w:pStyle w:val="20"/>
        <w:snapToGrid w:val="0"/>
        <w:spacing w:line="360" w:lineRule="auto"/>
        <w:ind w:right="0" w:firstLine="420" w:firstLineChars="200"/>
        <w:jc w:val="left"/>
        <w:rPr>
          <w:rFonts w:hAnsi="宋体" w:cs="宋体"/>
          <w:b w:val="0"/>
          <w:bCs w:val="0"/>
          <w:color w:val="auto"/>
          <w:sz w:val="21"/>
          <w:szCs w:val="21"/>
          <w:highlight w:val="none"/>
          <w:lang w:val="en-US"/>
        </w:rPr>
      </w:pPr>
      <w:r>
        <w:rPr>
          <w:rFonts w:hint="eastAsia" w:hAnsi="宋体" w:cs="宋体"/>
          <w:b w:val="0"/>
          <w:bCs w:val="0"/>
          <w:color w:val="auto"/>
          <w:sz w:val="21"/>
          <w:szCs w:val="21"/>
          <w:highlight w:val="none"/>
          <w:lang w:val="en-US"/>
        </w:rPr>
        <w:t>3、付款方式：</w:t>
      </w:r>
    </w:p>
    <w:p w14:paraId="6F515410">
      <w:pPr>
        <w:pStyle w:val="20"/>
        <w:tabs>
          <w:tab w:val="left" w:pos="2766"/>
          <w:tab w:val="left" w:pos="5888"/>
          <w:tab w:val="left" w:pos="8696"/>
          <w:tab w:val="left" w:pos="9074"/>
        </w:tabs>
        <w:autoSpaceDE/>
        <w:autoSpaceDN/>
        <w:adjustRightInd/>
        <w:snapToGrid w:val="0"/>
        <w:spacing w:line="360" w:lineRule="auto"/>
        <w:ind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第一阶段：合同签订后，乙方向甲方提交</w:t>
      </w:r>
      <w:r>
        <w:rPr>
          <w:rFonts w:hint="eastAsia" w:ascii="宋体" w:hAnsi="宋体" w:cs="宋体"/>
          <w:b w:val="0"/>
          <w:bCs w:val="0"/>
          <w:color w:val="auto"/>
          <w:sz w:val="21"/>
          <w:szCs w:val="21"/>
          <w:highlight w:val="none"/>
        </w:rPr>
        <w:t>等额</w:t>
      </w:r>
      <w:r>
        <w:rPr>
          <w:rFonts w:hint="eastAsia" w:hAnsi="宋体" w:cs="宋体"/>
          <w:b w:val="0"/>
          <w:bCs w:val="0"/>
          <w:color w:val="auto"/>
          <w:sz w:val="21"/>
          <w:szCs w:val="21"/>
          <w:highlight w:val="none"/>
          <w:lang w:val="en-US" w:eastAsia="zh-CN"/>
        </w:rPr>
        <w:t>不可撤销银行</w:t>
      </w:r>
      <w:r>
        <w:rPr>
          <w:rFonts w:hint="eastAsia" w:ascii="宋体" w:hAnsi="宋体" w:cs="宋体"/>
          <w:b w:val="0"/>
          <w:bCs w:val="0"/>
          <w:color w:val="auto"/>
          <w:sz w:val="21"/>
          <w:szCs w:val="21"/>
          <w:highlight w:val="none"/>
        </w:rPr>
        <w:t>预付款保函</w:t>
      </w:r>
      <w:r>
        <w:rPr>
          <w:rFonts w:hint="eastAsia" w:hAnsi="宋体" w:cs="宋体"/>
          <w:b w:val="0"/>
          <w:bCs w:val="0"/>
          <w:color w:val="auto"/>
          <w:sz w:val="21"/>
          <w:szCs w:val="21"/>
          <w:highlight w:val="none"/>
        </w:rPr>
        <w:t>，经甲方审核确认后，甲方向乙方支付</w:t>
      </w:r>
      <w:r>
        <w:rPr>
          <w:rFonts w:hint="eastAsia" w:hAnsi="宋体" w:cs="宋体"/>
          <w:b w:val="0"/>
          <w:bCs w:val="0"/>
          <w:color w:val="auto"/>
          <w:sz w:val="21"/>
          <w:szCs w:val="21"/>
          <w:highlight w:val="none"/>
          <w:lang w:val="en-US" w:eastAsia="zh-CN"/>
        </w:rPr>
        <w:t>合同</w:t>
      </w:r>
      <w:r>
        <w:rPr>
          <w:rFonts w:hint="eastAsia" w:hAnsi="宋体" w:cs="宋体"/>
          <w:b w:val="0"/>
          <w:bCs w:val="0"/>
          <w:color w:val="auto"/>
          <w:sz w:val="21"/>
          <w:szCs w:val="21"/>
          <w:highlight w:val="none"/>
          <w:lang w:val="en-US"/>
        </w:rPr>
        <w:t>暂定不含税总价20%</w:t>
      </w:r>
      <w:r>
        <w:rPr>
          <w:rFonts w:hint="eastAsia" w:hAnsi="宋体" w:cs="宋体"/>
          <w:b w:val="0"/>
          <w:bCs w:val="0"/>
          <w:color w:val="auto"/>
          <w:sz w:val="21"/>
          <w:szCs w:val="21"/>
          <w:highlight w:val="none"/>
          <w:lang w:val="en-US" w:eastAsia="zh-CN"/>
        </w:rPr>
        <w:t>的</w:t>
      </w:r>
      <w:r>
        <w:rPr>
          <w:rFonts w:hint="eastAsia" w:ascii="宋体" w:hAnsi="宋体" w:cs="宋体"/>
          <w:b w:val="0"/>
          <w:bCs w:val="0"/>
          <w:color w:val="auto"/>
          <w:sz w:val="21"/>
          <w:szCs w:val="21"/>
          <w:highlight w:val="none"/>
        </w:rPr>
        <w:t>预付款</w:t>
      </w:r>
      <w:r>
        <w:rPr>
          <w:rFonts w:hint="eastAsia" w:hAnsi="宋体" w:cs="宋体"/>
          <w:b w:val="0"/>
          <w:bCs w:val="0"/>
          <w:color w:val="auto"/>
          <w:sz w:val="21"/>
          <w:szCs w:val="21"/>
          <w:highlight w:val="none"/>
          <w:lang w:val="en-US"/>
        </w:rPr>
        <w:t>和对应的销项税额。</w:t>
      </w:r>
    </w:p>
    <w:p w14:paraId="705F2BA6">
      <w:pPr>
        <w:pStyle w:val="20"/>
        <w:tabs>
          <w:tab w:val="left" w:pos="2766"/>
          <w:tab w:val="left" w:pos="5888"/>
          <w:tab w:val="left" w:pos="8696"/>
          <w:tab w:val="left" w:pos="9074"/>
        </w:tabs>
        <w:autoSpaceDE/>
        <w:autoSpaceDN/>
        <w:adjustRightInd/>
        <w:snapToGrid w:val="0"/>
        <w:spacing w:line="360" w:lineRule="auto"/>
        <w:ind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第二阶段：按子项目进度支付，所有子项目在该阶段累计支付金额不超过</w:t>
      </w:r>
      <w:r>
        <w:rPr>
          <w:rFonts w:hint="eastAsia" w:hAnsi="宋体" w:cs="宋体"/>
          <w:b w:val="0"/>
          <w:bCs w:val="0"/>
          <w:color w:val="auto"/>
          <w:sz w:val="21"/>
          <w:szCs w:val="21"/>
          <w:highlight w:val="none"/>
          <w:lang w:val="en-US" w:eastAsia="zh-CN"/>
        </w:rPr>
        <w:t>合同</w:t>
      </w:r>
      <w:r>
        <w:rPr>
          <w:rFonts w:hint="eastAsia" w:hAnsi="宋体" w:cs="宋体"/>
          <w:b w:val="0"/>
          <w:bCs w:val="0"/>
          <w:color w:val="auto"/>
          <w:sz w:val="21"/>
          <w:szCs w:val="21"/>
          <w:highlight w:val="none"/>
        </w:rPr>
        <w:t>暂定</w:t>
      </w:r>
      <w:r>
        <w:rPr>
          <w:rFonts w:hint="eastAsia" w:hAnsi="宋体" w:cs="宋体"/>
          <w:b w:val="0"/>
          <w:bCs w:val="0"/>
          <w:color w:val="auto"/>
          <w:sz w:val="21"/>
          <w:szCs w:val="21"/>
          <w:highlight w:val="none"/>
          <w:lang w:val="en-US"/>
        </w:rPr>
        <w:t>不含税总价的</w:t>
      </w:r>
      <w:r>
        <w:rPr>
          <w:rFonts w:hint="eastAsia" w:hAnsi="宋体" w:cs="宋体"/>
          <w:b w:val="0"/>
          <w:bCs w:val="0"/>
          <w:color w:val="auto"/>
          <w:sz w:val="21"/>
          <w:szCs w:val="21"/>
          <w:highlight w:val="none"/>
        </w:rPr>
        <w:t>60%和对应的销项税额，具体如下：</w:t>
      </w:r>
    </w:p>
    <w:p w14:paraId="5AF70377">
      <w:pPr>
        <w:pStyle w:val="20"/>
        <w:numPr>
          <w:ilvl w:val="255"/>
          <w:numId w:val="0"/>
        </w:numPr>
        <w:tabs>
          <w:tab w:val="left" w:pos="2766"/>
          <w:tab w:val="left" w:pos="5888"/>
          <w:tab w:val="left" w:pos="8696"/>
          <w:tab w:val="left" w:pos="9074"/>
        </w:tabs>
        <w:autoSpaceDE/>
        <w:autoSpaceDN/>
        <w:adjustRightInd/>
        <w:snapToGrid w:val="0"/>
        <w:spacing w:line="360" w:lineRule="auto"/>
        <w:ind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w:t>
      </w:r>
      <w:r>
        <w:rPr>
          <w:rFonts w:hint="eastAsia" w:hAnsi="宋体" w:cs="宋体"/>
          <w:b w:val="0"/>
          <w:bCs w:val="0"/>
          <w:color w:val="auto"/>
          <w:sz w:val="21"/>
          <w:szCs w:val="21"/>
          <w:highlight w:val="none"/>
          <w:lang w:val="en-US"/>
        </w:rPr>
        <w:t>1</w:t>
      </w:r>
      <w:r>
        <w:rPr>
          <w:rFonts w:hint="eastAsia" w:hAnsi="宋体" w:cs="宋体"/>
          <w:b w:val="0"/>
          <w:bCs w:val="0"/>
          <w:color w:val="auto"/>
          <w:sz w:val="21"/>
          <w:szCs w:val="21"/>
          <w:highlight w:val="none"/>
        </w:rPr>
        <w:t>）乙方完成子项目备案并经甲方确认后，甲方向乙方支付该子项目的项目暂定不含税总价的</w:t>
      </w:r>
      <w:r>
        <w:rPr>
          <w:rFonts w:hint="eastAsia" w:hAnsi="宋体" w:cs="宋体"/>
          <w:b w:val="0"/>
          <w:bCs w:val="0"/>
          <w:color w:val="auto"/>
          <w:sz w:val="21"/>
          <w:szCs w:val="21"/>
          <w:highlight w:val="none"/>
          <w:lang w:val="en-US"/>
        </w:rPr>
        <w:t>1</w:t>
      </w:r>
      <w:r>
        <w:rPr>
          <w:rFonts w:hint="eastAsia" w:hAnsi="宋体" w:cs="宋体"/>
          <w:b w:val="0"/>
          <w:bCs w:val="0"/>
          <w:color w:val="auto"/>
          <w:sz w:val="21"/>
          <w:szCs w:val="21"/>
          <w:highlight w:val="none"/>
        </w:rPr>
        <w:t>0%和对应的销项税额；</w:t>
      </w:r>
    </w:p>
    <w:p w14:paraId="028C53EC">
      <w:pPr>
        <w:pStyle w:val="20"/>
        <w:numPr>
          <w:ilvl w:val="255"/>
          <w:numId w:val="0"/>
        </w:numPr>
        <w:tabs>
          <w:tab w:val="left" w:pos="2766"/>
          <w:tab w:val="left" w:pos="5888"/>
          <w:tab w:val="left" w:pos="8696"/>
          <w:tab w:val="left" w:pos="9074"/>
        </w:tabs>
        <w:autoSpaceDE/>
        <w:autoSpaceDN/>
        <w:adjustRightInd/>
        <w:snapToGrid w:val="0"/>
        <w:spacing w:line="360" w:lineRule="auto"/>
        <w:ind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w:t>
      </w:r>
      <w:r>
        <w:rPr>
          <w:rFonts w:hint="eastAsia" w:hAnsi="宋体" w:cs="宋体"/>
          <w:b w:val="0"/>
          <w:bCs w:val="0"/>
          <w:color w:val="auto"/>
          <w:sz w:val="21"/>
          <w:szCs w:val="21"/>
          <w:highlight w:val="none"/>
          <w:lang w:val="en-US"/>
        </w:rPr>
        <w:t>2</w:t>
      </w:r>
      <w:r>
        <w:rPr>
          <w:rFonts w:hint="eastAsia" w:hAnsi="宋体" w:cs="宋体"/>
          <w:b w:val="0"/>
          <w:bCs w:val="0"/>
          <w:color w:val="auto"/>
          <w:sz w:val="21"/>
          <w:szCs w:val="21"/>
          <w:highlight w:val="none"/>
        </w:rPr>
        <w:t>）乙方完成光伏</w:t>
      </w:r>
      <w:r>
        <w:rPr>
          <w:rFonts w:hint="eastAsia" w:hAnsi="宋体" w:cs="宋体"/>
          <w:b w:val="0"/>
          <w:bCs w:val="0"/>
          <w:color w:val="auto"/>
          <w:sz w:val="21"/>
          <w:szCs w:val="21"/>
          <w:highlight w:val="none"/>
          <w:lang w:val="en-US" w:eastAsia="zh-CN"/>
        </w:rPr>
        <w:t>组件铺设</w:t>
      </w:r>
      <w:r>
        <w:rPr>
          <w:rFonts w:hint="eastAsia" w:hAnsi="宋体" w:cs="宋体"/>
          <w:b w:val="0"/>
          <w:bCs w:val="0"/>
          <w:color w:val="auto"/>
          <w:sz w:val="21"/>
          <w:szCs w:val="21"/>
          <w:highlight w:val="none"/>
        </w:rPr>
        <w:t>并经甲方确认后，甲方向乙方支付该子项目的项目暂定</w:t>
      </w:r>
      <w:r>
        <w:rPr>
          <w:rFonts w:hint="eastAsia" w:hAnsi="宋体" w:cs="宋体"/>
          <w:b w:val="0"/>
          <w:bCs w:val="0"/>
          <w:color w:val="auto"/>
          <w:sz w:val="21"/>
          <w:szCs w:val="21"/>
          <w:highlight w:val="none"/>
          <w:lang w:val="en-US"/>
        </w:rPr>
        <w:t>不含税总价</w:t>
      </w:r>
      <w:r>
        <w:rPr>
          <w:rFonts w:hint="eastAsia" w:hAnsi="宋体" w:cs="宋体"/>
          <w:b w:val="0"/>
          <w:bCs w:val="0"/>
          <w:color w:val="auto"/>
          <w:sz w:val="21"/>
          <w:szCs w:val="21"/>
          <w:highlight w:val="none"/>
        </w:rPr>
        <w:t>的</w:t>
      </w:r>
      <w:r>
        <w:rPr>
          <w:rFonts w:hint="eastAsia" w:hAnsi="宋体" w:cs="宋体"/>
          <w:b w:val="0"/>
          <w:bCs w:val="0"/>
          <w:color w:val="auto"/>
          <w:sz w:val="21"/>
          <w:szCs w:val="21"/>
          <w:highlight w:val="none"/>
          <w:lang w:val="en-US"/>
        </w:rPr>
        <w:t>3</w:t>
      </w:r>
      <w:r>
        <w:rPr>
          <w:rFonts w:hint="eastAsia" w:hAnsi="宋体" w:cs="宋体"/>
          <w:b w:val="0"/>
          <w:bCs w:val="0"/>
          <w:color w:val="auto"/>
          <w:sz w:val="21"/>
          <w:szCs w:val="21"/>
          <w:highlight w:val="none"/>
        </w:rPr>
        <w:t>0%和对应的销项税额；</w:t>
      </w:r>
    </w:p>
    <w:p w14:paraId="2DBAF321">
      <w:pPr>
        <w:pStyle w:val="20"/>
        <w:tabs>
          <w:tab w:val="left" w:pos="2766"/>
          <w:tab w:val="left" w:pos="5888"/>
          <w:tab w:val="left" w:pos="8696"/>
          <w:tab w:val="left" w:pos="9074"/>
        </w:tabs>
        <w:autoSpaceDE/>
        <w:autoSpaceDN/>
        <w:adjustRightInd/>
        <w:snapToGrid w:val="0"/>
        <w:spacing w:line="360" w:lineRule="auto"/>
        <w:ind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w:t>
      </w:r>
      <w:r>
        <w:rPr>
          <w:rFonts w:hint="eastAsia" w:hAnsi="宋体" w:cs="宋体"/>
          <w:b w:val="0"/>
          <w:bCs w:val="0"/>
          <w:color w:val="auto"/>
          <w:sz w:val="21"/>
          <w:szCs w:val="21"/>
          <w:highlight w:val="none"/>
          <w:lang w:val="en-US"/>
        </w:rPr>
        <w:t>3</w:t>
      </w:r>
      <w:r>
        <w:rPr>
          <w:rFonts w:hint="eastAsia" w:hAnsi="宋体" w:cs="宋体"/>
          <w:b w:val="0"/>
          <w:bCs w:val="0"/>
          <w:color w:val="auto"/>
          <w:sz w:val="21"/>
          <w:szCs w:val="21"/>
          <w:highlight w:val="none"/>
        </w:rPr>
        <w:t>）子项目完成并网验收，甲方向乙方支付该子项目的项目暂定</w:t>
      </w:r>
      <w:r>
        <w:rPr>
          <w:rFonts w:hint="eastAsia" w:hAnsi="宋体" w:cs="宋体"/>
          <w:b w:val="0"/>
          <w:bCs w:val="0"/>
          <w:color w:val="auto"/>
          <w:sz w:val="21"/>
          <w:szCs w:val="21"/>
          <w:highlight w:val="none"/>
          <w:lang w:val="en-US"/>
        </w:rPr>
        <w:t>不含税总价</w:t>
      </w:r>
      <w:r>
        <w:rPr>
          <w:rFonts w:hint="eastAsia" w:hAnsi="宋体" w:cs="宋体"/>
          <w:b w:val="0"/>
          <w:bCs w:val="0"/>
          <w:color w:val="auto"/>
          <w:sz w:val="21"/>
          <w:szCs w:val="21"/>
          <w:highlight w:val="none"/>
        </w:rPr>
        <w:t>的20%和对应的销项税额。</w:t>
      </w:r>
    </w:p>
    <w:p w14:paraId="3F98F8EB">
      <w:pPr>
        <w:pStyle w:val="20"/>
        <w:tabs>
          <w:tab w:val="left" w:pos="2766"/>
          <w:tab w:val="left" w:pos="5888"/>
          <w:tab w:val="left" w:pos="8696"/>
          <w:tab w:val="left" w:pos="9074"/>
        </w:tabs>
        <w:autoSpaceDE/>
        <w:autoSpaceDN/>
        <w:adjustRightInd/>
        <w:snapToGrid w:val="0"/>
        <w:spacing w:line="360" w:lineRule="auto"/>
        <w:ind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第三阶段：在所有子项目竣工验收合格并结算完成后，甲方向乙方支付至</w:t>
      </w:r>
      <w:r>
        <w:rPr>
          <w:rFonts w:hint="eastAsia" w:hAnsi="宋体" w:cs="宋体"/>
          <w:b w:val="0"/>
          <w:bCs w:val="0"/>
          <w:color w:val="auto"/>
          <w:sz w:val="21"/>
          <w:szCs w:val="21"/>
          <w:highlight w:val="none"/>
          <w:lang w:val="en-US" w:eastAsia="zh-CN"/>
        </w:rPr>
        <w:t>合同</w:t>
      </w:r>
      <w:r>
        <w:rPr>
          <w:rFonts w:hint="eastAsia" w:hAnsi="宋体" w:cs="宋体"/>
          <w:b w:val="0"/>
          <w:bCs w:val="0"/>
          <w:color w:val="auto"/>
          <w:sz w:val="21"/>
          <w:szCs w:val="21"/>
          <w:highlight w:val="none"/>
          <w:lang w:val="en-US"/>
        </w:rPr>
        <w:t>不含税</w:t>
      </w:r>
      <w:r>
        <w:rPr>
          <w:rFonts w:hint="eastAsia" w:hAnsi="宋体" w:cs="宋体"/>
          <w:b w:val="0"/>
          <w:bCs w:val="0"/>
          <w:color w:val="auto"/>
          <w:sz w:val="21"/>
          <w:szCs w:val="21"/>
          <w:highlight w:val="none"/>
        </w:rPr>
        <w:t>结算价款的90%和对应的销项税额。</w:t>
      </w:r>
    </w:p>
    <w:p w14:paraId="57B6E5A2">
      <w:pPr>
        <w:pStyle w:val="20"/>
        <w:widowControl/>
        <w:tabs>
          <w:tab w:val="left" w:pos="2766"/>
          <w:tab w:val="left" w:pos="5888"/>
          <w:tab w:val="left" w:pos="8696"/>
          <w:tab w:val="left" w:pos="9074"/>
        </w:tabs>
        <w:autoSpaceDE/>
        <w:autoSpaceDN/>
        <w:adjustRightInd/>
        <w:snapToGrid w:val="0"/>
        <w:spacing w:line="360" w:lineRule="auto"/>
        <w:ind w:firstLine="420" w:firstLineChars="200"/>
        <w:jc w:val="both"/>
        <w:rPr>
          <w:rFonts w:hAnsi="宋体" w:cs="宋体"/>
          <w:b w:val="0"/>
          <w:bCs w:val="0"/>
          <w:color w:val="auto"/>
          <w:sz w:val="21"/>
          <w:szCs w:val="21"/>
          <w:highlight w:val="none"/>
        </w:rPr>
      </w:pPr>
      <w:r>
        <w:rPr>
          <w:rFonts w:hint="eastAsia" w:hAnsi="宋体" w:cs="宋体"/>
          <w:b w:val="0"/>
          <w:bCs w:val="0"/>
          <w:color w:val="auto"/>
          <w:sz w:val="21"/>
          <w:szCs w:val="21"/>
          <w:highlight w:val="none"/>
        </w:rPr>
        <w:t>第四阶段：</w:t>
      </w:r>
      <w:r>
        <w:rPr>
          <w:rFonts w:hint="eastAsia" w:hAnsi="宋体" w:cs="宋体"/>
          <w:b w:val="0"/>
          <w:bCs w:val="0"/>
          <w:color w:val="auto"/>
          <w:sz w:val="21"/>
          <w:szCs w:val="21"/>
          <w:highlight w:val="none"/>
          <w:lang w:val="en-US"/>
        </w:rPr>
        <w:t>不含税</w:t>
      </w:r>
      <w:r>
        <w:rPr>
          <w:rFonts w:hint="eastAsia" w:hAnsi="宋体" w:cs="宋体"/>
          <w:b w:val="0"/>
          <w:bCs w:val="0"/>
          <w:color w:val="auto"/>
          <w:sz w:val="21"/>
          <w:szCs w:val="21"/>
          <w:highlight w:val="none"/>
        </w:rPr>
        <w:t>总结算</w:t>
      </w:r>
      <w:r>
        <w:rPr>
          <w:rFonts w:hint="eastAsia" w:hAnsi="宋体" w:cs="宋体"/>
          <w:b w:val="0"/>
          <w:bCs w:val="0"/>
          <w:color w:val="auto"/>
          <w:sz w:val="21"/>
          <w:szCs w:val="21"/>
          <w:highlight w:val="none"/>
          <w:lang w:val="en-US"/>
        </w:rPr>
        <w:t>价</w:t>
      </w:r>
      <w:r>
        <w:rPr>
          <w:rFonts w:hint="eastAsia" w:hAnsi="宋体" w:cs="宋体"/>
          <w:b w:val="0"/>
          <w:bCs w:val="0"/>
          <w:color w:val="auto"/>
          <w:sz w:val="21"/>
          <w:szCs w:val="21"/>
          <w:highlight w:val="none"/>
        </w:rPr>
        <w:t>的7%和对应的销项税额作为1年运维费用，按一年四个季度分四期进行支付。运维期费用结合季度考核评价表按季</w:t>
      </w:r>
      <w:r>
        <w:rPr>
          <w:rFonts w:hint="eastAsia" w:hAnsi="宋体" w:cs="宋体"/>
          <w:b w:val="0"/>
          <w:bCs w:val="0"/>
          <w:color w:val="auto"/>
          <w:sz w:val="21"/>
          <w:szCs w:val="21"/>
          <w:highlight w:val="none"/>
          <w:lang w:val="en-US"/>
        </w:rPr>
        <w:t>度</w:t>
      </w:r>
      <w:r>
        <w:rPr>
          <w:rFonts w:hint="eastAsia" w:hAnsi="宋体" w:cs="宋体"/>
          <w:b w:val="0"/>
          <w:bCs w:val="0"/>
          <w:color w:val="auto"/>
          <w:sz w:val="21"/>
          <w:szCs w:val="21"/>
          <w:highlight w:val="none"/>
        </w:rPr>
        <w:t>（运维起始期3个月视为一个季度）结算，具体如下：</w:t>
      </w:r>
    </w:p>
    <w:p w14:paraId="066874A5">
      <w:pPr>
        <w:pStyle w:val="20"/>
        <w:widowControl/>
        <w:tabs>
          <w:tab w:val="left" w:pos="2766"/>
          <w:tab w:val="left" w:pos="5888"/>
          <w:tab w:val="left" w:pos="8696"/>
          <w:tab w:val="left" w:pos="9074"/>
        </w:tabs>
        <w:autoSpaceDE/>
        <w:autoSpaceDN/>
        <w:adjustRightInd/>
        <w:snapToGrid w:val="0"/>
        <w:spacing w:line="360" w:lineRule="auto"/>
        <w:ind w:firstLine="420" w:firstLineChars="200"/>
        <w:jc w:val="both"/>
        <w:rPr>
          <w:rFonts w:hAnsi="宋体" w:cs="宋体"/>
          <w:b w:val="0"/>
          <w:bCs w:val="0"/>
          <w:color w:val="auto"/>
          <w:sz w:val="21"/>
          <w:szCs w:val="21"/>
          <w:highlight w:val="none"/>
        </w:rPr>
      </w:pPr>
      <w:r>
        <w:rPr>
          <w:rFonts w:hint="eastAsia" w:hAnsi="宋体" w:cs="宋体"/>
          <w:b w:val="0"/>
          <w:bCs w:val="0"/>
          <w:color w:val="auto"/>
          <w:sz w:val="21"/>
          <w:szCs w:val="21"/>
          <w:highlight w:val="none"/>
        </w:rPr>
        <w:t>（1）每季度运维费用为1年运维费用的25%；</w:t>
      </w:r>
    </w:p>
    <w:p w14:paraId="298D0604">
      <w:pPr>
        <w:pStyle w:val="20"/>
        <w:widowControl/>
        <w:tabs>
          <w:tab w:val="left" w:pos="2766"/>
          <w:tab w:val="left" w:pos="5888"/>
          <w:tab w:val="left" w:pos="8696"/>
          <w:tab w:val="left" w:pos="9074"/>
        </w:tabs>
        <w:autoSpaceDE/>
        <w:autoSpaceDN/>
        <w:adjustRightInd/>
        <w:snapToGrid w:val="0"/>
        <w:spacing w:line="360" w:lineRule="auto"/>
        <w:ind w:firstLine="420" w:firstLineChars="200"/>
        <w:jc w:val="both"/>
        <w:rPr>
          <w:rFonts w:hAnsi="宋体" w:cs="宋体"/>
          <w:b w:val="0"/>
          <w:bCs w:val="0"/>
          <w:color w:val="auto"/>
          <w:sz w:val="21"/>
          <w:szCs w:val="21"/>
          <w:highlight w:val="none"/>
        </w:rPr>
      </w:pPr>
      <w:r>
        <w:rPr>
          <w:rFonts w:hint="eastAsia" w:hAnsi="宋体" w:cs="宋体"/>
          <w:b w:val="0"/>
          <w:bCs w:val="0"/>
          <w:color w:val="auto"/>
          <w:sz w:val="21"/>
          <w:szCs w:val="21"/>
          <w:highlight w:val="none"/>
        </w:rPr>
        <w:t>（2）按季度考核评价表的评分结算当季度运维费用，评分90分以上（包括90分），按全额结算当季度运维费用；评分90分以下（不包括90分），按所得分数与满分的百分比结算当季度运维费用；</w:t>
      </w:r>
    </w:p>
    <w:p w14:paraId="3162B4A8">
      <w:pPr>
        <w:pStyle w:val="20"/>
        <w:widowControl/>
        <w:tabs>
          <w:tab w:val="left" w:pos="2766"/>
          <w:tab w:val="left" w:pos="5888"/>
          <w:tab w:val="left" w:pos="8696"/>
          <w:tab w:val="left" w:pos="9074"/>
        </w:tabs>
        <w:autoSpaceDE/>
        <w:autoSpaceDN/>
        <w:adjustRightInd/>
        <w:snapToGrid w:val="0"/>
        <w:spacing w:line="360" w:lineRule="auto"/>
        <w:ind w:firstLine="420" w:firstLineChars="200"/>
        <w:jc w:val="both"/>
        <w:rPr>
          <w:rFonts w:hAnsi="宋体" w:cs="宋体"/>
          <w:b w:val="0"/>
          <w:bCs w:val="0"/>
          <w:color w:val="auto"/>
          <w:sz w:val="21"/>
          <w:szCs w:val="21"/>
          <w:highlight w:val="none"/>
        </w:rPr>
      </w:pPr>
      <w:r>
        <w:rPr>
          <w:rFonts w:hint="eastAsia" w:hAnsi="宋体" w:cs="宋体"/>
          <w:b w:val="0"/>
          <w:bCs w:val="0"/>
          <w:color w:val="auto"/>
          <w:sz w:val="21"/>
          <w:szCs w:val="21"/>
          <w:highlight w:val="none"/>
        </w:rPr>
        <w:t>（3）每季度运维费用</w:t>
      </w:r>
      <w:r>
        <w:rPr>
          <w:rFonts w:hint="eastAsia" w:hAnsi="宋体" w:cs="宋体"/>
          <w:b w:val="0"/>
          <w:bCs w:val="0"/>
          <w:color w:val="auto"/>
          <w:sz w:val="21"/>
          <w:szCs w:val="21"/>
          <w:highlight w:val="none"/>
          <w:lang w:val="en-US"/>
        </w:rPr>
        <w:t>乙方</w:t>
      </w:r>
      <w:r>
        <w:rPr>
          <w:rFonts w:hint="eastAsia" w:hAnsi="宋体" w:cs="宋体"/>
          <w:b w:val="0"/>
          <w:bCs w:val="0"/>
          <w:color w:val="auto"/>
          <w:sz w:val="21"/>
          <w:szCs w:val="21"/>
          <w:highlight w:val="none"/>
        </w:rPr>
        <w:t>需在下一季度第一个月按要求提供请款资料，</w:t>
      </w:r>
      <w:r>
        <w:rPr>
          <w:rFonts w:hint="eastAsia" w:hAnsi="宋体" w:cs="宋体"/>
          <w:b w:val="0"/>
          <w:bCs w:val="0"/>
          <w:color w:val="auto"/>
          <w:sz w:val="21"/>
          <w:szCs w:val="21"/>
          <w:highlight w:val="none"/>
          <w:lang w:val="en-US"/>
        </w:rPr>
        <w:t>甲方</w:t>
      </w:r>
      <w:r>
        <w:rPr>
          <w:rFonts w:hint="eastAsia" w:hAnsi="宋体" w:cs="宋体"/>
          <w:b w:val="0"/>
          <w:bCs w:val="0"/>
          <w:color w:val="auto"/>
          <w:sz w:val="21"/>
          <w:szCs w:val="21"/>
          <w:highlight w:val="none"/>
        </w:rPr>
        <w:t>在收到请款资料后</w:t>
      </w:r>
      <w:r>
        <w:rPr>
          <w:rFonts w:hint="eastAsia" w:hAnsi="宋体" w:cs="宋体"/>
          <w:b w:val="0"/>
          <w:bCs w:val="0"/>
          <w:color w:val="auto"/>
          <w:sz w:val="21"/>
          <w:szCs w:val="21"/>
          <w:highlight w:val="none"/>
          <w:lang w:val="en-US"/>
        </w:rPr>
        <w:t>20日内</w:t>
      </w:r>
      <w:r>
        <w:rPr>
          <w:rFonts w:hint="eastAsia" w:hAnsi="宋体" w:cs="宋体"/>
          <w:b w:val="0"/>
          <w:bCs w:val="0"/>
          <w:color w:val="auto"/>
          <w:sz w:val="21"/>
          <w:szCs w:val="21"/>
          <w:highlight w:val="none"/>
        </w:rPr>
        <w:t>进行支付。</w:t>
      </w:r>
    </w:p>
    <w:p w14:paraId="33B531AC">
      <w:pPr>
        <w:pStyle w:val="20"/>
        <w:widowControl/>
        <w:tabs>
          <w:tab w:val="left" w:pos="2766"/>
          <w:tab w:val="left" w:pos="5888"/>
          <w:tab w:val="left" w:pos="8696"/>
          <w:tab w:val="left" w:pos="9074"/>
        </w:tabs>
        <w:autoSpaceDE/>
        <w:autoSpaceDN/>
        <w:adjustRightInd/>
        <w:snapToGrid w:val="0"/>
        <w:spacing w:line="360" w:lineRule="auto"/>
        <w:ind w:firstLine="420" w:firstLineChars="200"/>
        <w:jc w:val="both"/>
        <w:rPr>
          <w:rFonts w:hAnsi="宋体" w:cs="宋体"/>
          <w:color w:val="auto"/>
          <w:sz w:val="21"/>
          <w:szCs w:val="21"/>
          <w:highlight w:val="none"/>
        </w:rPr>
      </w:pPr>
      <w:r>
        <w:rPr>
          <w:rFonts w:hint="eastAsia" w:hAnsi="宋体" w:cs="宋体"/>
          <w:b w:val="0"/>
          <w:bCs w:val="0"/>
          <w:color w:val="auto"/>
          <w:sz w:val="21"/>
          <w:szCs w:val="21"/>
          <w:highlight w:val="none"/>
        </w:rPr>
        <w:t>第五阶段：</w:t>
      </w:r>
      <w:r>
        <w:rPr>
          <w:rFonts w:hint="eastAsia" w:ascii="宋体" w:hAnsi="宋体" w:eastAsia="宋体" w:cs="宋体"/>
          <w:b w:val="0"/>
          <w:bCs w:val="0"/>
          <w:color w:val="auto"/>
          <w:sz w:val="21"/>
          <w:szCs w:val="21"/>
          <w:highlight w:val="none"/>
        </w:rPr>
        <w:t>结算价款的3%</w:t>
      </w:r>
      <w:r>
        <w:rPr>
          <w:rFonts w:hint="eastAsia" w:hAnsi="宋体" w:cs="宋体"/>
          <w:b w:val="0"/>
          <w:bCs w:val="0"/>
          <w:color w:val="auto"/>
          <w:sz w:val="21"/>
          <w:szCs w:val="21"/>
          <w:highlight w:val="none"/>
          <w:lang w:val="en-US" w:eastAsia="zh-CN"/>
        </w:rPr>
        <w:t>及其销项税额</w:t>
      </w:r>
      <w:r>
        <w:rPr>
          <w:rFonts w:hint="eastAsia" w:ascii="宋体" w:hAnsi="宋体" w:eastAsia="宋体" w:cs="宋体"/>
          <w:b w:val="0"/>
          <w:bCs w:val="0"/>
          <w:color w:val="auto"/>
          <w:sz w:val="21"/>
          <w:szCs w:val="21"/>
          <w:highlight w:val="none"/>
        </w:rPr>
        <w:t>留作质量保修金。若</w:t>
      </w:r>
      <w:r>
        <w:rPr>
          <w:rFonts w:hint="eastAsia" w:hAnsi="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rPr>
        <w:t>按合同约定履行质量保修义务，</w:t>
      </w:r>
      <w:r>
        <w:rPr>
          <w:rFonts w:hint="eastAsia" w:hAnsi="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rPr>
        <w:t>将在质保期满后无息退还剩余质量保修金。如</w:t>
      </w:r>
      <w:r>
        <w:rPr>
          <w:rFonts w:hint="eastAsia" w:hAnsi="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rPr>
        <w:t>未按合同约定履行质量保修义务，</w:t>
      </w:r>
      <w:r>
        <w:rPr>
          <w:rFonts w:hint="eastAsia" w:hAnsi="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rPr>
        <w:t>有权不予退还或推迟退还质量保修金。</w:t>
      </w:r>
      <w:r>
        <w:rPr>
          <w:rFonts w:hint="eastAsia" w:hAnsi="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rPr>
        <w:t>可在承诺的</w:t>
      </w:r>
      <w:r>
        <w:rPr>
          <w:rFonts w:hint="eastAsia" w:hAnsi="宋体" w:cs="宋体"/>
          <w:b w:val="0"/>
          <w:bCs w:val="0"/>
          <w:color w:val="auto"/>
          <w:sz w:val="21"/>
          <w:szCs w:val="21"/>
          <w:highlight w:val="none"/>
          <w:lang w:val="en-US" w:eastAsia="zh-CN"/>
        </w:rPr>
        <w:t>项目整体</w:t>
      </w:r>
      <w:r>
        <w:rPr>
          <w:rFonts w:hint="eastAsia" w:ascii="宋体" w:hAnsi="宋体" w:eastAsia="宋体" w:cs="宋体"/>
          <w:b w:val="0"/>
          <w:bCs w:val="0"/>
          <w:color w:val="auto"/>
          <w:sz w:val="21"/>
          <w:szCs w:val="21"/>
          <w:highlight w:val="none"/>
        </w:rPr>
        <w:t>质量保修期届满前，提前申请退还质量保修金。如提前申请，</w:t>
      </w:r>
      <w:r>
        <w:rPr>
          <w:rFonts w:hint="eastAsia" w:hAnsi="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rPr>
        <w:t>须向</w:t>
      </w:r>
      <w:r>
        <w:rPr>
          <w:rFonts w:hint="eastAsia" w:hAnsi="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rPr>
        <w:t>提交一份担保金额与质量保修金等额、无条件、见索即付且不可撤销</w:t>
      </w:r>
      <w:r>
        <w:rPr>
          <w:rFonts w:hint="eastAsia" w:hAnsi="宋体" w:cs="宋体"/>
          <w:b w:val="0"/>
          <w:bCs w:val="0"/>
          <w:color w:val="auto"/>
          <w:sz w:val="21"/>
          <w:szCs w:val="21"/>
          <w:highlight w:val="none"/>
          <w:lang w:val="en-US" w:eastAsia="zh-CN"/>
        </w:rPr>
        <w:t>银行</w:t>
      </w:r>
      <w:r>
        <w:rPr>
          <w:rFonts w:hint="eastAsia" w:ascii="宋体" w:hAnsi="宋体" w:eastAsia="宋体" w:cs="宋体"/>
          <w:b w:val="0"/>
          <w:bCs w:val="0"/>
          <w:color w:val="auto"/>
          <w:sz w:val="21"/>
          <w:szCs w:val="21"/>
          <w:highlight w:val="none"/>
        </w:rPr>
        <w:t>质量保修保函，该</w:t>
      </w:r>
      <w:r>
        <w:rPr>
          <w:rFonts w:hint="eastAsia" w:hAnsi="宋体" w:cs="宋体"/>
          <w:b w:val="0"/>
          <w:bCs w:val="0"/>
          <w:color w:val="auto"/>
          <w:sz w:val="21"/>
          <w:szCs w:val="21"/>
          <w:highlight w:val="none"/>
          <w:lang w:val="en-US" w:eastAsia="zh-CN"/>
        </w:rPr>
        <w:t>银行</w:t>
      </w:r>
      <w:r>
        <w:rPr>
          <w:rFonts w:hint="eastAsia" w:ascii="宋体" w:hAnsi="宋体" w:eastAsia="宋体" w:cs="宋体"/>
          <w:b w:val="0"/>
          <w:bCs w:val="0"/>
          <w:color w:val="auto"/>
          <w:sz w:val="21"/>
          <w:szCs w:val="21"/>
          <w:highlight w:val="none"/>
        </w:rPr>
        <w:t>保函的有效期应覆盖</w:t>
      </w:r>
      <w:r>
        <w:rPr>
          <w:rFonts w:hint="eastAsia" w:hAnsi="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rPr>
        <w:t>承诺的</w:t>
      </w:r>
      <w:r>
        <w:rPr>
          <w:rFonts w:hint="eastAsia" w:hAnsi="宋体" w:cs="宋体"/>
          <w:b w:val="0"/>
          <w:bCs w:val="0"/>
          <w:color w:val="auto"/>
          <w:sz w:val="21"/>
          <w:szCs w:val="21"/>
          <w:highlight w:val="none"/>
          <w:lang w:val="en-US" w:eastAsia="zh-CN"/>
        </w:rPr>
        <w:t>项目整体</w:t>
      </w:r>
      <w:r>
        <w:rPr>
          <w:rFonts w:hint="eastAsia" w:ascii="宋体" w:hAnsi="宋体" w:eastAsia="宋体" w:cs="宋体"/>
          <w:b w:val="0"/>
          <w:bCs w:val="0"/>
          <w:color w:val="auto"/>
          <w:sz w:val="21"/>
          <w:szCs w:val="21"/>
          <w:highlight w:val="none"/>
        </w:rPr>
        <w:t>质保期限。</w:t>
      </w:r>
      <w:r>
        <w:rPr>
          <w:rFonts w:hint="eastAsia" w:hAnsi="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rPr>
        <w:t>将在收到符合要求的</w:t>
      </w:r>
      <w:r>
        <w:rPr>
          <w:rFonts w:hint="eastAsia" w:hAnsi="宋体" w:cs="宋体"/>
          <w:b w:val="0"/>
          <w:bCs w:val="0"/>
          <w:color w:val="auto"/>
          <w:sz w:val="21"/>
          <w:szCs w:val="21"/>
          <w:highlight w:val="none"/>
          <w:lang w:val="en-US" w:eastAsia="zh-CN"/>
        </w:rPr>
        <w:t>银行</w:t>
      </w:r>
      <w:r>
        <w:rPr>
          <w:rFonts w:hint="eastAsia" w:ascii="宋体" w:hAnsi="宋体" w:eastAsia="宋体" w:cs="宋体"/>
          <w:b w:val="0"/>
          <w:bCs w:val="0"/>
          <w:color w:val="auto"/>
          <w:sz w:val="21"/>
          <w:szCs w:val="21"/>
          <w:highlight w:val="none"/>
        </w:rPr>
        <w:t>保函后办理退还。</w:t>
      </w:r>
    </w:p>
    <w:p w14:paraId="30448529">
      <w:pPr>
        <w:pStyle w:val="20"/>
        <w:snapToGrid w:val="0"/>
        <w:spacing w:line="360" w:lineRule="auto"/>
        <w:ind w:right="0" w:firstLine="420" w:firstLineChars="200"/>
        <w:jc w:val="both"/>
        <w:rPr>
          <w:rFonts w:hAnsi="宋体" w:cs="宋体"/>
          <w:b w:val="0"/>
          <w:bCs w:val="0"/>
          <w:color w:val="auto"/>
          <w:sz w:val="21"/>
          <w:szCs w:val="21"/>
          <w:highlight w:val="none"/>
        </w:rPr>
      </w:pPr>
      <w:r>
        <w:rPr>
          <w:rFonts w:hint="eastAsia" w:hAnsi="宋体" w:cs="宋体"/>
          <w:b w:val="0"/>
          <w:bCs w:val="0"/>
          <w:color w:val="auto"/>
          <w:sz w:val="21"/>
          <w:szCs w:val="21"/>
          <w:highlight w:val="none"/>
          <w:lang w:val="en-US"/>
        </w:rPr>
        <w:t>4</w:t>
      </w:r>
      <w:r>
        <w:rPr>
          <w:rFonts w:hint="eastAsia" w:hAnsi="宋体" w:cs="宋体"/>
          <w:b w:val="0"/>
          <w:bCs w:val="0"/>
          <w:color w:val="auto"/>
          <w:sz w:val="21"/>
          <w:szCs w:val="21"/>
          <w:highlight w:val="none"/>
        </w:rPr>
        <w:t>、</w:t>
      </w:r>
      <w:r>
        <w:rPr>
          <w:rFonts w:hint="eastAsia" w:hAnsi="宋体" w:cs="宋体"/>
          <w:b w:val="0"/>
          <w:bCs w:val="0"/>
          <w:color w:val="auto"/>
          <w:sz w:val="21"/>
          <w:szCs w:val="21"/>
          <w:highlight w:val="none"/>
          <w:lang w:val="en-US"/>
        </w:rPr>
        <w:t>乙方</w:t>
      </w:r>
      <w:r>
        <w:rPr>
          <w:rFonts w:hint="eastAsia" w:hAnsi="宋体" w:cs="宋体"/>
          <w:b w:val="0"/>
          <w:bCs w:val="0"/>
          <w:color w:val="auto"/>
          <w:sz w:val="21"/>
          <w:szCs w:val="21"/>
          <w:highlight w:val="none"/>
        </w:rPr>
        <w:t>按</w:t>
      </w:r>
      <w:r>
        <w:rPr>
          <w:rFonts w:hint="eastAsia" w:hAnsi="宋体" w:cs="宋体"/>
          <w:b w:val="0"/>
          <w:bCs w:val="0"/>
          <w:color w:val="auto"/>
          <w:sz w:val="21"/>
          <w:szCs w:val="21"/>
          <w:highlight w:val="none"/>
          <w:lang w:val="en-US"/>
        </w:rPr>
        <w:t>要求向甲方</w:t>
      </w:r>
      <w:r>
        <w:rPr>
          <w:rFonts w:hint="eastAsia" w:hAnsi="宋体" w:cs="宋体"/>
          <w:b w:val="0"/>
          <w:bCs w:val="0"/>
          <w:color w:val="auto"/>
          <w:sz w:val="21"/>
          <w:szCs w:val="21"/>
          <w:highlight w:val="none"/>
        </w:rPr>
        <w:t>提供增值税专用发票、请款报告等请款资料，未按要求开</w:t>
      </w:r>
      <w:r>
        <w:rPr>
          <w:rFonts w:hint="eastAsia" w:hAnsi="宋体" w:cs="宋体"/>
          <w:b w:val="0"/>
          <w:bCs w:val="0"/>
          <w:color w:val="auto"/>
          <w:sz w:val="21"/>
          <w:szCs w:val="21"/>
          <w:highlight w:val="none"/>
          <w:lang w:val="en-US"/>
        </w:rPr>
        <w:t>具</w:t>
      </w:r>
      <w:r>
        <w:rPr>
          <w:rFonts w:hint="eastAsia" w:hAnsi="宋体" w:cs="宋体"/>
          <w:b w:val="0"/>
          <w:bCs w:val="0"/>
          <w:color w:val="auto"/>
          <w:sz w:val="21"/>
          <w:szCs w:val="21"/>
          <w:highlight w:val="none"/>
        </w:rPr>
        <w:t>发票的，将无法支付</w:t>
      </w:r>
      <w:r>
        <w:rPr>
          <w:rFonts w:hint="eastAsia" w:hAnsi="宋体" w:cs="宋体"/>
          <w:b w:val="0"/>
          <w:bCs w:val="0"/>
          <w:color w:val="auto"/>
          <w:sz w:val="21"/>
          <w:szCs w:val="21"/>
          <w:highlight w:val="none"/>
          <w:lang w:val="en-US"/>
        </w:rPr>
        <w:t>款项，且不视为甲方违约</w:t>
      </w:r>
      <w:r>
        <w:rPr>
          <w:rFonts w:hint="eastAsia" w:hAnsi="宋体" w:cs="宋体"/>
          <w:b w:val="0"/>
          <w:bCs w:val="0"/>
          <w:color w:val="auto"/>
          <w:sz w:val="21"/>
          <w:szCs w:val="21"/>
          <w:highlight w:val="none"/>
        </w:rPr>
        <w:t>。</w:t>
      </w:r>
    </w:p>
    <w:p w14:paraId="308FA24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5、甲方开票信息及甲乙双方银行账户</w:t>
      </w:r>
    </w:p>
    <w:p w14:paraId="22C18E3A">
      <w:pPr>
        <w:tabs>
          <w:tab w:val="left" w:pos="1080"/>
        </w:tabs>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（1）甲方开票信息及银行账户</w:t>
      </w:r>
    </w:p>
    <w:p w14:paraId="1F131F12">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开户名称：</w:t>
      </w:r>
    </w:p>
    <w:p w14:paraId="4F93B95A">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银行账号：</w:t>
      </w:r>
    </w:p>
    <w:p w14:paraId="198FB94D">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开户银行：</w:t>
      </w:r>
    </w:p>
    <w:p w14:paraId="265910C1">
      <w:pPr>
        <w:tabs>
          <w:tab w:val="left" w:pos="1080"/>
        </w:tabs>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（2）乙方确认的银行账户</w:t>
      </w:r>
    </w:p>
    <w:p w14:paraId="3D841438">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开户银行：</w:t>
      </w:r>
    </w:p>
    <w:p w14:paraId="54217536">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银行账户：</w:t>
      </w:r>
    </w:p>
    <w:p w14:paraId="566B8E02">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银行账号：</w:t>
      </w:r>
    </w:p>
    <w:p w14:paraId="4A62B26D">
      <w:pPr>
        <w:adjustRightInd w:val="0"/>
        <w:spacing w:line="360" w:lineRule="auto"/>
        <w:ind w:firstLine="422" w:firstLineChars="200"/>
        <w:rPr>
          <w:rFonts w:ascii="宋体" w:hAnsi="宋体" w:eastAsia="宋体" w:cs="宋体"/>
          <w:b/>
          <w:color w:val="auto"/>
          <w:szCs w:val="21"/>
          <w:highlight w:val="none"/>
        </w:rPr>
      </w:pPr>
      <w:bookmarkStart w:id="739" w:name="OLE_LINK250"/>
      <w:r>
        <w:rPr>
          <w:rFonts w:hint="eastAsia" w:ascii="宋体" w:hAnsi="宋体" w:eastAsia="宋体" w:cs="宋体"/>
          <w:b/>
          <w:color w:val="auto"/>
          <w:szCs w:val="21"/>
          <w:highlight w:val="none"/>
        </w:rPr>
        <w:t xml:space="preserve"> 第四条 </w:t>
      </w:r>
      <w:bookmarkStart w:id="740" w:name="OLE_LINK79"/>
      <w:r>
        <w:rPr>
          <w:rFonts w:hint="eastAsia" w:ascii="宋体" w:hAnsi="宋体" w:eastAsia="宋体" w:cs="宋体"/>
          <w:b/>
          <w:color w:val="auto"/>
          <w:szCs w:val="21"/>
          <w:highlight w:val="none"/>
        </w:rPr>
        <w:t>合同组成</w:t>
      </w:r>
      <w:bookmarkEnd w:id="740"/>
    </w:p>
    <w:bookmarkEnd w:id="739"/>
    <w:p w14:paraId="58B401CC">
      <w:pPr>
        <w:adjustRightInd w:val="0"/>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利于甲方的约定为准。</w:t>
      </w:r>
    </w:p>
    <w:p w14:paraId="17737F7E">
      <w:pPr>
        <w:adjustRightInd w:val="0"/>
        <w:spacing w:line="360" w:lineRule="auto"/>
        <w:ind w:firstLine="422" w:firstLineChars="200"/>
        <w:rPr>
          <w:rFonts w:ascii="宋体" w:hAnsi="宋体" w:eastAsia="宋体" w:cs="宋体"/>
          <w:b/>
          <w:color w:val="auto"/>
          <w:szCs w:val="21"/>
          <w:highlight w:val="none"/>
        </w:rPr>
      </w:pPr>
      <w:bookmarkStart w:id="741" w:name="OLE_LINK249"/>
      <w:r>
        <w:rPr>
          <w:rFonts w:hint="eastAsia" w:ascii="宋体" w:hAnsi="宋体" w:eastAsia="宋体" w:cs="宋体"/>
          <w:b/>
          <w:color w:val="auto"/>
          <w:szCs w:val="21"/>
          <w:highlight w:val="none"/>
        </w:rPr>
        <w:t xml:space="preserve">第五条 </w:t>
      </w:r>
      <w:bookmarkStart w:id="742" w:name="OLE_LINK80"/>
      <w:r>
        <w:rPr>
          <w:rFonts w:hint="eastAsia" w:ascii="宋体" w:hAnsi="宋体" w:eastAsia="宋体" w:cs="宋体"/>
          <w:b/>
          <w:color w:val="auto"/>
          <w:szCs w:val="21"/>
          <w:highlight w:val="none"/>
        </w:rPr>
        <w:t>产品质量要求</w:t>
      </w:r>
      <w:bookmarkEnd w:id="742"/>
    </w:p>
    <w:bookmarkEnd w:id="741"/>
    <w:p w14:paraId="72B01871">
      <w:pPr>
        <w:pStyle w:val="20"/>
        <w:snapToGrid w:val="0"/>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lang w:val="en-US"/>
        </w:rPr>
        <w:t>1</w:t>
      </w:r>
      <w:r>
        <w:rPr>
          <w:rFonts w:hint="eastAsia" w:hAnsi="宋体" w:cs="宋体"/>
          <w:b w:val="0"/>
          <w:bCs w:val="0"/>
          <w:color w:val="auto"/>
          <w:sz w:val="21"/>
          <w:szCs w:val="21"/>
          <w:highlight w:val="none"/>
        </w:rPr>
        <w:t>、乙方保证所提供货物</w:t>
      </w:r>
      <w:r>
        <w:rPr>
          <w:rFonts w:hint="eastAsia" w:hAnsi="宋体" w:cs="宋体"/>
          <w:b w:val="0"/>
          <w:bCs w:val="0"/>
          <w:color w:val="auto"/>
          <w:sz w:val="21"/>
          <w:szCs w:val="21"/>
          <w:highlight w:val="none"/>
          <w:lang w:val="en-US"/>
        </w:rPr>
        <w:t>必须是原厂生产的、非组装的、全新的、未使用过的产品(含零部件、配件、随机工具等)，随机配备的所有配件必须为原厂原配，表面无划伤、无碰撞的痕迹</w:t>
      </w:r>
      <w:r>
        <w:rPr>
          <w:rFonts w:hint="eastAsia" w:hAnsi="宋体" w:cs="宋体"/>
          <w:b w:val="0"/>
          <w:bCs w:val="0"/>
          <w:color w:val="auto"/>
          <w:sz w:val="21"/>
          <w:szCs w:val="21"/>
          <w:highlight w:val="none"/>
        </w:rPr>
        <w:t>，并完全符合甲方招标文件、用户需求书要求及乙方投标文件承诺的质</w:t>
      </w:r>
      <w:r>
        <w:rPr>
          <w:rFonts w:hint="eastAsia" w:hAnsi="宋体" w:cs="宋体"/>
          <w:b w:val="0"/>
          <w:bCs w:val="0"/>
          <w:color w:val="auto"/>
          <w:sz w:val="21"/>
          <w:szCs w:val="21"/>
          <w:highlight w:val="none"/>
          <w:lang w:val="en-US"/>
        </w:rPr>
        <w:t>量</w:t>
      </w:r>
      <w:r>
        <w:rPr>
          <w:rFonts w:hint="eastAsia" w:hAnsi="宋体" w:cs="宋体"/>
          <w:b w:val="0"/>
          <w:bCs w:val="0"/>
          <w:color w:val="auto"/>
          <w:sz w:val="21"/>
          <w:szCs w:val="21"/>
          <w:highlight w:val="none"/>
        </w:rPr>
        <w:t>、规格标准；同时乙方所提供货物，必须符合国家有关法律法规和环保、主管部门要求及甲方的技术要求，不存在侵犯第三人知识产权及其他合法权益的</w:t>
      </w:r>
      <w:r>
        <w:rPr>
          <w:rFonts w:hint="eastAsia" w:hAnsi="宋体" w:cs="宋体"/>
          <w:b w:val="0"/>
          <w:bCs w:val="0"/>
          <w:color w:val="auto"/>
          <w:sz w:val="21"/>
          <w:szCs w:val="21"/>
          <w:highlight w:val="none"/>
          <w:lang w:val="en-US"/>
        </w:rPr>
        <w:t>情</w:t>
      </w:r>
      <w:r>
        <w:rPr>
          <w:rFonts w:hint="eastAsia" w:hAnsi="宋体" w:cs="宋体"/>
          <w:b w:val="0"/>
          <w:bCs w:val="0"/>
          <w:color w:val="auto"/>
          <w:sz w:val="21"/>
          <w:szCs w:val="21"/>
          <w:highlight w:val="none"/>
        </w:rPr>
        <w:t>况。</w:t>
      </w:r>
      <w:r>
        <w:rPr>
          <w:rFonts w:hint="eastAsia" w:hAnsi="宋体" w:cs="宋体"/>
          <w:b w:val="0"/>
          <w:bCs w:val="0"/>
          <w:color w:val="auto"/>
          <w:sz w:val="21"/>
          <w:szCs w:val="21"/>
          <w:highlight w:val="none"/>
          <w:lang w:val="en-US"/>
        </w:rPr>
        <w:t>乙方按本合同第十七条的约定向甲方提交技术资料。</w:t>
      </w:r>
    </w:p>
    <w:p w14:paraId="0509523E">
      <w:pPr>
        <w:pStyle w:val="20"/>
        <w:snapToGrid w:val="0"/>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lang w:val="en-US"/>
        </w:rPr>
        <w:t>2</w:t>
      </w:r>
      <w:r>
        <w:rPr>
          <w:rFonts w:hint="eastAsia" w:hAnsi="宋体" w:cs="宋体"/>
          <w:b w:val="0"/>
          <w:bCs w:val="0"/>
          <w:color w:val="auto"/>
          <w:sz w:val="21"/>
          <w:szCs w:val="21"/>
          <w:highlight w:val="none"/>
        </w:rPr>
        <w:t>、所有货物应具</w:t>
      </w:r>
      <w:r>
        <w:rPr>
          <w:rFonts w:hint="eastAsia" w:hAnsi="宋体" w:cs="宋体"/>
          <w:b w:val="0"/>
          <w:bCs w:val="0"/>
          <w:color w:val="auto"/>
          <w:sz w:val="21"/>
          <w:szCs w:val="21"/>
          <w:highlight w:val="none"/>
          <w:lang w:val="en-US"/>
        </w:rPr>
        <w:t>备</w:t>
      </w:r>
      <w:r>
        <w:rPr>
          <w:rFonts w:hint="eastAsia" w:hAnsi="宋体" w:cs="宋体"/>
          <w:b w:val="0"/>
          <w:bCs w:val="0"/>
          <w:color w:val="auto"/>
          <w:sz w:val="21"/>
          <w:szCs w:val="21"/>
          <w:highlight w:val="none"/>
        </w:rPr>
        <w:t>该类产品的功能要求，无瑕疵和缺陷，质</w:t>
      </w:r>
      <w:r>
        <w:rPr>
          <w:rFonts w:hint="eastAsia" w:hAnsi="宋体" w:cs="宋体"/>
          <w:b w:val="0"/>
          <w:bCs w:val="0"/>
          <w:color w:val="auto"/>
          <w:sz w:val="21"/>
          <w:szCs w:val="21"/>
          <w:highlight w:val="none"/>
          <w:lang w:val="en-US"/>
        </w:rPr>
        <w:t>量</w:t>
      </w:r>
      <w:r>
        <w:rPr>
          <w:rFonts w:hint="eastAsia" w:hAnsi="宋体" w:cs="宋体"/>
          <w:b w:val="0"/>
          <w:bCs w:val="0"/>
          <w:color w:val="auto"/>
          <w:sz w:val="21"/>
          <w:szCs w:val="21"/>
          <w:highlight w:val="none"/>
        </w:rPr>
        <w:t>为合格产品，同时有明确的生产厂商或制造厂商。</w:t>
      </w:r>
    </w:p>
    <w:p w14:paraId="29E284ED">
      <w:pPr>
        <w:pStyle w:val="20"/>
        <w:snapToGrid w:val="0"/>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lang w:val="en-US"/>
        </w:rPr>
        <w:t>3</w:t>
      </w:r>
      <w:r>
        <w:rPr>
          <w:rFonts w:hint="eastAsia" w:hAnsi="宋体" w:cs="宋体"/>
          <w:b w:val="0"/>
          <w:bCs w:val="0"/>
          <w:color w:val="auto"/>
          <w:sz w:val="21"/>
          <w:szCs w:val="21"/>
          <w:highlight w:val="none"/>
        </w:rPr>
        <w:t>、所有货物必须是全新的，所有设备运输到达</w:t>
      </w:r>
      <w:r>
        <w:rPr>
          <w:rFonts w:hint="eastAsia" w:hAnsi="宋体" w:cs="宋体"/>
          <w:b w:val="0"/>
          <w:bCs w:val="0"/>
          <w:color w:val="auto"/>
          <w:sz w:val="21"/>
          <w:szCs w:val="21"/>
          <w:highlight w:val="none"/>
          <w:lang w:val="en-US"/>
        </w:rPr>
        <w:t>现场</w:t>
      </w:r>
      <w:r>
        <w:rPr>
          <w:rFonts w:hint="eastAsia" w:hAnsi="宋体" w:cs="宋体"/>
          <w:b w:val="0"/>
          <w:bCs w:val="0"/>
          <w:color w:val="auto"/>
          <w:sz w:val="21"/>
          <w:szCs w:val="21"/>
          <w:highlight w:val="none"/>
        </w:rPr>
        <w:t>时的包装必须是原</w:t>
      </w:r>
      <w:r>
        <w:rPr>
          <w:rFonts w:hint="eastAsia" w:hAnsi="宋体" w:cs="宋体"/>
          <w:b w:val="0"/>
          <w:bCs w:val="0"/>
          <w:color w:val="auto"/>
          <w:sz w:val="21"/>
          <w:szCs w:val="21"/>
          <w:highlight w:val="none"/>
          <w:lang w:val="en-US"/>
        </w:rPr>
        <w:t>厂</w:t>
      </w:r>
      <w:r>
        <w:rPr>
          <w:rFonts w:hint="eastAsia" w:hAnsi="宋体" w:cs="宋体"/>
          <w:b w:val="0"/>
          <w:bCs w:val="0"/>
          <w:color w:val="auto"/>
          <w:sz w:val="21"/>
          <w:szCs w:val="21"/>
          <w:highlight w:val="none"/>
        </w:rPr>
        <w:t>完</w:t>
      </w:r>
      <w:r>
        <w:rPr>
          <w:rFonts w:hint="eastAsia" w:hAnsi="宋体" w:cs="宋体"/>
          <w:b w:val="0"/>
          <w:bCs w:val="0"/>
          <w:color w:val="auto"/>
          <w:sz w:val="21"/>
          <w:szCs w:val="21"/>
          <w:highlight w:val="none"/>
          <w:lang w:val="en-US"/>
        </w:rPr>
        <w:t>整</w:t>
      </w:r>
      <w:r>
        <w:rPr>
          <w:rFonts w:hint="eastAsia" w:hAnsi="宋体" w:cs="宋体"/>
          <w:b w:val="0"/>
          <w:bCs w:val="0"/>
          <w:color w:val="auto"/>
          <w:sz w:val="21"/>
          <w:szCs w:val="21"/>
          <w:highlight w:val="none"/>
        </w:rPr>
        <w:t>的，</w:t>
      </w:r>
      <w:r>
        <w:rPr>
          <w:rFonts w:hint="eastAsia" w:hAnsi="宋体" w:cs="宋体"/>
          <w:b w:val="0"/>
          <w:bCs w:val="0"/>
          <w:color w:val="auto"/>
          <w:sz w:val="21"/>
          <w:szCs w:val="21"/>
          <w:highlight w:val="none"/>
          <w:lang w:val="en-US"/>
        </w:rPr>
        <w:t>由</w:t>
      </w:r>
      <w:r>
        <w:rPr>
          <w:rFonts w:hint="eastAsia" w:hAnsi="宋体" w:cs="宋体"/>
          <w:b w:val="0"/>
          <w:bCs w:val="0"/>
          <w:color w:val="auto"/>
          <w:sz w:val="21"/>
          <w:szCs w:val="21"/>
          <w:highlight w:val="none"/>
        </w:rPr>
        <w:t>甲方</w:t>
      </w:r>
      <w:r>
        <w:rPr>
          <w:rFonts w:hint="eastAsia" w:hAnsi="宋体" w:cs="宋体"/>
          <w:b w:val="0"/>
          <w:bCs w:val="0"/>
          <w:color w:val="auto"/>
          <w:sz w:val="21"/>
          <w:szCs w:val="21"/>
          <w:highlight w:val="none"/>
          <w:lang w:val="en-US"/>
        </w:rPr>
        <w:t>或其委托的项目管理公司</w:t>
      </w:r>
      <w:r>
        <w:rPr>
          <w:rFonts w:hint="eastAsia" w:hAnsi="宋体" w:cs="宋体"/>
          <w:b w:val="0"/>
          <w:bCs w:val="0"/>
          <w:color w:val="auto"/>
          <w:sz w:val="21"/>
          <w:szCs w:val="21"/>
          <w:highlight w:val="none"/>
        </w:rPr>
        <w:t>签收后方可拆包安装。</w:t>
      </w:r>
    </w:p>
    <w:p w14:paraId="37351D1C">
      <w:pPr>
        <w:pStyle w:val="20"/>
        <w:snapToGrid w:val="0"/>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lang w:val="en-US"/>
        </w:rPr>
        <w:t>4</w:t>
      </w:r>
      <w:r>
        <w:rPr>
          <w:rFonts w:hint="eastAsia" w:hAnsi="宋体" w:cs="宋体"/>
          <w:b w:val="0"/>
          <w:bCs w:val="0"/>
          <w:color w:val="auto"/>
          <w:sz w:val="21"/>
          <w:szCs w:val="21"/>
          <w:highlight w:val="none"/>
        </w:rPr>
        <w:t>、所有货物、设备须满足国家及行业环保和质</w:t>
      </w:r>
      <w:r>
        <w:rPr>
          <w:rFonts w:hint="eastAsia" w:hAnsi="宋体" w:cs="宋体"/>
          <w:b w:val="0"/>
          <w:bCs w:val="0"/>
          <w:color w:val="auto"/>
          <w:sz w:val="21"/>
          <w:szCs w:val="21"/>
          <w:highlight w:val="none"/>
          <w:lang w:val="en-US"/>
        </w:rPr>
        <w:t>量</w:t>
      </w:r>
      <w:r>
        <w:rPr>
          <w:rFonts w:hint="eastAsia" w:hAnsi="宋体" w:cs="宋体"/>
          <w:b w:val="0"/>
          <w:bCs w:val="0"/>
          <w:color w:val="auto"/>
          <w:sz w:val="21"/>
          <w:szCs w:val="21"/>
          <w:highlight w:val="none"/>
        </w:rPr>
        <w:t>标准。</w:t>
      </w:r>
    </w:p>
    <w:p w14:paraId="7A823B1B">
      <w:pPr>
        <w:pStyle w:val="20"/>
        <w:snapToGrid w:val="0"/>
        <w:spacing w:line="360" w:lineRule="auto"/>
        <w:ind w:right="0" w:firstLine="420" w:firstLineChars="200"/>
        <w:jc w:val="left"/>
        <w:rPr>
          <w:rFonts w:hAnsi="宋体" w:cs="宋体"/>
          <w:color w:val="auto"/>
          <w:sz w:val="21"/>
          <w:szCs w:val="21"/>
          <w:highlight w:val="none"/>
        </w:rPr>
      </w:pPr>
      <w:r>
        <w:rPr>
          <w:rFonts w:hint="eastAsia" w:hAnsi="宋体" w:cs="宋体"/>
          <w:b w:val="0"/>
          <w:bCs w:val="0"/>
          <w:color w:val="auto"/>
          <w:sz w:val="21"/>
          <w:szCs w:val="21"/>
          <w:highlight w:val="none"/>
          <w:lang w:val="en-US"/>
        </w:rPr>
        <w:t>5</w:t>
      </w:r>
      <w:r>
        <w:rPr>
          <w:rFonts w:hint="eastAsia" w:hAnsi="宋体" w:cs="宋体"/>
          <w:b w:val="0"/>
          <w:bCs w:val="0"/>
          <w:color w:val="auto"/>
          <w:sz w:val="21"/>
          <w:szCs w:val="21"/>
          <w:highlight w:val="none"/>
        </w:rPr>
        <w:t>、货物的规格、参数、</w:t>
      </w:r>
      <w:r>
        <w:rPr>
          <w:rFonts w:hint="eastAsia" w:hAnsi="宋体" w:cs="宋体"/>
          <w:b w:val="0"/>
          <w:bCs w:val="0"/>
          <w:color w:val="auto"/>
          <w:sz w:val="21"/>
          <w:szCs w:val="21"/>
          <w:highlight w:val="none"/>
          <w:lang w:val="en-US"/>
        </w:rPr>
        <w:t>验收要求</w:t>
      </w:r>
      <w:r>
        <w:rPr>
          <w:rFonts w:hint="eastAsia" w:hAnsi="宋体" w:cs="宋体"/>
          <w:b w:val="0"/>
          <w:bCs w:val="0"/>
          <w:color w:val="auto"/>
          <w:sz w:val="21"/>
          <w:szCs w:val="21"/>
          <w:highlight w:val="none"/>
        </w:rPr>
        <w:t>必须和《用户需求书》规定及投标文件响应内容要求</w:t>
      </w:r>
      <w:r>
        <w:rPr>
          <w:rFonts w:hint="eastAsia" w:hAnsi="宋体" w:cs="宋体"/>
          <w:b w:val="0"/>
          <w:bCs w:val="0"/>
          <w:color w:val="auto"/>
          <w:sz w:val="21"/>
          <w:szCs w:val="21"/>
          <w:highlight w:val="none"/>
          <w:lang w:val="en-US"/>
        </w:rPr>
        <w:t>一</w:t>
      </w:r>
      <w:r>
        <w:rPr>
          <w:rFonts w:hint="eastAsia" w:hAnsi="宋体" w:cs="宋体"/>
          <w:b w:val="0"/>
          <w:bCs w:val="0"/>
          <w:color w:val="auto"/>
          <w:sz w:val="21"/>
          <w:szCs w:val="21"/>
          <w:highlight w:val="none"/>
        </w:rPr>
        <w:t>致。</w:t>
      </w:r>
    </w:p>
    <w:p w14:paraId="111E00B1">
      <w:pPr>
        <w:adjustRightIn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第六条 </w:t>
      </w:r>
      <w:bookmarkStart w:id="743" w:name="OLE_LINK81"/>
      <w:r>
        <w:rPr>
          <w:rFonts w:hint="eastAsia" w:ascii="宋体" w:hAnsi="宋体" w:eastAsia="宋体" w:cs="宋体"/>
          <w:b/>
          <w:color w:val="auto"/>
          <w:szCs w:val="21"/>
          <w:highlight w:val="none"/>
        </w:rPr>
        <w:t>包装、运输</w:t>
      </w:r>
      <w:bookmarkEnd w:id="743"/>
    </w:p>
    <w:p w14:paraId="77CB5912">
      <w:pPr>
        <w:pStyle w:val="20"/>
        <w:snapToGrid w:val="0"/>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lang w:val="en-US"/>
        </w:rPr>
        <w:t>1</w:t>
      </w:r>
      <w:r>
        <w:rPr>
          <w:rFonts w:hint="eastAsia" w:hAnsi="宋体" w:cs="宋体"/>
          <w:b w:val="0"/>
          <w:bCs w:val="0"/>
          <w:color w:val="auto"/>
          <w:sz w:val="21"/>
          <w:szCs w:val="21"/>
          <w:highlight w:val="none"/>
        </w:rPr>
        <w:t>、本合同项下货物的包装均应有良好的防湿、防锈、防潮、防雨、防腐及防碰撞的措施，且货物的包装、运输方式均应符合国家及行业相关标准及规定。</w:t>
      </w:r>
    </w:p>
    <w:p w14:paraId="6E447CC5">
      <w:pPr>
        <w:pStyle w:val="20"/>
        <w:snapToGrid w:val="0"/>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2、乙方运输的所有货物要符合有关标准规定的</w:t>
      </w:r>
      <w:r>
        <w:rPr>
          <w:rFonts w:hint="eastAsia" w:hAnsi="宋体" w:cs="宋体"/>
          <w:b w:val="0"/>
          <w:bCs w:val="0"/>
          <w:color w:val="auto"/>
          <w:sz w:val="21"/>
          <w:szCs w:val="21"/>
          <w:highlight w:val="none"/>
          <w:lang w:val="en-US"/>
        </w:rPr>
        <w:t>具</w:t>
      </w:r>
      <w:r>
        <w:rPr>
          <w:rFonts w:hint="eastAsia" w:hAnsi="宋体" w:cs="宋体"/>
          <w:b w:val="0"/>
          <w:bCs w:val="0"/>
          <w:color w:val="auto"/>
          <w:sz w:val="21"/>
          <w:szCs w:val="21"/>
          <w:highlight w:val="none"/>
        </w:rPr>
        <w:t>有适合长途运输、多次</w:t>
      </w:r>
      <w:r>
        <w:rPr>
          <w:rFonts w:hint="eastAsia" w:hAnsi="宋体" w:cs="宋体"/>
          <w:b w:val="0"/>
          <w:bCs w:val="0"/>
          <w:color w:val="auto"/>
          <w:sz w:val="21"/>
          <w:szCs w:val="21"/>
          <w:highlight w:val="none"/>
          <w:lang w:val="en-US"/>
        </w:rPr>
        <w:t>搬</w:t>
      </w:r>
      <w:r>
        <w:rPr>
          <w:rFonts w:hint="eastAsia" w:hAnsi="宋体" w:cs="宋体"/>
          <w:b w:val="0"/>
          <w:bCs w:val="0"/>
          <w:color w:val="auto"/>
          <w:sz w:val="21"/>
          <w:szCs w:val="21"/>
          <w:highlight w:val="none"/>
        </w:rPr>
        <w:t>运和装卸的坚固包装。包装应按设备特点，按</w:t>
      </w:r>
      <w:r>
        <w:rPr>
          <w:rFonts w:hint="eastAsia" w:hAnsi="宋体" w:cs="宋体"/>
          <w:b w:val="0"/>
          <w:bCs w:val="0"/>
          <w:color w:val="auto"/>
          <w:sz w:val="21"/>
          <w:szCs w:val="21"/>
          <w:highlight w:val="none"/>
          <w:lang w:val="en-US"/>
        </w:rPr>
        <w:t>需</w:t>
      </w:r>
      <w:r>
        <w:rPr>
          <w:rFonts w:hint="eastAsia" w:hAnsi="宋体" w:cs="宋体"/>
          <w:b w:val="0"/>
          <w:bCs w:val="0"/>
          <w:color w:val="auto"/>
          <w:sz w:val="21"/>
          <w:szCs w:val="21"/>
          <w:highlight w:val="none"/>
        </w:rPr>
        <w:t>要分别采取对应的保护措施，以保证货物在没有任何损坏和腐蚀的</w:t>
      </w:r>
      <w:r>
        <w:rPr>
          <w:rFonts w:hint="eastAsia" w:hAnsi="宋体" w:cs="宋体"/>
          <w:b w:val="0"/>
          <w:bCs w:val="0"/>
          <w:color w:val="auto"/>
          <w:sz w:val="21"/>
          <w:szCs w:val="21"/>
          <w:highlight w:val="none"/>
          <w:lang w:val="en-US"/>
        </w:rPr>
        <w:t>情</w:t>
      </w:r>
      <w:r>
        <w:rPr>
          <w:rFonts w:hint="eastAsia" w:hAnsi="宋体" w:cs="宋体"/>
          <w:b w:val="0"/>
          <w:bCs w:val="0"/>
          <w:color w:val="auto"/>
          <w:sz w:val="21"/>
          <w:szCs w:val="21"/>
          <w:highlight w:val="none"/>
        </w:rPr>
        <w:t>况下安全运抵甲方指定收货地点。</w:t>
      </w:r>
    </w:p>
    <w:p w14:paraId="0F383C3E">
      <w:pPr>
        <w:pStyle w:val="20"/>
        <w:snapToGrid w:val="0"/>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3、每件包装箱内，应附有装箱单、合格证、产品出厂质</w:t>
      </w:r>
      <w:r>
        <w:rPr>
          <w:rFonts w:hint="eastAsia" w:hAnsi="宋体" w:cs="宋体"/>
          <w:b w:val="0"/>
          <w:bCs w:val="0"/>
          <w:color w:val="auto"/>
          <w:sz w:val="21"/>
          <w:szCs w:val="21"/>
          <w:highlight w:val="none"/>
          <w:lang w:val="en-US"/>
        </w:rPr>
        <w:t>量</w:t>
      </w:r>
      <w:r>
        <w:rPr>
          <w:rFonts w:hint="eastAsia" w:hAnsi="宋体" w:cs="宋体"/>
          <w:b w:val="0"/>
          <w:bCs w:val="0"/>
          <w:color w:val="auto"/>
          <w:sz w:val="21"/>
          <w:szCs w:val="21"/>
          <w:highlight w:val="none"/>
        </w:rPr>
        <w:t>合格证明书、技术说明以及甲方要求的其他合格证明文件或资料。</w:t>
      </w:r>
    </w:p>
    <w:p w14:paraId="02300DEF">
      <w:pPr>
        <w:pStyle w:val="20"/>
        <w:snapToGrid w:val="0"/>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4、各种设备的松散零星部件应采用可靠安全的包装方式，装入尺寸适当的箱内，并尽可能整车发运。栅格式箱子或类似的包装，只能用</w:t>
      </w:r>
      <w:r>
        <w:rPr>
          <w:rFonts w:hint="eastAsia" w:hAnsi="宋体" w:cs="宋体"/>
          <w:b w:val="0"/>
          <w:bCs w:val="0"/>
          <w:color w:val="auto"/>
          <w:sz w:val="21"/>
          <w:szCs w:val="21"/>
          <w:highlight w:val="none"/>
          <w:lang w:val="en-US"/>
        </w:rPr>
        <w:t>于</w:t>
      </w:r>
      <w:r>
        <w:rPr>
          <w:rFonts w:hint="eastAsia" w:hAnsi="宋体" w:cs="宋体"/>
          <w:b w:val="0"/>
          <w:bCs w:val="0"/>
          <w:color w:val="auto"/>
          <w:sz w:val="21"/>
          <w:szCs w:val="21"/>
          <w:highlight w:val="none"/>
        </w:rPr>
        <w:t>盛装不至于被偷窃或被其他物品或雨水造成损坏的设备及零部件。</w:t>
      </w:r>
    </w:p>
    <w:p w14:paraId="747E921B">
      <w:pPr>
        <w:pStyle w:val="20"/>
        <w:snapToGrid w:val="0"/>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5、本合同项下货物由于包装不良、运输方式不当或非法运输造成的事故、损失、行政处罚和由此产生的其他全部费用均由乙方全部承担。</w:t>
      </w:r>
    </w:p>
    <w:p w14:paraId="29DA6807">
      <w:pPr>
        <w:pStyle w:val="20"/>
        <w:snapToGrid w:val="0"/>
        <w:spacing w:line="360" w:lineRule="auto"/>
        <w:ind w:right="0" w:firstLine="420" w:firstLineChars="200"/>
        <w:jc w:val="left"/>
        <w:rPr>
          <w:rFonts w:hAnsi="宋体" w:cs="宋体"/>
          <w:color w:val="auto"/>
          <w:sz w:val="21"/>
          <w:szCs w:val="21"/>
          <w:highlight w:val="none"/>
        </w:rPr>
      </w:pPr>
      <w:r>
        <w:rPr>
          <w:rFonts w:hint="eastAsia" w:hAnsi="宋体" w:cs="宋体"/>
          <w:b w:val="0"/>
          <w:bCs w:val="0"/>
          <w:color w:val="auto"/>
          <w:sz w:val="21"/>
          <w:szCs w:val="21"/>
          <w:highlight w:val="none"/>
        </w:rPr>
        <w:t>6、运输过程中发生的货物毁损、灭失等所有</w:t>
      </w:r>
      <w:r>
        <w:rPr>
          <w:rFonts w:hint="eastAsia" w:hAnsi="宋体" w:cs="宋体"/>
          <w:b w:val="0"/>
          <w:bCs w:val="0"/>
          <w:color w:val="auto"/>
          <w:sz w:val="21"/>
          <w:szCs w:val="21"/>
          <w:highlight w:val="none"/>
          <w:lang w:val="en-US"/>
        </w:rPr>
        <w:t>相关</w:t>
      </w:r>
      <w:r>
        <w:rPr>
          <w:rFonts w:hint="eastAsia" w:hAnsi="宋体" w:cs="宋体"/>
          <w:b w:val="0"/>
          <w:bCs w:val="0"/>
          <w:color w:val="auto"/>
          <w:sz w:val="21"/>
          <w:szCs w:val="21"/>
          <w:highlight w:val="none"/>
        </w:rPr>
        <w:t>风险和责任由乙方自行承担。</w:t>
      </w:r>
    </w:p>
    <w:p w14:paraId="2E1FC776">
      <w:pPr>
        <w:adjustRightIn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第七条 </w:t>
      </w:r>
      <w:bookmarkStart w:id="744" w:name="OLE_LINK82"/>
      <w:r>
        <w:rPr>
          <w:rFonts w:hint="eastAsia" w:ascii="宋体" w:hAnsi="宋体" w:eastAsia="宋体" w:cs="宋体"/>
          <w:b/>
          <w:color w:val="auto"/>
          <w:szCs w:val="21"/>
          <w:highlight w:val="none"/>
        </w:rPr>
        <w:t>保险</w:t>
      </w:r>
      <w:bookmarkEnd w:id="744"/>
    </w:p>
    <w:p w14:paraId="3780AD92">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乙方应负责为本合同项下所有货物购买相应的商业保险，并向甲方提供投保证明，投保保险金额应不低于相应设备发票金额的110%，保险费已包含在合同价中。如因乙方未能投保或保险人不予承担相应责任而货物在经甲方项目整体最终验收合格前的运输、装卸、现场照管、安装等过程中发生毁损、灭失的风险由乙方自行承担。</w:t>
      </w:r>
    </w:p>
    <w:p w14:paraId="787C9062">
      <w:pPr>
        <w:adjustRightInd w:val="0"/>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一旦上述货物发生保险事故，乙方除依法向保险人请求赔偿保险金外，应继续依约向甲方提供满足项目要求的货物，由此造成逾期完工的，乙方应</w:t>
      </w:r>
      <w:bookmarkStart w:id="745" w:name="OLE_LINK466"/>
      <w:r>
        <w:rPr>
          <w:rFonts w:hint="eastAsia" w:ascii="宋体" w:hAnsi="宋体" w:eastAsia="宋体" w:cs="宋体"/>
          <w:color w:val="auto"/>
          <w:szCs w:val="21"/>
          <w:highlight w:val="none"/>
        </w:rPr>
        <w:t>按合同</w:t>
      </w:r>
      <w:bookmarkEnd w:id="745"/>
      <w:r>
        <w:rPr>
          <w:rFonts w:hint="eastAsia" w:ascii="宋体" w:hAnsi="宋体" w:eastAsia="宋体" w:cs="宋体"/>
          <w:color w:val="auto"/>
          <w:szCs w:val="21"/>
          <w:highlight w:val="none"/>
        </w:rPr>
        <w:t>约定承担违约责任。</w:t>
      </w:r>
    </w:p>
    <w:p w14:paraId="02DE6620">
      <w:pPr>
        <w:adjustRightIn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第八条 </w:t>
      </w:r>
      <w:bookmarkStart w:id="746" w:name="OLE_LINK83"/>
      <w:r>
        <w:rPr>
          <w:rFonts w:hint="eastAsia" w:ascii="宋体" w:hAnsi="宋体" w:eastAsia="宋体" w:cs="宋体"/>
          <w:b/>
          <w:color w:val="auto"/>
          <w:szCs w:val="21"/>
          <w:highlight w:val="none"/>
        </w:rPr>
        <w:t>货物的交付</w:t>
      </w:r>
      <w:bookmarkEnd w:id="746"/>
    </w:p>
    <w:p w14:paraId="30AB0CC4">
      <w:pPr>
        <w:adjustRightIn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color w:val="auto"/>
          <w:szCs w:val="21"/>
          <w:highlight w:val="none"/>
        </w:rPr>
        <w:t>1、</w:t>
      </w:r>
      <w:bookmarkStart w:id="747" w:name="OLE_LINK467"/>
      <w:r>
        <w:rPr>
          <w:rFonts w:hint="eastAsia" w:ascii="宋体" w:hAnsi="宋体" w:eastAsia="宋体" w:cs="宋体"/>
          <w:bCs/>
          <w:color w:val="auto"/>
          <w:szCs w:val="21"/>
          <w:highlight w:val="none"/>
        </w:rPr>
        <w:t>供货及安装界限：乙方所供货物除了用户需求中所含货物，还应包含：技术文件资料、维护维修手册（包含维护项目和周期）、备品备件市场通用型号清单、产品检测报告文件。所采购设备的运输、保管、安装调试、试运行工作由乙方负责。</w:t>
      </w:r>
    </w:p>
    <w:bookmarkEnd w:id="747"/>
    <w:p w14:paraId="359D8E0A">
      <w:pPr>
        <w:adjustRightIn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2、交货地点及责任：</w:t>
      </w:r>
    </w:p>
    <w:p w14:paraId="59B0A448">
      <w:pPr>
        <w:adjustRightIn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乙方负责按甲方要求的时间供货运输至甲方于东莞市内指定地点，包括到场设备搬卸和安全措施，乙方负责将所供货物在调试验收后二次运输装卸至东莞市内甲方指定交货地点。设备相关运输、装卸、保管、安装调试试运行、保险等费用已包含在投标报价总价中。甲方如需变更交货地点，甲方应在原定的最后交货日1天前通知乙方。乙方负责将货物运输至甲方指定位置。</w:t>
      </w:r>
    </w:p>
    <w:p w14:paraId="1F22CDFC">
      <w:pPr>
        <w:adjustRightIn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乙方所供的货物送至现场，如甲方</w:t>
      </w:r>
      <w:r>
        <w:rPr>
          <w:rFonts w:hint="eastAsia" w:ascii="宋体" w:hAnsi="宋体" w:eastAsia="宋体" w:cs="宋体"/>
          <w:color w:val="auto"/>
          <w:szCs w:val="21"/>
          <w:highlight w:val="none"/>
        </w:rPr>
        <w:t>或其委托的项目管理公司</w:t>
      </w:r>
      <w:r>
        <w:rPr>
          <w:rFonts w:hint="eastAsia" w:ascii="宋体" w:hAnsi="宋体" w:eastAsia="宋体" w:cs="宋体"/>
          <w:bCs/>
          <w:color w:val="auto"/>
          <w:szCs w:val="21"/>
          <w:highlight w:val="none"/>
        </w:rPr>
        <w:t>检查发现有任何质量问题（如外观有损伤），乙方必须立即以同样型号的货物在甲方商定的时间内更换，确保其使用。</w:t>
      </w:r>
    </w:p>
    <w:p w14:paraId="42A8BA01">
      <w:pPr>
        <w:adjustRightIn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合同范围内所供货物在经甲方对本项目最终验收合格前（包含运输、装卸、现场照管、安装），货物的损耗、毁损、灭失的风险和责任均由乙方自行承担。</w:t>
      </w:r>
    </w:p>
    <w:p w14:paraId="2545B7FC">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3、运输方式：由乙方自行选择适当的运输方式，并承担全部费用。</w:t>
      </w:r>
    </w:p>
    <w:p w14:paraId="3DEB59BA">
      <w:pPr>
        <w:pStyle w:val="20"/>
        <w:snapToGrid w:val="0"/>
        <w:spacing w:line="360" w:lineRule="auto"/>
        <w:ind w:right="0" w:firstLine="420" w:firstLineChars="200"/>
        <w:jc w:val="both"/>
        <w:rPr>
          <w:rFonts w:hAnsi="宋体" w:cs="宋体"/>
          <w:b w:val="0"/>
          <w:bCs w:val="0"/>
          <w:color w:val="auto"/>
          <w:sz w:val="21"/>
          <w:szCs w:val="21"/>
          <w:highlight w:val="none"/>
        </w:rPr>
      </w:pPr>
      <w:r>
        <w:rPr>
          <w:rFonts w:hint="eastAsia" w:hAnsi="宋体" w:cs="宋体"/>
          <w:b w:val="0"/>
          <w:bCs w:val="0"/>
          <w:color w:val="auto"/>
          <w:sz w:val="21"/>
          <w:szCs w:val="21"/>
          <w:highlight w:val="none"/>
          <w:lang w:val="en-US"/>
        </w:rPr>
        <w:t>4</w:t>
      </w:r>
      <w:r>
        <w:rPr>
          <w:rFonts w:hint="eastAsia" w:hAnsi="宋体" w:cs="宋体"/>
          <w:b w:val="0"/>
          <w:bCs w:val="0"/>
          <w:color w:val="auto"/>
          <w:sz w:val="21"/>
          <w:szCs w:val="21"/>
          <w:highlight w:val="none"/>
        </w:rPr>
        <w:t>、在交货地点的卸货责任及费用，由乙方承担。</w:t>
      </w:r>
    </w:p>
    <w:p w14:paraId="6BDF9418">
      <w:pPr>
        <w:adjustRightIn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第九条 </w:t>
      </w:r>
      <w:bookmarkStart w:id="748" w:name="OLE_LINK88"/>
      <w:r>
        <w:rPr>
          <w:rFonts w:hint="eastAsia" w:ascii="宋体" w:hAnsi="宋体" w:eastAsia="宋体" w:cs="宋体"/>
          <w:b/>
          <w:color w:val="auto"/>
          <w:szCs w:val="21"/>
          <w:highlight w:val="none"/>
        </w:rPr>
        <w:t>安装、调试</w:t>
      </w:r>
      <w:bookmarkEnd w:id="748"/>
    </w:p>
    <w:p w14:paraId="14FB5D49">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1、乙方应在交接验收合格后，及时开展并完成全部货物的安装，且经甲方初步验收合格。乙方负责在甲方要求的时间内完成调试，以及性能考核的技术指导工作，具体要求需满足用户需求书要求。</w:t>
      </w:r>
    </w:p>
    <w:p w14:paraId="5235780A">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在货物安装、调试过程中，乙方应遵守甲方现场的管理规定，并遵守项目施工、安全生产、消防安全的有关管理规定，采取必要的安全防范措施，消除事故隐患，并随时接受甲方或其委托的项目管理公司安全检查人员的监督检查。在乙方搬运、拆卸、安装、调试、验收过程中所产生的安全责任（包括但不限于对协助人员、施工人员、第三方所造成的财物毁损、人员损伤，以及防火、防电、防盗责任等），乙方应承担全部赔偿责任及相关法律责任，与甲方无关；如因此造成甲方损失的，乙方应按甲方实际损失款项进行赔偿，并另行向甲方支付该项损失金额2</w:t>
      </w:r>
      <w:r>
        <w:rPr>
          <w:rFonts w:ascii="宋体" w:hAnsi="宋体" w:eastAsia="宋体" w:cs="宋体"/>
          <w:color w:val="auto"/>
          <w:szCs w:val="21"/>
          <w:highlight w:val="none"/>
        </w:rPr>
        <w:t>0%</w:t>
      </w:r>
      <w:r>
        <w:rPr>
          <w:rFonts w:hint="eastAsia" w:ascii="宋体" w:hAnsi="宋体" w:eastAsia="宋体" w:cs="宋体"/>
          <w:color w:val="auto"/>
          <w:szCs w:val="21"/>
          <w:highlight w:val="none"/>
        </w:rPr>
        <w:t>的违约金。</w:t>
      </w:r>
    </w:p>
    <w:p w14:paraId="7ED778E1">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乙方负责安装、调试，并及时解决安装、调试、试运行中出现的由乙方供货设备导致的问题，相关问题的解决时长以不影响工期为原则，若造成工期延误的，乙方需承担违约责任，并根据本合同第二十一条的约定向甲方支付对应的违约金。</w:t>
      </w:r>
    </w:p>
    <w:p w14:paraId="310FE92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乙方现场施工需服从、配合甲方或甲方代表的安全文明施工管理，并与甲方签订安全生产协议。由于乙方原因造成甲方或其他第三方参建单位人员伤亡、财物损失或者被监督部门行政处罚，乙方须承担相应赔偿责任。事故若造成甲方有其它额外支出的，乙方承诺给予全部补偿。</w:t>
      </w:r>
    </w:p>
    <w:p w14:paraId="29A0DFF9">
      <w:pPr>
        <w:spacing w:line="360" w:lineRule="auto"/>
        <w:ind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5、</w:t>
      </w:r>
      <w:r>
        <w:rPr>
          <w:rFonts w:hint="eastAsia" w:ascii="宋体" w:hAnsi="宋体" w:eastAsia="宋体" w:cs="宋体"/>
          <w:color w:val="auto"/>
          <w:szCs w:val="21"/>
          <w:highlight w:val="none"/>
        </w:rPr>
        <w:t>乙方</w:t>
      </w:r>
      <w:r>
        <w:rPr>
          <w:rFonts w:hint="eastAsia" w:ascii="宋体" w:hAnsi="宋体" w:eastAsia="宋体" w:cs="宋体"/>
          <w:color w:val="auto"/>
          <w:kern w:val="0"/>
          <w:szCs w:val="21"/>
          <w:highlight w:val="none"/>
          <w:lang w:val="zh-CN"/>
        </w:rPr>
        <w:t>应严格按照国家有关安全文明施工的标准与规范制定安全文明施工操作规程，配备必要的安全生产和劳动保护设施，加强对施工作业人员的施工安全教育培训，对他们的安全负责。</w:t>
      </w:r>
    </w:p>
    <w:p w14:paraId="092750F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lang w:val="zh-CN"/>
        </w:rPr>
        <w:t>6、</w:t>
      </w:r>
      <w:r>
        <w:rPr>
          <w:rFonts w:hint="eastAsia" w:ascii="宋体" w:hAnsi="宋体" w:eastAsia="宋体" w:cs="宋体"/>
          <w:color w:val="auto"/>
          <w:szCs w:val="21"/>
          <w:highlight w:val="none"/>
        </w:rPr>
        <w:t>乙方</w:t>
      </w:r>
      <w:r>
        <w:rPr>
          <w:rFonts w:hint="eastAsia" w:ascii="宋体" w:hAnsi="宋体" w:eastAsia="宋体" w:cs="宋体"/>
          <w:color w:val="auto"/>
          <w:kern w:val="0"/>
          <w:szCs w:val="21"/>
          <w:highlight w:val="none"/>
          <w:lang w:val="zh-CN"/>
        </w:rPr>
        <w:t>应对合同</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zh-CN"/>
        </w:rPr>
        <w:t>安全文明施工负责，采取有效的安全措施消除安全事故隐患，并接受和配合依法实施的监督检查。</w:t>
      </w:r>
    </w:p>
    <w:p w14:paraId="332A178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7、乙方应遵守国家有关环境保护、卫生监督的法律法规，采取有效措施，保证施工场地达到环境保护、卫生部门的管理要求，为现场自有人员提供并维护干净卫生的生活设施，保持施工场地的清洁整齐。</w:t>
      </w:r>
    </w:p>
    <w:p w14:paraId="4BB44D84">
      <w:pPr>
        <w:snapToGrid w:val="0"/>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8、为保证合同设备的性能、满足招标文件要求功能且长期、稳定、正常运行要求所需要的，除图纸设计的预留洞口、预埋件、回填、防水外，需要另行发生的开（补）洞口、增加预埋件、填缝、回填材料、水管、电路接驳、安全装置、防水等，均由乙方自行负责，其费用包括在合同价中。</w:t>
      </w:r>
    </w:p>
    <w:p w14:paraId="613F7BD3">
      <w:pPr>
        <w:adjustRightInd w:val="0"/>
        <w:spacing w:line="360" w:lineRule="auto"/>
        <w:ind w:firstLine="422" w:firstLineChars="200"/>
        <w:rPr>
          <w:rFonts w:ascii="宋体" w:hAnsi="宋体" w:eastAsia="宋体" w:cs="宋体"/>
          <w:b/>
          <w:color w:val="auto"/>
          <w:szCs w:val="21"/>
          <w:highlight w:val="none"/>
        </w:rPr>
      </w:pPr>
      <w:bookmarkStart w:id="749" w:name="OLE_LINK258"/>
      <w:r>
        <w:rPr>
          <w:rFonts w:hint="eastAsia" w:ascii="宋体" w:hAnsi="宋体" w:eastAsia="宋体" w:cs="宋体"/>
          <w:b/>
          <w:color w:val="auto"/>
          <w:szCs w:val="21"/>
          <w:highlight w:val="none"/>
        </w:rPr>
        <w:t xml:space="preserve">第十条 </w:t>
      </w:r>
      <w:bookmarkEnd w:id="749"/>
      <w:bookmarkStart w:id="750" w:name="OLE_LINK90"/>
      <w:r>
        <w:rPr>
          <w:rFonts w:hint="eastAsia" w:ascii="宋体" w:hAnsi="宋体" w:eastAsia="宋体" w:cs="宋体"/>
          <w:b/>
          <w:color w:val="auto"/>
          <w:szCs w:val="21"/>
          <w:highlight w:val="none"/>
        </w:rPr>
        <w:t>验收</w:t>
      </w:r>
      <w:bookmarkEnd w:id="750"/>
    </w:p>
    <w:p w14:paraId="73E44E7C">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1、验收分为货到交货地点的交接验收，货物完成安装、调试的初步验收，和</w:t>
      </w:r>
      <w:bookmarkStart w:id="751" w:name="OLE_LINK288"/>
      <w:bookmarkStart w:id="752" w:name="OLE_LINK418"/>
      <w:r>
        <w:rPr>
          <w:rFonts w:hint="eastAsia" w:ascii="宋体" w:hAnsi="宋体" w:eastAsia="宋体" w:cs="宋体"/>
          <w:color w:val="auto"/>
          <w:szCs w:val="21"/>
          <w:highlight w:val="none"/>
        </w:rPr>
        <w:t>项目整体运转</w:t>
      </w:r>
      <w:bookmarkEnd w:id="751"/>
      <w:bookmarkStart w:id="753" w:name="OLE_LINK415"/>
      <w:r>
        <w:rPr>
          <w:rFonts w:hint="eastAsia" w:ascii="宋体" w:hAnsi="宋体" w:eastAsia="宋体" w:cs="宋体"/>
          <w:color w:val="auto"/>
          <w:szCs w:val="21"/>
          <w:highlight w:val="none"/>
        </w:rPr>
        <w:t>且并网送电</w:t>
      </w:r>
      <w:bookmarkEnd w:id="752"/>
      <w:bookmarkEnd w:id="753"/>
      <w:r>
        <w:rPr>
          <w:rFonts w:hint="eastAsia" w:ascii="宋体" w:hAnsi="宋体" w:eastAsia="宋体" w:cs="宋体"/>
          <w:color w:val="auto"/>
          <w:szCs w:val="21"/>
          <w:highlight w:val="none"/>
        </w:rPr>
        <w:t>的并网验收以及竣工验收，并符合</w:t>
      </w:r>
      <w:r>
        <w:rPr>
          <w:rFonts w:hint="eastAsia" w:ascii="宋体" w:hAnsi="宋体" w:eastAsia="宋体" w:cs="宋体"/>
          <w:color w:val="auto"/>
          <w:kern w:val="0"/>
          <w:szCs w:val="21"/>
          <w:highlight w:val="none"/>
        </w:rPr>
        <w:t>国家、省或行业现行的</w:t>
      </w:r>
      <w:r>
        <w:rPr>
          <w:rFonts w:hint="eastAsia" w:ascii="宋体" w:hAnsi="宋体" w:eastAsia="宋体" w:cs="宋体"/>
          <w:color w:val="auto"/>
          <w:szCs w:val="21"/>
          <w:highlight w:val="none"/>
        </w:rPr>
        <w:t>相关规范。</w:t>
      </w:r>
    </w:p>
    <w:p w14:paraId="411CA189">
      <w:pPr>
        <w:pStyle w:val="24"/>
        <w:tabs>
          <w:tab w:val="left" w:pos="0"/>
        </w:tabs>
        <w:adjustRightInd w:val="0"/>
        <w:spacing w:line="360" w:lineRule="auto"/>
        <w:ind w:firstLine="422" w:firstLineChars="200"/>
        <w:textAlignment w:val="baseline"/>
        <w:rPr>
          <w:rFonts w:hAnsi="宋体" w:cs="宋体"/>
          <w:color w:val="auto"/>
          <w:szCs w:val="21"/>
          <w:highlight w:val="none"/>
        </w:rPr>
      </w:pPr>
      <w:r>
        <w:rPr>
          <w:rFonts w:hint="eastAsia" w:hAnsi="宋体" w:cs="宋体"/>
          <w:b/>
          <w:bCs/>
          <w:color w:val="auto"/>
          <w:szCs w:val="21"/>
          <w:highlight w:val="none"/>
        </w:rPr>
        <w:t>2、交接验收：</w:t>
      </w:r>
    </w:p>
    <w:p w14:paraId="11AD1F65">
      <w:pPr>
        <w:pStyle w:val="24"/>
        <w:tabs>
          <w:tab w:val="left" w:pos="0"/>
        </w:tabs>
        <w:adjustRightInd w:val="0"/>
        <w:spacing w:line="360" w:lineRule="auto"/>
        <w:ind w:firstLine="420" w:firstLineChars="200"/>
        <w:textAlignment w:val="baseline"/>
        <w:rPr>
          <w:rFonts w:hAnsi="宋体" w:cs="宋体"/>
          <w:color w:val="auto"/>
          <w:szCs w:val="21"/>
          <w:highlight w:val="none"/>
          <w:lang w:val="zh-CN"/>
        </w:rPr>
      </w:pPr>
      <w:r>
        <w:rPr>
          <w:rFonts w:hint="eastAsia" w:hAnsi="宋体" w:cs="宋体"/>
          <w:color w:val="auto"/>
          <w:szCs w:val="21"/>
          <w:highlight w:val="none"/>
        </w:rPr>
        <w:t>（1）</w:t>
      </w:r>
      <w:r>
        <w:rPr>
          <w:rFonts w:hint="eastAsia" w:hAnsi="宋体" w:cs="宋体"/>
          <w:color w:val="auto"/>
          <w:szCs w:val="21"/>
          <w:highlight w:val="none"/>
          <w:lang w:val="zh-CN"/>
        </w:rPr>
        <w:t>货物运抵交货地点现场后</w:t>
      </w:r>
      <w:bookmarkStart w:id="754" w:name="OLE_LINK289"/>
      <w:r>
        <w:rPr>
          <w:rFonts w:hint="eastAsia" w:hAnsi="宋体" w:cs="宋体"/>
          <w:color w:val="auto"/>
          <w:szCs w:val="21"/>
          <w:highlight w:val="none"/>
          <w:u w:val="single"/>
        </w:rPr>
        <w:t xml:space="preserve"> 7 </w:t>
      </w:r>
      <w:r>
        <w:rPr>
          <w:rFonts w:hint="eastAsia" w:hAnsi="宋体" w:cs="宋体"/>
          <w:color w:val="auto"/>
          <w:szCs w:val="21"/>
          <w:highlight w:val="none"/>
        </w:rPr>
        <w:t>日内</w:t>
      </w:r>
      <w:bookmarkEnd w:id="754"/>
      <w:r>
        <w:rPr>
          <w:rFonts w:hint="eastAsia" w:hAnsi="宋体" w:cs="宋体"/>
          <w:color w:val="auto"/>
          <w:szCs w:val="21"/>
          <w:highlight w:val="none"/>
          <w:lang w:val="zh-CN"/>
        </w:rPr>
        <w:t>，</w:t>
      </w:r>
      <w:bookmarkStart w:id="755" w:name="OLE_LINK252"/>
      <w:r>
        <w:rPr>
          <w:rFonts w:hint="eastAsia" w:hAnsi="宋体" w:cs="宋体"/>
          <w:color w:val="auto"/>
          <w:szCs w:val="21"/>
          <w:highlight w:val="none"/>
        </w:rPr>
        <w:t>甲方或其委托的项目管理公司</w:t>
      </w:r>
      <w:bookmarkEnd w:id="755"/>
      <w:r>
        <w:rPr>
          <w:rFonts w:hint="eastAsia" w:hAnsi="宋体" w:cs="宋体"/>
          <w:color w:val="auto"/>
          <w:szCs w:val="21"/>
          <w:highlight w:val="none"/>
        </w:rPr>
        <w:t>、乙方代表共同开箱验货。甲方或其委托的项目管理公司</w:t>
      </w:r>
      <w:r>
        <w:rPr>
          <w:rFonts w:hint="eastAsia" w:hAnsi="宋体" w:cs="宋体"/>
          <w:color w:val="auto"/>
          <w:szCs w:val="21"/>
          <w:highlight w:val="none"/>
          <w:lang w:val="zh-CN"/>
        </w:rPr>
        <w:t>按照本合同及招标文件、投标文件、</w:t>
      </w:r>
      <w:r>
        <w:rPr>
          <w:rFonts w:hint="eastAsia" w:hAnsi="宋体" w:cs="宋体"/>
          <w:color w:val="auto"/>
          <w:szCs w:val="21"/>
          <w:highlight w:val="none"/>
        </w:rPr>
        <w:t>产品技术说明书</w:t>
      </w:r>
      <w:r>
        <w:rPr>
          <w:rFonts w:hint="eastAsia" w:hAnsi="宋体" w:cs="宋体"/>
          <w:color w:val="auto"/>
          <w:szCs w:val="21"/>
          <w:highlight w:val="none"/>
          <w:lang w:val="zh-CN"/>
        </w:rPr>
        <w:t>、</w:t>
      </w:r>
      <w:r>
        <w:rPr>
          <w:rFonts w:hint="eastAsia" w:hAnsi="宋体" w:cs="宋体"/>
          <w:color w:val="auto"/>
          <w:szCs w:val="21"/>
          <w:highlight w:val="none"/>
        </w:rPr>
        <w:t>国家相关法律法规以及规范的要求</w:t>
      </w:r>
      <w:r>
        <w:rPr>
          <w:rFonts w:hint="eastAsia" w:hAnsi="宋体" w:cs="宋体"/>
          <w:color w:val="auto"/>
          <w:szCs w:val="21"/>
          <w:highlight w:val="none"/>
          <w:lang w:val="zh-CN"/>
        </w:rPr>
        <w:t>等相关的规定，对货物的品种、品牌、产地、型号规格、数量、外观质量、资料等进行清点和检查，并根据清点和检查情况作详细的记录。</w:t>
      </w:r>
    </w:p>
    <w:p w14:paraId="4BF38B6A">
      <w:pPr>
        <w:pStyle w:val="24"/>
        <w:tabs>
          <w:tab w:val="left" w:pos="0"/>
        </w:tabs>
        <w:adjustRightInd w:val="0"/>
        <w:spacing w:line="360" w:lineRule="auto"/>
        <w:ind w:firstLine="420" w:firstLineChars="200"/>
        <w:textAlignment w:val="baseline"/>
        <w:rPr>
          <w:rFonts w:hAnsi="宋体" w:cs="宋体"/>
          <w:color w:val="auto"/>
          <w:szCs w:val="21"/>
          <w:highlight w:val="none"/>
        </w:rPr>
      </w:pPr>
      <w:r>
        <w:rPr>
          <w:rFonts w:hint="eastAsia" w:hAnsi="宋体" w:cs="宋体"/>
          <w:color w:val="auto"/>
          <w:szCs w:val="21"/>
          <w:highlight w:val="none"/>
        </w:rPr>
        <w:t>（2）若乙方所提供的设备或部件为国外制造，应提供原产地证书、报关资料等必备证明资料。根据法律法规的规定，在货物入境过程中需要实施检验检疫的入境商品，经入境管理部门检验后，如有相关证明的，乙方应提供入境货物检验检疫证明。</w:t>
      </w:r>
    </w:p>
    <w:p w14:paraId="3EF8A0F3">
      <w:pPr>
        <w:pStyle w:val="24"/>
        <w:tabs>
          <w:tab w:val="left" w:pos="0"/>
        </w:tabs>
        <w:adjustRightInd w:val="0"/>
        <w:spacing w:line="360" w:lineRule="auto"/>
        <w:ind w:firstLine="420" w:firstLineChars="200"/>
        <w:textAlignment w:val="baseline"/>
        <w:rPr>
          <w:rFonts w:hAnsi="宋体" w:cs="宋体"/>
          <w:color w:val="auto"/>
          <w:szCs w:val="21"/>
          <w:highlight w:val="none"/>
        </w:rPr>
      </w:pPr>
      <w:r>
        <w:rPr>
          <w:rFonts w:hint="eastAsia" w:hAnsi="宋体" w:cs="宋体"/>
          <w:color w:val="auto"/>
          <w:szCs w:val="21"/>
          <w:highlight w:val="none"/>
        </w:rPr>
        <w:t>（3）</w:t>
      </w:r>
      <w:r>
        <w:rPr>
          <w:rFonts w:hint="eastAsia" w:hAnsi="宋体" w:cs="宋体"/>
          <w:color w:val="auto"/>
          <w:szCs w:val="21"/>
          <w:highlight w:val="none"/>
          <w:lang w:val="zh-CN"/>
        </w:rPr>
        <w:t>如发现货物的品种、品牌、产地、型号规格、数量、外观质量、资料与合同约定或招标文件规定不符，</w:t>
      </w:r>
      <w:r>
        <w:rPr>
          <w:rFonts w:hint="eastAsia" w:hAnsi="宋体" w:cs="宋体"/>
          <w:color w:val="auto"/>
          <w:szCs w:val="21"/>
          <w:highlight w:val="none"/>
        </w:rPr>
        <w:t>或货物短缺、质次、损坏等问题，应作详细纪录，甲方有权拒绝收货并拒绝付款，或由乙方在甲方规定的时间内立即、无条件为甲方免费调换或补齐。调换或补齐后的货物，甲方有权按照本条有关验收的规定进行验收，由此产生的制造、修理和运费及保险费均应由乙方</w:t>
      </w:r>
      <w:bookmarkStart w:id="756" w:name="OLE_LINK417"/>
      <w:r>
        <w:rPr>
          <w:rFonts w:hint="eastAsia" w:hAnsi="宋体" w:cs="宋体"/>
          <w:color w:val="auto"/>
          <w:szCs w:val="21"/>
          <w:highlight w:val="none"/>
        </w:rPr>
        <w:t>承担</w:t>
      </w:r>
      <w:bookmarkEnd w:id="756"/>
      <w:r>
        <w:rPr>
          <w:rFonts w:hint="eastAsia" w:hAnsi="宋体" w:cs="宋体"/>
          <w:color w:val="auto"/>
          <w:szCs w:val="21"/>
          <w:highlight w:val="none"/>
        </w:rPr>
        <w:t>，与甲方无关。以上调换、更换、补齐货物的时间包含在甲乙双方约定的交货时间内。</w:t>
      </w:r>
    </w:p>
    <w:p w14:paraId="04AC1F54">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（4）由于非甲方原因而引起的设备或部件的修理或更换的时间，应以不影响工期为原则进行，若造成工期延误的，乙方需承担违约责任，并根据本合同第二十一条的约定向甲方支付对应的违约金。</w:t>
      </w:r>
    </w:p>
    <w:p w14:paraId="149F59ED">
      <w:pPr>
        <w:pStyle w:val="20"/>
        <w:spacing w:line="360" w:lineRule="auto"/>
        <w:ind w:right="0" w:firstLine="420" w:firstLineChars="200"/>
        <w:jc w:val="left"/>
        <w:rPr>
          <w:rFonts w:hAnsi="宋体" w:cs="宋体"/>
          <w:b w:val="0"/>
          <w:bCs w:val="0"/>
          <w:color w:val="auto"/>
          <w:sz w:val="21"/>
          <w:szCs w:val="21"/>
          <w:highlight w:val="none"/>
          <w:lang w:val="en-US"/>
        </w:rPr>
      </w:pPr>
      <w:r>
        <w:rPr>
          <w:rFonts w:hint="eastAsia" w:hAnsi="宋体" w:cs="宋体"/>
          <w:b w:val="0"/>
          <w:bCs w:val="0"/>
          <w:color w:val="auto"/>
          <w:sz w:val="21"/>
          <w:szCs w:val="21"/>
          <w:highlight w:val="none"/>
          <w:lang w:val="en-US"/>
        </w:rPr>
        <w:t>（5）光伏组件进场后乙方需安排抽样进行开箱检查与EL检测，对不合格组件免费进行更换，并且在项目安装完成初步验收时，需组织对安装组件隐裂情况进行检测，检测到的存在不合格的组件，乙方需安排替换。</w:t>
      </w:r>
    </w:p>
    <w:p w14:paraId="08F1A7A3">
      <w:pPr>
        <w:pStyle w:val="20"/>
        <w:spacing w:line="360" w:lineRule="auto"/>
        <w:ind w:right="0" w:firstLine="420" w:firstLineChars="200"/>
        <w:jc w:val="left"/>
        <w:rPr>
          <w:rFonts w:hAnsi="宋体" w:cs="宋体"/>
          <w:b w:val="0"/>
          <w:bCs w:val="0"/>
          <w:color w:val="auto"/>
          <w:sz w:val="21"/>
          <w:szCs w:val="21"/>
          <w:highlight w:val="none"/>
          <w:lang w:val="en-US"/>
        </w:rPr>
      </w:pPr>
      <w:r>
        <w:rPr>
          <w:rFonts w:hint="eastAsia" w:hAnsi="宋体" w:cs="宋体"/>
          <w:b w:val="0"/>
          <w:bCs w:val="0"/>
          <w:color w:val="auto"/>
          <w:sz w:val="21"/>
          <w:szCs w:val="21"/>
          <w:highlight w:val="none"/>
          <w:lang w:val="en-US"/>
        </w:rPr>
        <w:t>（6）所有电气设备安装完成后，应进行电气交接试验，并形成记录。</w:t>
      </w:r>
    </w:p>
    <w:p w14:paraId="52FF76D3">
      <w:pPr>
        <w:pStyle w:val="24"/>
        <w:tabs>
          <w:tab w:val="left" w:pos="0"/>
        </w:tabs>
        <w:adjustRightInd w:val="0"/>
        <w:spacing w:line="360" w:lineRule="auto"/>
        <w:ind w:firstLine="420" w:firstLineChars="200"/>
        <w:textAlignment w:val="baseline"/>
        <w:rPr>
          <w:rFonts w:hAnsi="宋体" w:cs="宋体"/>
          <w:color w:val="auto"/>
          <w:szCs w:val="21"/>
          <w:highlight w:val="none"/>
        </w:rPr>
      </w:pPr>
      <w:r>
        <w:rPr>
          <w:rFonts w:hint="eastAsia" w:hAnsi="宋体" w:cs="宋体"/>
          <w:color w:val="auto"/>
          <w:szCs w:val="21"/>
          <w:highlight w:val="none"/>
        </w:rPr>
        <w:t>（7）交接验收合格后，甲方</w:t>
      </w:r>
      <w:r>
        <w:rPr>
          <w:rFonts w:hint="eastAsia" w:hAnsi="宋体" w:cs="宋体"/>
          <w:color w:val="auto"/>
          <w:szCs w:val="21"/>
          <w:highlight w:val="none"/>
          <w:lang w:val="zh-CN"/>
        </w:rPr>
        <w:t>出具相关签收手续。</w:t>
      </w:r>
    </w:p>
    <w:p w14:paraId="4A85C853">
      <w:pPr>
        <w:pStyle w:val="24"/>
        <w:tabs>
          <w:tab w:val="left" w:pos="0"/>
        </w:tabs>
        <w:adjustRightInd w:val="0"/>
        <w:spacing w:line="360" w:lineRule="auto"/>
        <w:ind w:firstLine="422" w:firstLineChars="200"/>
        <w:textAlignment w:val="baseline"/>
        <w:rPr>
          <w:rFonts w:hAnsi="宋体" w:cs="宋体"/>
          <w:b/>
          <w:color w:val="auto"/>
          <w:szCs w:val="21"/>
          <w:highlight w:val="none"/>
        </w:rPr>
      </w:pPr>
      <w:bookmarkStart w:id="757" w:name="OLE_LINK473"/>
      <w:r>
        <w:rPr>
          <w:rFonts w:hint="eastAsia" w:hAnsi="宋体" w:cs="宋体"/>
          <w:b/>
          <w:bCs/>
          <w:color w:val="auto"/>
          <w:szCs w:val="21"/>
          <w:highlight w:val="none"/>
        </w:rPr>
        <w:t>3、初步验收：</w:t>
      </w:r>
      <w:bookmarkEnd w:id="757"/>
    </w:p>
    <w:p w14:paraId="5F707472">
      <w:pPr>
        <w:pStyle w:val="24"/>
        <w:tabs>
          <w:tab w:val="left" w:pos="0"/>
        </w:tabs>
        <w:adjustRightInd w:val="0"/>
        <w:spacing w:line="360" w:lineRule="auto"/>
        <w:ind w:firstLine="420" w:firstLineChars="200"/>
        <w:textAlignment w:val="baseline"/>
        <w:rPr>
          <w:rFonts w:hAnsi="宋体" w:cs="宋体"/>
          <w:color w:val="auto"/>
          <w:szCs w:val="21"/>
          <w:highlight w:val="none"/>
        </w:rPr>
      </w:pPr>
      <w:r>
        <w:rPr>
          <w:rFonts w:hint="eastAsia" w:hAnsi="宋体" w:cs="宋体"/>
          <w:color w:val="auto"/>
          <w:szCs w:val="21"/>
          <w:highlight w:val="none"/>
        </w:rPr>
        <w:t>（1）合同项下货物在完成全部安装、调试及性能测试合格后，甲方或其委托的项目管理公司、乙方一起对设备的</w:t>
      </w:r>
      <w:r>
        <w:rPr>
          <w:rFonts w:hint="eastAsia" w:hAnsi="宋体" w:cs="宋体"/>
          <w:color w:val="auto"/>
          <w:szCs w:val="21"/>
          <w:highlight w:val="none"/>
          <w:lang w:val="zh-CN"/>
        </w:rPr>
        <w:t>完整性</w:t>
      </w:r>
      <w:r>
        <w:rPr>
          <w:rFonts w:hint="eastAsia" w:hAnsi="宋体" w:cs="宋体"/>
          <w:color w:val="auto"/>
          <w:szCs w:val="21"/>
          <w:highlight w:val="none"/>
        </w:rPr>
        <w:t>，安装与产品技术说明书、用户需求书符合性和合理性、调试的结果进行初步检验。</w:t>
      </w:r>
    </w:p>
    <w:p w14:paraId="15BE933C">
      <w:pPr>
        <w:pStyle w:val="24"/>
        <w:tabs>
          <w:tab w:val="left" w:pos="0"/>
        </w:tabs>
        <w:adjustRightInd w:val="0"/>
        <w:spacing w:line="360" w:lineRule="auto"/>
        <w:ind w:firstLine="420" w:firstLineChars="200"/>
        <w:textAlignment w:val="baseline"/>
        <w:rPr>
          <w:rFonts w:hAnsi="宋体" w:cs="宋体"/>
          <w:color w:val="auto"/>
          <w:szCs w:val="21"/>
          <w:highlight w:val="none"/>
        </w:rPr>
      </w:pPr>
      <w:r>
        <w:rPr>
          <w:rFonts w:hint="eastAsia" w:hAnsi="宋体" w:cs="宋体"/>
          <w:color w:val="auto"/>
          <w:szCs w:val="21"/>
          <w:highlight w:val="none"/>
        </w:rPr>
        <w:t>（2）乙方在货物安装、调试过程中，应做好详细的检验、测试记录和试验结果，检验结果应符合</w:t>
      </w:r>
      <w:r>
        <w:rPr>
          <w:rFonts w:hint="eastAsia" w:hAnsi="宋体" w:cs="宋体"/>
          <w:color w:val="auto"/>
          <w:szCs w:val="21"/>
          <w:highlight w:val="none"/>
          <w:lang w:val="zh-CN"/>
        </w:rPr>
        <w:t>本合同及招标文件、投标文件、</w:t>
      </w:r>
      <w:r>
        <w:rPr>
          <w:rFonts w:hint="eastAsia" w:hAnsi="宋体" w:cs="宋体"/>
          <w:color w:val="auto"/>
          <w:szCs w:val="21"/>
          <w:highlight w:val="none"/>
        </w:rPr>
        <w:t>产品技术说明书</w:t>
      </w:r>
      <w:r>
        <w:rPr>
          <w:rFonts w:hint="eastAsia" w:hAnsi="宋体" w:cs="宋体"/>
          <w:color w:val="auto"/>
          <w:szCs w:val="21"/>
          <w:highlight w:val="none"/>
          <w:lang w:val="zh-CN"/>
        </w:rPr>
        <w:t>、</w:t>
      </w:r>
      <w:r>
        <w:rPr>
          <w:rFonts w:hint="eastAsia" w:hAnsi="宋体" w:cs="宋体"/>
          <w:color w:val="auto"/>
          <w:szCs w:val="21"/>
          <w:highlight w:val="none"/>
        </w:rPr>
        <w:t>用户需求书、国家相关法律法规以及规范的</w:t>
      </w:r>
      <w:r>
        <w:rPr>
          <w:rFonts w:hint="eastAsia" w:hAnsi="宋体" w:cs="宋体"/>
          <w:color w:val="auto"/>
          <w:szCs w:val="21"/>
          <w:highlight w:val="none"/>
          <w:lang w:val="zh-CN"/>
        </w:rPr>
        <w:t>规定标准。（当多个标准不一致时，以最高标准作为验收标准）。</w:t>
      </w:r>
      <w:r>
        <w:rPr>
          <w:rFonts w:hint="eastAsia" w:hAnsi="宋体" w:cs="宋体"/>
          <w:color w:val="auto"/>
          <w:szCs w:val="21"/>
          <w:highlight w:val="none"/>
        </w:rPr>
        <w:t xml:space="preserve"> </w:t>
      </w:r>
    </w:p>
    <w:p w14:paraId="74C2EE35">
      <w:pPr>
        <w:pStyle w:val="2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（3）所有线缆敷设完成后，应进行直流电阻、绝缘电阻、直流耐压/交流耐压试验，并形成记录。</w:t>
      </w:r>
    </w:p>
    <w:p w14:paraId="0038035B">
      <w:pPr>
        <w:pStyle w:val="24"/>
        <w:tabs>
          <w:tab w:val="left" w:pos="0"/>
        </w:tabs>
        <w:adjustRightInd w:val="0"/>
        <w:spacing w:line="360" w:lineRule="auto"/>
        <w:ind w:firstLine="420" w:firstLineChars="200"/>
        <w:textAlignment w:val="baseline"/>
        <w:rPr>
          <w:rFonts w:hAnsi="宋体" w:cs="宋体"/>
          <w:color w:val="auto"/>
          <w:szCs w:val="21"/>
          <w:highlight w:val="none"/>
        </w:rPr>
      </w:pPr>
      <w:r>
        <w:rPr>
          <w:rFonts w:hint="eastAsia" w:hAnsi="宋体" w:cs="宋体"/>
          <w:color w:val="auto"/>
          <w:szCs w:val="21"/>
          <w:highlight w:val="none"/>
        </w:rPr>
        <w:t xml:space="preserve">（4）达到验收标准，甲、乙双方及相关单位共同签署初步验收记录。乙方同时提供测试报告等资料。 </w:t>
      </w:r>
    </w:p>
    <w:p w14:paraId="3877B079">
      <w:pPr>
        <w:pStyle w:val="24"/>
        <w:tabs>
          <w:tab w:val="left" w:pos="0"/>
        </w:tabs>
        <w:adjustRightInd w:val="0"/>
        <w:spacing w:line="360" w:lineRule="auto"/>
        <w:ind w:firstLine="422" w:firstLineChars="200"/>
        <w:textAlignment w:val="baseline"/>
        <w:rPr>
          <w:rFonts w:hAnsi="宋体" w:cs="宋体"/>
          <w:b/>
          <w:bCs/>
          <w:color w:val="auto"/>
          <w:szCs w:val="21"/>
          <w:highlight w:val="none"/>
        </w:rPr>
      </w:pPr>
      <w:bookmarkStart w:id="758" w:name="OLE_LINK474"/>
      <w:r>
        <w:rPr>
          <w:rFonts w:hint="eastAsia" w:hAnsi="宋体" w:cs="宋体"/>
          <w:b/>
          <w:bCs/>
          <w:color w:val="auto"/>
          <w:szCs w:val="21"/>
          <w:highlight w:val="none"/>
        </w:rPr>
        <w:t>4、并网验收：</w:t>
      </w:r>
      <w:bookmarkEnd w:id="758"/>
    </w:p>
    <w:p w14:paraId="76DA5A95">
      <w:pPr>
        <w:pStyle w:val="24"/>
        <w:tabs>
          <w:tab w:val="left" w:pos="0"/>
        </w:tabs>
        <w:adjustRightInd w:val="0"/>
        <w:spacing w:line="360" w:lineRule="auto"/>
        <w:ind w:firstLine="420" w:firstLineChars="200"/>
        <w:textAlignment w:val="baseline"/>
        <w:rPr>
          <w:rFonts w:hAnsi="宋体" w:cs="宋体"/>
          <w:color w:val="auto"/>
          <w:szCs w:val="21"/>
          <w:highlight w:val="none"/>
        </w:rPr>
      </w:pPr>
      <w:r>
        <w:rPr>
          <w:rFonts w:hint="eastAsia" w:hAnsi="宋体" w:cs="宋体"/>
          <w:color w:val="auto"/>
          <w:szCs w:val="21"/>
          <w:highlight w:val="none"/>
        </w:rPr>
        <w:t>本项目在设备调试初步验收合格后，乙方递交全套竣工图设计文件及项目所有资料文档，经甲方确认后，乙方应根据甲方要求时间内完成整体性能验收，执行国家、省或行业现行的质量验收标准及规范，须达到合格标准，并通过当地相关供电部门的并网验收可启动送电，视为通过并网验收。</w:t>
      </w:r>
    </w:p>
    <w:p w14:paraId="7CEF274D">
      <w:pPr>
        <w:pStyle w:val="24"/>
        <w:tabs>
          <w:tab w:val="left" w:pos="0"/>
        </w:tabs>
        <w:adjustRightInd w:val="0"/>
        <w:spacing w:line="360" w:lineRule="auto"/>
        <w:ind w:firstLine="422" w:firstLineChars="200"/>
        <w:textAlignment w:val="baseline"/>
        <w:rPr>
          <w:rFonts w:hAnsi="宋体" w:cs="宋体"/>
          <w:b/>
          <w:bCs/>
          <w:color w:val="auto"/>
          <w:szCs w:val="21"/>
          <w:highlight w:val="none"/>
        </w:rPr>
      </w:pPr>
      <w:r>
        <w:rPr>
          <w:rFonts w:hint="eastAsia" w:hAnsi="宋体" w:cs="宋体"/>
          <w:b/>
          <w:bCs/>
          <w:color w:val="auto"/>
          <w:szCs w:val="21"/>
          <w:highlight w:val="none"/>
        </w:rPr>
        <w:t>5、</w:t>
      </w:r>
      <w:r>
        <w:rPr>
          <w:rFonts w:hAnsi="宋体" w:cs="宋体"/>
          <w:b/>
          <w:bCs/>
          <w:color w:val="auto"/>
          <w:szCs w:val="21"/>
          <w:highlight w:val="none"/>
        </w:rPr>
        <w:t>竣工</w:t>
      </w:r>
      <w:r>
        <w:rPr>
          <w:rFonts w:hint="eastAsia" w:hAnsi="宋体" w:cs="宋体"/>
          <w:b/>
          <w:bCs/>
          <w:color w:val="auto"/>
          <w:szCs w:val="21"/>
          <w:highlight w:val="none"/>
        </w:rPr>
        <w:t>验收：</w:t>
      </w:r>
    </w:p>
    <w:p w14:paraId="5EBBD4BE">
      <w:pPr>
        <w:pStyle w:val="24"/>
        <w:tabs>
          <w:tab w:val="left" w:pos="0"/>
        </w:tabs>
        <w:adjustRightInd w:val="0"/>
        <w:spacing w:line="360" w:lineRule="auto"/>
        <w:ind w:firstLine="420" w:firstLineChars="200"/>
        <w:textAlignment w:val="baseline"/>
        <w:rPr>
          <w:rFonts w:hAnsi="宋体" w:cs="宋体"/>
          <w:color w:val="auto"/>
          <w:szCs w:val="21"/>
          <w:highlight w:val="none"/>
        </w:rPr>
      </w:pPr>
      <w:r>
        <w:rPr>
          <w:rFonts w:hint="eastAsia" w:hAnsi="宋体" w:cs="宋体"/>
          <w:color w:val="auto"/>
          <w:szCs w:val="21"/>
          <w:highlight w:val="none"/>
        </w:rPr>
        <w:t>并网后一个月内由乙方委托具备光伏电站CMA、CNAS资质认证的第三方检测单位对分布式光伏项目进行并网光伏电站检测工作，出具检测报告并加盖CMA或CNAS章。检测报告数值除满足相关规范要求且须与投标文件或经同意调整后组件产品（如有）承诺参数一致或优于投标文件承诺参数，经甲方确认后即为竣工验收合格。光伏电站检测项目包括但不限于光伏组件性能测试、光伏组件红外（IR）扫描测试、逆变器效率、接地连续性检测、并网点电能质量测试（含谐波电压、谐波电流、三相电压不平衡、供电电压偏差、闪变）、组串极性测试、电致发光特性测试(EL)。</w:t>
      </w:r>
    </w:p>
    <w:p w14:paraId="3F2E0AC6">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甲方在进行任何一次验收时发现货物或安装不符合相关要求的，可拒绝验收或要求乙方承担免费更换或重新安装责任（注：对货物质量问题不符的，应更换新品，不得以维修修复代替），乙方应在3日内自行拆除、更换新品、运回或重新安装，甲方不承担因验收造成的产品损耗且不对产品承担保管责任，因此产生的一切费用及风险由乙方承担。</w:t>
      </w:r>
    </w:p>
    <w:p w14:paraId="5B27BD0F">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7、甲方根据本条规定对货物所做出的验收，仅作为起算付款之用，不视为双方对于货物质量的最终认可，乙方仍应在质保期内对产品质量承担保证责任。</w:t>
      </w:r>
    </w:p>
    <w:p w14:paraId="5335CA8D">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8、货物在竣工验收合格至移交之日前，其损耗、毁损、灭失等风险及责任由乙方承担，如因发生前述情形，导致不能通过甲方验收移交的，乙方应按甲方要求予以免费更换或重做。</w:t>
      </w:r>
    </w:p>
    <w:p w14:paraId="77AF8207">
      <w:pPr>
        <w:pStyle w:val="24"/>
        <w:tabs>
          <w:tab w:val="left" w:pos="0"/>
        </w:tabs>
        <w:adjustRightInd w:val="0"/>
        <w:spacing w:line="360" w:lineRule="auto"/>
        <w:ind w:firstLine="420" w:firstLineChars="200"/>
        <w:textAlignment w:val="baseline"/>
        <w:rPr>
          <w:rFonts w:hAnsi="宋体" w:cs="宋体"/>
          <w:color w:val="auto"/>
          <w:szCs w:val="21"/>
          <w:highlight w:val="none"/>
        </w:rPr>
      </w:pPr>
      <w:r>
        <w:rPr>
          <w:rFonts w:hint="eastAsia" w:hAnsi="宋体" w:cs="宋体"/>
          <w:bCs/>
          <w:color w:val="auto"/>
          <w:szCs w:val="21"/>
          <w:highlight w:val="none"/>
        </w:rPr>
        <w:t>9、任一验收过程中，</w:t>
      </w:r>
      <w:r>
        <w:rPr>
          <w:rFonts w:hint="eastAsia" w:hAnsi="宋体" w:cs="宋体"/>
          <w:color w:val="auto"/>
          <w:szCs w:val="21"/>
          <w:highlight w:val="none"/>
        </w:rPr>
        <w:t>如对检验记录不能取得一致意见时，可委托项目所在地具有资质的第三方检验机构联合进行检验或鉴定，相关费用先由乙方垫付，最终费用由责任方承担。</w:t>
      </w:r>
    </w:p>
    <w:p w14:paraId="68516E7C">
      <w:pPr>
        <w:pStyle w:val="24"/>
        <w:tabs>
          <w:tab w:val="left" w:pos="0"/>
        </w:tabs>
        <w:adjustRightInd w:val="0"/>
        <w:spacing w:line="360" w:lineRule="auto"/>
        <w:ind w:firstLine="422" w:firstLineChars="200"/>
        <w:textAlignment w:val="baseline"/>
        <w:rPr>
          <w:rFonts w:hAnsi="宋体" w:cs="宋体"/>
          <w:b/>
          <w:color w:val="auto"/>
          <w:szCs w:val="21"/>
          <w:highlight w:val="none"/>
        </w:rPr>
      </w:pPr>
      <w:r>
        <w:rPr>
          <w:rFonts w:hint="eastAsia" w:hAnsi="宋体" w:cs="宋体"/>
          <w:b/>
          <w:color w:val="auto"/>
          <w:szCs w:val="21"/>
          <w:highlight w:val="none"/>
        </w:rPr>
        <w:t>第十一条 项目照管</w:t>
      </w:r>
    </w:p>
    <w:p w14:paraId="66ABAD4C">
      <w:pPr>
        <w:pStyle w:val="24"/>
        <w:tabs>
          <w:tab w:val="left" w:pos="0"/>
        </w:tabs>
        <w:adjustRightInd w:val="0"/>
        <w:spacing w:line="360" w:lineRule="auto"/>
        <w:ind w:firstLine="420" w:firstLineChars="200"/>
        <w:textAlignment w:val="baseline"/>
        <w:rPr>
          <w:rFonts w:hAnsi="宋体" w:cs="宋体"/>
          <w:bCs/>
          <w:color w:val="auto"/>
          <w:szCs w:val="21"/>
          <w:highlight w:val="none"/>
        </w:rPr>
      </w:pPr>
      <w:bookmarkStart w:id="759" w:name="OLE_LINK484"/>
      <w:r>
        <w:rPr>
          <w:rFonts w:hint="eastAsia" w:hAnsi="宋体" w:cs="宋体"/>
          <w:bCs/>
          <w:color w:val="auto"/>
          <w:szCs w:val="21"/>
          <w:highlight w:val="none"/>
        </w:rPr>
        <w:t>从本合同签订之日起，乙方应全面负责照管合同项目及运至现场将用于和安装在合同项目中的材料和设备设施等，直到合同双方当事人确认项目移交之日止。此后，项目的照管即转由甲方负责。如在整个项目移交前，合同双方当事人已经确认移交或甲方提前接管其中任一单位项目，则从确认移交或提前接管之日起乙方无须对该单位项目负责照管，而转由甲方负责。但乙方应继续负责照管尚未完成的项目和将用于或安装在合同项目中的材料和设备设施等，直至完成上述工作并经合同双方当事人确认整个项目移交之日止。乙方在负责项目照管期间，如因自身原因造成合同项目或其任何部分，以及材料和设备设施或临时设施的损坏，乙方应自费修复上述损坏或更新更换，保证合同项目质量达到合同约定的标准。</w:t>
      </w:r>
    </w:p>
    <w:bookmarkEnd w:id="759"/>
    <w:p w14:paraId="09A0BEB7">
      <w:pPr>
        <w:adjustRightInd w:val="0"/>
        <w:snapToGrid w:val="0"/>
        <w:spacing w:line="360" w:lineRule="auto"/>
        <w:ind w:firstLine="422" w:firstLineChars="200"/>
        <w:rPr>
          <w:rFonts w:ascii="宋体" w:hAnsi="宋体" w:eastAsia="宋体" w:cs="宋体"/>
          <w:b/>
          <w:bCs/>
          <w:color w:val="auto"/>
          <w:szCs w:val="21"/>
          <w:highlight w:val="none"/>
        </w:rPr>
      </w:pPr>
      <w:bookmarkStart w:id="760" w:name="OLE_LINK482"/>
      <w:r>
        <w:rPr>
          <w:rFonts w:hint="eastAsia" w:ascii="宋体" w:hAnsi="宋体" w:eastAsia="宋体" w:cs="宋体"/>
          <w:b/>
          <w:bCs/>
          <w:color w:val="auto"/>
          <w:szCs w:val="21"/>
          <w:highlight w:val="none"/>
        </w:rPr>
        <w:t>第十二条 知识产权</w:t>
      </w:r>
    </w:p>
    <w:p w14:paraId="4734763A">
      <w:pPr>
        <w:adjustRightIn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乙方保证其履行本合同（包括其提供的设计、设备、材料、软件、工艺、方法、技术）不会侵犯任何第三方的知识产权等合法权益。乙方应确保其分包商和供应商作出同等保证。如因乙方（或其分包商、供应商）的设计方案、选用的设备/材料/技术、施工方法等侵犯第三方知识产权，导致甲方或本项目遭受索赔、诉讼、禁止令或承担任何责任，乙方须与第三方交涉并承担由此发生的一切责任、费用和经济赔偿。由于乙方提供的设计、设备、材料、软件、工艺等任何一部分不符合知识产权规定，由乙方承担因此给甲方造成的全部损失（包括但不限于甲方为维护自身权益所支付的律师费、诉讼费、鉴定费、差旅费以及甲方依法向第三方支付的赔偿款等全部费用）。</w:t>
      </w:r>
    </w:p>
    <w:p w14:paraId="0BF4A109">
      <w:pPr>
        <w:adjustRightInd w:val="0"/>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2</w:t>
      </w:r>
      <w:r>
        <w:rPr>
          <w:rFonts w:hint="eastAsia" w:ascii="宋体" w:hAnsi="宋体" w:eastAsia="宋体" w:cs="宋体"/>
          <w:bCs/>
          <w:color w:val="auto"/>
          <w:szCs w:val="21"/>
          <w:highlight w:val="none"/>
        </w:rPr>
        <w:t>、乙方理解并同意由本项目产生知识产权的所有权及其他一切权利、权属和利益（包括但不限于专利申请权、专利权、著作权、商业秘密权等）均归甲方独家所有。</w:t>
      </w:r>
    </w:p>
    <w:p w14:paraId="539D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3</w:t>
      </w:r>
      <w:r>
        <w:rPr>
          <w:rFonts w:hint="eastAsia" w:ascii="宋体" w:hAnsi="宋体" w:eastAsia="宋体" w:cs="宋体"/>
          <w:bCs/>
          <w:color w:val="auto"/>
          <w:szCs w:val="21"/>
          <w:highlight w:val="none"/>
        </w:rPr>
        <w:t>、在履行本合同过程中，乙方将会同甲方将投入专项资源进行技术创新，并需产生可专利化的技术成果。 乙方需实现在合同履约期向甲方交付至少1项符合下列条件的专利成果：</w:t>
      </w:r>
    </w:p>
    <w:p w14:paraId="1A54B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①基于本项目产生：该成果须源于乙方为履行本合同项下的光伏电站设计、设备集成、安装工艺优化、智能系统开发等具体工作所进行的创新活动；</w:t>
      </w:r>
    </w:p>
    <w:p w14:paraId="5C746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②质量要求：该成果需对本项目的性能、效率、可靠性、成本控制或长期运维具有实质性积极意义；</w:t>
      </w:r>
    </w:p>
    <w:p w14:paraId="08217C1A">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③需有国家知识产权局下发的专利授权证书。</w:t>
      </w:r>
    </w:p>
    <w:p w14:paraId="2F1DB2C6">
      <w:pPr>
        <w:adjustRightInd w:val="0"/>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4</w:t>
      </w:r>
      <w:r>
        <w:rPr>
          <w:rFonts w:hint="eastAsia" w:ascii="宋体" w:hAnsi="宋体" w:eastAsia="宋体" w:cs="宋体"/>
          <w:bCs/>
          <w:color w:val="auto"/>
          <w:szCs w:val="21"/>
          <w:highlight w:val="none"/>
        </w:rPr>
        <w:t>、双方应对在履行本合同过程中获悉的对方的背景知识产权、项目知识产权、商业秘密、技术信息、商业信息、财务信息及其他标明为保密的信息承担严格的保密义务。</w:t>
      </w:r>
    </w:p>
    <w:bookmarkEnd w:id="760"/>
    <w:p w14:paraId="419E2DFE">
      <w:pPr>
        <w:pStyle w:val="24"/>
        <w:tabs>
          <w:tab w:val="left" w:pos="0"/>
        </w:tabs>
        <w:adjustRightInd w:val="0"/>
        <w:spacing w:line="360" w:lineRule="auto"/>
        <w:ind w:firstLine="422" w:firstLineChars="200"/>
        <w:textAlignment w:val="baseline"/>
        <w:rPr>
          <w:rFonts w:hAnsi="宋体" w:cs="宋体"/>
          <w:b/>
          <w:color w:val="auto"/>
          <w:szCs w:val="21"/>
          <w:highlight w:val="none"/>
        </w:rPr>
      </w:pPr>
      <w:bookmarkStart w:id="761" w:name="OLE_LINK483"/>
      <w:r>
        <w:rPr>
          <w:rFonts w:hint="eastAsia" w:hAnsi="宋体" w:cs="宋体"/>
          <w:b/>
          <w:color w:val="auto"/>
          <w:szCs w:val="21"/>
          <w:highlight w:val="none"/>
        </w:rPr>
        <w:t xml:space="preserve">第十三条 </w:t>
      </w:r>
      <w:bookmarkStart w:id="762" w:name="OLE_LINK92"/>
      <w:r>
        <w:rPr>
          <w:rFonts w:hint="eastAsia" w:hAnsi="宋体" w:cs="宋体"/>
          <w:b/>
          <w:color w:val="auto"/>
          <w:szCs w:val="21"/>
          <w:highlight w:val="none"/>
        </w:rPr>
        <w:t>技术服务、设计联络、设计技术要求和培训</w:t>
      </w:r>
      <w:bookmarkEnd w:id="762"/>
    </w:p>
    <w:bookmarkEnd w:id="761"/>
    <w:p w14:paraId="50ED05C8">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1、技术服务、设计联络、设计技术要求</w:t>
      </w:r>
    </w:p>
    <w:p w14:paraId="1FD716D7">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设计质量要求：本项目的设计过程和成果必须符合国家、广东省、东莞市颁布的有关设计方面的现行标准、规范、规程、定额、办法，满足甲方的相关功能需求，并通过甲方及有关部门的审查。在设计过程中，如果国家或有关部门颁发了新的技术标准或规范，应采用新的标准或规范进行设计。</w:t>
      </w:r>
    </w:p>
    <w:p w14:paraId="3C523681">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（2）乙方应及时提供与本合同设备有关的设计、检验、土建（如有）、安装、调试、验收、试验、运行、检修、运维等相应的技术指导、技术配合、技术培训等全过程的服务。</w:t>
      </w:r>
    </w:p>
    <w:p w14:paraId="3712CA9C">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在施工图设计阶段，乙方有义务根据实际情况派遣具有丰富经验的专业技术人员到东莞市参加设计联络会议进行技术交流，包括参加设计会签及校核和审查会议，以完成施工图设计。所需的费用均由乙方负责。设计联络的确切日期由</w:t>
      </w:r>
      <w:bookmarkStart w:id="763" w:name="OLE_LINK420"/>
      <w:r>
        <w:rPr>
          <w:rFonts w:hint="eastAsia" w:ascii="宋体" w:hAnsi="宋体" w:eastAsia="宋体" w:cs="宋体"/>
          <w:color w:val="auto"/>
          <w:szCs w:val="21"/>
          <w:highlight w:val="none"/>
        </w:rPr>
        <w:t>甲方确定。</w:t>
      </w:r>
    </w:p>
    <w:p w14:paraId="7FE2D61D">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（4）甲方有权将乙方</w:t>
      </w:r>
      <w:bookmarkEnd w:id="763"/>
      <w:r>
        <w:rPr>
          <w:rFonts w:hint="eastAsia" w:ascii="宋体" w:hAnsi="宋体" w:eastAsia="宋体" w:cs="宋体"/>
          <w:color w:val="auto"/>
          <w:szCs w:val="21"/>
          <w:highlight w:val="none"/>
        </w:rPr>
        <w:t>所提供的一切与本合同设备有关的资料分发给与本项目有关的各方，并不由此而构成任何侵权，亦无需事先取得乙方的同意，但双方不得向任何与本项目无关的第三方提供。</w:t>
      </w:r>
    </w:p>
    <w:p w14:paraId="3351FCC5">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乙方须对一切与本合同有关（包括外购）的供货、设备及技术接口、技术服务等问题负全部责任。凡与本合同设备相连接的其它设备装置，乙方有提供接口和技术配合的义务，并不由此而向甲方主张发生合同价格以外的任何费用。</w:t>
      </w:r>
    </w:p>
    <w:p w14:paraId="785B97F6">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（6）由于乙方技术服务人员对安装的疏忽和错误以及乙方未按要求派人指导而造成的所有损失应由乙方负责。造成甲方损失的，乙方需足额赔偿。</w:t>
      </w:r>
    </w:p>
    <w:p w14:paraId="6525AB24">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2、人员培训</w:t>
      </w:r>
    </w:p>
    <w:p w14:paraId="7D375D70">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（1）现场培训：指在合同履行期间，乙方派专人对操作工人进行培训，务必使这些受训人员能胜任这些设备的检验、运行和维护工作。</w:t>
      </w:r>
    </w:p>
    <w:p w14:paraId="51AFE8EA">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（2）培训地点规模：由甲方指定，乙方应</w:t>
      </w:r>
      <w:bookmarkStart w:id="764" w:name="OLE_LINK261"/>
      <w:r>
        <w:rPr>
          <w:rFonts w:hint="eastAsia" w:ascii="宋体" w:hAnsi="宋体" w:eastAsia="宋体" w:cs="宋体"/>
          <w:color w:val="auto"/>
          <w:szCs w:val="21"/>
          <w:highlight w:val="none"/>
        </w:rPr>
        <w:t>提前 15 日</w:t>
      </w:r>
      <w:bookmarkEnd w:id="764"/>
      <w:r>
        <w:rPr>
          <w:rFonts w:hint="eastAsia" w:ascii="宋体" w:hAnsi="宋体" w:eastAsia="宋体" w:cs="宋体"/>
          <w:color w:val="auto"/>
          <w:szCs w:val="21"/>
          <w:highlight w:val="none"/>
        </w:rPr>
        <w:t>提供完整的书面培训计划和方案，列明提供培训的技术人员名单及资质，以及培训完成后甲方人员可达到的水平等。</w:t>
      </w:r>
    </w:p>
    <w:p w14:paraId="3FFE9443">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培训内容：乙方为甲方免费提供操作及维护培训，主要内容为货物的基本结构、性能、主要部件的构造及原理，日常使用操作、保养与管理，常见故障的原因分析与排除，紧急情况的处理等。进口设备由外籍技术人员给甲方技术人员进行培训时，乙方必须聘请专业的翻译人员，并提供相关的中英文资料。</w:t>
      </w:r>
    </w:p>
    <w:p w14:paraId="204D63BB">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（4）培训次数：不低于【1】次，每次不低于【1】天，具体根据甲方需求确定。</w:t>
      </w:r>
    </w:p>
    <w:p w14:paraId="6782F550">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（5）培训费用：培训费用由乙方承担，该费用已包含在合同价中。</w:t>
      </w:r>
    </w:p>
    <w:p w14:paraId="5AD74C3C">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（6）培训记录：以上培训形成记录资料交甲方存档。</w:t>
      </w:r>
    </w:p>
    <w:p w14:paraId="337C9668">
      <w:pPr>
        <w:adjustRightIn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第十四条 </w:t>
      </w:r>
      <w:bookmarkStart w:id="765" w:name="OLE_LINK93"/>
      <w:r>
        <w:rPr>
          <w:rFonts w:hint="eastAsia" w:ascii="宋体" w:hAnsi="宋体" w:eastAsia="宋体" w:cs="宋体"/>
          <w:b/>
          <w:color w:val="auto"/>
          <w:szCs w:val="21"/>
          <w:highlight w:val="none"/>
        </w:rPr>
        <w:t>质保期及售后服务</w:t>
      </w:r>
      <w:bookmarkEnd w:id="765"/>
    </w:p>
    <w:p w14:paraId="41515466">
      <w:pPr>
        <w:pStyle w:val="20"/>
        <w:spacing w:line="360" w:lineRule="auto"/>
        <w:ind w:firstLine="422" w:firstLineChars="200"/>
        <w:jc w:val="left"/>
        <w:rPr>
          <w:rFonts w:hAnsi="宋体" w:cs="宋体"/>
          <w:color w:val="auto"/>
          <w:sz w:val="21"/>
          <w:szCs w:val="21"/>
          <w:highlight w:val="none"/>
        </w:rPr>
      </w:pPr>
      <w:r>
        <w:rPr>
          <w:rFonts w:hint="eastAsia" w:hAnsi="宋体" w:cs="宋体"/>
          <w:color w:val="auto"/>
          <w:sz w:val="21"/>
          <w:szCs w:val="21"/>
          <w:highlight w:val="none"/>
          <w:lang w:val="en-US"/>
        </w:rPr>
        <w:t>1、</w:t>
      </w:r>
      <w:bookmarkStart w:id="766" w:name="OLE_LINK423"/>
      <w:bookmarkStart w:id="767" w:name="OLE_LINK422"/>
      <w:r>
        <w:rPr>
          <w:rFonts w:hint="eastAsia" w:hAnsi="宋体" w:cs="宋体"/>
          <w:color w:val="auto"/>
          <w:sz w:val="21"/>
          <w:szCs w:val="21"/>
          <w:highlight w:val="none"/>
        </w:rPr>
        <w:t>质保期（</w:t>
      </w:r>
      <w:r>
        <w:rPr>
          <w:rFonts w:hint="eastAsia" w:hAnsi="宋体" w:cs="宋体"/>
          <w:color w:val="auto"/>
          <w:sz w:val="21"/>
          <w:szCs w:val="21"/>
          <w:highlight w:val="none"/>
          <w:lang w:val="en-US"/>
        </w:rPr>
        <w:t>即项目整体质保期</w:t>
      </w:r>
      <w:r>
        <w:rPr>
          <w:rFonts w:hint="eastAsia" w:hAnsi="宋体" w:cs="宋体"/>
          <w:color w:val="auto"/>
          <w:sz w:val="21"/>
          <w:szCs w:val="21"/>
          <w:highlight w:val="none"/>
        </w:rPr>
        <w:t>）为项目整体最终验收（</w:t>
      </w:r>
      <w:r>
        <w:rPr>
          <w:rFonts w:hint="eastAsia" w:hAnsi="宋体" w:cs="宋体"/>
          <w:color w:val="auto"/>
          <w:sz w:val="21"/>
          <w:szCs w:val="21"/>
          <w:highlight w:val="none"/>
          <w:lang w:val="en-US"/>
        </w:rPr>
        <w:t>即本合同下全部子项目竣工验收</w:t>
      </w:r>
      <w:r>
        <w:rPr>
          <w:rFonts w:hint="eastAsia" w:hAnsi="宋体" w:cs="宋体"/>
          <w:color w:val="auto"/>
          <w:sz w:val="21"/>
          <w:szCs w:val="21"/>
          <w:highlight w:val="none"/>
        </w:rPr>
        <w:t>）合格后【】年，</w:t>
      </w:r>
      <w:r>
        <w:rPr>
          <w:rFonts w:hint="eastAsia" w:hAnsi="宋体" w:cs="宋体"/>
          <w:color w:val="auto"/>
          <w:sz w:val="21"/>
          <w:szCs w:val="21"/>
          <w:highlight w:val="none"/>
          <w:lang w:val="en-US"/>
        </w:rPr>
        <w:t>甲方在项目整体质保期届满后按合同约定退还质保金</w:t>
      </w:r>
      <w:r>
        <w:rPr>
          <w:rFonts w:hint="eastAsia" w:hAnsi="宋体" w:cs="宋体"/>
          <w:color w:val="auto"/>
          <w:sz w:val="21"/>
          <w:szCs w:val="21"/>
          <w:highlight w:val="none"/>
        </w:rPr>
        <w:t>。如个体设备有更高</w:t>
      </w:r>
      <w:r>
        <w:rPr>
          <w:rFonts w:hint="eastAsia" w:hAnsi="宋体" w:cs="宋体"/>
          <w:color w:val="auto"/>
          <w:sz w:val="21"/>
          <w:szCs w:val="21"/>
          <w:highlight w:val="none"/>
          <w:lang w:val="en-US"/>
        </w:rPr>
        <w:t>质保期</w:t>
      </w:r>
      <w:r>
        <w:rPr>
          <w:rFonts w:hint="eastAsia" w:hAnsi="宋体" w:cs="宋体"/>
          <w:color w:val="auto"/>
          <w:sz w:val="21"/>
          <w:szCs w:val="21"/>
          <w:highlight w:val="none"/>
        </w:rPr>
        <w:t>要求的，</w:t>
      </w:r>
      <w:r>
        <w:rPr>
          <w:rFonts w:hint="eastAsia" w:hAnsi="宋体" w:cs="宋体"/>
          <w:color w:val="auto"/>
          <w:sz w:val="21"/>
          <w:szCs w:val="21"/>
          <w:highlight w:val="none"/>
          <w:lang w:val="en-US"/>
        </w:rPr>
        <w:t>乙方</w:t>
      </w:r>
      <w:r>
        <w:rPr>
          <w:rFonts w:hint="eastAsia" w:hAnsi="宋体" w:cs="宋体"/>
          <w:color w:val="auto"/>
          <w:sz w:val="21"/>
          <w:szCs w:val="21"/>
          <w:highlight w:val="none"/>
        </w:rPr>
        <w:t>遵循更高要求</w:t>
      </w:r>
      <w:bookmarkEnd w:id="766"/>
      <w:bookmarkEnd w:id="767"/>
      <w:r>
        <w:rPr>
          <w:rFonts w:hint="eastAsia" w:hAnsi="宋体" w:cs="宋体"/>
          <w:color w:val="auto"/>
          <w:sz w:val="21"/>
          <w:szCs w:val="21"/>
          <w:highlight w:val="none"/>
          <w:lang w:val="en-US"/>
        </w:rPr>
        <w:t>承担该个体设备的质保服务。</w:t>
      </w:r>
      <w:r>
        <w:rPr>
          <w:rFonts w:hint="eastAsia" w:hAnsi="宋体" w:cs="宋体"/>
          <w:color w:val="auto"/>
          <w:sz w:val="21"/>
          <w:szCs w:val="21"/>
          <w:highlight w:val="none"/>
        </w:rPr>
        <w:t>若在质保期间任何部件需进行更换，则该部件质保期应从更换日起重新计算。质保期内，乙方对本项目供货、安装质量进行免费保修，免费保修包括但不限于由乙方承担完成质保期的工作而产生的运费、购置费、测试费、人工费等各项费用。</w:t>
      </w:r>
    </w:p>
    <w:p w14:paraId="312B5CA3">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质保期内乙方应提供免费上门维修、保养及其他售后服务，对设备出现的不符合合同要求的或有瑕疵之处提供免费维修或更换配件服务，经维修、更换配件后的设备质保期从维修或更换并经甲方验收合格后重新计算。</w:t>
      </w:r>
    </w:p>
    <w:p w14:paraId="09CE4F18">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w:t>
      </w:r>
      <w:bookmarkStart w:id="768" w:name="OLE_LINK292"/>
      <w:r>
        <w:rPr>
          <w:rFonts w:hint="eastAsia" w:ascii="宋体" w:hAnsi="宋体" w:eastAsia="宋体" w:cs="宋体"/>
          <w:color w:val="auto"/>
          <w:szCs w:val="21"/>
          <w:highlight w:val="none"/>
        </w:rPr>
        <w:t>在质保期内乙方应负责设备的保养，</w:t>
      </w:r>
      <w:bookmarkStart w:id="769" w:name="OLE_LINK262"/>
      <w:r>
        <w:rPr>
          <w:rFonts w:hint="eastAsia" w:ascii="宋体" w:hAnsi="宋体" w:eastAsia="宋体" w:cs="宋体"/>
          <w:color w:val="auto"/>
          <w:szCs w:val="21"/>
          <w:highlight w:val="none"/>
        </w:rPr>
        <w:t>并实施每年至少两次（至少半年为一周期）的整体检查</w:t>
      </w:r>
      <w:bookmarkEnd w:id="769"/>
      <w:r>
        <w:rPr>
          <w:rFonts w:hint="eastAsia" w:ascii="宋体" w:hAnsi="宋体" w:eastAsia="宋体" w:cs="宋体"/>
          <w:color w:val="auto"/>
          <w:szCs w:val="21"/>
          <w:highlight w:val="none"/>
        </w:rPr>
        <w:t>，并在每次检查后【15】日内向甲方提供书面的检查报告。质保期间如在正常操作情况下，任何机件因设计不当、材质缺陷或制造欠佳等因素而发生故障，</w:t>
      </w:r>
      <w:bookmarkStart w:id="770" w:name="OLE_LINK263"/>
      <w:r>
        <w:rPr>
          <w:rFonts w:hint="eastAsia" w:ascii="宋体" w:hAnsi="宋体" w:eastAsia="宋体" w:cs="宋体"/>
          <w:color w:val="auto"/>
          <w:szCs w:val="21"/>
          <w:highlight w:val="none"/>
        </w:rPr>
        <w:t>乙方应在接到报修通知后</w:t>
      </w:r>
      <w:r>
        <w:rPr>
          <w:rFonts w:hint="eastAsia" w:ascii="宋体" w:hAnsi="宋体" w:eastAsia="宋体" w:cs="宋体"/>
          <w:b/>
          <w:color w:val="auto"/>
          <w:szCs w:val="21"/>
          <w:highlight w:val="none"/>
          <w:u w:val="single"/>
        </w:rPr>
        <w:t xml:space="preserve"> 1 </w:t>
      </w:r>
      <w:r>
        <w:rPr>
          <w:rFonts w:hint="eastAsia" w:ascii="宋体" w:hAnsi="宋体" w:eastAsia="宋体" w:cs="宋体"/>
          <w:b/>
          <w:color w:val="auto"/>
          <w:szCs w:val="21"/>
          <w:highlight w:val="none"/>
        </w:rPr>
        <w:t>小时</w:t>
      </w:r>
      <w:r>
        <w:rPr>
          <w:rFonts w:hint="eastAsia" w:ascii="宋体" w:hAnsi="宋体" w:eastAsia="宋体" w:cs="宋体"/>
          <w:color w:val="auto"/>
          <w:szCs w:val="21"/>
          <w:highlight w:val="none"/>
        </w:rPr>
        <w:t>内予以响应，</w:t>
      </w:r>
      <w:r>
        <w:rPr>
          <w:rFonts w:hint="eastAsia" w:ascii="宋体" w:hAnsi="宋体" w:eastAsia="宋体" w:cs="宋体"/>
          <w:b/>
          <w:color w:val="auto"/>
          <w:szCs w:val="21"/>
          <w:highlight w:val="none"/>
          <w:u w:val="single"/>
        </w:rPr>
        <w:t xml:space="preserve"> 3 </w:t>
      </w:r>
      <w:r>
        <w:rPr>
          <w:rFonts w:hint="eastAsia" w:ascii="宋体" w:hAnsi="宋体" w:eastAsia="宋体" w:cs="宋体"/>
          <w:b/>
          <w:color w:val="auto"/>
          <w:szCs w:val="21"/>
          <w:highlight w:val="none"/>
        </w:rPr>
        <w:t>小时</w:t>
      </w:r>
      <w:r>
        <w:rPr>
          <w:rFonts w:hint="eastAsia" w:ascii="宋体" w:hAnsi="宋体" w:eastAsia="宋体" w:cs="宋体"/>
          <w:color w:val="auto"/>
          <w:szCs w:val="21"/>
          <w:highlight w:val="none"/>
        </w:rPr>
        <w:t>内到场修复故障，2日内不能维修的</w:t>
      </w:r>
      <w:bookmarkEnd w:id="770"/>
      <w:r>
        <w:rPr>
          <w:rFonts w:hint="eastAsia" w:ascii="宋体" w:hAnsi="宋体" w:eastAsia="宋体" w:cs="宋体"/>
          <w:color w:val="auto"/>
          <w:szCs w:val="21"/>
          <w:highlight w:val="none"/>
        </w:rPr>
        <w:t>，应提供替代设备供甲方临时使用。</w:t>
      </w:r>
      <w:bookmarkEnd w:id="768"/>
      <w:r>
        <w:rPr>
          <w:rFonts w:hint="eastAsia" w:ascii="宋体" w:hAnsi="宋体" w:eastAsia="宋体" w:cs="宋体"/>
          <w:color w:val="auto"/>
          <w:szCs w:val="21"/>
          <w:highlight w:val="none"/>
        </w:rPr>
        <w:t>如乙方未在规定的期限内修复，甲方有权采取必要措施</w:t>
      </w:r>
      <w:r>
        <w:rPr>
          <w:rFonts w:hint="eastAsia" w:ascii="宋体" w:hAnsi="宋体" w:eastAsia="宋体" w:cs="宋体"/>
          <w:color w:val="auto"/>
          <w:szCs w:val="21"/>
          <w:highlight w:val="none"/>
          <w:lang w:eastAsia="zh-Hans"/>
        </w:rPr>
        <w:t>如</w:t>
      </w:r>
      <w:r>
        <w:rPr>
          <w:rFonts w:hint="eastAsia" w:ascii="宋体" w:hAnsi="宋体" w:eastAsia="宋体" w:cs="宋体"/>
          <w:color w:val="auto"/>
          <w:szCs w:val="21"/>
          <w:highlight w:val="none"/>
        </w:rPr>
        <w:t>另行委托第三方对设备进行维修，由此产生的风险和费用由乙方承担，且甲方有权从质保金中直接予以扣除或有权从质量保函中提取质保金予以支付维护、修复等费用。质保金不足以支付的，不足部分由乙方承担，如造成其他损失的，乙方还应承担赔偿责任。</w:t>
      </w:r>
    </w:p>
    <w:p w14:paraId="125A1659">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在质保期内，甲方有权拒绝使用带有缺陷的或与合同要求不符的设备或零件，这些设备或零件由乙方负责免费修好或更换，甲方不承担因其产生的费用。甲方如发现产品的质量、规格、性能、数量等与本招标文件规定不符，或发现产品无论由于任何原因存在隐藏缺陷、瑕疵、工艺问题或使用不良的材料的，或产品出现质量问题的，乙方应根据甲方指示承担免费更换或重做责任。</w:t>
      </w:r>
    </w:p>
    <w:p w14:paraId="713E3A0F">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在质保期内，如设备出现故障（7天内）无法修复，或一个故障累计出现超过两次（含两次），或货物累计经三次维修后仍无法正常运行的，乙方应无条件根据甲方要求承担免费更换或重做责任以满足正常运行的需求，由此产生的费用由乙方承担，包括但不限于运输费用、搬运费用、采购费用等全部费用。</w:t>
      </w:r>
    </w:p>
    <w:p w14:paraId="1EC8A185">
      <w:pPr>
        <w:adjustRightInd w:val="0"/>
        <w:spacing w:line="360" w:lineRule="auto"/>
        <w:ind w:firstLine="420" w:firstLineChars="200"/>
        <w:rPr>
          <w:rFonts w:ascii="宋体" w:hAnsi="宋体" w:eastAsia="宋体" w:cs="宋体"/>
          <w:color w:val="auto"/>
          <w:szCs w:val="21"/>
          <w:highlight w:val="none"/>
        </w:rPr>
      </w:pPr>
      <w:bookmarkStart w:id="771" w:name="OLE_LINK294"/>
      <w:r>
        <w:rPr>
          <w:rFonts w:hint="eastAsia" w:ascii="宋体" w:hAnsi="宋体" w:eastAsia="宋体" w:cs="宋体"/>
          <w:color w:val="auto"/>
          <w:szCs w:val="21"/>
          <w:highlight w:val="none"/>
        </w:rPr>
        <w:t>6、质保期内全部服务费（含更换零部件，达到招标文件及合同约定条件的更换货物或重做）和维修费用及乙方技术服务人员的一切费用由乙方全部自理，甲方有权向乙方索赔在质保期内设备缺陷导致的损失。质保期满后的维修，乙方同意只收取合理的零件成本费用。</w:t>
      </w:r>
    </w:p>
    <w:bookmarkEnd w:id="771"/>
    <w:p w14:paraId="2E896E1F">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7、乙方应建立质量跟踪档案，</w:t>
      </w:r>
      <w:bookmarkStart w:id="772" w:name="OLE_LINK264"/>
      <w:r>
        <w:rPr>
          <w:rFonts w:hint="eastAsia" w:ascii="宋体" w:hAnsi="宋体" w:eastAsia="宋体" w:cs="宋体"/>
          <w:color w:val="auto"/>
          <w:szCs w:val="21"/>
          <w:highlight w:val="none"/>
        </w:rPr>
        <w:t>对甲方进行每月一次的定期回访（电话或现场）</w:t>
      </w:r>
      <w:bookmarkEnd w:id="772"/>
      <w:r>
        <w:rPr>
          <w:rFonts w:hint="eastAsia" w:ascii="宋体" w:hAnsi="宋体" w:eastAsia="宋体" w:cs="宋体"/>
          <w:color w:val="auto"/>
          <w:szCs w:val="21"/>
          <w:highlight w:val="none"/>
        </w:rPr>
        <w:t>，以保证货物的正常运行。</w:t>
      </w:r>
    </w:p>
    <w:p w14:paraId="20953FFF">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8、乙方未按上述要求提供售后服务的，甲方有权委托其他第三方提供相关服务，因此产生的费用（</w:t>
      </w:r>
      <w:r>
        <w:rPr>
          <w:rFonts w:hint="eastAsia" w:ascii="宋体" w:hAnsi="宋体" w:eastAsia="宋体" w:cs="宋体"/>
          <w:color w:val="auto"/>
          <w:szCs w:val="21"/>
          <w:highlight w:val="none"/>
          <w:lang w:eastAsia="zh-Hans"/>
        </w:rPr>
        <w:t>包括但不限于本合同所约定的总价款、</w:t>
      </w:r>
      <w:r>
        <w:rPr>
          <w:rFonts w:hint="eastAsia" w:ascii="宋体" w:hAnsi="宋体" w:eastAsia="宋体" w:cs="宋体"/>
          <w:color w:val="auto"/>
          <w:szCs w:val="21"/>
          <w:highlight w:val="none"/>
        </w:rPr>
        <w:t>第三方提供服务的费用、</w:t>
      </w:r>
      <w:r>
        <w:rPr>
          <w:rFonts w:hint="eastAsia" w:ascii="宋体" w:hAnsi="宋体" w:eastAsia="宋体" w:cs="宋体"/>
          <w:color w:val="auto"/>
          <w:szCs w:val="21"/>
          <w:highlight w:val="none"/>
          <w:lang w:eastAsia="zh-Hans"/>
        </w:rPr>
        <w:t>甲方为维护自身权益所支付的律师费、诉讼费、</w:t>
      </w:r>
      <w:r>
        <w:rPr>
          <w:rFonts w:hint="eastAsia" w:ascii="宋体" w:hAnsi="宋体" w:eastAsia="宋体" w:cs="宋体"/>
          <w:color w:val="auto"/>
          <w:szCs w:val="21"/>
          <w:highlight w:val="none"/>
        </w:rPr>
        <w:t>财产保全责任保险费/担保费、</w:t>
      </w:r>
      <w:r>
        <w:rPr>
          <w:rFonts w:hint="eastAsia" w:ascii="宋体" w:hAnsi="宋体" w:eastAsia="宋体" w:cs="宋体"/>
          <w:color w:val="auto"/>
          <w:szCs w:val="21"/>
          <w:highlight w:val="none"/>
          <w:lang w:eastAsia="zh-Hans"/>
        </w:rPr>
        <w:t>鉴定费、差旅费等</w:t>
      </w:r>
      <w:r>
        <w:rPr>
          <w:rFonts w:hint="eastAsia" w:ascii="宋体" w:hAnsi="宋体" w:eastAsia="宋体" w:cs="宋体"/>
          <w:color w:val="auto"/>
          <w:szCs w:val="21"/>
          <w:highlight w:val="none"/>
        </w:rPr>
        <w:t>）全部由乙方承担，同时，乙方需根据本合同第二十一条的约定向甲方支付对应的违约金。</w:t>
      </w:r>
    </w:p>
    <w:p w14:paraId="4E961076">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9、乙方需提供“设备故障率控制方式”的运维说明书，指导甲方对设备的运维管理，尽可能减少设备的故障率。</w:t>
      </w:r>
      <w:bookmarkStart w:id="773" w:name="OLE_LINK291"/>
    </w:p>
    <w:p w14:paraId="18C1EECE">
      <w:pPr>
        <w:pStyle w:val="55"/>
        <w:spacing w:line="360" w:lineRule="auto"/>
        <w:ind w:firstLine="420" w:firstLineChars="200"/>
        <w:jc w:val="left"/>
        <w:rPr>
          <w:rFonts w:ascii="宋体" w:hAnsi="宋体" w:eastAsia="宋体" w:cs="宋体"/>
          <w:b w:val="0"/>
          <w:bCs/>
          <w:color w:val="auto"/>
          <w:highlight w:val="none"/>
        </w:rPr>
      </w:pPr>
      <w:r>
        <w:rPr>
          <w:rFonts w:hint="eastAsia" w:ascii="宋体" w:hAnsi="宋体" w:eastAsia="宋体" w:cs="宋体"/>
          <w:b w:val="0"/>
          <w:bCs/>
          <w:color w:val="auto"/>
          <w:szCs w:val="21"/>
          <w:highlight w:val="none"/>
        </w:rPr>
        <w:t>10、在本合同履行约定中，如乙方提供的货物（含零部件）生产厂家或制造商产品质保期及质保条件高于本合同约定的，乙方应按无条件执行并按负责联系及安排生产厂家或制造商进行质保。</w:t>
      </w:r>
    </w:p>
    <w:bookmarkEnd w:id="773"/>
    <w:p w14:paraId="1F13C184">
      <w:pPr>
        <w:adjustRightIn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第十五条 </w:t>
      </w:r>
      <w:bookmarkStart w:id="774" w:name="OLE_LINK94"/>
      <w:r>
        <w:rPr>
          <w:rFonts w:hint="eastAsia" w:ascii="宋体" w:hAnsi="宋体" w:eastAsia="宋体" w:cs="宋体"/>
          <w:b/>
          <w:color w:val="auto"/>
          <w:szCs w:val="21"/>
          <w:highlight w:val="none"/>
        </w:rPr>
        <w:t>项目运维</w:t>
      </w:r>
      <w:bookmarkEnd w:id="774"/>
    </w:p>
    <w:p w14:paraId="7619192E">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1、光伏系统</w:t>
      </w:r>
      <w:bookmarkStart w:id="775" w:name="OLE_LINK486"/>
      <w:r>
        <w:rPr>
          <w:rFonts w:hint="eastAsia" w:ascii="宋体" w:hAnsi="宋体" w:eastAsia="宋体" w:cs="宋体"/>
          <w:color w:val="auto"/>
          <w:szCs w:val="21"/>
          <w:highlight w:val="none"/>
        </w:rPr>
        <w:t>在并网验收的同时（不迟于并网验收通过）</w:t>
      </w:r>
      <w:bookmarkEnd w:id="775"/>
      <w:bookmarkStart w:id="776" w:name="OLE_LINK295"/>
      <w:r>
        <w:rPr>
          <w:rFonts w:hint="eastAsia" w:ascii="宋体" w:hAnsi="宋体" w:eastAsia="宋体" w:cs="宋体"/>
          <w:color w:val="auto"/>
          <w:szCs w:val="21"/>
          <w:highlight w:val="none"/>
        </w:rPr>
        <w:t>，</w:t>
      </w:r>
      <w:bookmarkEnd w:id="776"/>
      <w:r>
        <w:rPr>
          <w:rFonts w:hint="eastAsia" w:ascii="宋体" w:hAnsi="宋体" w:eastAsia="宋体" w:cs="宋体"/>
          <w:color w:val="auto"/>
          <w:szCs w:val="21"/>
          <w:highlight w:val="none"/>
        </w:rPr>
        <w:t>乙方应结合用户需求及投标文件向甲方提交相应的运维制度，成立专门的管理团队，编制运维方案（方案内容包括但不限于运维日期、管理团队人员及分工、各子项目运维联系人、运维内容等），确保光伏设施的安全运行</w:t>
      </w:r>
      <w:bookmarkStart w:id="777" w:name="OLE_LINK296"/>
      <w:r>
        <w:rPr>
          <w:rFonts w:hint="eastAsia" w:ascii="宋体" w:hAnsi="宋体" w:eastAsia="宋体" w:cs="宋体"/>
          <w:color w:val="auto"/>
          <w:szCs w:val="21"/>
          <w:highlight w:val="none"/>
        </w:rPr>
        <w:t>；</w:t>
      </w:r>
      <w:bookmarkEnd w:id="777"/>
      <w:r>
        <w:rPr>
          <w:rFonts w:hint="eastAsia" w:ascii="宋体" w:hAnsi="宋体" w:eastAsia="宋体" w:cs="宋体"/>
          <w:color w:val="auto"/>
          <w:szCs w:val="21"/>
          <w:highlight w:val="none"/>
        </w:rPr>
        <w:t>乙方在质保期内需配合甲方进行运维管理。</w:t>
      </w:r>
    </w:p>
    <w:p w14:paraId="5288949E">
      <w:pPr>
        <w:adjustRightInd w:val="0"/>
        <w:spacing w:line="360" w:lineRule="auto"/>
        <w:ind w:firstLine="420" w:firstLineChars="200"/>
        <w:rPr>
          <w:rFonts w:ascii="宋体" w:hAnsi="宋体" w:eastAsia="宋体" w:cs="宋体"/>
          <w:color w:val="auto"/>
          <w:szCs w:val="21"/>
          <w:highlight w:val="none"/>
        </w:rPr>
      </w:pPr>
      <w:bookmarkStart w:id="778" w:name="OLE_LINK488"/>
      <w:r>
        <w:rPr>
          <w:rFonts w:hint="eastAsia" w:ascii="宋体" w:hAnsi="宋体" w:eastAsia="宋体" w:cs="宋体"/>
          <w:color w:val="auto"/>
          <w:szCs w:val="21"/>
          <w:highlight w:val="none"/>
        </w:rPr>
        <w:t>2、运维基本要求：</w:t>
      </w:r>
    </w:p>
    <w:p w14:paraId="6FD383F3">
      <w:pPr>
        <w:adjustRightInd w:val="0"/>
        <w:spacing w:line="360" w:lineRule="auto"/>
        <w:ind w:firstLine="420" w:firstLineChars="200"/>
        <w:rPr>
          <w:rFonts w:ascii="宋体" w:hAnsi="宋体" w:eastAsia="宋体" w:cs="宋体"/>
          <w:color w:val="auto"/>
          <w:szCs w:val="21"/>
          <w:highlight w:val="none"/>
        </w:rPr>
      </w:pPr>
      <w:bookmarkStart w:id="779" w:name="OLE_LINK487"/>
      <w:r>
        <w:rPr>
          <w:rFonts w:hint="eastAsia" w:ascii="宋体" w:hAnsi="宋体" w:eastAsia="宋体" w:cs="宋体"/>
          <w:color w:val="auto"/>
          <w:szCs w:val="21"/>
          <w:highlight w:val="none"/>
        </w:rPr>
        <w:t>（1）乙方负责对项目运行的安全维护</w:t>
      </w:r>
    </w:p>
    <w:p w14:paraId="378A6B30">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①严格按照国家及地方有关规定规范、用户需求书及投标文件承诺的要求进行项目设备设施运行和维护。</w:t>
      </w:r>
    </w:p>
    <w:p w14:paraId="1F4D2D1C">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②每月定期不少于</w:t>
      </w:r>
      <w:bookmarkStart w:id="780" w:name="OLE_LINK489"/>
      <w:r>
        <w:rPr>
          <w:rFonts w:hint="eastAsia" w:ascii="宋体" w:hAnsi="宋体" w:eastAsia="宋体" w:cs="宋体"/>
          <w:color w:val="auto"/>
          <w:szCs w:val="21"/>
          <w:highlight w:val="none"/>
          <w:u w:val="single"/>
        </w:rPr>
        <w:t xml:space="preserve"> 1 </w:t>
      </w:r>
      <w:bookmarkEnd w:id="780"/>
      <w:r>
        <w:rPr>
          <w:rFonts w:hint="eastAsia" w:ascii="宋体" w:hAnsi="宋体" w:eastAsia="宋体" w:cs="宋体"/>
          <w:color w:val="auto"/>
          <w:szCs w:val="21"/>
          <w:highlight w:val="none"/>
        </w:rPr>
        <w:t>次进行设备现场维护并提交相应记录，现场维护至少包括以下内容：</w:t>
      </w:r>
    </w:p>
    <w:p w14:paraId="46FB8A30">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a.检查各仪表是否有效，按相关要求定期添加更换分析剂；</w:t>
      </w:r>
    </w:p>
    <w:p w14:paraId="6BC573D8">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b.检查各设备的运行状态和主要技术参数，判断运行是否正常；</w:t>
      </w:r>
    </w:p>
    <w:p w14:paraId="284E104E">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c.检查设备情况，检查内外部管线路是否通畅，组件是否清洁，必要时进行清洗，检查自动清洗装置是否运行正常；</w:t>
      </w:r>
    </w:p>
    <w:p w14:paraId="24F387CC">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d.检查站房内防水、电路系统、通讯系统是否正常；</w:t>
      </w:r>
    </w:p>
    <w:p w14:paraId="3C90486D">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e.检查光伏组件完整性、支架外观；</w:t>
      </w:r>
    </w:p>
    <w:p w14:paraId="3138432F">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f.检查消防设施设备状态；</w:t>
      </w:r>
    </w:p>
    <w:p w14:paraId="78B6C280">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g.对数据存储／控制系统/通讯系统/计量系统工作状态进行检查，观察数据采集传输系统、计量运行情况，对数据进行抽样检查，对比分析数据是否准确、一致；</w:t>
      </w:r>
    </w:p>
    <w:p w14:paraId="4C0244B9">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h.检查项目接地情况、防雷措施、防水情况等。</w:t>
      </w:r>
    </w:p>
    <w:p w14:paraId="60957389">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③负责运营维护期间的项目照管，对项目设备设施出现的毁损、灭失、耗材等无条件（含不可抗力）进行更换（注：原厂供应）、维修等，确保项目运行正常并承担费用。</w:t>
      </w:r>
    </w:p>
    <w:p w14:paraId="0F3FF612">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（2）乙方负责设备与主要器材的故障处理</w:t>
      </w:r>
    </w:p>
    <w:p w14:paraId="2474F37E">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①项目发现故障或接到故障通知，应在1小时内响应，3小时内赶到现场进行处理；对故障通知的处理结果要及时反馈。</w:t>
      </w:r>
    </w:p>
    <w:p w14:paraId="750F5E92">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②设备若出现故障，2日内可修复的，由乙方进行现场维修；2日内不可修复的应更换设备，保障设备的正常运行。</w:t>
      </w:r>
    </w:p>
    <w:p w14:paraId="75988AC7">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③项目设备出现异常时，需即时填写异常情况报告并提供给甲方及相关监督单位。</w:t>
      </w:r>
    </w:p>
    <w:p w14:paraId="04AD8400">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（3）乙方需对项目设备运营、维护、故障处理、异常数据、校准比对等运营管理工作填写相关报告。报告分现场文档和上交甲方文档两部分，包括但不限于有：</w:t>
      </w:r>
    </w:p>
    <w:p w14:paraId="33A92BEC">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①现场保存文档：《现场巡检记录表》、《维护维修记录表》、《异常情况报告表》、《异常情况处理表》等。</w:t>
      </w:r>
    </w:p>
    <w:p w14:paraId="51EF830C">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②上交甲方文档：《月维护报告》、《异常情况报告表》、《异常情况处理表》等。</w:t>
      </w:r>
    </w:p>
    <w:p w14:paraId="0CB558E0">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3、在运维期间，乙方无权擅自停运项目。若乙方因项目设施维护之目的，需应提前10日向甲方提交停运的书面申请，经甲方批准后实施。</w:t>
      </w:r>
    </w:p>
    <w:p w14:paraId="13126887">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如因乙方的原因导致项目停运、发电量减损的，则乙方需要赔偿甲方相应时段损失的发电量相应售电收入损失及相应各类补贴损失，其中损失发电量的计算标准按照前一个自然月日均发电量予以折算；导致设备设施毁损的，还应承担恢复责任。</w:t>
      </w:r>
    </w:p>
    <w:p w14:paraId="79D0238F">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5、项目的移交</w:t>
      </w:r>
    </w:p>
    <w:p w14:paraId="3954010D">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（1）移交日期</w:t>
      </w:r>
    </w:p>
    <w:p w14:paraId="3EF6994B">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本项目运营维护期间届满后，乙方应将本项目无附加条件的移交给甲方。</w:t>
      </w:r>
    </w:p>
    <w:p w14:paraId="44BF47A6">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本项目的移交日为：本项目下全部子项目并网审批通过开始正式送电之日起一年期满后的第二天。</w:t>
      </w:r>
    </w:p>
    <w:p w14:paraId="20C21E80">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（2）移交范围</w:t>
      </w:r>
    </w:p>
    <w:p w14:paraId="4336CBD6">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①乙方应将以下范围，无附加条件的移交给甲方或其指定的执行机构：</w:t>
      </w:r>
    </w:p>
    <w:p w14:paraId="52BAEA3A">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项目设备设施、所有零备件和配件、运营和维护项目设施所要求的在用各类管理章程和运营手册知识产权等无形资产（包括以许可方式取得的）包括专有技术、生产档案、技术档案、文秘档案、图书资料、设计图纸、文件和其它资料，以使本项目能平稳地正常地继续运营。</w:t>
      </w:r>
    </w:p>
    <w:p w14:paraId="57FB8443">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②涉及到本项目的任何移交，甲方与乙方必须签署移交备忘录，以示移交完毕。</w:t>
      </w:r>
    </w:p>
    <w:p w14:paraId="3E6AD7A8">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（3）移交程序及条件</w:t>
      </w:r>
    </w:p>
    <w:p w14:paraId="2362F9F9">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①在本项目运营维护届满前三个月内，甲乙双方须成立本项目移交小组，负责商定项目移交的程序与内容，并处理项目移交过程中的各项事宜。</w:t>
      </w:r>
    </w:p>
    <w:p w14:paraId="07BD92C0">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②在本项目的移交日前1个月内，乙方应对本项目进行一次恢复性检查。其恢复性检查时间与内容安排应得到甲方认可，恢复性检查后乙方应在甲方参与下对本项目进行性能测试，经检验的功能参数应恢复至良好正常运行状态。乙方在本项目建设期间所安装设备不符合国家和合同规定的，甲方有权要求乙方在移交前按规定更换合格设备。</w:t>
      </w:r>
    </w:p>
    <w:p w14:paraId="00F9410A">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③在本项目移交日前1个月内，乙方应免费对甲方确定的运营机构的人员进行培训，以便在本项目移交后，这些人员能从事本项目的技术及管理工作和保证项目的正常运作。</w:t>
      </w:r>
    </w:p>
    <w:bookmarkEnd w:id="778"/>
    <w:bookmarkEnd w:id="779"/>
    <w:p w14:paraId="2FB57AFD">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w:t>
      </w:r>
      <w:bookmarkStart w:id="781" w:name="OLE_LINK491"/>
      <w:r>
        <w:rPr>
          <w:rFonts w:hint="eastAsia" w:ascii="宋体" w:hAnsi="宋体" w:eastAsia="宋体" w:cs="宋体"/>
          <w:color w:val="auto"/>
          <w:szCs w:val="21"/>
          <w:highlight w:val="none"/>
        </w:rPr>
        <w:t>运维期后质保期内</w:t>
      </w:r>
      <w:bookmarkEnd w:id="781"/>
      <w:r>
        <w:rPr>
          <w:rFonts w:hint="eastAsia" w:ascii="宋体" w:hAnsi="宋体" w:eastAsia="宋体" w:cs="宋体"/>
          <w:color w:val="auto"/>
          <w:szCs w:val="21"/>
          <w:highlight w:val="none"/>
        </w:rPr>
        <w:t>乙方应确保光伏系统安全、稳定、可靠运行，定期派人检查、监管和记录项目的运行情况，并定期汇总给甲方。</w:t>
      </w:r>
    </w:p>
    <w:p w14:paraId="2FB19A36">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7、乙方承诺对光伏系统提供质保期内维修保养服务，并承担维修保养费用。</w:t>
      </w:r>
    </w:p>
    <w:p w14:paraId="060ED786">
      <w:pPr>
        <w:adjustRightInd w:val="0"/>
        <w:spacing w:line="360" w:lineRule="auto"/>
        <w:ind w:firstLine="422" w:firstLineChars="200"/>
        <w:rPr>
          <w:rFonts w:ascii="宋体" w:hAnsi="宋体" w:eastAsia="宋体" w:cs="宋体"/>
          <w:b/>
          <w:color w:val="auto"/>
          <w:szCs w:val="21"/>
          <w:highlight w:val="none"/>
        </w:rPr>
      </w:pPr>
      <w:bookmarkStart w:id="782" w:name="OLE_LINK293"/>
      <w:r>
        <w:rPr>
          <w:rFonts w:hint="eastAsia" w:ascii="宋体" w:hAnsi="宋体" w:eastAsia="宋体" w:cs="宋体"/>
          <w:b/>
          <w:color w:val="auto"/>
          <w:szCs w:val="21"/>
          <w:highlight w:val="none"/>
        </w:rPr>
        <w:t xml:space="preserve">第十六条 </w:t>
      </w:r>
      <w:bookmarkStart w:id="783" w:name="OLE_LINK95"/>
      <w:r>
        <w:rPr>
          <w:rFonts w:hint="eastAsia" w:ascii="宋体" w:hAnsi="宋体" w:eastAsia="宋体" w:cs="宋体"/>
          <w:b/>
          <w:color w:val="auto"/>
          <w:szCs w:val="21"/>
          <w:highlight w:val="none"/>
        </w:rPr>
        <w:t>履约担保</w:t>
      </w:r>
      <w:bookmarkEnd w:id="782"/>
      <w:bookmarkEnd w:id="783"/>
    </w:p>
    <w:p w14:paraId="589D7976">
      <w:pPr>
        <w:pStyle w:val="20"/>
        <w:snapToGrid w:val="0"/>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1、乙方应当根据招标文件的规定在签订本合同前向</w:t>
      </w:r>
      <w:r>
        <w:rPr>
          <w:rFonts w:hint="eastAsia" w:hAnsi="宋体" w:cs="宋体"/>
          <w:b w:val="0"/>
          <w:bCs w:val="0"/>
          <w:color w:val="auto"/>
          <w:sz w:val="21"/>
          <w:szCs w:val="21"/>
          <w:highlight w:val="none"/>
          <w:lang w:val="en-US"/>
        </w:rPr>
        <w:t>甲方</w:t>
      </w:r>
      <w:r>
        <w:rPr>
          <w:rFonts w:hint="eastAsia" w:hAnsi="宋体" w:cs="宋体"/>
          <w:b w:val="0"/>
          <w:bCs w:val="0"/>
          <w:color w:val="auto"/>
          <w:sz w:val="21"/>
          <w:szCs w:val="21"/>
          <w:highlight w:val="none"/>
        </w:rPr>
        <w:t>提供履约担保，履约担保形式及金额由乙方从以下方式中任选一种：</w:t>
      </w:r>
    </w:p>
    <w:p w14:paraId="2A4B3468">
      <w:pPr>
        <w:pStyle w:val="20"/>
        <w:tabs>
          <w:tab w:val="left" w:pos="5504"/>
        </w:tabs>
        <w:snapToGrid w:val="0"/>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口履约保证金（银行转账形式）金额为</w:t>
      </w:r>
      <w:r>
        <w:rPr>
          <w:rFonts w:hint="eastAsia" w:hAnsi="宋体" w:cs="宋体"/>
          <w:b w:val="0"/>
          <w:bCs w:val="0"/>
          <w:color w:val="auto"/>
          <w:sz w:val="21"/>
          <w:szCs w:val="21"/>
          <w:highlight w:val="none"/>
          <w:u w:val="single"/>
        </w:rPr>
        <w:t>人民币</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lang w:val="en-US"/>
        </w:rPr>
        <w:t xml:space="preserve"> </w:t>
      </w:r>
      <w:r>
        <w:rPr>
          <w:rFonts w:hint="eastAsia" w:hAnsi="宋体" w:cs="宋体"/>
          <w:b w:val="0"/>
          <w:bCs w:val="0"/>
          <w:color w:val="auto"/>
          <w:sz w:val="21"/>
          <w:szCs w:val="21"/>
          <w:highlight w:val="none"/>
        </w:rPr>
        <w:t>；</w:t>
      </w:r>
    </w:p>
    <w:p w14:paraId="23EC38F1">
      <w:pPr>
        <w:pStyle w:val="20"/>
        <w:tabs>
          <w:tab w:val="left" w:pos="4657"/>
          <w:tab w:val="left" w:pos="4874"/>
        </w:tabs>
        <w:snapToGrid w:val="0"/>
        <w:spacing w:line="360" w:lineRule="auto"/>
        <w:ind w:right="0" w:firstLine="420" w:firstLineChars="200"/>
        <w:jc w:val="left"/>
        <w:rPr>
          <w:rFonts w:hAnsi="宋体" w:cs="宋体"/>
          <w:b w:val="0"/>
          <w:bCs w:val="0"/>
          <w:color w:val="auto"/>
          <w:sz w:val="21"/>
          <w:szCs w:val="21"/>
          <w:highlight w:val="none"/>
        </w:rPr>
      </w:pPr>
      <w:bookmarkStart w:id="784" w:name="OLE_LINK265"/>
      <w:r>
        <w:rPr>
          <w:rFonts w:hint="eastAsia" w:hAnsi="宋体" w:cs="宋体"/>
          <w:b w:val="0"/>
          <w:bCs w:val="0"/>
          <w:color w:val="auto"/>
          <w:sz w:val="21"/>
          <w:szCs w:val="21"/>
          <w:highlight w:val="none"/>
        </w:rPr>
        <w:t>口</w:t>
      </w:r>
      <w:bookmarkEnd w:id="784"/>
      <w:r>
        <w:rPr>
          <w:rFonts w:hint="eastAsia" w:hAnsi="宋体" w:cs="宋体"/>
          <w:b w:val="0"/>
          <w:bCs w:val="0"/>
          <w:color w:val="auto"/>
          <w:sz w:val="21"/>
          <w:szCs w:val="21"/>
          <w:highlight w:val="none"/>
        </w:rPr>
        <w:t>银行不可撤销履约保函金额为</w:t>
      </w:r>
      <w:r>
        <w:rPr>
          <w:rFonts w:hint="eastAsia" w:hAnsi="宋体" w:cs="宋体"/>
          <w:b w:val="0"/>
          <w:bCs w:val="0"/>
          <w:color w:val="auto"/>
          <w:sz w:val="21"/>
          <w:szCs w:val="21"/>
          <w:highlight w:val="none"/>
          <w:u w:val="single"/>
          <w:lang w:val="en-US"/>
        </w:rPr>
        <w:t xml:space="preserve">人民币      </w:t>
      </w:r>
      <w:r>
        <w:rPr>
          <w:rFonts w:hint="eastAsia" w:hAnsi="宋体" w:cs="宋体"/>
          <w:b w:val="0"/>
          <w:bCs w:val="0"/>
          <w:color w:val="auto"/>
          <w:sz w:val="21"/>
          <w:szCs w:val="21"/>
          <w:highlight w:val="none"/>
        </w:rPr>
        <w:t>；</w:t>
      </w:r>
    </w:p>
    <w:p w14:paraId="6DAEE83F">
      <w:pPr>
        <w:autoSpaceDE w:val="0"/>
        <w:autoSpaceDN w:val="0"/>
        <w:adjustRightInd w:val="0"/>
        <w:spacing w:line="360"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□履约保证保险凭证金额为人民币</w:t>
      </w:r>
      <w:r>
        <w:rPr>
          <w:rFonts w:hint="eastAsia" w:ascii="宋体" w:hAnsi="宋体" w:eastAsia="宋体" w:cs="宋体"/>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bidi="ar"/>
        </w:rPr>
        <w:t>；</w:t>
      </w:r>
    </w:p>
    <w:p w14:paraId="67471FCD">
      <w:pPr>
        <w:pStyle w:val="20"/>
        <w:tabs>
          <w:tab w:val="left" w:pos="4657"/>
          <w:tab w:val="left" w:pos="4874"/>
        </w:tabs>
        <w:snapToGrid w:val="0"/>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口担保公司履约担保书金额为</w:t>
      </w:r>
      <w:r>
        <w:rPr>
          <w:rFonts w:hint="eastAsia" w:hAnsi="宋体" w:cs="宋体"/>
          <w:b w:val="0"/>
          <w:bCs w:val="0"/>
          <w:color w:val="auto"/>
          <w:sz w:val="21"/>
          <w:szCs w:val="21"/>
          <w:highlight w:val="none"/>
          <w:u w:val="single"/>
          <w:lang w:val="en-US"/>
        </w:rPr>
        <w:t xml:space="preserve">人民币 </w:t>
      </w:r>
      <w:r>
        <w:rPr>
          <w:rFonts w:hint="eastAsia" w:hAnsi="宋体" w:cs="宋体"/>
          <w:b w:val="0"/>
          <w:bCs w:val="0"/>
          <w:color w:val="auto"/>
          <w:sz w:val="21"/>
          <w:szCs w:val="21"/>
          <w:highlight w:val="none"/>
        </w:rPr>
        <w:t>；</w:t>
      </w:r>
    </w:p>
    <w:p w14:paraId="0F0140B5">
      <w:pPr>
        <w:pStyle w:val="20"/>
        <w:tabs>
          <w:tab w:val="left" w:pos="7171"/>
        </w:tabs>
        <w:snapToGrid w:val="0"/>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2、履约担保用</w:t>
      </w:r>
      <w:r>
        <w:rPr>
          <w:rFonts w:hint="eastAsia" w:hAnsi="宋体" w:cs="宋体"/>
          <w:b w:val="0"/>
          <w:bCs w:val="0"/>
          <w:color w:val="auto"/>
          <w:sz w:val="21"/>
          <w:szCs w:val="21"/>
          <w:highlight w:val="none"/>
          <w:lang w:val="en-US"/>
        </w:rPr>
        <w:t>于</w:t>
      </w:r>
      <w:r>
        <w:rPr>
          <w:rFonts w:hint="eastAsia" w:hAnsi="宋体" w:cs="宋体"/>
          <w:b w:val="0"/>
          <w:bCs w:val="0"/>
          <w:color w:val="auto"/>
          <w:sz w:val="21"/>
          <w:szCs w:val="21"/>
          <w:highlight w:val="none"/>
        </w:rPr>
        <w:t>补偿甲方因乙方不能完全履行其合同义务而蒙受的损失或其他合同约定的事项，如发生下列任一</w:t>
      </w:r>
      <w:r>
        <w:rPr>
          <w:rFonts w:hint="eastAsia" w:hAnsi="宋体" w:cs="宋体"/>
          <w:b w:val="0"/>
          <w:bCs w:val="0"/>
          <w:color w:val="auto"/>
          <w:sz w:val="21"/>
          <w:szCs w:val="21"/>
          <w:highlight w:val="none"/>
          <w:lang w:val="en-US"/>
        </w:rPr>
        <w:t>情</w:t>
      </w:r>
      <w:r>
        <w:rPr>
          <w:rFonts w:hint="eastAsia" w:hAnsi="宋体" w:cs="宋体"/>
          <w:b w:val="0"/>
          <w:bCs w:val="0"/>
          <w:color w:val="auto"/>
          <w:sz w:val="21"/>
          <w:szCs w:val="21"/>
          <w:highlight w:val="none"/>
        </w:rPr>
        <w:t>况时，甲方除有权依合同追究乙方给甲方造成的损失责任外，同时有权提取履约担保并进行相应处理：</w:t>
      </w:r>
    </w:p>
    <w:p w14:paraId="09684381">
      <w:pPr>
        <w:pStyle w:val="20"/>
        <w:numPr>
          <w:ilvl w:val="0"/>
          <w:numId w:val="3"/>
        </w:numPr>
        <w:snapToGrid w:val="0"/>
        <w:spacing w:line="360" w:lineRule="auto"/>
        <w:ind w:right="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乙方将合同项下乙方的权利义务全部转让给第三方，或未经</w:t>
      </w:r>
      <w:r>
        <w:rPr>
          <w:rFonts w:hint="eastAsia" w:hAnsi="宋体" w:cs="宋体"/>
          <w:b w:val="0"/>
          <w:bCs w:val="0"/>
          <w:color w:val="auto"/>
          <w:sz w:val="21"/>
          <w:szCs w:val="21"/>
          <w:highlight w:val="none"/>
          <w:lang w:val="en-US"/>
        </w:rPr>
        <w:t>甲方</w:t>
      </w:r>
      <w:r>
        <w:rPr>
          <w:rFonts w:hint="eastAsia" w:hAnsi="宋体" w:cs="宋体"/>
          <w:b w:val="0"/>
          <w:bCs w:val="0"/>
          <w:color w:val="auto"/>
          <w:sz w:val="21"/>
          <w:szCs w:val="21"/>
          <w:highlight w:val="none"/>
        </w:rPr>
        <w:t>书面同意将部分权利义务转让给第三方的，</w:t>
      </w:r>
      <w:r>
        <w:rPr>
          <w:rFonts w:hint="eastAsia" w:hAnsi="宋体" w:cs="宋体"/>
          <w:b w:val="0"/>
          <w:bCs w:val="0"/>
          <w:color w:val="auto"/>
          <w:sz w:val="21"/>
          <w:szCs w:val="21"/>
          <w:highlight w:val="none"/>
          <w:lang w:val="en-US"/>
        </w:rPr>
        <w:t>甲方</w:t>
      </w:r>
      <w:r>
        <w:rPr>
          <w:rFonts w:hint="eastAsia" w:hAnsi="宋体" w:cs="宋体"/>
          <w:b w:val="0"/>
          <w:bCs w:val="0"/>
          <w:color w:val="auto"/>
          <w:sz w:val="21"/>
          <w:szCs w:val="21"/>
          <w:highlight w:val="none"/>
        </w:rPr>
        <w:t>有权没收其履约担保。</w:t>
      </w:r>
    </w:p>
    <w:p w14:paraId="10B778FD">
      <w:pPr>
        <w:pStyle w:val="20"/>
        <w:numPr>
          <w:ilvl w:val="0"/>
          <w:numId w:val="3"/>
        </w:numPr>
        <w:snapToGrid w:val="0"/>
        <w:spacing w:line="360" w:lineRule="auto"/>
        <w:ind w:right="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在合同履行期间，乙方怠</w:t>
      </w:r>
      <w:r>
        <w:rPr>
          <w:rFonts w:hint="eastAsia" w:hAnsi="宋体" w:cs="宋体"/>
          <w:b w:val="0"/>
          <w:bCs w:val="0"/>
          <w:color w:val="auto"/>
          <w:sz w:val="21"/>
          <w:szCs w:val="21"/>
          <w:highlight w:val="none"/>
          <w:lang w:val="en-US"/>
        </w:rPr>
        <w:t>于</w:t>
      </w:r>
      <w:r>
        <w:rPr>
          <w:rFonts w:hint="eastAsia" w:hAnsi="宋体" w:cs="宋体"/>
          <w:b w:val="0"/>
          <w:bCs w:val="0"/>
          <w:color w:val="auto"/>
          <w:sz w:val="21"/>
          <w:szCs w:val="21"/>
          <w:highlight w:val="none"/>
        </w:rPr>
        <w:t>履行合同义务，经甲方通知或要求</w:t>
      </w:r>
      <w:r>
        <w:rPr>
          <w:rFonts w:hint="eastAsia" w:hAnsi="宋体" w:cs="宋体"/>
          <w:b w:val="0"/>
          <w:bCs w:val="0"/>
          <w:color w:val="auto"/>
          <w:sz w:val="21"/>
          <w:szCs w:val="21"/>
          <w:highlight w:val="none"/>
          <w:lang w:val="en-US"/>
        </w:rPr>
        <w:t>限期整改</w:t>
      </w:r>
      <w:r>
        <w:rPr>
          <w:rFonts w:hint="eastAsia" w:hAnsi="宋体" w:cs="宋体"/>
          <w:b w:val="0"/>
          <w:bCs w:val="0"/>
          <w:color w:val="auto"/>
          <w:sz w:val="21"/>
          <w:szCs w:val="21"/>
          <w:highlight w:val="none"/>
        </w:rPr>
        <w:t>后，</w:t>
      </w:r>
      <w:r>
        <w:rPr>
          <w:rFonts w:hint="eastAsia" w:hAnsi="宋体" w:cs="宋体"/>
          <w:b w:val="0"/>
          <w:bCs w:val="0"/>
          <w:color w:val="auto"/>
          <w:sz w:val="21"/>
          <w:szCs w:val="21"/>
          <w:highlight w:val="none"/>
          <w:lang w:val="en-US"/>
        </w:rPr>
        <w:t>乙方</w:t>
      </w:r>
      <w:r>
        <w:rPr>
          <w:rFonts w:hint="eastAsia" w:hAnsi="宋体" w:cs="宋体"/>
          <w:b w:val="0"/>
          <w:bCs w:val="0"/>
          <w:color w:val="auto"/>
          <w:sz w:val="21"/>
          <w:szCs w:val="21"/>
          <w:highlight w:val="none"/>
        </w:rPr>
        <w:t>仍拒不改正的，甲方</w:t>
      </w:r>
      <w:r>
        <w:rPr>
          <w:rFonts w:hint="eastAsia" w:hAnsi="宋体" w:cs="宋体"/>
          <w:b w:val="0"/>
          <w:bCs w:val="0"/>
          <w:color w:val="auto"/>
          <w:sz w:val="21"/>
          <w:szCs w:val="21"/>
          <w:highlight w:val="none"/>
          <w:lang w:val="en-US"/>
        </w:rPr>
        <w:t>有权</w:t>
      </w:r>
      <w:r>
        <w:rPr>
          <w:rFonts w:hint="eastAsia" w:hAnsi="宋体" w:cs="宋体"/>
          <w:b w:val="0"/>
          <w:bCs w:val="0"/>
          <w:color w:val="auto"/>
          <w:sz w:val="21"/>
          <w:szCs w:val="21"/>
          <w:highlight w:val="none"/>
        </w:rPr>
        <w:t>没收其履约担保。</w:t>
      </w:r>
    </w:p>
    <w:p w14:paraId="280A840D">
      <w:pPr>
        <w:pStyle w:val="20"/>
        <w:numPr>
          <w:ilvl w:val="0"/>
          <w:numId w:val="3"/>
        </w:numPr>
        <w:snapToGrid w:val="0"/>
        <w:spacing w:line="360" w:lineRule="auto"/>
        <w:ind w:right="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在合同履行期间，因乙方货物、</w:t>
      </w:r>
      <w:r>
        <w:rPr>
          <w:rFonts w:hint="eastAsia" w:hAnsi="宋体" w:cs="宋体"/>
          <w:b w:val="0"/>
          <w:bCs w:val="0"/>
          <w:color w:val="auto"/>
          <w:sz w:val="21"/>
          <w:szCs w:val="21"/>
          <w:highlight w:val="none"/>
          <w:lang w:val="en-US"/>
        </w:rPr>
        <w:t>运营维护</w:t>
      </w:r>
      <w:r>
        <w:rPr>
          <w:rFonts w:hint="eastAsia" w:hAnsi="宋体" w:cs="宋体"/>
          <w:b w:val="0"/>
          <w:bCs w:val="0"/>
          <w:color w:val="auto"/>
          <w:sz w:val="21"/>
          <w:szCs w:val="21"/>
          <w:highlight w:val="none"/>
        </w:rPr>
        <w:t>服务质量问题造成损害、侵权损失（包括但不限于甲方（含其人员）经济损失、乙方所</w:t>
      </w:r>
      <w:r>
        <w:rPr>
          <w:rFonts w:hint="eastAsia" w:hAnsi="宋体" w:cs="宋体"/>
          <w:b w:val="0"/>
          <w:bCs w:val="0"/>
          <w:color w:val="auto"/>
          <w:sz w:val="21"/>
          <w:szCs w:val="21"/>
          <w:highlight w:val="none"/>
          <w:lang w:val="en-US"/>
        </w:rPr>
        <w:t>雇</w:t>
      </w:r>
      <w:r>
        <w:rPr>
          <w:rFonts w:hint="eastAsia" w:hAnsi="宋体" w:cs="宋体"/>
          <w:b w:val="0"/>
          <w:bCs w:val="0"/>
          <w:color w:val="auto"/>
          <w:sz w:val="21"/>
          <w:szCs w:val="21"/>
          <w:highlight w:val="none"/>
        </w:rPr>
        <w:t>人员及第三人人身财产损失等）、拖欠供应商货款或与其所</w:t>
      </w:r>
      <w:r>
        <w:rPr>
          <w:rFonts w:hint="eastAsia" w:hAnsi="宋体" w:cs="宋体"/>
          <w:b w:val="0"/>
          <w:bCs w:val="0"/>
          <w:color w:val="auto"/>
          <w:sz w:val="21"/>
          <w:szCs w:val="21"/>
          <w:highlight w:val="none"/>
          <w:lang w:val="en-US"/>
        </w:rPr>
        <w:t>雇</w:t>
      </w:r>
      <w:r>
        <w:rPr>
          <w:rFonts w:hint="eastAsia" w:hAnsi="宋体" w:cs="宋体"/>
          <w:b w:val="0"/>
          <w:bCs w:val="0"/>
          <w:color w:val="auto"/>
          <w:sz w:val="21"/>
          <w:szCs w:val="21"/>
          <w:highlight w:val="none"/>
        </w:rPr>
        <w:t>用员工发生劳资纠纷、上访、闹事或其他影响甲方生产经营等情况而其未及时妥善处理的，甲方有权使用履约担保予以支付或作出相应处理，由此产生的一切法律后果由乙方承担。</w:t>
      </w:r>
    </w:p>
    <w:p w14:paraId="31A0E317">
      <w:pPr>
        <w:pStyle w:val="20"/>
        <w:numPr>
          <w:ilvl w:val="0"/>
          <w:numId w:val="3"/>
        </w:numPr>
        <w:snapToGrid w:val="0"/>
        <w:spacing w:line="360" w:lineRule="auto"/>
        <w:ind w:right="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在合同履行期间，乙方违约产生的违约金、赔偿、罚款或其他应付费用等款项，甲方有权</w:t>
      </w:r>
      <w:r>
        <w:rPr>
          <w:rFonts w:hint="eastAsia" w:hAnsi="宋体" w:cs="宋体"/>
          <w:b w:val="0"/>
          <w:bCs w:val="0"/>
          <w:color w:val="auto"/>
          <w:sz w:val="21"/>
          <w:szCs w:val="21"/>
          <w:highlight w:val="none"/>
          <w:lang w:val="en-US"/>
        </w:rPr>
        <w:t>直接</w:t>
      </w:r>
      <w:r>
        <w:rPr>
          <w:rFonts w:hint="eastAsia" w:hAnsi="宋体" w:cs="宋体"/>
          <w:b w:val="0"/>
          <w:bCs w:val="0"/>
          <w:color w:val="auto"/>
          <w:sz w:val="21"/>
          <w:szCs w:val="21"/>
          <w:highlight w:val="none"/>
        </w:rPr>
        <w:t>从未付货物款项中扣除或使用履约担保予以支付。</w:t>
      </w:r>
    </w:p>
    <w:p w14:paraId="7EA91B33">
      <w:pPr>
        <w:pStyle w:val="20"/>
        <w:numPr>
          <w:ilvl w:val="0"/>
          <w:numId w:val="3"/>
        </w:numPr>
        <w:snapToGrid w:val="0"/>
        <w:spacing w:line="360" w:lineRule="auto"/>
        <w:ind w:right="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合同期内，乙方不能及时完成合同某项义务的，甲方有权使用履约担保用于处理该项</w:t>
      </w:r>
      <w:r>
        <w:rPr>
          <w:rFonts w:hint="eastAsia" w:hAnsi="宋体" w:cs="宋体"/>
          <w:b w:val="0"/>
          <w:bCs w:val="0"/>
          <w:color w:val="auto"/>
          <w:sz w:val="21"/>
          <w:szCs w:val="21"/>
          <w:highlight w:val="none"/>
          <w:lang w:val="en-US"/>
        </w:rPr>
        <w:t>目工</w:t>
      </w:r>
      <w:r>
        <w:rPr>
          <w:rFonts w:hint="eastAsia" w:hAnsi="宋体" w:cs="宋体"/>
          <w:b w:val="0"/>
          <w:bCs w:val="0"/>
          <w:color w:val="auto"/>
          <w:sz w:val="21"/>
          <w:szCs w:val="21"/>
          <w:highlight w:val="none"/>
        </w:rPr>
        <w:t>作。</w:t>
      </w:r>
    </w:p>
    <w:p w14:paraId="07BC46D1">
      <w:pPr>
        <w:pStyle w:val="20"/>
        <w:numPr>
          <w:ilvl w:val="0"/>
          <w:numId w:val="3"/>
        </w:numPr>
        <w:snapToGrid w:val="0"/>
        <w:spacing w:line="360" w:lineRule="auto"/>
        <w:ind w:right="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其他根据本合同约定或法律规定，甲方</w:t>
      </w:r>
      <w:r>
        <w:rPr>
          <w:rFonts w:hint="eastAsia" w:hAnsi="宋体" w:cs="宋体"/>
          <w:b w:val="0"/>
          <w:bCs w:val="0"/>
          <w:color w:val="auto"/>
          <w:sz w:val="21"/>
          <w:szCs w:val="21"/>
          <w:highlight w:val="none"/>
          <w:lang w:val="en-US"/>
        </w:rPr>
        <w:t>可</w:t>
      </w:r>
      <w:r>
        <w:rPr>
          <w:rFonts w:hint="eastAsia" w:hAnsi="宋体" w:cs="宋体"/>
          <w:b w:val="0"/>
          <w:bCs w:val="0"/>
          <w:color w:val="auto"/>
          <w:sz w:val="21"/>
          <w:szCs w:val="21"/>
          <w:highlight w:val="none"/>
        </w:rPr>
        <w:t>使用履约担保的情形。</w:t>
      </w:r>
    </w:p>
    <w:p w14:paraId="52AC5E51">
      <w:pPr>
        <w:pStyle w:val="20"/>
        <w:numPr>
          <w:ilvl w:val="255"/>
          <w:numId w:val="0"/>
        </w:numPr>
        <w:snapToGrid w:val="0"/>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3、在</w:t>
      </w:r>
      <w:r>
        <w:rPr>
          <w:rFonts w:hint="eastAsia" w:hAnsi="宋体" w:cs="宋体"/>
          <w:b w:val="0"/>
          <w:bCs w:val="0"/>
          <w:color w:val="auto"/>
          <w:sz w:val="21"/>
          <w:szCs w:val="21"/>
          <w:highlight w:val="none"/>
          <w:lang w:val="en-US"/>
        </w:rPr>
        <w:t>运维期结束，乙方按合同约定完成运维期届满前的全部义务</w:t>
      </w:r>
      <w:r>
        <w:rPr>
          <w:rFonts w:hint="eastAsia" w:hAnsi="宋体" w:cs="宋体"/>
          <w:b w:val="0"/>
          <w:bCs w:val="0"/>
          <w:color w:val="auto"/>
          <w:sz w:val="21"/>
          <w:szCs w:val="21"/>
          <w:highlight w:val="none"/>
        </w:rPr>
        <w:t>后，经甲方确认，乙方可向甲方提交退回履约担保的申请。甲方审核无异议后，办理履约担保退还手续，履约保证金形式提交的履约担保余额，退回时一律以银行转账的形式无息退回到乙方的账户。</w:t>
      </w:r>
    </w:p>
    <w:p w14:paraId="4D340983">
      <w:pPr>
        <w:pStyle w:val="20"/>
        <w:snapToGrid w:val="0"/>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4、如乙方提供不可撤销银行履约保函（或履约保证保险或</w:t>
      </w:r>
      <w:r>
        <w:rPr>
          <w:rFonts w:hint="eastAsia" w:hAnsi="宋体" w:cs="宋体"/>
          <w:b w:val="0"/>
          <w:bCs w:val="0"/>
          <w:color w:val="auto"/>
          <w:sz w:val="21"/>
          <w:szCs w:val="21"/>
          <w:highlight w:val="none"/>
          <w:lang w:val="en-US"/>
        </w:rPr>
        <w:t>担</w:t>
      </w:r>
      <w:r>
        <w:rPr>
          <w:rFonts w:hint="eastAsia" w:hAnsi="宋体" w:cs="宋体"/>
          <w:b w:val="0"/>
          <w:bCs w:val="0"/>
          <w:color w:val="auto"/>
          <w:sz w:val="21"/>
          <w:szCs w:val="21"/>
          <w:highlight w:val="none"/>
        </w:rPr>
        <w:t>保公司履约担保书）作为履约担保的，不可</w:t>
      </w:r>
      <w:r>
        <w:rPr>
          <w:rFonts w:hint="eastAsia" w:hAnsi="宋体" w:cs="宋体"/>
          <w:b w:val="0"/>
          <w:bCs w:val="0"/>
          <w:color w:val="auto"/>
          <w:sz w:val="21"/>
          <w:szCs w:val="21"/>
          <w:highlight w:val="none"/>
          <w:lang w:val="en-US"/>
        </w:rPr>
        <w:t>撤</w:t>
      </w:r>
      <w:r>
        <w:rPr>
          <w:rFonts w:hint="eastAsia" w:hAnsi="宋体" w:cs="宋体"/>
          <w:b w:val="0"/>
          <w:bCs w:val="0"/>
          <w:color w:val="auto"/>
          <w:sz w:val="21"/>
          <w:szCs w:val="21"/>
          <w:highlight w:val="none"/>
        </w:rPr>
        <w:t>销银行履约保函（或履约保证保险或担保公司履约担保书）应从合同签</w:t>
      </w:r>
      <w:bookmarkStart w:id="785" w:name="OLE_LINK444"/>
      <w:r>
        <w:rPr>
          <w:rFonts w:hint="eastAsia" w:hAnsi="宋体" w:cs="宋体"/>
          <w:b w:val="0"/>
          <w:bCs w:val="0"/>
          <w:color w:val="auto"/>
          <w:sz w:val="21"/>
          <w:szCs w:val="21"/>
          <w:highlight w:val="none"/>
        </w:rPr>
        <w:t>订之日起</w:t>
      </w:r>
      <w:bookmarkStart w:id="786" w:name="OLE_LINK445"/>
      <w:r>
        <w:rPr>
          <w:rFonts w:hint="eastAsia" w:hAnsi="宋体" w:cs="宋体"/>
          <w:b w:val="0"/>
          <w:bCs w:val="0"/>
          <w:color w:val="auto"/>
          <w:sz w:val="21"/>
          <w:szCs w:val="21"/>
          <w:highlight w:val="none"/>
        </w:rPr>
        <w:t>至</w:t>
      </w:r>
      <w:bookmarkStart w:id="787" w:name="OLE_LINK443"/>
      <w:r>
        <w:rPr>
          <w:rFonts w:hint="eastAsia" w:hAnsi="宋体" w:cs="宋体"/>
          <w:b w:val="0"/>
          <w:bCs w:val="0"/>
          <w:color w:val="auto"/>
          <w:sz w:val="21"/>
          <w:szCs w:val="21"/>
          <w:highlight w:val="none"/>
          <w:lang w:val="en-US"/>
        </w:rPr>
        <w:t>运维期结束且乙方按合同约定完成运维期</w:t>
      </w:r>
      <w:r>
        <w:rPr>
          <w:rFonts w:hint="eastAsia" w:hAnsi="宋体" w:cs="宋体"/>
          <w:b w:val="0"/>
          <w:bCs w:val="0"/>
          <w:color w:val="auto"/>
          <w:sz w:val="21"/>
          <w:szCs w:val="21"/>
          <w:highlight w:val="none"/>
        </w:rPr>
        <w:t>届满</w:t>
      </w:r>
      <w:r>
        <w:rPr>
          <w:rFonts w:hint="eastAsia" w:hAnsi="宋体" w:cs="宋体"/>
          <w:b w:val="0"/>
          <w:bCs w:val="0"/>
          <w:color w:val="auto"/>
          <w:sz w:val="21"/>
          <w:szCs w:val="21"/>
          <w:highlight w:val="none"/>
          <w:lang w:val="en-US"/>
        </w:rPr>
        <w:t>前的全部义务</w:t>
      </w:r>
      <w:bookmarkEnd w:id="785"/>
      <w:bookmarkEnd w:id="786"/>
      <w:bookmarkEnd w:id="787"/>
      <w:r>
        <w:rPr>
          <w:rFonts w:hint="eastAsia" w:hAnsi="宋体" w:cs="宋体"/>
          <w:b w:val="0"/>
          <w:bCs w:val="0"/>
          <w:color w:val="auto"/>
          <w:sz w:val="21"/>
          <w:szCs w:val="21"/>
          <w:highlight w:val="none"/>
        </w:rPr>
        <w:t>后28日内保待有效。如不可撤销银行履约保函（或履约保证保险或担保公司履约担保书）在规定有效期届满时而乙方未完成</w:t>
      </w:r>
      <w:r>
        <w:rPr>
          <w:rFonts w:hint="eastAsia" w:hAnsi="宋体" w:cs="宋体"/>
          <w:b w:val="0"/>
          <w:bCs w:val="0"/>
          <w:color w:val="auto"/>
          <w:sz w:val="21"/>
          <w:szCs w:val="21"/>
          <w:highlight w:val="none"/>
          <w:lang w:val="en-US"/>
        </w:rPr>
        <w:t>运维期</w:t>
      </w:r>
      <w:r>
        <w:rPr>
          <w:rFonts w:hint="eastAsia" w:hAnsi="宋体" w:cs="宋体"/>
          <w:b w:val="0"/>
          <w:bCs w:val="0"/>
          <w:color w:val="auto"/>
          <w:sz w:val="21"/>
          <w:szCs w:val="21"/>
          <w:highlight w:val="none"/>
        </w:rPr>
        <w:t>届满</w:t>
      </w:r>
      <w:r>
        <w:rPr>
          <w:rFonts w:hint="eastAsia" w:hAnsi="宋体" w:cs="宋体"/>
          <w:b w:val="0"/>
          <w:bCs w:val="0"/>
          <w:color w:val="auto"/>
          <w:sz w:val="21"/>
          <w:szCs w:val="21"/>
          <w:highlight w:val="none"/>
          <w:lang w:val="en-US"/>
        </w:rPr>
        <w:t>前的全部义务</w:t>
      </w:r>
      <w:r>
        <w:rPr>
          <w:rFonts w:hint="eastAsia" w:hAnsi="宋体" w:cs="宋体"/>
          <w:b w:val="0"/>
          <w:bCs w:val="0"/>
          <w:color w:val="auto"/>
          <w:sz w:val="21"/>
          <w:szCs w:val="21"/>
          <w:highlight w:val="none"/>
        </w:rPr>
        <w:t>的，乙方必须在不可撤销银行履约保函（或履约保证保险或担保公司履约担保书）到期15日前无条件办理办妥符合甲方要求的延期手续或重新提供不可撤销银行履约保</w:t>
      </w:r>
      <w:r>
        <w:rPr>
          <w:rFonts w:hint="eastAsia" w:hAnsi="宋体" w:cs="宋体"/>
          <w:b w:val="0"/>
          <w:bCs w:val="0"/>
          <w:color w:val="auto"/>
          <w:sz w:val="21"/>
          <w:szCs w:val="21"/>
          <w:highlight w:val="none"/>
          <w:lang w:val="en-US"/>
        </w:rPr>
        <w:t>函</w:t>
      </w:r>
      <w:r>
        <w:rPr>
          <w:rFonts w:hint="eastAsia" w:hAnsi="宋体" w:cs="宋体"/>
          <w:b w:val="0"/>
          <w:bCs w:val="0"/>
          <w:color w:val="auto"/>
          <w:sz w:val="21"/>
          <w:szCs w:val="21"/>
          <w:highlight w:val="none"/>
        </w:rPr>
        <w:t>（或履约保证保险或担保公司履约担保书）；否则视为乙方违约，甲方有权在不可撤销银行</w:t>
      </w:r>
      <w:r>
        <w:rPr>
          <w:rFonts w:hint="eastAsia" w:hAnsi="宋体" w:cs="宋体"/>
          <w:b w:val="0"/>
          <w:bCs w:val="0"/>
          <w:color w:val="auto"/>
          <w:sz w:val="21"/>
          <w:szCs w:val="21"/>
          <w:highlight w:val="none"/>
          <w:lang w:val="en-US"/>
        </w:rPr>
        <w:t>履</w:t>
      </w:r>
      <w:r>
        <w:rPr>
          <w:rFonts w:hint="eastAsia" w:hAnsi="宋体" w:cs="宋体"/>
          <w:b w:val="0"/>
          <w:bCs w:val="0"/>
          <w:color w:val="auto"/>
          <w:sz w:val="21"/>
          <w:szCs w:val="21"/>
          <w:highlight w:val="none"/>
        </w:rPr>
        <w:t>约保函（或履约保证保险或担保公司履约担保书）到期前向出具</w:t>
      </w:r>
      <w:r>
        <w:rPr>
          <w:rFonts w:hint="eastAsia" w:hAnsi="宋体" w:cs="宋体"/>
          <w:b w:val="0"/>
          <w:bCs w:val="0"/>
          <w:color w:val="auto"/>
          <w:sz w:val="21"/>
          <w:szCs w:val="21"/>
          <w:highlight w:val="none"/>
          <w:lang w:val="en-US"/>
        </w:rPr>
        <w:t>履</w:t>
      </w:r>
      <w:r>
        <w:rPr>
          <w:rFonts w:hint="eastAsia" w:hAnsi="宋体" w:cs="宋体"/>
          <w:b w:val="0"/>
          <w:bCs w:val="0"/>
          <w:color w:val="auto"/>
          <w:sz w:val="21"/>
          <w:szCs w:val="21"/>
          <w:highlight w:val="none"/>
        </w:rPr>
        <w:t>约担保的机构提取履约担保。在不可撤销银行履约保函（或履约保证保险或担保公司履约担保书）到期后乙方未按甲方要求重新提供的，甲方有权要求乙方</w:t>
      </w:r>
      <w:r>
        <w:rPr>
          <w:rFonts w:hint="eastAsia" w:hAnsi="宋体" w:cs="宋体"/>
          <w:b w:val="0"/>
          <w:bCs w:val="0"/>
          <w:color w:val="auto"/>
          <w:sz w:val="21"/>
          <w:szCs w:val="21"/>
          <w:highlight w:val="none"/>
          <w:lang w:val="en-US"/>
        </w:rPr>
        <w:t>支付30万元</w:t>
      </w:r>
      <w:r>
        <w:rPr>
          <w:rFonts w:hint="eastAsia" w:hAnsi="宋体" w:cs="宋体"/>
          <w:b w:val="0"/>
          <w:bCs w:val="0"/>
          <w:color w:val="auto"/>
          <w:sz w:val="21"/>
          <w:szCs w:val="21"/>
          <w:highlight w:val="none"/>
        </w:rPr>
        <w:t>违约金，违约金甲方可直接从未付款项中扣除。</w:t>
      </w:r>
    </w:p>
    <w:p w14:paraId="76C5CFC1">
      <w:pPr>
        <w:pStyle w:val="20"/>
        <w:snapToGrid w:val="0"/>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5、在合同</w:t>
      </w:r>
      <w:r>
        <w:rPr>
          <w:rFonts w:hint="eastAsia" w:hAnsi="宋体" w:cs="宋体"/>
          <w:b w:val="0"/>
          <w:bCs w:val="0"/>
          <w:color w:val="auto"/>
          <w:sz w:val="21"/>
          <w:szCs w:val="21"/>
          <w:highlight w:val="none"/>
          <w:lang w:val="en-US"/>
        </w:rPr>
        <w:t>履</w:t>
      </w:r>
      <w:r>
        <w:rPr>
          <w:rFonts w:hint="eastAsia" w:hAnsi="宋体" w:cs="宋体"/>
          <w:b w:val="0"/>
          <w:bCs w:val="0"/>
          <w:color w:val="auto"/>
          <w:sz w:val="21"/>
          <w:szCs w:val="21"/>
          <w:highlight w:val="none"/>
        </w:rPr>
        <w:t>行过程中，不论何种原因导致履约担保数额不符合招标文件要求的，乙</w:t>
      </w:r>
      <w:r>
        <w:rPr>
          <w:rFonts w:hint="eastAsia" w:hAnsi="宋体" w:cs="宋体"/>
          <w:b w:val="0"/>
          <w:bCs w:val="0"/>
          <w:color w:val="auto"/>
          <w:sz w:val="21"/>
          <w:szCs w:val="21"/>
          <w:highlight w:val="none"/>
          <w:lang w:val="en-US"/>
        </w:rPr>
        <w:t>方</w:t>
      </w:r>
      <w:r>
        <w:rPr>
          <w:rFonts w:hint="eastAsia" w:hAnsi="宋体" w:cs="宋体"/>
          <w:b w:val="0"/>
          <w:bCs w:val="0"/>
          <w:color w:val="auto"/>
          <w:sz w:val="21"/>
          <w:szCs w:val="21"/>
          <w:highlight w:val="none"/>
        </w:rPr>
        <w:t>应当在</w:t>
      </w:r>
      <w:r>
        <w:rPr>
          <w:rFonts w:hint="eastAsia" w:hAnsi="宋体" w:cs="宋体"/>
          <w:b w:val="0"/>
          <w:bCs w:val="0"/>
          <w:color w:val="auto"/>
          <w:sz w:val="21"/>
          <w:szCs w:val="21"/>
          <w:highlight w:val="none"/>
          <w:lang w:val="en-US"/>
        </w:rPr>
        <w:t>1</w:t>
      </w:r>
      <w:r>
        <w:rPr>
          <w:rFonts w:hint="eastAsia" w:hAnsi="宋体" w:cs="宋体"/>
          <w:b w:val="0"/>
          <w:bCs w:val="0"/>
          <w:color w:val="auto"/>
          <w:sz w:val="21"/>
          <w:szCs w:val="21"/>
          <w:highlight w:val="none"/>
        </w:rPr>
        <w:t>5日内予以补足。逾期不予补足的，甲</w:t>
      </w:r>
      <w:r>
        <w:rPr>
          <w:rFonts w:hint="eastAsia" w:hAnsi="宋体" w:cs="宋体"/>
          <w:b w:val="0"/>
          <w:bCs w:val="0"/>
          <w:color w:val="auto"/>
          <w:sz w:val="21"/>
          <w:szCs w:val="21"/>
          <w:highlight w:val="none"/>
          <w:lang w:val="en-US"/>
        </w:rPr>
        <w:t>方</w:t>
      </w:r>
      <w:r>
        <w:rPr>
          <w:rFonts w:hint="eastAsia" w:hAnsi="宋体" w:cs="宋体"/>
          <w:b w:val="0"/>
          <w:bCs w:val="0"/>
          <w:color w:val="auto"/>
          <w:sz w:val="21"/>
          <w:szCs w:val="21"/>
          <w:highlight w:val="none"/>
        </w:rPr>
        <w:t>有权按需补足的金额要求乙方承担违约金，并要求限期补足。如乙方仍不补足的，甲方有权要求乙方</w:t>
      </w:r>
      <w:r>
        <w:rPr>
          <w:rFonts w:hint="eastAsia" w:hAnsi="宋体" w:cs="宋体"/>
          <w:b w:val="0"/>
          <w:bCs w:val="0"/>
          <w:color w:val="auto"/>
          <w:sz w:val="21"/>
          <w:szCs w:val="21"/>
          <w:highlight w:val="none"/>
          <w:lang w:val="en-US"/>
        </w:rPr>
        <w:t>支付30万元</w:t>
      </w:r>
      <w:r>
        <w:rPr>
          <w:rFonts w:hint="eastAsia" w:hAnsi="宋体" w:cs="宋体"/>
          <w:b w:val="0"/>
          <w:bCs w:val="0"/>
          <w:color w:val="auto"/>
          <w:sz w:val="21"/>
          <w:szCs w:val="21"/>
          <w:highlight w:val="none"/>
        </w:rPr>
        <w:t>违约金，</w:t>
      </w:r>
      <w:r>
        <w:rPr>
          <w:rFonts w:hint="eastAsia" w:hAnsi="宋体" w:cs="宋体"/>
          <w:b w:val="0"/>
          <w:bCs w:val="0"/>
          <w:color w:val="auto"/>
          <w:sz w:val="21"/>
          <w:szCs w:val="21"/>
          <w:highlight w:val="none"/>
          <w:lang w:val="en-US"/>
        </w:rPr>
        <w:t>并有权</w:t>
      </w:r>
      <w:r>
        <w:rPr>
          <w:rFonts w:hint="eastAsia" w:hAnsi="宋体" w:cs="宋体"/>
          <w:b w:val="0"/>
          <w:bCs w:val="0"/>
          <w:color w:val="auto"/>
          <w:sz w:val="21"/>
          <w:szCs w:val="21"/>
          <w:highlight w:val="none"/>
        </w:rPr>
        <w:t>单方解除合同。</w:t>
      </w:r>
    </w:p>
    <w:p w14:paraId="01D9AAF3">
      <w:pPr>
        <w:adjustRightIn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第十七条 </w:t>
      </w:r>
      <w:bookmarkStart w:id="788" w:name="OLE_LINK99"/>
      <w:r>
        <w:rPr>
          <w:rFonts w:hint="eastAsia" w:ascii="宋体" w:hAnsi="宋体" w:eastAsia="宋体" w:cs="宋体"/>
          <w:b/>
          <w:color w:val="auto"/>
          <w:szCs w:val="21"/>
          <w:highlight w:val="none"/>
        </w:rPr>
        <w:t>技术资料</w:t>
      </w:r>
      <w:bookmarkEnd w:id="788"/>
    </w:p>
    <w:p w14:paraId="5A6FC490">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1、乙方应按《用户需求书》的要求向甲方提供完整的项目技术资料。具体技术资料要求按照招标文件用户需求书和本合同的规定执行。</w:t>
      </w:r>
    </w:p>
    <w:p w14:paraId="5B5325C4">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2、乙方在设备交货的同时应提供最终设备的全套（简体中文，如是外文应附中文译本）资料（含纸质和电子文件）给甲方，包括但不限于：</w:t>
      </w:r>
    </w:p>
    <w:p w14:paraId="55848429">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（1）完整的装箱单、产品出厂检验合格证书（含主要元器件的出厂合格证）、出厂试验报告、检验报告（或测试性能、测试报告）；</w:t>
      </w:r>
    </w:p>
    <w:p w14:paraId="055930D9">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（2）产品说明书；</w:t>
      </w:r>
    </w:p>
    <w:p w14:paraId="4E52D548">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（3）质量保证书、保修保证书；</w:t>
      </w:r>
    </w:p>
    <w:p w14:paraId="08B5ED72">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（4）各单体设备技术规格及说明；</w:t>
      </w:r>
    </w:p>
    <w:p w14:paraId="2DF970D4">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（5）安装调试、维修、保养手册等招标文件用户需求书规定数量和类型的技术资料；</w:t>
      </w:r>
    </w:p>
    <w:p w14:paraId="075F4FC2">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（6）与货物使用、维护或检验等所需的相关其他文件；</w:t>
      </w:r>
    </w:p>
    <w:p w14:paraId="0050618A">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（7）符合国家规定的验收标准、厂方标准及验收手册；</w:t>
      </w:r>
    </w:p>
    <w:p w14:paraId="3BA3F58D">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（8）甲方要求提供的其他检验检测报告等。</w:t>
      </w:r>
    </w:p>
    <w:p w14:paraId="3E6D4702">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rPr>
        <w:t>3、乙方</w:t>
      </w:r>
      <w:r>
        <w:rPr>
          <w:rFonts w:hint="eastAsia" w:ascii="宋体" w:hAnsi="宋体" w:eastAsia="宋体" w:cs="宋体"/>
          <w:color w:val="auto"/>
          <w:szCs w:val="21"/>
          <w:highlight w:val="none"/>
        </w:rPr>
        <w:t>必须保证在设备使用寿命内，甲方无偿获得PLC通讯、</w:t>
      </w:r>
      <w:bookmarkStart w:id="789" w:name="OLE_LINK298"/>
      <w:r>
        <w:rPr>
          <w:rFonts w:hint="eastAsia" w:ascii="宋体" w:hAnsi="宋体" w:eastAsia="宋体" w:cs="宋体"/>
          <w:color w:val="auto"/>
          <w:szCs w:val="21"/>
          <w:highlight w:val="none"/>
        </w:rPr>
        <w:t>现场实时监测数据、APP监控等</w:t>
      </w:r>
      <w:bookmarkEnd w:id="789"/>
      <w:r>
        <w:rPr>
          <w:rFonts w:hint="eastAsia" w:ascii="宋体" w:hAnsi="宋体" w:eastAsia="宋体" w:cs="宋体"/>
          <w:color w:val="auto"/>
          <w:szCs w:val="21"/>
          <w:highlight w:val="none"/>
        </w:rPr>
        <w:t>软件的知识产权，相关程序均不得设置密码（或免费向甲方提供密码）、随机附带的软件程序等不得设置妨碍设备正常工作的后门程序。涉及设备正常使用、维护的一切软件在设备验收时也应一并交付甲方。</w:t>
      </w:r>
    </w:p>
    <w:p w14:paraId="4ABC644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4、乙方在完成最终验收合格后1个月内，</w:t>
      </w:r>
      <w:bookmarkStart w:id="790" w:name="OLE_LINK299"/>
      <w:r>
        <w:rPr>
          <w:rFonts w:hint="eastAsia" w:ascii="宋体" w:hAnsi="宋体" w:eastAsia="宋体" w:cs="宋体"/>
          <w:color w:val="auto"/>
          <w:szCs w:val="21"/>
          <w:highlight w:val="none"/>
        </w:rPr>
        <w:t>向甲方移交</w:t>
      </w:r>
      <w:bookmarkStart w:id="791" w:name="OLE_LINK297"/>
      <w:r>
        <w:rPr>
          <w:rFonts w:hint="eastAsia" w:ascii="宋体" w:hAnsi="宋体" w:eastAsia="宋体" w:cs="宋体"/>
          <w:color w:val="auto"/>
          <w:szCs w:val="21"/>
          <w:highlight w:val="none"/>
        </w:rPr>
        <w:t>四套</w:t>
      </w:r>
      <w:bookmarkEnd w:id="791"/>
      <w:r>
        <w:rPr>
          <w:rFonts w:hint="eastAsia" w:ascii="宋体" w:hAnsi="宋体" w:eastAsia="宋体" w:cs="宋体"/>
          <w:color w:val="auto"/>
          <w:szCs w:val="21"/>
          <w:highlight w:val="none"/>
        </w:rPr>
        <w:t>符合</w:t>
      </w:r>
      <w:r>
        <w:rPr>
          <w:rFonts w:hint="eastAsia" w:ascii="宋体" w:hAnsi="宋体" w:eastAsia="宋体" w:cs="宋体"/>
          <w:color w:val="auto"/>
          <w:kern w:val="0"/>
          <w:szCs w:val="21"/>
          <w:highlight w:val="none"/>
        </w:rPr>
        <w:t>国家、省或行业现行的质量验收标准及规范</w:t>
      </w:r>
      <w:r>
        <w:rPr>
          <w:rFonts w:hint="eastAsia" w:ascii="宋体" w:hAnsi="宋体" w:eastAsia="宋体" w:cs="宋体"/>
          <w:color w:val="auto"/>
          <w:szCs w:val="21"/>
          <w:highlight w:val="none"/>
        </w:rPr>
        <w:t xml:space="preserve">的完工资料和一套电子档扫描件（以光盘或U盘作为存储介质交付）。 </w:t>
      </w:r>
      <w:bookmarkEnd w:id="790"/>
    </w:p>
    <w:p w14:paraId="79E4348B">
      <w:pPr>
        <w:adjustRightIn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第十八条 廉洁条款</w:t>
      </w:r>
    </w:p>
    <w:p w14:paraId="431076A8">
      <w:pPr>
        <w:adjustRightInd w:val="0"/>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bCs/>
          <w:color w:val="auto"/>
          <w:szCs w:val="21"/>
          <w:highlight w:val="none"/>
        </w:rPr>
        <w:t>乙方确认及知悉防止利益冲突及防范腐败之要义，并已自主核查甲、乙双方是否存在利益冲突关系人员，现承诺：截至本合同签订之日，乙方实际控制人、股东、高管及其他特定关系人与甲方决策/管理人员（含高管、项目负责人、采购经办人或其他特定关系人等）不存在《中华人民共和国民法典》第一千零四十五条规定的近亲属关系（包括配偶、父母、子女、兄弟姐妹、祖父母、外祖父母、孙子女、外孙子女）。若存在上述关系，乙方同意主动书面申报并按甲方要求采取利益隔离措施（包括但不限于终止合同）。乙方违反上述承诺或履行过程中出现上述利益关系的，乙方同意甲方有权择一或同时作出：（1）立即终止合同；（2）退回已支付款项并按同期LPR利率加计资金占用利息；（3）按暂定不含税总价的3%向甲方支付违约金。</w:t>
      </w:r>
    </w:p>
    <w:p w14:paraId="7FA044FE">
      <w:pPr>
        <w:adjustRightIn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第十九条 </w:t>
      </w:r>
      <w:bookmarkStart w:id="792" w:name="OLE_LINK101"/>
      <w:r>
        <w:rPr>
          <w:rFonts w:hint="eastAsia" w:ascii="宋体" w:hAnsi="宋体" w:eastAsia="宋体" w:cs="宋体"/>
          <w:b/>
          <w:color w:val="auto"/>
          <w:szCs w:val="21"/>
          <w:highlight w:val="none"/>
        </w:rPr>
        <w:t>不可抗力</w:t>
      </w:r>
      <w:bookmarkEnd w:id="792"/>
    </w:p>
    <w:p w14:paraId="40DBB6B1">
      <w:pPr>
        <w:adjustRightInd w:val="0"/>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5FFC20F0">
      <w:pPr>
        <w:adjustRightIn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第二十条 </w:t>
      </w:r>
      <w:bookmarkStart w:id="793" w:name="OLE_LINK102"/>
      <w:r>
        <w:rPr>
          <w:rFonts w:hint="eastAsia" w:ascii="宋体" w:hAnsi="宋体" w:eastAsia="宋体" w:cs="宋体"/>
          <w:b/>
          <w:color w:val="auto"/>
          <w:szCs w:val="21"/>
          <w:highlight w:val="none"/>
        </w:rPr>
        <w:t>索赔</w:t>
      </w:r>
      <w:bookmarkEnd w:id="793"/>
    </w:p>
    <w:p w14:paraId="28A2C1D4">
      <w:pPr>
        <w:pStyle w:val="20"/>
        <w:snapToGrid w:val="0"/>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l、在货物验收、使用过程中，甲方如对货物（包括但不限于其规格、数</w:t>
      </w:r>
      <w:r>
        <w:rPr>
          <w:rFonts w:hint="eastAsia" w:hAnsi="宋体" w:cs="宋体"/>
          <w:b w:val="0"/>
          <w:bCs w:val="0"/>
          <w:color w:val="auto"/>
          <w:sz w:val="21"/>
          <w:szCs w:val="21"/>
          <w:highlight w:val="none"/>
          <w:lang w:val="en-US"/>
        </w:rPr>
        <w:t>量</w:t>
      </w:r>
      <w:r>
        <w:rPr>
          <w:rFonts w:hint="eastAsia" w:hAnsi="宋体" w:cs="宋体"/>
          <w:b w:val="0"/>
          <w:bCs w:val="0"/>
          <w:color w:val="auto"/>
          <w:sz w:val="21"/>
          <w:szCs w:val="21"/>
          <w:highlight w:val="none"/>
        </w:rPr>
        <w:t>、质</w:t>
      </w:r>
      <w:r>
        <w:rPr>
          <w:rFonts w:hint="eastAsia" w:hAnsi="宋体" w:cs="宋体"/>
          <w:b w:val="0"/>
          <w:bCs w:val="0"/>
          <w:color w:val="auto"/>
          <w:sz w:val="21"/>
          <w:szCs w:val="21"/>
          <w:highlight w:val="none"/>
          <w:lang w:val="en-US"/>
        </w:rPr>
        <w:t>量</w:t>
      </w:r>
      <w:r>
        <w:rPr>
          <w:rFonts w:hint="eastAsia" w:hAnsi="宋体" w:cs="宋体"/>
          <w:b w:val="0"/>
          <w:bCs w:val="0"/>
          <w:color w:val="auto"/>
          <w:sz w:val="21"/>
          <w:szCs w:val="21"/>
          <w:highlight w:val="none"/>
        </w:rPr>
        <w:t>等）有异议的，有权向乙</w:t>
      </w:r>
      <w:r>
        <w:rPr>
          <w:rFonts w:hint="eastAsia" w:hAnsi="宋体" w:cs="宋体"/>
          <w:b w:val="0"/>
          <w:bCs w:val="0"/>
          <w:color w:val="auto"/>
          <w:sz w:val="21"/>
          <w:szCs w:val="21"/>
          <w:highlight w:val="none"/>
          <w:lang w:val="en-US"/>
        </w:rPr>
        <w:t>方</w:t>
      </w:r>
      <w:r>
        <w:rPr>
          <w:rFonts w:hint="eastAsia" w:hAnsi="宋体" w:cs="宋体"/>
          <w:b w:val="0"/>
          <w:bCs w:val="0"/>
          <w:color w:val="auto"/>
          <w:sz w:val="21"/>
          <w:szCs w:val="21"/>
          <w:highlight w:val="none"/>
        </w:rPr>
        <w:t>提出索赔，乙方应在</w:t>
      </w:r>
      <w:r>
        <w:rPr>
          <w:rFonts w:hint="eastAsia" w:hAnsi="宋体" w:cs="宋体"/>
          <w:b w:val="0"/>
          <w:bCs w:val="0"/>
          <w:color w:val="auto"/>
          <w:sz w:val="21"/>
          <w:szCs w:val="21"/>
          <w:highlight w:val="none"/>
          <w:lang w:val="en-US"/>
        </w:rPr>
        <w:t>甲</w:t>
      </w:r>
      <w:r>
        <w:rPr>
          <w:rFonts w:hint="eastAsia" w:hAnsi="宋体" w:cs="宋体"/>
          <w:b w:val="0"/>
          <w:bCs w:val="0"/>
          <w:color w:val="auto"/>
          <w:sz w:val="21"/>
          <w:szCs w:val="21"/>
          <w:highlight w:val="none"/>
        </w:rPr>
        <w:t>方发出索赔通知后7日内作出</w:t>
      </w:r>
      <w:r>
        <w:rPr>
          <w:rFonts w:hint="eastAsia" w:hAnsi="宋体" w:cs="宋体"/>
          <w:b w:val="0"/>
          <w:bCs w:val="0"/>
          <w:color w:val="auto"/>
          <w:sz w:val="21"/>
          <w:szCs w:val="21"/>
          <w:highlight w:val="none"/>
          <w:lang w:val="en-US"/>
        </w:rPr>
        <w:t>书面</w:t>
      </w:r>
      <w:r>
        <w:rPr>
          <w:rFonts w:hint="eastAsia" w:hAnsi="宋体" w:cs="宋体"/>
          <w:b w:val="0"/>
          <w:bCs w:val="0"/>
          <w:color w:val="auto"/>
          <w:sz w:val="21"/>
          <w:szCs w:val="21"/>
          <w:highlight w:val="none"/>
        </w:rPr>
        <w:t>答复，并与甲方现场确认货物的质</w:t>
      </w:r>
      <w:r>
        <w:rPr>
          <w:rFonts w:hint="eastAsia" w:hAnsi="宋体" w:cs="宋体"/>
          <w:b w:val="0"/>
          <w:bCs w:val="0"/>
          <w:color w:val="auto"/>
          <w:sz w:val="21"/>
          <w:szCs w:val="21"/>
          <w:highlight w:val="none"/>
          <w:lang w:val="en-US"/>
        </w:rPr>
        <w:t>量</w:t>
      </w:r>
      <w:r>
        <w:rPr>
          <w:rFonts w:hint="eastAsia" w:hAnsi="宋体" w:cs="宋体"/>
          <w:b w:val="0"/>
          <w:bCs w:val="0"/>
          <w:color w:val="auto"/>
          <w:sz w:val="21"/>
          <w:szCs w:val="21"/>
          <w:highlight w:val="none"/>
        </w:rPr>
        <w:t>问题后进行理赔；乙方根据合同约定应承担更换或</w:t>
      </w:r>
      <w:r>
        <w:rPr>
          <w:rFonts w:hint="eastAsia" w:hAnsi="宋体" w:cs="宋体"/>
          <w:b w:val="0"/>
          <w:bCs w:val="0"/>
          <w:color w:val="auto"/>
          <w:sz w:val="21"/>
          <w:szCs w:val="21"/>
          <w:highlight w:val="none"/>
          <w:lang w:val="en-US"/>
        </w:rPr>
        <w:t>重做</w:t>
      </w:r>
      <w:r>
        <w:rPr>
          <w:rFonts w:hint="eastAsia" w:hAnsi="宋体" w:cs="宋体"/>
          <w:b w:val="0"/>
          <w:bCs w:val="0"/>
          <w:color w:val="auto"/>
          <w:sz w:val="21"/>
          <w:szCs w:val="21"/>
          <w:highlight w:val="none"/>
        </w:rPr>
        <w:t>责任的，乙方应立即根据本合同的约定承担免费更换或</w:t>
      </w:r>
      <w:r>
        <w:rPr>
          <w:rFonts w:hint="eastAsia" w:hAnsi="宋体" w:cs="宋体"/>
          <w:b w:val="0"/>
          <w:bCs w:val="0"/>
          <w:color w:val="auto"/>
          <w:sz w:val="21"/>
          <w:szCs w:val="21"/>
          <w:highlight w:val="none"/>
          <w:lang w:val="en-US"/>
        </w:rPr>
        <w:t>重做</w:t>
      </w:r>
      <w:r>
        <w:rPr>
          <w:rFonts w:hint="eastAsia" w:hAnsi="宋体" w:cs="宋体"/>
          <w:b w:val="0"/>
          <w:bCs w:val="0"/>
          <w:color w:val="auto"/>
          <w:sz w:val="21"/>
          <w:szCs w:val="21"/>
          <w:highlight w:val="none"/>
        </w:rPr>
        <w:t>责任。逾期更换或</w:t>
      </w:r>
      <w:r>
        <w:rPr>
          <w:rFonts w:hint="eastAsia" w:hAnsi="宋体" w:cs="宋体"/>
          <w:b w:val="0"/>
          <w:bCs w:val="0"/>
          <w:color w:val="auto"/>
          <w:sz w:val="21"/>
          <w:szCs w:val="21"/>
          <w:highlight w:val="none"/>
          <w:lang w:val="en-US"/>
        </w:rPr>
        <w:t>重做</w:t>
      </w:r>
      <w:r>
        <w:rPr>
          <w:rFonts w:hint="eastAsia" w:hAnsi="宋体" w:cs="宋体"/>
          <w:b w:val="0"/>
          <w:bCs w:val="0"/>
          <w:color w:val="auto"/>
          <w:sz w:val="21"/>
          <w:szCs w:val="21"/>
          <w:highlight w:val="none"/>
        </w:rPr>
        <w:t>，乙方需按</w:t>
      </w:r>
      <w:bookmarkStart w:id="794" w:name="OLE_LINK492"/>
      <w:r>
        <w:rPr>
          <w:rFonts w:hint="eastAsia" w:hAnsi="宋体" w:cs="宋体"/>
          <w:b w:val="0"/>
          <w:bCs w:val="0"/>
          <w:color w:val="auto"/>
          <w:sz w:val="21"/>
          <w:szCs w:val="21"/>
          <w:highlight w:val="none"/>
          <w:lang w:val="en-US"/>
        </w:rPr>
        <w:t>合同约定</w:t>
      </w:r>
      <w:bookmarkEnd w:id="794"/>
      <w:r>
        <w:rPr>
          <w:rFonts w:hint="eastAsia" w:hAnsi="宋体" w:cs="宋体"/>
          <w:b w:val="0"/>
          <w:bCs w:val="0"/>
          <w:color w:val="auto"/>
          <w:sz w:val="21"/>
          <w:szCs w:val="21"/>
          <w:highlight w:val="none"/>
        </w:rPr>
        <w:t>承担违约责任。</w:t>
      </w:r>
    </w:p>
    <w:p w14:paraId="6B679E36">
      <w:pPr>
        <w:pStyle w:val="20"/>
        <w:snapToGrid w:val="0"/>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2、如双方对货物的质量问题存在争议的，双方同意在</w:t>
      </w:r>
      <w:r>
        <w:rPr>
          <w:rFonts w:hint="eastAsia" w:hAnsi="宋体" w:cs="宋体"/>
          <w:b w:val="0"/>
          <w:bCs w:val="0"/>
          <w:color w:val="auto"/>
          <w:sz w:val="21"/>
          <w:szCs w:val="21"/>
          <w:highlight w:val="none"/>
          <w:lang w:val="en-US"/>
        </w:rPr>
        <w:t>质量</w:t>
      </w:r>
      <w:r>
        <w:rPr>
          <w:rFonts w:hint="eastAsia" w:hAnsi="宋体" w:cs="宋体"/>
          <w:b w:val="0"/>
          <w:bCs w:val="0"/>
          <w:color w:val="auto"/>
          <w:sz w:val="21"/>
          <w:szCs w:val="21"/>
          <w:highlight w:val="none"/>
        </w:rPr>
        <w:t>问题发生后7日内提交货物交付地的第三方检验机构进行质</w:t>
      </w:r>
      <w:r>
        <w:rPr>
          <w:rFonts w:hint="eastAsia" w:hAnsi="宋体" w:cs="宋体"/>
          <w:b w:val="0"/>
          <w:bCs w:val="0"/>
          <w:color w:val="auto"/>
          <w:sz w:val="21"/>
          <w:szCs w:val="21"/>
          <w:highlight w:val="none"/>
          <w:lang w:val="en-US"/>
        </w:rPr>
        <w:t>量</w:t>
      </w:r>
      <w:r>
        <w:rPr>
          <w:rFonts w:hint="eastAsia" w:hAnsi="宋体" w:cs="宋体"/>
          <w:b w:val="0"/>
          <w:bCs w:val="0"/>
          <w:color w:val="auto"/>
          <w:sz w:val="21"/>
          <w:szCs w:val="21"/>
          <w:highlight w:val="none"/>
        </w:rPr>
        <w:t>鉴定后确认，鉴定费</w:t>
      </w:r>
      <w:r>
        <w:rPr>
          <w:rFonts w:hint="eastAsia" w:hAnsi="宋体" w:cs="宋体"/>
          <w:b w:val="0"/>
          <w:bCs w:val="0"/>
          <w:color w:val="auto"/>
          <w:sz w:val="21"/>
          <w:szCs w:val="21"/>
          <w:highlight w:val="none"/>
          <w:lang w:val="en-US"/>
        </w:rPr>
        <w:t>由</w:t>
      </w:r>
      <w:r>
        <w:rPr>
          <w:rFonts w:hint="eastAsia" w:hAnsi="宋体" w:cs="宋体"/>
          <w:b w:val="0"/>
          <w:bCs w:val="0"/>
          <w:color w:val="auto"/>
          <w:sz w:val="21"/>
          <w:szCs w:val="21"/>
          <w:highlight w:val="none"/>
        </w:rPr>
        <w:t>乙方先行垫付，鉴定结果确定后，质</w:t>
      </w:r>
      <w:r>
        <w:rPr>
          <w:rFonts w:hint="eastAsia" w:hAnsi="宋体" w:cs="宋体"/>
          <w:b w:val="0"/>
          <w:bCs w:val="0"/>
          <w:color w:val="auto"/>
          <w:sz w:val="21"/>
          <w:szCs w:val="21"/>
          <w:highlight w:val="none"/>
          <w:lang w:val="en-US"/>
        </w:rPr>
        <w:t>量</w:t>
      </w:r>
      <w:r>
        <w:rPr>
          <w:rFonts w:hint="eastAsia" w:hAnsi="宋体" w:cs="宋体"/>
          <w:b w:val="0"/>
          <w:bCs w:val="0"/>
          <w:color w:val="auto"/>
          <w:sz w:val="21"/>
          <w:szCs w:val="21"/>
          <w:highlight w:val="none"/>
        </w:rPr>
        <w:t>符合合同（含附件）约定的，鉴定费由甲方承担，否则由乙方承担。</w:t>
      </w:r>
    </w:p>
    <w:p w14:paraId="67FF1D6B">
      <w:pPr>
        <w:pStyle w:val="20"/>
        <w:snapToGrid w:val="0"/>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3、如果乙方对甲方提出的异议及索赔负有责任，乙方应按照甲方同意的下列一种或多种方式解决索赔事宜：</w:t>
      </w:r>
    </w:p>
    <w:p w14:paraId="6C185C35">
      <w:pPr>
        <w:pStyle w:val="20"/>
        <w:snapToGrid w:val="0"/>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(1)根据甲方要求予以</w:t>
      </w:r>
      <w:r>
        <w:rPr>
          <w:rFonts w:hint="eastAsia" w:hAnsi="宋体" w:cs="宋体"/>
          <w:b w:val="0"/>
          <w:bCs w:val="0"/>
          <w:color w:val="auto"/>
          <w:sz w:val="21"/>
          <w:szCs w:val="21"/>
          <w:highlight w:val="none"/>
          <w:lang w:val="en-US"/>
        </w:rPr>
        <w:t>重做</w:t>
      </w:r>
      <w:r>
        <w:rPr>
          <w:rFonts w:hint="eastAsia" w:hAnsi="宋体" w:cs="宋体"/>
          <w:b w:val="0"/>
          <w:bCs w:val="0"/>
          <w:color w:val="auto"/>
          <w:sz w:val="21"/>
          <w:szCs w:val="21"/>
          <w:highlight w:val="none"/>
        </w:rPr>
        <w:t>，在甲方发出</w:t>
      </w:r>
      <w:r>
        <w:rPr>
          <w:rFonts w:hint="eastAsia" w:hAnsi="宋体" w:cs="宋体"/>
          <w:b w:val="0"/>
          <w:bCs w:val="0"/>
          <w:color w:val="auto"/>
          <w:sz w:val="21"/>
          <w:szCs w:val="21"/>
          <w:highlight w:val="none"/>
          <w:lang w:val="en-US"/>
        </w:rPr>
        <w:t>重做</w:t>
      </w:r>
      <w:r>
        <w:rPr>
          <w:rFonts w:hint="eastAsia" w:hAnsi="宋体" w:cs="宋体"/>
          <w:b w:val="0"/>
          <w:bCs w:val="0"/>
          <w:color w:val="auto"/>
          <w:sz w:val="21"/>
          <w:szCs w:val="21"/>
          <w:highlight w:val="none"/>
        </w:rPr>
        <w:t>通知后按要求进行重做，并承担因此产生的全部费用和本合同约定的违约金，以及赔偿因此给甲方造成的损失。</w:t>
      </w:r>
    </w:p>
    <w:p w14:paraId="52E24DAD">
      <w:pPr>
        <w:pStyle w:val="20"/>
        <w:snapToGrid w:val="0"/>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(2)根据甲方要求承担货物的更换责任，乙方应</w:t>
      </w:r>
      <w:r>
        <w:rPr>
          <w:rFonts w:hint="eastAsia" w:hAnsi="宋体" w:cs="宋体"/>
          <w:b w:val="0"/>
          <w:bCs w:val="0"/>
          <w:color w:val="auto"/>
          <w:sz w:val="21"/>
          <w:szCs w:val="21"/>
          <w:highlight w:val="none"/>
          <w:lang w:val="en-US"/>
        </w:rPr>
        <w:t>于</w:t>
      </w:r>
      <w:r>
        <w:rPr>
          <w:rFonts w:hint="eastAsia" w:hAnsi="宋体" w:cs="宋体"/>
          <w:b w:val="0"/>
          <w:bCs w:val="0"/>
          <w:color w:val="auto"/>
          <w:sz w:val="21"/>
          <w:szCs w:val="21"/>
          <w:highlight w:val="none"/>
        </w:rPr>
        <w:t>甲方发出更换通知后7日内更换</w:t>
      </w:r>
      <w:r>
        <w:rPr>
          <w:rFonts w:hint="eastAsia" w:hAnsi="宋体" w:cs="宋体"/>
          <w:b w:val="0"/>
          <w:bCs w:val="0"/>
          <w:color w:val="auto"/>
          <w:sz w:val="21"/>
          <w:szCs w:val="21"/>
          <w:highlight w:val="none"/>
          <w:lang w:val="en-US"/>
        </w:rPr>
        <w:t>全</w:t>
      </w:r>
      <w:r>
        <w:rPr>
          <w:rFonts w:hint="eastAsia" w:hAnsi="宋体" w:cs="宋体"/>
          <w:b w:val="0"/>
          <w:bCs w:val="0"/>
          <w:color w:val="auto"/>
          <w:sz w:val="21"/>
          <w:szCs w:val="21"/>
          <w:highlight w:val="none"/>
        </w:rPr>
        <w:t>新并符合本合同的规定的货物，乙方应承担因此产生的全部费用并赔偿甲方因此遭受的损失，更换货物的质保期应按本合同的相关规定重新计算。</w:t>
      </w:r>
    </w:p>
    <w:p w14:paraId="736D2328">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(3)当甲方损失无法计算时，乙方同意按暂定不含税总价的20%计算赔偿金。</w:t>
      </w:r>
    </w:p>
    <w:p w14:paraId="6F068EB0">
      <w:pPr>
        <w:pStyle w:val="20"/>
        <w:snapToGrid w:val="0"/>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w:t>
      </w:r>
      <w:r>
        <w:rPr>
          <w:rFonts w:hint="eastAsia" w:hAnsi="宋体" w:cs="宋体"/>
          <w:b w:val="0"/>
          <w:bCs w:val="0"/>
          <w:color w:val="auto"/>
          <w:sz w:val="21"/>
          <w:szCs w:val="21"/>
          <w:highlight w:val="none"/>
          <w:lang w:val="en-US"/>
        </w:rPr>
        <w:t>4</w:t>
      </w:r>
      <w:r>
        <w:rPr>
          <w:rFonts w:hint="eastAsia" w:hAnsi="宋体" w:cs="宋体"/>
          <w:b w:val="0"/>
          <w:bCs w:val="0"/>
          <w:color w:val="auto"/>
          <w:sz w:val="21"/>
          <w:szCs w:val="21"/>
          <w:highlight w:val="none"/>
        </w:rPr>
        <w:t>)如果在甲方发出索赔通知后30天内，乙方未作书面答复，上述索赔应视为已被乙方接受。甲方将启动履约担保支付或从未付货款中扣除索赔金额。如果该等款项不足以补偿索赔金额，甲方有权向乙方提出不足部分的补偿。</w:t>
      </w:r>
    </w:p>
    <w:p w14:paraId="45CB32DE">
      <w:pPr>
        <w:pStyle w:val="20"/>
        <w:snapToGrid w:val="0"/>
        <w:spacing w:line="360" w:lineRule="auto"/>
        <w:ind w:right="0" w:firstLine="420" w:firstLineChars="200"/>
        <w:jc w:val="left"/>
        <w:rPr>
          <w:rFonts w:hAnsi="宋体" w:cs="宋体"/>
          <w:b w:val="0"/>
          <w:bCs w:val="0"/>
          <w:color w:val="auto"/>
          <w:sz w:val="21"/>
          <w:szCs w:val="21"/>
          <w:highlight w:val="none"/>
          <w:lang w:val="en-US"/>
        </w:rPr>
      </w:pPr>
      <w:r>
        <w:rPr>
          <w:rFonts w:hint="eastAsia" w:hAnsi="宋体" w:cs="宋体"/>
          <w:b w:val="0"/>
          <w:bCs w:val="0"/>
          <w:color w:val="auto"/>
          <w:sz w:val="21"/>
          <w:szCs w:val="21"/>
          <w:highlight w:val="none"/>
          <w:lang w:val="en-US"/>
        </w:rPr>
        <w:t>4、光伏组件安装时，乙方必须对甲方屋面做好相应的保护措施，避免安装过程中对甲方屋面造成损坏(尤其是屋面的防水层、油漆层)。如不慎造成损坏（如造成屋面漏水的），乙方必须无条件维修好并承担所需全部费用，如因此造成甲方损失的，应同时承担赔偿责任。</w:t>
      </w:r>
    </w:p>
    <w:p w14:paraId="5B037947">
      <w:pPr>
        <w:pStyle w:val="20"/>
        <w:snapToGrid w:val="0"/>
        <w:spacing w:line="360" w:lineRule="auto"/>
        <w:ind w:right="0" w:firstLine="420" w:firstLineChars="200"/>
        <w:jc w:val="left"/>
        <w:rPr>
          <w:rFonts w:hAnsi="宋体" w:cs="宋体"/>
          <w:b w:val="0"/>
          <w:bCs w:val="0"/>
          <w:color w:val="auto"/>
          <w:sz w:val="21"/>
          <w:szCs w:val="21"/>
          <w:highlight w:val="none"/>
          <w:lang w:val="en-US"/>
        </w:rPr>
      </w:pPr>
      <w:r>
        <w:rPr>
          <w:rFonts w:hint="eastAsia" w:hAnsi="宋体" w:cs="宋体"/>
          <w:b w:val="0"/>
          <w:bCs w:val="0"/>
          <w:color w:val="auto"/>
          <w:sz w:val="21"/>
          <w:szCs w:val="21"/>
          <w:highlight w:val="none"/>
          <w:lang w:val="en-US"/>
        </w:rPr>
        <w:t>5、在安装过程中严禁直接踩踏光伏组件（包括边框），如有损坏需无条件进行更换并承担所需全部费用。</w:t>
      </w:r>
    </w:p>
    <w:p w14:paraId="420642B9">
      <w:pPr>
        <w:adjustRightIn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第二十一条 </w:t>
      </w:r>
      <w:bookmarkStart w:id="795" w:name="OLE_LINK105"/>
      <w:r>
        <w:rPr>
          <w:rFonts w:hint="eastAsia" w:ascii="宋体" w:hAnsi="宋体" w:eastAsia="宋体" w:cs="宋体"/>
          <w:b/>
          <w:color w:val="auto"/>
          <w:szCs w:val="21"/>
          <w:highlight w:val="none"/>
        </w:rPr>
        <w:t>违约责任</w:t>
      </w:r>
      <w:bookmarkEnd w:id="795"/>
    </w:p>
    <w:p w14:paraId="7319339D">
      <w:pPr>
        <w:numPr>
          <w:ilvl w:val="0"/>
          <w:numId w:val="4"/>
        </w:num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因乙方原因未在合同约定的工期内通过并网验收的（即自甲方或其委托的项目管理公司签发该子项目开工通知之日起150</w:t>
      </w:r>
      <w:r>
        <w:rPr>
          <w:rFonts w:hint="eastAsia" w:ascii="宋体" w:hAnsi="宋体" w:eastAsia="宋体" w:cs="宋体"/>
          <w:color w:val="auto"/>
          <w:highlight w:val="none"/>
        </w:rPr>
        <w:t>日</w:t>
      </w:r>
      <w:r>
        <w:rPr>
          <w:rFonts w:hint="eastAsia" w:ascii="宋体" w:hAnsi="宋体" w:eastAsia="宋体" w:cs="宋体"/>
          <w:color w:val="auto"/>
          <w:szCs w:val="21"/>
          <w:highlight w:val="none"/>
        </w:rPr>
        <w:t>内完成该子项目的并网验收），每逾期1日，乙方就该子项目向甲方支付5,000.00元/日的违约金，本款逾期违约金最高不超过不含税固定每瓦单价</w:t>
      </w:r>
      <w:r>
        <w:rPr>
          <w:rFonts w:hint="eastAsia" w:ascii="宋体" w:hAnsi="宋体" w:eastAsia="宋体"/>
          <w:color w:val="auto"/>
          <w:highlight w:val="none"/>
        </w:rPr>
        <w:t>×</w:t>
      </w:r>
      <w:r>
        <w:rPr>
          <w:rFonts w:hint="eastAsia" w:ascii="宋体" w:hAnsi="宋体" w:eastAsia="宋体" w:cs="宋体"/>
          <w:color w:val="auto"/>
          <w:szCs w:val="21"/>
          <w:highlight w:val="none"/>
        </w:rPr>
        <w:t>暂定装机容量计算的该子项目合同价的5%，合同约定免责的情况除外。</w:t>
      </w:r>
    </w:p>
    <w:p w14:paraId="46579ECC">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所交货物（包括但不限于品种、型号、规格、质量、性能）不符合合同规定的，甲方有权拒收，并要求乙方免费予以更换或重做，同时乙方应向甲方支付20,000.00元的违约金。若因乙方原因导致乙方无法按照本合同约定供货的，甲方有权单方解除合同或该子项目，且有权要求乙方支付与本合同履约担保金额等额或该子项目等比例履约担保金额等额的违约金。</w:t>
      </w:r>
    </w:p>
    <w:p w14:paraId="23E12900">
      <w:pPr>
        <w:spacing w:line="360" w:lineRule="auto"/>
        <w:ind w:firstLine="420" w:firstLineChars="200"/>
        <w:rPr>
          <w:color w:val="auto"/>
          <w:highlight w:val="none"/>
        </w:rPr>
      </w:pPr>
      <w:r>
        <w:rPr>
          <w:rFonts w:hint="eastAsia" w:ascii="宋体" w:hAnsi="宋体" w:eastAsia="宋体" w:cs="宋体"/>
          <w:color w:val="auto"/>
          <w:szCs w:val="21"/>
          <w:highlight w:val="none"/>
        </w:rPr>
        <w:t>3、未经甲方书面同意，乙方擅自变更设计或未按本合同及招标文件、投标文件、用户需求书、产品技术说明书、国家相关法律法规以及规范的规定标准实施项目的，甲方有权要求</w:t>
      </w:r>
      <w:r>
        <w:rPr>
          <w:rFonts w:hint="eastAsia" w:ascii="宋体" w:hAnsi="宋体" w:eastAsia="宋体"/>
          <w:color w:val="auto"/>
          <w:highlight w:val="none"/>
        </w:rPr>
        <w:t>限期整改</w:t>
      </w:r>
      <w:r>
        <w:rPr>
          <w:rFonts w:hint="eastAsia" w:ascii="宋体" w:hAnsi="宋体" w:eastAsia="宋体"/>
          <w:color w:val="auto"/>
          <w:highlight w:val="none"/>
          <w:lang w:eastAsia="zh-CN"/>
        </w:rPr>
        <w:t>，</w:t>
      </w:r>
      <w:r>
        <w:rPr>
          <w:rFonts w:hint="eastAsia" w:ascii="宋体" w:hAnsi="宋体" w:eastAsia="宋体" w:cs="宋体"/>
          <w:color w:val="auto"/>
          <w:szCs w:val="21"/>
          <w:highlight w:val="none"/>
        </w:rPr>
        <w:t>并在甲方限期内整改完毕</w:t>
      </w:r>
      <w:r>
        <w:rPr>
          <w:rFonts w:hint="eastAsia" w:ascii="宋体" w:hAnsi="宋体" w:eastAsia="宋体" w:cs="宋体"/>
          <w:color w:val="auto"/>
          <w:szCs w:val="21"/>
          <w:highlight w:val="none"/>
          <w:lang w:eastAsia="zh-CN"/>
        </w:rPr>
        <w:t>，</w:t>
      </w:r>
      <w:r>
        <w:rPr>
          <w:rFonts w:hint="eastAsia" w:ascii="宋体" w:hAnsi="宋体" w:eastAsia="宋体"/>
          <w:color w:val="auto"/>
          <w:highlight w:val="none"/>
          <w:lang w:val="en-US" w:eastAsia="zh-CN"/>
        </w:rPr>
        <w:t>逾期未整改，</w:t>
      </w:r>
      <w:r>
        <w:rPr>
          <w:rFonts w:hint="eastAsia" w:ascii="宋体" w:hAnsi="宋体" w:eastAsia="宋体" w:cs="宋体"/>
          <w:color w:val="auto"/>
          <w:szCs w:val="21"/>
          <w:highlight w:val="none"/>
        </w:rPr>
        <w:t>甲方有权要求乙方按人民币30,000.00元/次向甲方支付违约金，并在甲方限期内整改完毕。如因乙方行为造成甲方损失的，由乙方向甲方另行赔偿。</w:t>
      </w:r>
    </w:p>
    <w:p w14:paraId="769AA9D5">
      <w:pPr>
        <w:adjustRightIn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 w:val="0"/>
          <w:color w:val="auto"/>
          <w:szCs w:val="21"/>
          <w:highlight w:val="none"/>
          <w:lang w:val="en-US" w:eastAsia="zh-CN"/>
        </w:rPr>
        <w:t>4、</w:t>
      </w:r>
      <w:r>
        <w:rPr>
          <w:rFonts w:hint="eastAsia" w:ascii="宋体" w:hAnsi="宋体" w:eastAsia="宋体" w:cs="宋体"/>
          <w:b w:val="0"/>
          <w:color w:val="auto"/>
          <w:szCs w:val="21"/>
          <w:highlight w:val="none"/>
        </w:rPr>
        <w:t>未经甲方书面同意，乙方不得对本合同及招标文件约定的</w:t>
      </w:r>
      <w:r>
        <w:rPr>
          <w:rFonts w:hint="eastAsia" w:ascii="宋体" w:hAnsi="宋体" w:eastAsia="宋体" w:cs="宋体"/>
          <w:b w:val="0"/>
          <w:color w:val="auto"/>
          <w:szCs w:val="21"/>
          <w:highlight w:val="none"/>
          <w:lang w:val="en-US" w:eastAsia="zh-CN"/>
        </w:rPr>
        <w:t>各子项目</w:t>
      </w:r>
      <w:r>
        <w:rPr>
          <w:rFonts w:hint="eastAsia" w:ascii="宋体" w:hAnsi="宋体" w:eastAsia="宋体" w:cs="宋体"/>
          <w:b w:val="0"/>
          <w:color w:val="auto"/>
          <w:szCs w:val="21"/>
          <w:highlight w:val="none"/>
        </w:rPr>
        <w:t>钢结构（包括但不限于光伏支架、运维通道钢板、钢斜梯等）布置方案、材质、规格、数量进行调减。如因现场实际情况确需调整（如项目铺设范围变更等），乙方应提前至少7个工作日向甲方提交书面申请，详细说明调整部位、调整原因、原设计工程量、调整后工程量、相关技术论证及对工程质量和安全的影响评估；若乙方未经批准擅自调减钢结构，或调整后导致工程量减少、质量标准降低的，甲方有权要求乙方按原设计恢复，费用由乙方承担</w:t>
      </w:r>
      <w:r>
        <w:rPr>
          <w:rFonts w:hint="eastAsia" w:ascii="宋体" w:hAnsi="宋体" w:eastAsia="宋体" w:cs="宋体"/>
          <w:b w:val="0"/>
          <w:color w:val="auto"/>
          <w:szCs w:val="21"/>
          <w:highlight w:val="none"/>
          <w:lang w:eastAsia="zh-CN"/>
        </w:rPr>
        <w:t>，</w:t>
      </w:r>
      <w:r>
        <w:rPr>
          <w:rFonts w:hint="eastAsia" w:ascii="宋体" w:hAnsi="宋体" w:eastAsia="宋体" w:cs="宋体"/>
          <w:b w:val="0"/>
          <w:color w:val="auto"/>
          <w:szCs w:val="21"/>
          <w:highlight w:val="none"/>
          <w:lang w:val="en-US" w:eastAsia="zh-CN"/>
        </w:rPr>
        <w:t>同时</w:t>
      </w:r>
      <w:r>
        <w:rPr>
          <w:rFonts w:hint="eastAsia" w:ascii="宋体" w:hAnsi="宋体" w:eastAsia="宋体" w:cs="宋体"/>
          <w:color w:val="auto"/>
          <w:szCs w:val="21"/>
          <w:highlight w:val="none"/>
        </w:rPr>
        <w:t>乙方需向甲方支付违约金，违约金为不含税固定每瓦单价乘以暂定装机容量计算的该子项目合同价的5%</w:t>
      </w:r>
      <w:r>
        <w:rPr>
          <w:rFonts w:hint="eastAsia" w:ascii="宋体" w:hAnsi="宋体" w:eastAsia="宋体" w:cs="宋体"/>
          <w:b w:val="0"/>
          <w:color w:val="auto"/>
          <w:szCs w:val="21"/>
          <w:highlight w:val="none"/>
        </w:rPr>
        <w:t>，并保留追溯因此造成</w:t>
      </w:r>
      <w:r>
        <w:rPr>
          <w:rFonts w:hint="eastAsia" w:ascii="宋体" w:hAnsi="宋体" w:eastAsia="宋体" w:cs="宋体"/>
          <w:b w:val="0"/>
          <w:color w:val="auto"/>
          <w:szCs w:val="21"/>
          <w:highlight w:val="none"/>
          <w:lang w:val="en-US" w:eastAsia="zh-CN"/>
        </w:rPr>
        <w:t>的损失、</w:t>
      </w:r>
      <w:r>
        <w:rPr>
          <w:rFonts w:hint="eastAsia" w:ascii="宋体" w:hAnsi="宋体" w:eastAsia="宋体" w:cs="宋体"/>
          <w:b w:val="0"/>
          <w:color w:val="auto"/>
          <w:szCs w:val="21"/>
          <w:highlight w:val="none"/>
        </w:rPr>
        <w:t>安全隐患</w:t>
      </w:r>
      <w:r>
        <w:rPr>
          <w:rFonts w:hint="eastAsia" w:ascii="宋体" w:hAnsi="宋体" w:eastAsia="宋体" w:cs="宋体"/>
          <w:b w:val="0"/>
          <w:color w:val="auto"/>
          <w:szCs w:val="21"/>
          <w:highlight w:val="none"/>
          <w:lang w:val="en-US" w:eastAsia="zh-CN"/>
        </w:rPr>
        <w:t>等</w:t>
      </w:r>
      <w:r>
        <w:rPr>
          <w:rFonts w:hint="eastAsia" w:ascii="宋体" w:hAnsi="宋体" w:eastAsia="宋体" w:cs="宋体"/>
          <w:b w:val="0"/>
          <w:color w:val="auto"/>
          <w:szCs w:val="21"/>
          <w:highlight w:val="none"/>
        </w:rPr>
        <w:t>全部责任的权利。</w:t>
      </w:r>
    </w:p>
    <w:p w14:paraId="3C97615A">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szCs w:val="21"/>
          <w:highlight w:val="none"/>
        </w:rPr>
        <w:t>本合同下子项目初步验收或并网验收不合格时，乙方应积极根据规范、标准和合同约定进行整改，直至整改完毕验收合格，由此导致并网验收逾期的，按并网验收逾期违约金标准追究乙方的违约责任。因乙方拒不履行整改义务或怠于履约整改义务，或经证明项目无法通过并网验收时，甲方有权要求乙方30日内拆除已安装的设施，将项目场地恢复至现状，同时乙方需向甲方支付违约金，违约金为不含税固定每瓦单价乘以暂定装机容量计算的该子项目合同价的5%。在甲方前述拆除通知后，乙方逾期拆除的，甲方有权委托第三方进行拆除，相关费用由乙方承担，因此导致光伏组件、逆变器、汇电箱、电缆、支架等货物损坏、丢失的风险，由乙方承担。</w:t>
      </w:r>
    </w:p>
    <w:p w14:paraId="2400E483">
      <w:pPr>
        <w:adjustRightInd w:val="0"/>
        <w:spacing w:line="360" w:lineRule="auto"/>
        <w:ind w:right="21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、本合同下</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rPr>
        <w:t>项目竣工验收检测不合格（或</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rPr>
        <w:t>项目及其产品达不到招标文件和投标文件规定标准的），乙方应在并网验通电之日起2个月内按要求完成整改至检测合格，因乙方原因逾期未改正完毕的，乙方应向甲方支付2500.00元/日的违约金，直至整改完毕验收检测合格</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本款逾期违约金最高不超过不含税固定每瓦单价×暂定装机容量计算的该子项目合同价的5% 。</w:t>
      </w:r>
    </w:p>
    <w:p w14:paraId="5B435E8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因乙方拒不履行整改义务或怠于履约整改义务，或经三次检测均达不到招标文件和投标文件规定标准，导致项目未能竣工验收的，甲方有权按以下两种方式中的一种进行处理：（1）甲方有权要求乙方30日内拆除已安装的设施，将项目场地恢复至现状，同时乙方需向甲方支付违约金，违约金为不含税固定每瓦单价乘以暂定装机容量计算的该子项目合同价的5%。（2）按项目全生命周期计算检测不合格（或未满足招标文件和投标文件规定标准）导致甲方的损失，由乙方赔偿甲方损失，同时，乙方需向甲方支付违约金，违约金为不含税固定每瓦单价乘以暂定装机容量计算的该子项目合同价的5%。</w:t>
      </w:r>
    </w:p>
    <w:p w14:paraId="603F5A47">
      <w:pPr>
        <w:adjustRightInd w:val="0"/>
        <w:spacing w:line="360" w:lineRule="auto"/>
        <w:ind w:firstLine="420" w:firstLineChars="200"/>
        <w:rPr>
          <w:rFonts w:ascii="宋体" w:hAnsi="宋体" w:eastAsia="宋体" w:cs="宋体"/>
          <w:color w:val="auto"/>
          <w:szCs w:val="21"/>
          <w:highlight w:val="none"/>
        </w:rPr>
      </w:pPr>
      <w:r>
        <w:rPr>
          <w:rFonts w:hint="eastAsia" w:eastAsia="宋体"/>
          <w:color w:val="auto"/>
          <w:highlight w:val="none"/>
          <w:lang w:val="en-US" w:eastAsia="zh-CN"/>
        </w:rPr>
        <w:t>7</w:t>
      </w:r>
      <w:r>
        <w:rPr>
          <w:rFonts w:hint="eastAsia" w:ascii="宋体" w:hAnsi="宋体" w:eastAsia="宋体" w:cs="宋体"/>
          <w:color w:val="auto"/>
          <w:szCs w:val="21"/>
          <w:highlight w:val="none"/>
        </w:rPr>
        <w:t>、本合同下子项目经发改部门备案后，乙方未建设的，乙方需向甲方支付违约金，违约金为不含税固定每瓦单价乘以暂定装机容量计算的该子项目合同价的5%。</w:t>
      </w:r>
    </w:p>
    <w:p w14:paraId="5639BAC0">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乙方未按合同第十三条约定履行培训或技术服务义务的，乙方应向甲方支付5,000.00元/次的违约金。同时，甲方有权要求乙方限期改正，如逾期仍未改正的，甲方有权另行委托第三方进行培训或服务，由此产生的全部费用由乙方承担。</w:t>
      </w:r>
    </w:p>
    <w:p w14:paraId="55957A08">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项目运营维护届满，乙方无故未按期办理项目移交的（或移交的项目未能达到移交标准的），每迟延一日，乙方应向甲方支付违约金50,000.00元/日，逾期移交超过30日的，甲方有权强制接收项目，并有权委托第三方单位实施乙方移交前未完成的义务，因此产生的所有费用由乙方承担。因乙方原因导致甲方无法正常接管运营的，甲方有权要求乙方按并网装机容量核定的发电量和甲方电售价的1.3倍标准支付电费损失。造成甲方损失超过前述标准的，甲方有权继续向乙方进行追偿。</w:t>
      </w:r>
    </w:p>
    <w:p w14:paraId="5F8842AB">
      <w:pPr>
        <w:pStyle w:val="20"/>
        <w:spacing w:line="360" w:lineRule="auto"/>
        <w:ind w:firstLine="420" w:firstLineChars="200"/>
        <w:jc w:val="left"/>
        <w:rPr>
          <w:rFonts w:hint="eastAsia" w:hAnsi="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zh-CN" w:eastAsia="zh-CN"/>
        </w:rPr>
        <w:t>乙方在其承诺的</w:t>
      </w:r>
      <w:r>
        <w:rPr>
          <w:rFonts w:hint="eastAsia" w:hAnsi="宋体" w:cs="宋体"/>
          <w:b w:val="0"/>
          <w:bCs w:val="0"/>
          <w:color w:val="auto"/>
          <w:sz w:val="21"/>
          <w:szCs w:val="21"/>
          <w:highlight w:val="none"/>
          <w:lang w:val="en-US" w:eastAsia="zh-CN"/>
        </w:rPr>
        <w:t>项目整体</w:t>
      </w:r>
      <w:r>
        <w:rPr>
          <w:rFonts w:hint="eastAsia" w:ascii="宋体" w:hAnsi="宋体" w:eastAsia="宋体" w:cs="宋体"/>
          <w:b w:val="0"/>
          <w:bCs w:val="0"/>
          <w:color w:val="auto"/>
          <w:sz w:val="21"/>
          <w:szCs w:val="21"/>
          <w:highlight w:val="none"/>
          <w:lang w:val="zh-CN" w:eastAsia="zh-CN"/>
        </w:rPr>
        <w:t>质保期内，每年至少一次委托具备光伏组件相关</w:t>
      </w:r>
      <w:r>
        <w:rPr>
          <w:rFonts w:hint="eastAsia" w:hAnsi="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lang w:val="zh-CN" w:eastAsia="zh-CN"/>
        </w:rPr>
        <w:t>CMA、CNAS资质的三方检测单位对各子项的光伏组件衰减率进行随机抽查</w:t>
      </w:r>
      <w:r>
        <w:rPr>
          <w:rFonts w:hint="eastAsia" w:hAnsi="宋体" w:cs="宋体"/>
          <w:b w:val="0"/>
          <w:bCs w:val="0"/>
          <w:color w:val="auto"/>
          <w:sz w:val="21"/>
          <w:szCs w:val="21"/>
          <w:highlight w:val="none"/>
          <w:lang w:val="zh-CN" w:eastAsia="zh-CN"/>
        </w:rPr>
        <w:t>（</w:t>
      </w:r>
      <w:r>
        <w:rPr>
          <w:rFonts w:hint="eastAsia" w:hAnsi="宋体" w:cs="宋体"/>
          <w:b w:val="0"/>
          <w:bCs w:val="0"/>
          <w:color w:val="auto"/>
          <w:sz w:val="21"/>
          <w:szCs w:val="21"/>
          <w:highlight w:val="none"/>
          <w:lang w:val="en-US" w:eastAsia="zh-CN"/>
        </w:rPr>
        <w:t>检测费用由乙方承担</w:t>
      </w:r>
      <w:r>
        <w:rPr>
          <w:rFonts w:hint="eastAsia" w:hAnsi="宋体" w:cs="宋体"/>
          <w:b w:val="0"/>
          <w:bCs w:val="0"/>
          <w:color w:val="auto"/>
          <w:sz w:val="21"/>
          <w:szCs w:val="21"/>
          <w:highlight w:val="none"/>
          <w:lang w:val="zh-CN" w:eastAsia="zh-CN"/>
        </w:rPr>
        <w:t>），</w:t>
      </w:r>
      <w:r>
        <w:rPr>
          <w:rFonts w:hint="eastAsia" w:hAnsi="宋体" w:cs="宋体"/>
          <w:b w:val="0"/>
          <w:bCs w:val="0"/>
          <w:color w:val="auto"/>
          <w:sz w:val="21"/>
          <w:szCs w:val="21"/>
          <w:highlight w:val="none"/>
          <w:lang w:val="en-US" w:eastAsia="zh-CN"/>
        </w:rPr>
        <w:t>现场</w:t>
      </w:r>
      <w:r>
        <w:rPr>
          <w:rFonts w:hint="eastAsia" w:ascii="宋体" w:hAnsi="宋体" w:eastAsia="宋体" w:cs="宋体"/>
          <w:b w:val="0"/>
          <w:bCs w:val="0"/>
          <w:color w:val="auto"/>
          <w:sz w:val="21"/>
          <w:szCs w:val="21"/>
          <w:highlight w:val="none"/>
          <w:lang w:val="zh-CN" w:eastAsia="zh-CN"/>
        </w:rPr>
        <w:t>检测每个子项抽检数量不少于</w:t>
      </w:r>
      <w:r>
        <w:rPr>
          <w:rFonts w:hint="eastAsia"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zh-CN" w:eastAsia="zh-CN"/>
        </w:rPr>
        <w:t>块，并出具检测报告加盖CMA或CNAS章</w:t>
      </w:r>
      <w:r>
        <w:rPr>
          <w:rFonts w:hint="eastAsia" w:hAnsi="宋体" w:cs="宋体"/>
          <w:b w:val="0"/>
          <w:bCs w:val="0"/>
          <w:color w:val="auto"/>
          <w:sz w:val="21"/>
          <w:szCs w:val="21"/>
          <w:highlight w:val="none"/>
          <w:lang w:val="zh-CN" w:eastAsia="zh-CN"/>
        </w:rPr>
        <w:t>，</w:t>
      </w:r>
      <w:r>
        <w:rPr>
          <w:rFonts w:hint="eastAsia" w:ascii="宋体" w:hAnsi="宋体" w:eastAsia="宋体" w:cs="宋体"/>
          <w:b w:val="0"/>
          <w:bCs w:val="0"/>
          <w:color w:val="auto"/>
          <w:sz w:val="21"/>
          <w:szCs w:val="21"/>
          <w:highlight w:val="none"/>
          <w:lang w:val="zh-CN" w:eastAsia="zh-CN"/>
        </w:rPr>
        <w:t>检测不合格的，乙方应向甲方支付</w:t>
      </w:r>
      <w:r>
        <w:rPr>
          <w:rFonts w:hint="eastAsia" w:hAnsi="宋体" w:cs="宋体"/>
          <w:b w:val="0"/>
          <w:bCs w:val="0"/>
          <w:color w:val="auto"/>
          <w:sz w:val="21"/>
          <w:szCs w:val="21"/>
          <w:highlight w:val="none"/>
          <w:lang w:val="en-US" w:eastAsia="zh-CN"/>
        </w:rPr>
        <w:t>每个子项目</w:t>
      </w:r>
      <w:r>
        <w:rPr>
          <w:rFonts w:hint="eastAsia" w:ascii="宋体" w:hAnsi="宋体" w:eastAsia="宋体" w:cs="宋体"/>
          <w:b w:val="0"/>
          <w:bCs w:val="0"/>
          <w:color w:val="auto"/>
          <w:sz w:val="21"/>
          <w:szCs w:val="21"/>
          <w:highlight w:val="none"/>
          <w:lang w:val="zh-CN" w:eastAsia="zh-CN"/>
        </w:rPr>
        <w:t>5,000.00元/次的违约金</w:t>
      </w:r>
      <w:r>
        <w:rPr>
          <w:rFonts w:hint="eastAsia" w:hAnsi="宋体" w:cs="宋体"/>
          <w:b w:val="0"/>
          <w:bCs w:val="0"/>
          <w:color w:val="auto"/>
          <w:sz w:val="21"/>
          <w:szCs w:val="21"/>
          <w:highlight w:val="none"/>
          <w:lang w:val="zh-CN" w:eastAsia="zh-CN"/>
        </w:rPr>
        <w:t>，</w:t>
      </w:r>
      <w:r>
        <w:rPr>
          <w:rFonts w:hint="eastAsia" w:ascii="宋体" w:hAnsi="宋体" w:eastAsia="宋体" w:cs="宋体"/>
          <w:b w:val="0"/>
          <w:bCs w:val="0"/>
          <w:color w:val="auto"/>
          <w:sz w:val="21"/>
          <w:szCs w:val="21"/>
          <w:highlight w:val="none"/>
        </w:rPr>
        <w:t>甲方有权要求限期整改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并在甲方限期内整改完毕</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zh-CN" w:eastAsia="zh-CN"/>
        </w:rPr>
        <w:t>逾期未整改</w:t>
      </w:r>
      <w:r>
        <w:rPr>
          <w:rFonts w:hint="eastAsia" w:hAnsi="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rPr>
        <w:t>乙方需向甲方支付</w:t>
      </w:r>
      <w:r>
        <w:rPr>
          <w:rFonts w:hint="eastAsia" w:hAnsi="宋体" w:cs="宋体"/>
          <w:b w:val="0"/>
          <w:bCs w:val="0"/>
          <w:color w:val="auto"/>
          <w:sz w:val="21"/>
          <w:szCs w:val="21"/>
          <w:highlight w:val="none"/>
          <w:lang w:val="en-US" w:eastAsia="zh-CN"/>
        </w:rPr>
        <w:t>该子项目结算合同价30%的违约金。</w:t>
      </w:r>
    </w:p>
    <w:p w14:paraId="281FA678">
      <w:pPr>
        <w:pStyle w:val="20"/>
        <w:spacing w:line="360" w:lineRule="auto"/>
        <w:ind w:firstLine="420" w:firstLineChars="200"/>
        <w:jc w:val="left"/>
      </w:pPr>
      <w:r>
        <w:rPr>
          <w:rFonts w:hint="eastAsia" w:ascii="宋体" w:hAnsi="宋体" w:eastAsia="宋体" w:cs="宋体"/>
          <w:b w:val="0"/>
          <w:bCs w:val="0"/>
          <w:color w:val="auto"/>
          <w:sz w:val="21"/>
          <w:szCs w:val="21"/>
          <w:highlight w:val="none"/>
          <w:lang w:val="zh-CN" w:eastAsia="zh-CN"/>
        </w:rPr>
        <w:t>乙方对于现场检测结果不认可的，可将当批次全部抽检组件送有CMA、CNAS资质认证的单位进行实验室检测，以实验室检测结果为准，检测费用由乙方全部承担。</w:t>
      </w:r>
    </w:p>
    <w:p w14:paraId="4D62E92E">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color w:val="auto"/>
          <w:szCs w:val="21"/>
          <w:highlight w:val="none"/>
          <w:lang w:val="en-US" w:eastAsia="zh-CN"/>
        </w:rPr>
        <w:t>11</w:t>
      </w:r>
      <w:r>
        <w:rPr>
          <w:rFonts w:hint="eastAsia" w:ascii="宋体" w:hAnsi="宋体" w:eastAsia="宋体" w:cs="宋体"/>
          <w:bCs/>
          <w:color w:val="auto"/>
          <w:szCs w:val="21"/>
          <w:highlight w:val="none"/>
        </w:rPr>
        <w:t>、乙方未根据本合同第十二条知识产权的约定，向甲方交付专利成果的，乙方应向甲方支付10万元的违约金。</w:t>
      </w:r>
    </w:p>
    <w:p w14:paraId="42C2E26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Hans"/>
        </w:rPr>
        <w:t>在本合同履行期限内，乙方未经甲方书面同意即将本合同约定项下的全部项目或部分项目转包给第三方的，</w:t>
      </w: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eastAsia="zh-Hans"/>
        </w:rPr>
        <w:t>有权要求乙方</w:t>
      </w:r>
      <w:r>
        <w:rPr>
          <w:rFonts w:hint="eastAsia" w:ascii="宋体" w:hAnsi="宋体" w:eastAsia="宋体" w:cs="宋体"/>
          <w:color w:val="auto"/>
          <w:szCs w:val="21"/>
          <w:highlight w:val="none"/>
        </w:rPr>
        <w:t>按不含税固定每瓦单价×</w:t>
      </w:r>
      <w:r>
        <w:rPr>
          <w:rFonts w:hint="eastAsia" w:ascii="宋体" w:hAnsi="宋体" w:eastAsia="宋体" w:cs="宋体"/>
          <w:color w:val="auto"/>
          <w:szCs w:val="21"/>
          <w:highlight w:val="none"/>
          <w:lang w:val="en-US" w:eastAsia="zh-CN"/>
        </w:rPr>
        <w:t>转包项目的暂定装机容量</w:t>
      </w:r>
      <w:r>
        <w:rPr>
          <w:rFonts w:hint="eastAsia" w:ascii="宋体" w:hAnsi="宋体" w:eastAsia="宋体" w:cs="宋体"/>
          <w:color w:val="auto"/>
          <w:szCs w:val="21"/>
          <w:highlight w:val="none"/>
        </w:rPr>
        <w:t>计算的5</w:t>
      </w:r>
      <w:r>
        <w:rPr>
          <w:rFonts w:hint="eastAsia" w:ascii="宋体" w:hAnsi="宋体" w:eastAsia="宋体" w:cs="宋体"/>
          <w:color w:val="auto"/>
          <w:szCs w:val="21"/>
          <w:highlight w:val="none"/>
          <w:lang w:eastAsia="zh-Hans"/>
        </w:rPr>
        <w:t>%承担违约责任</w:t>
      </w:r>
      <w:r>
        <w:rPr>
          <w:rFonts w:hint="eastAsia" w:ascii="宋体" w:hAnsi="宋体" w:eastAsia="宋体" w:cs="宋体"/>
          <w:color w:val="auto"/>
          <w:szCs w:val="21"/>
          <w:highlight w:val="none"/>
        </w:rPr>
        <w:t>，且甲方</w:t>
      </w:r>
      <w:r>
        <w:rPr>
          <w:rFonts w:hint="eastAsia" w:ascii="宋体" w:hAnsi="宋体" w:eastAsia="宋体" w:cs="宋体"/>
          <w:color w:val="auto"/>
          <w:szCs w:val="21"/>
          <w:highlight w:val="none"/>
          <w:lang w:eastAsia="zh-Hans"/>
        </w:rPr>
        <w:t>有权单方解除本合同</w:t>
      </w:r>
      <w:r>
        <w:rPr>
          <w:rFonts w:hint="eastAsia" w:ascii="宋体" w:hAnsi="宋体" w:eastAsia="宋体" w:cs="宋体"/>
          <w:color w:val="auto"/>
          <w:szCs w:val="21"/>
          <w:highlight w:val="none"/>
        </w:rPr>
        <w:t>。</w:t>
      </w:r>
    </w:p>
    <w:p w14:paraId="199E075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、乙方不得拖欠</w:t>
      </w:r>
      <w:r>
        <w:rPr>
          <w:rFonts w:ascii="宋体" w:hAnsi="宋体" w:eastAsia="宋体" w:cs="宋体"/>
          <w:bCs/>
          <w:color w:val="auto"/>
          <w:szCs w:val="21"/>
          <w:highlight w:val="none"/>
        </w:rPr>
        <w:t>农民工工资</w:t>
      </w:r>
      <w:r>
        <w:rPr>
          <w:rFonts w:hint="eastAsia" w:ascii="宋体" w:hAnsi="宋体" w:eastAsia="宋体" w:cs="宋体"/>
          <w:bCs/>
          <w:color w:val="auto"/>
          <w:szCs w:val="21"/>
          <w:highlight w:val="none"/>
        </w:rPr>
        <w:t>、劳务单位劳务费、供应商货款等</w:t>
      </w:r>
      <w:r>
        <w:rPr>
          <w:rFonts w:hint="eastAsia" w:ascii="宋体" w:hAnsi="宋体" w:eastAsia="宋体" w:cs="宋体"/>
          <w:color w:val="auto"/>
          <w:szCs w:val="21"/>
          <w:highlight w:val="none"/>
        </w:rPr>
        <w:t>第三方任何款项，</w:t>
      </w:r>
      <w:r>
        <w:rPr>
          <w:rFonts w:ascii="宋体" w:hAnsi="宋体" w:eastAsia="宋体" w:cs="宋体"/>
          <w:bCs/>
          <w:color w:val="auto"/>
          <w:szCs w:val="21"/>
          <w:highlight w:val="none"/>
        </w:rPr>
        <w:t>如因</w:t>
      </w:r>
      <w:r>
        <w:rPr>
          <w:rFonts w:hint="eastAsia" w:ascii="宋体" w:hAnsi="宋体" w:eastAsia="宋体" w:cs="宋体"/>
          <w:bCs/>
          <w:color w:val="auto"/>
          <w:szCs w:val="21"/>
          <w:highlight w:val="none"/>
        </w:rPr>
        <w:t>乙方</w:t>
      </w:r>
      <w:r>
        <w:rPr>
          <w:rFonts w:ascii="宋体" w:hAnsi="宋体" w:eastAsia="宋体" w:cs="宋体"/>
          <w:bCs/>
          <w:color w:val="auto"/>
          <w:szCs w:val="21"/>
          <w:highlight w:val="none"/>
        </w:rPr>
        <w:t>拖欠农民工工资</w:t>
      </w:r>
      <w:r>
        <w:rPr>
          <w:rFonts w:hint="eastAsia" w:ascii="宋体" w:hAnsi="宋体" w:eastAsia="宋体" w:cs="宋体"/>
          <w:bCs/>
          <w:color w:val="auto"/>
          <w:szCs w:val="21"/>
          <w:highlight w:val="none"/>
        </w:rPr>
        <w:t>等</w:t>
      </w:r>
      <w:r>
        <w:rPr>
          <w:rFonts w:ascii="宋体" w:hAnsi="宋体" w:eastAsia="宋体" w:cs="宋体"/>
          <w:bCs/>
          <w:color w:val="auto"/>
          <w:szCs w:val="21"/>
          <w:highlight w:val="none"/>
        </w:rPr>
        <w:t>引发集体维权事件，经甲方或相关主管部门核实后，甲方有权从应付</w:t>
      </w:r>
      <w:r>
        <w:rPr>
          <w:rFonts w:hint="eastAsia" w:ascii="宋体" w:hAnsi="宋体" w:eastAsia="宋体" w:cs="宋体"/>
          <w:bCs/>
          <w:color w:val="auto"/>
          <w:szCs w:val="21"/>
          <w:highlight w:val="none"/>
        </w:rPr>
        <w:t>合同款</w:t>
      </w:r>
      <w:r>
        <w:rPr>
          <w:rFonts w:ascii="宋体" w:hAnsi="宋体" w:eastAsia="宋体" w:cs="宋体"/>
          <w:bCs/>
          <w:color w:val="auto"/>
          <w:szCs w:val="21"/>
          <w:highlight w:val="none"/>
        </w:rPr>
        <w:t>中暂扣</w:t>
      </w:r>
      <w:r>
        <w:rPr>
          <w:rFonts w:hint="eastAsia" w:ascii="宋体" w:hAnsi="宋体" w:eastAsia="宋体" w:cs="宋体"/>
          <w:bCs/>
          <w:color w:val="auto"/>
          <w:szCs w:val="21"/>
          <w:highlight w:val="none"/>
        </w:rPr>
        <w:t>相应未结清款项</w:t>
      </w:r>
      <w:r>
        <w:rPr>
          <w:rFonts w:ascii="宋体" w:hAnsi="宋体" w:eastAsia="宋体" w:cs="宋体"/>
          <w:bCs/>
          <w:color w:val="auto"/>
          <w:szCs w:val="21"/>
          <w:highlight w:val="none"/>
        </w:rPr>
        <w:t>。</w:t>
      </w:r>
      <w:r>
        <w:rPr>
          <w:rFonts w:hint="eastAsia" w:ascii="宋体" w:hAnsi="宋体" w:eastAsia="宋体" w:cs="宋体"/>
          <w:color w:val="auto"/>
          <w:szCs w:val="21"/>
          <w:highlight w:val="none"/>
        </w:rPr>
        <w:t>同时，</w:t>
      </w:r>
      <w:r>
        <w:rPr>
          <w:rFonts w:hint="eastAsia" w:ascii="宋体" w:hAnsi="宋体" w:eastAsia="宋体" w:cs="宋体"/>
          <w:color w:val="auto"/>
          <w:szCs w:val="21"/>
          <w:highlight w:val="none"/>
          <w:lang w:eastAsia="zh-Hans"/>
        </w:rPr>
        <w:t>乙方确认，</w:t>
      </w:r>
      <w:r>
        <w:rPr>
          <w:rFonts w:hint="eastAsia" w:ascii="宋体" w:hAnsi="宋体" w:eastAsia="宋体" w:cs="宋体"/>
          <w:color w:val="auto"/>
          <w:szCs w:val="21"/>
          <w:highlight w:val="none"/>
        </w:rPr>
        <w:t>因乙方拖欠</w:t>
      </w:r>
      <w:r>
        <w:rPr>
          <w:rFonts w:ascii="宋体" w:hAnsi="宋体" w:eastAsia="宋体" w:cs="宋体"/>
          <w:bCs/>
          <w:color w:val="auto"/>
          <w:szCs w:val="21"/>
          <w:highlight w:val="none"/>
        </w:rPr>
        <w:t>农民工工资</w:t>
      </w:r>
      <w:r>
        <w:rPr>
          <w:rFonts w:hint="eastAsia" w:ascii="宋体" w:hAnsi="宋体" w:eastAsia="宋体" w:cs="宋体"/>
          <w:bCs/>
          <w:color w:val="auto"/>
          <w:szCs w:val="21"/>
          <w:highlight w:val="none"/>
        </w:rPr>
        <w:t>、劳务单位劳务费、</w:t>
      </w:r>
      <w:r>
        <w:rPr>
          <w:rFonts w:hint="eastAsia" w:ascii="宋体" w:hAnsi="宋体" w:eastAsia="宋体" w:cs="宋体"/>
          <w:color w:val="auto"/>
          <w:szCs w:val="21"/>
          <w:highlight w:val="none"/>
        </w:rPr>
        <w:t>供应商货款</w:t>
      </w:r>
      <w:r>
        <w:rPr>
          <w:rFonts w:hint="eastAsia" w:ascii="宋体" w:hAnsi="宋体" w:eastAsia="宋体" w:cs="宋体"/>
          <w:color w:val="auto"/>
          <w:szCs w:val="21"/>
          <w:highlight w:val="none"/>
          <w:lang w:eastAsia="zh-Hans"/>
        </w:rPr>
        <w:t>、乙方员工或劳务、安全事故等引致的付款请求或其他权利主张，由乙方负责承担和处理。如因乙方原因导致甲方被列为承担连带责任方或被上访单位，且相关生效判决/裁决判定甲方需向相关人员承担责任或基于维稳等原因导致甲方必须支付相关费用的，甲方在支付相关费用后有权从合同款中直接抵扣，且甲方因此发生的诉讼费、</w:t>
      </w:r>
      <w:r>
        <w:rPr>
          <w:rFonts w:hint="eastAsia" w:ascii="宋体" w:hAnsi="宋体" w:eastAsia="宋体" w:cs="宋体"/>
          <w:color w:val="auto"/>
          <w:szCs w:val="21"/>
          <w:highlight w:val="none"/>
        </w:rPr>
        <w:t>财产保全责任保险费/担保费、</w:t>
      </w:r>
      <w:r>
        <w:rPr>
          <w:rFonts w:hint="eastAsia" w:ascii="宋体" w:hAnsi="宋体" w:eastAsia="宋体" w:cs="宋体"/>
          <w:color w:val="auto"/>
          <w:szCs w:val="21"/>
          <w:highlight w:val="none"/>
          <w:lang w:eastAsia="zh-Hans"/>
        </w:rPr>
        <w:t>鉴定评估费、律师费、出具银行保函产生的费用、垫付款项利息损失（按中国人民银行同期贷款利率LPR的4倍计算）等全部损失，以及乙方应承担的违约金等，乙方亦同意由甲方在合同款中直接抵扣，如合同款不足以抵扣的，乙方还应另行向甲方支付。如因乙方原因</w:t>
      </w:r>
      <w:r>
        <w:rPr>
          <w:rFonts w:hint="eastAsia" w:ascii="宋体" w:hAnsi="宋体" w:eastAsia="宋体" w:cs="宋体"/>
          <w:color w:val="auto"/>
          <w:szCs w:val="21"/>
          <w:highlight w:val="none"/>
        </w:rPr>
        <w:t>导致甲方对外承担责任的，甲方有权解除本合同，并有权要求乙方支付甲方对外承担费用，同时并应按甲方对外承担费用金额20%赔偿甲方损失，如不足以赔偿的，应按甲方实际损失赔偿。</w:t>
      </w:r>
    </w:p>
    <w:p w14:paraId="5B4DB14F">
      <w:pPr>
        <w:numPr>
          <w:ilvl w:val="255"/>
          <w:numId w:val="0"/>
        </w:numPr>
        <w:spacing w:line="360" w:lineRule="auto"/>
        <w:rPr>
          <w:rFonts w:hint="eastAsia" w:ascii="宋体" w:hAnsi="宋体" w:eastAsia="宋体" w:cs="宋体"/>
          <w:color w:val="auto"/>
          <w:szCs w:val="21"/>
          <w:highlight w:val="none"/>
          <w:lang w:eastAsia="zh-Hans"/>
        </w:rPr>
      </w:pPr>
      <w:r>
        <w:rPr>
          <w:rFonts w:hint="eastAsia" w:ascii="宋体" w:hAnsi="宋体" w:eastAsia="宋体" w:cs="宋体"/>
          <w:color w:val="auto"/>
          <w:szCs w:val="21"/>
          <w:highlight w:val="none"/>
        </w:rPr>
        <w:t xml:space="preserve">   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Hans"/>
        </w:rPr>
        <w:t>因乙方违反本合同约定导致甲方权益受损的，甲方为维护自身权益所支付的所有费用均由乙方承担，包括但不限于甲方为此支付的</w:t>
      </w:r>
      <w:r>
        <w:rPr>
          <w:rFonts w:hint="eastAsia" w:ascii="宋体" w:hAnsi="宋体" w:eastAsia="宋体" w:cs="宋体"/>
          <w:color w:val="auto"/>
          <w:szCs w:val="21"/>
          <w:highlight w:val="none"/>
        </w:rPr>
        <w:t>诉讼费、律师费、鉴定费、公证费、交通住宿费、财产保全责任保险费、调查取证费等全部</w:t>
      </w:r>
      <w:r>
        <w:rPr>
          <w:rFonts w:hint="eastAsia" w:ascii="宋体" w:hAnsi="宋体" w:eastAsia="宋体" w:cs="宋体"/>
          <w:color w:val="auto"/>
          <w:szCs w:val="21"/>
          <w:highlight w:val="none"/>
          <w:lang w:eastAsia="zh-Hans"/>
        </w:rPr>
        <w:t>费用。</w:t>
      </w:r>
    </w:p>
    <w:p w14:paraId="761F8585">
      <w:pPr>
        <w:numPr>
          <w:ilvl w:val="255"/>
          <w:numId w:val="0"/>
        </w:numPr>
        <w:spacing w:line="360" w:lineRule="auto"/>
        <w:rPr>
          <w:rFonts w:hint="eastAsia" w:ascii="宋体" w:hAnsi="宋体" w:eastAsia="宋体" w:cs="宋体"/>
          <w:color w:val="auto"/>
          <w:szCs w:val="21"/>
          <w:highlight w:val="none"/>
          <w:lang w:eastAsia="zh-Hans"/>
        </w:rPr>
      </w:pPr>
      <w:r>
        <w:rPr>
          <w:rFonts w:hint="eastAsia" w:ascii="宋体" w:hAnsi="宋体" w:eastAsia="宋体" w:cs="宋体"/>
          <w:color w:val="auto"/>
          <w:szCs w:val="21"/>
          <w:highlight w:val="none"/>
          <w:lang w:val="en-US" w:eastAsia="zh-CN"/>
        </w:rPr>
        <w:t xml:space="preserve">   15、本合同下乙方向甲方支付各项违约金累计不超过本合同暂定不含税总价的10%。</w:t>
      </w:r>
    </w:p>
    <w:p w14:paraId="7BCFEA1D">
      <w:pPr>
        <w:adjustRightIn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w:t>
      </w:r>
      <w:bookmarkStart w:id="796" w:name="OLE_LINK432"/>
      <w:r>
        <w:rPr>
          <w:rFonts w:hint="eastAsia" w:ascii="宋体" w:hAnsi="宋体" w:eastAsia="宋体" w:cs="宋体"/>
          <w:b/>
          <w:color w:val="auto"/>
          <w:szCs w:val="21"/>
          <w:highlight w:val="none"/>
        </w:rPr>
        <w:t>二十</w:t>
      </w:r>
      <w:bookmarkEnd w:id="796"/>
      <w:r>
        <w:rPr>
          <w:rFonts w:hint="eastAsia" w:ascii="宋体" w:hAnsi="宋体" w:eastAsia="宋体" w:cs="宋体"/>
          <w:b/>
          <w:color w:val="auto"/>
          <w:szCs w:val="21"/>
          <w:highlight w:val="none"/>
        </w:rPr>
        <w:t xml:space="preserve">二条 </w:t>
      </w:r>
      <w:bookmarkStart w:id="797" w:name="OLE_LINK106"/>
      <w:r>
        <w:rPr>
          <w:rFonts w:hint="eastAsia" w:ascii="宋体" w:hAnsi="宋体" w:eastAsia="宋体" w:cs="宋体"/>
          <w:b/>
          <w:color w:val="auto"/>
          <w:szCs w:val="21"/>
          <w:highlight w:val="none"/>
        </w:rPr>
        <w:t>争议解决</w:t>
      </w:r>
      <w:bookmarkEnd w:id="797"/>
    </w:p>
    <w:p w14:paraId="456CBFC1">
      <w:pPr>
        <w:pStyle w:val="20"/>
        <w:snapToGrid w:val="0"/>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双方在履约中发生争执和分歧，双方应通过友好协商解决，如不能通过友好协商解决的，任何一方均可向甲方住所地有管辖权的人民法院提起诉讼解决。</w:t>
      </w:r>
    </w:p>
    <w:p w14:paraId="04F01225">
      <w:pPr>
        <w:pStyle w:val="20"/>
        <w:snapToGrid w:val="0"/>
        <w:spacing w:line="360" w:lineRule="auto"/>
        <w:ind w:right="0" w:firstLine="422" w:firstLineChars="200"/>
        <w:jc w:val="both"/>
        <w:rPr>
          <w:rFonts w:hAnsi="宋体" w:cs="宋体"/>
          <w:color w:val="auto"/>
          <w:sz w:val="21"/>
          <w:szCs w:val="21"/>
          <w:highlight w:val="none"/>
          <w:lang w:val="en-US"/>
        </w:rPr>
      </w:pPr>
      <w:r>
        <w:rPr>
          <w:rFonts w:hint="eastAsia" w:hAnsi="宋体" w:cs="宋体"/>
          <w:color w:val="auto"/>
          <w:sz w:val="21"/>
          <w:szCs w:val="21"/>
          <w:highlight w:val="none"/>
        </w:rPr>
        <w:t>第</w:t>
      </w:r>
      <w:r>
        <w:rPr>
          <w:rFonts w:hint="eastAsia" w:hAnsi="宋体" w:cs="宋体"/>
          <w:color w:val="auto"/>
          <w:sz w:val="21"/>
          <w:szCs w:val="21"/>
          <w:highlight w:val="none"/>
          <w:lang w:val="en-US"/>
        </w:rPr>
        <w:t>二十三</w:t>
      </w:r>
      <w:r>
        <w:rPr>
          <w:rFonts w:hint="eastAsia" w:hAnsi="宋体" w:cs="宋体"/>
          <w:color w:val="auto"/>
          <w:sz w:val="21"/>
          <w:szCs w:val="21"/>
          <w:highlight w:val="none"/>
        </w:rPr>
        <w:t>条</w:t>
      </w:r>
      <w:r>
        <w:rPr>
          <w:rFonts w:hint="eastAsia" w:hAnsi="宋体" w:cs="宋体"/>
          <w:color w:val="auto"/>
          <w:sz w:val="21"/>
          <w:szCs w:val="21"/>
          <w:highlight w:val="none"/>
          <w:lang w:val="en-US"/>
        </w:rPr>
        <w:t xml:space="preserve"> </w:t>
      </w:r>
      <w:bookmarkStart w:id="798" w:name="OLE_LINK111"/>
      <w:r>
        <w:rPr>
          <w:rFonts w:hint="eastAsia" w:hAnsi="宋体" w:cs="宋体"/>
          <w:color w:val="auto"/>
          <w:sz w:val="21"/>
          <w:szCs w:val="21"/>
          <w:highlight w:val="none"/>
          <w:lang w:val="en-US"/>
        </w:rPr>
        <w:t>送达</w:t>
      </w:r>
      <w:bookmarkEnd w:id="798"/>
    </w:p>
    <w:p w14:paraId="3E757D60">
      <w:pPr>
        <w:pStyle w:val="20"/>
        <w:snapToGrid w:val="0"/>
        <w:spacing w:line="360" w:lineRule="auto"/>
        <w:ind w:right="0" w:firstLine="420" w:firstLineChars="200"/>
        <w:jc w:val="both"/>
        <w:rPr>
          <w:rFonts w:hAnsi="宋体" w:cs="宋体"/>
          <w:b w:val="0"/>
          <w:bCs w:val="0"/>
          <w:color w:val="auto"/>
          <w:sz w:val="21"/>
          <w:szCs w:val="21"/>
          <w:highlight w:val="none"/>
        </w:rPr>
      </w:pPr>
      <w:r>
        <w:rPr>
          <w:rFonts w:hint="eastAsia" w:hAnsi="宋体" w:cs="宋体"/>
          <w:b w:val="0"/>
          <w:bCs w:val="0"/>
          <w:color w:val="auto"/>
          <w:sz w:val="21"/>
          <w:szCs w:val="21"/>
          <w:highlight w:val="none"/>
        </w:rPr>
        <w:t xml:space="preserve">1、甲乙双方就本合同中涉及各类通知、协议等文件以及就合同发生纠纷时相关文件和法律文书送达时的送达地址及法律后果作如下约定： </w:t>
      </w:r>
    </w:p>
    <w:p w14:paraId="49AC997F">
      <w:pPr>
        <w:pStyle w:val="20"/>
        <w:snapToGrid w:val="0"/>
        <w:spacing w:line="360" w:lineRule="auto"/>
        <w:ind w:right="0" w:firstLine="420" w:firstLineChars="200"/>
        <w:jc w:val="both"/>
        <w:rPr>
          <w:rFonts w:hAnsi="宋体" w:cs="宋体"/>
          <w:b w:val="0"/>
          <w:bCs w:val="0"/>
          <w:color w:val="auto"/>
          <w:sz w:val="21"/>
          <w:szCs w:val="21"/>
          <w:highlight w:val="none"/>
        </w:rPr>
      </w:pPr>
      <w:r>
        <w:rPr>
          <w:rFonts w:hint="eastAsia" w:hAnsi="宋体" w:cs="宋体"/>
          <w:b w:val="0"/>
          <w:bCs w:val="0"/>
          <w:color w:val="auto"/>
          <w:sz w:val="21"/>
          <w:szCs w:val="21"/>
          <w:highlight w:val="none"/>
        </w:rPr>
        <w:t xml:space="preserve">甲方确认其有效的送达地址为【】；联系人：【】；联系电话【】。 </w:t>
      </w:r>
    </w:p>
    <w:p w14:paraId="3141CCB8">
      <w:pPr>
        <w:pStyle w:val="20"/>
        <w:snapToGrid w:val="0"/>
        <w:spacing w:line="360" w:lineRule="auto"/>
        <w:ind w:right="0" w:firstLine="420" w:firstLineChars="200"/>
        <w:jc w:val="both"/>
        <w:rPr>
          <w:rFonts w:hAnsi="宋体" w:cs="宋体"/>
          <w:b w:val="0"/>
          <w:bCs w:val="0"/>
          <w:color w:val="auto"/>
          <w:sz w:val="21"/>
          <w:szCs w:val="21"/>
          <w:highlight w:val="none"/>
        </w:rPr>
      </w:pPr>
      <w:r>
        <w:rPr>
          <w:rFonts w:hint="eastAsia" w:hAnsi="宋体" w:cs="宋体"/>
          <w:b w:val="0"/>
          <w:bCs w:val="0"/>
          <w:color w:val="auto"/>
          <w:sz w:val="21"/>
          <w:szCs w:val="21"/>
          <w:highlight w:val="none"/>
        </w:rPr>
        <w:t>乙方确认其有效的送达地址为【 】；联系人：【】；联系电话【】。</w:t>
      </w:r>
    </w:p>
    <w:p w14:paraId="06F39366">
      <w:pPr>
        <w:pStyle w:val="20"/>
        <w:snapToGrid w:val="0"/>
        <w:spacing w:line="360" w:lineRule="auto"/>
        <w:ind w:right="0" w:firstLine="420" w:firstLineChars="200"/>
        <w:jc w:val="both"/>
        <w:rPr>
          <w:rFonts w:hAnsi="宋体" w:cs="宋体"/>
          <w:b w:val="0"/>
          <w:bCs w:val="0"/>
          <w:color w:val="auto"/>
          <w:sz w:val="21"/>
          <w:szCs w:val="21"/>
          <w:highlight w:val="none"/>
        </w:rPr>
      </w:pPr>
      <w:r>
        <w:rPr>
          <w:rFonts w:hint="eastAsia" w:hAnsi="宋体" w:cs="宋体"/>
          <w:b w:val="0"/>
          <w:bCs w:val="0"/>
          <w:color w:val="auto"/>
          <w:sz w:val="21"/>
          <w:szCs w:val="21"/>
          <w:highlight w:val="none"/>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40FB916B">
      <w:pPr>
        <w:pStyle w:val="20"/>
        <w:snapToGrid w:val="0"/>
        <w:spacing w:line="360" w:lineRule="auto"/>
        <w:ind w:right="0" w:firstLine="420" w:firstLineChars="200"/>
        <w:jc w:val="both"/>
        <w:rPr>
          <w:rFonts w:hAnsi="宋体" w:cs="宋体"/>
          <w:b w:val="0"/>
          <w:bCs w:val="0"/>
          <w:color w:val="auto"/>
          <w:sz w:val="21"/>
          <w:szCs w:val="21"/>
          <w:highlight w:val="none"/>
        </w:rPr>
      </w:pPr>
      <w:r>
        <w:rPr>
          <w:rFonts w:hint="eastAsia" w:hAnsi="宋体" w:cs="宋体"/>
          <w:b w:val="0"/>
          <w:bCs w:val="0"/>
          <w:color w:val="auto"/>
          <w:sz w:val="21"/>
          <w:szCs w:val="21"/>
          <w:highlight w:val="none"/>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7065F746">
      <w:pPr>
        <w:pStyle w:val="20"/>
        <w:snapToGrid w:val="0"/>
        <w:spacing w:line="360" w:lineRule="auto"/>
        <w:ind w:right="0" w:firstLine="420" w:firstLineChars="200"/>
        <w:jc w:val="both"/>
        <w:rPr>
          <w:rFonts w:hAnsi="宋体" w:cs="宋体"/>
          <w:b w:val="0"/>
          <w:bCs w:val="0"/>
          <w:color w:val="auto"/>
          <w:sz w:val="21"/>
          <w:szCs w:val="21"/>
          <w:highlight w:val="none"/>
        </w:rPr>
      </w:pPr>
      <w:r>
        <w:rPr>
          <w:rFonts w:hint="eastAsia" w:hAnsi="宋体" w:cs="宋体"/>
          <w:b w:val="0"/>
          <w:bCs w:val="0"/>
          <w:color w:val="auto"/>
          <w:sz w:val="21"/>
          <w:szCs w:val="21"/>
          <w:highlight w:val="none"/>
        </w:rPr>
        <w:t>3、甲方的送达地址需要变更时应当履行及时通知的义务，应提前【</w:t>
      </w:r>
      <w:r>
        <w:rPr>
          <w:rFonts w:hint="eastAsia" w:hAnsi="宋体" w:cs="宋体"/>
          <w:b w:val="0"/>
          <w:bCs w:val="0"/>
          <w:color w:val="auto"/>
          <w:sz w:val="21"/>
          <w:szCs w:val="21"/>
          <w:highlight w:val="none"/>
          <w:lang w:val="en-US"/>
        </w:rPr>
        <w:t>3</w:t>
      </w:r>
      <w:r>
        <w:rPr>
          <w:rFonts w:hint="eastAsia" w:hAnsi="宋体" w:cs="宋体"/>
          <w:b w:val="0"/>
          <w:bCs w:val="0"/>
          <w:color w:val="auto"/>
          <w:sz w:val="21"/>
          <w:szCs w:val="21"/>
          <w:highlight w:val="none"/>
        </w:rPr>
        <w:t xml:space="preserve"> 】个工作日通过【 </w:t>
      </w:r>
      <w:r>
        <w:rPr>
          <w:rFonts w:hint="eastAsia" w:hAnsi="宋体" w:cs="宋体"/>
          <w:b w:val="0"/>
          <w:bCs w:val="0"/>
          <w:color w:val="auto"/>
          <w:sz w:val="21"/>
          <w:szCs w:val="21"/>
          <w:highlight w:val="none"/>
          <w:lang w:val="en-US"/>
        </w:rPr>
        <w:t>电话</w:t>
      </w:r>
      <w:r>
        <w:rPr>
          <w:rFonts w:hint="eastAsia" w:hAnsi="宋体" w:cs="宋体"/>
          <w:b w:val="0"/>
          <w:bCs w:val="0"/>
          <w:color w:val="auto"/>
          <w:sz w:val="21"/>
          <w:szCs w:val="21"/>
          <w:highlight w:val="none"/>
        </w:rPr>
        <w:t>】 的方式向乙方进行通知；乙方的送达地址需要变更时应当履行及时通知的义务，应提前【</w:t>
      </w:r>
      <w:r>
        <w:rPr>
          <w:rFonts w:hint="eastAsia" w:hAnsi="宋体" w:cs="宋体"/>
          <w:b w:val="0"/>
          <w:bCs w:val="0"/>
          <w:color w:val="auto"/>
          <w:sz w:val="21"/>
          <w:szCs w:val="21"/>
          <w:highlight w:val="none"/>
          <w:lang w:val="en-US"/>
        </w:rPr>
        <w:t>3</w:t>
      </w:r>
      <w:r>
        <w:rPr>
          <w:rFonts w:hint="eastAsia" w:hAnsi="宋体" w:cs="宋体"/>
          <w:b w:val="0"/>
          <w:bCs w:val="0"/>
          <w:color w:val="auto"/>
          <w:sz w:val="21"/>
          <w:szCs w:val="21"/>
          <w:highlight w:val="none"/>
        </w:rPr>
        <w:t xml:space="preserve"> 】个工作日通过【 </w:t>
      </w:r>
      <w:r>
        <w:rPr>
          <w:rFonts w:hint="eastAsia" w:hAnsi="宋体" w:cs="宋体"/>
          <w:b w:val="0"/>
          <w:bCs w:val="0"/>
          <w:color w:val="auto"/>
          <w:sz w:val="21"/>
          <w:szCs w:val="21"/>
          <w:highlight w:val="none"/>
          <w:lang w:val="en-US"/>
        </w:rPr>
        <w:t>电话</w:t>
      </w:r>
      <w:r>
        <w:rPr>
          <w:rFonts w:hint="eastAsia" w:hAnsi="宋体" w:cs="宋体"/>
          <w:b w:val="0"/>
          <w:bCs w:val="0"/>
          <w:color w:val="auto"/>
          <w:sz w:val="21"/>
          <w:szCs w:val="21"/>
          <w:highlight w:val="none"/>
        </w:rPr>
        <w:t>】的方式向甲方进行通知。</w:t>
      </w:r>
    </w:p>
    <w:p w14:paraId="48E9E741">
      <w:pPr>
        <w:pStyle w:val="20"/>
        <w:snapToGrid w:val="0"/>
        <w:spacing w:line="360" w:lineRule="auto"/>
        <w:ind w:right="0" w:firstLine="420" w:firstLineChars="200"/>
        <w:jc w:val="both"/>
        <w:rPr>
          <w:rFonts w:hAnsi="宋体" w:cs="宋体"/>
          <w:b w:val="0"/>
          <w:bCs w:val="0"/>
          <w:color w:val="auto"/>
          <w:sz w:val="21"/>
          <w:szCs w:val="21"/>
          <w:highlight w:val="none"/>
        </w:rPr>
      </w:pPr>
      <w:r>
        <w:rPr>
          <w:rFonts w:hint="eastAsia" w:hAnsi="宋体" w:cs="宋体"/>
          <w:b w:val="0"/>
          <w:bCs w:val="0"/>
          <w:color w:val="auto"/>
          <w:sz w:val="21"/>
          <w:szCs w:val="21"/>
          <w:highlight w:val="none"/>
        </w:rPr>
        <w:t xml:space="preserve"> 4、本条款具有独立法律效力，不因合同其他条款的无效而无效。</w:t>
      </w:r>
    </w:p>
    <w:p w14:paraId="1CFF7437">
      <w:pPr>
        <w:adjustRightIn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第二十四条 其他</w:t>
      </w:r>
    </w:p>
    <w:p w14:paraId="123109E1">
      <w:pPr>
        <w:numPr>
          <w:ilvl w:val="0"/>
          <w:numId w:val="5"/>
        </w:num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在本合同履行过程中，乙方不得消极怠工或拒不履行合同义务，否则将视为乙方违约，除按</w:t>
      </w:r>
      <w:bookmarkStart w:id="799" w:name="OLE_LINK271"/>
      <w:r>
        <w:rPr>
          <w:rFonts w:hint="eastAsia" w:ascii="宋体" w:hAnsi="宋体" w:eastAsia="宋体" w:cs="宋体"/>
          <w:color w:val="auto"/>
          <w:szCs w:val="21"/>
          <w:highlight w:val="none"/>
        </w:rPr>
        <w:t>本合同</w:t>
      </w:r>
      <w:bookmarkEnd w:id="799"/>
      <w:r>
        <w:rPr>
          <w:rFonts w:hint="eastAsia" w:ascii="宋体" w:hAnsi="宋体" w:eastAsia="宋体" w:cs="宋体"/>
          <w:color w:val="auto"/>
          <w:szCs w:val="21"/>
          <w:highlight w:val="none"/>
        </w:rPr>
        <w:t xml:space="preserve">约定追究违约责任外，甲方仍有权就违约事宜向乙方提出改正的通知，如在甲方限期内乙方仍拒不改正的，甲方有权单方解除合同，并有权依法委托有资质的第三方继续履行本合同义务，由此造成的一切损失由乙方全部承担。   </w:t>
      </w:r>
    </w:p>
    <w:p w14:paraId="54B9DD57">
      <w:pPr>
        <w:numPr>
          <w:ilvl w:val="255"/>
          <w:numId w:val="0"/>
        </w:num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2、无论是否在质保期内，因货物质量问题发生安全事故或引起其他损失、造成不良后果的，乙方应承担全部责任及损失赔偿。</w:t>
      </w:r>
    </w:p>
    <w:p w14:paraId="66545A3A">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在合同期内，乙方在进入甲方场地前应签订《安全生产管理协议》。乙方须做好安全防护措施（包括但不限于不停产情况下池面上空作业的安全防护措施、高空作业防护措施、带电作业防护措施等），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08D333DA">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在合同履行期间，若发现乙方投标文件更改或删除了招标文件用户需求书、采购清单内的项目或数量等情况时，并不能免除乙方按照图纸、标准与规范实施合同的任何责任，并将视为该项费用已包括在合同价款内，甲方不另行向乙方支付费用。</w:t>
      </w:r>
    </w:p>
    <w:p w14:paraId="119BCF13">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b/>
          <w:bCs/>
          <w:color w:val="auto"/>
          <w:szCs w:val="21"/>
          <w:highlight w:val="none"/>
          <w:u w:val="single"/>
        </w:rPr>
        <w:t>双方确认合同签订后开展本项目工作存在的一切风险(包括项目取消、项目延期或停工、项目调整、项目范围及内容调整、服务范围及内容调整等)，项目实施过程中因发生上述风险时甲方有权单方解除或变更合同，不视为甲方违约，乙方承诺不因上述风险的发生而向甲方提出申请费用(或补偿费用、赔偿等)。若因上述风险的发生导致本合同解除或终止时，以合同解除或终止之日为标准先由双方协商重做处理，无法协商一致的按乙方实际已安装的组件进行结算，甲方无需对其他未安装或未交付货物及服务折算支付或补偿/赔偿</w:t>
      </w:r>
      <w:r>
        <w:rPr>
          <w:rFonts w:hint="eastAsia" w:ascii="宋体" w:hAnsi="宋体" w:eastAsia="宋体" w:cs="宋体"/>
          <w:color w:val="auto"/>
          <w:szCs w:val="21"/>
          <w:highlight w:val="none"/>
        </w:rPr>
        <w:t>。</w:t>
      </w:r>
    </w:p>
    <w:p w14:paraId="2C400291">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6、本合同壹式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份，招标代理机构</w:t>
      </w:r>
      <w:r>
        <w:rPr>
          <w:rFonts w:hint="eastAsia" w:ascii="宋体" w:hAnsi="宋体" w:eastAsia="宋体" w:cs="宋体"/>
          <w:color w:val="auto"/>
          <w:szCs w:val="21"/>
          <w:highlight w:val="none"/>
          <w:u w:val="single"/>
        </w:rPr>
        <w:t xml:space="preserve"> 壹 </w:t>
      </w:r>
      <w:r>
        <w:rPr>
          <w:rFonts w:hint="eastAsia" w:ascii="宋体" w:hAnsi="宋体" w:eastAsia="宋体" w:cs="宋体"/>
          <w:color w:val="auto"/>
          <w:szCs w:val="21"/>
          <w:highlight w:val="none"/>
        </w:rPr>
        <w:t>份，均具有同等法律效力。</w:t>
      </w:r>
    </w:p>
    <w:p w14:paraId="1DBD9097">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7、本合同自甲乙双方法定代表人或负责人签字并盖章之日起生效，至全部合同义务履行完毕时终止。</w:t>
      </w:r>
    </w:p>
    <w:p w14:paraId="745F430B">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本合同所有附件及本项目的招标文件、答疑文件、投标文件、补充通知及相关承诺、协议等均为本合同有效组成部分，与本合同同具法律效力，该等文件与本合同正文约定不一致的，以有利于甲方的约定为准。</w:t>
      </w:r>
    </w:p>
    <w:p w14:paraId="7AABF6BF">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甲方依据本合同条款对乙方处以违约金、赔偿金、扣款、其他应付费用等款项的，乙方应在收到违约（赔偿、扣款或其他应付费用等款项）处理通知书之日起的五个工作日内书面授权乙方相关工作人员将款项交至甲方指定账户（须备注本项目名称），甲方向乙方提供收据。如乙方未按上述要求交纳违约金、赔偿、扣款等款项的，甲方不予审批乙方当期的请款。</w:t>
      </w:r>
    </w:p>
    <w:p w14:paraId="2939E25E">
      <w:pPr>
        <w:adjustRightIn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开户名称：</w:t>
      </w:r>
    </w:p>
    <w:p w14:paraId="76E0E2CF">
      <w:pPr>
        <w:adjustRightIn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p>
    <w:p w14:paraId="3E6AFFAD">
      <w:pPr>
        <w:adjustRightIn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银行账号：</w:t>
      </w:r>
    </w:p>
    <w:p w14:paraId="730F77E2">
      <w:pPr>
        <w:adjustRightInd w:val="0"/>
        <w:spacing w:line="360" w:lineRule="auto"/>
        <w:ind w:firstLine="371" w:firstLineChars="177"/>
        <w:rPr>
          <w:rFonts w:ascii="宋体" w:hAnsi="宋体" w:eastAsia="宋体" w:cs="宋体"/>
          <w:color w:val="auto"/>
          <w:szCs w:val="21"/>
          <w:highlight w:val="none"/>
        </w:rPr>
      </w:pPr>
      <w:bookmarkStart w:id="800" w:name="OLE_LINK272"/>
      <w:r>
        <w:rPr>
          <w:rFonts w:hint="eastAsia" w:ascii="宋体" w:hAnsi="宋体" w:eastAsia="宋体" w:cs="宋体"/>
          <w:color w:val="auto"/>
          <w:szCs w:val="21"/>
          <w:highlight w:val="none"/>
        </w:rPr>
        <w:t>10、本合同未尽事宜，由双方协商处理。</w:t>
      </w:r>
    </w:p>
    <w:bookmarkEnd w:id="800"/>
    <w:p w14:paraId="124965F1">
      <w:pPr>
        <w:adjustRightIn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合同附件：</w:t>
      </w:r>
    </w:p>
    <w:p w14:paraId="40B8EA89">
      <w:pPr>
        <w:adjustRightIn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1.报价信封</w:t>
      </w:r>
    </w:p>
    <w:p w14:paraId="696C92C4">
      <w:pPr>
        <w:adjustRightIn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2.用户需求书</w:t>
      </w:r>
    </w:p>
    <w:p w14:paraId="7C8F3703">
      <w:pPr>
        <w:adjustRightIn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3.中标通知书</w:t>
      </w:r>
    </w:p>
    <w:p w14:paraId="7D17D467">
      <w:pPr>
        <w:adjustRightIn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4.</w:t>
      </w:r>
      <w:bookmarkStart w:id="801" w:name="OLE_LINK312"/>
      <w:r>
        <w:rPr>
          <w:rFonts w:hint="eastAsia" w:ascii="宋体" w:hAnsi="宋体" w:eastAsia="宋体" w:cs="宋体"/>
          <w:color w:val="auto"/>
          <w:szCs w:val="21"/>
          <w:highlight w:val="none"/>
        </w:rPr>
        <w:t>安全生产管理协议</w:t>
      </w:r>
      <w:bookmarkEnd w:id="801"/>
    </w:p>
    <w:p w14:paraId="11792CF1">
      <w:pPr>
        <w:adjustRightIn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5.</w:t>
      </w:r>
      <w:bookmarkStart w:id="802" w:name="OLE_LINK113"/>
      <w:r>
        <w:rPr>
          <w:rFonts w:hint="eastAsia" w:ascii="宋体" w:hAnsi="宋体" w:eastAsia="宋体" w:cs="宋体"/>
          <w:color w:val="auto"/>
          <w:szCs w:val="21"/>
          <w:highlight w:val="none"/>
        </w:rPr>
        <w:t>廉洁协议书</w:t>
      </w:r>
      <w:bookmarkEnd w:id="802"/>
    </w:p>
    <w:p w14:paraId="30C6AAEE">
      <w:pPr>
        <w:adjustRightIn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6.履约担保</w:t>
      </w:r>
    </w:p>
    <w:p w14:paraId="4BB7564B">
      <w:pPr>
        <w:adjustRightIn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.运维服务质量季度考核评分表</w:t>
      </w:r>
    </w:p>
    <w:p w14:paraId="55FDE897">
      <w:pPr>
        <w:adjustRightInd w:val="0"/>
        <w:spacing w:line="360" w:lineRule="auto"/>
        <w:ind w:firstLine="371" w:firstLineChars="177"/>
        <w:rPr>
          <w:rFonts w:ascii="宋体" w:hAnsi="宋体" w:eastAsia="宋体" w:cs="宋体"/>
          <w:color w:val="auto"/>
          <w:szCs w:val="21"/>
          <w:highlight w:val="none"/>
        </w:rPr>
      </w:pPr>
      <w:bookmarkStart w:id="803" w:name="OLE_LINK273"/>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.招标文件（另附）</w:t>
      </w:r>
    </w:p>
    <w:p w14:paraId="29E32643">
      <w:pPr>
        <w:adjustRightIn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.投标文件（另附）</w:t>
      </w:r>
    </w:p>
    <w:bookmarkEnd w:id="803"/>
    <w:p w14:paraId="56BDC33F">
      <w:pPr>
        <w:adjustRightInd w:val="0"/>
        <w:spacing w:line="360" w:lineRule="auto"/>
        <w:ind w:firstLine="373" w:firstLineChars="177"/>
        <w:rPr>
          <w:rFonts w:ascii="宋体" w:hAnsi="宋体" w:eastAsia="宋体" w:cs="宋体"/>
          <w:color w:val="auto"/>
          <w:szCs w:val="21"/>
          <w:highlight w:val="none"/>
        </w:rPr>
      </w:pPr>
      <w:r>
        <w:rPr>
          <w:rFonts w:hint="eastAsia" w:ascii="宋体" w:hAnsi="宋体" w:eastAsia="宋体" w:cs="宋体"/>
          <w:b/>
          <w:bCs/>
          <w:color w:val="auto"/>
          <w:kern w:val="0"/>
          <w:szCs w:val="21"/>
          <w:highlight w:val="none"/>
        </w:rPr>
        <w:t>(以下无正文内容为签字盖章页)</w:t>
      </w:r>
    </w:p>
    <w:p w14:paraId="4898857A">
      <w:pPr>
        <w:jc w:val="left"/>
        <w:rPr>
          <w:rFonts w:ascii="宋体" w:hAnsi="宋体" w:eastAsia="宋体" w:cs="宋体"/>
          <w:color w:val="auto"/>
          <w:szCs w:val="21"/>
          <w:highlight w:val="none"/>
        </w:rPr>
      </w:pPr>
    </w:p>
    <w:p w14:paraId="0E82C3C6">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     </w:t>
      </w:r>
    </w:p>
    <w:p w14:paraId="66EBD7B2">
      <w:pPr>
        <w:pStyle w:val="20"/>
        <w:snapToGrid w:val="0"/>
        <w:spacing w:line="360" w:lineRule="auto"/>
        <w:ind w:right="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法定代表（或负责）人：</w:t>
      </w:r>
      <w:r>
        <w:rPr>
          <w:rFonts w:hint="eastAsia" w:hAnsi="宋体" w:cs="宋体"/>
          <w:b w:val="0"/>
          <w:bCs w:val="0"/>
          <w:color w:val="auto"/>
          <w:sz w:val="21"/>
          <w:szCs w:val="21"/>
          <w:highlight w:val="none"/>
          <w:lang w:val="en-US"/>
        </w:rPr>
        <w:t xml:space="preserve">                   </w:t>
      </w:r>
    </w:p>
    <w:p w14:paraId="1153F831">
      <w:pPr>
        <w:pStyle w:val="20"/>
        <w:snapToGrid w:val="0"/>
        <w:spacing w:line="360" w:lineRule="auto"/>
        <w:ind w:right="0"/>
        <w:jc w:val="left"/>
        <w:rPr>
          <w:rFonts w:hAnsi="宋体" w:cs="宋体"/>
          <w:color w:val="auto"/>
          <w:sz w:val="21"/>
          <w:szCs w:val="21"/>
          <w:highlight w:val="none"/>
          <w:lang w:val="en-US"/>
        </w:rPr>
      </w:pPr>
      <w:r>
        <w:rPr>
          <w:rFonts w:hint="eastAsia" w:hAnsi="宋体" w:cs="宋体"/>
          <w:b w:val="0"/>
          <w:bCs w:val="0"/>
          <w:color w:val="auto"/>
          <w:sz w:val="21"/>
          <w:szCs w:val="21"/>
          <w:highlight w:val="none"/>
          <w:lang w:val="en-US"/>
        </w:rPr>
        <w:t xml:space="preserve">                     </w:t>
      </w:r>
    </w:p>
    <w:p w14:paraId="17CE99BF">
      <w:pPr>
        <w:snapToGrid w:val="0"/>
        <w:spacing w:line="360" w:lineRule="auto"/>
        <w:rPr>
          <w:rFonts w:ascii="宋体" w:hAnsi="宋体" w:eastAsia="宋体" w:cs="宋体"/>
          <w:color w:val="auto"/>
          <w:szCs w:val="21"/>
          <w:highlight w:val="none"/>
        </w:rPr>
      </w:pPr>
    </w:p>
    <w:p w14:paraId="037D8DB2">
      <w:pPr>
        <w:spacing w:line="360" w:lineRule="auto"/>
        <w:rPr>
          <w:rFonts w:ascii="宋体" w:hAnsi="宋体" w:eastAsia="宋体" w:cs="宋体"/>
          <w:color w:val="auto"/>
          <w:szCs w:val="21"/>
          <w:highlight w:val="none"/>
        </w:rPr>
      </w:pPr>
    </w:p>
    <w:p w14:paraId="46BD4FAD">
      <w:pPr>
        <w:spacing w:line="360" w:lineRule="auto"/>
        <w:rPr>
          <w:rFonts w:ascii="宋体" w:hAnsi="宋体" w:eastAsia="宋体" w:cs="宋体"/>
          <w:color w:val="auto"/>
          <w:szCs w:val="21"/>
          <w:highlight w:val="none"/>
        </w:rPr>
      </w:pPr>
    </w:p>
    <w:p w14:paraId="210E935C">
      <w:pPr>
        <w:pStyle w:val="20"/>
        <w:snapToGrid w:val="0"/>
        <w:spacing w:line="360" w:lineRule="auto"/>
        <w:ind w:right="0"/>
        <w:jc w:val="left"/>
        <w:rPr>
          <w:rFonts w:hAnsi="宋体" w:cs="宋体"/>
          <w:color w:val="auto"/>
          <w:sz w:val="21"/>
          <w:szCs w:val="21"/>
          <w:highlight w:val="none"/>
        </w:rPr>
      </w:pPr>
    </w:p>
    <w:p w14:paraId="6BCB7DB5">
      <w:pPr>
        <w:pStyle w:val="20"/>
        <w:snapToGrid w:val="0"/>
        <w:spacing w:line="360" w:lineRule="auto"/>
        <w:ind w:right="0"/>
        <w:jc w:val="left"/>
        <w:rPr>
          <w:rFonts w:hAnsi="宋体" w:cs="宋体"/>
          <w:b w:val="0"/>
          <w:bCs w:val="0"/>
          <w:color w:val="auto"/>
          <w:sz w:val="21"/>
          <w:szCs w:val="21"/>
          <w:highlight w:val="none"/>
        </w:rPr>
      </w:pPr>
      <w:r>
        <w:rPr>
          <w:rFonts w:hint="eastAsia" w:hAnsi="宋体" w:cs="宋体"/>
          <w:b w:val="0"/>
          <w:bCs w:val="0"/>
          <w:color w:val="auto"/>
          <w:sz w:val="21"/>
          <w:szCs w:val="21"/>
          <w:highlight w:val="none"/>
          <w:lang w:val="en-US"/>
        </w:rPr>
        <w:t>乙</w:t>
      </w:r>
      <w:r>
        <w:rPr>
          <w:rFonts w:hint="eastAsia" w:hAnsi="宋体" w:cs="宋体"/>
          <w:b w:val="0"/>
          <w:bCs w:val="0"/>
          <w:color w:val="auto"/>
          <w:sz w:val="21"/>
          <w:szCs w:val="21"/>
          <w:highlight w:val="none"/>
        </w:rPr>
        <w:t>方：</w:t>
      </w:r>
    </w:p>
    <w:p w14:paraId="05CBC665">
      <w:pPr>
        <w:pStyle w:val="20"/>
        <w:snapToGrid w:val="0"/>
        <w:spacing w:line="360" w:lineRule="auto"/>
        <w:ind w:right="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法定代表（或负责）人：</w:t>
      </w:r>
    </w:p>
    <w:p w14:paraId="33580821">
      <w:pPr>
        <w:pStyle w:val="20"/>
        <w:snapToGrid w:val="0"/>
        <w:spacing w:line="360" w:lineRule="auto"/>
        <w:ind w:right="0"/>
        <w:jc w:val="left"/>
        <w:rPr>
          <w:rFonts w:hAnsi="宋体" w:cs="宋体"/>
          <w:b w:val="0"/>
          <w:bCs w:val="0"/>
          <w:color w:val="auto"/>
          <w:sz w:val="21"/>
          <w:szCs w:val="21"/>
          <w:highlight w:val="none"/>
        </w:rPr>
      </w:pPr>
    </w:p>
    <w:p w14:paraId="0EBA32CE">
      <w:pPr>
        <w:pStyle w:val="20"/>
        <w:snapToGrid w:val="0"/>
        <w:spacing w:line="360" w:lineRule="auto"/>
        <w:ind w:right="0"/>
        <w:jc w:val="left"/>
        <w:rPr>
          <w:rFonts w:hAnsi="宋体" w:cs="宋体"/>
          <w:b w:val="0"/>
          <w:bCs w:val="0"/>
          <w:color w:val="auto"/>
          <w:sz w:val="21"/>
          <w:szCs w:val="21"/>
          <w:highlight w:val="none"/>
        </w:rPr>
      </w:pPr>
    </w:p>
    <w:p w14:paraId="7908C683">
      <w:pPr>
        <w:spacing w:line="360" w:lineRule="auto"/>
        <w:rPr>
          <w:rFonts w:ascii="宋体" w:hAnsi="宋体" w:eastAsia="宋体" w:cs="宋体"/>
          <w:color w:val="auto"/>
          <w:szCs w:val="21"/>
          <w:highlight w:val="none"/>
        </w:rPr>
      </w:pPr>
    </w:p>
    <w:p w14:paraId="0CF594BA">
      <w:pPr>
        <w:pStyle w:val="20"/>
        <w:snapToGrid w:val="0"/>
        <w:spacing w:line="360" w:lineRule="auto"/>
        <w:ind w:right="0"/>
        <w:jc w:val="left"/>
        <w:rPr>
          <w:rFonts w:hAnsi="宋体" w:cs="宋体"/>
          <w:b w:val="0"/>
          <w:bCs w:val="0"/>
          <w:color w:val="auto"/>
          <w:sz w:val="21"/>
          <w:szCs w:val="21"/>
          <w:highlight w:val="none"/>
          <w:lang w:val="en-US"/>
        </w:rPr>
      </w:pPr>
      <w:r>
        <w:rPr>
          <w:rFonts w:hint="eastAsia" w:hAnsi="宋体" w:cs="宋体"/>
          <w:b w:val="0"/>
          <w:bCs w:val="0"/>
          <w:color w:val="auto"/>
          <w:sz w:val="21"/>
          <w:szCs w:val="21"/>
          <w:highlight w:val="none"/>
        </w:rPr>
        <w:t>签约日期：</w:t>
      </w:r>
      <w:r>
        <w:rPr>
          <w:rFonts w:hint="eastAsia" w:hAnsi="宋体" w:cs="宋体"/>
          <w:b w:val="0"/>
          <w:bCs w:val="0"/>
          <w:color w:val="auto"/>
          <w:sz w:val="21"/>
          <w:szCs w:val="21"/>
          <w:highlight w:val="none"/>
          <w:lang w:val="en-US"/>
        </w:rPr>
        <w:t xml:space="preserve">  </w:t>
      </w:r>
      <w:r>
        <w:rPr>
          <w:rFonts w:hint="eastAsia" w:hAnsi="宋体" w:cs="宋体"/>
          <w:b w:val="0"/>
          <w:bCs w:val="0"/>
          <w:color w:val="auto"/>
          <w:sz w:val="21"/>
          <w:szCs w:val="21"/>
          <w:highlight w:val="none"/>
          <w:lang w:val="en-US" w:eastAsia="zh-CN"/>
        </w:rPr>
        <w:t xml:space="preserve">  </w:t>
      </w:r>
      <w:r>
        <w:rPr>
          <w:rFonts w:hint="eastAsia" w:hAnsi="宋体" w:cs="宋体"/>
          <w:b w:val="0"/>
          <w:bCs w:val="0"/>
          <w:color w:val="auto"/>
          <w:sz w:val="21"/>
          <w:szCs w:val="21"/>
          <w:highlight w:val="none"/>
          <w:lang w:val="en-US"/>
        </w:rPr>
        <w:t xml:space="preserve">年    月     日       </w:t>
      </w:r>
    </w:p>
    <w:p w14:paraId="04771DF5">
      <w:pPr>
        <w:pStyle w:val="20"/>
        <w:snapToGrid w:val="0"/>
        <w:spacing w:line="360" w:lineRule="auto"/>
        <w:ind w:right="0"/>
        <w:jc w:val="left"/>
        <w:rPr>
          <w:rFonts w:hAnsi="宋体" w:cs="宋体"/>
          <w:b w:val="0"/>
          <w:bCs w:val="0"/>
          <w:color w:val="auto"/>
          <w:sz w:val="21"/>
          <w:szCs w:val="21"/>
          <w:highlight w:val="none"/>
          <w:lang w:val="en-US"/>
        </w:rPr>
      </w:pPr>
      <w:r>
        <w:rPr>
          <w:rFonts w:hint="eastAsia" w:hAnsi="宋体" w:cs="宋体"/>
          <w:b w:val="0"/>
          <w:bCs w:val="0"/>
          <w:color w:val="auto"/>
          <w:sz w:val="21"/>
          <w:szCs w:val="21"/>
          <w:highlight w:val="none"/>
        </w:rPr>
        <w:t>签约地点：</w:t>
      </w:r>
      <w:r>
        <w:rPr>
          <w:rFonts w:hint="eastAsia" w:hAnsi="宋体" w:cs="宋体"/>
          <w:b w:val="0"/>
          <w:bCs w:val="0"/>
          <w:color w:val="auto"/>
          <w:sz w:val="21"/>
          <w:szCs w:val="21"/>
          <w:highlight w:val="none"/>
          <w:lang w:val="en-US"/>
        </w:rPr>
        <w:t>广东省东莞市</w:t>
      </w:r>
    </w:p>
    <w:p w14:paraId="15F92230">
      <w:pPr>
        <w:autoSpaceDE w:val="0"/>
        <w:autoSpaceDN w:val="0"/>
        <w:adjustRightInd w:val="0"/>
        <w:jc w:val="left"/>
        <w:rPr>
          <w:rFonts w:ascii="宋体" w:hAnsi="宋体" w:eastAsia="宋体" w:cs="宋体"/>
          <w:b/>
          <w:bCs/>
          <w:color w:val="auto"/>
          <w:kern w:val="0"/>
          <w:sz w:val="28"/>
          <w:szCs w:val="28"/>
          <w:highlight w:val="none"/>
          <w:lang w:bidi="ar"/>
        </w:rPr>
      </w:pPr>
    </w:p>
    <w:p w14:paraId="2D26312A">
      <w:pPr>
        <w:autoSpaceDE w:val="0"/>
        <w:autoSpaceDN w:val="0"/>
        <w:adjustRightInd w:val="0"/>
        <w:jc w:val="left"/>
        <w:rPr>
          <w:rFonts w:ascii="宋体" w:hAnsi="宋体" w:eastAsia="宋体" w:cs="宋体"/>
          <w:b/>
          <w:bCs/>
          <w:color w:val="auto"/>
          <w:kern w:val="0"/>
          <w:sz w:val="28"/>
          <w:szCs w:val="28"/>
          <w:highlight w:val="none"/>
          <w:lang w:bidi="ar"/>
        </w:rPr>
      </w:pPr>
    </w:p>
    <w:p w14:paraId="18F3103F">
      <w:pPr>
        <w:autoSpaceDE w:val="0"/>
        <w:autoSpaceDN w:val="0"/>
        <w:adjustRightInd w:val="0"/>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bidi="ar"/>
        </w:rPr>
        <w:t xml:space="preserve"> </w:t>
      </w:r>
    </w:p>
    <w:p w14:paraId="39641E1E">
      <w:pPr>
        <w:pageBreakBefore/>
        <w:wordWrap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附件4：安全生产管理协议</w:t>
      </w:r>
    </w:p>
    <w:p w14:paraId="56D0BBEB">
      <w:pPr>
        <w:spacing w:line="360" w:lineRule="auto"/>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安全生产管理协议</w:t>
      </w:r>
    </w:p>
    <w:p w14:paraId="66B6C992">
      <w:pPr>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u w:val="single"/>
        </w:rPr>
        <w:t xml:space="preserve">                             </w:t>
      </w:r>
    </w:p>
    <w:p w14:paraId="77CA9A90">
      <w:pPr>
        <w:pStyle w:val="39"/>
        <w:shd w:val="clear" w:color="auto" w:fill="FFFFFF"/>
        <w:spacing w:line="360" w:lineRule="auto"/>
        <w:rPr>
          <w:rFonts w:ascii="宋体" w:hAnsi="宋体" w:cs="宋体"/>
          <w:color w:val="auto"/>
          <w:highlight w:val="none"/>
          <w:u w:val="single"/>
        </w:rPr>
      </w:pPr>
      <w:r>
        <w:rPr>
          <w:rFonts w:hint="eastAsia" w:ascii="宋体" w:hAnsi="宋体" w:cs="宋体"/>
          <w:color w:val="auto"/>
          <w:highlight w:val="none"/>
        </w:rPr>
        <w:t>乙方：</w:t>
      </w:r>
      <w:r>
        <w:rPr>
          <w:rFonts w:hint="eastAsia" w:ascii="宋体" w:hAnsi="宋体" w:cs="宋体"/>
          <w:color w:val="auto"/>
          <w:highlight w:val="none"/>
          <w:u w:val="single"/>
        </w:rPr>
        <w:t xml:space="preserve">                             </w:t>
      </w:r>
    </w:p>
    <w:p w14:paraId="6F77341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根据《中华人民共和国安全生产法》和《东莞市发展和改革局分布式光伏发电项目建设管理办法》等安全生产相关法律法规的要求，为加强施工现场的安全管理，落实各自的安全生产职责，进一步加强施工单位和施工（运维）人员的安全管理，杜绝施工单位和施工（运维）人员因安全管理不善而引发的各类安全事故，保证甲、乙双方的财产和员工的人身安全不受侵害，经甲乙双方协商一致，签订协议如下：</w:t>
      </w:r>
    </w:p>
    <w:p w14:paraId="5B0D0E9E">
      <w:pPr>
        <w:numPr>
          <w:ilvl w:val="0"/>
          <w:numId w:val="6"/>
        </w:num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本项目在建设过程中乙方是责任主体并承担安全生产主体责任；本项目在建成并网并完成移交后，在本合同运维期内，乙方是本项目安全运行的责任主体。</w:t>
      </w:r>
    </w:p>
    <w:p w14:paraId="34F8F8C3">
      <w:pPr>
        <w:numPr>
          <w:ilvl w:val="0"/>
          <w:numId w:val="6"/>
        </w:num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w:t>
      </w:r>
    </w:p>
    <w:p w14:paraId="5D6540B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3、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358EEFC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4、乙方使用被派遣劳动者的，应当将被派遣劳动者纳入本单位从业人员统一管理，对被派遣劳动者进行岗位安全操作规程和安全操作技能的教育和培训。</w:t>
      </w:r>
    </w:p>
    <w:p w14:paraId="62962A4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5、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5608A06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6、乙方应当教育和督促从业人员严格执行本单位的安全生产规章制度和安全操作规程；并向从业人员如实告知作业场所和工作岗位存在的危险因素、防范措施以及事故应急措施。</w:t>
      </w:r>
    </w:p>
    <w:p w14:paraId="63DFA25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7、乙方应严格遵守国家、地方政府有关安全生产及劳动保护的法律法规、标准、规定，贯彻执行甲方的各项安全管理规章制度。</w:t>
      </w:r>
    </w:p>
    <w:p w14:paraId="4556513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8、乙方依法参加工伤保险，为从业人员缴纳保险费，并应当为从事危险作业的人员办理意外伤害保险。</w:t>
      </w:r>
    </w:p>
    <w:p w14:paraId="375E80F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9、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1AE2762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10、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22CB5A1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11、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7DFD1A7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12、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解除合同，并要求乙方清退出场。</w:t>
      </w:r>
    </w:p>
    <w:p w14:paraId="0C5004C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13、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244F5AC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14、在施工过程中，需要进行动土、动火、登高、吊装、断路、进入限制性空间、不停产池面上空作业、高空作业、带电作业等危险性较高的作业时，乙方的施工负责人、专职或兼职安全员必须现场确认，确保安全后，方可开始施工。</w:t>
      </w:r>
    </w:p>
    <w:p w14:paraId="0E15EAE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15、因乙方原因，造成乙方损失，由乙方自负，给甲方造成财产损失和人员伤害，乙方要负全部责任，并全额赔偿甲方。</w:t>
      </w:r>
    </w:p>
    <w:p w14:paraId="5344C3C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16、非因甲方原因，造成乙方损失的，甲方不承担任何责任，由乙方自行承担全部责任。</w:t>
      </w:r>
    </w:p>
    <w:p w14:paraId="0C27DFD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17、乙方应严格遵守法律法规以及甲方的安全管理要求，并接受甲方的安全生产工作协调和监督，积极消除安全隐患。安全管理的基本要求包括但不限于以下条款：</w:t>
      </w:r>
    </w:p>
    <w:p w14:paraId="621A43C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①禁火区内严禁吸烟、动火。有火灾危险的作业区域，乙方必须配置足够的灭火设施。</w:t>
      </w:r>
    </w:p>
    <w:p w14:paraId="21E8D83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②焊接、气割作业时两瓶距离必须达到5M及以上，气瓶距可能产生火花的电器、设备和其它火源的间距必须达到10M及以上。</w:t>
      </w:r>
    </w:p>
    <w:p w14:paraId="6BE2C94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③严禁在厂内道路、消防通道内搭建临时建筑或堆放物资。</w:t>
      </w:r>
    </w:p>
    <w:p w14:paraId="3DA9758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④施工场所的电动工具、电焊机等须有漏电保护器和相应的安全防护装置。</w:t>
      </w:r>
    </w:p>
    <w:p w14:paraId="1CF2694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⑤施工现场及居住室、办公室内的用电设施必须符合要求，严禁电线乱接、乱拉，刀闸和开关无盖，在电器设施上堆放物品。</w:t>
      </w:r>
    </w:p>
    <w:p w14:paraId="53A9818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⑥防雷、防静电设施及用电设施要有良好接地。</w:t>
      </w:r>
    </w:p>
    <w:p w14:paraId="45D8EE0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⑦施工现场的危险区域，如临边、深坑、土方堆填区等，必须设置围栏和危险标志，夜间要设信号灯。</w:t>
      </w:r>
    </w:p>
    <w:p w14:paraId="013558C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49A991F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45B91E5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566AD90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18、乙方必须接受甲方的检查与监督，并应主动配合，做好安全工作，凡有违反上述协议的即视为乙方违约，甲方有权视情况从工程结算款/服务价款中扣除2000元/次作为违约金。</w:t>
      </w:r>
    </w:p>
    <w:p w14:paraId="6BD8D13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19、乙方对施工过程中潜在的安全风险不明确的，不可盲目施工，否则，造成的不良后果由乙方独自承担。</w:t>
      </w:r>
    </w:p>
    <w:p w14:paraId="354C1F7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20、本协议一式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份，自双方法定代表人或负责人签字后生效。</w:t>
      </w:r>
    </w:p>
    <w:p w14:paraId="24FAC0ED">
      <w:pPr>
        <w:spacing w:line="360" w:lineRule="auto"/>
        <w:rPr>
          <w:rFonts w:ascii="宋体" w:hAnsi="宋体" w:eastAsia="宋体" w:cs="宋体"/>
          <w:color w:val="auto"/>
          <w:szCs w:val="21"/>
          <w:highlight w:val="none"/>
        </w:rPr>
      </w:pPr>
    </w:p>
    <w:p w14:paraId="0E67164C">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乙方声明：</w:t>
      </w:r>
    </w:p>
    <w:p w14:paraId="40D790E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乙方已认真阅读协议内容，对协议条款、</w:t>
      </w:r>
      <w:r>
        <w:rPr>
          <w:rFonts w:hint="eastAsia" w:ascii="宋体" w:hAnsi="宋体" w:eastAsia="宋体" w:cs="宋体"/>
          <w:color w:val="auto"/>
          <w:szCs w:val="21"/>
          <w:highlight w:val="none"/>
          <w:u w:val="single"/>
        </w:rPr>
        <w:t>东莞市水务集团科技发展有限公司</w:t>
      </w:r>
      <w:r>
        <w:rPr>
          <w:rFonts w:hint="eastAsia" w:ascii="宋体" w:hAnsi="宋体" w:eastAsia="宋体" w:cs="宋体"/>
          <w:color w:val="auto"/>
          <w:szCs w:val="21"/>
          <w:highlight w:val="none"/>
        </w:rPr>
        <w:t>的安全管理要求、安全风险充分理解，并自愿承担因违约造成的一切后果。</w:t>
      </w:r>
    </w:p>
    <w:p w14:paraId="7D5DCF43">
      <w:pPr>
        <w:spacing w:line="360" w:lineRule="auto"/>
        <w:rPr>
          <w:rFonts w:ascii="宋体" w:hAnsi="宋体" w:eastAsia="宋体" w:cs="宋体"/>
          <w:color w:val="auto"/>
          <w:szCs w:val="21"/>
          <w:highlight w:val="none"/>
        </w:rPr>
      </w:pPr>
    </w:p>
    <w:p w14:paraId="7936E3F5">
      <w:pPr>
        <w:spacing w:line="360" w:lineRule="auto"/>
        <w:ind w:firstLine="424" w:firstLineChars="201"/>
        <w:rPr>
          <w:rFonts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  </w:t>
      </w:r>
    </w:p>
    <w:p w14:paraId="19988940">
      <w:pPr>
        <w:pStyle w:val="20"/>
        <w:spacing w:line="360" w:lineRule="auto"/>
        <w:rPr>
          <w:rFonts w:hAnsi="宋体" w:cs="宋体"/>
          <w:color w:val="auto"/>
          <w:sz w:val="21"/>
          <w:szCs w:val="21"/>
          <w:highlight w:val="none"/>
        </w:rPr>
      </w:pPr>
    </w:p>
    <w:p w14:paraId="00AFCCDF">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甲方（盖章）：                                   乙方（盖章）：</w:t>
      </w:r>
    </w:p>
    <w:p w14:paraId="1A1AFFA9">
      <w:pPr>
        <w:spacing w:line="360" w:lineRule="auto"/>
        <w:ind w:firstLine="424" w:firstLineChars="202"/>
        <w:rPr>
          <w:rFonts w:ascii="宋体" w:hAnsi="宋体" w:eastAsia="宋体" w:cs="宋体"/>
          <w:color w:val="auto"/>
          <w:szCs w:val="21"/>
          <w:highlight w:val="none"/>
        </w:rPr>
      </w:pPr>
    </w:p>
    <w:p w14:paraId="71420F69">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法定代表（或负责人）：                           法定代表（或负责人）：</w:t>
      </w:r>
    </w:p>
    <w:p w14:paraId="2B865033">
      <w:pPr>
        <w:spacing w:line="360" w:lineRule="auto"/>
        <w:ind w:firstLine="424" w:firstLineChars="202"/>
        <w:rPr>
          <w:rFonts w:ascii="宋体" w:hAnsi="宋体" w:eastAsia="宋体" w:cs="宋体"/>
          <w:color w:val="auto"/>
          <w:szCs w:val="21"/>
          <w:highlight w:val="none"/>
        </w:rPr>
      </w:pPr>
    </w:p>
    <w:p w14:paraId="6BF23E0D">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签订日期：    年  月  日</w:t>
      </w:r>
    </w:p>
    <w:p w14:paraId="403F86C6">
      <w:pP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73223796">
      <w:pPr>
        <w:pageBreakBefore/>
        <w:widowControl/>
        <w:autoSpaceDE w:val="0"/>
        <w:rPr>
          <w:rFonts w:ascii="宋体" w:hAnsi="宋体" w:eastAsia="宋体" w:cs="宋体"/>
          <w:b/>
          <w:color w:val="auto"/>
          <w:sz w:val="30"/>
          <w:szCs w:val="30"/>
          <w:highlight w:val="none"/>
        </w:rPr>
      </w:pPr>
      <w:r>
        <w:rPr>
          <w:rFonts w:hint="eastAsia" w:ascii="宋体" w:hAnsi="宋体" w:eastAsia="宋体" w:cs="宋体"/>
          <w:b/>
          <w:color w:val="auto"/>
          <w:szCs w:val="21"/>
          <w:highlight w:val="none"/>
          <w:lang w:bidi="ar"/>
        </w:rPr>
        <w:t>附件5：廉洁协议书</w:t>
      </w:r>
    </w:p>
    <w:p w14:paraId="359B02ED">
      <w:pPr>
        <w:spacing w:line="360" w:lineRule="auto"/>
        <w:ind w:right="31" w:rightChars="15"/>
        <w:contextualSpacing/>
        <w:jc w:val="center"/>
        <w:outlineLvl w:val="1"/>
        <w:rPr>
          <w:rFonts w:ascii="宋体" w:hAnsi="宋体" w:eastAsia="宋体" w:cs="宋体"/>
          <w:b/>
          <w:color w:val="auto"/>
          <w:sz w:val="28"/>
          <w:szCs w:val="28"/>
          <w:highlight w:val="none"/>
        </w:rPr>
      </w:pPr>
      <w:bookmarkStart w:id="804" w:name="_Toc45110891"/>
      <w:bookmarkEnd w:id="804"/>
      <w:bookmarkStart w:id="805" w:name="_Toc27037"/>
      <w:bookmarkEnd w:id="805"/>
      <w:bookmarkStart w:id="806" w:name="_Toc76971796"/>
      <w:bookmarkEnd w:id="806"/>
      <w:bookmarkStart w:id="807" w:name="_Toc20563"/>
      <w:bookmarkEnd w:id="807"/>
      <w:bookmarkStart w:id="808" w:name="_Toc6181"/>
      <w:bookmarkStart w:id="809" w:name="_Toc45110767"/>
      <w:bookmarkStart w:id="810" w:name="_Toc26382"/>
      <w:bookmarkStart w:id="811" w:name="_Toc14952"/>
      <w:bookmarkStart w:id="812" w:name="_Toc12324"/>
      <w:r>
        <w:rPr>
          <w:rFonts w:hint="eastAsia" w:ascii="宋体" w:hAnsi="宋体" w:eastAsia="宋体" w:cs="宋体"/>
          <w:b/>
          <w:color w:val="auto"/>
          <w:sz w:val="28"/>
          <w:szCs w:val="28"/>
          <w:highlight w:val="none"/>
          <w:lang w:bidi="ar"/>
        </w:rPr>
        <w:t>廉洁协议书</w:t>
      </w:r>
      <w:bookmarkEnd w:id="808"/>
      <w:bookmarkEnd w:id="809"/>
      <w:bookmarkEnd w:id="810"/>
      <w:bookmarkEnd w:id="811"/>
      <w:bookmarkEnd w:id="812"/>
    </w:p>
    <w:p w14:paraId="74CADF8D">
      <w:pPr>
        <w:spacing w:line="360" w:lineRule="auto"/>
        <w:contextualSpacing/>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项目名称：</w:t>
      </w:r>
      <w:r>
        <w:rPr>
          <w:rFonts w:hint="eastAsia" w:ascii="宋体" w:hAnsi="宋体" w:eastAsia="宋体" w:cs="宋体"/>
          <w:b/>
          <w:bCs/>
          <w:color w:val="auto"/>
          <w:szCs w:val="21"/>
          <w:highlight w:val="none"/>
          <w:lang w:eastAsia="zh-CN" w:bidi="ar"/>
        </w:rPr>
        <w:t>东莞市水务环境投资控股集团分布式光伏发电项目（第一批）供水厂项目</w:t>
      </w:r>
      <w:r>
        <w:rPr>
          <w:rFonts w:hint="eastAsia" w:ascii="宋体" w:hAnsi="宋体" w:eastAsia="宋体" w:cs="宋体"/>
          <w:b/>
          <w:bCs/>
          <w:color w:val="auto"/>
          <w:szCs w:val="21"/>
          <w:highlight w:val="none"/>
          <w:lang w:bidi="ar"/>
        </w:rPr>
        <w:t>（招标编号：            ）</w:t>
      </w:r>
    </w:p>
    <w:p w14:paraId="5FC84C60">
      <w:pPr>
        <w:spacing w:line="360" w:lineRule="auto"/>
        <w:contextualSpacing/>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甲方（业主单位）：东莞市水务集团科技发展有限公司</w:t>
      </w:r>
    </w:p>
    <w:p w14:paraId="29644260">
      <w:pPr>
        <w:spacing w:line="360" w:lineRule="auto"/>
        <w:contextualSpacing/>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乙方：</w:t>
      </w:r>
    </w:p>
    <w:p w14:paraId="770078C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2500D66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  甲乙双方的权利和义务</w:t>
      </w:r>
    </w:p>
    <w:p w14:paraId="00F86AA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（一）严格遵守党和国家有关法律法规等有关廉洁从业规定。</w:t>
      </w:r>
    </w:p>
    <w:p w14:paraId="21DB874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（二）严格执行本项目的合同文件，自觉按合同办事。</w:t>
      </w:r>
    </w:p>
    <w:p w14:paraId="653D18D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（三）双方的业务活动坚持公开、公正、诚信、透明的原则（除法律认定的商业秘密和合同文件另有规定之外）不得损害国家和集体利益，违反工程建设管理及其他法律法规规章制度。</w:t>
      </w:r>
    </w:p>
    <w:p w14:paraId="734C58D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（四）建立健全廉洁制度，开展廉洁教育，设立廉洁监督公示牌，公布举报电话，监督并认真查处违法违纪行为。</w:t>
      </w:r>
    </w:p>
    <w:p w14:paraId="01EA2E3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（五）发现对方在业务活动中有违反廉洁规定的行为，有及时提醒对方纠正的权利和义务。</w:t>
      </w:r>
    </w:p>
    <w:p w14:paraId="18EA41B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（六）发现对方严重违反本协议义务条款的行为，有向其上级有关部门举报、建议给予处理并要求告知处理结果的权利。</w:t>
      </w:r>
    </w:p>
    <w:p w14:paraId="1F29637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第二条  甲方的义务</w:t>
      </w:r>
    </w:p>
    <w:p w14:paraId="3206D33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（一）甲方及其工作人员不得索要或接受乙方的礼金、有价证券和贵重物品，不得在乙方报销任何应由甲方或个人支付的费用。</w:t>
      </w:r>
    </w:p>
    <w:p w14:paraId="6C434E1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（二）甲方工作人员不得参加乙方安排的高消费宴请和娱乐活动；不得接受乙方提供的通讯工具、交通工具和高档办公用品。</w:t>
      </w:r>
    </w:p>
    <w:p w14:paraId="05F0227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（三）甲方及其工作人员不得要求或者接受乙方为其住房装修、婚丧嫁娶活动、家属或亲友的工作安排以及出国出境、旅游等提供方便。</w:t>
      </w:r>
    </w:p>
    <w:p w14:paraId="3FA6264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（四）甲方工作人员不得向乙方介绍其家属或者亲友（包括家属或亲友开办的公司企业）从事于本项目涉及的经济业务活动。</w:t>
      </w:r>
    </w:p>
    <w:p w14:paraId="0F649CD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（五）甲方及其工作人员不得以任何理由向乙方推荐分包单位，不得要求乙方购买合同规定外的材料和设备。</w:t>
      </w:r>
    </w:p>
    <w:p w14:paraId="461B53F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（六）甲方及其工作人员不得进行违反廉洁规定的其他活动。</w:t>
      </w:r>
    </w:p>
    <w:p w14:paraId="3E65373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34E4995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第三条  乙方义务</w:t>
      </w:r>
    </w:p>
    <w:p w14:paraId="5A2908C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（一）乙方不得以任何理由向甲方及其工作人员馈赠礼金、有价证券、贵重礼品，或报销应由甲方单位或个人支付的任何费用。</w:t>
      </w:r>
    </w:p>
    <w:p w14:paraId="4719D4F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（二）乙方及其工作人员不得以考察、参观、洽谈业务、签订合同等的借口邀请甲方及其工作人员参加高消费的宴请、娱乐和健身等活动。</w:t>
      </w:r>
    </w:p>
    <w:p w14:paraId="2F15D72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（三）乙方不得为甲方单位和个人购置或提供通讯工具、交通工具和高档办公用品等。</w:t>
      </w:r>
    </w:p>
    <w:p w14:paraId="5FD6648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（四）乙方及其工作人员不得为甲方工作人员购买、装修、维修私人住房、汽车等。</w:t>
      </w:r>
    </w:p>
    <w:p w14:paraId="51016B4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（五）乙方及其工作人员不得为甲方工作人员的婚丧嫁娶、家属或亲友的工作安排，及出国出境提供方便以及报销任何私人消费的费用。</w:t>
      </w:r>
    </w:p>
    <w:p w14:paraId="436E505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（六）乙方及其工作人员不得进行影响甲方及其工作人员公正执行合同和履行职务的其他活动。</w:t>
      </w:r>
    </w:p>
    <w:p w14:paraId="47CDDD0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27BA82C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第四条  违约责任</w:t>
      </w:r>
    </w:p>
    <w:p w14:paraId="5D7C64E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（一）甲方违反本协议第一、第二条给乙方单位造成经济损失的，应予以赔偿。</w:t>
      </w:r>
    </w:p>
    <w:p w14:paraId="38FCE7A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（二）乙方违反本协议第一、第三条给甲方单位造成经济损失的，应予以赔偿。</w:t>
      </w:r>
    </w:p>
    <w:p w14:paraId="3CB3B68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第五条  监督检查</w:t>
      </w:r>
    </w:p>
    <w:p w14:paraId="3B8DC6B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甲乙双方的廉洁从业行为由双方或双方上级单位的纪检、监察负责监督，对本协议履行情况进行检查。</w:t>
      </w:r>
    </w:p>
    <w:p w14:paraId="0F58960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第六条  举报信访受理</w:t>
      </w:r>
    </w:p>
    <w:p w14:paraId="2278C61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(一)举报受理部门: 东莞市水务环境投资控股集团有限公司纪检监察部。</w:t>
      </w:r>
    </w:p>
    <w:p w14:paraId="14026E7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(二)举报电话: ( 0769 ) 23076092</w:t>
      </w:r>
    </w:p>
    <w:p w14:paraId="1A81DBF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(三)举报邮箱: jcsj@dgswjt.cn.</w:t>
      </w:r>
    </w:p>
    <w:p w14:paraId="3754BDC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(四)信访地址: 广东省东莞市东城街道育华路 1 号 </w:t>
      </w:r>
    </w:p>
    <w:p w14:paraId="04CDA55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第七条  其他</w:t>
      </w:r>
    </w:p>
    <w:p w14:paraId="12F45E6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本协议有效期为甲乙双方法定代表人或负责人签字并盖章之日起至该工程/采购项目竣工验收完毕，质保期/服务期满后止。本协议一式</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份，甲、乙双方各执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份，甲、乙双方上级主管部门各执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w:t>
      </w:r>
    </w:p>
    <w:p w14:paraId="007A6476">
      <w:pPr>
        <w:spacing w:before="48" w:beforeLines="20" w:after="48" w:afterLines="20"/>
        <w:ind w:firstLine="420" w:firstLineChars="200"/>
        <w:rPr>
          <w:rFonts w:ascii="宋体" w:hAnsi="宋体" w:eastAsia="宋体" w:cs="宋体"/>
          <w:color w:val="auto"/>
          <w:szCs w:val="21"/>
          <w:highlight w:val="none"/>
        </w:rPr>
      </w:pPr>
    </w:p>
    <w:p w14:paraId="548F5B85">
      <w:pPr>
        <w:spacing w:before="48" w:beforeLines="20" w:after="48" w:afterLines="20"/>
        <w:rPr>
          <w:rFonts w:ascii="宋体" w:hAnsi="宋体" w:eastAsia="宋体" w:cs="宋体"/>
          <w:color w:val="auto"/>
          <w:szCs w:val="21"/>
          <w:highlight w:val="none"/>
        </w:rPr>
      </w:pPr>
    </w:p>
    <w:p w14:paraId="2103178F">
      <w:pPr>
        <w:spacing w:before="48" w:beforeLines="20" w:after="48" w:afterLines="20"/>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甲方（盖章）：                   乙方（盖章）： </w:t>
      </w:r>
    </w:p>
    <w:p w14:paraId="48EBDBBA">
      <w:pPr>
        <w:spacing w:before="48" w:beforeLines="20" w:after="48" w:afterLines="20"/>
        <w:ind w:firstLine="420" w:firstLineChars="200"/>
        <w:rPr>
          <w:rFonts w:ascii="宋体" w:hAnsi="宋体" w:eastAsia="宋体" w:cs="宋体"/>
          <w:color w:val="auto"/>
          <w:szCs w:val="21"/>
          <w:highlight w:val="none"/>
        </w:rPr>
      </w:pPr>
    </w:p>
    <w:p w14:paraId="6FF68027">
      <w:pPr>
        <w:spacing w:before="48" w:beforeLines="20" w:after="48" w:afterLines="20"/>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法定代表（或负责）人：          法定代表人：</w:t>
      </w:r>
    </w:p>
    <w:p w14:paraId="19CD0DA6">
      <w:pPr>
        <w:spacing w:before="48" w:beforeLines="20" w:after="48" w:afterLines="20"/>
        <w:ind w:firstLine="420" w:firstLineChars="200"/>
        <w:rPr>
          <w:rFonts w:ascii="宋体" w:hAnsi="宋体" w:eastAsia="宋体" w:cs="宋体"/>
          <w:color w:val="auto"/>
          <w:szCs w:val="21"/>
          <w:highlight w:val="none"/>
        </w:rPr>
      </w:pPr>
    </w:p>
    <w:p w14:paraId="60556F0C">
      <w:pPr>
        <w:spacing w:before="48" w:beforeLines="20" w:after="48" w:afterLines="20"/>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甲方代表：                      乙方代表：</w:t>
      </w:r>
    </w:p>
    <w:p w14:paraId="1D6B6EF9">
      <w:pPr>
        <w:spacing w:before="48" w:beforeLines="20" w:after="48" w:afterLines="20"/>
        <w:rPr>
          <w:rFonts w:ascii="宋体" w:hAnsi="宋体" w:eastAsia="宋体" w:cs="宋体"/>
          <w:color w:val="auto"/>
          <w:szCs w:val="21"/>
          <w:highlight w:val="none"/>
        </w:rPr>
      </w:pPr>
    </w:p>
    <w:p w14:paraId="155F885D">
      <w:pPr>
        <w:spacing w:before="48" w:beforeLines="20" w:after="48" w:afterLines="20"/>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签订日期：    年  月  日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年  月  日</w:t>
      </w:r>
    </w:p>
    <w:p w14:paraId="101C4F9A">
      <w:pPr>
        <w:spacing w:before="48" w:beforeLines="20" w:after="48" w:afterLines="20"/>
        <w:ind w:firstLine="420" w:firstLineChars="200"/>
        <w:rPr>
          <w:rFonts w:ascii="宋体" w:hAnsi="宋体" w:eastAsia="宋体" w:cs="宋体"/>
          <w:color w:val="auto"/>
          <w:szCs w:val="21"/>
          <w:highlight w:val="none"/>
        </w:rPr>
      </w:pPr>
    </w:p>
    <w:p w14:paraId="4FDAFF5B">
      <w:pPr>
        <w:spacing w:before="48" w:beforeLines="20" w:after="48" w:afterLines="20"/>
        <w:ind w:firstLine="420" w:firstLineChars="200"/>
        <w:rPr>
          <w:rFonts w:ascii="宋体" w:hAnsi="宋体" w:eastAsia="宋体" w:cs="宋体"/>
          <w:color w:val="auto"/>
          <w:szCs w:val="21"/>
          <w:highlight w:val="none"/>
        </w:rPr>
      </w:pPr>
    </w:p>
    <w:p w14:paraId="6E2B32E7">
      <w:pPr>
        <w:spacing w:before="48" w:beforeLines="20" w:after="48" w:afterLines="20"/>
        <w:ind w:firstLine="420" w:firstLineChars="200"/>
        <w:rPr>
          <w:rFonts w:ascii="宋体" w:hAnsi="宋体" w:eastAsia="宋体" w:cs="宋体"/>
          <w:color w:val="auto"/>
          <w:szCs w:val="21"/>
          <w:highlight w:val="none"/>
        </w:rPr>
      </w:pPr>
    </w:p>
    <w:p w14:paraId="17D3569E">
      <w:pPr>
        <w:pageBreakBefore/>
        <w:wordWrap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w:t>
      </w:r>
      <w:r>
        <w:rPr>
          <w:rFonts w:hint="eastAsia" w:ascii="宋体" w:hAnsi="宋体" w:eastAsia="宋体" w:cs="宋体"/>
          <w:b/>
          <w:bCs/>
          <w:color w:val="auto"/>
          <w:szCs w:val="21"/>
          <w:highlight w:val="none"/>
          <w:lang w:val="en-US" w:eastAsia="zh-CN"/>
        </w:rPr>
        <w:t>7</w:t>
      </w:r>
      <w:r>
        <w:rPr>
          <w:rFonts w:hint="eastAsia" w:ascii="宋体" w:hAnsi="宋体" w:eastAsia="宋体" w:cs="宋体"/>
          <w:b/>
          <w:bCs/>
          <w:color w:val="auto"/>
          <w:szCs w:val="21"/>
          <w:highlight w:val="none"/>
        </w:rPr>
        <w:t>：运维服务质量季度考核评分表</w:t>
      </w:r>
    </w:p>
    <w:tbl>
      <w:tblPr>
        <w:tblStyle w:val="45"/>
        <w:tblW w:w="10020" w:type="dxa"/>
        <w:tblInd w:w="80" w:type="dxa"/>
        <w:tblLayout w:type="autofit"/>
        <w:tblCellMar>
          <w:top w:w="0" w:type="dxa"/>
          <w:left w:w="108" w:type="dxa"/>
          <w:bottom w:w="0" w:type="dxa"/>
          <w:right w:w="108" w:type="dxa"/>
        </w:tblCellMar>
      </w:tblPr>
      <w:tblGrid>
        <w:gridCol w:w="780"/>
        <w:gridCol w:w="1785"/>
        <w:gridCol w:w="1305"/>
        <w:gridCol w:w="3360"/>
        <w:gridCol w:w="1320"/>
        <w:gridCol w:w="1470"/>
      </w:tblGrid>
      <w:tr w14:paraId="00723F18">
        <w:tblPrEx>
          <w:tblCellMar>
            <w:top w:w="0" w:type="dxa"/>
            <w:left w:w="108" w:type="dxa"/>
            <w:bottom w:w="0" w:type="dxa"/>
            <w:right w:w="108" w:type="dxa"/>
          </w:tblCellMar>
        </w:tblPrEx>
        <w:trPr>
          <w:trHeight w:val="477" w:hRule="atLeast"/>
        </w:trPr>
        <w:tc>
          <w:tcPr>
            <w:tcW w:w="10020" w:type="dxa"/>
            <w:gridSpan w:val="6"/>
            <w:tcBorders>
              <w:top w:val="nil"/>
              <w:left w:val="nil"/>
              <w:bottom w:val="nil"/>
              <w:right w:val="nil"/>
            </w:tcBorders>
            <w:shd w:val="clear" w:color="auto" w:fill="auto"/>
            <w:vAlign w:val="center"/>
          </w:tcPr>
          <w:p w14:paraId="2B937CB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运维服务质量季度考核评分表</w:t>
            </w:r>
          </w:p>
        </w:tc>
      </w:tr>
      <w:tr w14:paraId="0FA2D2C1">
        <w:tblPrEx>
          <w:tblCellMar>
            <w:top w:w="0" w:type="dxa"/>
            <w:left w:w="108" w:type="dxa"/>
            <w:bottom w:w="0" w:type="dxa"/>
            <w:right w:w="108" w:type="dxa"/>
          </w:tblCellMar>
        </w:tblPrEx>
        <w:trPr>
          <w:trHeight w:val="471" w:hRule="atLeast"/>
        </w:trPr>
        <w:tc>
          <w:tcPr>
            <w:tcW w:w="10020" w:type="dxa"/>
            <w:gridSpan w:val="6"/>
            <w:tcBorders>
              <w:top w:val="nil"/>
              <w:left w:val="single" w:color="000000" w:sz="8" w:space="0"/>
              <w:bottom w:val="single" w:color="000000" w:sz="8" w:space="0"/>
              <w:right w:val="single" w:color="000000" w:sz="8" w:space="0"/>
            </w:tcBorders>
            <w:shd w:val="clear" w:color="auto" w:fill="auto"/>
            <w:vAlign w:val="center"/>
          </w:tcPr>
          <w:p w14:paraId="49B3134C">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考核月份：20XX年XX月—20XX年XX月</w:t>
            </w:r>
          </w:p>
        </w:tc>
      </w:tr>
      <w:tr w14:paraId="523CF3E6">
        <w:tblPrEx>
          <w:tblCellMar>
            <w:top w:w="0" w:type="dxa"/>
            <w:left w:w="108" w:type="dxa"/>
            <w:bottom w:w="0" w:type="dxa"/>
            <w:right w:w="108" w:type="dxa"/>
          </w:tblCellMar>
        </w:tblPrEx>
        <w:trPr>
          <w:trHeight w:val="27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14:paraId="3E159DD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1785" w:type="dxa"/>
            <w:tcBorders>
              <w:top w:val="single" w:color="000000" w:sz="8" w:space="0"/>
              <w:left w:val="nil"/>
              <w:bottom w:val="single" w:color="000000" w:sz="8" w:space="0"/>
              <w:right w:val="single" w:color="000000" w:sz="8" w:space="0"/>
            </w:tcBorders>
            <w:shd w:val="clear" w:color="auto" w:fill="auto"/>
            <w:vAlign w:val="center"/>
          </w:tcPr>
          <w:p w14:paraId="0F75E07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评价项目</w:t>
            </w:r>
          </w:p>
        </w:tc>
        <w:tc>
          <w:tcPr>
            <w:tcW w:w="1305" w:type="dxa"/>
            <w:tcBorders>
              <w:top w:val="single" w:color="000000" w:sz="8" w:space="0"/>
              <w:left w:val="nil"/>
              <w:bottom w:val="single" w:color="000000" w:sz="8" w:space="0"/>
              <w:right w:val="single" w:color="000000" w:sz="8" w:space="0"/>
            </w:tcBorders>
            <w:shd w:val="clear" w:color="auto" w:fill="auto"/>
            <w:vAlign w:val="center"/>
          </w:tcPr>
          <w:p w14:paraId="65056C3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扣分上限</w:t>
            </w:r>
          </w:p>
        </w:tc>
        <w:tc>
          <w:tcPr>
            <w:tcW w:w="3360" w:type="dxa"/>
            <w:tcBorders>
              <w:top w:val="single" w:color="000000" w:sz="8" w:space="0"/>
              <w:left w:val="nil"/>
              <w:bottom w:val="single" w:color="000000" w:sz="8" w:space="0"/>
              <w:right w:val="single" w:color="000000" w:sz="8" w:space="0"/>
            </w:tcBorders>
            <w:shd w:val="clear" w:color="auto" w:fill="auto"/>
            <w:vAlign w:val="center"/>
          </w:tcPr>
          <w:p w14:paraId="0FA7A59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扣分事项</w:t>
            </w:r>
          </w:p>
        </w:tc>
        <w:tc>
          <w:tcPr>
            <w:tcW w:w="1320" w:type="dxa"/>
            <w:tcBorders>
              <w:top w:val="single" w:color="000000" w:sz="8" w:space="0"/>
              <w:left w:val="nil"/>
              <w:bottom w:val="single" w:color="000000" w:sz="8" w:space="0"/>
              <w:right w:val="single" w:color="000000" w:sz="8" w:space="0"/>
            </w:tcBorders>
            <w:shd w:val="clear" w:color="auto" w:fill="auto"/>
            <w:vAlign w:val="center"/>
          </w:tcPr>
          <w:p w14:paraId="1AC056E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本次服务扣分</w:t>
            </w:r>
          </w:p>
        </w:tc>
        <w:tc>
          <w:tcPr>
            <w:tcW w:w="1470" w:type="dxa"/>
            <w:tcBorders>
              <w:top w:val="single" w:color="000000" w:sz="8" w:space="0"/>
              <w:left w:val="nil"/>
              <w:bottom w:val="single" w:color="000000" w:sz="8" w:space="0"/>
              <w:right w:val="single" w:color="000000" w:sz="8" w:space="0"/>
            </w:tcBorders>
            <w:shd w:val="clear" w:color="auto" w:fill="auto"/>
            <w:vAlign w:val="center"/>
          </w:tcPr>
          <w:p w14:paraId="10566C3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扣分说明</w:t>
            </w:r>
          </w:p>
        </w:tc>
      </w:tr>
      <w:tr w14:paraId="780C4B79">
        <w:tblPrEx>
          <w:tblCellMar>
            <w:top w:w="0" w:type="dxa"/>
            <w:left w:w="108" w:type="dxa"/>
            <w:bottom w:w="0" w:type="dxa"/>
            <w:right w:w="108" w:type="dxa"/>
          </w:tblCellMar>
        </w:tblPrEx>
        <w:trPr>
          <w:trHeight w:val="214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14:paraId="0AA0B33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785" w:type="dxa"/>
            <w:tcBorders>
              <w:top w:val="nil"/>
              <w:left w:val="nil"/>
              <w:bottom w:val="single" w:color="000000" w:sz="8" w:space="0"/>
              <w:right w:val="single" w:color="000000" w:sz="8" w:space="0"/>
            </w:tcBorders>
            <w:shd w:val="clear" w:color="auto" w:fill="auto"/>
            <w:vAlign w:val="center"/>
          </w:tcPr>
          <w:p w14:paraId="6350564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巡检服务</w:t>
            </w:r>
          </w:p>
        </w:tc>
        <w:tc>
          <w:tcPr>
            <w:tcW w:w="1305" w:type="dxa"/>
            <w:tcBorders>
              <w:top w:val="nil"/>
              <w:left w:val="nil"/>
              <w:bottom w:val="single" w:color="000000" w:sz="8" w:space="0"/>
              <w:right w:val="single" w:color="000000" w:sz="8" w:space="0"/>
            </w:tcBorders>
            <w:shd w:val="clear" w:color="auto" w:fill="auto"/>
            <w:vAlign w:val="center"/>
          </w:tcPr>
          <w:p w14:paraId="4804690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30</w:t>
            </w:r>
          </w:p>
        </w:tc>
        <w:tc>
          <w:tcPr>
            <w:tcW w:w="3360" w:type="dxa"/>
            <w:tcBorders>
              <w:top w:val="nil"/>
              <w:left w:val="nil"/>
              <w:bottom w:val="single" w:color="000000" w:sz="8" w:space="0"/>
              <w:right w:val="single" w:color="000000" w:sz="8" w:space="0"/>
            </w:tcBorders>
            <w:shd w:val="clear" w:color="auto" w:fill="auto"/>
            <w:vAlign w:val="center"/>
          </w:tcPr>
          <w:p w14:paraId="59832FC7">
            <w:pPr>
              <w:widowControl/>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1、在考核期内存在1个月未及时向甲方沟通确认且无故没有开展月度巡检，扣30分；</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在考核期内不存在未及时向甲方沟通确认且无故没有开展月度巡检的情况下，若出现发电异常警报，钢结构（含支架、彩钢瓦等）出现松脱，数据通讯传输异常等因巡检不到位出现的异常情况，出现异常情况一次扣5分，扣完为止。</w:t>
            </w:r>
          </w:p>
        </w:tc>
        <w:tc>
          <w:tcPr>
            <w:tcW w:w="1320" w:type="dxa"/>
            <w:tcBorders>
              <w:top w:val="nil"/>
              <w:left w:val="nil"/>
              <w:bottom w:val="single" w:color="000000" w:sz="8" w:space="0"/>
              <w:right w:val="single" w:color="000000" w:sz="8" w:space="0"/>
            </w:tcBorders>
            <w:shd w:val="clear" w:color="auto" w:fill="auto"/>
            <w:vAlign w:val="center"/>
          </w:tcPr>
          <w:p w14:paraId="4D7DA892">
            <w:pPr>
              <w:jc w:val="center"/>
              <w:rPr>
                <w:rFonts w:ascii="宋体" w:hAnsi="宋体" w:eastAsia="宋体" w:cs="宋体"/>
                <w:color w:val="auto"/>
                <w:szCs w:val="21"/>
                <w:highlight w:val="none"/>
              </w:rPr>
            </w:pPr>
          </w:p>
        </w:tc>
        <w:tc>
          <w:tcPr>
            <w:tcW w:w="1470" w:type="dxa"/>
            <w:tcBorders>
              <w:top w:val="nil"/>
              <w:left w:val="nil"/>
              <w:bottom w:val="single" w:color="000000" w:sz="8" w:space="0"/>
              <w:right w:val="single" w:color="000000" w:sz="8" w:space="0"/>
            </w:tcBorders>
            <w:shd w:val="clear" w:color="auto" w:fill="auto"/>
            <w:vAlign w:val="center"/>
          </w:tcPr>
          <w:p w14:paraId="7FA2F728">
            <w:pPr>
              <w:jc w:val="center"/>
              <w:rPr>
                <w:rFonts w:ascii="宋体" w:hAnsi="宋体" w:eastAsia="宋体" w:cs="宋体"/>
                <w:color w:val="auto"/>
                <w:szCs w:val="21"/>
                <w:highlight w:val="none"/>
              </w:rPr>
            </w:pPr>
          </w:p>
        </w:tc>
      </w:tr>
      <w:tr w14:paraId="1C4C42DC">
        <w:tblPrEx>
          <w:tblCellMar>
            <w:top w:w="0" w:type="dxa"/>
            <w:left w:w="108" w:type="dxa"/>
            <w:bottom w:w="0" w:type="dxa"/>
            <w:right w:w="108" w:type="dxa"/>
          </w:tblCellMar>
        </w:tblPrEx>
        <w:trPr>
          <w:trHeight w:val="150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14:paraId="2358ADC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785" w:type="dxa"/>
            <w:tcBorders>
              <w:top w:val="nil"/>
              <w:left w:val="nil"/>
              <w:bottom w:val="single" w:color="000000" w:sz="8" w:space="0"/>
              <w:right w:val="single" w:color="000000" w:sz="8" w:space="0"/>
            </w:tcBorders>
            <w:shd w:val="clear" w:color="auto" w:fill="auto"/>
            <w:vAlign w:val="center"/>
          </w:tcPr>
          <w:p w14:paraId="2D9D602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清洗服务</w:t>
            </w:r>
          </w:p>
        </w:tc>
        <w:tc>
          <w:tcPr>
            <w:tcW w:w="1305" w:type="dxa"/>
            <w:tcBorders>
              <w:top w:val="nil"/>
              <w:left w:val="nil"/>
              <w:bottom w:val="single" w:color="000000" w:sz="8" w:space="0"/>
              <w:right w:val="single" w:color="000000" w:sz="8" w:space="0"/>
            </w:tcBorders>
            <w:shd w:val="clear" w:color="auto" w:fill="auto"/>
            <w:vAlign w:val="center"/>
          </w:tcPr>
          <w:p w14:paraId="6DD2840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3360" w:type="dxa"/>
            <w:tcBorders>
              <w:top w:val="nil"/>
              <w:left w:val="nil"/>
              <w:bottom w:val="single" w:color="000000" w:sz="8" w:space="0"/>
              <w:right w:val="single" w:color="000000" w:sz="8" w:space="0"/>
            </w:tcBorders>
            <w:shd w:val="clear" w:color="auto" w:fill="auto"/>
            <w:vAlign w:val="center"/>
          </w:tcPr>
          <w:p w14:paraId="05B57387">
            <w:pPr>
              <w:widowControl/>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1、考核期内至少有一次合同约定的全部光伏方阵清洗服务，若考核期内没有开展清洗服务扣10分；</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2、按单个建筑物视为1个光伏方阵，有1个光伏方阵没有清洗扣2分，扣完为止。</w:t>
            </w:r>
          </w:p>
        </w:tc>
        <w:tc>
          <w:tcPr>
            <w:tcW w:w="1320" w:type="dxa"/>
            <w:tcBorders>
              <w:top w:val="nil"/>
              <w:left w:val="nil"/>
              <w:bottom w:val="single" w:color="000000" w:sz="8" w:space="0"/>
              <w:right w:val="single" w:color="000000" w:sz="8" w:space="0"/>
            </w:tcBorders>
            <w:shd w:val="clear" w:color="auto" w:fill="auto"/>
            <w:vAlign w:val="center"/>
          </w:tcPr>
          <w:p w14:paraId="5C9A66EC">
            <w:pPr>
              <w:jc w:val="center"/>
              <w:rPr>
                <w:rFonts w:ascii="宋体" w:hAnsi="宋体" w:eastAsia="宋体" w:cs="宋体"/>
                <w:color w:val="auto"/>
                <w:szCs w:val="21"/>
                <w:highlight w:val="none"/>
              </w:rPr>
            </w:pPr>
          </w:p>
        </w:tc>
        <w:tc>
          <w:tcPr>
            <w:tcW w:w="1470" w:type="dxa"/>
            <w:tcBorders>
              <w:top w:val="nil"/>
              <w:left w:val="nil"/>
              <w:bottom w:val="single" w:color="000000" w:sz="8" w:space="0"/>
              <w:right w:val="single" w:color="000000" w:sz="8" w:space="0"/>
            </w:tcBorders>
            <w:shd w:val="clear" w:color="auto" w:fill="auto"/>
            <w:vAlign w:val="center"/>
          </w:tcPr>
          <w:p w14:paraId="121F1323">
            <w:pPr>
              <w:jc w:val="center"/>
              <w:rPr>
                <w:rFonts w:ascii="宋体" w:hAnsi="宋体" w:eastAsia="宋体" w:cs="宋体"/>
                <w:color w:val="auto"/>
                <w:szCs w:val="21"/>
                <w:highlight w:val="none"/>
              </w:rPr>
            </w:pPr>
          </w:p>
        </w:tc>
      </w:tr>
      <w:tr w14:paraId="62C2F94B">
        <w:tblPrEx>
          <w:tblCellMar>
            <w:top w:w="0" w:type="dxa"/>
            <w:left w:w="108" w:type="dxa"/>
            <w:bottom w:w="0" w:type="dxa"/>
            <w:right w:w="108" w:type="dxa"/>
          </w:tblCellMar>
        </w:tblPrEx>
        <w:trPr>
          <w:trHeight w:val="846"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14:paraId="118275E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785" w:type="dxa"/>
            <w:tcBorders>
              <w:top w:val="nil"/>
              <w:left w:val="nil"/>
              <w:bottom w:val="single" w:color="000000" w:sz="8" w:space="0"/>
              <w:right w:val="single" w:color="000000" w:sz="8" w:space="0"/>
            </w:tcBorders>
            <w:shd w:val="clear" w:color="auto" w:fill="auto"/>
            <w:vAlign w:val="center"/>
          </w:tcPr>
          <w:p w14:paraId="2B402E8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安全生产</w:t>
            </w:r>
          </w:p>
        </w:tc>
        <w:tc>
          <w:tcPr>
            <w:tcW w:w="1305" w:type="dxa"/>
            <w:tcBorders>
              <w:top w:val="nil"/>
              <w:left w:val="nil"/>
              <w:bottom w:val="single" w:color="000000" w:sz="8" w:space="0"/>
              <w:right w:val="single" w:color="000000" w:sz="8" w:space="0"/>
            </w:tcBorders>
            <w:shd w:val="clear" w:color="auto" w:fill="auto"/>
            <w:vAlign w:val="center"/>
          </w:tcPr>
          <w:p w14:paraId="4360667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20</w:t>
            </w:r>
          </w:p>
        </w:tc>
        <w:tc>
          <w:tcPr>
            <w:tcW w:w="3360" w:type="dxa"/>
            <w:tcBorders>
              <w:top w:val="nil"/>
              <w:left w:val="nil"/>
              <w:bottom w:val="single" w:color="000000" w:sz="8" w:space="0"/>
              <w:right w:val="single" w:color="000000" w:sz="8" w:space="0"/>
            </w:tcBorders>
            <w:shd w:val="clear" w:color="auto" w:fill="auto"/>
            <w:vAlign w:val="center"/>
          </w:tcPr>
          <w:p w14:paraId="15429F0E">
            <w:pPr>
              <w:widowControl/>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运维期间未按安全生产要求落实安全生产工作，每发生一次扣5分，扣完为止。</w:t>
            </w:r>
          </w:p>
        </w:tc>
        <w:tc>
          <w:tcPr>
            <w:tcW w:w="1320" w:type="dxa"/>
            <w:tcBorders>
              <w:top w:val="nil"/>
              <w:left w:val="nil"/>
              <w:bottom w:val="single" w:color="000000" w:sz="8" w:space="0"/>
              <w:right w:val="single" w:color="000000" w:sz="8" w:space="0"/>
            </w:tcBorders>
            <w:shd w:val="clear" w:color="auto" w:fill="auto"/>
            <w:vAlign w:val="center"/>
          </w:tcPr>
          <w:p w14:paraId="1D6350F0">
            <w:pPr>
              <w:jc w:val="center"/>
              <w:rPr>
                <w:rFonts w:ascii="宋体" w:hAnsi="宋体" w:eastAsia="宋体" w:cs="宋体"/>
                <w:color w:val="auto"/>
                <w:szCs w:val="21"/>
                <w:highlight w:val="none"/>
              </w:rPr>
            </w:pPr>
          </w:p>
        </w:tc>
        <w:tc>
          <w:tcPr>
            <w:tcW w:w="1470" w:type="dxa"/>
            <w:tcBorders>
              <w:top w:val="nil"/>
              <w:left w:val="nil"/>
              <w:bottom w:val="single" w:color="000000" w:sz="8" w:space="0"/>
              <w:right w:val="single" w:color="000000" w:sz="8" w:space="0"/>
            </w:tcBorders>
            <w:shd w:val="clear" w:color="auto" w:fill="auto"/>
            <w:vAlign w:val="center"/>
          </w:tcPr>
          <w:p w14:paraId="052DF309">
            <w:pPr>
              <w:jc w:val="center"/>
              <w:rPr>
                <w:rFonts w:ascii="宋体" w:hAnsi="宋体" w:eastAsia="宋体" w:cs="宋体"/>
                <w:color w:val="auto"/>
                <w:szCs w:val="21"/>
                <w:highlight w:val="none"/>
              </w:rPr>
            </w:pPr>
          </w:p>
        </w:tc>
      </w:tr>
      <w:tr w14:paraId="0A8BFF62">
        <w:tblPrEx>
          <w:tblCellMar>
            <w:top w:w="0" w:type="dxa"/>
            <w:left w:w="108" w:type="dxa"/>
            <w:bottom w:w="0" w:type="dxa"/>
            <w:right w:w="108" w:type="dxa"/>
          </w:tblCellMar>
        </w:tblPrEx>
        <w:trPr>
          <w:trHeight w:val="901"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14:paraId="4A52865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785" w:type="dxa"/>
            <w:tcBorders>
              <w:top w:val="nil"/>
              <w:left w:val="nil"/>
              <w:bottom w:val="single" w:color="000000" w:sz="8" w:space="0"/>
              <w:right w:val="single" w:color="000000" w:sz="8" w:space="0"/>
            </w:tcBorders>
            <w:shd w:val="clear" w:color="auto" w:fill="auto"/>
            <w:vAlign w:val="center"/>
          </w:tcPr>
          <w:p w14:paraId="6F854F3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服务响应</w:t>
            </w:r>
          </w:p>
        </w:tc>
        <w:tc>
          <w:tcPr>
            <w:tcW w:w="1305" w:type="dxa"/>
            <w:tcBorders>
              <w:top w:val="nil"/>
              <w:left w:val="nil"/>
              <w:bottom w:val="single" w:color="000000" w:sz="8" w:space="0"/>
              <w:right w:val="single" w:color="000000" w:sz="8" w:space="0"/>
            </w:tcBorders>
            <w:shd w:val="clear" w:color="auto" w:fill="auto"/>
            <w:vAlign w:val="center"/>
          </w:tcPr>
          <w:p w14:paraId="3AE574D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3360" w:type="dxa"/>
            <w:tcBorders>
              <w:top w:val="nil"/>
              <w:left w:val="nil"/>
              <w:bottom w:val="single" w:color="000000" w:sz="8" w:space="0"/>
              <w:right w:val="single" w:color="000000" w:sz="8" w:space="0"/>
            </w:tcBorders>
            <w:shd w:val="clear" w:color="auto" w:fill="auto"/>
            <w:vAlign w:val="center"/>
          </w:tcPr>
          <w:p w14:paraId="6E48ADF6">
            <w:pPr>
              <w:widowControl/>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由于服务响应不及时或者缺乏应急预案影响服务质量，每发生一次扣5分，扣完为止。</w:t>
            </w:r>
          </w:p>
        </w:tc>
        <w:tc>
          <w:tcPr>
            <w:tcW w:w="1320" w:type="dxa"/>
            <w:tcBorders>
              <w:top w:val="nil"/>
              <w:left w:val="nil"/>
              <w:bottom w:val="single" w:color="000000" w:sz="8" w:space="0"/>
              <w:right w:val="single" w:color="000000" w:sz="8" w:space="0"/>
            </w:tcBorders>
            <w:shd w:val="clear" w:color="auto" w:fill="auto"/>
            <w:vAlign w:val="center"/>
          </w:tcPr>
          <w:p w14:paraId="5D5CFA3A">
            <w:pPr>
              <w:jc w:val="center"/>
              <w:rPr>
                <w:rFonts w:ascii="宋体" w:hAnsi="宋体" w:eastAsia="宋体" w:cs="宋体"/>
                <w:color w:val="auto"/>
                <w:szCs w:val="21"/>
                <w:highlight w:val="none"/>
              </w:rPr>
            </w:pPr>
          </w:p>
        </w:tc>
        <w:tc>
          <w:tcPr>
            <w:tcW w:w="1470" w:type="dxa"/>
            <w:tcBorders>
              <w:top w:val="nil"/>
              <w:left w:val="nil"/>
              <w:bottom w:val="single" w:color="000000" w:sz="8" w:space="0"/>
              <w:right w:val="single" w:color="000000" w:sz="8" w:space="0"/>
            </w:tcBorders>
            <w:shd w:val="clear" w:color="auto" w:fill="auto"/>
            <w:vAlign w:val="center"/>
          </w:tcPr>
          <w:p w14:paraId="344F1E27">
            <w:pPr>
              <w:jc w:val="center"/>
              <w:rPr>
                <w:rFonts w:ascii="宋体" w:hAnsi="宋体" w:eastAsia="宋体" w:cs="宋体"/>
                <w:color w:val="auto"/>
                <w:szCs w:val="21"/>
                <w:highlight w:val="none"/>
              </w:rPr>
            </w:pPr>
          </w:p>
        </w:tc>
      </w:tr>
      <w:tr w14:paraId="7EBD9883">
        <w:tblPrEx>
          <w:tblCellMar>
            <w:top w:w="0" w:type="dxa"/>
            <w:left w:w="108" w:type="dxa"/>
            <w:bottom w:w="0" w:type="dxa"/>
            <w:right w:w="108" w:type="dxa"/>
          </w:tblCellMar>
        </w:tblPrEx>
        <w:trPr>
          <w:trHeight w:val="101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14:paraId="6011D5A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785" w:type="dxa"/>
            <w:tcBorders>
              <w:top w:val="nil"/>
              <w:left w:val="nil"/>
              <w:bottom w:val="single" w:color="000000" w:sz="8" w:space="0"/>
              <w:right w:val="single" w:color="000000" w:sz="8" w:space="0"/>
            </w:tcBorders>
            <w:shd w:val="clear" w:color="auto" w:fill="auto"/>
            <w:vAlign w:val="center"/>
          </w:tcPr>
          <w:p w14:paraId="52A49B4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服务人员配置</w:t>
            </w:r>
          </w:p>
        </w:tc>
        <w:tc>
          <w:tcPr>
            <w:tcW w:w="1305" w:type="dxa"/>
            <w:tcBorders>
              <w:top w:val="nil"/>
              <w:left w:val="nil"/>
              <w:bottom w:val="single" w:color="000000" w:sz="8" w:space="0"/>
              <w:right w:val="single" w:color="000000" w:sz="8" w:space="0"/>
            </w:tcBorders>
            <w:shd w:val="clear" w:color="auto" w:fill="auto"/>
            <w:vAlign w:val="center"/>
          </w:tcPr>
          <w:p w14:paraId="78A64F6C">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val="en-US" w:eastAsia="zh-CN" w:bidi="ar"/>
              </w:rPr>
              <w:t>6</w:t>
            </w:r>
          </w:p>
        </w:tc>
        <w:tc>
          <w:tcPr>
            <w:tcW w:w="3360" w:type="dxa"/>
            <w:tcBorders>
              <w:top w:val="nil"/>
              <w:left w:val="nil"/>
              <w:bottom w:val="single" w:color="000000" w:sz="8" w:space="0"/>
              <w:right w:val="single" w:color="000000" w:sz="8" w:space="0"/>
            </w:tcBorders>
            <w:shd w:val="clear" w:color="auto" w:fill="auto"/>
            <w:vAlign w:val="center"/>
          </w:tcPr>
          <w:p w14:paraId="224D35AF">
            <w:pPr>
              <w:widowControl/>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由于供应商人员配备（数量、技术能力、资质等）问题不能满足服务要求，每发生一次扣2分，扣完为止。</w:t>
            </w:r>
          </w:p>
        </w:tc>
        <w:tc>
          <w:tcPr>
            <w:tcW w:w="1320" w:type="dxa"/>
            <w:tcBorders>
              <w:top w:val="nil"/>
              <w:left w:val="nil"/>
              <w:bottom w:val="single" w:color="000000" w:sz="8" w:space="0"/>
              <w:right w:val="single" w:color="000000" w:sz="8" w:space="0"/>
            </w:tcBorders>
            <w:shd w:val="clear" w:color="auto" w:fill="auto"/>
            <w:vAlign w:val="center"/>
          </w:tcPr>
          <w:p w14:paraId="6C429DA4">
            <w:pPr>
              <w:jc w:val="center"/>
              <w:rPr>
                <w:rFonts w:ascii="宋体" w:hAnsi="宋体" w:eastAsia="宋体" w:cs="宋体"/>
                <w:color w:val="auto"/>
                <w:szCs w:val="21"/>
                <w:highlight w:val="none"/>
              </w:rPr>
            </w:pPr>
          </w:p>
        </w:tc>
        <w:tc>
          <w:tcPr>
            <w:tcW w:w="1470" w:type="dxa"/>
            <w:tcBorders>
              <w:top w:val="nil"/>
              <w:left w:val="nil"/>
              <w:bottom w:val="single" w:color="000000" w:sz="8" w:space="0"/>
              <w:right w:val="single" w:color="000000" w:sz="8" w:space="0"/>
            </w:tcBorders>
            <w:shd w:val="clear" w:color="auto" w:fill="auto"/>
            <w:vAlign w:val="center"/>
          </w:tcPr>
          <w:p w14:paraId="65024BC8">
            <w:pPr>
              <w:jc w:val="center"/>
              <w:rPr>
                <w:rFonts w:ascii="宋体" w:hAnsi="宋体" w:eastAsia="宋体" w:cs="宋体"/>
                <w:color w:val="auto"/>
                <w:szCs w:val="21"/>
                <w:highlight w:val="none"/>
              </w:rPr>
            </w:pPr>
          </w:p>
        </w:tc>
      </w:tr>
      <w:tr w14:paraId="60D041BC">
        <w:tblPrEx>
          <w:tblCellMar>
            <w:top w:w="0" w:type="dxa"/>
            <w:left w:w="108" w:type="dxa"/>
            <w:bottom w:w="0" w:type="dxa"/>
            <w:right w:w="108" w:type="dxa"/>
          </w:tblCellMar>
        </w:tblPrEx>
        <w:trPr>
          <w:trHeight w:val="1296"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14:paraId="0ADBE61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785" w:type="dxa"/>
            <w:tcBorders>
              <w:top w:val="nil"/>
              <w:left w:val="nil"/>
              <w:bottom w:val="single" w:color="000000" w:sz="8" w:space="0"/>
              <w:right w:val="single" w:color="000000" w:sz="8" w:space="0"/>
            </w:tcBorders>
            <w:shd w:val="clear" w:color="auto" w:fill="auto"/>
            <w:vAlign w:val="center"/>
          </w:tcPr>
          <w:p w14:paraId="6339F11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沟通对接</w:t>
            </w:r>
          </w:p>
        </w:tc>
        <w:tc>
          <w:tcPr>
            <w:tcW w:w="1305" w:type="dxa"/>
            <w:tcBorders>
              <w:top w:val="nil"/>
              <w:left w:val="nil"/>
              <w:bottom w:val="single" w:color="000000" w:sz="8" w:space="0"/>
              <w:right w:val="single" w:color="000000" w:sz="8" w:space="0"/>
            </w:tcBorders>
            <w:shd w:val="clear" w:color="auto" w:fill="auto"/>
            <w:vAlign w:val="center"/>
          </w:tcPr>
          <w:p w14:paraId="2630B8D4">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val="en-US" w:eastAsia="zh-CN" w:bidi="ar"/>
              </w:rPr>
              <w:t>6</w:t>
            </w:r>
          </w:p>
        </w:tc>
        <w:tc>
          <w:tcPr>
            <w:tcW w:w="3360" w:type="dxa"/>
            <w:tcBorders>
              <w:top w:val="nil"/>
              <w:left w:val="nil"/>
              <w:bottom w:val="single" w:color="000000" w:sz="8" w:space="0"/>
              <w:right w:val="single" w:color="000000" w:sz="8" w:space="0"/>
            </w:tcBorders>
            <w:shd w:val="clear" w:color="auto" w:fill="auto"/>
            <w:vAlign w:val="center"/>
          </w:tcPr>
          <w:p w14:paraId="05C3E328">
            <w:pPr>
              <w:widowControl/>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巡检、清洗等服务前需提前1日按甲方要求提供巡检和清洗服务方案，明确服务人员配置，每发生一次没有提前提供服务方案扣5分，扣完为止</w:t>
            </w:r>
          </w:p>
        </w:tc>
        <w:tc>
          <w:tcPr>
            <w:tcW w:w="1320" w:type="dxa"/>
            <w:tcBorders>
              <w:top w:val="nil"/>
              <w:left w:val="nil"/>
              <w:bottom w:val="single" w:color="000000" w:sz="8" w:space="0"/>
              <w:right w:val="single" w:color="000000" w:sz="8" w:space="0"/>
            </w:tcBorders>
            <w:shd w:val="clear" w:color="auto" w:fill="auto"/>
            <w:vAlign w:val="center"/>
          </w:tcPr>
          <w:p w14:paraId="65EE37A9">
            <w:pPr>
              <w:jc w:val="center"/>
              <w:rPr>
                <w:rFonts w:ascii="宋体" w:hAnsi="宋体" w:eastAsia="宋体" w:cs="宋体"/>
                <w:color w:val="auto"/>
                <w:szCs w:val="21"/>
                <w:highlight w:val="none"/>
              </w:rPr>
            </w:pPr>
          </w:p>
        </w:tc>
        <w:tc>
          <w:tcPr>
            <w:tcW w:w="1470" w:type="dxa"/>
            <w:tcBorders>
              <w:top w:val="nil"/>
              <w:left w:val="nil"/>
              <w:bottom w:val="single" w:color="000000" w:sz="8" w:space="0"/>
              <w:right w:val="single" w:color="000000" w:sz="8" w:space="0"/>
            </w:tcBorders>
            <w:shd w:val="clear" w:color="auto" w:fill="auto"/>
            <w:vAlign w:val="center"/>
          </w:tcPr>
          <w:p w14:paraId="3DDF63CC">
            <w:pPr>
              <w:jc w:val="center"/>
              <w:rPr>
                <w:rFonts w:ascii="宋体" w:hAnsi="宋体" w:eastAsia="宋体" w:cs="宋体"/>
                <w:color w:val="auto"/>
                <w:szCs w:val="21"/>
                <w:highlight w:val="none"/>
              </w:rPr>
            </w:pPr>
          </w:p>
        </w:tc>
      </w:tr>
      <w:tr w14:paraId="64843A09">
        <w:tblPrEx>
          <w:tblCellMar>
            <w:top w:w="0" w:type="dxa"/>
            <w:left w:w="108" w:type="dxa"/>
            <w:bottom w:w="0" w:type="dxa"/>
            <w:right w:w="108" w:type="dxa"/>
          </w:tblCellMar>
        </w:tblPrEx>
        <w:trPr>
          <w:trHeight w:val="1296"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14:paraId="64DDE9AC">
            <w:pPr>
              <w:widowControl/>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7</w:t>
            </w:r>
          </w:p>
        </w:tc>
        <w:tc>
          <w:tcPr>
            <w:tcW w:w="1785" w:type="dxa"/>
            <w:tcBorders>
              <w:top w:val="nil"/>
              <w:left w:val="nil"/>
              <w:bottom w:val="single" w:color="000000" w:sz="8" w:space="0"/>
              <w:right w:val="single" w:color="000000" w:sz="8" w:space="0"/>
            </w:tcBorders>
            <w:shd w:val="clear" w:color="auto" w:fill="auto"/>
            <w:vAlign w:val="center"/>
          </w:tcPr>
          <w:p w14:paraId="25A9780D">
            <w:pPr>
              <w:widowControl/>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运维方案执行</w:t>
            </w:r>
          </w:p>
        </w:tc>
        <w:tc>
          <w:tcPr>
            <w:tcW w:w="1305" w:type="dxa"/>
            <w:tcBorders>
              <w:top w:val="nil"/>
              <w:left w:val="nil"/>
              <w:bottom w:val="single" w:color="000000" w:sz="8" w:space="0"/>
              <w:right w:val="single" w:color="000000" w:sz="8" w:space="0"/>
            </w:tcBorders>
            <w:shd w:val="clear" w:color="auto" w:fill="auto"/>
            <w:vAlign w:val="center"/>
          </w:tcPr>
          <w:p w14:paraId="72901E5B">
            <w:pPr>
              <w:widowControl/>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8</w:t>
            </w:r>
          </w:p>
        </w:tc>
        <w:tc>
          <w:tcPr>
            <w:tcW w:w="3360" w:type="dxa"/>
            <w:tcBorders>
              <w:top w:val="nil"/>
              <w:left w:val="nil"/>
              <w:bottom w:val="single" w:color="000000" w:sz="8" w:space="0"/>
              <w:right w:val="single" w:color="000000" w:sz="8" w:space="0"/>
            </w:tcBorders>
            <w:shd w:val="clear" w:color="auto" w:fill="auto"/>
            <w:vAlign w:val="center"/>
          </w:tcPr>
          <w:p w14:paraId="0D6B1F5E">
            <w:pPr>
              <w:widowControl/>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对照乙方提供经甲方同意后的运维方案，存在高于上述1-6点标准的服务要求进行评价，未达到运维方案要求发现一次扣2分，扣完为止。</w:t>
            </w:r>
          </w:p>
        </w:tc>
        <w:tc>
          <w:tcPr>
            <w:tcW w:w="1320" w:type="dxa"/>
            <w:tcBorders>
              <w:top w:val="nil"/>
              <w:left w:val="nil"/>
              <w:bottom w:val="single" w:color="000000" w:sz="8" w:space="0"/>
              <w:right w:val="single" w:color="000000" w:sz="8" w:space="0"/>
            </w:tcBorders>
            <w:shd w:val="clear" w:color="auto" w:fill="auto"/>
            <w:vAlign w:val="center"/>
          </w:tcPr>
          <w:p w14:paraId="5E5ABBC9">
            <w:pPr>
              <w:jc w:val="center"/>
              <w:rPr>
                <w:rFonts w:ascii="宋体" w:hAnsi="宋体" w:eastAsia="宋体" w:cs="宋体"/>
                <w:color w:val="auto"/>
                <w:szCs w:val="21"/>
                <w:highlight w:val="none"/>
              </w:rPr>
            </w:pPr>
          </w:p>
        </w:tc>
        <w:tc>
          <w:tcPr>
            <w:tcW w:w="1470" w:type="dxa"/>
            <w:tcBorders>
              <w:top w:val="nil"/>
              <w:left w:val="nil"/>
              <w:bottom w:val="single" w:color="000000" w:sz="8" w:space="0"/>
              <w:right w:val="single" w:color="000000" w:sz="8" w:space="0"/>
            </w:tcBorders>
            <w:shd w:val="clear" w:color="auto" w:fill="auto"/>
            <w:vAlign w:val="center"/>
          </w:tcPr>
          <w:p w14:paraId="6E4EA361">
            <w:pPr>
              <w:jc w:val="center"/>
              <w:rPr>
                <w:rFonts w:ascii="宋体" w:hAnsi="宋体" w:eastAsia="宋体" w:cs="宋体"/>
                <w:color w:val="auto"/>
                <w:szCs w:val="21"/>
                <w:highlight w:val="none"/>
              </w:rPr>
            </w:pPr>
          </w:p>
        </w:tc>
      </w:tr>
      <w:tr w14:paraId="11692E3C">
        <w:tblPrEx>
          <w:tblCellMar>
            <w:top w:w="0" w:type="dxa"/>
            <w:left w:w="108" w:type="dxa"/>
            <w:bottom w:w="0" w:type="dxa"/>
            <w:right w:w="108" w:type="dxa"/>
          </w:tblCellMar>
        </w:tblPrEx>
        <w:trPr>
          <w:trHeight w:val="150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14:paraId="1EBCECE7">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val="en-US" w:eastAsia="zh-CN" w:bidi="ar"/>
              </w:rPr>
              <w:t>8</w:t>
            </w:r>
          </w:p>
        </w:tc>
        <w:tc>
          <w:tcPr>
            <w:tcW w:w="1785" w:type="dxa"/>
            <w:tcBorders>
              <w:top w:val="nil"/>
              <w:left w:val="nil"/>
              <w:bottom w:val="single" w:color="000000" w:sz="8" w:space="0"/>
              <w:right w:val="single" w:color="000000" w:sz="8" w:space="0"/>
            </w:tcBorders>
            <w:shd w:val="clear" w:color="auto" w:fill="auto"/>
            <w:vAlign w:val="center"/>
          </w:tcPr>
          <w:p w14:paraId="0D7895F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资料整理</w:t>
            </w:r>
          </w:p>
        </w:tc>
        <w:tc>
          <w:tcPr>
            <w:tcW w:w="1305" w:type="dxa"/>
            <w:tcBorders>
              <w:top w:val="nil"/>
              <w:left w:val="nil"/>
              <w:bottom w:val="single" w:color="000000" w:sz="8" w:space="0"/>
              <w:right w:val="single" w:color="000000" w:sz="8" w:space="0"/>
            </w:tcBorders>
            <w:shd w:val="clear" w:color="auto" w:fill="auto"/>
            <w:vAlign w:val="center"/>
          </w:tcPr>
          <w:p w14:paraId="26527B7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3360" w:type="dxa"/>
            <w:tcBorders>
              <w:top w:val="nil"/>
              <w:left w:val="nil"/>
              <w:bottom w:val="single" w:color="000000" w:sz="8" w:space="0"/>
              <w:right w:val="single" w:color="000000" w:sz="8" w:space="0"/>
            </w:tcBorders>
            <w:shd w:val="clear" w:color="auto" w:fill="auto"/>
            <w:vAlign w:val="center"/>
          </w:tcPr>
          <w:p w14:paraId="55C271D8">
            <w:pPr>
              <w:widowControl/>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1、每月15日前需向甲方提供上个月运维记录资料，没有在规定时间前提供，每发生一次扣1分，最高扣3分；</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2、没有按甲方要求提供及整理运维记录资料，每退回整理或补充一次扣1分，最高扣7分。</w:t>
            </w:r>
          </w:p>
        </w:tc>
        <w:tc>
          <w:tcPr>
            <w:tcW w:w="1320" w:type="dxa"/>
            <w:tcBorders>
              <w:top w:val="nil"/>
              <w:left w:val="nil"/>
              <w:bottom w:val="single" w:color="000000" w:sz="8" w:space="0"/>
              <w:right w:val="single" w:color="000000" w:sz="8" w:space="0"/>
            </w:tcBorders>
            <w:shd w:val="clear" w:color="auto" w:fill="auto"/>
            <w:vAlign w:val="center"/>
          </w:tcPr>
          <w:p w14:paraId="11B864FD">
            <w:pPr>
              <w:jc w:val="center"/>
              <w:rPr>
                <w:rFonts w:ascii="宋体" w:hAnsi="宋体" w:eastAsia="宋体" w:cs="宋体"/>
                <w:color w:val="auto"/>
                <w:szCs w:val="21"/>
                <w:highlight w:val="none"/>
              </w:rPr>
            </w:pPr>
          </w:p>
        </w:tc>
        <w:tc>
          <w:tcPr>
            <w:tcW w:w="1470" w:type="dxa"/>
            <w:tcBorders>
              <w:top w:val="nil"/>
              <w:left w:val="nil"/>
              <w:bottom w:val="single" w:color="000000" w:sz="8" w:space="0"/>
              <w:right w:val="single" w:color="000000" w:sz="8" w:space="0"/>
            </w:tcBorders>
            <w:shd w:val="clear" w:color="auto" w:fill="auto"/>
            <w:vAlign w:val="center"/>
          </w:tcPr>
          <w:p w14:paraId="0B02D1DC">
            <w:pPr>
              <w:jc w:val="center"/>
              <w:rPr>
                <w:rFonts w:ascii="宋体" w:hAnsi="宋体" w:eastAsia="宋体" w:cs="宋体"/>
                <w:color w:val="auto"/>
                <w:szCs w:val="21"/>
                <w:highlight w:val="none"/>
              </w:rPr>
            </w:pPr>
          </w:p>
        </w:tc>
      </w:tr>
      <w:tr w14:paraId="237BA861">
        <w:tblPrEx>
          <w:tblCellMar>
            <w:top w:w="0" w:type="dxa"/>
            <w:left w:w="108" w:type="dxa"/>
            <w:bottom w:w="0" w:type="dxa"/>
            <w:right w:w="108" w:type="dxa"/>
          </w:tblCellMar>
        </w:tblPrEx>
        <w:trPr>
          <w:trHeight w:val="478" w:hRule="atLeast"/>
        </w:trPr>
        <w:tc>
          <w:tcPr>
            <w:tcW w:w="7230" w:type="dxa"/>
            <w:gridSpan w:val="4"/>
            <w:tcBorders>
              <w:top w:val="nil"/>
              <w:left w:val="single" w:color="000000" w:sz="8" w:space="0"/>
              <w:bottom w:val="single" w:color="000000" w:sz="8" w:space="0"/>
              <w:right w:val="single" w:color="000000" w:sz="8" w:space="0"/>
            </w:tcBorders>
            <w:shd w:val="clear" w:color="auto" w:fill="auto"/>
            <w:vAlign w:val="center"/>
          </w:tcPr>
          <w:p w14:paraId="0AE64859">
            <w:pPr>
              <w:widowControl/>
              <w:jc w:val="righ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本次累计扣分</w:t>
            </w:r>
          </w:p>
        </w:tc>
        <w:tc>
          <w:tcPr>
            <w:tcW w:w="1320" w:type="dxa"/>
            <w:tcBorders>
              <w:top w:val="nil"/>
              <w:left w:val="nil"/>
              <w:bottom w:val="single" w:color="000000" w:sz="8" w:space="0"/>
              <w:right w:val="single" w:color="000000" w:sz="8" w:space="0"/>
            </w:tcBorders>
            <w:shd w:val="clear" w:color="auto" w:fill="auto"/>
            <w:vAlign w:val="center"/>
          </w:tcPr>
          <w:p w14:paraId="04C746EA">
            <w:pPr>
              <w:jc w:val="center"/>
              <w:rPr>
                <w:rFonts w:ascii="宋体" w:hAnsi="宋体" w:eastAsia="宋体" w:cs="宋体"/>
                <w:color w:val="auto"/>
                <w:szCs w:val="21"/>
                <w:highlight w:val="none"/>
              </w:rPr>
            </w:pPr>
          </w:p>
        </w:tc>
        <w:tc>
          <w:tcPr>
            <w:tcW w:w="1470" w:type="dxa"/>
            <w:tcBorders>
              <w:top w:val="nil"/>
              <w:left w:val="nil"/>
              <w:bottom w:val="single" w:color="000000" w:sz="8" w:space="0"/>
              <w:right w:val="single" w:color="000000" w:sz="8" w:space="0"/>
            </w:tcBorders>
            <w:shd w:val="clear" w:color="auto" w:fill="auto"/>
            <w:vAlign w:val="center"/>
          </w:tcPr>
          <w:p w14:paraId="251497A4">
            <w:pPr>
              <w:jc w:val="center"/>
              <w:rPr>
                <w:rFonts w:ascii="宋体" w:hAnsi="宋体" w:eastAsia="宋体" w:cs="宋体"/>
                <w:color w:val="auto"/>
                <w:szCs w:val="21"/>
                <w:highlight w:val="none"/>
              </w:rPr>
            </w:pPr>
          </w:p>
        </w:tc>
      </w:tr>
      <w:tr w14:paraId="0FFF8A83">
        <w:tblPrEx>
          <w:tblCellMar>
            <w:top w:w="0" w:type="dxa"/>
            <w:left w:w="108" w:type="dxa"/>
            <w:bottom w:w="0" w:type="dxa"/>
            <w:right w:w="108" w:type="dxa"/>
          </w:tblCellMar>
        </w:tblPrEx>
        <w:trPr>
          <w:trHeight w:val="463" w:hRule="atLeast"/>
        </w:trPr>
        <w:tc>
          <w:tcPr>
            <w:tcW w:w="7230" w:type="dxa"/>
            <w:gridSpan w:val="4"/>
            <w:tcBorders>
              <w:top w:val="nil"/>
              <w:left w:val="single" w:color="000000" w:sz="8" w:space="0"/>
              <w:bottom w:val="single" w:color="000000" w:sz="8" w:space="0"/>
              <w:right w:val="single" w:color="000000" w:sz="8" w:space="0"/>
            </w:tcBorders>
            <w:shd w:val="clear" w:color="auto" w:fill="auto"/>
            <w:vAlign w:val="center"/>
          </w:tcPr>
          <w:p w14:paraId="5456E899">
            <w:pPr>
              <w:widowControl/>
              <w:jc w:val="righ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最终考核得分</w:t>
            </w:r>
          </w:p>
        </w:tc>
        <w:tc>
          <w:tcPr>
            <w:tcW w:w="1320" w:type="dxa"/>
            <w:tcBorders>
              <w:top w:val="nil"/>
              <w:left w:val="nil"/>
              <w:bottom w:val="single" w:color="000000" w:sz="8" w:space="0"/>
              <w:right w:val="single" w:color="000000" w:sz="8" w:space="0"/>
            </w:tcBorders>
            <w:shd w:val="clear" w:color="auto" w:fill="auto"/>
            <w:vAlign w:val="center"/>
          </w:tcPr>
          <w:p w14:paraId="13D23103">
            <w:pPr>
              <w:jc w:val="center"/>
              <w:rPr>
                <w:rFonts w:ascii="宋体" w:hAnsi="宋体" w:eastAsia="宋体" w:cs="宋体"/>
                <w:color w:val="auto"/>
                <w:szCs w:val="21"/>
                <w:highlight w:val="none"/>
              </w:rPr>
            </w:pPr>
          </w:p>
        </w:tc>
        <w:tc>
          <w:tcPr>
            <w:tcW w:w="1470" w:type="dxa"/>
            <w:tcBorders>
              <w:top w:val="nil"/>
              <w:left w:val="nil"/>
              <w:bottom w:val="single" w:color="000000" w:sz="8" w:space="0"/>
              <w:right w:val="single" w:color="000000" w:sz="8" w:space="0"/>
            </w:tcBorders>
            <w:shd w:val="clear" w:color="auto" w:fill="auto"/>
            <w:vAlign w:val="center"/>
          </w:tcPr>
          <w:p w14:paraId="1710C5F2">
            <w:pPr>
              <w:jc w:val="center"/>
              <w:rPr>
                <w:rFonts w:ascii="宋体" w:hAnsi="宋体" w:eastAsia="宋体" w:cs="宋体"/>
                <w:color w:val="auto"/>
                <w:szCs w:val="21"/>
                <w:highlight w:val="none"/>
              </w:rPr>
            </w:pPr>
          </w:p>
        </w:tc>
      </w:tr>
      <w:tr w14:paraId="612F2107">
        <w:tblPrEx>
          <w:tblCellMar>
            <w:top w:w="0" w:type="dxa"/>
            <w:left w:w="108" w:type="dxa"/>
            <w:bottom w:w="0" w:type="dxa"/>
            <w:right w:w="108" w:type="dxa"/>
          </w:tblCellMar>
        </w:tblPrEx>
        <w:trPr>
          <w:trHeight w:val="600" w:hRule="atLeast"/>
        </w:trPr>
        <w:tc>
          <w:tcPr>
            <w:tcW w:w="10020" w:type="dxa"/>
            <w:gridSpan w:val="6"/>
            <w:tcBorders>
              <w:top w:val="nil"/>
              <w:left w:val="single" w:color="000000" w:sz="8" w:space="0"/>
              <w:bottom w:val="single" w:color="000000" w:sz="8" w:space="0"/>
              <w:right w:val="single" w:color="000000" w:sz="8" w:space="0"/>
            </w:tcBorders>
            <w:shd w:val="clear" w:color="auto" w:fill="auto"/>
            <w:vAlign w:val="center"/>
          </w:tcPr>
          <w:p w14:paraId="524F1083">
            <w:pPr>
              <w:widowControl/>
              <w:ind w:firstLine="630" w:firstLineChars="300"/>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评分人：                                                               部门负责人：                                 </w:t>
            </w:r>
          </w:p>
        </w:tc>
      </w:tr>
      <w:tr w14:paraId="68172E21">
        <w:tblPrEx>
          <w:tblCellMar>
            <w:top w:w="0" w:type="dxa"/>
            <w:left w:w="108" w:type="dxa"/>
            <w:bottom w:w="0" w:type="dxa"/>
            <w:right w:w="108" w:type="dxa"/>
          </w:tblCellMar>
        </w:tblPrEx>
        <w:trPr>
          <w:trHeight w:val="600" w:hRule="atLeast"/>
        </w:trPr>
        <w:tc>
          <w:tcPr>
            <w:tcW w:w="10020" w:type="dxa"/>
            <w:gridSpan w:val="6"/>
            <w:tcBorders>
              <w:top w:val="nil"/>
              <w:left w:val="single" w:color="000000" w:sz="8" w:space="0"/>
              <w:bottom w:val="single" w:color="000000" w:sz="8" w:space="0"/>
              <w:right w:val="single" w:color="000000" w:sz="8" w:space="0"/>
            </w:tcBorders>
            <w:shd w:val="clear" w:color="auto" w:fill="auto"/>
            <w:vAlign w:val="center"/>
          </w:tcPr>
          <w:p w14:paraId="447A9822">
            <w:pPr>
              <w:widowControl/>
              <w:ind w:firstLine="630" w:firstLineChars="300"/>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日期：                                                                日期：                                                                                                 </w:t>
            </w:r>
          </w:p>
        </w:tc>
      </w:tr>
      <w:tr w14:paraId="0A8E3A86">
        <w:tblPrEx>
          <w:tblCellMar>
            <w:top w:w="0" w:type="dxa"/>
            <w:left w:w="108" w:type="dxa"/>
            <w:bottom w:w="0" w:type="dxa"/>
            <w:right w:w="108" w:type="dxa"/>
          </w:tblCellMar>
        </w:tblPrEx>
        <w:trPr>
          <w:trHeight w:val="600" w:hRule="atLeast"/>
        </w:trPr>
        <w:tc>
          <w:tcPr>
            <w:tcW w:w="10020" w:type="dxa"/>
            <w:gridSpan w:val="6"/>
            <w:tcBorders>
              <w:top w:val="nil"/>
              <w:left w:val="nil"/>
              <w:bottom w:val="nil"/>
              <w:right w:val="nil"/>
            </w:tcBorders>
            <w:shd w:val="clear" w:color="auto" w:fill="auto"/>
            <w:vAlign w:val="center"/>
          </w:tcPr>
          <w:p w14:paraId="1A53CE6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填报说明：</w:t>
            </w:r>
          </w:p>
        </w:tc>
      </w:tr>
      <w:tr w14:paraId="525D2159">
        <w:tblPrEx>
          <w:tblCellMar>
            <w:top w:w="0" w:type="dxa"/>
            <w:left w:w="108" w:type="dxa"/>
            <w:bottom w:w="0" w:type="dxa"/>
            <w:right w:w="108" w:type="dxa"/>
          </w:tblCellMar>
        </w:tblPrEx>
        <w:trPr>
          <w:trHeight w:val="600" w:hRule="atLeast"/>
        </w:trPr>
        <w:tc>
          <w:tcPr>
            <w:tcW w:w="10020" w:type="dxa"/>
            <w:gridSpan w:val="6"/>
            <w:tcBorders>
              <w:top w:val="nil"/>
              <w:left w:val="nil"/>
              <w:bottom w:val="nil"/>
              <w:right w:val="nil"/>
            </w:tcBorders>
            <w:shd w:val="clear" w:color="auto" w:fill="auto"/>
            <w:vAlign w:val="center"/>
          </w:tcPr>
          <w:p w14:paraId="42C6926D">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1.考核总分为100分。</w:t>
            </w:r>
          </w:p>
        </w:tc>
      </w:tr>
      <w:tr w14:paraId="4E28E9AF">
        <w:tblPrEx>
          <w:tblCellMar>
            <w:top w:w="0" w:type="dxa"/>
            <w:left w:w="108" w:type="dxa"/>
            <w:bottom w:w="0" w:type="dxa"/>
            <w:right w:w="108" w:type="dxa"/>
          </w:tblCellMar>
        </w:tblPrEx>
        <w:trPr>
          <w:trHeight w:val="600" w:hRule="atLeast"/>
        </w:trPr>
        <w:tc>
          <w:tcPr>
            <w:tcW w:w="10020" w:type="dxa"/>
            <w:gridSpan w:val="6"/>
            <w:tcBorders>
              <w:top w:val="nil"/>
              <w:left w:val="nil"/>
              <w:bottom w:val="nil"/>
              <w:right w:val="nil"/>
            </w:tcBorders>
            <w:shd w:val="clear" w:color="auto" w:fill="auto"/>
            <w:vAlign w:val="center"/>
          </w:tcPr>
          <w:p w14:paraId="17812F14">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2.“扣分项”：由考核主体根据考核对象的实际工作状况进行填写，如无扣分则填0。</w:t>
            </w:r>
          </w:p>
        </w:tc>
      </w:tr>
    </w:tbl>
    <w:p w14:paraId="23254709">
      <w:pPr>
        <w:rPr>
          <w:color w:val="auto"/>
          <w:highlight w:val="none"/>
        </w:rPr>
      </w:pPr>
    </w:p>
    <w:p w14:paraId="28C21AE2">
      <w:pPr>
        <w:spacing w:before="48" w:beforeLines="20" w:after="48" w:afterLines="20"/>
        <w:ind w:firstLine="420" w:firstLineChars="200"/>
        <w:rPr>
          <w:rFonts w:ascii="宋体" w:hAnsi="宋体" w:eastAsia="宋体" w:cs="宋体"/>
          <w:color w:val="auto"/>
          <w:szCs w:val="21"/>
          <w:highlight w:val="none"/>
        </w:rPr>
      </w:pPr>
    </w:p>
    <w:bookmarkEnd w:id="731"/>
    <w:p w14:paraId="74994B04">
      <w:pPr>
        <w:pageBreakBefore/>
        <w:spacing w:before="120" w:beforeLines="50" w:after="120" w:afterLines="50" w:line="360" w:lineRule="auto"/>
        <w:ind w:firstLine="640"/>
        <w:jc w:val="center"/>
        <w:outlineLvl w:val="1"/>
        <w:rPr>
          <w:rFonts w:ascii="宋体" w:hAnsi="宋体" w:eastAsia="宋体" w:cs="宋体"/>
          <w:b/>
          <w:bCs/>
          <w:color w:val="auto"/>
          <w:sz w:val="32"/>
          <w:szCs w:val="32"/>
          <w:highlight w:val="none"/>
          <w:lang w:val="zh-CN"/>
        </w:rPr>
      </w:pPr>
      <w:bookmarkStart w:id="813" w:name="_Toc512353083"/>
      <w:bookmarkStart w:id="814" w:name="_Toc142508360"/>
      <w:bookmarkStart w:id="815" w:name="_Toc1047"/>
      <w:bookmarkStart w:id="816" w:name="_Toc30969"/>
      <w:bookmarkStart w:id="817" w:name="_Toc8410"/>
      <w:bookmarkStart w:id="818" w:name="_Toc447044603"/>
      <w:bookmarkStart w:id="819" w:name="_Toc25564"/>
      <w:bookmarkStart w:id="820" w:name="_Toc2749"/>
      <w:bookmarkStart w:id="821" w:name="_Toc447044479"/>
      <w:bookmarkStart w:id="822" w:name="_Toc195714371"/>
      <w:bookmarkStart w:id="823" w:name="_Toc24427_WPSOffice_Level1"/>
      <w:bookmarkStart w:id="824" w:name="_Toc447045090"/>
      <w:bookmarkStart w:id="825" w:name="_Toc30025"/>
      <w:r>
        <w:rPr>
          <w:rFonts w:hint="eastAsia" w:ascii="宋体" w:hAnsi="宋体" w:eastAsia="宋体" w:cs="宋体"/>
          <w:b/>
          <w:bCs/>
          <w:color w:val="auto"/>
          <w:sz w:val="32"/>
          <w:szCs w:val="32"/>
          <w:highlight w:val="none"/>
          <w:lang w:val="zh-CN"/>
        </w:rPr>
        <w:t>第五篇 相关保函格式</w:t>
      </w:r>
      <w:bookmarkEnd w:id="813"/>
      <w:bookmarkEnd w:id="814"/>
      <w:bookmarkEnd w:id="815"/>
      <w:bookmarkEnd w:id="816"/>
      <w:bookmarkEnd w:id="817"/>
      <w:bookmarkEnd w:id="818"/>
      <w:bookmarkEnd w:id="819"/>
      <w:bookmarkEnd w:id="820"/>
      <w:bookmarkEnd w:id="821"/>
      <w:bookmarkEnd w:id="822"/>
      <w:bookmarkEnd w:id="823"/>
      <w:bookmarkEnd w:id="824"/>
      <w:bookmarkEnd w:id="825"/>
      <w:bookmarkStart w:id="826" w:name="_Toc447045091"/>
      <w:bookmarkStart w:id="827" w:name="_Toc447044604"/>
      <w:bookmarkStart w:id="828" w:name="_Toc447044480"/>
    </w:p>
    <w:p w14:paraId="75BFF129">
      <w:pPr>
        <w:autoSpaceDE w:val="0"/>
        <w:autoSpaceDN w:val="0"/>
        <w:adjustRightInd w:val="0"/>
        <w:spacing w:after="120" w:afterLines="50" w:line="360" w:lineRule="auto"/>
        <w:jc w:val="left"/>
        <w:outlineLvl w:val="1"/>
        <w:rPr>
          <w:rFonts w:ascii="宋体" w:hAnsi="宋体" w:eastAsia="宋体" w:cs="宋体"/>
          <w:b/>
          <w:color w:val="auto"/>
          <w:kern w:val="0"/>
          <w:sz w:val="28"/>
          <w:szCs w:val="28"/>
          <w:highlight w:val="none"/>
        </w:rPr>
      </w:pPr>
      <w:bookmarkStart w:id="829" w:name="_Toc26521_WPSOffice_Level2"/>
      <w:bookmarkStart w:id="830" w:name="_Toc20718"/>
      <w:bookmarkStart w:id="831" w:name="_Toc16440"/>
      <w:bookmarkStart w:id="832" w:name="_Toc30976"/>
      <w:r>
        <w:rPr>
          <w:rFonts w:hint="eastAsia" w:ascii="宋体" w:hAnsi="宋体" w:eastAsia="宋体" w:cs="宋体"/>
          <w:b/>
          <w:color w:val="auto"/>
          <w:kern w:val="0"/>
          <w:sz w:val="28"/>
          <w:szCs w:val="28"/>
          <w:highlight w:val="none"/>
        </w:rPr>
        <w:t>一、不可撤销银行履约保函格式</w:t>
      </w:r>
      <w:bookmarkEnd w:id="826"/>
      <w:bookmarkEnd w:id="827"/>
      <w:bookmarkEnd w:id="828"/>
      <w:bookmarkEnd w:id="829"/>
      <w:bookmarkEnd w:id="830"/>
      <w:bookmarkEnd w:id="831"/>
      <w:bookmarkEnd w:id="832"/>
    </w:p>
    <w:p w14:paraId="1B796D12">
      <w:pPr>
        <w:autoSpaceDE w:val="0"/>
        <w:autoSpaceDN w:val="0"/>
        <w:adjustRightInd w:val="0"/>
        <w:jc w:val="center"/>
        <w:outlineLvl w:val="2"/>
        <w:rPr>
          <w:rFonts w:ascii="宋体" w:hAnsi="宋体" w:eastAsia="宋体" w:cs="宋体"/>
          <w:b/>
          <w:color w:val="auto"/>
          <w:kern w:val="0"/>
          <w:sz w:val="30"/>
          <w:szCs w:val="30"/>
          <w:highlight w:val="none"/>
        </w:rPr>
      </w:pPr>
      <w:bookmarkStart w:id="833" w:name="_Toc32686"/>
      <w:bookmarkStart w:id="834" w:name="_Toc17523"/>
      <w:bookmarkStart w:id="835" w:name="_Toc22637"/>
      <w:r>
        <w:rPr>
          <w:rFonts w:hint="eastAsia" w:ascii="宋体" w:hAnsi="宋体" w:eastAsia="宋体" w:cs="宋体"/>
          <w:b/>
          <w:color w:val="auto"/>
          <w:kern w:val="0"/>
          <w:sz w:val="30"/>
          <w:szCs w:val="30"/>
          <w:highlight w:val="none"/>
        </w:rPr>
        <w:t>不可撤销银行履约保函</w:t>
      </w:r>
      <w:bookmarkEnd w:id="833"/>
      <w:bookmarkEnd w:id="834"/>
      <w:bookmarkEnd w:id="835"/>
    </w:p>
    <w:p w14:paraId="148C08C8">
      <w:pPr>
        <w:widowControl/>
        <w:autoSpaceDE w:val="0"/>
        <w:autoSpaceDN w:val="0"/>
        <w:adjustRightInd w:val="0"/>
        <w:spacing w:line="360" w:lineRule="auto"/>
        <w:jc w:val="left"/>
        <w:rPr>
          <w:rFonts w:ascii="宋体" w:hAnsi="宋体" w:eastAsia="宋体" w:cs="宋体"/>
          <w:color w:val="auto"/>
          <w:kern w:val="0"/>
          <w:szCs w:val="21"/>
          <w:highlight w:val="none"/>
        </w:rPr>
      </w:pPr>
    </w:p>
    <w:p w14:paraId="566E26DB">
      <w:pPr>
        <w:autoSpaceDE w:val="0"/>
        <w:autoSpaceDN w:val="0"/>
        <w:adjustRightInd w:val="0"/>
        <w:spacing w:line="360" w:lineRule="auto"/>
        <w:ind w:firstLine="63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银行编号：</w:t>
      </w:r>
    </w:p>
    <w:p w14:paraId="7A5ECDB6">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35E08153">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1C31DCB1">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的无条件、不可撤销银行履约保函，作为申请人履行上述合同的担保。</w:t>
      </w:r>
    </w:p>
    <w:p w14:paraId="1D2B21A8">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5C65B238">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27E6D132">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13A94A29">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本保函应从合同签订之日起至运维期结束且申请人按合同约定完成运维期届满前的全部义务后二十八（28）日内保持有效。</w:t>
      </w:r>
    </w:p>
    <w:p w14:paraId="2115FBE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w:t>
      </w:r>
      <w:r>
        <w:rPr>
          <w:rFonts w:hint="eastAsia" w:ascii="宋体" w:hAnsi="宋体" w:eastAsia="宋体" w:cs="宋体"/>
          <w:color w:val="auto"/>
          <w:szCs w:val="21"/>
          <w:highlight w:val="none"/>
          <w:lang w:val="en-US" w:eastAsia="zh-CN"/>
        </w:rPr>
        <w:t>出具保函</w:t>
      </w:r>
      <w:r>
        <w:rPr>
          <w:rFonts w:hint="eastAsia" w:ascii="宋体" w:hAnsi="宋体" w:eastAsia="宋体" w:cs="宋体"/>
          <w:color w:val="auto"/>
          <w:szCs w:val="21"/>
          <w:highlight w:val="none"/>
        </w:rPr>
        <w:t>联系人：                   银行</w:t>
      </w:r>
      <w:r>
        <w:rPr>
          <w:rFonts w:hint="eastAsia" w:ascii="宋体" w:hAnsi="宋体" w:eastAsia="宋体" w:cs="宋体"/>
          <w:color w:val="auto"/>
          <w:szCs w:val="21"/>
          <w:highlight w:val="none"/>
          <w:lang w:val="en-US" w:eastAsia="zh-CN"/>
        </w:rPr>
        <w:t>经办人</w:t>
      </w:r>
      <w:r>
        <w:rPr>
          <w:rFonts w:hint="eastAsia" w:ascii="宋体" w:hAnsi="宋体" w:eastAsia="宋体" w:cs="宋体"/>
          <w:color w:val="auto"/>
          <w:szCs w:val="21"/>
          <w:highlight w:val="none"/>
        </w:rPr>
        <w:t>联系电话：             ）</w:t>
      </w:r>
    </w:p>
    <w:p w14:paraId="2C3C2203">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338B1094">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 保 银 行：</w:t>
      </w:r>
      <w:r>
        <w:rPr>
          <w:rFonts w:hint="eastAsia" w:ascii="宋体" w:hAnsi="宋体" w:eastAsia="宋体" w:cs="宋体"/>
          <w:color w:val="auto"/>
          <w:kern w:val="0"/>
          <w:szCs w:val="21"/>
          <w:highlight w:val="none"/>
          <w:u w:val="single"/>
        </w:rPr>
        <w:t xml:space="preserve">          银行全称          (盖章)   </w:t>
      </w:r>
    </w:p>
    <w:p w14:paraId="6B78D117">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hint="eastAsia" w:ascii="宋体" w:hAnsi="宋体" w:eastAsia="宋体" w:cs="宋体"/>
          <w:color w:val="auto"/>
          <w:kern w:val="0"/>
          <w:szCs w:val="21"/>
          <w:highlight w:val="none"/>
          <w:u w:val="single"/>
        </w:rPr>
        <w:t xml:space="preserve">       (职务)         </w:t>
      </w:r>
    </w:p>
    <w:p w14:paraId="3C0C5954">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(姓名)         </w:t>
      </w:r>
    </w:p>
    <w:p w14:paraId="40873FDA">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(签章)         </w:t>
      </w:r>
    </w:p>
    <w:p w14:paraId="66B93E6D">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56AD4E5C">
      <w:pPr>
        <w:widowControl/>
        <w:autoSpaceDE w:val="0"/>
        <w:autoSpaceDN w:val="0"/>
        <w:adjustRightInd w:val="0"/>
        <w:spacing w:line="360" w:lineRule="auto"/>
        <w:jc w:val="left"/>
        <w:rPr>
          <w:rFonts w:ascii="宋体" w:hAnsi="宋体" w:eastAsia="宋体" w:cs="宋体"/>
          <w:color w:val="auto"/>
          <w:kern w:val="0"/>
          <w:szCs w:val="21"/>
          <w:highlight w:val="none"/>
        </w:rPr>
      </w:pPr>
    </w:p>
    <w:p w14:paraId="0190DE64">
      <w:pPr>
        <w:widowControl/>
        <w:autoSpaceDE w:val="0"/>
        <w:autoSpaceDN w:val="0"/>
        <w:adjustRightInd w:val="0"/>
        <w:spacing w:line="360" w:lineRule="auto"/>
        <w:jc w:val="left"/>
        <w:rPr>
          <w:rFonts w:ascii="宋体" w:hAnsi="宋体" w:eastAsia="宋体" w:cs="宋体"/>
          <w:color w:val="auto"/>
          <w:kern w:val="0"/>
          <w:szCs w:val="21"/>
          <w:highlight w:val="none"/>
        </w:rPr>
      </w:pPr>
    </w:p>
    <w:p w14:paraId="3413180C">
      <w:pPr>
        <w:autoSpaceDE w:val="0"/>
        <w:autoSpaceDN w:val="0"/>
        <w:adjustRightInd w:val="0"/>
        <w:spacing w:line="360" w:lineRule="auto"/>
        <w:ind w:right="368" w:rightChars="175"/>
        <w:jc w:val="left"/>
        <w:rPr>
          <w:rFonts w:ascii="宋体" w:hAnsi="宋体" w:eastAsia="宋体" w:cs="宋体"/>
          <w:color w:val="auto"/>
          <w:kern w:val="0"/>
          <w:szCs w:val="21"/>
          <w:highlight w:val="none"/>
        </w:rPr>
        <w:sectPr>
          <w:headerReference r:id="rId4" w:type="first"/>
          <w:footerReference r:id="rId6" w:type="first"/>
          <w:footerReference r:id="rId5" w:type="default"/>
          <w:pgSz w:w="12240" w:h="15840"/>
          <w:pgMar w:top="1191" w:right="1043" w:bottom="1191" w:left="1043" w:header="720" w:footer="720" w:gutter="0"/>
          <w:cols w:space="720" w:num="1"/>
          <w:docGrid w:linePitch="326" w:charSpace="0"/>
        </w:sectPr>
      </w:pPr>
    </w:p>
    <w:p w14:paraId="428332E6">
      <w:pPr>
        <w:outlineLvl w:val="1"/>
        <w:rPr>
          <w:rFonts w:ascii="宋体" w:hAnsi="宋体" w:eastAsia="宋体" w:cs="宋体"/>
          <w:b/>
          <w:color w:val="auto"/>
          <w:kern w:val="0"/>
          <w:sz w:val="28"/>
          <w:szCs w:val="28"/>
          <w:highlight w:val="none"/>
        </w:rPr>
      </w:pPr>
      <w:bookmarkStart w:id="836" w:name="_Toc22814"/>
      <w:bookmarkStart w:id="837" w:name="_Toc7621"/>
      <w:bookmarkStart w:id="838" w:name="_Toc16756"/>
      <w:r>
        <w:rPr>
          <w:rFonts w:hint="eastAsia" w:ascii="宋体" w:hAnsi="宋体" w:eastAsia="宋体" w:cs="宋体"/>
          <w:b/>
          <w:color w:val="auto"/>
          <w:kern w:val="0"/>
          <w:sz w:val="28"/>
          <w:szCs w:val="28"/>
          <w:highlight w:val="none"/>
        </w:rPr>
        <w:t>二、履约保证保险凭证格式</w:t>
      </w:r>
      <w:bookmarkEnd w:id="836"/>
      <w:bookmarkEnd w:id="837"/>
      <w:bookmarkEnd w:id="838"/>
    </w:p>
    <w:p w14:paraId="0C057221">
      <w:pPr>
        <w:autoSpaceDE w:val="0"/>
        <w:autoSpaceDN w:val="0"/>
        <w:adjustRightInd w:val="0"/>
        <w:jc w:val="center"/>
        <w:rPr>
          <w:rFonts w:ascii="宋体" w:hAnsi="宋体" w:eastAsia="宋体" w:cs="宋体"/>
          <w:b/>
          <w:color w:val="auto"/>
          <w:kern w:val="0"/>
          <w:sz w:val="30"/>
          <w:szCs w:val="30"/>
          <w:highlight w:val="none"/>
        </w:rPr>
      </w:pPr>
    </w:p>
    <w:p w14:paraId="7A152B88">
      <w:pPr>
        <w:autoSpaceDE w:val="0"/>
        <w:autoSpaceDN w:val="0"/>
        <w:adjustRightInd w:val="0"/>
        <w:jc w:val="center"/>
        <w:outlineLvl w:val="2"/>
        <w:rPr>
          <w:rFonts w:ascii="宋体" w:hAnsi="宋体" w:eastAsia="宋体" w:cs="宋体"/>
          <w:b/>
          <w:color w:val="auto"/>
          <w:kern w:val="0"/>
          <w:sz w:val="30"/>
          <w:szCs w:val="30"/>
          <w:highlight w:val="none"/>
        </w:rPr>
      </w:pPr>
      <w:bookmarkStart w:id="839" w:name="_Toc11726"/>
      <w:bookmarkStart w:id="840" w:name="_Toc23367"/>
      <w:bookmarkStart w:id="841" w:name="_Toc6637"/>
      <w:r>
        <w:rPr>
          <w:rFonts w:hint="eastAsia" w:ascii="宋体" w:hAnsi="宋体" w:eastAsia="宋体" w:cs="宋体"/>
          <w:b/>
          <w:color w:val="auto"/>
          <w:kern w:val="0"/>
          <w:sz w:val="30"/>
          <w:szCs w:val="30"/>
          <w:highlight w:val="none"/>
        </w:rPr>
        <w:t>履约保证保险凭证</w:t>
      </w:r>
      <w:bookmarkEnd w:id="839"/>
      <w:bookmarkEnd w:id="840"/>
      <w:bookmarkEnd w:id="841"/>
    </w:p>
    <w:p w14:paraId="6C51B035">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5CE9598F">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编号：</w:t>
      </w:r>
    </w:p>
    <w:p w14:paraId="1A36FF58">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 xml:space="preserve">（下称“受益人”）： </w:t>
      </w:r>
    </w:p>
    <w:p w14:paraId="4A1F81D5">
      <w:pPr>
        <w:autoSpaceDE w:val="0"/>
        <w:autoSpaceDN w:val="0"/>
        <w:adjustRightInd w:val="0"/>
        <w:spacing w:line="360" w:lineRule="auto"/>
        <w:ind w:firstLine="437"/>
        <w:jc w:val="left"/>
        <w:rPr>
          <w:rFonts w:ascii="宋体" w:hAnsi="宋体" w:eastAsia="宋体" w:cs="宋体"/>
          <w:color w:val="auto"/>
          <w:kern w:val="0"/>
          <w:szCs w:val="21"/>
          <w:highlight w:val="none"/>
        </w:rPr>
      </w:pPr>
    </w:p>
    <w:p w14:paraId="11C50856">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（下称“申请人”）已与贵方签订了</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 xml:space="preserve">合同。我方已接受申请人的请求，并出具《履约保证保险》保险单。 </w:t>
      </w:r>
    </w:p>
    <w:p w14:paraId="3CAD5CD3">
      <w:pPr>
        <w:autoSpaceDE w:val="0"/>
        <w:autoSpaceDN w:val="0"/>
        <w:adjustRightInd w:val="0"/>
        <w:spacing w:line="360" w:lineRule="auto"/>
        <w:ind w:firstLine="437"/>
        <w:jc w:val="left"/>
        <w:outlineLvl w:val="1"/>
        <w:rPr>
          <w:rFonts w:ascii="宋体" w:hAnsi="宋体" w:eastAsia="宋体" w:cs="宋体"/>
          <w:color w:val="auto"/>
          <w:kern w:val="0"/>
          <w:szCs w:val="21"/>
          <w:highlight w:val="none"/>
        </w:rPr>
      </w:pPr>
      <w:bookmarkStart w:id="842" w:name="_Toc25054"/>
      <w:bookmarkStart w:id="843" w:name="_Toc4473"/>
      <w:bookmarkStart w:id="844" w:name="_Toc20577"/>
      <w:r>
        <w:rPr>
          <w:rFonts w:hint="eastAsia" w:ascii="宋体" w:hAnsi="宋体" w:eastAsia="宋体" w:cs="宋体"/>
          <w:color w:val="auto"/>
          <w:kern w:val="0"/>
          <w:szCs w:val="21"/>
          <w:highlight w:val="none"/>
        </w:rPr>
        <w:t>一、保证保险金额</w:t>
      </w:r>
      <w:bookmarkEnd w:id="842"/>
      <w:bookmarkEnd w:id="843"/>
      <w:bookmarkEnd w:id="844"/>
      <w:r>
        <w:rPr>
          <w:rFonts w:hint="eastAsia" w:ascii="宋体" w:hAnsi="宋体" w:eastAsia="宋体" w:cs="宋体"/>
          <w:color w:val="auto"/>
          <w:kern w:val="0"/>
          <w:szCs w:val="21"/>
          <w:highlight w:val="none"/>
        </w:rPr>
        <w:t xml:space="preserve"> </w:t>
      </w:r>
    </w:p>
    <w:p w14:paraId="5D228D9C">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元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 xml:space="preserve"> ）。 </w:t>
      </w:r>
    </w:p>
    <w:p w14:paraId="05A45F58">
      <w:pPr>
        <w:autoSpaceDE w:val="0"/>
        <w:autoSpaceDN w:val="0"/>
        <w:adjustRightInd w:val="0"/>
        <w:spacing w:line="360" w:lineRule="auto"/>
        <w:ind w:firstLine="437"/>
        <w:jc w:val="left"/>
        <w:outlineLvl w:val="1"/>
        <w:rPr>
          <w:rFonts w:ascii="宋体" w:hAnsi="宋体" w:eastAsia="宋体" w:cs="宋体"/>
          <w:color w:val="auto"/>
          <w:kern w:val="0"/>
          <w:szCs w:val="21"/>
          <w:highlight w:val="none"/>
        </w:rPr>
      </w:pPr>
      <w:bookmarkStart w:id="845" w:name="_Toc345"/>
      <w:bookmarkStart w:id="846" w:name="_Toc22512"/>
      <w:bookmarkStart w:id="847" w:name="_Toc21945"/>
      <w:r>
        <w:rPr>
          <w:rFonts w:hint="eastAsia" w:ascii="宋体" w:hAnsi="宋体" w:eastAsia="宋体" w:cs="宋体"/>
          <w:color w:val="auto"/>
          <w:kern w:val="0"/>
          <w:szCs w:val="21"/>
          <w:highlight w:val="none"/>
        </w:rPr>
        <w:t>二、保证保险的责任范围</w:t>
      </w:r>
      <w:bookmarkEnd w:id="845"/>
      <w:bookmarkEnd w:id="846"/>
      <w:bookmarkEnd w:id="847"/>
      <w:r>
        <w:rPr>
          <w:rFonts w:hint="eastAsia" w:ascii="宋体" w:hAnsi="宋体" w:eastAsia="宋体" w:cs="宋体"/>
          <w:color w:val="auto"/>
          <w:kern w:val="0"/>
          <w:szCs w:val="21"/>
          <w:highlight w:val="none"/>
        </w:rPr>
        <w:t xml:space="preserve"> </w:t>
      </w:r>
    </w:p>
    <w:p w14:paraId="054A23FB">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在保险期间内，申请人因自身原因未按照与贵方签订的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 xml:space="preserve">合同履行相关义务，给贵方造成损失的，贵方可向我方提出索赔，我方按照保险合同的约定承担损失赔偿责任。 </w:t>
      </w:r>
    </w:p>
    <w:p w14:paraId="3FE7C7D7">
      <w:pPr>
        <w:autoSpaceDE w:val="0"/>
        <w:autoSpaceDN w:val="0"/>
        <w:adjustRightInd w:val="0"/>
        <w:spacing w:line="360" w:lineRule="auto"/>
        <w:ind w:firstLine="437"/>
        <w:jc w:val="left"/>
        <w:outlineLvl w:val="1"/>
        <w:rPr>
          <w:rFonts w:ascii="宋体" w:hAnsi="宋体" w:eastAsia="宋体" w:cs="宋体"/>
          <w:color w:val="auto"/>
          <w:kern w:val="0"/>
          <w:szCs w:val="21"/>
          <w:highlight w:val="none"/>
        </w:rPr>
      </w:pPr>
      <w:bookmarkStart w:id="848" w:name="_Toc16346"/>
      <w:bookmarkStart w:id="849" w:name="_Toc21585"/>
      <w:bookmarkStart w:id="850" w:name="_Toc25093"/>
      <w:r>
        <w:rPr>
          <w:rFonts w:hint="eastAsia" w:ascii="宋体" w:hAnsi="宋体" w:eastAsia="宋体" w:cs="宋体"/>
          <w:color w:val="auto"/>
          <w:kern w:val="0"/>
          <w:szCs w:val="21"/>
          <w:highlight w:val="none"/>
        </w:rPr>
        <w:t>三、代偿的安排</w:t>
      </w:r>
      <w:bookmarkEnd w:id="848"/>
      <w:bookmarkEnd w:id="849"/>
      <w:bookmarkEnd w:id="850"/>
      <w:r>
        <w:rPr>
          <w:rFonts w:hint="eastAsia" w:ascii="宋体" w:hAnsi="宋体" w:eastAsia="宋体" w:cs="宋体"/>
          <w:color w:val="auto"/>
          <w:kern w:val="0"/>
          <w:szCs w:val="21"/>
          <w:highlight w:val="none"/>
        </w:rPr>
        <w:t xml:space="preserve"> </w:t>
      </w:r>
    </w:p>
    <w:p w14:paraId="01F75542">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03E2E847">
      <w:pPr>
        <w:autoSpaceDE w:val="0"/>
        <w:autoSpaceDN w:val="0"/>
        <w:adjustRightInd w:val="0"/>
        <w:spacing w:line="360" w:lineRule="auto"/>
        <w:ind w:firstLine="437"/>
        <w:jc w:val="left"/>
        <w:outlineLvl w:val="1"/>
        <w:rPr>
          <w:rFonts w:ascii="宋体" w:hAnsi="宋体" w:eastAsia="宋体" w:cs="宋体"/>
          <w:color w:val="auto"/>
          <w:kern w:val="0"/>
          <w:szCs w:val="21"/>
          <w:highlight w:val="none"/>
        </w:rPr>
      </w:pPr>
      <w:bookmarkStart w:id="851" w:name="_Toc14344"/>
      <w:bookmarkStart w:id="852" w:name="_Toc21122"/>
      <w:bookmarkStart w:id="853" w:name="_Toc26376"/>
      <w:r>
        <w:rPr>
          <w:rFonts w:hint="eastAsia" w:ascii="宋体" w:hAnsi="宋体" w:eastAsia="宋体" w:cs="宋体"/>
          <w:color w:val="auto"/>
          <w:kern w:val="0"/>
          <w:szCs w:val="21"/>
          <w:highlight w:val="none"/>
        </w:rPr>
        <w:t>四、生效时间</w:t>
      </w:r>
      <w:bookmarkEnd w:id="851"/>
      <w:bookmarkEnd w:id="852"/>
      <w:bookmarkEnd w:id="853"/>
      <w:r>
        <w:rPr>
          <w:rFonts w:hint="eastAsia" w:ascii="宋体" w:hAnsi="宋体" w:eastAsia="宋体" w:cs="宋体"/>
          <w:color w:val="auto"/>
          <w:kern w:val="0"/>
          <w:szCs w:val="21"/>
          <w:highlight w:val="none"/>
        </w:rPr>
        <w:t xml:space="preserve"> </w:t>
      </w:r>
    </w:p>
    <w:p w14:paraId="4A04D4AA">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本保险凭证自我方法定代表人（或其授权代理人）签字并加盖保险承保章之日起生效。 </w:t>
      </w:r>
    </w:p>
    <w:p w14:paraId="10558887">
      <w:pPr>
        <w:autoSpaceDE w:val="0"/>
        <w:autoSpaceDN w:val="0"/>
        <w:adjustRightInd w:val="0"/>
        <w:spacing w:line="360" w:lineRule="auto"/>
        <w:ind w:firstLine="437"/>
        <w:jc w:val="left"/>
        <w:outlineLvl w:val="1"/>
        <w:rPr>
          <w:rFonts w:ascii="宋体" w:hAnsi="宋体" w:eastAsia="宋体" w:cs="宋体"/>
          <w:color w:val="auto"/>
          <w:kern w:val="0"/>
          <w:szCs w:val="21"/>
          <w:highlight w:val="none"/>
        </w:rPr>
      </w:pPr>
      <w:bookmarkStart w:id="854" w:name="_Toc1197"/>
      <w:bookmarkStart w:id="855" w:name="_Toc29466"/>
      <w:bookmarkStart w:id="856" w:name="_Toc4275"/>
      <w:r>
        <w:rPr>
          <w:rFonts w:hint="eastAsia" w:ascii="宋体" w:hAnsi="宋体" w:eastAsia="宋体" w:cs="宋体"/>
          <w:color w:val="auto"/>
          <w:kern w:val="0"/>
          <w:szCs w:val="21"/>
          <w:highlight w:val="none"/>
        </w:rPr>
        <w:t>五、其他</w:t>
      </w:r>
      <w:bookmarkEnd w:id="854"/>
      <w:bookmarkEnd w:id="855"/>
      <w:bookmarkEnd w:id="856"/>
    </w:p>
    <w:p w14:paraId="399D3C20">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本履约保证保险应</w:t>
      </w:r>
      <w:bookmarkStart w:id="857" w:name="OLE_LINK389"/>
      <w:r>
        <w:rPr>
          <w:rFonts w:hint="eastAsia" w:ascii="宋体" w:hAnsi="宋体" w:eastAsia="宋体" w:cs="宋体"/>
          <w:color w:val="auto"/>
          <w:kern w:val="0"/>
          <w:szCs w:val="21"/>
          <w:highlight w:val="none"/>
        </w:rPr>
        <w:t>从合同签订之日起至</w:t>
      </w:r>
      <w:bookmarkEnd w:id="857"/>
      <w:r>
        <w:rPr>
          <w:rFonts w:hint="eastAsia" w:ascii="宋体" w:hAnsi="宋体" w:eastAsia="宋体" w:cs="宋体"/>
          <w:color w:val="auto"/>
          <w:kern w:val="0"/>
          <w:szCs w:val="21"/>
          <w:highlight w:val="none"/>
        </w:rPr>
        <w:t>运维期结束且申请人按合同约定完成运维期届满前的全部义务后二十八（28）日内保持有效。</w:t>
      </w:r>
    </w:p>
    <w:p w14:paraId="6B5AC5F8">
      <w:pPr>
        <w:autoSpaceDE w:val="0"/>
        <w:autoSpaceDN w:val="0"/>
        <w:adjustRightInd w:val="0"/>
        <w:spacing w:line="360" w:lineRule="auto"/>
        <w:ind w:firstLine="437"/>
        <w:jc w:val="left"/>
        <w:rPr>
          <w:rFonts w:ascii="宋体" w:hAnsi="宋体" w:eastAsia="宋体" w:cs="宋体"/>
          <w:color w:val="auto"/>
          <w:highlight w:val="none"/>
        </w:rPr>
      </w:pPr>
    </w:p>
    <w:p w14:paraId="61B98F07">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附：《XXX 保险有限公司履约保证保险（X 款）条款》及保单 </w:t>
      </w:r>
    </w:p>
    <w:p w14:paraId="6D33CF7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出具履约保证保险凭证</w:t>
      </w:r>
      <w:r>
        <w:rPr>
          <w:rFonts w:hint="eastAsia" w:ascii="宋体" w:hAnsi="宋体" w:eastAsia="宋体" w:cs="宋体"/>
          <w:color w:val="auto"/>
          <w:szCs w:val="21"/>
          <w:highlight w:val="none"/>
        </w:rPr>
        <w:t xml:space="preserve">联系人：                   </w:t>
      </w:r>
      <w:r>
        <w:rPr>
          <w:rFonts w:hint="eastAsia" w:ascii="宋体" w:hAnsi="宋体" w:eastAsia="宋体" w:cs="宋体"/>
          <w:color w:val="auto"/>
          <w:szCs w:val="21"/>
          <w:highlight w:val="none"/>
          <w:lang w:val="en-US" w:eastAsia="zh-CN"/>
        </w:rPr>
        <w:t>保险人经办人</w:t>
      </w:r>
      <w:r>
        <w:rPr>
          <w:rFonts w:hint="eastAsia" w:ascii="宋体" w:hAnsi="宋体" w:eastAsia="宋体" w:cs="宋体"/>
          <w:color w:val="auto"/>
          <w:szCs w:val="21"/>
          <w:highlight w:val="none"/>
        </w:rPr>
        <w:t>联系电话：             ）</w:t>
      </w:r>
    </w:p>
    <w:p w14:paraId="69A2C6A2">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682A8D1D">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保险人：（盖章）</w:t>
      </w:r>
    </w:p>
    <w:p w14:paraId="4E2EFC17">
      <w:pPr>
        <w:autoSpaceDE w:val="0"/>
        <w:autoSpaceDN w:val="0"/>
        <w:adjustRightInd w:val="0"/>
        <w:spacing w:line="360" w:lineRule="auto"/>
        <w:ind w:firstLine="437"/>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法定代表人或授权代理人：________ </w:t>
      </w:r>
    </w:p>
    <w:p w14:paraId="491A4D83">
      <w:pPr>
        <w:autoSpaceDE w:val="0"/>
        <w:autoSpaceDN w:val="0"/>
        <w:adjustRightInd w:val="0"/>
        <w:spacing w:line="360" w:lineRule="auto"/>
        <w:ind w:firstLine="437"/>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p w14:paraId="0B38F27D">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7F334266">
      <w:pPr>
        <w:autoSpaceDE w:val="0"/>
        <w:autoSpaceDN w:val="0"/>
        <w:adjustRightInd w:val="0"/>
        <w:spacing w:after="120" w:afterLines="50" w:line="360" w:lineRule="auto"/>
        <w:jc w:val="left"/>
        <w:outlineLvl w:val="1"/>
        <w:rPr>
          <w:rFonts w:ascii="宋体" w:hAnsi="宋体" w:eastAsia="宋体" w:cs="宋体"/>
          <w:b/>
          <w:color w:val="auto"/>
          <w:kern w:val="0"/>
          <w:sz w:val="28"/>
          <w:szCs w:val="28"/>
          <w:highlight w:val="none"/>
        </w:rPr>
      </w:pPr>
      <w:bookmarkStart w:id="858" w:name="_Toc30665"/>
      <w:bookmarkStart w:id="859" w:name="_Toc23303"/>
      <w:bookmarkStart w:id="860" w:name="_Toc8801"/>
      <w:r>
        <w:rPr>
          <w:rFonts w:hint="eastAsia" w:ascii="宋体" w:hAnsi="宋体" w:eastAsia="宋体" w:cs="宋体"/>
          <w:b/>
          <w:color w:val="auto"/>
          <w:kern w:val="0"/>
          <w:sz w:val="28"/>
          <w:szCs w:val="28"/>
          <w:highlight w:val="none"/>
        </w:rPr>
        <w:t>三、担保公司履约担保书格式</w:t>
      </w:r>
      <w:bookmarkEnd w:id="858"/>
      <w:bookmarkEnd w:id="859"/>
      <w:bookmarkEnd w:id="860"/>
    </w:p>
    <w:p w14:paraId="11A792FE">
      <w:pPr>
        <w:autoSpaceDE w:val="0"/>
        <w:autoSpaceDN w:val="0"/>
        <w:adjustRightInd w:val="0"/>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担保公司履约担保书</w:t>
      </w:r>
    </w:p>
    <w:p w14:paraId="4D743081">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7123DA06">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合同（招标文件）中规定的义务履行合同。</w:t>
      </w:r>
    </w:p>
    <w:p w14:paraId="31114F07">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w:t>
      </w:r>
      <w:r>
        <w:rPr>
          <w:rFonts w:hint="eastAsia" w:ascii="宋体" w:hAnsi="宋体" w:eastAsia="宋体" w:cs="宋体"/>
          <w:bCs/>
          <w:color w:val="auto"/>
          <w:kern w:val="0"/>
          <w:szCs w:val="21"/>
          <w:highlight w:val="none"/>
        </w:rPr>
        <w:t>不可撤销</w:t>
      </w:r>
      <w:r>
        <w:rPr>
          <w:rFonts w:hint="eastAsia" w:ascii="宋体" w:hAnsi="宋体" w:eastAsia="宋体" w:cs="宋体"/>
          <w:color w:val="auto"/>
          <w:kern w:val="0"/>
          <w:szCs w:val="21"/>
          <w:highlight w:val="none"/>
        </w:rPr>
        <w:t>履约担保书，作为申请人履行上述合同的担保，</w:t>
      </w:r>
      <w:r>
        <w:rPr>
          <w:rFonts w:hint="eastAsia" w:ascii="宋体" w:hAnsi="宋体" w:eastAsia="宋体" w:cs="宋体"/>
          <w:color w:val="auto"/>
          <w:kern w:val="0"/>
          <w:szCs w:val="21"/>
          <w:highlight w:val="none"/>
          <w:lang w:eastAsia="zh-Hans"/>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77B5FEFC">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，受申请人的委托，无条件和不可撤销地在受益人出具本担保书原件且提出因申请人没有履行上述合同规定，在担保书限额内向受益人支付不超过人民币（大写）_________（¥_______元）的款项。</w:t>
      </w:r>
    </w:p>
    <w:p w14:paraId="23C85A24">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我方还同意，任何受益人与申请人之间可能对合同条款的修改、规范或其他合同文件的变动补充，都不能免除我方按本担保书所承担的责任。因此，有关上述变动、补充和修改无须通知或征得我方同意。</w:t>
      </w:r>
    </w:p>
    <w:p w14:paraId="7ED755D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本担保书应</w:t>
      </w:r>
      <w:bookmarkStart w:id="861" w:name="OLE_LINK388"/>
      <w:r>
        <w:rPr>
          <w:rFonts w:hint="eastAsia" w:ascii="宋体" w:hAnsi="宋体" w:eastAsia="宋体" w:cs="宋体"/>
          <w:color w:val="auto"/>
          <w:kern w:val="0"/>
          <w:szCs w:val="21"/>
          <w:highlight w:val="none"/>
        </w:rPr>
        <w:t>从合同签订之日起至运维期结束且申请人按合同约定完成运维期届满前的全部义务后二十八（28）日内保持有效</w:t>
      </w:r>
      <w:bookmarkEnd w:id="861"/>
      <w:r>
        <w:rPr>
          <w:rFonts w:hint="eastAsia" w:ascii="宋体" w:hAnsi="宋体" w:eastAsia="宋体" w:cs="宋体"/>
          <w:color w:val="auto"/>
          <w:kern w:val="0"/>
          <w:szCs w:val="21"/>
          <w:highlight w:val="none"/>
        </w:rPr>
        <w:t>。</w:t>
      </w:r>
    </w:p>
    <w:p w14:paraId="6D46F9C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出具担保公司履约担保书</w:t>
      </w:r>
      <w:r>
        <w:rPr>
          <w:rFonts w:hint="eastAsia" w:ascii="宋体" w:hAnsi="宋体" w:eastAsia="宋体" w:cs="宋体"/>
          <w:color w:val="auto"/>
          <w:szCs w:val="21"/>
          <w:highlight w:val="none"/>
        </w:rPr>
        <w:t>联系人：         担保公司履约担保书</w:t>
      </w:r>
      <w:r>
        <w:rPr>
          <w:rFonts w:hint="eastAsia" w:ascii="宋体" w:hAnsi="宋体" w:eastAsia="宋体" w:cs="宋体"/>
          <w:color w:val="auto"/>
          <w:szCs w:val="21"/>
          <w:highlight w:val="none"/>
          <w:lang w:val="en-US" w:eastAsia="zh-CN"/>
        </w:rPr>
        <w:t>经办人</w:t>
      </w:r>
      <w:r>
        <w:rPr>
          <w:rFonts w:hint="eastAsia" w:ascii="宋体" w:hAnsi="宋体" w:eastAsia="宋体" w:cs="宋体"/>
          <w:color w:val="auto"/>
          <w:szCs w:val="21"/>
          <w:highlight w:val="none"/>
        </w:rPr>
        <w:t>联系电话：             ）</w:t>
      </w:r>
    </w:p>
    <w:p w14:paraId="20ABA43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p>
    <w:p w14:paraId="2F7664A8">
      <w:pPr>
        <w:autoSpaceDE w:val="0"/>
        <w:autoSpaceDN w:val="0"/>
        <w:adjustRightInd w:val="0"/>
        <w:spacing w:line="360" w:lineRule="auto"/>
        <w:jc w:val="left"/>
        <w:rPr>
          <w:rFonts w:ascii="宋体" w:hAnsi="宋体" w:eastAsia="宋体" w:cs="宋体"/>
          <w:color w:val="auto"/>
          <w:kern w:val="0"/>
          <w:szCs w:val="21"/>
          <w:highlight w:val="none"/>
        </w:rPr>
      </w:pPr>
    </w:p>
    <w:p w14:paraId="55C00CD0">
      <w:pPr>
        <w:autoSpaceDE w:val="0"/>
        <w:autoSpaceDN w:val="0"/>
        <w:adjustRightInd w:val="0"/>
        <w:spacing w:line="360" w:lineRule="auto"/>
        <w:ind w:firstLine="3990" w:firstLineChars="1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法定代表人或其授权的代理人：（签字或盖私章）</w:t>
      </w:r>
    </w:p>
    <w:p w14:paraId="76B06550">
      <w:pPr>
        <w:autoSpaceDE w:val="0"/>
        <w:autoSpaceDN w:val="0"/>
        <w:adjustRightInd w:val="0"/>
        <w:spacing w:line="360" w:lineRule="auto"/>
        <w:ind w:firstLine="3990" w:firstLineChars="1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担保公司盖章：</w:t>
      </w:r>
    </w:p>
    <w:p w14:paraId="01C7242A">
      <w:pPr>
        <w:autoSpaceDE w:val="0"/>
        <w:autoSpaceDN w:val="0"/>
        <w:adjustRightInd w:val="0"/>
        <w:spacing w:line="360" w:lineRule="auto"/>
        <w:ind w:firstLine="3990" w:firstLineChars="1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p>
    <w:p w14:paraId="77AC9DFB">
      <w:pPr>
        <w:autoSpaceDE w:val="0"/>
        <w:autoSpaceDN w:val="0"/>
        <w:adjustRightInd w:val="0"/>
        <w:spacing w:line="360" w:lineRule="auto"/>
        <w:ind w:firstLine="3990" w:firstLineChars="1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p w14:paraId="4A98A68E">
      <w:pPr>
        <w:autoSpaceDE w:val="0"/>
        <w:autoSpaceDN w:val="0"/>
        <w:adjustRightInd w:val="0"/>
        <w:spacing w:line="360" w:lineRule="auto"/>
        <w:ind w:firstLine="3990" w:firstLineChars="1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1C561570">
      <w:pPr>
        <w:autoSpaceDE w:val="0"/>
        <w:autoSpaceDN w:val="0"/>
        <w:adjustRightInd w:val="0"/>
        <w:spacing w:line="360" w:lineRule="auto"/>
        <w:ind w:right="368" w:rightChars="175"/>
        <w:jc w:val="left"/>
        <w:rPr>
          <w:rFonts w:ascii="宋体" w:hAnsi="宋体" w:eastAsia="宋体" w:cs="宋体"/>
          <w:color w:val="auto"/>
          <w:kern w:val="0"/>
          <w:szCs w:val="21"/>
          <w:highlight w:val="none"/>
        </w:rPr>
      </w:pPr>
    </w:p>
    <w:p w14:paraId="2A6C5029">
      <w:pPr>
        <w:autoSpaceDE w:val="0"/>
        <w:autoSpaceDN w:val="0"/>
        <w:adjustRightInd w:val="0"/>
        <w:spacing w:line="360" w:lineRule="auto"/>
        <w:jc w:val="left"/>
        <w:rPr>
          <w:rFonts w:ascii="宋体" w:hAnsi="宋体" w:eastAsia="宋体" w:cs="宋体"/>
          <w:color w:val="auto"/>
          <w:kern w:val="0"/>
          <w:szCs w:val="21"/>
          <w:highlight w:val="none"/>
        </w:rPr>
      </w:pPr>
    </w:p>
    <w:p w14:paraId="7FBE25DF">
      <w:pPr>
        <w:autoSpaceDE w:val="0"/>
        <w:autoSpaceDN w:val="0"/>
        <w:adjustRightInd w:val="0"/>
        <w:spacing w:line="360" w:lineRule="auto"/>
        <w:jc w:val="left"/>
        <w:rPr>
          <w:rFonts w:ascii="宋体" w:hAnsi="宋体" w:eastAsia="宋体" w:cs="宋体"/>
          <w:color w:val="auto"/>
          <w:kern w:val="0"/>
          <w:szCs w:val="21"/>
          <w:highlight w:val="none"/>
        </w:rPr>
      </w:pPr>
    </w:p>
    <w:p w14:paraId="0F05CA53">
      <w:pPr>
        <w:autoSpaceDE w:val="0"/>
        <w:autoSpaceDN w:val="0"/>
        <w:adjustRightInd w:val="0"/>
        <w:spacing w:line="360" w:lineRule="auto"/>
        <w:jc w:val="left"/>
        <w:rPr>
          <w:rFonts w:ascii="宋体" w:hAnsi="宋体" w:eastAsia="宋体" w:cs="宋体"/>
          <w:color w:val="auto"/>
          <w:kern w:val="0"/>
          <w:szCs w:val="21"/>
          <w:highlight w:val="none"/>
        </w:rPr>
      </w:pPr>
    </w:p>
    <w:p w14:paraId="4B01935F">
      <w:pPr>
        <w:autoSpaceDE w:val="0"/>
        <w:autoSpaceDN w:val="0"/>
        <w:adjustRightInd w:val="0"/>
        <w:spacing w:after="120" w:afterLines="50" w:line="360" w:lineRule="auto"/>
        <w:jc w:val="left"/>
        <w:outlineLvl w:val="1"/>
        <w:rPr>
          <w:rFonts w:hint="eastAsia" w:ascii="宋体" w:hAnsi="宋体" w:eastAsia="宋体" w:cs="宋体"/>
          <w:b/>
          <w:color w:val="auto"/>
          <w:kern w:val="0"/>
          <w:sz w:val="28"/>
          <w:szCs w:val="28"/>
          <w:highlight w:val="none"/>
        </w:rPr>
      </w:pPr>
    </w:p>
    <w:p w14:paraId="70F5E18C">
      <w:pPr>
        <w:autoSpaceDE w:val="0"/>
        <w:autoSpaceDN w:val="0"/>
        <w:adjustRightInd w:val="0"/>
        <w:spacing w:after="120" w:afterLines="50" w:line="360" w:lineRule="auto"/>
        <w:jc w:val="left"/>
        <w:outlineLvl w:val="1"/>
        <w:rPr>
          <w:rFonts w:hint="eastAsia" w:ascii="宋体" w:hAnsi="宋体" w:eastAsia="宋体" w:cs="宋体"/>
          <w:b/>
          <w:color w:val="auto"/>
          <w:kern w:val="0"/>
          <w:sz w:val="28"/>
          <w:szCs w:val="28"/>
          <w:highlight w:val="none"/>
        </w:rPr>
      </w:pPr>
    </w:p>
    <w:p w14:paraId="4BBCEA24">
      <w:pPr>
        <w:pageBreakBefore/>
        <w:autoSpaceDE w:val="0"/>
        <w:autoSpaceDN w:val="0"/>
        <w:adjustRightInd w:val="0"/>
        <w:spacing w:after="120" w:afterLines="50" w:line="360" w:lineRule="auto"/>
        <w:jc w:val="left"/>
        <w:outlineLvl w:val="1"/>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t>四</w:t>
      </w:r>
      <w:r>
        <w:rPr>
          <w:rFonts w:hint="eastAsia" w:ascii="宋体" w:hAnsi="宋体" w:eastAsia="宋体" w:cs="宋体"/>
          <w:b/>
          <w:color w:val="auto"/>
          <w:kern w:val="0"/>
          <w:sz w:val="28"/>
          <w:szCs w:val="28"/>
          <w:highlight w:val="none"/>
        </w:rPr>
        <w:t>、</w:t>
      </w:r>
      <w:r>
        <w:rPr>
          <w:rFonts w:hint="eastAsia" w:ascii="宋体" w:hAnsi="宋体" w:eastAsia="宋体" w:cs="宋体"/>
          <w:b/>
          <w:color w:val="auto"/>
          <w:kern w:val="0"/>
          <w:sz w:val="28"/>
          <w:szCs w:val="28"/>
          <w:highlight w:val="none"/>
          <w:lang w:val="en-US" w:eastAsia="zh-CN"/>
        </w:rPr>
        <w:t>不可撤销银行预付款保函</w:t>
      </w:r>
      <w:r>
        <w:rPr>
          <w:rFonts w:hint="eastAsia" w:ascii="宋体" w:hAnsi="宋体" w:eastAsia="宋体" w:cs="宋体"/>
          <w:b/>
          <w:color w:val="auto"/>
          <w:kern w:val="0"/>
          <w:sz w:val="28"/>
          <w:szCs w:val="28"/>
          <w:highlight w:val="none"/>
        </w:rPr>
        <w:t>格式</w:t>
      </w:r>
    </w:p>
    <w:p w14:paraId="3D1C45F4">
      <w:pPr>
        <w:autoSpaceDE w:val="0"/>
        <w:autoSpaceDN w:val="0"/>
        <w:adjustRightInd w:val="0"/>
        <w:spacing w:line="360" w:lineRule="auto"/>
        <w:jc w:val="center"/>
        <w:rPr>
          <w:rFonts w:ascii="宋体" w:hAnsi="宋体" w:eastAsia="宋体" w:cs="宋体"/>
          <w:color w:val="auto"/>
          <w:kern w:val="0"/>
          <w:sz w:val="30"/>
          <w:szCs w:val="30"/>
          <w:highlight w:val="none"/>
        </w:rPr>
      </w:pPr>
      <w:r>
        <w:rPr>
          <w:rFonts w:hint="eastAsia" w:ascii="宋体" w:hAnsi="宋体" w:eastAsia="宋体" w:cs="Times New Roman"/>
          <w:b/>
          <w:color w:val="auto"/>
          <w:kern w:val="0"/>
          <w:sz w:val="30"/>
          <w:szCs w:val="30"/>
          <w:highlight w:val="none"/>
        </w:rPr>
        <w:t>不可撤销</w:t>
      </w:r>
      <w:r>
        <w:rPr>
          <w:rFonts w:hint="eastAsia" w:ascii="宋体" w:hAnsi="宋体" w:eastAsia="宋体" w:cs="宋体"/>
          <w:b/>
          <w:color w:val="auto"/>
          <w:kern w:val="0"/>
          <w:sz w:val="30"/>
          <w:szCs w:val="30"/>
          <w:highlight w:val="none"/>
          <w:lang w:val="en-US" w:eastAsia="zh-CN"/>
        </w:rPr>
        <w:t>银行预付款保函</w:t>
      </w:r>
    </w:p>
    <w:p w14:paraId="70577530">
      <w:pPr>
        <w:autoSpaceDE w:val="0"/>
        <w:autoSpaceDN w:val="0"/>
        <w:adjustRightInd w:val="0"/>
        <w:spacing w:line="360" w:lineRule="auto"/>
        <w:jc w:val="left"/>
        <w:rPr>
          <w:rFonts w:ascii="宋体" w:hAnsi="宋体" w:eastAsia="宋体" w:cs="宋体"/>
          <w:color w:val="auto"/>
          <w:kern w:val="0"/>
          <w:szCs w:val="21"/>
          <w:highlight w:val="none"/>
        </w:rPr>
      </w:pPr>
    </w:p>
    <w:p w14:paraId="73F161BE">
      <w:pPr>
        <w:keepNext w:val="0"/>
        <w:keepLines w:val="0"/>
        <w:pageBreakBefore w:val="0"/>
        <w:widowControl w:val="0"/>
        <w:kinsoku/>
        <w:wordWrap/>
        <w:overflowPunct/>
        <w:topLinePunct w:val="0"/>
        <w:autoSpaceDE/>
        <w:autoSpaceDN/>
        <w:bidi w:val="0"/>
        <w:adjustRightInd/>
        <w:snapToGrid/>
        <w:spacing w:line="360" w:lineRule="auto"/>
        <w:ind w:firstLine="63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银行编号：</w:t>
      </w:r>
      <w:r>
        <w:rPr>
          <w:rFonts w:hint="eastAsia" w:ascii="宋体" w:hAnsi="宋体" w:eastAsia="宋体" w:cs="宋体"/>
          <w:color w:val="auto"/>
          <w:highlight w:val="none"/>
          <w:u w:val="single"/>
        </w:rPr>
        <w:t xml:space="preserve">             </w:t>
      </w:r>
    </w:p>
    <w:p w14:paraId="3EE513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p>
    <w:p w14:paraId="7A0904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（买方全称）</w:t>
      </w:r>
    </w:p>
    <w:p w14:paraId="0A1AE52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（卖方全称）(</w:t>
      </w:r>
      <w:r>
        <w:rPr>
          <w:rFonts w:hint="eastAsia" w:ascii="宋体" w:hAnsi="宋体" w:eastAsia="宋体" w:cs="宋体"/>
          <w:color w:val="auto"/>
          <w:kern w:val="0"/>
          <w:szCs w:val="21"/>
          <w:highlight w:val="none"/>
        </w:rPr>
        <w:t>下称“申请人”</w:t>
      </w:r>
      <w:r>
        <w:rPr>
          <w:rFonts w:hint="eastAsia" w:ascii="宋体" w:hAnsi="宋体" w:eastAsia="宋体" w:cs="宋体"/>
          <w:color w:val="auto"/>
          <w:szCs w:val="21"/>
          <w:highlight w:val="none"/>
        </w:rPr>
        <w:t>)与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买方全称）(</w:t>
      </w:r>
      <w:r>
        <w:rPr>
          <w:rFonts w:hint="eastAsia" w:ascii="宋体" w:hAnsi="宋体" w:eastAsia="宋体" w:cs="宋体"/>
          <w:color w:val="auto"/>
          <w:kern w:val="0"/>
          <w:szCs w:val="21"/>
          <w:highlight w:val="none"/>
        </w:rPr>
        <w:t>下称“受益人”</w:t>
      </w:r>
      <w:r>
        <w:rPr>
          <w:rFonts w:hint="eastAsia" w:ascii="宋体" w:hAnsi="宋体" w:eastAsia="宋体" w:cs="宋体"/>
          <w:color w:val="auto"/>
          <w:szCs w:val="21"/>
          <w:highlight w:val="none"/>
        </w:rPr>
        <w:t xml:space="preserve">)签订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合同(编号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日签署)，并保证</w:t>
      </w:r>
      <w:r>
        <w:rPr>
          <w:rFonts w:hint="eastAsia" w:ascii="宋体" w:hAnsi="宋体" w:eastAsia="宋体" w:cs="宋体"/>
          <w:color w:val="auto"/>
          <w:kern w:val="0"/>
          <w:szCs w:val="21"/>
          <w:highlight w:val="none"/>
        </w:rPr>
        <w:t>申请人</w:t>
      </w:r>
      <w:r>
        <w:rPr>
          <w:rFonts w:hint="eastAsia" w:ascii="宋体" w:hAnsi="宋体" w:eastAsia="宋体" w:cs="宋体"/>
          <w:color w:val="auto"/>
          <w:szCs w:val="21"/>
          <w:highlight w:val="none"/>
        </w:rPr>
        <w:t>有权获得按合同约定为保证项目按时</w:t>
      </w:r>
      <w:r>
        <w:rPr>
          <w:rFonts w:hint="eastAsia" w:ascii="宋体" w:hAnsi="宋体" w:eastAsia="宋体" w:cs="宋体"/>
          <w:color w:val="auto"/>
          <w:szCs w:val="21"/>
          <w:highlight w:val="none"/>
          <w:lang w:val="en-US" w:eastAsia="zh-CN"/>
        </w:rPr>
        <w:t>并网验收</w:t>
      </w:r>
      <w:r>
        <w:rPr>
          <w:rFonts w:hint="eastAsia" w:ascii="宋体" w:hAnsi="宋体" w:eastAsia="宋体" w:cs="宋体"/>
          <w:color w:val="auto"/>
          <w:szCs w:val="21"/>
          <w:highlight w:val="none"/>
        </w:rPr>
        <w:t>的由</w:t>
      </w:r>
      <w:r>
        <w:rPr>
          <w:rFonts w:hint="eastAsia" w:ascii="宋体" w:hAnsi="宋体" w:eastAsia="宋体" w:cs="宋体"/>
          <w:color w:val="auto"/>
          <w:kern w:val="0"/>
          <w:szCs w:val="21"/>
          <w:highlight w:val="none"/>
        </w:rPr>
        <w:t>受益人</w:t>
      </w:r>
      <w:r>
        <w:rPr>
          <w:rFonts w:hint="eastAsia" w:ascii="宋体" w:hAnsi="宋体" w:eastAsia="宋体" w:cs="宋体"/>
          <w:color w:val="auto"/>
          <w:szCs w:val="21"/>
          <w:highlight w:val="none"/>
        </w:rPr>
        <w:t>支付的</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预付款；</w:t>
      </w:r>
      <w:r>
        <w:rPr>
          <w:rFonts w:hint="eastAsia" w:ascii="宋体" w:hAnsi="宋体" w:eastAsia="宋体" w:cs="宋体"/>
          <w:color w:val="auto"/>
          <w:kern w:val="0"/>
          <w:szCs w:val="21"/>
          <w:highlight w:val="none"/>
        </w:rPr>
        <w:t>受益人</w:t>
      </w:r>
      <w:r>
        <w:rPr>
          <w:rFonts w:hint="eastAsia" w:ascii="宋体" w:hAnsi="宋体" w:eastAsia="宋体" w:cs="宋体"/>
          <w:color w:val="auto"/>
          <w:szCs w:val="21"/>
          <w:highlight w:val="none"/>
        </w:rPr>
        <w:t>在合同中要求</w:t>
      </w:r>
      <w:r>
        <w:rPr>
          <w:rFonts w:hint="eastAsia" w:ascii="宋体" w:hAnsi="宋体" w:eastAsia="宋体" w:cs="宋体"/>
          <w:color w:val="auto"/>
          <w:kern w:val="0"/>
          <w:szCs w:val="21"/>
          <w:highlight w:val="none"/>
        </w:rPr>
        <w:t>申请人</w:t>
      </w:r>
      <w:r>
        <w:rPr>
          <w:rFonts w:hint="eastAsia" w:ascii="宋体" w:hAnsi="宋体" w:eastAsia="宋体" w:cs="宋体"/>
          <w:color w:val="auto"/>
          <w:szCs w:val="21"/>
          <w:highlight w:val="none"/>
        </w:rPr>
        <w:t>应通过经认可的银行提交合同指定的与</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预付款等额的担保金额等事实，我行愿意为</w:t>
      </w:r>
      <w:r>
        <w:rPr>
          <w:rFonts w:hint="eastAsia" w:ascii="宋体" w:hAnsi="宋体" w:eastAsia="宋体" w:cs="宋体"/>
          <w:color w:val="auto"/>
          <w:kern w:val="0"/>
          <w:szCs w:val="21"/>
          <w:highlight w:val="none"/>
        </w:rPr>
        <w:t>申请人</w:t>
      </w:r>
      <w:r>
        <w:rPr>
          <w:rFonts w:hint="eastAsia" w:ascii="宋体" w:hAnsi="宋体" w:eastAsia="宋体" w:cs="宋体"/>
          <w:color w:val="auto"/>
          <w:szCs w:val="21"/>
          <w:highlight w:val="none"/>
        </w:rPr>
        <w:t>出具保函，以担保金额人民币(大写)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元)向</w:t>
      </w:r>
      <w:r>
        <w:rPr>
          <w:rFonts w:hint="eastAsia" w:ascii="宋体" w:hAnsi="宋体" w:eastAsia="宋体" w:cs="宋体"/>
          <w:color w:val="auto"/>
          <w:kern w:val="0"/>
          <w:szCs w:val="21"/>
          <w:highlight w:val="none"/>
        </w:rPr>
        <w:t>受益人</w:t>
      </w:r>
      <w:r>
        <w:rPr>
          <w:rFonts w:hint="eastAsia" w:ascii="宋体" w:hAnsi="宋体" w:eastAsia="宋体" w:cs="宋体"/>
          <w:color w:val="auto"/>
          <w:szCs w:val="21"/>
          <w:highlight w:val="none"/>
        </w:rPr>
        <w:t>提供无条件、不可撤销的担保。</w:t>
      </w:r>
    </w:p>
    <w:p w14:paraId="39B5A41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如果</w:t>
      </w:r>
      <w:r>
        <w:rPr>
          <w:rFonts w:hint="eastAsia" w:ascii="宋体" w:hAnsi="宋体" w:eastAsia="宋体" w:cs="宋体"/>
          <w:color w:val="auto"/>
          <w:kern w:val="0"/>
          <w:szCs w:val="21"/>
          <w:highlight w:val="none"/>
        </w:rPr>
        <w:t>申请人</w:t>
      </w:r>
      <w:r>
        <w:rPr>
          <w:rFonts w:hint="eastAsia" w:ascii="宋体" w:hAnsi="宋体" w:eastAsia="宋体" w:cs="宋体"/>
          <w:color w:val="auto"/>
          <w:szCs w:val="21"/>
          <w:highlight w:val="none"/>
        </w:rPr>
        <w:t>在履行合同过程中发生违约或违背合同约定时，我行保证在担保金额额度内偿还或偿清</w:t>
      </w:r>
      <w:r>
        <w:rPr>
          <w:rFonts w:hint="eastAsia" w:ascii="宋体" w:hAnsi="宋体" w:eastAsia="宋体" w:cs="宋体"/>
          <w:color w:val="auto"/>
          <w:kern w:val="0"/>
          <w:szCs w:val="21"/>
          <w:highlight w:val="none"/>
        </w:rPr>
        <w:t>受益人</w:t>
      </w:r>
      <w:r>
        <w:rPr>
          <w:rFonts w:hint="eastAsia" w:ascii="宋体" w:hAnsi="宋体" w:eastAsia="宋体" w:cs="宋体"/>
          <w:color w:val="auto"/>
          <w:szCs w:val="21"/>
          <w:highlight w:val="none"/>
        </w:rPr>
        <w:t>因该项违约或违背所造成的经济损失（无论该事实是否成立），并在接到</w:t>
      </w:r>
      <w:r>
        <w:rPr>
          <w:rFonts w:hint="eastAsia" w:ascii="宋体" w:hAnsi="宋体" w:eastAsia="宋体" w:cs="宋体"/>
          <w:color w:val="auto"/>
          <w:kern w:val="0"/>
          <w:szCs w:val="21"/>
          <w:highlight w:val="none"/>
        </w:rPr>
        <w:t>受益人</w:t>
      </w:r>
      <w:r>
        <w:rPr>
          <w:rFonts w:hint="eastAsia" w:ascii="宋体" w:hAnsi="宋体" w:eastAsia="宋体" w:cs="宋体"/>
          <w:color w:val="auto"/>
          <w:szCs w:val="21"/>
          <w:highlight w:val="none"/>
        </w:rPr>
        <w:t>要求的第</w:t>
      </w:r>
      <w:r>
        <w:rPr>
          <w:rFonts w:hint="eastAsia" w:ascii="宋体" w:hAnsi="宋体" w:eastAsia="宋体" w:cs="宋体"/>
          <w:color w:val="auto"/>
          <w:szCs w:val="21"/>
          <w:highlight w:val="none"/>
          <w:u w:val="single"/>
        </w:rPr>
        <w:t xml:space="preserve"> 10 </w:t>
      </w:r>
      <w:r>
        <w:rPr>
          <w:rFonts w:hint="eastAsia" w:ascii="宋体" w:hAnsi="宋体" w:eastAsia="宋体" w:cs="宋体"/>
          <w:color w:val="auto"/>
          <w:szCs w:val="21"/>
          <w:highlight w:val="none"/>
        </w:rPr>
        <w:t>天内予以支付。</w:t>
      </w:r>
    </w:p>
    <w:p w14:paraId="6D6FB2A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在向我行提出要求前，我行将不坚持要求</w:t>
      </w:r>
      <w:r>
        <w:rPr>
          <w:rFonts w:hint="eastAsia" w:ascii="宋体" w:hAnsi="宋体" w:eastAsia="宋体" w:cs="宋体"/>
          <w:color w:val="auto"/>
          <w:kern w:val="0"/>
          <w:szCs w:val="21"/>
          <w:highlight w:val="none"/>
        </w:rPr>
        <w:t>受益人</w:t>
      </w:r>
      <w:r>
        <w:rPr>
          <w:rFonts w:hint="eastAsia" w:ascii="宋体" w:hAnsi="宋体" w:eastAsia="宋体" w:cs="宋体"/>
          <w:color w:val="auto"/>
          <w:szCs w:val="21"/>
          <w:highlight w:val="none"/>
        </w:rPr>
        <w:t>首先向</w:t>
      </w:r>
      <w:r>
        <w:rPr>
          <w:rFonts w:hint="eastAsia" w:ascii="宋体" w:hAnsi="宋体" w:eastAsia="宋体" w:cs="宋体"/>
          <w:color w:val="auto"/>
          <w:kern w:val="0"/>
          <w:szCs w:val="21"/>
          <w:highlight w:val="none"/>
        </w:rPr>
        <w:t>申请人</w:t>
      </w:r>
      <w:r>
        <w:rPr>
          <w:rFonts w:hint="eastAsia" w:ascii="宋体" w:hAnsi="宋体" w:eastAsia="宋体" w:cs="宋体"/>
          <w:color w:val="auto"/>
          <w:szCs w:val="21"/>
          <w:highlight w:val="none"/>
        </w:rPr>
        <w:t>提出上述款项的索赔。</w:t>
      </w:r>
    </w:p>
    <w:p w14:paraId="0A03C26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我行承诺：无论是否经我行知晓或同意，我行的义务和责任不因</w:t>
      </w:r>
      <w:r>
        <w:rPr>
          <w:rFonts w:hint="eastAsia" w:ascii="宋体" w:hAnsi="宋体" w:eastAsia="宋体" w:cs="宋体"/>
          <w:color w:val="auto"/>
          <w:kern w:val="0"/>
          <w:szCs w:val="21"/>
          <w:highlight w:val="none"/>
        </w:rPr>
        <w:t>受益人</w:t>
      </w:r>
      <w:r>
        <w:rPr>
          <w:rFonts w:hint="eastAsia" w:ascii="宋体" w:hAnsi="宋体" w:eastAsia="宋体" w:cs="宋体"/>
          <w:color w:val="auto"/>
          <w:szCs w:val="21"/>
          <w:highlight w:val="none"/>
        </w:rPr>
        <w:t>与</w:t>
      </w:r>
      <w:r>
        <w:rPr>
          <w:rFonts w:hint="eastAsia" w:ascii="宋体" w:hAnsi="宋体" w:eastAsia="宋体" w:cs="宋体"/>
          <w:color w:val="auto"/>
          <w:kern w:val="0"/>
          <w:szCs w:val="21"/>
          <w:highlight w:val="none"/>
        </w:rPr>
        <w:t>申请人</w:t>
      </w:r>
      <w:r>
        <w:rPr>
          <w:rFonts w:hint="eastAsia" w:ascii="宋体" w:hAnsi="宋体" w:eastAsia="宋体" w:cs="宋体"/>
          <w:color w:val="auto"/>
          <w:szCs w:val="21"/>
          <w:highlight w:val="none"/>
        </w:rPr>
        <w:t>对合同条款所作的任何修改或补充而解除。</w:t>
      </w:r>
      <w:r>
        <w:rPr>
          <w:rFonts w:hint="eastAsia" w:ascii="宋体" w:hAnsi="宋体" w:eastAsia="宋体" w:cs="宋体"/>
          <w:color w:val="auto"/>
          <w:kern w:val="0"/>
          <w:szCs w:val="21"/>
          <w:highlight w:val="none"/>
        </w:rPr>
        <w:t>因此，有关上述变动、补充和修改无须通知或征得我方同意。</w:t>
      </w:r>
    </w:p>
    <w:p w14:paraId="5E28A22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本保函在合同下全部</w:t>
      </w:r>
      <w:r>
        <w:rPr>
          <w:rFonts w:hint="eastAsia" w:ascii="宋体" w:hAnsi="宋体" w:eastAsia="宋体" w:cs="宋体"/>
          <w:color w:val="auto"/>
          <w:szCs w:val="21"/>
          <w:highlight w:val="none"/>
          <w:lang w:val="en-US" w:eastAsia="zh-CN"/>
        </w:rPr>
        <w:t>子项目并网验收合格</w:t>
      </w:r>
      <w:r>
        <w:rPr>
          <w:rFonts w:hint="eastAsia" w:ascii="宋体" w:hAnsi="宋体" w:eastAsia="宋体" w:cs="宋体"/>
          <w:color w:val="auto"/>
          <w:szCs w:val="21"/>
          <w:highlight w:val="none"/>
        </w:rPr>
        <w:t>后第</w:t>
      </w: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天起失效。</w:t>
      </w:r>
    </w:p>
    <w:p w14:paraId="4738143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w:t>
      </w:r>
      <w:r>
        <w:rPr>
          <w:rFonts w:hint="eastAsia" w:ascii="宋体" w:hAnsi="宋体" w:eastAsia="宋体" w:cs="宋体"/>
          <w:color w:val="auto"/>
          <w:szCs w:val="21"/>
          <w:highlight w:val="none"/>
          <w:lang w:val="en-US" w:eastAsia="zh-CN"/>
        </w:rPr>
        <w:t>出具保函</w:t>
      </w:r>
      <w:r>
        <w:rPr>
          <w:rFonts w:hint="eastAsia" w:ascii="宋体" w:hAnsi="宋体" w:eastAsia="宋体" w:cs="宋体"/>
          <w:color w:val="auto"/>
          <w:szCs w:val="21"/>
          <w:highlight w:val="none"/>
        </w:rPr>
        <w:t>联系人：                   银行</w:t>
      </w:r>
      <w:r>
        <w:rPr>
          <w:rFonts w:hint="eastAsia" w:ascii="宋体" w:hAnsi="宋体" w:eastAsia="宋体" w:cs="宋体"/>
          <w:color w:val="auto"/>
          <w:szCs w:val="21"/>
          <w:highlight w:val="none"/>
          <w:lang w:val="en-US" w:eastAsia="zh-CN"/>
        </w:rPr>
        <w:t>经办人</w:t>
      </w:r>
      <w:r>
        <w:rPr>
          <w:rFonts w:hint="eastAsia" w:ascii="宋体" w:hAnsi="宋体" w:eastAsia="宋体" w:cs="宋体"/>
          <w:color w:val="auto"/>
          <w:szCs w:val="21"/>
          <w:highlight w:val="none"/>
        </w:rPr>
        <w:t>联系电话：             ）</w:t>
      </w:r>
    </w:p>
    <w:p w14:paraId="1A7D89CD">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 保 银 行：</w:t>
      </w:r>
      <w:r>
        <w:rPr>
          <w:rFonts w:hint="eastAsia" w:ascii="宋体" w:hAnsi="宋体" w:eastAsia="宋体" w:cs="宋体"/>
          <w:color w:val="auto"/>
          <w:kern w:val="0"/>
          <w:szCs w:val="21"/>
          <w:highlight w:val="none"/>
          <w:u w:val="single"/>
        </w:rPr>
        <w:t xml:space="preserve">          银行全称          (盖章)   </w:t>
      </w:r>
    </w:p>
    <w:p w14:paraId="38EEC778">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hint="eastAsia" w:ascii="宋体" w:hAnsi="宋体" w:eastAsia="宋体" w:cs="宋体"/>
          <w:color w:val="auto"/>
          <w:kern w:val="0"/>
          <w:szCs w:val="21"/>
          <w:highlight w:val="none"/>
          <w:u w:val="single"/>
        </w:rPr>
        <w:t xml:space="preserve">       (职务)         </w:t>
      </w:r>
    </w:p>
    <w:p w14:paraId="755D3434">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(姓名)         </w:t>
      </w:r>
    </w:p>
    <w:p w14:paraId="616E7D08">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(签章)         </w:t>
      </w:r>
    </w:p>
    <w:p w14:paraId="25311BAE">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028F4425">
      <w:pPr>
        <w:autoSpaceDE w:val="0"/>
        <w:autoSpaceDN w:val="0"/>
        <w:adjustRightInd w:val="0"/>
        <w:spacing w:line="360" w:lineRule="auto"/>
        <w:jc w:val="left"/>
        <w:rPr>
          <w:rFonts w:ascii="宋体" w:hAnsi="宋体" w:eastAsia="宋体" w:cs="宋体"/>
          <w:color w:val="auto"/>
          <w:kern w:val="0"/>
          <w:szCs w:val="21"/>
          <w:highlight w:val="none"/>
        </w:rPr>
      </w:pPr>
    </w:p>
    <w:p w14:paraId="73A1AA28">
      <w:pPr>
        <w:wordWrap w:val="0"/>
        <w:spacing w:line="360" w:lineRule="auto"/>
        <w:rPr>
          <w:rFonts w:hint="eastAsia" w:ascii="宋体" w:hAnsi="宋体" w:eastAsia="宋体" w:cs="宋体"/>
          <w:color w:val="auto"/>
          <w:szCs w:val="21"/>
          <w:highlight w:val="none"/>
          <w:lang w:val="en-US" w:eastAsia="zh-CN"/>
        </w:rPr>
      </w:pPr>
    </w:p>
    <w:p w14:paraId="33CE17F5">
      <w:pPr>
        <w:wordWrap w:val="0"/>
        <w:spacing w:line="360" w:lineRule="auto"/>
        <w:rPr>
          <w:rFonts w:hint="eastAsia" w:ascii="宋体" w:hAnsi="宋体" w:eastAsia="宋体" w:cs="宋体"/>
          <w:color w:val="auto"/>
          <w:szCs w:val="21"/>
          <w:highlight w:val="none"/>
          <w:lang w:val="en-US" w:eastAsia="zh-CN"/>
        </w:rPr>
      </w:pPr>
    </w:p>
    <w:p w14:paraId="1C03AA79">
      <w:pPr>
        <w:wordWrap w:val="0"/>
        <w:spacing w:line="360" w:lineRule="auto"/>
        <w:rPr>
          <w:rFonts w:hint="eastAsia" w:ascii="宋体" w:hAnsi="宋体" w:eastAsia="宋体" w:cs="宋体"/>
          <w:color w:val="auto"/>
          <w:szCs w:val="21"/>
          <w:highlight w:val="none"/>
          <w:lang w:val="en-US" w:eastAsia="zh-CN"/>
        </w:rPr>
      </w:pPr>
    </w:p>
    <w:p w14:paraId="60D4DCAA">
      <w:pPr>
        <w:wordWrap w:val="0"/>
        <w:spacing w:line="360" w:lineRule="auto"/>
        <w:rPr>
          <w:rFonts w:hint="eastAsia" w:ascii="宋体" w:hAnsi="宋体" w:eastAsia="宋体" w:cs="宋体"/>
          <w:color w:val="auto"/>
          <w:szCs w:val="21"/>
          <w:highlight w:val="none"/>
          <w:lang w:val="en-US" w:eastAsia="zh-CN"/>
        </w:rPr>
      </w:pPr>
    </w:p>
    <w:p w14:paraId="7CE4EBD0">
      <w:pPr>
        <w:wordWrap w:val="0"/>
        <w:spacing w:line="360" w:lineRule="auto"/>
        <w:rPr>
          <w:rFonts w:hint="eastAsia" w:ascii="宋体" w:hAnsi="宋体" w:eastAsia="宋体" w:cs="宋体"/>
          <w:color w:val="auto"/>
          <w:szCs w:val="21"/>
          <w:highlight w:val="none"/>
          <w:lang w:val="en-US" w:eastAsia="zh-CN"/>
        </w:rPr>
      </w:pPr>
    </w:p>
    <w:p w14:paraId="088EE517">
      <w:pPr>
        <w:wordWrap w:val="0"/>
        <w:spacing w:line="360" w:lineRule="auto"/>
        <w:rPr>
          <w:rFonts w:hint="eastAsia" w:ascii="宋体" w:hAnsi="宋体" w:eastAsia="宋体" w:cs="宋体"/>
          <w:color w:val="auto"/>
          <w:szCs w:val="21"/>
          <w:highlight w:val="none"/>
          <w:lang w:val="en-US" w:eastAsia="zh-CN"/>
        </w:rPr>
      </w:pPr>
    </w:p>
    <w:p w14:paraId="59404047">
      <w:pPr>
        <w:wordWrap w:val="0"/>
        <w:spacing w:line="360" w:lineRule="auto"/>
        <w:rPr>
          <w:rFonts w:hint="eastAsia" w:ascii="宋体" w:hAnsi="宋体" w:eastAsia="宋体" w:cs="宋体"/>
          <w:color w:val="auto"/>
          <w:szCs w:val="21"/>
          <w:highlight w:val="none"/>
          <w:lang w:val="en-US" w:eastAsia="zh-CN"/>
        </w:rPr>
      </w:pPr>
    </w:p>
    <w:p w14:paraId="0A9F5876">
      <w:pPr>
        <w:wordWrap w:val="0"/>
        <w:spacing w:line="360" w:lineRule="auto"/>
        <w:rPr>
          <w:rFonts w:hint="eastAsia" w:ascii="宋体" w:hAnsi="宋体" w:eastAsia="宋体" w:cs="宋体"/>
          <w:color w:val="auto"/>
          <w:szCs w:val="21"/>
          <w:highlight w:val="none"/>
          <w:lang w:val="en-US" w:eastAsia="zh-CN"/>
        </w:rPr>
      </w:pPr>
    </w:p>
    <w:p w14:paraId="415FBF7A">
      <w:pPr>
        <w:pageBreakBefore/>
        <w:wordWrap w:val="0"/>
        <w:spacing w:line="360" w:lineRule="auto"/>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五、不可撤销银行</w:t>
      </w:r>
      <w:r>
        <w:rPr>
          <w:rFonts w:hint="eastAsia" w:ascii="宋体" w:hAnsi="宋体" w:eastAsia="宋体" w:cs="宋体"/>
          <w:b/>
          <w:bCs/>
          <w:color w:val="auto"/>
          <w:sz w:val="28"/>
          <w:szCs w:val="28"/>
          <w:highlight w:val="none"/>
        </w:rPr>
        <w:t>质量保修保函格式</w:t>
      </w:r>
    </w:p>
    <w:p w14:paraId="7EB8A38E">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不可撤销银行质量保修保函</w:t>
      </w:r>
    </w:p>
    <w:p w14:paraId="2D59B3D3">
      <w:pPr>
        <w:widowControl/>
        <w:autoSpaceDE w:val="0"/>
        <w:autoSpaceDN w:val="0"/>
        <w:adjustRightInd w:val="0"/>
        <w:spacing w:line="360" w:lineRule="auto"/>
        <w:jc w:val="left"/>
        <w:rPr>
          <w:rFonts w:ascii="宋体" w:hAnsi="宋体" w:eastAsia="宋体" w:cs="宋体"/>
          <w:color w:val="auto"/>
          <w:kern w:val="0"/>
          <w:szCs w:val="21"/>
          <w:highlight w:val="none"/>
        </w:rPr>
      </w:pPr>
    </w:p>
    <w:p w14:paraId="004B5F20">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66ABAC53">
      <w:pPr>
        <w:keepNext w:val="0"/>
        <w:keepLines w:val="0"/>
        <w:pageBreakBefore w:val="0"/>
        <w:widowControl/>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27320959">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（卖方全称）(</w:t>
      </w:r>
      <w:r>
        <w:rPr>
          <w:rFonts w:hint="eastAsia" w:ascii="宋体" w:hAnsi="宋体" w:eastAsia="宋体" w:cs="宋体"/>
          <w:color w:val="auto"/>
          <w:kern w:val="0"/>
          <w:szCs w:val="21"/>
          <w:highlight w:val="none"/>
        </w:rPr>
        <w:t>下称“申请人”</w:t>
      </w:r>
      <w:r>
        <w:rPr>
          <w:rFonts w:hint="eastAsia" w:ascii="宋体" w:hAnsi="宋体" w:eastAsia="宋体" w:cs="宋体"/>
          <w:color w:val="auto"/>
          <w:szCs w:val="21"/>
          <w:highlight w:val="none"/>
        </w:rPr>
        <w:t>)与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买方全称）(</w:t>
      </w:r>
      <w:r>
        <w:rPr>
          <w:rFonts w:hint="eastAsia" w:ascii="宋体" w:hAnsi="宋体" w:eastAsia="宋体" w:cs="宋体"/>
          <w:color w:val="auto"/>
          <w:kern w:val="0"/>
          <w:szCs w:val="21"/>
          <w:highlight w:val="none"/>
        </w:rPr>
        <w:t>下称“受益人”</w:t>
      </w:r>
      <w:r>
        <w:rPr>
          <w:rFonts w:hint="eastAsia" w:ascii="宋体" w:hAnsi="宋体" w:eastAsia="宋体" w:cs="宋体"/>
          <w:color w:val="auto"/>
          <w:szCs w:val="21"/>
          <w:highlight w:val="none"/>
        </w:rPr>
        <w:t xml:space="preserve">)签订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（项目名称）采购合同(编号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日签署)，并保证</w:t>
      </w:r>
      <w:r>
        <w:rPr>
          <w:rFonts w:hint="eastAsia" w:ascii="宋体" w:hAnsi="宋体" w:eastAsia="宋体" w:cs="宋体"/>
          <w:color w:val="auto"/>
          <w:kern w:val="0"/>
          <w:szCs w:val="21"/>
          <w:highlight w:val="none"/>
        </w:rPr>
        <w:t>申请人</w:t>
      </w:r>
      <w:r>
        <w:rPr>
          <w:rFonts w:hint="eastAsia" w:ascii="宋体" w:hAnsi="宋体" w:eastAsia="宋体" w:cs="宋体"/>
          <w:color w:val="auto"/>
          <w:szCs w:val="21"/>
          <w:highlight w:val="none"/>
        </w:rPr>
        <w:t>有义务按合同约定向</w:t>
      </w:r>
      <w:r>
        <w:rPr>
          <w:rFonts w:hint="eastAsia" w:ascii="宋体" w:hAnsi="宋体" w:eastAsia="宋体" w:cs="宋体"/>
          <w:color w:val="auto"/>
          <w:szCs w:val="21"/>
          <w:highlight w:val="none"/>
          <w:lang w:val="en-US" w:eastAsia="zh-CN"/>
        </w:rPr>
        <w:t>受益人</w:t>
      </w:r>
      <w:r>
        <w:rPr>
          <w:rFonts w:hint="eastAsia" w:ascii="宋体" w:hAnsi="宋体" w:eastAsia="宋体" w:cs="宋体"/>
          <w:color w:val="auto"/>
          <w:szCs w:val="21"/>
          <w:highlight w:val="none"/>
        </w:rPr>
        <w:t>提供质量保证、质保期内的售后服务；</w:t>
      </w:r>
      <w:r>
        <w:rPr>
          <w:rFonts w:hint="eastAsia" w:ascii="宋体" w:hAnsi="宋体" w:eastAsia="宋体" w:cs="宋体"/>
          <w:color w:val="auto"/>
          <w:kern w:val="0"/>
          <w:szCs w:val="21"/>
          <w:highlight w:val="none"/>
        </w:rPr>
        <w:t>受益人</w:t>
      </w:r>
      <w:r>
        <w:rPr>
          <w:rFonts w:hint="eastAsia" w:ascii="宋体" w:hAnsi="宋体" w:eastAsia="宋体" w:cs="宋体"/>
          <w:color w:val="auto"/>
          <w:szCs w:val="21"/>
          <w:highlight w:val="none"/>
        </w:rPr>
        <w:t>在合同中</w:t>
      </w:r>
      <w:r>
        <w:rPr>
          <w:rFonts w:hint="eastAsia" w:ascii="宋体" w:hAnsi="宋体" w:eastAsia="宋体" w:cs="宋体"/>
          <w:color w:val="auto"/>
          <w:szCs w:val="21"/>
          <w:highlight w:val="none"/>
          <w:lang w:val="en-US" w:eastAsia="zh-CN"/>
        </w:rPr>
        <w:t>约定，在申请人提前申请退还质量保修金时，</w:t>
      </w:r>
      <w:r>
        <w:rPr>
          <w:rFonts w:hint="eastAsia" w:ascii="宋体" w:hAnsi="宋体" w:eastAsia="宋体" w:cs="宋体"/>
          <w:color w:val="auto"/>
          <w:kern w:val="0"/>
          <w:szCs w:val="21"/>
          <w:highlight w:val="none"/>
        </w:rPr>
        <w:t>申请人</w:t>
      </w:r>
      <w:r>
        <w:rPr>
          <w:rFonts w:hint="eastAsia" w:ascii="宋体" w:hAnsi="宋体" w:eastAsia="宋体" w:cs="宋体"/>
          <w:color w:val="auto"/>
          <w:szCs w:val="21"/>
          <w:highlight w:val="none"/>
        </w:rPr>
        <w:t xml:space="preserve">           应通过经</w:t>
      </w:r>
      <w:r>
        <w:rPr>
          <w:rFonts w:hint="eastAsia" w:ascii="宋体" w:hAnsi="宋体" w:eastAsia="宋体" w:cs="宋体"/>
          <w:color w:val="auto"/>
          <w:szCs w:val="21"/>
          <w:highlight w:val="none"/>
          <w:lang w:val="en-US" w:eastAsia="zh-CN"/>
        </w:rPr>
        <w:t>受益人</w:t>
      </w:r>
      <w:r>
        <w:rPr>
          <w:rFonts w:hint="eastAsia" w:ascii="宋体" w:hAnsi="宋体" w:eastAsia="宋体" w:cs="宋体"/>
          <w:color w:val="auto"/>
          <w:szCs w:val="21"/>
          <w:highlight w:val="none"/>
        </w:rPr>
        <w:t>认可的银行提交合同指定的合同</w:t>
      </w:r>
      <w:r>
        <w:rPr>
          <w:rFonts w:hint="eastAsia" w:ascii="宋体" w:hAnsi="宋体" w:eastAsia="宋体" w:cs="宋体"/>
          <w:b w:val="0"/>
          <w:bCs w:val="0"/>
          <w:color w:val="auto"/>
          <w:sz w:val="21"/>
          <w:szCs w:val="21"/>
          <w:highlight w:val="none"/>
        </w:rPr>
        <w:t>结算价款的3%</w:t>
      </w:r>
      <w:r>
        <w:rPr>
          <w:rFonts w:hint="eastAsia" w:ascii="宋体" w:hAnsi="宋体" w:eastAsia="宋体" w:cs="宋体"/>
          <w:b w:val="0"/>
          <w:bCs w:val="0"/>
          <w:color w:val="auto"/>
          <w:sz w:val="21"/>
          <w:szCs w:val="21"/>
          <w:highlight w:val="none"/>
          <w:lang w:val="en-US" w:eastAsia="zh-CN"/>
        </w:rPr>
        <w:t>及其销项税额</w:t>
      </w:r>
      <w:r>
        <w:rPr>
          <w:rFonts w:hint="eastAsia" w:ascii="宋体" w:hAnsi="宋体" w:eastAsia="宋体" w:cs="宋体"/>
          <w:color w:val="auto"/>
          <w:szCs w:val="21"/>
          <w:highlight w:val="none"/>
        </w:rPr>
        <w:t>的担保金额作为质保金等事实，</w:t>
      </w:r>
      <w:r>
        <w:rPr>
          <w:rFonts w:hint="eastAsia" w:ascii="宋体" w:hAnsi="宋体" w:eastAsia="宋体" w:cs="宋体"/>
          <w:color w:val="auto"/>
          <w:kern w:val="0"/>
          <w:szCs w:val="21"/>
          <w:highlight w:val="none"/>
        </w:rPr>
        <w:t>我方受申请人的委托，无条件、见索即付、不可撤销地在受益人出具本保函原件且提出因申请人没有履行上述合同</w:t>
      </w:r>
      <w:r>
        <w:rPr>
          <w:rFonts w:hint="eastAsia" w:ascii="宋体" w:hAnsi="宋体" w:eastAsia="宋体" w:cs="宋体"/>
          <w:color w:val="auto"/>
          <w:szCs w:val="21"/>
          <w:highlight w:val="none"/>
        </w:rPr>
        <w:t>质量保证</w:t>
      </w: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lang w:val="en-US" w:eastAsia="zh-CN"/>
        </w:rPr>
        <w:t>售后服务</w:t>
      </w:r>
      <w:r>
        <w:rPr>
          <w:rFonts w:hint="eastAsia" w:ascii="宋体" w:hAnsi="宋体" w:eastAsia="宋体" w:cs="宋体"/>
          <w:color w:val="auto"/>
          <w:kern w:val="0"/>
          <w:szCs w:val="21"/>
          <w:highlight w:val="none"/>
        </w:rPr>
        <w:t>规定，而要求我方承担保证责任后，在保函限额内向受益人支付不超过人民币（大写）_________（¥_______元）的款项。</w:t>
      </w:r>
    </w:p>
    <w:p w14:paraId="11860A1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在向我行提出要求前，我行将不坚持要求</w:t>
      </w:r>
      <w:r>
        <w:rPr>
          <w:rFonts w:hint="eastAsia" w:ascii="宋体" w:hAnsi="宋体" w:eastAsia="宋体" w:cs="宋体"/>
          <w:color w:val="auto"/>
          <w:kern w:val="0"/>
          <w:szCs w:val="21"/>
          <w:highlight w:val="none"/>
        </w:rPr>
        <w:t>受益人</w:t>
      </w:r>
      <w:r>
        <w:rPr>
          <w:rFonts w:hint="eastAsia" w:ascii="宋体" w:hAnsi="宋体" w:eastAsia="宋体" w:cs="宋体"/>
          <w:color w:val="auto"/>
          <w:szCs w:val="21"/>
          <w:highlight w:val="none"/>
        </w:rPr>
        <w:t>首先向</w:t>
      </w:r>
      <w:r>
        <w:rPr>
          <w:rFonts w:hint="eastAsia" w:ascii="宋体" w:hAnsi="宋体" w:eastAsia="宋体" w:cs="宋体"/>
          <w:color w:val="auto"/>
          <w:kern w:val="0"/>
          <w:szCs w:val="21"/>
          <w:highlight w:val="none"/>
        </w:rPr>
        <w:t>申请人</w:t>
      </w:r>
      <w:r>
        <w:rPr>
          <w:rFonts w:hint="eastAsia" w:ascii="宋体" w:hAnsi="宋体" w:eastAsia="宋体" w:cs="宋体"/>
          <w:color w:val="auto"/>
          <w:szCs w:val="21"/>
          <w:highlight w:val="none"/>
        </w:rPr>
        <w:t>提出上述款项的索赔。</w:t>
      </w:r>
    </w:p>
    <w:p w14:paraId="1498F4C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我行承诺：无论是否经我行知晓或同意，我行的义务和责任不因</w:t>
      </w:r>
      <w:r>
        <w:rPr>
          <w:rFonts w:hint="eastAsia" w:ascii="宋体" w:hAnsi="宋体" w:eastAsia="宋体" w:cs="宋体"/>
          <w:color w:val="auto"/>
          <w:kern w:val="0"/>
          <w:szCs w:val="21"/>
          <w:highlight w:val="none"/>
        </w:rPr>
        <w:t>受益人</w:t>
      </w:r>
      <w:r>
        <w:rPr>
          <w:rFonts w:hint="eastAsia" w:ascii="宋体" w:hAnsi="宋体" w:eastAsia="宋体" w:cs="宋体"/>
          <w:color w:val="auto"/>
          <w:szCs w:val="21"/>
          <w:highlight w:val="none"/>
        </w:rPr>
        <w:t>与</w:t>
      </w:r>
      <w:r>
        <w:rPr>
          <w:rFonts w:hint="eastAsia" w:ascii="宋体" w:hAnsi="宋体" w:eastAsia="宋体" w:cs="宋体"/>
          <w:color w:val="auto"/>
          <w:kern w:val="0"/>
          <w:szCs w:val="21"/>
          <w:highlight w:val="none"/>
        </w:rPr>
        <w:t>申请人</w:t>
      </w:r>
      <w:r>
        <w:rPr>
          <w:rFonts w:hint="eastAsia" w:ascii="宋体" w:hAnsi="宋体" w:eastAsia="宋体" w:cs="宋体"/>
          <w:color w:val="auto"/>
          <w:szCs w:val="21"/>
          <w:highlight w:val="none"/>
        </w:rPr>
        <w:t>对合同条款所作的任何修改或补充而解除。</w:t>
      </w:r>
      <w:r>
        <w:rPr>
          <w:rFonts w:hint="eastAsia" w:ascii="宋体" w:hAnsi="宋体" w:eastAsia="宋体" w:cs="宋体"/>
          <w:color w:val="auto"/>
          <w:kern w:val="0"/>
          <w:szCs w:val="21"/>
          <w:highlight w:val="none"/>
        </w:rPr>
        <w:t>因此，有关上述变动、补充和修改无须通知或征得我方同意。</w:t>
      </w:r>
    </w:p>
    <w:p w14:paraId="3B7FA9D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本保函在</w:t>
      </w:r>
      <w:r>
        <w:rPr>
          <w:rFonts w:hint="eastAsia" w:ascii="宋体" w:hAnsi="宋体" w:eastAsia="宋体" w:cs="宋体"/>
          <w:b w:val="0"/>
          <w:bCs w:val="0"/>
          <w:color w:val="auto"/>
          <w:kern w:val="0"/>
          <w:sz w:val="21"/>
          <w:szCs w:val="21"/>
          <w:highlight w:val="none"/>
          <w:lang w:val="en-US" w:eastAsia="zh-CN"/>
        </w:rPr>
        <w:t>申请人</w:t>
      </w:r>
      <w:r>
        <w:rPr>
          <w:rFonts w:hint="eastAsia" w:ascii="宋体" w:hAnsi="宋体" w:eastAsia="宋体" w:cs="宋体"/>
          <w:b w:val="0"/>
          <w:bCs w:val="0"/>
          <w:color w:val="auto"/>
          <w:kern w:val="0"/>
          <w:sz w:val="21"/>
          <w:szCs w:val="21"/>
          <w:highlight w:val="none"/>
        </w:rPr>
        <w:t>承诺的</w:t>
      </w:r>
      <w:r>
        <w:rPr>
          <w:rFonts w:hint="eastAsia" w:ascii="宋体" w:hAnsi="宋体" w:eastAsia="宋体" w:cs="宋体"/>
          <w:b w:val="0"/>
          <w:bCs w:val="0"/>
          <w:color w:val="auto"/>
          <w:kern w:val="0"/>
          <w:sz w:val="21"/>
          <w:szCs w:val="21"/>
          <w:highlight w:val="none"/>
          <w:lang w:val="en-US" w:eastAsia="zh-CN"/>
        </w:rPr>
        <w:t>合同项目整体</w:t>
      </w:r>
      <w:r>
        <w:rPr>
          <w:rFonts w:hint="eastAsia" w:ascii="宋体" w:hAnsi="宋体" w:eastAsia="宋体" w:cs="宋体"/>
          <w:b w:val="0"/>
          <w:bCs w:val="0"/>
          <w:color w:val="auto"/>
          <w:kern w:val="0"/>
          <w:sz w:val="21"/>
          <w:szCs w:val="21"/>
          <w:highlight w:val="none"/>
        </w:rPr>
        <w:t>质保期限</w:t>
      </w:r>
      <w:r>
        <w:rPr>
          <w:rFonts w:hint="eastAsia" w:ascii="宋体" w:hAnsi="宋体" w:eastAsia="宋体" w:cs="宋体"/>
          <w:b w:val="0"/>
          <w:bCs w:val="0"/>
          <w:color w:val="auto"/>
          <w:kern w:val="0"/>
          <w:sz w:val="21"/>
          <w:szCs w:val="21"/>
          <w:highlight w:val="none"/>
          <w:lang w:val="en-US" w:eastAsia="zh-CN"/>
        </w:rPr>
        <w:t>内有效</w:t>
      </w:r>
      <w:r>
        <w:rPr>
          <w:rFonts w:hint="eastAsia" w:ascii="宋体" w:hAnsi="宋体" w:eastAsia="宋体" w:cs="宋体"/>
          <w:color w:val="auto"/>
          <w:szCs w:val="21"/>
          <w:highlight w:val="none"/>
        </w:rPr>
        <w:t>。</w:t>
      </w:r>
    </w:p>
    <w:p w14:paraId="0149F9F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w:t>
      </w:r>
      <w:r>
        <w:rPr>
          <w:rFonts w:hint="eastAsia" w:ascii="宋体" w:hAnsi="宋体" w:eastAsia="宋体" w:cs="宋体"/>
          <w:color w:val="auto"/>
          <w:szCs w:val="21"/>
          <w:highlight w:val="none"/>
          <w:lang w:val="en-US" w:eastAsia="zh-CN"/>
        </w:rPr>
        <w:t>出具保函</w:t>
      </w:r>
      <w:r>
        <w:rPr>
          <w:rFonts w:hint="eastAsia" w:ascii="宋体" w:hAnsi="宋体" w:eastAsia="宋体" w:cs="宋体"/>
          <w:color w:val="auto"/>
          <w:szCs w:val="21"/>
          <w:highlight w:val="none"/>
        </w:rPr>
        <w:t>联系人：                   银行</w:t>
      </w:r>
      <w:r>
        <w:rPr>
          <w:rFonts w:hint="eastAsia" w:ascii="宋体" w:hAnsi="宋体" w:eastAsia="宋体" w:cs="宋体"/>
          <w:color w:val="auto"/>
          <w:szCs w:val="21"/>
          <w:highlight w:val="none"/>
          <w:lang w:val="en-US" w:eastAsia="zh-CN"/>
        </w:rPr>
        <w:t>经办人</w:t>
      </w:r>
      <w:r>
        <w:rPr>
          <w:rFonts w:hint="eastAsia" w:ascii="宋体" w:hAnsi="宋体" w:eastAsia="宋体" w:cs="宋体"/>
          <w:color w:val="auto"/>
          <w:szCs w:val="21"/>
          <w:highlight w:val="none"/>
        </w:rPr>
        <w:t>联系电话：             ）</w:t>
      </w:r>
    </w:p>
    <w:p w14:paraId="2A4447E2">
      <w:pPr>
        <w:keepNext w:val="0"/>
        <w:keepLines w:val="0"/>
        <w:pageBreakBefore w:val="0"/>
        <w:widowControl/>
        <w:kinsoku/>
        <w:wordWrap/>
        <w:overflowPunct/>
        <w:topLinePunct w:val="0"/>
        <w:autoSpaceDE w:val="0"/>
        <w:autoSpaceDN w:val="0"/>
        <w:bidi w:val="0"/>
        <w:adjustRightInd w:val="0"/>
        <w:snapToGrid/>
        <w:spacing w:line="360" w:lineRule="auto"/>
        <w:ind w:firstLine="437"/>
        <w:jc w:val="left"/>
        <w:textAlignment w:val="auto"/>
        <w:rPr>
          <w:rFonts w:ascii="宋体" w:hAnsi="宋体" w:eastAsia="宋体" w:cs="宋体"/>
          <w:color w:val="auto"/>
          <w:kern w:val="0"/>
          <w:szCs w:val="21"/>
          <w:highlight w:val="none"/>
        </w:rPr>
      </w:pPr>
    </w:p>
    <w:p w14:paraId="5CB6C457">
      <w:pPr>
        <w:keepNext w:val="0"/>
        <w:keepLines w:val="0"/>
        <w:pageBreakBefore w:val="0"/>
        <w:widowControl/>
        <w:kinsoku/>
        <w:wordWrap/>
        <w:overflowPunct/>
        <w:topLinePunct w:val="0"/>
        <w:autoSpaceDE w:val="0"/>
        <w:autoSpaceDN w:val="0"/>
        <w:bidi w:val="0"/>
        <w:adjustRightInd w:val="0"/>
        <w:snapToGrid/>
        <w:spacing w:line="360" w:lineRule="auto"/>
        <w:ind w:firstLine="2520" w:firstLineChars="120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7BE012D5">
      <w:pPr>
        <w:keepNext w:val="0"/>
        <w:keepLines w:val="0"/>
        <w:pageBreakBefore w:val="0"/>
        <w:widowControl/>
        <w:kinsoku/>
        <w:wordWrap/>
        <w:overflowPunct/>
        <w:topLinePunct w:val="0"/>
        <w:autoSpaceDE w:val="0"/>
        <w:autoSpaceDN w:val="0"/>
        <w:bidi w:val="0"/>
        <w:adjustRightInd w:val="0"/>
        <w:snapToGrid/>
        <w:spacing w:line="360" w:lineRule="auto"/>
        <w:ind w:firstLine="2520" w:firstLineChars="120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4C70B9CD">
      <w:pPr>
        <w:keepNext w:val="0"/>
        <w:keepLines w:val="0"/>
        <w:pageBreakBefore w:val="0"/>
        <w:widowControl/>
        <w:kinsoku/>
        <w:wordWrap/>
        <w:overflowPunct/>
        <w:topLinePunct w:val="0"/>
        <w:autoSpaceDE w:val="0"/>
        <w:autoSpaceDN w:val="0"/>
        <w:bidi w:val="0"/>
        <w:adjustRightInd w:val="0"/>
        <w:snapToGrid/>
        <w:spacing w:line="360" w:lineRule="auto"/>
        <w:ind w:firstLine="5502" w:firstLineChars="2620"/>
        <w:jc w:val="left"/>
        <w:textAlignment w:val="auto"/>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7F73CA66">
      <w:pPr>
        <w:keepNext w:val="0"/>
        <w:keepLines w:val="0"/>
        <w:pageBreakBefore w:val="0"/>
        <w:widowControl/>
        <w:kinsoku/>
        <w:wordWrap/>
        <w:overflowPunct/>
        <w:topLinePunct w:val="0"/>
        <w:autoSpaceDE w:val="0"/>
        <w:autoSpaceDN w:val="0"/>
        <w:bidi w:val="0"/>
        <w:adjustRightInd w:val="0"/>
        <w:snapToGrid/>
        <w:spacing w:line="360" w:lineRule="auto"/>
        <w:ind w:firstLine="5502" w:firstLineChars="2620"/>
        <w:jc w:val="left"/>
        <w:textAlignment w:val="auto"/>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34BD9F14">
      <w:pPr>
        <w:keepNext w:val="0"/>
        <w:keepLines w:val="0"/>
        <w:pageBreakBefore w:val="0"/>
        <w:kinsoku/>
        <w:wordWrap/>
        <w:overflowPunct/>
        <w:topLinePunct w:val="0"/>
        <w:autoSpaceDE w:val="0"/>
        <w:autoSpaceDN w:val="0"/>
        <w:bidi w:val="0"/>
        <w:adjustRightInd w:val="0"/>
        <w:snapToGrid/>
        <w:spacing w:line="360" w:lineRule="auto"/>
        <w:ind w:left="840" w:firstLine="420" w:firstLineChars="20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6A89F0D1">
      <w:pPr>
        <w:autoSpaceDE w:val="0"/>
        <w:autoSpaceDN w:val="0"/>
        <w:adjustRightInd w:val="0"/>
        <w:spacing w:line="360" w:lineRule="auto"/>
        <w:jc w:val="left"/>
        <w:rPr>
          <w:rFonts w:ascii="宋体" w:hAnsi="宋体" w:eastAsia="宋体" w:cs="宋体"/>
          <w:color w:val="auto"/>
          <w:kern w:val="0"/>
          <w:szCs w:val="21"/>
          <w:highlight w:val="none"/>
        </w:rPr>
      </w:pPr>
    </w:p>
    <w:p w14:paraId="20EB391F">
      <w:pPr>
        <w:autoSpaceDE w:val="0"/>
        <w:autoSpaceDN w:val="0"/>
        <w:adjustRightInd w:val="0"/>
        <w:spacing w:line="360" w:lineRule="auto"/>
        <w:ind w:firstLine="5775" w:firstLineChars="2750"/>
        <w:jc w:val="left"/>
        <w:rPr>
          <w:rFonts w:ascii="宋体" w:hAnsi="宋体" w:eastAsia="宋体" w:cs="宋体"/>
          <w:color w:val="auto"/>
          <w:kern w:val="0"/>
          <w:szCs w:val="21"/>
          <w:highlight w:val="none"/>
        </w:rPr>
      </w:pPr>
    </w:p>
    <w:p w14:paraId="5C10BD18">
      <w:pPr>
        <w:autoSpaceDE w:val="0"/>
        <w:autoSpaceDN w:val="0"/>
        <w:adjustRightInd w:val="0"/>
        <w:spacing w:line="360" w:lineRule="auto"/>
        <w:ind w:firstLine="5775" w:firstLineChars="2750"/>
        <w:jc w:val="left"/>
        <w:rPr>
          <w:rFonts w:ascii="宋体" w:hAnsi="宋体" w:eastAsia="宋体" w:cs="宋体"/>
          <w:color w:val="auto"/>
          <w:kern w:val="0"/>
          <w:szCs w:val="21"/>
          <w:highlight w:val="none"/>
        </w:rPr>
      </w:pPr>
    </w:p>
    <w:p w14:paraId="5A7FB03A">
      <w:pPr>
        <w:jc w:val="left"/>
        <w:rPr>
          <w:rFonts w:ascii="宋体" w:hAnsi="宋体" w:eastAsia="宋体" w:cs="宋体"/>
          <w:b/>
          <w:color w:val="auto"/>
          <w:kern w:val="0"/>
          <w:sz w:val="28"/>
          <w:szCs w:val="28"/>
          <w:highlight w:val="none"/>
        </w:rPr>
      </w:pPr>
      <w:bookmarkStart w:id="862" w:name="_Toc89552416"/>
      <w:bookmarkStart w:id="863" w:name="_Toc9085"/>
      <w:r>
        <w:rPr>
          <w:rFonts w:hint="eastAsia" w:ascii="宋体" w:hAnsi="宋体" w:eastAsia="宋体" w:cs="宋体"/>
          <w:b/>
          <w:color w:val="auto"/>
          <w:kern w:val="0"/>
          <w:sz w:val="28"/>
          <w:szCs w:val="28"/>
          <w:highlight w:val="none"/>
        </w:rPr>
        <w:br w:type="page"/>
      </w:r>
    </w:p>
    <w:bookmarkEnd w:id="862"/>
    <w:bookmarkEnd w:id="863"/>
    <w:p w14:paraId="6025DCA5">
      <w:pPr>
        <w:pageBreakBefore/>
        <w:tabs>
          <w:tab w:val="left" w:pos="1080"/>
        </w:tabs>
        <w:autoSpaceDE w:val="0"/>
        <w:autoSpaceDN w:val="0"/>
        <w:adjustRightInd w:val="0"/>
        <w:spacing w:line="360" w:lineRule="auto"/>
        <w:ind w:left="357" w:leftChars="-100" w:hanging="567"/>
        <w:jc w:val="center"/>
        <w:outlineLvl w:val="2"/>
        <w:rPr>
          <w:rFonts w:ascii="宋体" w:hAnsi="宋体" w:eastAsia="宋体" w:cs="宋体"/>
          <w:b/>
          <w:bCs/>
          <w:color w:val="auto"/>
          <w:kern w:val="44"/>
          <w:sz w:val="32"/>
          <w:szCs w:val="32"/>
          <w:highlight w:val="none"/>
        </w:rPr>
      </w:pPr>
      <w:bookmarkStart w:id="864" w:name="_Toc32761_WPSOffice_Level1"/>
      <w:bookmarkStart w:id="865" w:name="_Toc142508361"/>
      <w:bookmarkStart w:id="866" w:name="_Toc5319"/>
      <w:bookmarkStart w:id="867" w:name="_Toc195714372"/>
      <w:bookmarkStart w:id="868" w:name="_Toc9840"/>
      <w:bookmarkStart w:id="869" w:name="_Toc450662895"/>
      <w:bookmarkStart w:id="870" w:name="_Toc29078"/>
      <w:bookmarkStart w:id="871" w:name="_Toc9860"/>
      <w:bookmarkStart w:id="872" w:name="_Toc15817"/>
      <w:bookmarkStart w:id="873" w:name="_Toc14777"/>
      <w:bookmarkStart w:id="874" w:name="_Toc486167708"/>
      <w:r>
        <w:rPr>
          <w:rFonts w:hint="eastAsia" w:ascii="宋体" w:hAnsi="宋体" w:eastAsia="宋体" w:cs="宋体"/>
          <w:b/>
          <w:bCs/>
          <w:color w:val="auto"/>
          <w:kern w:val="44"/>
          <w:sz w:val="32"/>
          <w:szCs w:val="32"/>
          <w:highlight w:val="none"/>
          <w:lang w:val="zh-CN"/>
        </w:rPr>
        <w:t>第六篇 投标文件格式</w:t>
      </w:r>
      <w:bookmarkEnd w:id="864"/>
      <w:bookmarkEnd w:id="865"/>
      <w:bookmarkEnd w:id="866"/>
      <w:bookmarkEnd w:id="867"/>
      <w:bookmarkEnd w:id="868"/>
      <w:bookmarkEnd w:id="869"/>
      <w:bookmarkEnd w:id="870"/>
      <w:bookmarkEnd w:id="871"/>
      <w:bookmarkEnd w:id="872"/>
      <w:bookmarkEnd w:id="873"/>
      <w:bookmarkEnd w:id="874"/>
    </w:p>
    <w:p w14:paraId="6A24F335">
      <w:pPr>
        <w:jc w:val="center"/>
        <w:outlineLvl w:val="1"/>
        <w:rPr>
          <w:rFonts w:ascii="宋体" w:hAnsi="宋体" w:eastAsia="宋体" w:cs="宋体"/>
          <w:b/>
          <w:color w:val="auto"/>
          <w:kern w:val="0"/>
          <w:sz w:val="32"/>
          <w:szCs w:val="32"/>
          <w:highlight w:val="none"/>
        </w:rPr>
      </w:pPr>
      <w:bookmarkStart w:id="875" w:name="_Toc3633"/>
      <w:bookmarkStart w:id="876" w:name="_Toc5778"/>
      <w:bookmarkStart w:id="877" w:name="_Toc21648"/>
      <w:bookmarkStart w:id="878" w:name="_Toc31978"/>
      <w:bookmarkStart w:id="879" w:name="_Toc3268"/>
      <w:bookmarkStart w:id="880" w:name="_Toc12879"/>
      <w:bookmarkStart w:id="881" w:name="_Toc195714373"/>
      <w:bookmarkStart w:id="882" w:name="_Toc14781"/>
      <w:bookmarkStart w:id="883" w:name="_Toc533708121"/>
      <w:bookmarkStart w:id="884" w:name="_Toc142508362"/>
      <w:bookmarkStart w:id="885" w:name="_Toc21133_WPSOffice_Level2"/>
      <w:bookmarkStart w:id="886" w:name="_Toc140596921"/>
      <w:bookmarkStart w:id="887" w:name="_Toc104991868"/>
      <w:bookmarkStart w:id="888" w:name="_Toc102860067"/>
      <w:bookmarkStart w:id="889" w:name="_Toc102860411"/>
      <w:bookmarkStart w:id="890" w:name="_Toc486167709"/>
      <w:bookmarkStart w:id="891" w:name="_Toc1977721"/>
      <w:bookmarkStart w:id="892" w:name="_Toc94107202"/>
      <w:r>
        <w:rPr>
          <w:rFonts w:hint="eastAsia" w:ascii="宋体" w:hAnsi="宋体" w:eastAsia="宋体" w:cs="宋体"/>
          <w:b/>
          <w:color w:val="auto"/>
          <w:kern w:val="0"/>
          <w:sz w:val="32"/>
          <w:szCs w:val="32"/>
          <w:highlight w:val="none"/>
        </w:rPr>
        <w:t>一  商务标格式</w:t>
      </w:r>
      <w:bookmarkEnd w:id="875"/>
      <w:bookmarkEnd w:id="876"/>
      <w:bookmarkEnd w:id="877"/>
      <w:bookmarkEnd w:id="878"/>
      <w:bookmarkEnd w:id="879"/>
      <w:bookmarkEnd w:id="880"/>
      <w:bookmarkEnd w:id="881"/>
      <w:bookmarkEnd w:id="882"/>
    </w:p>
    <w:p w14:paraId="6AB28DBB">
      <w:pPr>
        <w:rPr>
          <w:rFonts w:ascii="宋体" w:hAnsi="宋体" w:eastAsia="宋体" w:cs="宋体"/>
          <w:color w:val="auto"/>
          <w:sz w:val="84"/>
          <w:highlight w:val="none"/>
        </w:rPr>
      </w:pPr>
      <w:r>
        <w:rPr>
          <w:rFonts w:hint="eastAsia" w:ascii="宋体" w:hAnsi="宋体" w:eastAsia="宋体" w:cs="宋体"/>
          <w:b/>
          <w:color w:val="auto"/>
          <w:kern w:val="0"/>
          <w:sz w:val="32"/>
          <w:szCs w:val="32"/>
          <w:highlight w:val="none"/>
        </w:rPr>
        <w:br w:type="page"/>
      </w:r>
    </w:p>
    <w:p w14:paraId="4E0A1963">
      <w:pPr>
        <w:pStyle w:val="21"/>
        <w:spacing w:line="360" w:lineRule="auto"/>
        <w:jc w:val="center"/>
        <w:rPr>
          <w:rFonts w:ascii="宋体" w:hAnsi="宋体" w:cs="宋体"/>
          <w:color w:val="auto"/>
          <w:sz w:val="84"/>
          <w:highlight w:val="none"/>
        </w:rPr>
      </w:pPr>
    </w:p>
    <w:p w14:paraId="1F867FDF">
      <w:pPr>
        <w:pStyle w:val="21"/>
        <w:spacing w:line="360" w:lineRule="auto"/>
        <w:jc w:val="center"/>
        <w:rPr>
          <w:rFonts w:ascii="宋体" w:hAnsi="宋体" w:cs="宋体"/>
          <w:color w:val="auto"/>
          <w:sz w:val="84"/>
          <w:highlight w:val="none"/>
        </w:rPr>
      </w:pPr>
    </w:p>
    <w:p w14:paraId="419DDDF3">
      <w:pPr>
        <w:pStyle w:val="21"/>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69B89A85">
      <w:pPr>
        <w:pStyle w:val="21"/>
        <w:spacing w:line="360" w:lineRule="auto"/>
        <w:rPr>
          <w:rFonts w:ascii="宋体" w:hAnsi="宋体" w:cs="宋体"/>
          <w:color w:val="auto"/>
          <w:highlight w:val="none"/>
        </w:rPr>
      </w:pPr>
    </w:p>
    <w:p w14:paraId="13DA6083">
      <w:pPr>
        <w:pStyle w:val="21"/>
        <w:spacing w:line="360" w:lineRule="auto"/>
        <w:rPr>
          <w:rFonts w:ascii="宋体" w:hAnsi="宋体" w:cs="宋体"/>
          <w:color w:val="auto"/>
          <w:highlight w:val="none"/>
        </w:rPr>
      </w:pPr>
    </w:p>
    <w:p w14:paraId="5AA031AF">
      <w:pPr>
        <w:pStyle w:val="21"/>
        <w:spacing w:line="360" w:lineRule="auto"/>
        <w:rPr>
          <w:rFonts w:ascii="宋体" w:hAnsi="宋体" w:cs="宋体"/>
          <w:color w:val="auto"/>
          <w:highlight w:val="none"/>
        </w:rPr>
      </w:pPr>
    </w:p>
    <w:p w14:paraId="5DF1B047">
      <w:pPr>
        <w:pStyle w:val="21"/>
        <w:spacing w:line="360" w:lineRule="auto"/>
        <w:rPr>
          <w:rFonts w:ascii="宋体" w:hAnsi="宋体" w:cs="宋体"/>
          <w:color w:val="auto"/>
          <w:highlight w:val="none"/>
        </w:rPr>
      </w:pPr>
    </w:p>
    <w:p w14:paraId="321C10A8">
      <w:pPr>
        <w:pStyle w:val="21"/>
        <w:spacing w:line="360" w:lineRule="auto"/>
        <w:rPr>
          <w:rFonts w:ascii="宋体" w:hAnsi="宋体" w:cs="宋体"/>
          <w:color w:val="auto"/>
          <w:highlight w:val="none"/>
        </w:rPr>
      </w:pPr>
    </w:p>
    <w:p w14:paraId="7A5979DD">
      <w:pPr>
        <w:pStyle w:val="21"/>
        <w:spacing w:line="360" w:lineRule="auto"/>
        <w:rPr>
          <w:rFonts w:ascii="宋体" w:hAnsi="宋体" w:cs="宋体"/>
          <w:color w:val="auto"/>
          <w:highlight w:val="none"/>
        </w:rPr>
      </w:pPr>
    </w:p>
    <w:p w14:paraId="08847333">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35178009">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3FA04CE5">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投标文件商务标 </w:t>
      </w:r>
    </w:p>
    <w:p w14:paraId="2CD5ABE7">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0BD338F2">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（企业数字证书电子签名）   </w:t>
      </w:r>
    </w:p>
    <w:p w14:paraId="02EF436F">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3ACE3B1E">
      <w:pPr>
        <w:pStyle w:val="21"/>
        <w:spacing w:line="360" w:lineRule="auto"/>
        <w:rPr>
          <w:rFonts w:ascii="宋体" w:hAnsi="宋体" w:cs="宋体"/>
          <w:color w:val="auto"/>
          <w:highlight w:val="none"/>
        </w:rPr>
      </w:pPr>
    </w:p>
    <w:p w14:paraId="159BE09B">
      <w:pPr>
        <w:pStyle w:val="21"/>
        <w:spacing w:line="360" w:lineRule="auto"/>
        <w:rPr>
          <w:rFonts w:ascii="宋体" w:hAnsi="宋体" w:cs="宋体"/>
          <w:color w:val="auto"/>
          <w:highlight w:val="none"/>
        </w:rPr>
      </w:pPr>
      <w:r>
        <w:rPr>
          <w:rFonts w:hint="eastAsia" w:ascii="宋体" w:hAnsi="宋体" w:cs="宋体"/>
          <w:color w:val="auto"/>
          <w:highlight w:val="none"/>
        </w:rPr>
        <w:br w:type="page"/>
      </w:r>
    </w:p>
    <w:p w14:paraId="3773263C">
      <w:pPr>
        <w:pStyle w:val="21"/>
        <w:spacing w:line="500" w:lineRule="exact"/>
        <w:jc w:val="center"/>
        <w:outlineLvl w:val="2"/>
        <w:rPr>
          <w:rFonts w:ascii="宋体" w:hAnsi="宋体" w:cs="宋体"/>
          <w:b/>
          <w:bCs/>
          <w:color w:val="auto"/>
          <w:sz w:val="24"/>
          <w:szCs w:val="24"/>
          <w:highlight w:val="none"/>
        </w:rPr>
      </w:pPr>
      <w:bookmarkStart w:id="893" w:name="_Toc9704"/>
      <w:bookmarkStart w:id="894" w:name="_Toc16205"/>
      <w:bookmarkStart w:id="895" w:name="_Toc25139"/>
      <w:bookmarkStart w:id="896" w:name="_Toc31361"/>
      <w:bookmarkStart w:id="897" w:name="_Toc195714374"/>
      <w:bookmarkStart w:id="898" w:name="_Toc15600"/>
      <w:bookmarkStart w:id="899" w:name="_Toc17612"/>
      <w:bookmarkStart w:id="900" w:name="_Toc10999"/>
      <w:r>
        <w:rPr>
          <w:rFonts w:hint="eastAsia" w:ascii="宋体" w:hAnsi="宋体" w:cs="宋体"/>
          <w:b/>
          <w:bCs/>
          <w:color w:val="auto"/>
          <w:sz w:val="24"/>
          <w:szCs w:val="24"/>
          <w:highlight w:val="none"/>
        </w:rPr>
        <w:t>目录</w:t>
      </w:r>
      <w:bookmarkEnd w:id="893"/>
      <w:bookmarkEnd w:id="894"/>
      <w:bookmarkEnd w:id="895"/>
      <w:bookmarkEnd w:id="896"/>
      <w:bookmarkEnd w:id="897"/>
      <w:bookmarkEnd w:id="898"/>
      <w:bookmarkEnd w:id="899"/>
      <w:bookmarkEnd w:id="900"/>
    </w:p>
    <w:p w14:paraId="73433571">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一、投标函；</w:t>
      </w:r>
    </w:p>
    <w:p w14:paraId="6CD87DBB">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二、投标承诺书；</w:t>
      </w:r>
    </w:p>
    <w:p w14:paraId="6F7A25C2">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三、供货及/或提供服务过程承诺函；</w:t>
      </w:r>
    </w:p>
    <w:p w14:paraId="6DB22EDB">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四、投标人资格证明文件：</w:t>
      </w:r>
    </w:p>
    <w:p w14:paraId="60113536">
      <w:pPr>
        <w:pBdr>
          <w:bottom w:val="single" w:color="auto" w:sz="6" w:space="0"/>
        </w:pBdr>
        <w:spacing w:line="500" w:lineRule="exact"/>
        <w:ind w:firstLine="472" w:firstLineChars="224"/>
        <w:jc w:val="left"/>
        <w:outlineLvl w:val="2"/>
        <w:rPr>
          <w:rFonts w:ascii="宋体" w:hAnsi="宋体" w:eastAsia="宋体" w:cs="宋体"/>
          <w:b/>
          <w:bCs/>
          <w:color w:val="auto"/>
          <w:szCs w:val="21"/>
          <w:highlight w:val="none"/>
        </w:rPr>
      </w:pPr>
      <w:bookmarkStart w:id="901" w:name="_Toc29393"/>
      <w:bookmarkStart w:id="902" w:name="_Toc26853"/>
      <w:bookmarkStart w:id="903" w:name="_Toc9143"/>
      <w:r>
        <w:rPr>
          <w:rFonts w:hint="eastAsia" w:ascii="宋体" w:hAnsi="宋体" w:eastAsia="宋体" w:cs="宋体"/>
          <w:b/>
          <w:bCs/>
          <w:color w:val="auto"/>
          <w:szCs w:val="21"/>
          <w:highlight w:val="none"/>
        </w:rPr>
        <w:t>4.1 多证合一营业执照（或事业单位法人证书）原件扫描件；</w:t>
      </w:r>
      <w:bookmarkEnd w:id="901"/>
      <w:bookmarkEnd w:id="902"/>
      <w:bookmarkEnd w:id="903"/>
    </w:p>
    <w:p w14:paraId="1B3F6F27">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4.2 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p>
    <w:p w14:paraId="014D9CD4">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4.3 法定代表人身份证明书和法定代表人授权书（法定代表人投标时只提供法定代表人身份证明书，委托他人为投标代表时同时提供法定代表人授权书）；</w:t>
      </w:r>
    </w:p>
    <w:p w14:paraId="3A09BA2E">
      <w:pPr>
        <w:widowControl/>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4.4 本项目的特定资格要求：（1）供货安装资质：①具有以下其中一种资质：a）电力工程施工总承包乙级（或以上）企业资质；b）输变电工程专业承包乙级（或以上）企业资质【或更换资质证书前有效期内：电力工程施工总承包三级（或以上）企业资质；或输变电工程专业承包三级（或以上）企业资质】；②具有《承装（修、试）电力设施许可证》承装类五级或以上资质【或具有2025年7月1日以来颁发或换领的《承装（修、试）电力设施许可证》承装类三级或以上电子证照】；③具有在效期内的《安全生产许可证》。（2）设计资质：具有有效期内的工程设计综合资质，或工程设计电力行业乙级（或以上）资质，或工程设计电力行业（送变电工程）专业乙级（或以上）资质，或工程设计电力行业（新能源发电工程）专业乙级（或以上）资质【或更换资质证书前有效期内：工程设计综合甲级资质，或工程设计电力行业乙级（或以上）资质，或工程设计电力行业（送电工程或变电工程）专业丙级（或以上）资质，或工程设计电力行业（新能源发电）专业乙级资质】；【投标人提供以上资质证书原件扫描件】</w:t>
      </w:r>
    </w:p>
    <w:p w14:paraId="7AB169E1">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4.5 项目负责人要求（若为联合体投标的，以联合体牵头单位提供的人员为准，联合体成员单位提供的人员不予认可）：投标人为本项目投入的项目负责人应具备二级或以上等级的注册建造师，建造师注册证书中列明的专业类别为电力工程（或机电工程），且具备建设行政主管部门颁发的安全生产考核合格证（须为项目负责人安全生产考核合格证，即“建安B”类证）；【提供有效的相关证书扫描件，并提供由人力资源和社会保障部门（或税务部门）出具的投标人2025年2月至2025年7月为其缴纳的社会保险凭证扫描件】</w:t>
      </w:r>
    </w:p>
    <w:p w14:paraId="3D38B132">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 xml:space="preserve"> 资格业绩【</w:t>
      </w:r>
      <w:r>
        <w:rPr>
          <w:rFonts w:hint="eastAsia" w:ascii="宋体" w:hAnsi="宋体" w:eastAsia="宋体" w:cs="宋体"/>
          <w:b/>
          <w:bCs/>
          <w:color w:val="auto"/>
          <w:szCs w:val="21"/>
          <w:highlight w:val="none"/>
          <w:lang w:val="zh-CN"/>
        </w:rPr>
        <w:t>投标人</w:t>
      </w:r>
      <w:r>
        <w:rPr>
          <w:rFonts w:hint="eastAsia" w:ascii="宋体" w:hAnsi="宋体" w:eastAsia="宋体" w:cs="宋体"/>
          <w:b/>
          <w:bCs/>
          <w:color w:val="auto"/>
          <w:szCs w:val="21"/>
          <w:highlight w:val="none"/>
        </w:rPr>
        <w:t>提供一份2022</w:t>
      </w:r>
      <w:r>
        <w:rPr>
          <w:rFonts w:hint="eastAsia" w:ascii="宋体" w:hAnsi="宋体" w:eastAsia="宋体" w:cs="宋体"/>
          <w:b/>
          <w:bCs/>
          <w:color w:val="auto"/>
          <w:szCs w:val="21"/>
          <w:highlight w:val="none"/>
          <w:lang w:val="zh-CN"/>
        </w:rPr>
        <w:t>年</w:t>
      </w:r>
      <w:r>
        <w:rPr>
          <w:rFonts w:hint="eastAsia" w:ascii="宋体" w:hAnsi="宋体" w:eastAsia="宋体" w:cs="宋体"/>
          <w:b/>
          <w:bCs/>
          <w:color w:val="auto"/>
          <w:szCs w:val="21"/>
          <w:highlight w:val="none"/>
        </w:rPr>
        <w:t>1</w:t>
      </w:r>
      <w:r>
        <w:rPr>
          <w:rFonts w:hint="eastAsia" w:ascii="宋体" w:hAnsi="宋体" w:eastAsia="宋体" w:cs="宋体"/>
          <w:b/>
          <w:bCs/>
          <w:color w:val="auto"/>
          <w:szCs w:val="21"/>
          <w:highlight w:val="none"/>
          <w:lang w:val="zh-CN"/>
        </w:rPr>
        <w:t>月</w:t>
      </w:r>
      <w:r>
        <w:rPr>
          <w:rFonts w:hint="eastAsia" w:ascii="宋体" w:hAnsi="宋体" w:eastAsia="宋体" w:cs="宋体"/>
          <w:b/>
          <w:bCs/>
          <w:color w:val="auto"/>
          <w:szCs w:val="21"/>
          <w:highlight w:val="none"/>
        </w:rPr>
        <w:t>1</w:t>
      </w:r>
      <w:r>
        <w:rPr>
          <w:rFonts w:hint="eastAsia" w:ascii="宋体" w:hAnsi="宋体" w:eastAsia="宋体" w:cs="宋体"/>
          <w:b/>
          <w:bCs/>
          <w:color w:val="auto"/>
          <w:szCs w:val="21"/>
          <w:highlight w:val="none"/>
          <w:lang w:val="zh-CN"/>
        </w:rPr>
        <w:t>日以来分布式光伏发电的业绩（合同签订日期为</w:t>
      </w:r>
      <w:r>
        <w:rPr>
          <w:rFonts w:hint="eastAsia" w:ascii="宋体" w:hAnsi="宋体" w:eastAsia="宋体" w:cs="宋体"/>
          <w:b/>
          <w:bCs/>
          <w:color w:val="auto"/>
          <w:szCs w:val="21"/>
          <w:highlight w:val="none"/>
        </w:rPr>
        <w:t>2022</w:t>
      </w:r>
      <w:r>
        <w:rPr>
          <w:rFonts w:hint="eastAsia" w:ascii="宋体" w:hAnsi="宋体" w:eastAsia="宋体" w:cs="宋体"/>
          <w:b/>
          <w:bCs/>
          <w:color w:val="auto"/>
          <w:szCs w:val="21"/>
          <w:highlight w:val="none"/>
          <w:lang w:val="zh-CN"/>
        </w:rPr>
        <w:t>年</w:t>
      </w:r>
      <w:r>
        <w:rPr>
          <w:rFonts w:hint="eastAsia" w:ascii="宋体" w:hAnsi="宋体" w:eastAsia="宋体" w:cs="宋体"/>
          <w:b/>
          <w:bCs/>
          <w:color w:val="auto"/>
          <w:szCs w:val="21"/>
          <w:highlight w:val="none"/>
        </w:rPr>
        <w:t>1</w:t>
      </w:r>
      <w:r>
        <w:rPr>
          <w:rFonts w:hint="eastAsia" w:ascii="宋体" w:hAnsi="宋体" w:eastAsia="宋体" w:cs="宋体"/>
          <w:b/>
          <w:bCs/>
          <w:color w:val="auto"/>
          <w:szCs w:val="21"/>
          <w:highlight w:val="none"/>
          <w:lang w:val="zh-CN"/>
        </w:rPr>
        <w:t>月</w:t>
      </w:r>
      <w:r>
        <w:rPr>
          <w:rFonts w:hint="eastAsia" w:ascii="宋体" w:hAnsi="宋体" w:eastAsia="宋体" w:cs="宋体"/>
          <w:b/>
          <w:bCs/>
          <w:color w:val="auto"/>
          <w:szCs w:val="21"/>
          <w:highlight w:val="none"/>
        </w:rPr>
        <w:t>1</w:t>
      </w:r>
      <w:r>
        <w:rPr>
          <w:rFonts w:hint="eastAsia" w:ascii="宋体" w:hAnsi="宋体" w:eastAsia="宋体" w:cs="宋体"/>
          <w:b/>
          <w:bCs/>
          <w:color w:val="auto"/>
          <w:szCs w:val="21"/>
          <w:highlight w:val="none"/>
          <w:lang w:val="zh-CN"/>
        </w:rPr>
        <w:t>日或以后）</w:t>
      </w:r>
      <w:r>
        <w:rPr>
          <w:rFonts w:hint="eastAsia" w:ascii="宋体" w:hAnsi="宋体" w:eastAsia="宋体" w:cs="宋体"/>
          <w:b/>
          <w:bCs/>
          <w:color w:val="auto"/>
          <w:szCs w:val="21"/>
          <w:highlight w:val="none"/>
        </w:rPr>
        <w:t>】；</w:t>
      </w:r>
    </w:p>
    <w:p w14:paraId="16FEB93E">
      <w:pPr>
        <w:pBdr>
          <w:bottom w:val="single" w:color="auto" w:sz="6" w:space="0"/>
        </w:pBdr>
        <w:spacing w:line="500" w:lineRule="exact"/>
        <w:ind w:firstLine="472" w:firstLineChars="224"/>
        <w:jc w:val="left"/>
        <w:outlineLvl w:val="2"/>
        <w:rPr>
          <w:rFonts w:ascii="宋体" w:hAnsi="宋体" w:eastAsia="宋体" w:cs="宋体"/>
          <w:b/>
          <w:bCs/>
          <w:color w:val="auto"/>
          <w:szCs w:val="21"/>
          <w:highlight w:val="none"/>
        </w:rPr>
      </w:pPr>
      <w:bookmarkStart w:id="904" w:name="_Toc16965"/>
      <w:bookmarkStart w:id="905" w:name="_Toc28803"/>
      <w:bookmarkStart w:id="906" w:name="_Toc3719"/>
      <w:r>
        <w:rPr>
          <w:rFonts w:hint="eastAsia" w:ascii="宋体" w:hAnsi="宋体" w:eastAsia="宋体" w:cs="宋体"/>
          <w:b/>
          <w:bCs/>
          <w:color w:val="auto"/>
          <w:szCs w:val="21"/>
          <w:highlight w:val="none"/>
        </w:rPr>
        <w:t>4.</w:t>
      </w:r>
      <w:r>
        <w:rPr>
          <w:rFonts w:hint="eastAsia" w:ascii="宋体" w:hAnsi="宋体" w:eastAsia="宋体" w:cs="宋体"/>
          <w:b/>
          <w:bCs/>
          <w:color w:val="auto"/>
          <w:szCs w:val="21"/>
          <w:highlight w:val="none"/>
          <w:lang w:val="en-US" w:eastAsia="zh-CN"/>
        </w:rPr>
        <w:t>7</w:t>
      </w:r>
      <w:r>
        <w:rPr>
          <w:rFonts w:hint="eastAsia" w:ascii="宋体" w:hAnsi="宋体" w:eastAsia="宋体" w:cs="宋体"/>
          <w:b/>
          <w:bCs/>
          <w:color w:val="auto"/>
          <w:szCs w:val="21"/>
          <w:highlight w:val="none"/>
        </w:rPr>
        <w:t xml:space="preserve"> 最近3年投标人牵涉的其他（失信和违法）处罚说明；</w:t>
      </w:r>
      <w:bookmarkEnd w:id="904"/>
      <w:bookmarkEnd w:id="905"/>
      <w:bookmarkEnd w:id="906"/>
    </w:p>
    <w:p w14:paraId="21CB8D57">
      <w:pPr>
        <w:pBdr>
          <w:bottom w:val="single" w:color="auto" w:sz="6" w:space="0"/>
        </w:pBdr>
        <w:spacing w:line="500" w:lineRule="exact"/>
        <w:ind w:firstLine="472" w:firstLineChars="224"/>
        <w:jc w:val="left"/>
        <w:outlineLvl w:val="2"/>
        <w:rPr>
          <w:rFonts w:ascii="宋体" w:hAnsi="宋体" w:eastAsia="宋体" w:cs="宋体"/>
          <w:b/>
          <w:bCs/>
          <w:color w:val="auto"/>
          <w:szCs w:val="21"/>
          <w:highlight w:val="none"/>
        </w:rPr>
      </w:pPr>
      <w:bookmarkStart w:id="907" w:name="_Toc9842"/>
      <w:bookmarkStart w:id="908" w:name="_Toc10328"/>
      <w:bookmarkStart w:id="909" w:name="_Toc24527"/>
      <w:r>
        <w:rPr>
          <w:rFonts w:hint="eastAsia" w:ascii="宋体" w:hAnsi="宋体" w:eastAsia="宋体" w:cs="宋体"/>
          <w:b/>
          <w:bCs/>
          <w:color w:val="auto"/>
          <w:szCs w:val="21"/>
          <w:highlight w:val="none"/>
        </w:rPr>
        <w:t>4.</w:t>
      </w:r>
      <w:r>
        <w:rPr>
          <w:rFonts w:hint="eastAsia" w:ascii="宋体" w:hAnsi="宋体" w:eastAsia="宋体" w:cs="宋体"/>
          <w:b/>
          <w:bCs/>
          <w:color w:val="auto"/>
          <w:szCs w:val="21"/>
          <w:highlight w:val="none"/>
          <w:lang w:val="en-US" w:eastAsia="zh-CN"/>
        </w:rPr>
        <w:t>8</w:t>
      </w:r>
      <w:r>
        <w:rPr>
          <w:rFonts w:hint="eastAsia" w:ascii="宋体" w:hAnsi="宋体" w:eastAsia="宋体" w:cs="宋体"/>
          <w:b/>
          <w:bCs/>
          <w:color w:val="auto"/>
          <w:szCs w:val="21"/>
          <w:highlight w:val="none"/>
        </w:rPr>
        <w:t xml:space="preserve"> 联合体共同投标协议书（当联合体投标时提供）</w:t>
      </w:r>
      <w:bookmarkEnd w:id="907"/>
      <w:bookmarkEnd w:id="908"/>
      <w:bookmarkEnd w:id="909"/>
      <w:r>
        <w:rPr>
          <w:rFonts w:hint="eastAsia" w:ascii="宋体" w:hAnsi="宋体" w:eastAsia="宋体" w:cs="宋体"/>
          <w:b/>
          <w:bCs/>
          <w:color w:val="auto"/>
          <w:szCs w:val="21"/>
          <w:highlight w:val="none"/>
        </w:rPr>
        <w:t>；</w:t>
      </w:r>
    </w:p>
    <w:p w14:paraId="2C3EAD8F">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五、投标人基本情况一览表；</w:t>
      </w:r>
    </w:p>
    <w:p w14:paraId="546DC75F">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六、投标人财务状况表；</w:t>
      </w:r>
    </w:p>
    <w:p w14:paraId="0FA604EA">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七、标准化体系认证；</w:t>
      </w:r>
    </w:p>
    <w:p w14:paraId="44FD3B7B">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八、合同条款响应程度（合同条款偏离表）；</w:t>
      </w:r>
    </w:p>
    <w:p w14:paraId="1736A8C0">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九、业绩表；</w:t>
      </w:r>
    </w:p>
    <w:p w14:paraId="5B115419">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zh-CN"/>
        </w:rPr>
        <w:t>十、中标服务费承诺书；</w:t>
      </w:r>
    </w:p>
    <w:p w14:paraId="15BE1D2A">
      <w:pPr>
        <w:pBdr>
          <w:bottom w:val="single" w:color="auto" w:sz="6" w:space="0"/>
        </w:pBdr>
        <w:spacing w:line="500" w:lineRule="exact"/>
        <w:ind w:firstLine="472" w:firstLineChars="224"/>
        <w:jc w:val="left"/>
        <w:rPr>
          <w:rFonts w:ascii="宋体" w:hAnsi="宋体" w:eastAsia="宋体" w:cs="宋体"/>
          <w:b/>
          <w:color w:val="auto"/>
          <w:kern w:val="0"/>
          <w:sz w:val="32"/>
          <w:szCs w:val="32"/>
          <w:highlight w:val="none"/>
        </w:rPr>
      </w:pPr>
      <w:r>
        <w:rPr>
          <w:rFonts w:hint="eastAsia" w:ascii="宋体" w:hAnsi="宋体" w:eastAsia="宋体" w:cs="宋体"/>
          <w:b/>
          <w:bCs/>
          <w:color w:val="auto"/>
          <w:szCs w:val="21"/>
          <w:highlight w:val="none"/>
        </w:rPr>
        <w:t>十一、投标人资格证明文件以外的其他资质证书、知识产权证书及获得的相关获奖、认证证书、社会评价资料证明文件扫描件等投标人认为有需要证明其具备为本次招标项目提供货物及有关服务能力的有关其它商务文件（不做强制要求）。</w:t>
      </w:r>
      <w:r>
        <w:rPr>
          <w:rFonts w:hint="eastAsia" w:ascii="宋体" w:hAnsi="宋体" w:eastAsia="宋体" w:cs="宋体"/>
          <w:b/>
          <w:color w:val="auto"/>
          <w:kern w:val="0"/>
          <w:sz w:val="32"/>
          <w:szCs w:val="32"/>
          <w:highlight w:val="none"/>
        </w:rPr>
        <w:br w:type="page"/>
      </w:r>
    </w:p>
    <w:p w14:paraId="41F1EC09">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bookmarkStart w:id="910" w:name="_Toc13281"/>
      <w:bookmarkStart w:id="911" w:name="_Toc3028"/>
      <w:bookmarkStart w:id="912" w:name="_Toc17613"/>
      <w:bookmarkStart w:id="913" w:name="_Toc16116"/>
      <w:bookmarkStart w:id="914" w:name="_Toc27679"/>
      <w:bookmarkStart w:id="915" w:name="_Toc15226"/>
      <w:bookmarkStart w:id="916" w:name="_Toc12810"/>
      <w:bookmarkStart w:id="917" w:name="_Toc7834"/>
      <w:bookmarkStart w:id="918" w:name="_Toc23782"/>
      <w:bookmarkStart w:id="919" w:name="_Toc195714375"/>
      <w:bookmarkStart w:id="920" w:name="_Toc330"/>
      <w:r>
        <w:rPr>
          <w:rFonts w:hint="eastAsia" w:ascii="宋体" w:hAnsi="宋体" w:eastAsia="宋体" w:cs="宋体"/>
          <w:b/>
          <w:color w:val="auto"/>
          <w:kern w:val="0"/>
          <w:sz w:val="32"/>
          <w:szCs w:val="32"/>
          <w:highlight w:val="none"/>
        </w:rPr>
        <w:t>一、投标函格式</w:t>
      </w:r>
      <w:bookmarkEnd w:id="883"/>
      <w:bookmarkEnd w:id="884"/>
      <w:bookmarkEnd w:id="885"/>
      <w:bookmarkEnd w:id="886"/>
      <w:bookmarkEnd w:id="887"/>
      <w:bookmarkEnd w:id="888"/>
      <w:bookmarkEnd w:id="889"/>
      <w:bookmarkEnd w:id="890"/>
      <w:bookmarkEnd w:id="891"/>
      <w:bookmarkEnd w:id="892"/>
      <w:bookmarkEnd w:id="910"/>
      <w:bookmarkEnd w:id="911"/>
      <w:bookmarkEnd w:id="912"/>
      <w:bookmarkEnd w:id="913"/>
      <w:bookmarkEnd w:id="914"/>
      <w:bookmarkEnd w:id="915"/>
      <w:bookmarkEnd w:id="916"/>
      <w:bookmarkEnd w:id="917"/>
      <w:bookmarkEnd w:id="918"/>
      <w:bookmarkEnd w:id="919"/>
      <w:bookmarkEnd w:id="920"/>
    </w:p>
    <w:p w14:paraId="2E70EAF1">
      <w:pPr>
        <w:autoSpaceDE w:val="0"/>
        <w:autoSpaceDN w:val="0"/>
        <w:adjustRightInd w:val="0"/>
        <w:spacing w:line="360" w:lineRule="auto"/>
        <w:jc w:val="center"/>
        <w:rPr>
          <w:rFonts w:ascii="宋体" w:hAnsi="宋体" w:eastAsia="宋体" w:cs="宋体"/>
          <w:b/>
          <w:bCs/>
          <w:color w:val="auto"/>
          <w:sz w:val="30"/>
          <w:szCs w:val="30"/>
          <w:highlight w:val="none"/>
        </w:rPr>
      </w:pPr>
      <w:bookmarkStart w:id="921" w:name="_Toc16695_WPSOffice_Level3"/>
      <w:r>
        <w:rPr>
          <w:rFonts w:hint="eastAsia" w:ascii="宋体" w:hAnsi="宋体" w:eastAsia="宋体" w:cs="宋体"/>
          <w:b/>
          <w:bCs/>
          <w:color w:val="auto"/>
          <w:sz w:val="30"/>
          <w:szCs w:val="30"/>
          <w:highlight w:val="none"/>
          <w:lang w:val="zh-CN"/>
        </w:rPr>
        <w:t>投 标 函</w:t>
      </w:r>
      <w:bookmarkEnd w:id="921"/>
    </w:p>
    <w:p w14:paraId="43B73745">
      <w:pPr>
        <w:autoSpaceDE w:val="0"/>
        <w:autoSpaceDN w:val="0"/>
        <w:adjustRightInd w:val="0"/>
        <w:spacing w:line="360" w:lineRule="auto"/>
        <w:rPr>
          <w:rFonts w:ascii="宋体" w:hAnsi="宋体" w:eastAsia="宋体" w:cs="宋体"/>
          <w:color w:val="auto"/>
          <w:szCs w:val="21"/>
          <w:highlight w:val="none"/>
          <w:lang w:val="zh-CN"/>
        </w:rPr>
      </w:pPr>
    </w:p>
    <w:p w14:paraId="51F27E85">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rPr>
        <w:t>东莞市水务集团科技发展有限公司</w:t>
      </w:r>
    </w:p>
    <w:p w14:paraId="25F00B2F">
      <w:pPr>
        <w:autoSpaceDE w:val="0"/>
        <w:autoSpaceDN w:val="0"/>
        <w:adjustRightInd w:val="0"/>
        <w:spacing w:line="360" w:lineRule="auto"/>
        <w:rPr>
          <w:rFonts w:ascii="宋体" w:hAnsi="宋体" w:eastAsia="宋体" w:cs="宋体"/>
          <w:color w:val="auto"/>
          <w:szCs w:val="21"/>
          <w:highlight w:val="none"/>
        </w:rPr>
      </w:pPr>
    </w:p>
    <w:p w14:paraId="19337BC7">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东莞市水务环境投资控股集团分布式光伏发电项目（第一批）供水厂项目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07F48FDB">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4E46F462">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val="zh-CN"/>
        </w:rPr>
        <w:t>的投标；</w:t>
      </w:r>
    </w:p>
    <w:p w14:paraId="27A82E6B">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693FD44A">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00D602E3">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w:t>
      </w:r>
      <w:r>
        <w:rPr>
          <w:rFonts w:hint="eastAsia" w:ascii="宋体" w:hAnsi="宋体" w:eastAsia="宋体" w:cs="宋体"/>
          <w:color w:val="auto"/>
          <w:szCs w:val="21"/>
          <w:highlight w:val="none"/>
        </w:rPr>
        <w:t>回</w:t>
      </w:r>
      <w:r>
        <w:rPr>
          <w:rFonts w:hint="eastAsia" w:ascii="宋体" w:hAnsi="宋体" w:eastAsia="宋体" w:cs="宋体"/>
          <w:color w:val="auto"/>
          <w:szCs w:val="21"/>
          <w:highlight w:val="none"/>
          <w:lang w:val="zh-CN"/>
        </w:rPr>
        <w:t>投标，则不予退还我方投标保证金；</w:t>
      </w:r>
    </w:p>
    <w:p w14:paraId="48BC0DC0">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588CCF3E">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191DD9CE">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13ECCDEA">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43972010">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0B250706">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1D79F224">
      <w:pPr>
        <w:autoSpaceDE w:val="0"/>
        <w:autoSpaceDN w:val="0"/>
        <w:adjustRightInd w:val="0"/>
        <w:spacing w:line="360" w:lineRule="auto"/>
        <w:ind w:firstLine="315" w:firstLineChars="150"/>
        <w:outlineLvl w:val="2"/>
        <w:rPr>
          <w:rFonts w:ascii="宋体" w:hAnsi="宋体" w:eastAsia="宋体" w:cs="宋体"/>
          <w:color w:val="auto"/>
          <w:szCs w:val="21"/>
          <w:highlight w:val="none"/>
          <w:lang w:val="zh-CN"/>
        </w:rPr>
      </w:pPr>
      <w:bookmarkStart w:id="922" w:name="_Toc9344"/>
      <w:bookmarkStart w:id="923" w:name="_Toc27614"/>
      <w:bookmarkStart w:id="924" w:name="_Toc31639"/>
      <w:r>
        <w:rPr>
          <w:rFonts w:hint="eastAsia" w:ascii="宋体" w:hAnsi="宋体" w:eastAsia="宋体" w:cs="宋体"/>
          <w:color w:val="auto"/>
          <w:szCs w:val="21"/>
          <w:highlight w:val="none"/>
          <w:lang w:val="zh-CN"/>
        </w:rPr>
        <w:t>（十一）所有与本投标有关的函件请发往下列地址：</w:t>
      </w:r>
      <w:bookmarkEnd w:id="922"/>
      <w:bookmarkEnd w:id="923"/>
      <w:bookmarkEnd w:id="924"/>
    </w:p>
    <w:p w14:paraId="04C508D7">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16D41559">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72D2D31F">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00AFF047">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67AD4EE4">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4C453666">
      <w:pPr>
        <w:autoSpaceDE w:val="0"/>
        <w:autoSpaceDN w:val="0"/>
        <w:adjustRightInd w:val="0"/>
        <w:spacing w:line="360" w:lineRule="auto"/>
        <w:ind w:firstLine="4960" w:firstLineChars="2362"/>
        <w:rPr>
          <w:rFonts w:ascii="宋体" w:hAnsi="宋体" w:eastAsia="宋体" w:cs="宋体"/>
          <w:color w:val="auto"/>
          <w:szCs w:val="21"/>
          <w:highlight w:val="none"/>
          <w:lang w:val="zh-CN"/>
        </w:rPr>
      </w:pPr>
    </w:p>
    <w:p w14:paraId="4F0F3DF9">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04C2080">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25805A6A">
      <w:pPr>
        <w:autoSpaceDE w:val="0"/>
        <w:autoSpaceDN w:val="0"/>
        <w:adjustRightInd w:val="0"/>
        <w:spacing w:line="360" w:lineRule="auto"/>
        <w:ind w:firstLine="4960" w:firstLineChars="2362"/>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1CA48C4B">
      <w:pPr>
        <w:autoSpaceDE w:val="0"/>
        <w:autoSpaceDN w:val="0"/>
        <w:adjustRightInd w:val="0"/>
        <w:spacing w:line="360" w:lineRule="auto"/>
        <w:jc w:val="center"/>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14:paraId="1BA49AC9">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925" w:name="_Toc9496"/>
      <w:bookmarkStart w:id="926" w:name="_Toc533708122"/>
      <w:bookmarkStart w:id="927" w:name="_Toc24901"/>
      <w:bookmarkStart w:id="928" w:name="_Toc3104"/>
      <w:bookmarkStart w:id="929" w:name="_Toc26992"/>
      <w:bookmarkStart w:id="930" w:name="_Toc486167710"/>
      <w:bookmarkStart w:id="931" w:name="_Toc195714376"/>
      <w:bookmarkStart w:id="932" w:name="_Toc12417"/>
      <w:bookmarkStart w:id="933" w:name="_Toc30995"/>
      <w:bookmarkStart w:id="934" w:name="_Toc140596922"/>
      <w:bookmarkStart w:id="935" w:name="_Toc11283"/>
      <w:bookmarkStart w:id="936" w:name="_Toc104991869"/>
      <w:bookmarkStart w:id="937" w:name="_Toc15029"/>
      <w:bookmarkStart w:id="938" w:name="_Toc21535"/>
      <w:bookmarkStart w:id="939" w:name="_Toc10742"/>
      <w:bookmarkStart w:id="940" w:name="_Toc142508363"/>
      <w:bookmarkStart w:id="941" w:name="_Toc1977722"/>
      <w:bookmarkStart w:id="942" w:name="_Toc94107203"/>
      <w:bookmarkStart w:id="943" w:name="_Toc102860068"/>
      <w:bookmarkStart w:id="944" w:name="_Toc28613_WPSOffice_Level2"/>
      <w:bookmarkStart w:id="945" w:name="_Toc102860412"/>
      <w:r>
        <w:rPr>
          <w:rFonts w:hint="eastAsia" w:ascii="宋体" w:hAnsi="宋体" w:eastAsia="宋体" w:cs="宋体"/>
          <w:b/>
          <w:color w:val="auto"/>
          <w:kern w:val="0"/>
          <w:sz w:val="32"/>
          <w:szCs w:val="32"/>
          <w:highlight w:val="none"/>
        </w:rPr>
        <w:t>二、投标承诺书格式</w:t>
      </w:r>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p>
    <w:p w14:paraId="28969109">
      <w:pPr>
        <w:autoSpaceDE w:val="0"/>
        <w:autoSpaceDN w:val="0"/>
        <w:adjustRightInd w:val="0"/>
        <w:spacing w:line="360" w:lineRule="auto"/>
        <w:jc w:val="center"/>
        <w:outlineLvl w:val="2"/>
        <w:rPr>
          <w:rFonts w:ascii="宋体" w:hAnsi="宋体" w:eastAsia="宋体" w:cs="宋体"/>
          <w:b/>
          <w:bCs/>
          <w:color w:val="auto"/>
          <w:sz w:val="30"/>
          <w:szCs w:val="30"/>
          <w:highlight w:val="none"/>
          <w:lang w:val="zh-CN"/>
        </w:rPr>
      </w:pPr>
      <w:bookmarkStart w:id="946" w:name="_Toc23650"/>
      <w:bookmarkStart w:id="947" w:name="_Toc246"/>
      <w:bookmarkStart w:id="948" w:name="_Toc28571"/>
      <w:r>
        <w:rPr>
          <w:rFonts w:hint="eastAsia" w:ascii="宋体" w:hAnsi="宋体" w:eastAsia="宋体" w:cs="宋体"/>
          <w:b/>
          <w:bCs/>
          <w:color w:val="auto"/>
          <w:sz w:val="30"/>
          <w:szCs w:val="30"/>
          <w:highlight w:val="none"/>
          <w:lang w:val="zh-CN"/>
        </w:rPr>
        <w:t>投标承诺书</w:t>
      </w:r>
      <w:bookmarkEnd w:id="946"/>
      <w:bookmarkEnd w:id="947"/>
      <w:bookmarkEnd w:id="948"/>
    </w:p>
    <w:p w14:paraId="691F9930">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14:paraId="56FDFCF5">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kern w:val="0"/>
          <w:szCs w:val="21"/>
          <w:highlight w:val="none"/>
          <w:u w:val="single"/>
          <w:lang w:eastAsia="zh-CN"/>
        </w:rPr>
        <w:t>东莞市水务环境投资控股集团分布式光伏发电项目（第一批）供水厂项目</w:t>
      </w:r>
      <w:r>
        <w:rPr>
          <w:rFonts w:hint="eastAsia" w:ascii="宋体" w:hAnsi="宋体" w:eastAsia="宋体" w:cs="宋体"/>
          <w:color w:val="auto"/>
          <w:kern w:val="0"/>
          <w:szCs w:val="21"/>
          <w:highlight w:val="none"/>
        </w:rPr>
        <w:t>（招标编号：               ）招标文件的所有内容（包括澄清，以及所有已提供的参考资料和有关附件），并完全理解上述文件所表达的意思，该项目递交投标文件时间截止后，我方承诺不再对上述文件内容进行询问或异议。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2BCC5A3C">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31.2款约定按时提供原件核查的，因此导致我方无法参与东莞市水务环境投资控股集团有限公司相关招标采购活动的，由我方自行承担全部后果。</w:t>
      </w:r>
    </w:p>
    <w:p w14:paraId="7BEA708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14:paraId="1AEFBE1A">
      <w:pPr>
        <w:autoSpaceDE w:val="0"/>
        <w:autoSpaceDN w:val="0"/>
        <w:adjustRightInd w:val="0"/>
        <w:spacing w:line="360" w:lineRule="auto"/>
        <w:jc w:val="left"/>
        <w:rPr>
          <w:rFonts w:ascii="宋体" w:hAnsi="宋体" w:eastAsia="宋体" w:cs="宋体"/>
          <w:color w:val="auto"/>
          <w:kern w:val="0"/>
          <w:sz w:val="24"/>
          <w:szCs w:val="24"/>
          <w:highlight w:val="none"/>
        </w:rPr>
      </w:pPr>
    </w:p>
    <w:p w14:paraId="5B6AA4D4">
      <w:pPr>
        <w:autoSpaceDE w:val="0"/>
        <w:autoSpaceDN w:val="0"/>
        <w:adjustRightInd w:val="0"/>
        <w:spacing w:line="360" w:lineRule="auto"/>
        <w:jc w:val="left"/>
        <w:rPr>
          <w:rFonts w:ascii="宋体" w:hAnsi="宋体" w:eastAsia="宋体" w:cs="宋体"/>
          <w:color w:val="auto"/>
          <w:kern w:val="0"/>
          <w:sz w:val="24"/>
          <w:szCs w:val="24"/>
          <w:highlight w:val="none"/>
        </w:rPr>
      </w:pPr>
    </w:p>
    <w:p w14:paraId="298FF947">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288444A5">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330089CB">
      <w:pPr>
        <w:autoSpaceDE w:val="0"/>
        <w:autoSpaceDN w:val="0"/>
        <w:adjustRightInd w:val="0"/>
        <w:spacing w:line="360" w:lineRule="auto"/>
        <w:ind w:firstLine="4960" w:firstLineChars="2362"/>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2EC5D42E">
      <w:pPr>
        <w:autoSpaceDE w:val="0"/>
        <w:autoSpaceDN w:val="0"/>
        <w:adjustRightInd w:val="0"/>
        <w:spacing w:line="360" w:lineRule="auto"/>
        <w:jc w:val="center"/>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14:paraId="079D932D">
      <w:pPr>
        <w:autoSpaceDE w:val="0"/>
        <w:autoSpaceDN w:val="0"/>
        <w:adjustRightInd w:val="0"/>
        <w:spacing w:line="360" w:lineRule="auto"/>
        <w:jc w:val="left"/>
        <w:rPr>
          <w:rFonts w:ascii="宋体" w:hAnsi="宋体" w:eastAsia="宋体" w:cs="宋体"/>
          <w:color w:val="auto"/>
          <w:kern w:val="0"/>
          <w:sz w:val="24"/>
          <w:szCs w:val="24"/>
          <w:highlight w:val="none"/>
        </w:rPr>
      </w:pPr>
      <w:bookmarkStart w:id="949" w:name="_Toc326768876"/>
      <w:bookmarkStart w:id="950" w:name="_Toc316896755"/>
      <w:bookmarkStart w:id="951" w:name="_Toc311032584"/>
    </w:p>
    <w:p w14:paraId="3A274D1F">
      <w:pPr>
        <w:pageBreakBefore/>
        <w:autoSpaceDE w:val="0"/>
        <w:autoSpaceDN w:val="0"/>
        <w:adjustRightInd w:val="0"/>
        <w:spacing w:line="360" w:lineRule="auto"/>
        <w:jc w:val="left"/>
        <w:outlineLvl w:val="1"/>
        <w:rPr>
          <w:rFonts w:ascii="宋体" w:hAnsi="宋体" w:eastAsia="宋体" w:cs="宋体"/>
          <w:b/>
          <w:color w:val="auto"/>
          <w:kern w:val="44"/>
          <w:sz w:val="32"/>
          <w:szCs w:val="32"/>
          <w:highlight w:val="none"/>
        </w:rPr>
      </w:pPr>
      <w:bookmarkStart w:id="952" w:name="_Toc29910"/>
      <w:bookmarkStart w:id="953" w:name="_Toc3108"/>
      <w:bookmarkStart w:id="954" w:name="_Toc102860069"/>
      <w:bookmarkStart w:id="955" w:name="_Toc11649"/>
      <w:bookmarkStart w:id="956" w:name="_Toc142508364"/>
      <w:bookmarkStart w:id="957" w:name="_Toc140596923"/>
      <w:bookmarkStart w:id="958" w:name="_Toc26569"/>
      <w:bookmarkStart w:id="959" w:name="_Toc24336"/>
      <w:bookmarkStart w:id="960" w:name="_Toc195714377"/>
      <w:bookmarkStart w:id="961" w:name="_Toc86764083"/>
      <w:bookmarkStart w:id="962" w:name="_Toc26446"/>
      <w:bookmarkStart w:id="963" w:name="_Toc26712"/>
      <w:bookmarkStart w:id="964" w:name="_Toc94107204"/>
      <w:bookmarkStart w:id="965" w:name="_Toc102860413"/>
      <w:bookmarkStart w:id="966" w:name="_Toc12063"/>
      <w:bookmarkStart w:id="967" w:name="_Toc82182546"/>
      <w:bookmarkStart w:id="968" w:name="_Toc5075"/>
      <w:bookmarkStart w:id="969" w:name="_Toc104991870"/>
      <w:bookmarkStart w:id="970" w:name="_Toc26786"/>
      <w:bookmarkStart w:id="971" w:name="_Toc486167711"/>
      <w:bookmarkStart w:id="972" w:name="_Toc7024_WPSOffice_Level2"/>
      <w:bookmarkStart w:id="973" w:name="_Toc533708123"/>
      <w:bookmarkStart w:id="974" w:name="_Toc1977723"/>
      <w:r>
        <w:rPr>
          <w:rFonts w:hint="eastAsia" w:ascii="宋体" w:hAnsi="宋体" w:eastAsia="宋体" w:cs="宋体"/>
          <w:b/>
          <w:color w:val="auto"/>
          <w:kern w:val="44"/>
          <w:sz w:val="32"/>
          <w:szCs w:val="32"/>
          <w:highlight w:val="none"/>
        </w:rPr>
        <w:t>三、供货及/或提供服务过程承诺函格式</w:t>
      </w:r>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p>
    <w:p w14:paraId="5C5934BF">
      <w:pPr>
        <w:autoSpaceDE w:val="0"/>
        <w:autoSpaceDN w:val="0"/>
        <w:adjustRightInd w:val="0"/>
        <w:spacing w:line="360" w:lineRule="auto"/>
        <w:jc w:val="center"/>
        <w:outlineLvl w:val="2"/>
        <w:rPr>
          <w:rFonts w:ascii="宋体" w:hAnsi="宋体" w:eastAsia="宋体" w:cs="宋体"/>
          <w:b/>
          <w:color w:val="auto"/>
          <w:kern w:val="44"/>
          <w:sz w:val="30"/>
          <w:szCs w:val="30"/>
          <w:highlight w:val="none"/>
        </w:rPr>
      </w:pPr>
      <w:bookmarkStart w:id="975" w:name="_Toc1221"/>
      <w:bookmarkStart w:id="976" w:name="_Toc31046"/>
      <w:bookmarkStart w:id="977" w:name="_Toc24622"/>
      <w:r>
        <w:rPr>
          <w:rFonts w:hint="eastAsia" w:ascii="宋体" w:hAnsi="宋体" w:eastAsia="宋体" w:cs="宋体"/>
          <w:b/>
          <w:color w:val="auto"/>
          <w:kern w:val="44"/>
          <w:sz w:val="30"/>
          <w:szCs w:val="30"/>
          <w:highlight w:val="none"/>
        </w:rPr>
        <w:t>供货及/或提供服务过程承诺函</w:t>
      </w:r>
      <w:bookmarkEnd w:id="975"/>
      <w:bookmarkEnd w:id="976"/>
      <w:bookmarkEnd w:id="977"/>
    </w:p>
    <w:p w14:paraId="4CBBBF90">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致东莞市水务集团科技发展有限公司：</w:t>
      </w:r>
    </w:p>
    <w:p w14:paraId="351D524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Cs w:val="21"/>
          <w:highlight w:val="none"/>
          <w:lang w:eastAsia="zh-CN"/>
        </w:rPr>
        <w:t>东莞市水务环境投资控股集团分布式光伏发电项目（第一批）供水厂项目</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3373371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62E307B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4DCE03F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63EA725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325ED23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1A732F1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66C1597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31A698C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5271F7A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2D78F6D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567C3CB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1EC398C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51CC364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5880D0F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297A4B57">
      <w:pPr>
        <w:autoSpaceDE w:val="0"/>
        <w:autoSpaceDN w:val="0"/>
        <w:adjustRightInd w:val="0"/>
        <w:spacing w:line="360" w:lineRule="auto"/>
        <w:ind w:firstLine="420" w:firstLineChars="200"/>
        <w:jc w:val="left"/>
        <w:outlineLvl w:val="2"/>
        <w:rPr>
          <w:rFonts w:ascii="宋体" w:hAnsi="宋体" w:eastAsia="宋体" w:cs="宋体"/>
          <w:color w:val="auto"/>
          <w:kern w:val="0"/>
          <w:szCs w:val="21"/>
          <w:highlight w:val="none"/>
        </w:rPr>
      </w:pPr>
      <w:bookmarkStart w:id="978" w:name="_Toc5792"/>
      <w:bookmarkStart w:id="979" w:name="_Toc8469"/>
      <w:bookmarkStart w:id="980" w:name="_Toc29890"/>
      <w:r>
        <w:rPr>
          <w:rFonts w:hint="eastAsia" w:ascii="宋体" w:hAnsi="宋体" w:eastAsia="宋体" w:cs="宋体"/>
          <w:color w:val="auto"/>
          <w:kern w:val="0"/>
          <w:szCs w:val="21"/>
          <w:highlight w:val="none"/>
        </w:rPr>
        <w:t>③我方承诺不在厂内道路、消防通道内搭建临时建筑或堆放物资。</w:t>
      </w:r>
      <w:bookmarkEnd w:id="978"/>
      <w:bookmarkEnd w:id="979"/>
      <w:bookmarkEnd w:id="980"/>
    </w:p>
    <w:p w14:paraId="7B5AEDB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3C3CE7A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1F618E4A">
      <w:pPr>
        <w:autoSpaceDE w:val="0"/>
        <w:autoSpaceDN w:val="0"/>
        <w:adjustRightInd w:val="0"/>
        <w:spacing w:line="360" w:lineRule="auto"/>
        <w:ind w:firstLine="420" w:firstLineChars="200"/>
        <w:jc w:val="left"/>
        <w:outlineLvl w:val="2"/>
        <w:rPr>
          <w:rFonts w:ascii="宋体" w:hAnsi="宋体" w:eastAsia="宋体" w:cs="宋体"/>
          <w:color w:val="auto"/>
          <w:kern w:val="0"/>
          <w:szCs w:val="21"/>
          <w:highlight w:val="none"/>
        </w:rPr>
      </w:pPr>
      <w:bookmarkStart w:id="981" w:name="_Toc2419"/>
      <w:bookmarkStart w:id="982" w:name="_Toc12925"/>
      <w:bookmarkStart w:id="983" w:name="_Toc7697"/>
      <w:r>
        <w:rPr>
          <w:rFonts w:hint="eastAsia" w:ascii="宋体" w:hAnsi="宋体" w:eastAsia="宋体" w:cs="宋体"/>
          <w:color w:val="auto"/>
          <w:kern w:val="0"/>
          <w:szCs w:val="21"/>
          <w:highlight w:val="none"/>
        </w:rPr>
        <w:t>⑥我方承诺防雷、防静电设施及用电设施有良好接地。</w:t>
      </w:r>
      <w:bookmarkEnd w:id="981"/>
      <w:bookmarkEnd w:id="982"/>
      <w:bookmarkEnd w:id="983"/>
    </w:p>
    <w:p w14:paraId="455ACB0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0AE7DCB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679104C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120BA88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14:paraId="12390877">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38FACBA3">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2AD3B18F">
      <w:pPr>
        <w:autoSpaceDE w:val="0"/>
        <w:autoSpaceDN w:val="0"/>
        <w:adjustRightInd w:val="0"/>
        <w:spacing w:line="360" w:lineRule="auto"/>
        <w:ind w:firstLine="4960" w:firstLineChars="2362"/>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4B3B85F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14:paraId="682D8D4E">
      <w:pPr>
        <w:autoSpaceDE w:val="0"/>
        <w:autoSpaceDN w:val="0"/>
        <w:adjustRightInd w:val="0"/>
        <w:spacing w:line="360" w:lineRule="auto"/>
        <w:ind w:right="420"/>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Cs w:val="21"/>
          <w:highlight w:val="none"/>
        </w:rPr>
        <w:t>说明：由投标人使用投标人的企业数字证书，法定代表人或其授权代表数字证书电子签名。</w:t>
      </w:r>
    </w:p>
    <w:bookmarkEnd w:id="971"/>
    <w:bookmarkEnd w:id="972"/>
    <w:bookmarkEnd w:id="973"/>
    <w:bookmarkEnd w:id="974"/>
    <w:p w14:paraId="77E96ACE">
      <w:pPr>
        <w:autoSpaceDE w:val="0"/>
        <w:autoSpaceDN w:val="0"/>
        <w:adjustRightInd w:val="0"/>
        <w:spacing w:line="360" w:lineRule="auto"/>
        <w:jc w:val="left"/>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984" w:name="_Toc26516"/>
      <w:bookmarkStart w:id="985" w:name="_Toc195714382"/>
      <w:bookmarkStart w:id="986" w:name="_Toc19708"/>
      <w:bookmarkStart w:id="987" w:name="_Toc102860074"/>
      <w:bookmarkStart w:id="988" w:name="_Toc104991875"/>
      <w:bookmarkStart w:id="989" w:name="_Toc6561"/>
      <w:bookmarkStart w:id="990" w:name="_Toc140596928"/>
      <w:bookmarkStart w:id="991" w:name="_Toc26927"/>
      <w:bookmarkStart w:id="992" w:name="_Toc25659"/>
      <w:bookmarkStart w:id="993" w:name="_Toc25034"/>
      <w:bookmarkStart w:id="994" w:name="_Toc142508369"/>
      <w:bookmarkStart w:id="995" w:name="_Toc21067"/>
      <w:bookmarkStart w:id="996" w:name="_Toc23083"/>
      <w:bookmarkStart w:id="997" w:name="_Toc102860418"/>
      <w:bookmarkStart w:id="998" w:name="_Toc6190"/>
      <w:bookmarkStart w:id="999" w:name="_Toc5630"/>
      <w:bookmarkStart w:id="1000" w:name="_Toc94107209"/>
      <w:bookmarkStart w:id="1001" w:name="_Toc1977725"/>
      <w:bookmarkStart w:id="1002" w:name="_Toc533708124"/>
      <w:bookmarkStart w:id="1003" w:name="_Toc486167712"/>
      <w:bookmarkStart w:id="1004" w:name="_Toc20759_WPSOffice_Level2"/>
      <w:r>
        <w:rPr>
          <w:rFonts w:hint="eastAsia" w:ascii="宋体" w:hAnsi="宋体" w:eastAsia="宋体" w:cs="宋体"/>
          <w:b/>
          <w:color w:val="auto"/>
          <w:kern w:val="0"/>
          <w:sz w:val="32"/>
          <w:szCs w:val="32"/>
          <w:highlight w:val="none"/>
        </w:rPr>
        <w:t>四、投标人资格证明文件</w:t>
      </w:r>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p>
    <w:p w14:paraId="100611E7">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1005" w:name="_Toc22987"/>
      <w:bookmarkStart w:id="1006" w:name="_Toc5002"/>
      <w:bookmarkStart w:id="1007" w:name="_Toc22003"/>
      <w:bookmarkStart w:id="1008" w:name="_Toc6741"/>
      <w:bookmarkStart w:id="1009" w:name="_Toc94107210"/>
      <w:bookmarkStart w:id="1010" w:name="_Toc3267"/>
      <w:bookmarkStart w:id="1011" w:name="_Toc6502"/>
      <w:bookmarkStart w:id="1012" w:name="_Toc104991876"/>
      <w:bookmarkStart w:id="1013" w:name="_Toc102860075"/>
      <w:bookmarkStart w:id="1014" w:name="_Toc17358"/>
      <w:bookmarkStart w:id="1015" w:name="_Toc142508370"/>
      <w:bookmarkStart w:id="1016" w:name="_Toc102860419"/>
      <w:bookmarkStart w:id="1017" w:name="_Toc140596929"/>
      <w:bookmarkStart w:id="1018" w:name="_Toc25267"/>
      <w:bookmarkStart w:id="1019" w:name="_Toc24325"/>
      <w:bookmarkStart w:id="1020" w:name="_Toc195714383"/>
      <w:bookmarkStart w:id="1021" w:name="_Toc29874"/>
      <w:bookmarkStart w:id="1022" w:name="_Toc1977726"/>
      <w:r>
        <w:rPr>
          <w:rFonts w:hint="eastAsia" w:ascii="宋体" w:hAnsi="宋体" w:eastAsia="宋体" w:cs="宋体"/>
          <w:b/>
          <w:color w:val="auto"/>
          <w:kern w:val="0"/>
          <w:sz w:val="30"/>
          <w:szCs w:val="30"/>
          <w:highlight w:val="none"/>
        </w:rPr>
        <w:t>4.1 多证合一营业执照（或事业单位法人证书）原件扫描件</w:t>
      </w:r>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p>
    <w:p w14:paraId="60B94D72">
      <w:pPr>
        <w:tabs>
          <w:tab w:val="left" w:pos="567"/>
        </w:tabs>
        <w:autoSpaceDE w:val="0"/>
        <w:autoSpaceDN w:val="0"/>
        <w:adjustRightInd w:val="0"/>
        <w:spacing w:line="360" w:lineRule="auto"/>
        <w:ind w:firstLine="422" w:firstLineChars="200"/>
        <w:jc w:val="left"/>
        <w:outlineLvl w:val="2"/>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w:t>
      </w:r>
      <w:r>
        <w:rPr>
          <w:rFonts w:hint="eastAsia" w:ascii="宋体" w:hAnsi="宋体" w:eastAsia="宋体" w:cs="宋体"/>
          <w:b/>
          <w:bCs/>
          <w:color w:val="auto"/>
          <w:kern w:val="0"/>
          <w:szCs w:val="21"/>
          <w:highlight w:val="none"/>
        </w:rPr>
        <w:t>联合体投标的，则联合体各方均提交</w:t>
      </w:r>
    </w:p>
    <w:p w14:paraId="0809B67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8AFB9AA">
      <w:pPr>
        <w:tabs>
          <w:tab w:val="left" w:pos="567"/>
        </w:tabs>
        <w:autoSpaceDE w:val="0"/>
        <w:autoSpaceDN w:val="0"/>
        <w:adjustRightInd w:val="0"/>
        <w:spacing w:line="360" w:lineRule="auto"/>
        <w:ind w:firstLine="316" w:firstLineChars="150"/>
        <w:jc w:val="left"/>
        <w:rPr>
          <w:rFonts w:ascii="宋体" w:hAnsi="宋体" w:eastAsia="宋体" w:cs="宋体"/>
          <w:b/>
          <w:color w:val="auto"/>
          <w:kern w:val="0"/>
          <w:szCs w:val="21"/>
          <w:highlight w:val="none"/>
        </w:rPr>
        <w:sectPr>
          <w:pgSz w:w="12240" w:h="15840"/>
          <w:pgMar w:top="1191" w:right="1043" w:bottom="1191" w:left="1043" w:header="720" w:footer="720" w:gutter="0"/>
          <w:cols w:space="720" w:num="1"/>
          <w:docGrid w:linePitch="326" w:charSpace="0"/>
        </w:sectPr>
      </w:pPr>
    </w:p>
    <w:p w14:paraId="1B9E84ED">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1023" w:name="_Toc2188"/>
      <w:bookmarkStart w:id="1024" w:name="_Toc7756"/>
      <w:bookmarkStart w:id="1025" w:name="_Toc20504"/>
      <w:bookmarkStart w:id="1026" w:name="_Toc23347"/>
      <w:bookmarkStart w:id="1027" w:name="_Toc94107211"/>
      <w:bookmarkStart w:id="1028" w:name="_Toc25013"/>
      <w:bookmarkStart w:id="1029" w:name="_Toc15138"/>
      <w:bookmarkStart w:id="1030" w:name="_Toc104991877"/>
      <w:bookmarkStart w:id="1031" w:name="_Toc27861"/>
      <w:bookmarkStart w:id="1032" w:name="_Toc142508371"/>
      <w:bookmarkStart w:id="1033" w:name="_Toc102860076"/>
      <w:bookmarkStart w:id="1034" w:name="_Toc2750"/>
      <w:bookmarkStart w:id="1035" w:name="_Toc102860420"/>
      <w:bookmarkStart w:id="1036" w:name="_Toc18165"/>
      <w:bookmarkStart w:id="1037" w:name="_Toc195714384"/>
      <w:bookmarkStart w:id="1038" w:name="_Toc11158"/>
      <w:bookmarkStart w:id="1039" w:name="_Toc140596930"/>
      <w:r>
        <w:rPr>
          <w:rFonts w:hint="eastAsia" w:ascii="宋体" w:hAnsi="宋体" w:eastAsia="宋体" w:cs="宋体"/>
          <w:b/>
          <w:color w:val="auto"/>
          <w:kern w:val="0"/>
          <w:sz w:val="30"/>
          <w:szCs w:val="30"/>
          <w:highlight w:val="none"/>
        </w:rPr>
        <w:t>4.2 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p>
    <w:p w14:paraId="3A717579">
      <w:pPr>
        <w:tabs>
          <w:tab w:val="left" w:pos="567"/>
        </w:tabs>
        <w:autoSpaceDE w:val="0"/>
        <w:autoSpaceDN w:val="0"/>
        <w:adjustRightInd w:val="0"/>
        <w:spacing w:line="360" w:lineRule="auto"/>
        <w:ind w:firstLine="422" w:firstLineChars="200"/>
        <w:jc w:val="left"/>
        <w:outlineLvl w:val="2"/>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w:t>
      </w:r>
      <w:r>
        <w:rPr>
          <w:rFonts w:hint="eastAsia" w:ascii="宋体" w:hAnsi="宋体" w:eastAsia="宋体" w:cs="宋体"/>
          <w:b/>
          <w:bCs/>
          <w:color w:val="auto"/>
          <w:kern w:val="0"/>
          <w:szCs w:val="21"/>
          <w:highlight w:val="none"/>
        </w:rPr>
        <w:t>联合体投标的，则联合体各方均提交</w:t>
      </w:r>
    </w:p>
    <w:p w14:paraId="689FD741">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hint="eastAsia" w:ascii="宋体" w:hAnsi="宋体" w:eastAsia="宋体" w:cs="宋体"/>
          <w:b/>
          <w:color w:val="auto"/>
          <w:kern w:val="0"/>
          <w:sz w:val="30"/>
          <w:szCs w:val="30"/>
          <w:highlight w:val="none"/>
        </w:rPr>
        <w:br w:type="page"/>
      </w:r>
      <w:bookmarkStart w:id="1040" w:name="_Toc102860421"/>
      <w:bookmarkStart w:id="1041" w:name="_Toc7441"/>
      <w:bookmarkStart w:id="1042" w:name="_Toc2018"/>
      <w:bookmarkStart w:id="1043" w:name="_Toc4760"/>
      <w:bookmarkStart w:id="1044" w:name="_Toc102860077"/>
      <w:bookmarkStart w:id="1045" w:name="_Toc94107212"/>
      <w:bookmarkStart w:id="1046" w:name="_Toc26882"/>
      <w:bookmarkStart w:id="1047" w:name="_Toc104991878"/>
      <w:bookmarkStart w:id="1048" w:name="_Toc31457"/>
      <w:bookmarkStart w:id="1049" w:name="_Toc17499"/>
      <w:bookmarkStart w:id="1050" w:name="_Toc10733"/>
      <w:bookmarkStart w:id="1051" w:name="_Toc13128"/>
      <w:bookmarkStart w:id="1052" w:name="_Toc9132"/>
      <w:bookmarkStart w:id="1053" w:name="_Toc10802"/>
      <w:bookmarkStart w:id="1054" w:name="_Toc140596931"/>
      <w:bookmarkStart w:id="1055" w:name="_Toc142508372"/>
      <w:bookmarkStart w:id="1056" w:name="_Toc195714385"/>
      <w:r>
        <w:rPr>
          <w:rFonts w:hint="eastAsia" w:ascii="宋体" w:hAnsi="宋体" w:eastAsia="宋体" w:cs="宋体"/>
          <w:b/>
          <w:color w:val="auto"/>
          <w:kern w:val="0"/>
          <w:sz w:val="30"/>
          <w:szCs w:val="30"/>
          <w:highlight w:val="none"/>
        </w:rPr>
        <w:t>4.3 法定代表人身份证明书、法定代表人授权书格式（法定代表人投标时只需提供法定代表人身份证明书，委托他人为投标代表或签署投标文件时需同时提供法定代表人授权书）</w:t>
      </w:r>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p>
    <w:p w14:paraId="126345E6">
      <w:pPr>
        <w:spacing w:before="120" w:after="120" w:line="360" w:lineRule="auto"/>
        <w:ind w:firstLine="426" w:firstLineChars="202"/>
        <w:outlineLvl w:val="3"/>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1002"/>
      <w:bookmarkEnd w:id="1003"/>
      <w:bookmarkEnd w:id="1004"/>
      <w:bookmarkEnd w:id="1022"/>
    </w:p>
    <w:p w14:paraId="15B60C0F">
      <w:pPr>
        <w:spacing w:before="120" w:after="120" w:line="360" w:lineRule="auto"/>
        <w:ind w:firstLine="608" w:firstLineChars="202"/>
        <w:jc w:val="center"/>
        <w:outlineLvl w:val="4"/>
        <w:rPr>
          <w:rFonts w:ascii="宋体" w:hAnsi="宋体" w:eastAsia="宋体" w:cs="宋体"/>
          <w:b/>
          <w:bCs/>
          <w:color w:val="auto"/>
          <w:sz w:val="30"/>
          <w:szCs w:val="30"/>
          <w:highlight w:val="none"/>
        </w:rPr>
      </w:pPr>
      <w:bookmarkStart w:id="1057" w:name="_Toc11033_WPSOffice_Level3"/>
      <w:r>
        <w:rPr>
          <w:rFonts w:hint="eastAsia" w:ascii="宋体" w:hAnsi="宋体" w:eastAsia="宋体" w:cs="宋体"/>
          <w:b/>
          <w:color w:val="auto"/>
          <w:sz w:val="30"/>
          <w:szCs w:val="30"/>
          <w:highlight w:val="none"/>
        </w:rPr>
        <w:t>法定代</w:t>
      </w:r>
      <w:bookmarkStart w:id="1058" w:name="_Toc45995270"/>
      <w:bookmarkStart w:id="1059" w:name="_Toc36971359"/>
      <w:r>
        <w:rPr>
          <w:rFonts w:hint="eastAsia" w:ascii="宋体" w:hAnsi="宋体" w:eastAsia="宋体" w:cs="宋体"/>
          <w:b/>
          <w:color w:val="auto"/>
          <w:sz w:val="30"/>
          <w:szCs w:val="30"/>
          <w:highlight w:val="none"/>
        </w:rPr>
        <w:t>表人身份证明书</w:t>
      </w:r>
      <w:bookmarkEnd w:id="1057"/>
    </w:p>
    <w:bookmarkEnd w:id="1058"/>
    <w:bookmarkEnd w:id="1059"/>
    <w:p w14:paraId="5E50BBF4">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684B3788">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7A5568E7">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74216A86">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4E0AEBB3">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783756C7">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727D81B6">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附 法定代表人身份证原件扫描件</w:t>
      </w:r>
    </w:p>
    <w:p w14:paraId="5DE9913C">
      <w:pPr>
        <w:snapToGrid w:val="0"/>
        <w:spacing w:line="360" w:lineRule="auto"/>
        <w:ind w:firstLine="3465" w:firstLineChars="1650"/>
        <w:rPr>
          <w:rFonts w:ascii="宋体" w:hAnsi="宋体" w:eastAsia="宋体" w:cs="宋体"/>
          <w:color w:val="auto"/>
          <w:kern w:val="3"/>
          <w:szCs w:val="24"/>
          <w:highlight w:val="none"/>
        </w:rPr>
      </w:pPr>
    </w:p>
    <w:p w14:paraId="28CD942C">
      <w:pPr>
        <w:snapToGrid w:val="0"/>
        <w:spacing w:line="360" w:lineRule="auto"/>
        <w:ind w:firstLine="3465" w:firstLineChars="1650"/>
        <w:rPr>
          <w:rFonts w:ascii="宋体" w:hAnsi="宋体" w:eastAsia="宋体" w:cs="宋体"/>
          <w:color w:val="auto"/>
          <w:kern w:val="3"/>
          <w:szCs w:val="24"/>
          <w:highlight w:val="none"/>
          <w:u w:val="single"/>
        </w:rPr>
      </w:pPr>
      <w:r>
        <w:rPr>
          <w:rFonts w:hint="eastAsia" w:ascii="宋体" w:hAnsi="宋体" w:eastAsia="宋体" w:cs="宋体"/>
          <w:color w:val="auto"/>
          <w:kern w:val="3"/>
          <w:szCs w:val="24"/>
          <w:highlight w:val="none"/>
        </w:rPr>
        <w:t>投 标 人：</w:t>
      </w:r>
      <w:r>
        <w:rPr>
          <w:rFonts w:hint="eastAsia" w:ascii="宋体" w:hAnsi="宋体" w:eastAsia="宋体" w:cs="宋体"/>
          <w:color w:val="auto"/>
          <w:kern w:val="3"/>
          <w:szCs w:val="24"/>
          <w:highlight w:val="none"/>
          <w:u w:val="single"/>
        </w:rPr>
        <w:t xml:space="preserve">             </w:t>
      </w:r>
      <w:r>
        <w:rPr>
          <w:rFonts w:hint="eastAsia" w:ascii="宋体" w:hAnsi="宋体" w:eastAsia="宋体" w:cs="宋体"/>
          <w:color w:val="auto"/>
          <w:szCs w:val="21"/>
          <w:highlight w:val="none"/>
          <w:u w:val="single"/>
        </w:rPr>
        <w:t>（企业数字证书电子签名）</w:t>
      </w:r>
    </w:p>
    <w:p w14:paraId="731124CF">
      <w:pPr>
        <w:spacing w:before="120" w:after="120" w:line="360" w:lineRule="auto"/>
        <w:ind w:left="340" w:leftChars="162" w:firstLine="474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2FF4FB4B">
      <w:pPr>
        <w:autoSpaceDE w:val="0"/>
        <w:autoSpaceDN w:val="0"/>
        <w:adjustRightInd w:val="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A11A444"/>
                          <w:p w14:paraId="3C6A9610"/>
                          <w:p w14:paraId="727E53C1"/>
                          <w:p w14:paraId="6C3758D6"/>
                          <w:p w14:paraId="0147A556">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438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4A11A444"/>
                    <w:p w14:paraId="3C6A9610"/>
                    <w:p w14:paraId="727E53C1"/>
                    <w:p w14:paraId="6C3758D6"/>
                    <w:p w14:paraId="0147A556">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1DC1B9D"/>
                          <w:p w14:paraId="7EB0AFDB"/>
                          <w:p w14:paraId="205D6B84"/>
                          <w:p w14:paraId="349C09B7"/>
                          <w:p w14:paraId="78640AC7">
                            <w:pPr>
                              <w:jc w:val="center"/>
                              <w:rPr>
                                <w:szCs w:val="21"/>
                              </w:rPr>
                            </w:pPr>
                            <w:r>
                              <w:rPr>
                                <w:rFonts w:hint="eastAsia"/>
                                <w:szCs w:val="21"/>
                              </w:rPr>
                              <w:t>法定代表人身份证反面</w:t>
                            </w:r>
                          </w:p>
                          <w:p w14:paraId="70AF49E7">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3360;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11DC1B9D"/>
                    <w:p w14:paraId="7EB0AFDB"/>
                    <w:p w14:paraId="205D6B84"/>
                    <w:p w14:paraId="349C09B7"/>
                    <w:p w14:paraId="78640AC7">
                      <w:pPr>
                        <w:jc w:val="center"/>
                        <w:rPr>
                          <w:szCs w:val="21"/>
                        </w:rPr>
                      </w:pPr>
                      <w:r>
                        <w:rPr>
                          <w:rFonts w:hint="eastAsia"/>
                          <w:szCs w:val="21"/>
                        </w:rPr>
                        <w:t>法定代表人身份证反面</w:t>
                      </w:r>
                    </w:p>
                    <w:p w14:paraId="70AF49E7">
                      <w:pPr>
                        <w:jc w:val="center"/>
                        <w:rPr>
                          <w:szCs w:val="21"/>
                        </w:rPr>
                      </w:pP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610BFA2"/>
                          <w:p w14:paraId="73901E63"/>
                          <w:p w14:paraId="21A1ABF2"/>
                          <w:p w14:paraId="41E71DC2"/>
                          <w:p w14:paraId="49E27C77">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2336;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0610BFA2"/>
                    <w:p w14:paraId="73901E63"/>
                    <w:p w14:paraId="21A1ABF2"/>
                    <w:p w14:paraId="41E71DC2"/>
                    <w:p w14:paraId="49E27C77">
                      <w:pPr>
                        <w:jc w:val="center"/>
                      </w:pPr>
                      <w:r>
                        <w:rPr>
                          <w:rFonts w:hint="eastAsia"/>
                        </w:rPr>
                        <w:t>身份证正面</w:t>
                      </w:r>
                    </w:p>
                  </w:txbxContent>
                </v:textbox>
              </v:shape>
            </w:pict>
          </mc:Fallback>
        </mc:AlternateContent>
      </w:r>
    </w:p>
    <w:p w14:paraId="49AB646A">
      <w:pPr>
        <w:autoSpaceDE w:val="0"/>
        <w:autoSpaceDN w:val="0"/>
        <w:adjustRightInd w:val="0"/>
        <w:jc w:val="left"/>
        <w:rPr>
          <w:rFonts w:ascii="宋体" w:hAnsi="宋体" w:eastAsia="宋体" w:cs="宋体"/>
          <w:color w:val="auto"/>
          <w:kern w:val="0"/>
          <w:sz w:val="24"/>
          <w:szCs w:val="24"/>
          <w:highlight w:val="none"/>
        </w:rPr>
      </w:pPr>
    </w:p>
    <w:p w14:paraId="375C46F3">
      <w:pPr>
        <w:autoSpaceDE w:val="0"/>
        <w:autoSpaceDN w:val="0"/>
        <w:adjustRightInd w:val="0"/>
        <w:jc w:val="left"/>
        <w:rPr>
          <w:rFonts w:ascii="宋体" w:hAnsi="宋体" w:eastAsia="宋体" w:cs="宋体"/>
          <w:color w:val="auto"/>
          <w:kern w:val="0"/>
          <w:sz w:val="24"/>
          <w:szCs w:val="24"/>
          <w:highlight w:val="none"/>
        </w:rPr>
      </w:pPr>
    </w:p>
    <w:p w14:paraId="63003C3F">
      <w:pPr>
        <w:autoSpaceDE w:val="0"/>
        <w:autoSpaceDN w:val="0"/>
        <w:adjustRightInd w:val="0"/>
        <w:jc w:val="left"/>
        <w:rPr>
          <w:rFonts w:ascii="宋体" w:hAnsi="宋体" w:eastAsia="宋体" w:cs="宋体"/>
          <w:color w:val="auto"/>
          <w:kern w:val="0"/>
          <w:sz w:val="24"/>
          <w:szCs w:val="24"/>
          <w:highlight w:val="none"/>
        </w:rPr>
      </w:pPr>
    </w:p>
    <w:p w14:paraId="0248A4B8">
      <w:pPr>
        <w:autoSpaceDE w:val="0"/>
        <w:autoSpaceDN w:val="0"/>
        <w:adjustRightInd w:val="0"/>
        <w:jc w:val="left"/>
        <w:rPr>
          <w:rFonts w:ascii="宋体" w:hAnsi="宋体" w:eastAsia="宋体" w:cs="宋体"/>
          <w:color w:val="auto"/>
          <w:kern w:val="0"/>
          <w:sz w:val="24"/>
          <w:szCs w:val="24"/>
          <w:highlight w:val="none"/>
        </w:rPr>
      </w:pPr>
    </w:p>
    <w:p w14:paraId="74DC8507">
      <w:pPr>
        <w:autoSpaceDE w:val="0"/>
        <w:autoSpaceDN w:val="0"/>
        <w:adjustRightInd w:val="0"/>
        <w:jc w:val="left"/>
        <w:rPr>
          <w:rFonts w:ascii="宋体" w:hAnsi="宋体" w:eastAsia="宋体" w:cs="宋体"/>
          <w:color w:val="auto"/>
          <w:kern w:val="0"/>
          <w:sz w:val="24"/>
          <w:szCs w:val="24"/>
          <w:highlight w:val="none"/>
        </w:rPr>
      </w:pPr>
    </w:p>
    <w:p w14:paraId="32508BFA">
      <w:pPr>
        <w:autoSpaceDE w:val="0"/>
        <w:autoSpaceDN w:val="0"/>
        <w:adjustRightInd w:val="0"/>
        <w:jc w:val="left"/>
        <w:rPr>
          <w:rFonts w:ascii="宋体" w:hAnsi="宋体" w:eastAsia="宋体" w:cs="宋体"/>
          <w:color w:val="auto"/>
          <w:kern w:val="0"/>
          <w:sz w:val="24"/>
          <w:szCs w:val="24"/>
          <w:highlight w:val="none"/>
        </w:rPr>
      </w:pPr>
    </w:p>
    <w:p w14:paraId="3E51CDD5">
      <w:pPr>
        <w:autoSpaceDE w:val="0"/>
        <w:autoSpaceDN w:val="0"/>
        <w:adjustRightInd w:val="0"/>
        <w:jc w:val="left"/>
        <w:rPr>
          <w:rFonts w:ascii="宋体" w:hAnsi="宋体" w:eastAsia="宋体" w:cs="宋体"/>
          <w:color w:val="auto"/>
          <w:kern w:val="0"/>
          <w:sz w:val="24"/>
          <w:szCs w:val="24"/>
          <w:highlight w:val="none"/>
        </w:rPr>
      </w:pPr>
    </w:p>
    <w:p w14:paraId="4138B52E">
      <w:pPr>
        <w:autoSpaceDE w:val="0"/>
        <w:autoSpaceDN w:val="0"/>
        <w:adjustRightInd w:val="0"/>
        <w:jc w:val="left"/>
        <w:rPr>
          <w:rFonts w:ascii="宋体" w:hAnsi="宋体" w:eastAsia="宋体" w:cs="宋体"/>
          <w:color w:val="auto"/>
          <w:kern w:val="0"/>
          <w:sz w:val="24"/>
          <w:szCs w:val="24"/>
          <w:highlight w:val="none"/>
        </w:rPr>
      </w:pPr>
    </w:p>
    <w:p w14:paraId="235C92D5">
      <w:pPr>
        <w:autoSpaceDE w:val="0"/>
        <w:autoSpaceDN w:val="0"/>
        <w:adjustRightInd w:val="0"/>
        <w:jc w:val="left"/>
        <w:rPr>
          <w:rFonts w:ascii="宋体" w:hAnsi="宋体" w:eastAsia="宋体" w:cs="宋体"/>
          <w:color w:val="auto"/>
          <w:kern w:val="0"/>
          <w:sz w:val="24"/>
          <w:szCs w:val="24"/>
          <w:highlight w:val="none"/>
        </w:rPr>
      </w:pPr>
    </w:p>
    <w:p w14:paraId="3FDB1539">
      <w:pPr>
        <w:autoSpaceDE w:val="0"/>
        <w:autoSpaceDN w:val="0"/>
        <w:adjustRightInd w:val="0"/>
        <w:jc w:val="left"/>
        <w:rPr>
          <w:rFonts w:ascii="宋体" w:hAnsi="宋体" w:eastAsia="宋体" w:cs="宋体"/>
          <w:b/>
          <w:color w:val="auto"/>
          <w:kern w:val="0"/>
          <w:szCs w:val="21"/>
          <w:highlight w:val="none"/>
        </w:rPr>
      </w:pPr>
    </w:p>
    <w:p w14:paraId="5A312728">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2C05A776">
      <w:pPr>
        <w:autoSpaceDE w:val="0"/>
        <w:autoSpaceDN w:val="0"/>
        <w:adjustRightInd w:val="0"/>
        <w:jc w:val="left"/>
        <w:rPr>
          <w:rFonts w:ascii="宋体" w:hAnsi="宋体" w:eastAsia="宋体" w:cs="宋体"/>
          <w:color w:val="auto"/>
          <w:kern w:val="0"/>
          <w:szCs w:val="21"/>
          <w:highlight w:val="none"/>
        </w:rPr>
      </w:pPr>
    </w:p>
    <w:p w14:paraId="39D1D6F5">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说明：由投标人使用投标人的企业数字证书电子签名；联合体投标的，则联合体各方均提交。</w:t>
      </w:r>
      <w:r>
        <w:rPr>
          <w:rFonts w:hint="eastAsia" w:ascii="宋体" w:hAnsi="宋体" w:eastAsia="宋体" w:cs="宋体"/>
          <w:color w:val="auto"/>
          <w:szCs w:val="24"/>
          <w:highlight w:val="none"/>
          <w:lang w:val="zh-CN"/>
        </w:rPr>
        <w:br w:type="page"/>
      </w:r>
      <w:bookmarkEnd w:id="949"/>
      <w:bookmarkEnd w:id="950"/>
      <w:bookmarkEnd w:id="951"/>
      <w:bookmarkStart w:id="1060" w:name="_Toc486167713"/>
      <w:bookmarkStart w:id="1061" w:name="_Toc6240_WPSOffice_Level2"/>
      <w:bookmarkStart w:id="1062" w:name="_Toc533708125"/>
      <w:bookmarkStart w:id="1063" w:name="_Toc1977727"/>
      <w:r>
        <w:rPr>
          <w:rFonts w:hint="eastAsia" w:ascii="宋体" w:hAnsi="宋体" w:eastAsia="宋体" w:cs="宋体"/>
          <w:b/>
          <w:color w:val="auto"/>
          <w:szCs w:val="24"/>
          <w:highlight w:val="none"/>
        </w:rPr>
        <w:t>（2）法定代表人授权书格式</w:t>
      </w:r>
      <w:bookmarkEnd w:id="1060"/>
      <w:bookmarkEnd w:id="1061"/>
      <w:bookmarkEnd w:id="1062"/>
      <w:bookmarkEnd w:id="1063"/>
    </w:p>
    <w:p w14:paraId="5AFD401F">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38E27BBE">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1064" w:name="_Toc29146_WPSOffice_Level3"/>
      <w:r>
        <w:rPr>
          <w:rFonts w:hint="eastAsia" w:ascii="宋体" w:hAnsi="宋体" w:eastAsia="宋体" w:cs="宋体"/>
          <w:b/>
          <w:bCs/>
          <w:color w:val="auto"/>
          <w:sz w:val="30"/>
          <w:szCs w:val="30"/>
          <w:highlight w:val="none"/>
          <w:lang w:val="zh-CN"/>
        </w:rPr>
        <w:t>法定代表人授权书</w:t>
      </w:r>
      <w:bookmarkEnd w:id="1064"/>
    </w:p>
    <w:p w14:paraId="5A75C281">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致：东莞市水务集团科技发展有限公司</w:t>
      </w:r>
    </w:p>
    <w:p w14:paraId="1364CD8C">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东莞市水务环境投资控股集团分布式光伏发电项目（第一批）供水厂项目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应评标委员会的要求对投标文件进行澄清、进行合同谈判和签署合同，以我公司的名义处理一切与本次投标有关的事宜，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72F8AAB8">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53674203">
      <w:pPr>
        <w:spacing w:before="120" w:after="120" w:line="360" w:lineRule="auto"/>
        <w:ind w:left="348" w:leftChars="136" w:hanging="62"/>
        <w:rPr>
          <w:rFonts w:ascii="宋体" w:hAnsi="宋体" w:eastAsia="宋体" w:cs="宋体"/>
          <w:color w:val="auto"/>
          <w:szCs w:val="24"/>
          <w:highlight w:val="none"/>
        </w:rPr>
      </w:pPr>
    </w:p>
    <w:p w14:paraId="021DC534">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lang w:val="zh-CN"/>
        </w:rPr>
        <w:t>（企业数字证书电子签名）</w:t>
      </w:r>
    </w:p>
    <w:p w14:paraId="6BAAC5E9">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4AB8DF7A">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lang w:val="zh-CN"/>
        </w:rPr>
        <w:t>（电子签名）</w:t>
      </w:r>
    </w:p>
    <w:p w14:paraId="39FC2A59">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79D9B8BD">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lang w:val="zh-CN"/>
        </w:rPr>
        <w:t>（电子签名）</w:t>
      </w:r>
    </w:p>
    <w:p w14:paraId="57F78514">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17069126">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391322C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2687B301">
      <w:pPr>
        <w:pStyle w:val="40"/>
        <w:widowControl w:val="0"/>
        <w:snapToGrid w:val="0"/>
        <w:spacing w:before="0" w:beforeAutospacing="0" w:after="0" w:afterAutospacing="0" w:line="360" w:lineRule="auto"/>
        <w:jc w:val="center"/>
        <w:rPr>
          <w:rFonts w:eastAsia="宋体" w:cs="宋体"/>
          <w:b/>
          <w:color w:val="auto"/>
          <w:sz w:val="21"/>
          <w:szCs w:val="21"/>
          <w:highlight w:val="none"/>
          <w:lang w:bidi="ar"/>
        </w:rPr>
      </w:pPr>
    </w:p>
    <w:p w14:paraId="7CBFEE60">
      <w:pPr>
        <w:widowControl/>
        <w:autoSpaceDE w:val="0"/>
        <w:autoSpaceDN w:val="0"/>
        <w:spacing w:before="120" w:after="120" w:line="360" w:lineRule="auto"/>
        <w:ind w:right="73" w:rightChars="35" w:firstLine="422" w:firstLineChars="200"/>
        <w:textAlignment w:val="bottom"/>
        <w:rPr>
          <w:rFonts w:ascii="宋体" w:hAnsi="宋体" w:eastAsia="宋体" w:cs="宋体"/>
          <w:color w:val="auto"/>
          <w:szCs w:val="24"/>
          <w:highlight w:val="none"/>
        </w:rPr>
      </w:pPr>
      <w:r>
        <w:rPr>
          <w:rFonts w:hint="eastAsia" w:ascii="宋体" w:hAnsi="宋体" w:eastAsia="宋体" w:cs="宋体"/>
          <w:b/>
          <w:bCs/>
          <w:color w:val="auto"/>
          <w:szCs w:val="21"/>
          <w:highlight w:val="none"/>
          <w:u w:val="single"/>
          <w:lang w:bidi="ar"/>
        </w:rPr>
        <w:t>说明：由投标人使用投标人的企业数字证书，法定代表人、其授权代表数字证书电子签名，联合体投标的，则由联合体牵头单位提交并进行电子签名。</w:t>
      </w: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法定代表人、被授权人身份证原件扫描件</w:t>
      </w:r>
    </w:p>
    <w:p w14:paraId="446F053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7456"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91A01F3"/>
                          <w:p w14:paraId="750305EF"/>
                          <w:p w14:paraId="0558B699"/>
                          <w:p w14:paraId="41F5304C"/>
                          <w:p w14:paraId="4B1A3744">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7456;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291A01F3"/>
                    <w:p w14:paraId="750305EF"/>
                    <w:p w14:paraId="0558B699"/>
                    <w:p w14:paraId="41F5304C"/>
                    <w:p w14:paraId="4B1A3744">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59AE5A08"/>
                          <w:p w14:paraId="0E5E2FEC"/>
                          <w:p w14:paraId="0156441E"/>
                          <w:p w14:paraId="71390071"/>
                          <w:p w14:paraId="580C7A05">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5408;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59AE5A08"/>
                    <w:p w14:paraId="0E5E2FEC"/>
                    <w:p w14:paraId="0156441E"/>
                    <w:p w14:paraId="71390071"/>
                    <w:p w14:paraId="580C7A05">
                      <w:pPr>
                        <w:jc w:val="center"/>
                        <w:rPr>
                          <w:rFonts w:hAnsi="宋体"/>
                        </w:rPr>
                      </w:pPr>
                      <w:r>
                        <w:rPr>
                          <w:rFonts w:hint="eastAsia" w:hAnsi="宋体"/>
                        </w:rPr>
                        <w:t>法定代表人身份证正面</w:t>
                      </w:r>
                    </w:p>
                  </w:txbxContent>
                </v:textbox>
              </v:shape>
            </w:pict>
          </mc:Fallback>
        </mc:AlternateContent>
      </w:r>
    </w:p>
    <w:p w14:paraId="52922C8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CA4B1F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018F19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D397ED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5BF54A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5BDF38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57C519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521A0B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C00428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8480"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0D59E773"/>
                          <w:p w14:paraId="05BFB389">
                            <w:pPr>
                              <w:jc w:val="center"/>
                              <w:rPr>
                                <w:rFonts w:hAnsi="宋体"/>
                                <w:color w:val="FF0000"/>
                              </w:rPr>
                            </w:pPr>
                          </w:p>
                          <w:p w14:paraId="41493C58">
                            <w:pPr>
                              <w:jc w:val="center"/>
                              <w:rPr>
                                <w:rFonts w:hAnsi="宋体"/>
                                <w:color w:val="FF0000"/>
                              </w:rPr>
                            </w:pPr>
                          </w:p>
                          <w:p w14:paraId="16DF8A59">
                            <w:pPr>
                              <w:jc w:val="center"/>
                              <w:rPr>
                                <w:rFonts w:hAnsi="宋体"/>
                                <w:color w:val="FF0000"/>
                              </w:rPr>
                            </w:pPr>
                          </w:p>
                          <w:p w14:paraId="3D2326F5">
                            <w:pPr>
                              <w:jc w:val="center"/>
                            </w:pPr>
                            <w:r>
                              <w:rPr>
                                <w:rFonts w:hint="eastAsia" w:hAnsi="宋体"/>
                              </w:rPr>
                              <w:t>被授权人身份证反面</w:t>
                            </w:r>
                          </w:p>
                          <w:p w14:paraId="462D9923"/>
                          <w:p w14:paraId="372E44C0"/>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8480;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OsbFHhBAgAAiAQAAA4AAABkcnMvZTJvRG9jLnhtbK1U&#10;zY7TMBC+I/EOlu80bWm3u1HT1dKqCGn5kRYewHWcxsL2mLHbZHkAeANOXLjzXPscTJzuUhWQ9kAO&#10;kScz/mbm+2Yyv2ytYXuFQYMr+Ggw5Ew5CaV224J/eL9+ds5ZiMKVwoBTBb9VgV8unj6ZNz5XY6jB&#10;lAoZgbiQN77gdYw+z7Iga2VFGIBXjpwVoBWRTNxmJYqG0K3JxsPhWdYAlh5BqhDo66p38gMiPgYQ&#10;qkpLtQK5s8rFHhWVEZFaCrX2gS9StVWlZHxbVUFFZgpOncb0piR03nTvbDEX+RaFr7U8lCAeU8JJ&#10;T1ZoR0kfoFYiCrZD/QeU1RIhQBUHEmzWN5IYoS5GwxNubmrhVeqFqA7+gfTw/2Dlm/07ZLosOMnu&#10;hCXB7759vfv+8+7HF3be0dP4kFPUjae42L6AloYmtRr8NciPgTlY1sJt1RUiNLUSJZU36m5mR1d7&#10;nNCBbJrXUFIesYuQgNoKbccdscEInaS5fZBGtZFJ+jieTZ7T9HAmyTeazUZn0yReJvL76x5DfKnA&#10;su5QcCTtE7zYX4fYlSPy+5AuWwCjy7U2Jhm43SwNsr2gOVmnJ3VwEmYcawp+MR1Pewb+CTFMz98g&#10;rI60PkZbYvw4yLgDYR1HPVux3bQHATZQ3hJ1CP0A0/rSoQb8zFlDw1vw8GknUHFmXjmi/2I0mXTT&#10;nozJdDYmA489m2OPcJKgCh4564/L2G/IzqPe1pSpF9zBFUlW6URmp21f1aFuGtDE8WGZug04tlPU&#10;7x/I4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tgfIj2QAAAAoBAAAPAAAAAAAAAAEAIAAAACIA&#10;AABkcnMvZG93bnJldi54bWxQSwECFAAUAAAACACHTuJA6xsUeEECAACIBAAADgAAAAAAAAABACAA&#10;AAAoAQAAZHJzL2Uyb0RvYy54bWxQSwUGAAAAAAYABgBZAQAA2wUAAAAA&#10;">
                <v:fill on="t" focussize="0,0"/>
                <v:stroke color="#000000" miterlimit="8" joinstyle="miter"/>
                <v:imagedata o:title=""/>
                <o:lock v:ext="edit" aspectratio="f"/>
                <v:textbox>
                  <w:txbxContent>
                    <w:p w14:paraId="0D59E773"/>
                    <w:p w14:paraId="05BFB389">
                      <w:pPr>
                        <w:jc w:val="center"/>
                        <w:rPr>
                          <w:rFonts w:hAnsi="宋体"/>
                          <w:color w:val="FF0000"/>
                        </w:rPr>
                      </w:pPr>
                    </w:p>
                    <w:p w14:paraId="41493C58">
                      <w:pPr>
                        <w:jc w:val="center"/>
                        <w:rPr>
                          <w:rFonts w:hAnsi="宋体"/>
                          <w:color w:val="FF0000"/>
                        </w:rPr>
                      </w:pPr>
                    </w:p>
                    <w:p w14:paraId="16DF8A59">
                      <w:pPr>
                        <w:jc w:val="center"/>
                        <w:rPr>
                          <w:rFonts w:hAnsi="宋体"/>
                          <w:color w:val="FF0000"/>
                        </w:rPr>
                      </w:pPr>
                    </w:p>
                    <w:p w14:paraId="3D2326F5">
                      <w:pPr>
                        <w:jc w:val="center"/>
                      </w:pPr>
                      <w:r>
                        <w:rPr>
                          <w:rFonts w:hint="eastAsia" w:hAnsi="宋体"/>
                        </w:rPr>
                        <w:t>被授权人身份证反面</w:t>
                      </w:r>
                    </w:p>
                    <w:p w14:paraId="462D9923"/>
                    <w:p w14:paraId="372E44C0"/>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6432"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B4E55FD"/>
                          <w:p w14:paraId="7A509902">
                            <w:pPr>
                              <w:jc w:val="center"/>
                              <w:rPr>
                                <w:rFonts w:hAnsi="宋体"/>
                                <w:color w:val="FF0000"/>
                              </w:rPr>
                            </w:pPr>
                          </w:p>
                          <w:p w14:paraId="7C9D013E">
                            <w:pPr>
                              <w:jc w:val="center"/>
                              <w:rPr>
                                <w:rFonts w:hAnsi="宋体"/>
                                <w:color w:val="FF0000"/>
                              </w:rPr>
                            </w:pPr>
                          </w:p>
                          <w:p w14:paraId="19B6F55C">
                            <w:pPr>
                              <w:jc w:val="center"/>
                              <w:rPr>
                                <w:rFonts w:hAnsi="宋体"/>
                                <w:color w:val="FF0000"/>
                              </w:rPr>
                            </w:pPr>
                          </w:p>
                          <w:p w14:paraId="7F3825C7">
                            <w:pPr>
                              <w:jc w:val="center"/>
                            </w:pPr>
                            <w:r>
                              <w:rPr>
                                <w:rFonts w:hint="eastAsia" w:hAnsi="宋体"/>
                              </w:rPr>
                              <w:t>被授权人身份证正面</w:t>
                            </w:r>
                          </w:p>
                          <w:p w14:paraId="4F0F67B0"/>
                          <w:p w14:paraId="303E87F9"/>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6432;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HE2rzUICAACIBAAADgAAAGRycy9lMm9Eb2MueG1srVTN&#10;jtMwEL4j8Q6W7zRtabfbaNPV0tUipOVHWngA13EaC9tjxm6T8gDwBpy4cOe5+hxMnO5SFZD2QA6R&#10;JzP+Zub7ZnJx2VrDtgqDBlfw0WDImXISSu3WBf/w/ubZOWchClcKA04VfKcCv1w8fXLR+FyNoQZT&#10;KmQE4kLe+ILXMfo8y4KslRVhAF45claAVkQycZ2VKBpCtyYbD4dnWQNYegSpQqCv172THxDxMYBQ&#10;VVqqa5Abq1zsUVEZEamlUGsf+CJVW1VKxrdVFVRkpuDUaUxvSkLnVffOFhciX6PwtZaHEsRjSjjp&#10;yQrtKOkD1LWIgm1Q/wFltUQIUMWBBJv1jSRGqIvR8ISbu1p4lXohqoN/ID38P1j5ZvsOmS4LPufM&#10;CUuC77993X//uf/xhc07ehofcoq68xQX2xfQ0tCkVoO/BfkxMAfLWri1ukKEplaipPJG3c3s6GqP&#10;EzqQVfMaSsojNhESUFuh7bgjNhihkzS7B2lUG5mkj+PZ5DlND2eSfKPZbHQ2TeJlIr+/7jHElwos&#10;6w4FR9I+wYvtbYhdOSK/D+myBTC6vNHGJAPXq6VBthU0JzfpSR2chBnHGmJqOp72DPwTYpiev0FY&#10;HWl9jLYFPz8OMu5AWMdRz1ZsV+1BgBWUO6IOoR9gWl861ICfOWtoeAsePm0EKs7MK0f0z0eTSTft&#10;yZhMZ2My8NizOvYIJwmq4JGz/riM/YZsPOp1TZl6wR1ckWSVTmR22vZVHeqmAU0cH5ap24BjO0X9&#10;/oEs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LFRAn2AAAAAkBAAAPAAAAAAAAAAEAIAAAACIA&#10;AABkcnMvZG93bnJldi54bWxQSwECFAAUAAAACACHTuJAHE2rzUICAACIBAAADgAAAAAAAAABACAA&#10;AAAnAQAAZHJzL2Uyb0RvYy54bWxQSwUGAAAAAAYABgBZAQAA2wUAAAAA&#10;">
                <v:fill on="t" focussize="0,0"/>
                <v:stroke color="#000000" miterlimit="8" joinstyle="miter"/>
                <v:imagedata o:title=""/>
                <o:lock v:ext="edit" aspectratio="f"/>
                <v:textbox>
                  <w:txbxContent>
                    <w:p w14:paraId="6B4E55FD"/>
                    <w:p w14:paraId="7A509902">
                      <w:pPr>
                        <w:jc w:val="center"/>
                        <w:rPr>
                          <w:rFonts w:hAnsi="宋体"/>
                          <w:color w:val="FF0000"/>
                        </w:rPr>
                      </w:pPr>
                    </w:p>
                    <w:p w14:paraId="7C9D013E">
                      <w:pPr>
                        <w:jc w:val="center"/>
                        <w:rPr>
                          <w:rFonts w:hAnsi="宋体"/>
                          <w:color w:val="FF0000"/>
                        </w:rPr>
                      </w:pPr>
                    </w:p>
                    <w:p w14:paraId="19B6F55C">
                      <w:pPr>
                        <w:jc w:val="center"/>
                        <w:rPr>
                          <w:rFonts w:hAnsi="宋体"/>
                          <w:color w:val="FF0000"/>
                        </w:rPr>
                      </w:pPr>
                    </w:p>
                    <w:p w14:paraId="7F3825C7">
                      <w:pPr>
                        <w:jc w:val="center"/>
                      </w:pPr>
                      <w:r>
                        <w:rPr>
                          <w:rFonts w:hint="eastAsia" w:hAnsi="宋体"/>
                        </w:rPr>
                        <w:t>被授权人身份证正面</w:t>
                      </w:r>
                    </w:p>
                    <w:p w14:paraId="4F0F67B0"/>
                    <w:p w14:paraId="303E87F9"/>
                  </w:txbxContent>
                </v:textbox>
              </v:shape>
            </w:pict>
          </mc:Fallback>
        </mc:AlternateContent>
      </w:r>
    </w:p>
    <w:p w14:paraId="3027E5D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5A9A69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507E93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838DC4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27B5F7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69EE8FB">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8" w:type="first"/>
          <w:footerReference r:id="rId7" w:type="default"/>
          <w:pgSz w:w="12240" w:h="15840"/>
          <w:pgMar w:top="1191" w:right="1043" w:bottom="1191" w:left="1043" w:header="720" w:footer="720" w:gutter="0"/>
          <w:cols w:space="720" w:num="1"/>
          <w:docGrid w:linePitch="326" w:charSpace="0"/>
        </w:sectPr>
      </w:pPr>
      <w:r>
        <w:rPr>
          <w:rFonts w:hint="eastAsia" w:ascii="宋体" w:hAnsi="宋体" w:eastAsia="宋体" w:cs="宋体"/>
          <w:b/>
          <w:color w:val="auto"/>
          <w:szCs w:val="24"/>
          <w:highlight w:val="none"/>
        </w:rPr>
        <w:t>注：上述所附身份证应在有效期限内。</w:t>
      </w:r>
    </w:p>
    <w:p w14:paraId="60048101">
      <w:pPr>
        <w:pStyle w:val="4"/>
        <w:pageBreakBefore/>
        <w:spacing w:line="360" w:lineRule="auto"/>
        <w:rPr>
          <w:rFonts w:hAnsi="宋体" w:cs="宋体"/>
          <w:b/>
          <w:color w:val="auto"/>
          <w:sz w:val="30"/>
          <w:szCs w:val="30"/>
          <w:highlight w:val="none"/>
        </w:rPr>
      </w:pPr>
      <w:bookmarkStart w:id="1065" w:name="_Toc22946"/>
      <w:bookmarkStart w:id="1066" w:name="_Toc4685"/>
      <w:bookmarkStart w:id="1067" w:name="_Toc2626"/>
      <w:bookmarkStart w:id="1068" w:name="_Toc32328"/>
      <w:bookmarkStart w:id="1069" w:name="_Toc12400"/>
      <w:bookmarkStart w:id="1070" w:name="_Toc15716"/>
      <w:bookmarkStart w:id="1071" w:name="_Toc21507"/>
      <w:bookmarkStart w:id="1072" w:name="_Toc23849"/>
      <w:bookmarkStart w:id="1073" w:name="_Toc195714386"/>
      <w:bookmarkStart w:id="1074" w:name="_Toc10084"/>
      <w:bookmarkStart w:id="1075" w:name="_Toc29471"/>
      <w:bookmarkStart w:id="1076" w:name="_Toc140596933"/>
      <w:bookmarkStart w:id="1077" w:name="_Toc1977730"/>
      <w:bookmarkStart w:id="1078" w:name="_Toc104991880"/>
      <w:bookmarkStart w:id="1079" w:name="_Toc142508373"/>
      <w:bookmarkStart w:id="1080" w:name="_Toc94107214"/>
      <w:r>
        <w:rPr>
          <w:rFonts w:hint="eastAsia" w:hAnsi="宋体" w:cs="宋体"/>
          <w:b/>
          <w:color w:val="auto"/>
          <w:sz w:val="30"/>
          <w:szCs w:val="30"/>
          <w:highlight w:val="none"/>
        </w:rPr>
        <w:t>4.4 本项目的特定资格要求</w:t>
      </w:r>
      <w:bookmarkEnd w:id="1065"/>
      <w:bookmarkEnd w:id="1066"/>
      <w:bookmarkEnd w:id="1067"/>
    </w:p>
    <w:p w14:paraId="7DB066E5">
      <w:pPr>
        <w:spacing w:line="360" w:lineRule="auto"/>
        <w:ind w:firstLine="420" w:firstLineChars="200"/>
        <w:rPr>
          <w:rFonts w:hint="eastAsia" w:hAnsi="宋体" w:cs="宋体"/>
          <w:b/>
          <w:color w:val="auto"/>
          <w:sz w:val="30"/>
          <w:szCs w:val="30"/>
          <w:highlight w:val="none"/>
        </w:rPr>
      </w:pPr>
      <w:bookmarkStart w:id="1081" w:name="OLE_LINK404"/>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rPr>
        <w:t>供货安装</w:t>
      </w:r>
      <w:r>
        <w:rPr>
          <w:rFonts w:hint="eastAsia" w:ascii="宋体" w:hAnsi="宋体" w:eastAsia="宋体" w:cs="宋体"/>
          <w:bCs/>
          <w:color w:val="auto"/>
          <w:szCs w:val="21"/>
          <w:highlight w:val="none"/>
          <w:lang w:val="zh-CN"/>
        </w:rPr>
        <w:t>资质：①具有以下其中一种资质：a）电力工程施工总承包</w:t>
      </w:r>
      <w:r>
        <w:rPr>
          <w:rFonts w:hint="eastAsia" w:ascii="宋体" w:hAnsi="宋体" w:eastAsia="宋体" w:cs="宋体"/>
          <w:bCs/>
          <w:color w:val="auto"/>
          <w:szCs w:val="21"/>
          <w:highlight w:val="none"/>
        </w:rPr>
        <w:t>乙级</w:t>
      </w:r>
      <w:r>
        <w:rPr>
          <w:rFonts w:hint="eastAsia" w:ascii="宋体" w:hAnsi="宋体" w:eastAsia="宋体" w:cs="宋体"/>
          <w:bCs/>
          <w:color w:val="auto"/>
          <w:szCs w:val="21"/>
          <w:highlight w:val="none"/>
          <w:lang w:val="zh-CN"/>
        </w:rPr>
        <w:t>（或以上）企业资质；</w:t>
      </w:r>
      <w:r>
        <w:rPr>
          <w:rFonts w:hint="eastAsia" w:ascii="宋体" w:hAnsi="宋体" w:eastAsia="宋体" w:cs="宋体"/>
          <w:bCs/>
          <w:color w:val="auto"/>
          <w:szCs w:val="21"/>
          <w:highlight w:val="none"/>
        </w:rPr>
        <w:t>b</w:t>
      </w:r>
      <w:r>
        <w:rPr>
          <w:rFonts w:hint="eastAsia" w:ascii="宋体" w:hAnsi="宋体" w:eastAsia="宋体" w:cs="宋体"/>
          <w:bCs/>
          <w:color w:val="auto"/>
          <w:szCs w:val="21"/>
          <w:highlight w:val="none"/>
          <w:lang w:val="zh-CN"/>
        </w:rPr>
        <w:t>）输变电工程专业承包</w:t>
      </w:r>
      <w:r>
        <w:rPr>
          <w:rFonts w:hint="eastAsia" w:ascii="宋体" w:hAnsi="宋体" w:eastAsia="宋体" w:cs="宋体"/>
          <w:bCs/>
          <w:color w:val="auto"/>
          <w:szCs w:val="21"/>
          <w:highlight w:val="none"/>
        </w:rPr>
        <w:t>乙级</w:t>
      </w:r>
      <w:r>
        <w:rPr>
          <w:rFonts w:hint="eastAsia" w:ascii="宋体" w:hAnsi="宋体" w:eastAsia="宋体" w:cs="宋体"/>
          <w:bCs/>
          <w:color w:val="auto"/>
          <w:szCs w:val="21"/>
          <w:highlight w:val="none"/>
          <w:lang w:val="zh-CN"/>
        </w:rPr>
        <w:t>（或以上）企业资质【</w:t>
      </w:r>
      <w:r>
        <w:rPr>
          <w:rFonts w:hint="eastAsia" w:ascii="宋体" w:hAnsi="宋体" w:eastAsia="宋体" w:cs="宋体"/>
          <w:bCs/>
          <w:color w:val="auto"/>
          <w:szCs w:val="21"/>
          <w:highlight w:val="none"/>
        </w:rPr>
        <w:t>或更换资质证书前有效期内：</w:t>
      </w:r>
      <w:r>
        <w:rPr>
          <w:rFonts w:hint="eastAsia" w:ascii="宋体" w:hAnsi="宋体" w:eastAsia="宋体" w:cs="宋体"/>
          <w:bCs/>
          <w:color w:val="auto"/>
          <w:szCs w:val="21"/>
          <w:highlight w:val="none"/>
          <w:lang w:val="zh-CN"/>
        </w:rPr>
        <w:t>电力工程施工总承包三级（或以上）企业资质；</w:t>
      </w:r>
      <w:r>
        <w:rPr>
          <w:rFonts w:hint="eastAsia" w:ascii="宋体" w:hAnsi="宋体" w:eastAsia="宋体" w:cs="宋体"/>
          <w:bCs/>
          <w:color w:val="auto"/>
          <w:szCs w:val="21"/>
          <w:highlight w:val="none"/>
        </w:rPr>
        <w:t>或</w:t>
      </w:r>
      <w:r>
        <w:rPr>
          <w:rFonts w:hint="eastAsia" w:ascii="宋体" w:hAnsi="宋体" w:eastAsia="宋体" w:cs="宋体"/>
          <w:bCs/>
          <w:color w:val="auto"/>
          <w:szCs w:val="21"/>
          <w:highlight w:val="none"/>
          <w:lang w:val="zh-CN"/>
        </w:rPr>
        <w:t>输变电工程专业承包三级（或以上）企业资质】；②具有《承装（修、试）电力设施许可证》承装类五级或以上资质【或具</w:t>
      </w:r>
      <w:r>
        <w:rPr>
          <w:rFonts w:hint="eastAsia" w:ascii="宋体" w:hAnsi="宋体" w:eastAsia="宋体" w:cs="宋体"/>
          <w:bCs/>
          <w:color w:val="auto"/>
          <w:szCs w:val="21"/>
          <w:highlight w:val="none"/>
        </w:rPr>
        <w:t>有2025年7月1日以来</w:t>
      </w:r>
      <w:r>
        <w:rPr>
          <w:rFonts w:hint="eastAsia" w:ascii="宋体" w:hAnsi="宋体" w:eastAsia="宋体" w:cs="宋体"/>
          <w:bCs/>
          <w:color w:val="auto"/>
          <w:szCs w:val="21"/>
          <w:highlight w:val="none"/>
          <w:lang w:val="zh-CN"/>
        </w:rPr>
        <w:t>颁发</w:t>
      </w:r>
      <w:r>
        <w:rPr>
          <w:rFonts w:hint="eastAsia" w:ascii="宋体" w:hAnsi="宋体" w:eastAsia="宋体" w:cs="宋体"/>
          <w:bCs/>
          <w:color w:val="auto"/>
          <w:szCs w:val="21"/>
          <w:highlight w:val="none"/>
        </w:rPr>
        <w:t>或换领</w:t>
      </w:r>
      <w:r>
        <w:rPr>
          <w:rFonts w:hint="eastAsia" w:ascii="宋体" w:hAnsi="宋体" w:eastAsia="宋体" w:cs="宋体"/>
          <w:bCs/>
          <w:color w:val="auto"/>
          <w:szCs w:val="21"/>
          <w:highlight w:val="none"/>
          <w:lang w:val="zh-CN"/>
        </w:rPr>
        <w:t>的《承装（修、试）电力设施许可证》承装类三级或以上电子证照】；③具有在效期内的《安全生产许可证》。（</w:t>
      </w: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zh-CN"/>
        </w:rPr>
        <w:t>）设计资质：具有有效期内</w:t>
      </w:r>
      <w:r>
        <w:rPr>
          <w:rFonts w:hint="eastAsia" w:ascii="宋体" w:hAnsi="宋体" w:eastAsia="宋体" w:cs="宋体"/>
          <w:bCs/>
          <w:color w:val="auto"/>
          <w:szCs w:val="21"/>
          <w:highlight w:val="none"/>
        </w:rPr>
        <w:t>的</w:t>
      </w:r>
      <w:r>
        <w:rPr>
          <w:rFonts w:hint="eastAsia" w:ascii="宋体" w:hAnsi="宋体" w:eastAsia="宋体" w:cs="宋体"/>
          <w:bCs/>
          <w:color w:val="auto"/>
          <w:szCs w:val="21"/>
          <w:highlight w:val="none"/>
          <w:lang w:val="zh-CN"/>
        </w:rPr>
        <w:t>工程设计综合资质，或工程设计电力行业乙级（或以上）资质，或工程设计电力行业（送</w:t>
      </w:r>
      <w:r>
        <w:rPr>
          <w:rFonts w:hint="eastAsia" w:ascii="宋体" w:hAnsi="宋体" w:eastAsia="宋体" w:cs="宋体"/>
          <w:bCs/>
          <w:color w:val="auto"/>
          <w:szCs w:val="21"/>
          <w:highlight w:val="none"/>
        </w:rPr>
        <w:t>变</w:t>
      </w:r>
      <w:r>
        <w:rPr>
          <w:rFonts w:hint="eastAsia" w:ascii="宋体" w:hAnsi="宋体" w:eastAsia="宋体" w:cs="宋体"/>
          <w:bCs/>
          <w:color w:val="auto"/>
          <w:szCs w:val="21"/>
          <w:highlight w:val="none"/>
          <w:lang w:val="zh-CN"/>
        </w:rPr>
        <w:t>电工程）专业乙级（或以上）资质，或工程设计电力行业（新能源发电</w:t>
      </w:r>
      <w:r>
        <w:rPr>
          <w:rFonts w:hint="eastAsia" w:ascii="宋体" w:hAnsi="宋体" w:eastAsia="宋体" w:cs="宋体"/>
          <w:bCs/>
          <w:color w:val="auto"/>
          <w:szCs w:val="21"/>
          <w:highlight w:val="none"/>
        </w:rPr>
        <w:t>工程</w:t>
      </w:r>
      <w:r>
        <w:rPr>
          <w:rFonts w:hint="eastAsia" w:ascii="宋体" w:hAnsi="宋体" w:eastAsia="宋体" w:cs="宋体"/>
          <w:bCs/>
          <w:color w:val="auto"/>
          <w:szCs w:val="21"/>
          <w:highlight w:val="none"/>
          <w:lang w:val="zh-CN"/>
        </w:rPr>
        <w:t>）专业乙级（或以上）资质【</w:t>
      </w:r>
      <w:r>
        <w:rPr>
          <w:rFonts w:hint="eastAsia" w:ascii="宋体" w:hAnsi="宋体" w:eastAsia="宋体" w:cs="宋体"/>
          <w:bCs/>
          <w:color w:val="auto"/>
          <w:szCs w:val="21"/>
          <w:highlight w:val="none"/>
        </w:rPr>
        <w:t>或更换资质证书前有效期内</w:t>
      </w:r>
      <w:r>
        <w:rPr>
          <w:rFonts w:hint="eastAsia" w:ascii="宋体" w:hAnsi="宋体" w:eastAsia="宋体" w:cs="宋体"/>
          <w:bCs/>
          <w:color w:val="auto"/>
          <w:szCs w:val="21"/>
          <w:highlight w:val="none"/>
          <w:lang w:val="zh-CN"/>
        </w:rPr>
        <w:t>：工程设计综合</w:t>
      </w:r>
      <w:r>
        <w:rPr>
          <w:rFonts w:hint="eastAsia" w:ascii="宋体" w:hAnsi="宋体" w:eastAsia="宋体" w:cs="宋体"/>
          <w:bCs/>
          <w:color w:val="auto"/>
          <w:szCs w:val="21"/>
          <w:highlight w:val="none"/>
        </w:rPr>
        <w:t>甲级</w:t>
      </w:r>
      <w:r>
        <w:rPr>
          <w:rFonts w:hint="eastAsia" w:ascii="宋体" w:hAnsi="宋体" w:eastAsia="宋体" w:cs="宋体"/>
          <w:bCs/>
          <w:color w:val="auto"/>
          <w:szCs w:val="21"/>
          <w:highlight w:val="none"/>
          <w:lang w:val="zh-CN"/>
        </w:rPr>
        <w:t>资质，或工程设计电力行业乙级（或以上）资质，或工程设计电力行业（送电工程或变电工程）专业丙级（或以上）资质，或工程设计电力行业（新能源发电）专业乙级资质】。</w:t>
      </w:r>
      <w:r>
        <w:rPr>
          <w:rFonts w:hint="eastAsia" w:ascii="宋体" w:hAnsi="宋体" w:eastAsia="宋体" w:cs="宋体"/>
          <w:bCs/>
          <w:color w:val="auto"/>
          <w:szCs w:val="21"/>
          <w:highlight w:val="none"/>
        </w:rPr>
        <w:t>【投标人提供以上资质证书原件扫描件】</w:t>
      </w:r>
      <w:bookmarkEnd w:id="1081"/>
      <w:bookmarkStart w:id="1082" w:name="_Toc27465"/>
      <w:bookmarkStart w:id="1083" w:name="_Toc1084"/>
      <w:bookmarkStart w:id="1084" w:name="_Toc3904"/>
      <w:r>
        <w:rPr>
          <w:rFonts w:hint="eastAsia" w:hAnsi="宋体" w:cs="宋体"/>
          <w:b/>
          <w:color w:val="auto"/>
          <w:sz w:val="30"/>
          <w:szCs w:val="30"/>
          <w:highlight w:val="none"/>
        </w:rPr>
        <w:br w:type="page"/>
      </w:r>
    </w:p>
    <w:p w14:paraId="0F923C81">
      <w:pPr>
        <w:pStyle w:val="4"/>
        <w:pageBreakBefore/>
        <w:spacing w:line="360" w:lineRule="auto"/>
        <w:rPr>
          <w:rFonts w:hint="eastAsia" w:hAnsi="宋体" w:cs="宋体"/>
          <w:b/>
          <w:color w:val="auto"/>
          <w:sz w:val="30"/>
          <w:szCs w:val="30"/>
          <w:highlight w:val="none"/>
          <w:lang w:val="en-US" w:eastAsia="zh-CN"/>
        </w:rPr>
      </w:pPr>
      <w:r>
        <w:rPr>
          <w:rFonts w:hint="eastAsia" w:hAnsi="宋体" w:cs="宋体"/>
          <w:b/>
          <w:color w:val="auto"/>
          <w:sz w:val="30"/>
          <w:szCs w:val="30"/>
          <w:highlight w:val="none"/>
          <w:lang w:val="en-US" w:eastAsia="zh-CN"/>
        </w:rPr>
        <w:t>4.5 项目负责人要求（若为联合体投标的，以联合体牵头单位提供的人员为准，联合体成员单位提供的人员不予认可）</w:t>
      </w:r>
    </w:p>
    <w:p w14:paraId="26264C7B">
      <w:pPr>
        <w:spacing w:line="360" w:lineRule="auto"/>
        <w:ind w:firstLine="420" w:firstLineChars="200"/>
        <w:rPr>
          <w:rFonts w:hint="eastAsia" w:ascii="宋体" w:hAnsi="宋体" w:eastAsia="宋体" w:cs="宋体"/>
          <w:bCs/>
          <w:color w:val="auto"/>
          <w:szCs w:val="21"/>
          <w:highlight w:val="none"/>
          <w:lang w:val="zh-CN" w:eastAsia="zh-CN"/>
        </w:rPr>
      </w:pPr>
      <w:r>
        <w:rPr>
          <w:rFonts w:hint="eastAsia" w:ascii="宋体" w:hAnsi="宋体" w:eastAsia="宋体" w:cs="宋体"/>
          <w:b w:val="0"/>
          <w:bCs/>
          <w:color w:val="auto"/>
          <w:szCs w:val="21"/>
          <w:highlight w:val="none"/>
          <w:lang w:val="zh-CN" w:eastAsia="zh-CN"/>
        </w:rPr>
        <w:t>投标人为本项目投入的项目负责人应具备二级或以上等级的注册建造师，建造师注册证书中列明的专业类别为电力工程（或机电工程），且具备建设行政主管部门颁发的安全生产考核合格证（须为项目负责人安全生产考核合格证，即“建安B”类证）；【提供有效的相关证书扫描件，并提供由人力资源和社会保障部门（或税务部门）出具的投标人2025年2月至2025年7月为其缴纳的社会保险凭证扫描件】</w:t>
      </w:r>
    </w:p>
    <w:p w14:paraId="3CAED1D0">
      <w:pPr>
        <w:pStyle w:val="4"/>
        <w:pageBreakBefore/>
        <w:spacing w:line="360" w:lineRule="auto"/>
        <w:rPr>
          <w:rFonts w:hAnsi="宋体" w:cs="宋体"/>
          <w:b/>
          <w:color w:val="auto"/>
          <w:sz w:val="30"/>
          <w:szCs w:val="30"/>
          <w:highlight w:val="none"/>
          <w:lang w:val="zh-CN"/>
        </w:rPr>
      </w:pPr>
      <w:r>
        <w:rPr>
          <w:rFonts w:hint="eastAsia" w:hAnsi="宋体" w:cs="宋体"/>
          <w:b/>
          <w:color w:val="auto"/>
          <w:sz w:val="30"/>
          <w:szCs w:val="30"/>
          <w:highlight w:val="none"/>
        </w:rPr>
        <w:t>4.</w:t>
      </w:r>
      <w:r>
        <w:rPr>
          <w:rFonts w:hint="eastAsia" w:hAnsi="宋体" w:cs="宋体"/>
          <w:b/>
          <w:color w:val="auto"/>
          <w:sz w:val="30"/>
          <w:szCs w:val="30"/>
          <w:highlight w:val="none"/>
          <w:lang w:val="en-US" w:eastAsia="zh-CN"/>
        </w:rPr>
        <w:t>6</w:t>
      </w:r>
      <w:r>
        <w:rPr>
          <w:rFonts w:hint="eastAsia" w:hAnsi="宋体" w:cs="宋体"/>
          <w:b/>
          <w:color w:val="auto"/>
          <w:sz w:val="30"/>
          <w:szCs w:val="30"/>
          <w:highlight w:val="none"/>
        </w:rPr>
        <w:t xml:space="preserve"> </w:t>
      </w:r>
      <w:r>
        <w:rPr>
          <w:rFonts w:hint="eastAsia" w:hAnsi="宋体" w:cs="宋体"/>
          <w:b/>
          <w:bCs/>
          <w:color w:val="auto"/>
          <w:kern w:val="2"/>
          <w:sz w:val="32"/>
          <w:szCs w:val="32"/>
          <w:highlight w:val="none"/>
        </w:rPr>
        <w:t>资格业绩</w:t>
      </w:r>
      <w:r>
        <w:rPr>
          <w:rFonts w:hint="eastAsia" w:hAnsi="宋体" w:cs="宋体"/>
          <w:b/>
          <w:bCs/>
          <w:color w:val="auto"/>
          <w:sz w:val="32"/>
          <w:szCs w:val="32"/>
          <w:highlight w:val="none"/>
        </w:rPr>
        <w:t>【</w:t>
      </w:r>
      <w:bookmarkEnd w:id="1068"/>
      <w:bookmarkEnd w:id="1069"/>
      <w:bookmarkEnd w:id="1070"/>
      <w:r>
        <w:rPr>
          <w:rFonts w:hint="eastAsia" w:hAnsi="宋体" w:cs="宋体"/>
          <w:b/>
          <w:bCs/>
          <w:color w:val="auto"/>
          <w:sz w:val="32"/>
          <w:szCs w:val="32"/>
          <w:highlight w:val="none"/>
        </w:rPr>
        <w:t>投标人提供一份2022年1月1日以来</w:t>
      </w:r>
      <w:bookmarkStart w:id="1085" w:name="OLE_LINK69"/>
      <w:r>
        <w:rPr>
          <w:rFonts w:hint="eastAsia" w:hAnsi="宋体" w:cs="宋体"/>
          <w:b/>
          <w:bCs/>
          <w:color w:val="auto"/>
          <w:sz w:val="32"/>
          <w:szCs w:val="32"/>
          <w:highlight w:val="none"/>
        </w:rPr>
        <w:t>分布式光伏发电的</w:t>
      </w:r>
      <w:bookmarkEnd w:id="1085"/>
      <w:r>
        <w:rPr>
          <w:rFonts w:hint="eastAsia" w:hAnsi="宋体" w:cs="宋体"/>
          <w:b/>
          <w:bCs/>
          <w:color w:val="auto"/>
          <w:sz w:val="32"/>
          <w:szCs w:val="32"/>
          <w:highlight w:val="none"/>
        </w:rPr>
        <w:t>业绩（合同签订日期为2022年1月1日或以后）】</w:t>
      </w:r>
      <w:bookmarkEnd w:id="1071"/>
      <w:bookmarkEnd w:id="1072"/>
      <w:bookmarkEnd w:id="1073"/>
      <w:bookmarkEnd w:id="1074"/>
      <w:bookmarkEnd w:id="1075"/>
      <w:bookmarkEnd w:id="1082"/>
      <w:bookmarkEnd w:id="1083"/>
      <w:bookmarkEnd w:id="1084"/>
    </w:p>
    <w:tbl>
      <w:tblPr>
        <w:tblStyle w:val="45"/>
        <w:tblW w:w="499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96"/>
        <w:gridCol w:w="687"/>
        <w:gridCol w:w="890"/>
        <w:gridCol w:w="890"/>
        <w:gridCol w:w="890"/>
        <w:gridCol w:w="890"/>
        <w:gridCol w:w="890"/>
        <w:gridCol w:w="890"/>
        <w:gridCol w:w="574"/>
        <w:gridCol w:w="451"/>
        <w:gridCol w:w="479"/>
        <w:gridCol w:w="637"/>
        <w:gridCol w:w="514"/>
      </w:tblGrid>
      <w:tr w14:paraId="5DA1F5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477EFE05">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序号</w:t>
            </w:r>
          </w:p>
        </w:tc>
        <w:tc>
          <w:tcPr>
            <w:tcW w:w="370" w:type="pct"/>
            <w:tcBorders>
              <w:top w:val="single" w:color="auto" w:sz="4" w:space="0"/>
              <w:left w:val="single" w:color="auto" w:sz="4" w:space="0"/>
              <w:bottom w:val="single" w:color="auto" w:sz="4" w:space="0"/>
              <w:right w:val="single" w:color="auto" w:sz="4" w:space="0"/>
            </w:tcBorders>
            <w:vAlign w:val="center"/>
          </w:tcPr>
          <w:p w14:paraId="70AD8311">
            <w:pPr>
              <w:autoSpaceDE w:val="0"/>
              <w:autoSpaceDN w:val="0"/>
              <w:adjustRightInd w:val="0"/>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项目</w:t>
            </w:r>
          </w:p>
          <w:p w14:paraId="6CA159DA">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名称</w:t>
            </w:r>
          </w:p>
        </w:tc>
        <w:tc>
          <w:tcPr>
            <w:tcW w:w="479" w:type="pct"/>
            <w:tcBorders>
              <w:top w:val="single" w:color="auto" w:sz="4" w:space="0"/>
              <w:left w:val="single" w:color="auto" w:sz="4" w:space="0"/>
              <w:bottom w:val="single" w:color="auto" w:sz="4" w:space="0"/>
              <w:right w:val="single" w:color="auto" w:sz="4" w:space="0"/>
            </w:tcBorders>
            <w:vAlign w:val="center"/>
          </w:tcPr>
          <w:p w14:paraId="4451FF7C">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合同主要内容</w:t>
            </w:r>
          </w:p>
        </w:tc>
        <w:tc>
          <w:tcPr>
            <w:tcW w:w="479" w:type="pct"/>
            <w:tcBorders>
              <w:top w:val="single" w:color="auto" w:sz="4" w:space="0"/>
              <w:left w:val="single" w:color="auto" w:sz="4" w:space="0"/>
              <w:bottom w:val="single" w:color="auto" w:sz="4" w:space="0"/>
              <w:right w:val="single" w:color="auto" w:sz="4" w:space="0"/>
            </w:tcBorders>
            <w:vAlign w:val="center"/>
          </w:tcPr>
          <w:p w14:paraId="62CC3257">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合同标的光伏组件品牌</w:t>
            </w:r>
          </w:p>
        </w:tc>
        <w:tc>
          <w:tcPr>
            <w:tcW w:w="479" w:type="pct"/>
            <w:tcBorders>
              <w:top w:val="single" w:color="auto" w:sz="4" w:space="0"/>
              <w:left w:val="single" w:color="auto" w:sz="4" w:space="0"/>
              <w:bottom w:val="single" w:color="auto" w:sz="4" w:space="0"/>
              <w:right w:val="single" w:color="auto" w:sz="4" w:space="0"/>
            </w:tcBorders>
            <w:vAlign w:val="center"/>
          </w:tcPr>
          <w:p w14:paraId="67A15A12">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合同标的逆变器品牌</w:t>
            </w:r>
          </w:p>
        </w:tc>
        <w:tc>
          <w:tcPr>
            <w:tcW w:w="479" w:type="pct"/>
            <w:tcBorders>
              <w:top w:val="single" w:color="auto" w:sz="4" w:space="0"/>
              <w:left w:val="single" w:color="auto" w:sz="4" w:space="0"/>
              <w:bottom w:val="single" w:color="auto" w:sz="4" w:space="0"/>
              <w:right w:val="single" w:color="auto" w:sz="4" w:space="0"/>
            </w:tcBorders>
            <w:vAlign w:val="center"/>
          </w:tcPr>
          <w:p w14:paraId="7C4CCE2C">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合同标的电缆品牌</w:t>
            </w:r>
          </w:p>
        </w:tc>
        <w:tc>
          <w:tcPr>
            <w:tcW w:w="479" w:type="pct"/>
            <w:tcBorders>
              <w:top w:val="single" w:color="auto" w:sz="4" w:space="0"/>
              <w:left w:val="single" w:color="auto" w:sz="4" w:space="0"/>
              <w:bottom w:val="single" w:color="auto" w:sz="4" w:space="0"/>
              <w:right w:val="single" w:color="auto" w:sz="4" w:space="0"/>
            </w:tcBorders>
            <w:vAlign w:val="center"/>
          </w:tcPr>
          <w:p w14:paraId="4C76F753">
            <w:pPr>
              <w:autoSpaceDE w:val="0"/>
              <w:autoSpaceDN w:val="0"/>
              <w:adjustRightInd w:val="0"/>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单项合同</w:t>
            </w:r>
          </w:p>
          <w:p w14:paraId="2ED3ED62">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金额（单位：万元）</w:t>
            </w:r>
          </w:p>
        </w:tc>
        <w:tc>
          <w:tcPr>
            <w:tcW w:w="479" w:type="pct"/>
            <w:tcBorders>
              <w:top w:val="single" w:color="auto" w:sz="4" w:space="0"/>
              <w:left w:val="single" w:color="auto" w:sz="4" w:space="0"/>
              <w:bottom w:val="single" w:color="auto" w:sz="4" w:space="0"/>
              <w:right w:val="single" w:color="auto" w:sz="4" w:space="0"/>
            </w:tcBorders>
            <w:vAlign w:val="center"/>
          </w:tcPr>
          <w:p w14:paraId="34C36C16">
            <w:pPr>
              <w:autoSpaceDE w:val="0"/>
              <w:autoSpaceDN w:val="0"/>
              <w:adjustRightInd w:val="0"/>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单项合同总装机容量【</w:t>
            </w:r>
            <w:r>
              <w:rPr>
                <w:rFonts w:hint="eastAsia" w:ascii="宋体" w:hAnsi="宋体" w:eastAsia="宋体" w:cs="宋体"/>
                <w:color w:val="auto"/>
                <w:kern w:val="0"/>
                <w:szCs w:val="21"/>
                <w:highlight w:val="none"/>
              </w:rPr>
              <w:t>以该合同下并网验收证明上的装机容量填写</w:t>
            </w:r>
            <w:r>
              <w:rPr>
                <w:rFonts w:hint="eastAsia" w:ascii="宋体" w:hAnsi="宋体" w:eastAsia="宋体" w:cs="宋体"/>
                <w:color w:val="auto"/>
                <w:kern w:val="0"/>
                <w:szCs w:val="21"/>
                <w:highlight w:val="none"/>
                <w:lang w:val="zh-CN"/>
              </w:rPr>
              <w:t>】</w:t>
            </w:r>
          </w:p>
        </w:tc>
        <w:tc>
          <w:tcPr>
            <w:tcW w:w="309" w:type="pct"/>
            <w:tcBorders>
              <w:top w:val="single" w:color="auto" w:sz="4" w:space="0"/>
              <w:left w:val="single" w:color="auto" w:sz="4" w:space="0"/>
              <w:bottom w:val="single" w:color="auto" w:sz="4" w:space="0"/>
              <w:right w:val="single" w:color="auto" w:sz="4" w:space="0"/>
            </w:tcBorders>
            <w:vAlign w:val="center"/>
          </w:tcPr>
          <w:p w14:paraId="4708D426">
            <w:pPr>
              <w:autoSpaceDE w:val="0"/>
              <w:autoSpaceDN w:val="0"/>
              <w:adjustRightInd w:val="0"/>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合同期限</w:t>
            </w:r>
          </w:p>
        </w:tc>
        <w:tc>
          <w:tcPr>
            <w:tcW w:w="243" w:type="pct"/>
            <w:tcBorders>
              <w:top w:val="single" w:color="auto" w:sz="4" w:space="0"/>
              <w:left w:val="single" w:color="auto" w:sz="4" w:space="0"/>
              <w:bottom w:val="single" w:color="auto" w:sz="4" w:space="0"/>
              <w:right w:val="single" w:color="auto" w:sz="4" w:space="0"/>
            </w:tcBorders>
            <w:vAlign w:val="center"/>
          </w:tcPr>
          <w:p w14:paraId="4605407D">
            <w:pPr>
              <w:autoSpaceDE w:val="0"/>
              <w:autoSpaceDN w:val="0"/>
              <w:adjustRightInd w:val="0"/>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签约</w:t>
            </w:r>
          </w:p>
          <w:p w14:paraId="666DB2D7">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日期</w:t>
            </w:r>
          </w:p>
        </w:tc>
        <w:tc>
          <w:tcPr>
            <w:tcW w:w="258" w:type="pct"/>
            <w:tcBorders>
              <w:top w:val="single" w:color="auto" w:sz="4" w:space="0"/>
              <w:left w:val="single" w:color="auto" w:sz="4" w:space="0"/>
              <w:bottom w:val="single" w:color="auto" w:sz="4" w:space="0"/>
              <w:right w:val="single" w:color="auto" w:sz="4" w:space="0"/>
            </w:tcBorders>
            <w:vAlign w:val="center"/>
          </w:tcPr>
          <w:p w14:paraId="0CFCC7B8">
            <w:pPr>
              <w:autoSpaceDE w:val="0"/>
              <w:autoSpaceDN w:val="0"/>
              <w:adjustRightInd w:val="0"/>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完成</w:t>
            </w:r>
          </w:p>
          <w:p w14:paraId="7644FC17">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情况</w:t>
            </w:r>
          </w:p>
        </w:tc>
        <w:tc>
          <w:tcPr>
            <w:tcW w:w="343" w:type="pct"/>
            <w:tcBorders>
              <w:top w:val="single" w:color="auto" w:sz="4" w:space="0"/>
              <w:left w:val="single" w:color="auto" w:sz="4" w:space="0"/>
              <w:bottom w:val="single" w:color="auto" w:sz="4" w:space="0"/>
              <w:right w:val="single" w:color="auto" w:sz="4" w:space="0"/>
            </w:tcBorders>
            <w:vAlign w:val="center"/>
          </w:tcPr>
          <w:p w14:paraId="758881E7">
            <w:pPr>
              <w:rPr>
                <w:rFonts w:ascii="宋体" w:hAnsi="宋体" w:eastAsia="宋体" w:cs="宋体"/>
                <w:color w:val="auto"/>
                <w:highlight w:val="none"/>
              </w:rPr>
            </w:pPr>
            <w:r>
              <w:rPr>
                <w:rFonts w:hint="eastAsia" w:ascii="宋体" w:hAnsi="宋体" w:eastAsia="宋体" w:cs="宋体"/>
                <w:color w:val="auto"/>
                <w:kern w:val="0"/>
                <w:szCs w:val="21"/>
                <w:highlight w:val="none"/>
                <w:lang w:val="zh-CN"/>
              </w:rPr>
              <w:t>买方单位联系人及电话</w:t>
            </w:r>
          </w:p>
          <w:p w14:paraId="278B25B7">
            <w:pPr>
              <w:autoSpaceDE w:val="0"/>
              <w:autoSpaceDN w:val="0"/>
              <w:adjustRightInd w:val="0"/>
              <w:jc w:val="center"/>
              <w:rPr>
                <w:rFonts w:ascii="宋体" w:hAnsi="宋体" w:eastAsia="宋体" w:cs="宋体"/>
                <w:color w:val="auto"/>
                <w:kern w:val="0"/>
                <w:szCs w:val="21"/>
                <w:highlight w:val="none"/>
              </w:rPr>
            </w:pPr>
          </w:p>
        </w:tc>
        <w:tc>
          <w:tcPr>
            <w:tcW w:w="276" w:type="pct"/>
            <w:tcBorders>
              <w:top w:val="single" w:color="auto" w:sz="4" w:space="0"/>
              <w:left w:val="single" w:color="auto" w:sz="4" w:space="0"/>
              <w:bottom w:val="single" w:color="auto" w:sz="4" w:space="0"/>
              <w:right w:val="single" w:color="auto" w:sz="4" w:space="0"/>
            </w:tcBorders>
            <w:vAlign w:val="center"/>
          </w:tcPr>
          <w:p w14:paraId="789DC0ED">
            <w:pPr>
              <w:rPr>
                <w:rFonts w:ascii="宋体" w:hAnsi="宋体" w:eastAsia="宋体" w:cs="宋体"/>
                <w:color w:val="auto"/>
                <w:highlight w:val="none"/>
              </w:rPr>
            </w:pPr>
            <w:r>
              <w:rPr>
                <w:rFonts w:hint="eastAsia" w:ascii="宋体" w:hAnsi="宋体" w:eastAsia="宋体" w:cs="宋体"/>
                <w:color w:val="auto"/>
                <w:kern w:val="0"/>
                <w:szCs w:val="21"/>
                <w:highlight w:val="none"/>
                <w:lang w:val="zh-CN"/>
              </w:rPr>
              <w:t>备注</w:t>
            </w:r>
          </w:p>
          <w:p w14:paraId="3FA2B1A2">
            <w:pPr>
              <w:autoSpaceDE w:val="0"/>
              <w:autoSpaceDN w:val="0"/>
              <w:adjustRightInd w:val="0"/>
              <w:jc w:val="center"/>
              <w:rPr>
                <w:rFonts w:ascii="宋体" w:hAnsi="宋体" w:eastAsia="宋体" w:cs="宋体"/>
                <w:color w:val="auto"/>
                <w:kern w:val="0"/>
                <w:szCs w:val="21"/>
                <w:highlight w:val="none"/>
              </w:rPr>
            </w:pPr>
          </w:p>
        </w:tc>
      </w:tr>
      <w:tr w14:paraId="6C524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45B9EBC9">
            <w:pPr>
              <w:autoSpaceDE w:val="0"/>
              <w:autoSpaceDN w:val="0"/>
              <w:adjustRightInd w:val="0"/>
              <w:spacing w:line="360" w:lineRule="auto"/>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w:t>
            </w:r>
          </w:p>
        </w:tc>
        <w:tc>
          <w:tcPr>
            <w:tcW w:w="370" w:type="pct"/>
            <w:tcBorders>
              <w:top w:val="single" w:color="auto" w:sz="4" w:space="0"/>
              <w:left w:val="single" w:color="auto" w:sz="4" w:space="0"/>
              <w:bottom w:val="single" w:color="auto" w:sz="4" w:space="0"/>
              <w:right w:val="single" w:color="auto" w:sz="4" w:space="0"/>
            </w:tcBorders>
            <w:vAlign w:val="center"/>
          </w:tcPr>
          <w:p w14:paraId="5F9DC245">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6924286C">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7DB710B0">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3B3CB051">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548221BC">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6616F55D">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146E4BED">
            <w:pPr>
              <w:autoSpaceDE w:val="0"/>
              <w:autoSpaceDN w:val="0"/>
              <w:adjustRightInd w:val="0"/>
              <w:spacing w:line="360" w:lineRule="auto"/>
              <w:jc w:val="center"/>
              <w:rPr>
                <w:rFonts w:ascii="宋体" w:hAnsi="宋体" w:eastAsia="宋体" w:cs="宋体"/>
                <w:color w:val="auto"/>
                <w:kern w:val="0"/>
                <w:szCs w:val="21"/>
                <w:highlight w:val="none"/>
              </w:rPr>
            </w:pPr>
          </w:p>
        </w:tc>
        <w:tc>
          <w:tcPr>
            <w:tcW w:w="309" w:type="pct"/>
            <w:tcBorders>
              <w:top w:val="single" w:color="auto" w:sz="4" w:space="0"/>
              <w:left w:val="single" w:color="auto" w:sz="4" w:space="0"/>
              <w:bottom w:val="single" w:color="auto" w:sz="4" w:space="0"/>
              <w:right w:val="single" w:color="auto" w:sz="4" w:space="0"/>
            </w:tcBorders>
          </w:tcPr>
          <w:p w14:paraId="112796FB">
            <w:pPr>
              <w:autoSpaceDE w:val="0"/>
              <w:autoSpaceDN w:val="0"/>
              <w:adjustRightInd w:val="0"/>
              <w:spacing w:line="360" w:lineRule="auto"/>
              <w:jc w:val="center"/>
              <w:rPr>
                <w:rFonts w:ascii="宋体" w:hAnsi="宋体" w:eastAsia="宋体" w:cs="宋体"/>
                <w:color w:val="auto"/>
                <w:kern w:val="0"/>
                <w:szCs w:val="21"/>
                <w:highlight w:val="none"/>
              </w:rPr>
            </w:pPr>
          </w:p>
        </w:tc>
        <w:tc>
          <w:tcPr>
            <w:tcW w:w="243" w:type="pct"/>
            <w:tcBorders>
              <w:top w:val="single" w:color="auto" w:sz="4" w:space="0"/>
              <w:left w:val="single" w:color="auto" w:sz="4" w:space="0"/>
              <w:bottom w:val="single" w:color="auto" w:sz="4" w:space="0"/>
              <w:right w:val="single" w:color="auto" w:sz="4" w:space="0"/>
            </w:tcBorders>
            <w:vAlign w:val="center"/>
          </w:tcPr>
          <w:p w14:paraId="29A5695A">
            <w:pPr>
              <w:autoSpaceDE w:val="0"/>
              <w:autoSpaceDN w:val="0"/>
              <w:adjustRightInd w:val="0"/>
              <w:spacing w:line="360" w:lineRule="auto"/>
              <w:jc w:val="center"/>
              <w:rPr>
                <w:rFonts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107BC0A4">
            <w:pPr>
              <w:autoSpaceDE w:val="0"/>
              <w:autoSpaceDN w:val="0"/>
              <w:adjustRightInd w:val="0"/>
              <w:spacing w:line="360" w:lineRule="auto"/>
              <w:jc w:val="center"/>
              <w:rPr>
                <w:rFonts w:ascii="宋体" w:hAnsi="宋体" w:eastAsia="宋体" w:cs="宋体"/>
                <w:color w:val="auto"/>
                <w:kern w:val="0"/>
                <w:szCs w:val="21"/>
                <w:highlight w:val="none"/>
              </w:rPr>
            </w:pPr>
          </w:p>
        </w:tc>
        <w:tc>
          <w:tcPr>
            <w:tcW w:w="343" w:type="pct"/>
            <w:tcBorders>
              <w:top w:val="single" w:color="auto" w:sz="4" w:space="0"/>
              <w:left w:val="single" w:color="auto" w:sz="4" w:space="0"/>
              <w:bottom w:val="single" w:color="auto" w:sz="4" w:space="0"/>
              <w:right w:val="single" w:color="auto" w:sz="4" w:space="0"/>
            </w:tcBorders>
            <w:vAlign w:val="center"/>
          </w:tcPr>
          <w:p w14:paraId="15C7C2F7">
            <w:pPr>
              <w:autoSpaceDE w:val="0"/>
              <w:autoSpaceDN w:val="0"/>
              <w:adjustRightInd w:val="0"/>
              <w:spacing w:line="360" w:lineRule="auto"/>
              <w:jc w:val="center"/>
              <w:rPr>
                <w:rFonts w:ascii="宋体" w:hAnsi="宋体" w:eastAsia="宋体" w:cs="宋体"/>
                <w:color w:val="auto"/>
                <w:kern w:val="0"/>
                <w:szCs w:val="21"/>
                <w:highlight w:val="none"/>
              </w:rPr>
            </w:pPr>
          </w:p>
        </w:tc>
        <w:tc>
          <w:tcPr>
            <w:tcW w:w="276" w:type="pct"/>
            <w:tcBorders>
              <w:top w:val="single" w:color="auto" w:sz="4" w:space="0"/>
              <w:left w:val="single" w:color="auto" w:sz="4" w:space="0"/>
              <w:bottom w:val="single" w:color="auto" w:sz="4" w:space="0"/>
              <w:right w:val="single" w:color="auto" w:sz="4" w:space="0"/>
            </w:tcBorders>
            <w:vAlign w:val="center"/>
          </w:tcPr>
          <w:p w14:paraId="4CC13ECE">
            <w:pPr>
              <w:autoSpaceDE w:val="0"/>
              <w:autoSpaceDN w:val="0"/>
              <w:adjustRightInd w:val="0"/>
              <w:spacing w:line="360" w:lineRule="auto"/>
              <w:jc w:val="center"/>
              <w:rPr>
                <w:rFonts w:ascii="宋体" w:hAnsi="宋体" w:eastAsia="宋体" w:cs="宋体"/>
                <w:color w:val="auto"/>
                <w:kern w:val="0"/>
                <w:szCs w:val="21"/>
                <w:highlight w:val="none"/>
              </w:rPr>
            </w:pPr>
          </w:p>
        </w:tc>
      </w:tr>
      <w:tr w14:paraId="756C9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235644D5">
            <w:pPr>
              <w:autoSpaceDE w:val="0"/>
              <w:autoSpaceDN w:val="0"/>
              <w:adjustRightInd w:val="0"/>
              <w:spacing w:line="360" w:lineRule="auto"/>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w:t>
            </w:r>
          </w:p>
        </w:tc>
        <w:tc>
          <w:tcPr>
            <w:tcW w:w="370" w:type="pct"/>
            <w:tcBorders>
              <w:top w:val="single" w:color="auto" w:sz="4" w:space="0"/>
              <w:left w:val="single" w:color="auto" w:sz="4" w:space="0"/>
              <w:bottom w:val="single" w:color="auto" w:sz="4" w:space="0"/>
              <w:right w:val="single" w:color="auto" w:sz="4" w:space="0"/>
            </w:tcBorders>
            <w:vAlign w:val="center"/>
          </w:tcPr>
          <w:p w14:paraId="1E1B1BB9">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38FF1C34">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1B5931DB">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1EAB3150">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56BD22FF">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0272A4F4">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6E764123">
            <w:pPr>
              <w:autoSpaceDE w:val="0"/>
              <w:autoSpaceDN w:val="0"/>
              <w:adjustRightInd w:val="0"/>
              <w:spacing w:line="360" w:lineRule="auto"/>
              <w:jc w:val="center"/>
              <w:rPr>
                <w:rFonts w:ascii="宋体" w:hAnsi="宋体" w:eastAsia="宋体" w:cs="宋体"/>
                <w:color w:val="auto"/>
                <w:kern w:val="0"/>
                <w:szCs w:val="21"/>
                <w:highlight w:val="none"/>
              </w:rPr>
            </w:pPr>
          </w:p>
        </w:tc>
        <w:tc>
          <w:tcPr>
            <w:tcW w:w="309" w:type="pct"/>
            <w:tcBorders>
              <w:top w:val="single" w:color="auto" w:sz="4" w:space="0"/>
              <w:left w:val="single" w:color="auto" w:sz="4" w:space="0"/>
              <w:bottom w:val="single" w:color="auto" w:sz="4" w:space="0"/>
              <w:right w:val="single" w:color="auto" w:sz="4" w:space="0"/>
            </w:tcBorders>
          </w:tcPr>
          <w:p w14:paraId="12CF5D86">
            <w:pPr>
              <w:autoSpaceDE w:val="0"/>
              <w:autoSpaceDN w:val="0"/>
              <w:adjustRightInd w:val="0"/>
              <w:spacing w:line="360" w:lineRule="auto"/>
              <w:jc w:val="center"/>
              <w:rPr>
                <w:rFonts w:ascii="宋体" w:hAnsi="宋体" w:eastAsia="宋体" w:cs="宋体"/>
                <w:color w:val="auto"/>
                <w:kern w:val="0"/>
                <w:szCs w:val="21"/>
                <w:highlight w:val="none"/>
              </w:rPr>
            </w:pPr>
          </w:p>
        </w:tc>
        <w:tc>
          <w:tcPr>
            <w:tcW w:w="243" w:type="pct"/>
            <w:tcBorders>
              <w:top w:val="single" w:color="auto" w:sz="4" w:space="0"/>
              <w:left w:val="single" w:color="auto" w:sz="4" w:space="0"/>
              <w:bottom w:val="single" w:color="auto" w:sz="4" w:space="0"/>
              <w:right w:val="single" w:color="auto" w:sz="4" w:space="0"/>
            </w:tcBorders>
            <w:vAlign w:val="center"/>
          </w:tcPr>
          <w:p w14:paraId="29BBBF5D">
            <w:pPr>
              <w:autoSpaceDE w:val="0"/>
              <w:autoSpaceDN w:val="0"/>
              <w:adjustRightInd w:val="0"/>
              <w:spacing w:line="360" w:lineRule="auto"/>
              <w:jc w:val="center"/>
              <w:rPr>
                <w:rFonts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34D1AA8E">
            <w:pPr>
              <w:autoSpaceDE w:val="0"/>
              <w:autoSpaceDN w:val="0"/>
              <w:adjustRightInd w:val="0"/>
              <w:spacing w:line="360" w:lineRule="auto"/>
              <w:jc w:val="center"/>
              <w:rPr>
                <w:rFonts w:ascii="宋体" w:hAnsi="宋体" w:eastAsia="宋体" w:cs="宋体"/>
                <w:color w:val="auto"/>
                <w:kern w:val="0"/>
                <w:szCs w:val="21"/>
                <w:highlight w:val="none"/>
              </w:rPr>
            </w:pPr>
          </w:p>
        </w:tc>
        <w:tc>
          <w:tcPr>
            <w:tcW w:w="343" w:type="pct"/>
            <w:tcBorders>
              <w:top w:val="single" w:color="auto" w:sz="4" w:space="0"/>
              <w:left w:val="single" w:color="auto" w:sz="4" w:space="0"/>
              <w:bottom w:val="single" w:color="auto" w:sz="4" w:space="0"/>
              <w:right w:val="single" w:color="auto" w:sz="4" w:space="0"/>
            </w:tcBorders>
            <w:vAlign w:val="center"/>
          </w:tcPr>
          <w:p w14:paraId="249684E9">
            <w:pPr>
              <w:autoSpaceDE w:val="0"/>
              <w:autoSpaceDN w:val="0"/>
              <w:adjustRightInd w:val="0"/>
              <w:spacing w:line="360" w:lineRule="auto"/>
              <w:jc w:val="center"/>
              <w:rPr>
                <w:rFonts w:ascii="宋体" w:hAnsi="宋体" w:eastAsia="宋体" w:cs="宋体"/>
                <w:color w:val="auto"/>
                <w:kern w:val="0"/>
                <w:szCs w:val="21"/>
                <w:highlight w:val="none"/>
              </w:rPr>
            </w:pPr>
          </w:p>
        </w:tc>
        <w:tc>
          <w:tcPr>
            <w:tcW w:w="276" w:type="pct"/>
            <w:tcBorders>
              <w:top w:val="single" w:color="auto" w:sz="4" w:space="0"/>
              <w:left w:val="single" w:color="auto" w:sz="4" w:space="0"/>
              <w:bottom w:val="single" w:color="auto" w:sz="4" w:space="0"/>
              <w:right w:val="single" w:color="auto" w:sz="4" w:space="0"/>
            </w:tcBorders>
            <w:vAlign w:val="center"/>
          </w:tcPr>
          <w:p w14:paraId="44D79907">
            <w:pPr>
              <w:autoSpaceDE w:val="0"/>
              <w:autoSpaceDN w:val="0"/>
              <w:adjustRightInd w:val="0"/>
              <w:spacing w:line="360" w:lineRule="auto"/>
              <w:jc w:val="center"/>
              <w:rPr>
                <w:rFonts w:ascii="宋体" w:hAnsi="宋体" w:eastAsia="宋体" w:cs="宋体"/>
                <w:color w:val="auto"/>
                <w:kern w:val="0"/>
                <w:szCs w:val="21"/>
                <w:highlight w:val="none"/>
              </w:rPr>
            </w:pPr>
          </w:p>
        </w:tc>
      </w:tr>
      <w:tr w14:paraId="29A52C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5DED0E01">
            <w:pPr>
              <w:autoSpaceDE w:val="0"/>
              <w:autoSpaceDN w:val="0"/>
              <w:adjustRightInd w:val="0"/>
              <w:spacing w:line="360" w:lineRule="auto"/>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w:t>
            </w:r>
          </w:p>
        </w:tc>
        <w:tc>
          <w:tcPr>
            <w:tcW w:w="370" w:type="pct"/>
            <w:tcBorders>
              <w:top w:val="single" w:color="auto" w:sz="4" w:space="0"/>
              <w:left w:val="single" w:color="auto" w:sz="4" w:space="0"/>
              <w:bottom w:val="single" w:color="auto" w:sz="4" w:space="0"/>
              <w:right w:val="single" w:color="auto" w:sz="4" w:space="0"/>
            </w:tcBorders>
            <w:vAlign w:val="center"/>
          </w:tcPr>
          <w:p w14:paraId="43BF3806">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1C185C2C">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3EC74837">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31F09046">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53B98591">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77046B8A">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5544F440">
            <w:pPr>
              <w:autoSpaceDE w:val="0"/>
              <w:autoSpaceDN w:val="0"/>
              <w:adjustRightInd w:val="0"/>
              <w:spacing w:line="360" w:lineRule="auto"/>
              <w:jc w:val="center"/>
              <w:rPr>
                <w:rFonts w:ascii="宋体" w:hAnsi="宋体" w:eastAsia="宋体" w:cs="宋体"/>
                <w:color w:val="auto"/>
                <w:kern w:val="0"/>
                <w:szCs w:val="21"/>
                <w:highlight w:val="none"/>
              </w:rPr>
            </w:pPr>
          </w:p>
        </w:tc>
        <w:tc>
          <w:tcPr>
            <w:tcW w:w="309" w:type="pct"/>
            <w:tcBorders>
              <w:top w:val="single" w:color="auto" w:sz="4" w:space="0"/>
              <w:left w:val="single" w:color="auto" w:sz="4" w:space="0"/>
              <w:bottom w:val="single" w:color="auto" w:sz="4" w:space="0"/>
              <w:right w:val="single" w:color="auto" w:sz="4" w:space="0"/>
            </w:tcBorders>
          </w:tcPr>
          <w:p w14:paraId="02AC0D6E">
            <w:pPr>
              <w:autoSpaceDE w:val="0"/>
              <w:autoSpaceDN w:val="0"/>
              <w:adjustRightInd w:val="0"/>
              <w:spacing w:line="360" w:lineRule="auto"/>
              <w:jc w:val="center"/>
              <w:rPr>
                <w:rFonts w:ascii="宋体" w:hAnsi="宋体" w:eastAsia="宋体" w:cs="宋体"/>
                <w:color w:val="auto"/>
                <w:kern w:val="0"/>
                <w:szCs w:val="21"/>
                <w:highlight w:val="none"/>
              </w:rPr>
            </w:pPr>
          </w:p>
        </w:tc>
        <w:tc>
          <w:tcPr>
            <w:tcW w:w="243" w:type="pct"/>
            <w:tcBorders>
              <w:top w:val="single" w:color="auto" w:sz="4" w:space="0"/>
              <w:left w:val="single" w:color="auto" w:sz="4" w:space="0"/>
              <w:bottom w:val="single" w:color="auto" w:sz="4" w:space="0"/>
              <w:right w:val="single" w:color="auto" w:sz="4" w:space="0"/>
            </w:tcBorders>
            <w:vAlign w:val="center"/>
          </w:tcPr>
          <w:p w14:paraId="379AD97A">
            <w:pPr>
              <w:autoSpaceDE w:val="0"/>
              <w:autoSpaceDN w:val="0"/>
              <w:adjustRightInd w:val="0"/>
              <w:spacing w:line="360" w:lineRule="auto"/>
              <w:jc w:val="center"/>
              <w:rPr>
                <w:rFonts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6AB43138">
            <w:pPr>
              <w:autoSpaceDE w:val="0"/>
              <w:autoSpaceDN w:val="0"/>
              <w:adjustRightInd w:val="0"/>
              <w:spacing w:line="360" w:lineRule="auto"/>
              <w:jc w:val="center"/>
              <w:rPr>
                <w:rFonts w:ascii="宋体" w:hAnsi="宋体" w:eastAsia="宋体" w:cs="宋体"/>
                <w:color w:val="auto"/>
                <w:kern w:val="0"/>
                <w:szCs w:val="21"/>
                <w:highlight w:val="none"/>
              </w:rPr>
            </w:pPr>
          </w:p>
        </w:tc>
        <w:tc>
          <w:tcPr>
            <w:tcW w:w="343" w:type="pct"/>
            <w:tcBorders>
              <w:top w:val="single" w:color="auto" w:sz="4" w:space="0"/>
              <w:left w:val="single" w:color="auto" w:sz="4" w:space="0"/>
              <w:bottom w:val="single" w:color="auto" w:sz="4" w:space="0"/>
              <w:right w:val="single" w:color="auto" w:sz="4" w:space="0"/>
            </w:tcBorders>
            <w:vAlign w:val="center"/>
          </w:tcPr>
          <w:p w14:paraId="4617EB23">
            <w:pPr>
              <w:autoSpaceDE w:val="0"/>
              <w:autoSpaceDN w:val="0"/>
              <w:adjustRightInd w:val="0"/>
              <w:spacing w:line="360" w:lineRule="auto"/>
              <w:jc w:val="center"/>
              <w:rPr>
                <w:rFonts w:ascii="宋体" w:hAnsi="宋体" w:eastAsia="宋体" w:cs="宋体"/>
                <w:color w:val="auto"/>
                <w:kern w:val="0"/>
                <w:szCs w:val="21"/>
                <w:highlight w:val="none"/>
              </w:rPr>
            </w:pPr>
          </w:p>
        </w:tc>
        <w:tc>
          <w:tcPr>
            <w:tcW w:w="276" w:type="pct"/>
            <w:tcBorders>
              <w:top w:val="single" w:color="auto" w:sz="4" w:space="0"/>
              <w:left w:val="single" w:color="auto" w:sz="4" w:space="0"/>
              <w:bottom w:val="single" w:color="auto" w:sz="4" w:space="0"/>
              <w:right w:val="single" w:color="auto" w:sz="4" w:space="0"/>
            </w:tcBorders>
            <w:vAlign w:val="center"/>
          </w:tcPr>
          <w:p w14:paraId="2CF5079E">
            <w:pPr>
              <w:autoSpaceDE w:val="0"/>
              <w:autoSpaceDN w:val="0"/>
              <w:adjustRightInd w:val="0"/>
              <w:spacing w:line="360" w:lineRule="auto"/>
              <w:jc w:val="center"/>
              <w:rPr>
                <w:rFonts w:ascii="宋体" w:hAnsi="宋体" w:eastAsia="宋体" w:cs="宋体"/>
                <w:color w:val="auto"/>
                <w:kern w:val="0"/>
                <w:szCs w:val="21"/>
                <w:highlight w:val="none"/>
              </w:rPr>
            </w:pPr>
          </w:p>
        </w:tc>
      </w:tr>
      <w:tr w14:paraId="1E91D2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7E484803">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370" w:type="pct"/>
            <w:tcBorders>
              <w:top w:val="single" w:color="auto" w:sz="4" w:space="0"/>
              <w:left w:val="single" w:color="auto" w:sz="4" w:space="0"/>
              <w:bottom w:val="single" w:color="auto" w:sz="4" w:space="0"/>
              <w:right w:val="single" w:color="auto" w:sz="4" w:space="0"/>
            </w:tcBorders>
            <w:vAlign w:val="center"/>
          </w:tcPr>
          <w:p w14:paraId="198085C4">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1AC0A943">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072C7370">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4901A0C4">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4232E36D">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74441868">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5356FB8D">
            <w:pPr>
              <w:autoSpaceDE w:val="0"/>
              <w:autoSpaceDN w:val="0"/>
              <w:adjustRightInd w:val="0"/>
              <w:spacing w:line="360" w:lineRule="auto"/>
              <w:jc w:val="center"/>
              <w:rPr>
                <w:rFonts w:ascii="宋体" w:hAnsi="宋体" w:eastAsia="宋体" w:cs="宋体"/>
                <w:color w:val="auto"/>
                <w:kern w:val="0"/>
                <w:szCs w:val="21"/>
                <w:highlight w:val="none"/>
              </w:rPr>
            </w:pPr>
          </w:p>
        </w:tc>
        <w:tc>
          <w:tcPr>
            <w:tcW w:w="309" w:type="pct"/>
            <w:tcBorders>
              <w:top w:val="single" w:color="auto" w:sz="4" w:space="0"/>
              <w:left w:val="single" w:color="auto" w:sz="4" w:space="0"/>
              <w:bottom w:val="single" w:color="auto" w:sz="4" w:space="0"/>
              <w:right w:val="single" w:color="auto" w:sz="4" w:space="0"/>
            </w:tcBorders>
          </w:tcPr>
          <w:p w14:paraId="600816BC">
            <w:pPr>
              <w:autoSpaceDE w:val="0"/>
              <w:autoSpaceDN w:val="0"/>
              <w:adjustRightInd w:val="0"/>
              <w:spacing w:line="360" w:lineRule="auto"/>
              <w:jc w:val="center"/>
              <w:rPr>
                <w:rFonts w:ascii="宋体" w:hAnsi="宋体" w:eastAsia="宋体" w:cs="宋体"/>
                <w:color w:val="auto"/>
                <w:kern w:val="0"/>
                <w:szCs w:val="21"/>
                <w:highlight w:val="none"/>
              </w:rPr>
            </w:pPr>
          </w:p>
        </w:tc>
        <w:tc>
          <w:tcPr>
            <w:tcW w:w="243" w:type="pct"/>
            <w:tcBorders>
              <w:top w:val="single" w:color="auto" w:sz="4" w:space="0"/>
              <w:left w:val="single" w:color="auto" w:sz="4" w:space="0"/>
              <w:bottom w:val="single" w:color="auto" w:sz="4" w:space="0"/>
              <w:right w:val="single" w:color="auto" w:sz="4" w:space="0"/>
            </w:tcBorders>
            <w:vAlign w:val="center"/>
          </w:tcPr>
          <w:p w14:paraId="097FEECB">
            <w:pPr>
              <w:autoSpaceDE w:val="0"/>
              <w:autoSpaceDN w:val="0"/>
              <w:adjustRightInd w:val="0"/>
              <w:spacing w:line="360" w:lineRule="auto"/>
              <w:jc w:val="center"/>
              <w:rPr>
                <w:rFonts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039F00D3">
            <w:pPr>
              <w:autoSpaceDE w:val="0"/>
              <w:autoSpaceDN w:val="0"/>
              <w:adjustRightInd w:val="0"/>
              <w:spacing w:line="360" w:lineRule="auto"/>
              <w:jc w:val="center"/>
              <w:rPr>
                <w:rFonts w:ascii="宋体" w:hAnsi="宋体" w:eastAsia="宋体" w:cs="宋体"/>
                <w:color w:val="auto"/>
                <w:kern w:val="0"/>
                <w:szCs w:val="21"/>
                <w:highlight w:val="none"/>
              </w:rPr>
            </w:pPr>
          </w:p>
        </w:tc>
        <w:tc>
          <w:tcPr>
            <w:tcW w:w="343" w:type="pct"/>
            <w:tcBorders>
              <w:top w:val="single" w:color="auto" w:sz="4" w:space="0"/>
              <w:left w:val="single" w:color="auto" w:sz="4" w:space="0"/>
              <w:bottom w:val="single" w:color="auto" w:sz="4" w:space="0"/>
              <w:right w:val="single" w:color="auto" w:sz="4" w:space="0"/>
            </w:tcBorders>
            <w:vAlign w:val="center"/>
          </w:tcPr>
          <w:p w14:paraId="12BC7AF0">
            <w:pPr>
              <w:autoSpaceDE w:val="0"/>
              <w:autoSpaceDN w:val="0"/>
              <w:adjustRightInd w:val="0"/>
              <w:spacing w:line="360" w:lineRule="auto"/>
              <w:jc w:val="center"/>
              <w:rPr>
                <w:rFonts w:ascii="宋体" w:hAnsi="宋体" w:eastAsia="宋体" w:cs="宋体"/>
                <w:color w:val="auto"/>
                <w:kern w:val="0"/>
                <w:szCs w:val="21"/>
                <w:highlight w:val="none"/>
              </w:rPr>
            </w:pPr>
          </w:p>
        </w:tc>
        <w:tc>
          <w:tcPr>
            <w:tcW w:w="276" w:type="pct"/>
            <w:tcBorders>
              <w:top w:val="single" w:color="auto" w:sz="4" w:space="0"/>
              <w:left w:val="single" w:color="auto" w:sz="4" w:space="0"/>
              <w:bottom w:val="single" w:color="auto" w:sz="4" w:space="0"/>
              <w:right w:val="single" w:color="auto" w:sz="4" w:space="0"/>
            </w:tcBorders>
            <w:vAlign w:val="center"/>
          </w:tcPr>
          <w:p w14:paraId="37FB5835">
            <w:pPr>
              <w:autoSpaceDE w:val="0"/>
              <w:autoSpaceDN w:val="0"/>
              <w:adjustRightInd w:val="0"/>
              <w:spacing w:line="360" w:lineRule="auto"/>
              <w:jc w:val="center"/>
              <w:rPr>
                <w:rFonts w:ascii="宋体" w:hAnsi="宋体" w:eastAsia="宋体" w:cs="宋体"/>
                <w:color w:val="auto"/>
                <w:kern w:val="0"/>
                <w:szCs w:val="21"/>
                <w:highlight w:val="none"/>
              </w:rPr>
            </w:pPr>
          </w:p>
        </w:tc>
      </w:tr>
    </w:tbl>
    <w:p w14:paraId="68A48001">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5C4F8464">
      <w:pPr>
        <w:spacing w:line="360" w:lineRule="auto"/>
        <w:ind w:left="424" w:hanging="424" w:hangingChars="201"/>
        <w:rPr>
          <w:rFonts w:ascii="宋体" w:hAnsi="宋体" w:eastAsia="宋体" w:cs="宋体"/>
          <w:color w:val="auto"/>
          <w:szCs w:val="21"/>
          <w:highlight w:val="none"/>
          <w:lang w:val="zh-CN"/>
        </w:rPr>
      </w:pPr>
      <w:r>
        <w:rPr>
          <w:rFonts w:hint="eastAsia" w:ascii="宋体" w:hAnsi="宋体" w:eastAsia="宋体" w:cs="宋体"/>
          <w:b/>
          <w:bCs/>
          <w:color w:val="auto"/>
          <w:szCs w:val="21"/>
          <w:highlight w:val="none"/>
          <w:lang w:val="zh-CN"/>
        </w:rPr>
        <w:t>（1）</w:t>
      </w:r>
      <w:r>
        <w:rPr>
          <w:rFonts w:hint="eastAsia" w:ascii="宋体" w:hAnsi="宋体" w:eastAsia="宋体" w:cs="宋体"/>
          <w:b/>
          <w:bCs/>
          <w:color w:val="auto"/>
          <w:szCs w:val="21"/>
          <w:highlight w:val="none"/>
        </w:rPr>
        <w:t>作为投标人资格条件证明的业绩放置在此处</w:t>
      </w:r>
      <w:r>
        <w:rPr>
          <w:rFonts w:hint="eastAsia" w:ascii="宋体" w:hAnsi="宋体" w:eastAsia="宋体" w:cs="宋体"/>
          <w:color w:val="auto"/>
          <w:szCs w:val="21"/>
          <w:highlight w:val="none"/>
          <w:lang w:val="zh-CN"/>
        </w:rPr>
        <w:t>。</w:t>
      </w:r>
    </w:p>
    <w:p w14:paraId="46F149A3">
      <w:pPr>
        <w:spacing w:line="360" w:lineRule="auto"/>
        <w:ind w:left="424" w:hanging="424" w:hangingChars="201"/>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（2）</w:t>
      </w:r>
      <w:r>
        <w:rPr>
          <w:rFonts w:hint="eastAsia" w:ascii="宋体" w:hAnsi="宋体" w:eastAsia="宋体" w:cs="宋体"/>
          <w:b/>
          <w:color w:val="auto"/>
          <w:kern w:val="0"/>
          <w:szCs w:val="21"/>
          <w:highlight w:val="none"/>
        </w:rPr>
        <w:t>业绩须同时附合同原件扫描件、并网验收证明原件扫描件，和合同下对应任意1份已供货或实施的发票扫描件（发票销售方应为投标人/联合体的牵头单位，非合同能源管理模式下以电费回收成本的项目的发票购买方应为合同买方，合同能源管理模式下以电费回收成本的项目的发票购买方可为合同买方或为能源使用方）</w:t>
      </w:r>
      <w:r>
        <w:rPr>
          <w:rFonts w:hint="eastAsia" w:ascii="宋体" w:hAnsi="宋体" w:eastAsia="宋体" w:cs="宋体"/>
          <w:b/>
          <w:bCs/>
          <w:color w:val="auto"/>
          <w:szCs w:val="21"/>
          <w:highlight w:val="none"/>
          <w:lang w:val="zh-CN"/>
        </w:rPr>
        <w:t>。</w:t>
      </w:r>
    </w:p>
    <w:p w14:paraId="4CAE2DEA">
      <w:pPr>
        <w:tabs>
          <w:tab w:val="left" w:pos="567"/>
        </w:tabs>
        <w:autoSpaceDE w:val="0"/>
        <w:autoSpaceDN w:val="0"/>
        <w:adjustRightInd w:val="0"/>
        <w:spacing w:line="360" w:lineRule="auto"/>
        <w:ind w:left="420" w:hanging="420" w:hangingChars="200"/>
        <w:jc w:val="left"/>
        <w:outlineLvl w:val="2"/>
        <w:rPr>
          <w:rFonts w:ascii="宋体" w:hAnsi="宋体" w:eastAsia="宋体" w:cs="宋体"/>
          <w:bCs/>
          <w:color w:val="auto"/>
          <w:szCs w:val="21"/>
          <w:highlight w:val="none"/>
        </w:rPr>
      </w:pPr>
      <w:bookmarkStart w:id="1086" w:name="_Toc14004"/>
      <w:bookmarkStart w:id="1087" w:name="_Toc27959"/>
      <w:bookmarkStart w:id="1088" w:name="_Toc1010"/>
      <w:bookmarkStart w:id="1089" w:name="_Toc22543"/>
      <w:bookmarkStart w:id="1090" w:name="_Toc8140"/>
      <w:bookmarkStart w:id="1091" w:name="_Toc14640"/>
      <w:bookmarkStart w:id="1092" w:name="_Toc6253"/>
      <w:bookmarkStart w:id="1093" w:name="_Toc14967"/>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lang w:val="zh-CN"/>
        </w:rPr>
        <w:t>）</w:t>
      </w:r>
      <w:r>
        <w:rPr>
          <w:rFonts w:hint="eastAsia" w:ascii="宋体" w:hAnsi="宋体" w:eastAsia="宋体" w:cs="宋体"/>
          <w:b/>
          <w:color w:val="auto"/>
          <w:kern w:val="0"/>
          <w:szCs w:val="21"/>
          <w:highlight w:val="none"/>
        </w:rPr>
        <w:t>分布式光伏发电项目业绩合同范围/合同服务内容仅为设计、接入方案编制、维修维护类服务的，该类项目业绩不予认可；业绩合同必须包含反映合同名称、签约双方信息、合同标的/合同范围/合同服务内容、加盖合同各方印章的落款等信息的关键页，并网验收证明必须有项目属地电力管理部门（如供电局、供电公司、供电管理/服务中心、电网公司、供电所）的印章，否则该类业绩不予认可。</w:t>
      </w:r>
    </w:p>
    <w:p w14:paraId="7ABB755A">
      <w:pPr>
        <w:tabs>
          <w:tab w:val="left" w:pos="567"/>
        </w:tabs>
        <w:autoSpaceDE w:val="0"/>
        <w:autoSpaceDN w:val="0"/>
        <w:adjustRightInd w:val="0"/>
        <w:spacing w:line="360" w:lineRule="auto"/>
        <w:ind w:left="420" w:hanging="420" w:hangingChars="200"/>
        <w:jc w:val="left"/>
        <w:outlineLvl w:val="2"/>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rPr>
        <w:t>4</w:t>
      </w:r>
      <w:r>
        <w:rPr>
          <w:rFonts w:hint="eastAsia" w:ascii="宋体" w:hAnsi="宋体" w:eastAsia="宋体" w:cs="宋体"/>
          <w:bCs/>
          <w:color w:val="auto"/>
          <w:szCs w:val="21"/>
          <w:highlight w:val="none"/>
          <w:lang w:val="zh-CN"/>
        </w:rPr>
        <w:t>）</w:t>
      </w:r>
      <w:r>
        <w:rPr>
          <w:rFonts w:hint="eastAsia" w:ascii="宋体" w:hAnsi="宋体" w:eastAsia="宋体" w:cs="宋体"/>
          <w:b/>
          <w:color w:val="auto"/>
          <w:szCs w:val="21"/>
          <w:highlight w:val="none"/>
          <w:lang w:val="zh-CN"/>
        </w:rPr>
        <w:t>若合同</w:t>
      </w:r>
      <w:r>
        <w:rPr>
          <w:rFonts w:hint="eastAsia" w:ascii="宋体" w:hAnsi="宋体" w:eastAsia="宋体" w:cs="宋体"/>
          <w:b/>
          <w:color w:val="auto"/>
          <w:szCs w:val="21"/>
          <w:highlight w:val="none"/>
        </w:rPr>
        <w:t>和并网验收证明</w:t>
      </w:r>
      <w:r>
        <w:rPr>
          <w:rFonts w:hint="eastAsia" w:ascii="宋体" w:hAnsi="宋体" w:eastAsia="宋体" w:cs="宋体"/>
          <w:b/>
          <w:color w:val="auto"/>
          <w:szCs w:val="21"/>
          <w:highlight w:val="none"/>
          <w:lang w:val="zh-CN"/>
        </w:rPr>
        <w:t>无法反映资格业绩条件</w:t>
      </w:r>
      <w:r>
        <w:rPr>
          <w:rFonts w:hint="eastAsia" w:ascii="宋体" w:hAnsi="宋体" w:eastAsia="宋体" w:cs="宋体"/>
          <w:bCs/>
          <w:color w:val="auto"/>
          <w:szCs w:val="21"/>
          <w:highlight w:val="none"/>
          <w:lang w:val="zh-CN"/>
        </w:rPr>
        <w:t>【</w:t>
      </w:r>
      <w:r>
        <w:rPr>
          <w:rFonts w:hint="eastAsia" w:ascii="宋体" w:hAnsi="宋体" w:eastAsia="宋体" w:cs="宋体"/>
          <w:b/>
          <w:color w:val="auto"/>
          <w:szCs w:val="21"/>
          <w:highlight w:val="none"/>
          <w:lang w:val="zh-CN"/>
        </w:rPr>
        <w:t>1.合同签订日期为</w:t>
      </w:r>
      <w:r>
        <w:rPr>
          <w:rFonts w:hint="eastAsia" w:ascii="宋体" w:hAnsi="宋体" w:eastAsia="宋体" w:cs="宋体"/>
          <w:b/>
          <w:color w:val="auto"/>
          <w:szCs w:val="21"/>
          <w:highlight w:val="none"/>
        </w:rPr>
        <w:t>2022</w:t>
      </w:r>
      <w:r>
        <w:rPr>
          <w:rFonts w:hint="eastAsia" w:ascii="宋体" w:hAnsi="宋体" w:eastAsia="宋体" w:cs="宋体"/>
          <w:b/>
          <w:color w:val="auto"/>
          <w:szCs w:val="21"/>
          <w:highlight w:val="none"/>
          <w:lang w:val="zh-CN"/>
        </w:rPr>
        <w:t>年1月1日或以后；</w:t>
      </w:r>
      <w:r>
        <w:rPr>
          <w:rFonts w:hint="eastAsia" w:ascii="宋体" w:hAnsi="宋体" w:eastAsia="宋体" w:cs="宋体"/>
          <w:b/>
          <w:color w:val="auto"/>
          <w:kern w:val="0"/>
          <w:szCs w:val="21"/>
          <w:highlight w:val="none"/>
        </w:rPr>
        <w:t>2.合同标的必须为分布式光伏发电的业绩（若合同文本和并网验收证明反映的光伏发电类别不一致时，以并网验收证明上反映的光伏发电类别为准）；3.合同范围/合同服务内容。</w:t>
      </w:r>
      <w:r>
        <w:rPr>
          <w:rFonts w:hint="eastAsia" w:ascii="宋体" w:hAnsi="宋体" w:eastAsia="宋体" w:cs="宋体"/>
          <w:bCs/>
          <w:color w:val="auto"/>
          <w:szCs w:val="21"/>
          <w:highlight w:val="none"/>
          <w:lang w:val="zh-CN"/>
        </w:rPr>
        <w:t>】</w:t>
      </w:r>
      <w:r>
        <w:rPr>
          <w:rFonts w:hint="eastAsia" w:ascii="宋体" w:hAnsi="宋体" w:eastAsia="宋体" w:cs="宋体"/>
          <w:b/>
          <w:color w:val="auto"/>
          <w:szCs w:val="21"/>
          <w:highlight w:val="none"/>
          <w:lang w:val="zh-CN"/>
        </w:rPr>
        <w:t>，还需提供合同</w:t>
      </w:r>
      <w:r>
        <w:rPr>
          <w:rFonts w:hint="eastAsia" w:ascii="宋体" w:hAnsi="宋体" w:eastAsia="宋体" w:cs="宋体"/>
          <w:b/>
          <w:color w:val="auto"/>
          <w:szCs w:val="21"/>
          <w:highlight w:val="none"/>
        </w:rPr>
        <w:t>甲方</w:t>
      </w:r>
      <w:r>
        <w:rPr>
          <w:rFonts w:hint="eastAsia" w:ascii="宋体" w:hAnsi="宋体" w:eastAsia="宋体" w:cs="宋体"/>
          <w:b/>
          <w:color w:val="auto"/>
          <w:szCs w:val="21"/>
          <w:highlight w:val="none"/>
          <w:lang w:val="zh-CN"/>
        </w:rPr>
        <w:t>出具的书面补充说明文件</w:t>
      </w:r>
      <w:r>
        <w:rPr>
          <w:rFonts w:hint="eastAsia" w:ascii="宋体" w:hAnsi="宋体" w:eastAsia="宋体" w:cs="宋体"/>
          <w:b/>
          <w:color w:val="auto"/>
          <w:szCs w:val="21"/>
          <w:highlight w:val="none"/>
        </w:rPr>
        <w:t>原件扫描件</w:t>
      </w:r>
      <w:r>
        <w:rPr>
          <w:rFonts w:hint="eastAsia" w:ascii="宋体" w:hAnsi="宋体" w:eastAsia="宋体" w:cs="宋体"/>
          <w:b/>
          <w:color w:val="auto"/>
          <w:szCs w:val="21"/>
          <w:highlight w:val="none"/>
          <w:lang w:val="zh-CN"/>
        </w:rPr>
        <w:t>作为辅助证明（补充说明文件</w:t>
      </w:r>
      <w:r>
        <w:rPr>
          <w:rFonts w:hint="eastAsia" w:ascii="宋体" w:hAnsi="宋体" w:eastAsia="宋体" w:cs="宋体"/>
          <w:b/>
          <w:color w:val="auto"/>
          <w:szCs w:val="21"/>
          <w:highlight w:val="none"/>
        </w:rPr>
        <w:t>原件扫描件</w:t>
      </w:r>
      <w:r>
        <w:rPr>
          <w:rFonts w:hint="eastAsia" w:ascii="宋体" w:hAnsi="宋体" w:eastAsia="宋体" w:cs="宋体"/>
          <w:b/>
          <w:color w:val="auto"/>
          <w:szCs w:val="21"/>
          <w:highlight w:val="none"/>
          <w:lang w:val="zh-CN"/>
        </w:rPr>
        <w:t>能显示合同</w:t>
      </w:r>
      <w:r>
        <w:rPr>
          <w:rFonts w:hint="eastAsia" w:ascii="宋体" w:hAnsi="宋体" w:eastAsia="宋体" w:cs="宋体"/>
          <w:b/>
          <w:color w:val="auto"/>
          <w:szCs w:val="21"/>
          <w:highlight w:val="none"/>
        </w:rPr>
        <w:t>甲方</w:t>
      </w:r>
      <w:r>
        <w:rPr>
          <w:rFonts w:hint="eastAsia" w:ascii="宋体" w:hAnsi="宋体" w:eastAsia="宋体" w:cs="宋体"/>
          <w:b/>
          <w:color w:val="auto"/>
          <w:szCs w:val="21"/>
          <w:highlight w:val="none"/>
          <w:lang w:val="zh-CN"/>
        </w:rPr>
        <w:t>公章）</w:t>
      </w:r>
      <w:r>
        <w:rPr>
          <w:rFonts w:hint="eastAsia" w:ascii="宋体" w:hAnsi="宋体" w:eastAsia="宋体" w:cs="宋体"/>
          <w:bCs/>
          <w:color w:val="auto"/>
          <w:szCs w:val="21"/>
          <w:highlight w:val="none"/>
          <w:lang w:val="zh-CN"/>
        </w:rPr>
        <w:t>。</w:t>
      </w:r>
      <w:bookmarkEnd w:id="1086"/>
      <w:bookmarkEnd w:id="1087"/>
      <w:bookmarkEnd w:id="1088"/>
      <w:bookmarkEnd w:id="1089"/>
      <w:bookmarkEnd w:id="1090"/>
      <w:bookmarkEnd w:id="1091"/>
    </w:p>
    <w:p w14:paraId="2A341E16">
      <w:pPr>
        <w:tabs>
          <w:tab w:val="left" w:pos="567"/>
        </w:tabs>
        <w:autoSpaceDE w:val="0"/>
        <w:autoSpaceDN w:val="0"/>
        <w:adjustRightInd w:val="0"/>
        <w:spacing w:line="360" w:lineRule="auto"/>
        <w:ind w:left="420" w:hanging="420" w:hangingChars="200"/>
        <w:jc w:val="left"/>
        <w:outlineLvl w:val="2"/>
        <w:rPr>
          <w:rFonts w:ascii="宋体" w:hAnsi="宋体" w:eastAsia="宋体" w:cs="宋体"/>
          <w:b/>
          <w:color w:val="auto"/>
          <w:szCs w:val="21"/>
          <w:highlight w:val="none"/>
        </w:rPr>
      </w:pPr>
      <w:bookmarkStart w:id="1094" w:name="_Toc18908"/>
      <w:bookmarkStart w:id="1095" w:name="_Toc3854"/>
      <w:bookmarkStart w:id="1096" w:name="_Toc18049"/>
      <w:bookmarkStart w:id="1097" w:name="_Toc20374"/>
      <w:bookmarkStart w:id="1098" w:name="_Toc30018"/>
      <w:bookmarkStart w:id="1099" w:name="_Toc22967"/>
      <w:r>
        <w:rPr>
          <w:rFonts w:hint="eastAsia" w:ascii="宋体" w:hAnsi="宋体" w:eastAsia="宋体" w:cs="宋体"/>
          <w:bCs/>
          <w:color w:val="auto"/>
          <w:szCs w:val="21"/>
          <w:highlight w:val="none"/>
          <w:lang w:val="zh-CN"/>
        </w:rPr>
        <w:t>（</w:t>
      </w:r>
      <w:r>
        <w:rPr>
          <w:rFonts w:ascii="宋体" w:hAnsi="宋体" w:eastAsia="宋体" w:cs="宋体"/>
          <w:bCs/>
          <w:color w:val="auto"/>
          <w:szCs w:val="21"/>
          <w:highlight w:val="none"/>
        </w:rPr>
        <w:t>5</w:t>
      </w:r>
      <w:r>
        <w:rPr>
          <w:rFonts w:hint="eastAsia" w:ascii="宋体" w:hAnsi="宋体" w:eastAsia="宋体" w:cs="宋体"/>
          <w:bCs/>
          <w:color w:val="auto"/>
          <w:szCs w:val="21"/>
          <w:highlight w:val="none"/>
          <w:lang w:val="zh-CN"/>
        </w:rPr>
        <w:t>）</w:t>
      </w:r>
      <w:bookmarkEnd w:id="1092"/>
      <w:bookmarkEnd w:id="1093"/>
      <w:r>
        <w:rPr>
          <w:rFonts w:hint="eastAsia" w:ascii="宋体" w:hAnsi="宋体" w:eastAsia="宋体" w:cs="宋体"/>
          <w:b/>
          <w:color w:val="auto"/>
          <w:kern w:val="0"/>
          <w:szCs w:val="21"/>
          <w:highlight w:val="none"/>
        </w:rPr>
        <w:t>若为联合体投标的，以联合体牵头单位提供的业绩为准，非牵头单位的的业绩不予认可。</w:t>
      </w:r>
    </w:p>
    <w:p w14:paraId="47FED984">
      <w:pPr>
        <w:tabs>
          <w:tab w:val="left" w:pos="567"/>
        </w:tabs>
        <w:autoSpaceDE w:val="0"/>
        <w:autoSpaceDN w:val="0"/>
        <w:adjustRightInd w:val="0"/>
        <w:spacing w:line="360" w:lineRule="auto"/>
        <w:ind w:left="420" w:hanging="420" w:hangingChars="200"/>
        <w:jc w:val="left"/>
        <w:outlineLvl w:val="2"/>
        <w:rPr>
          <w:rFonts w:ascii="宋体" w:hAnsi="宋体" w:eastAsia="宋体" w:cs="宋体"/>
          <w:b/>
          <w:color w:val="auto"/>
          <w:kern w:val="0"/>
          <w:sz w:val="30"/>
          <w:szCs w:val="30"/>
          <w:highlight w:val="none"/>
        </w:rPr>
      </w:pPr>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lang w:val="zh-CN"/>
        </w:rPr>
        <w:t>）</w:t>
      </w:r>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bookmarkEnd w:id="1094"/>
      <w:bookmarkEnd w:id="1095"/>
      <w:bookmarkEnd w:id="1096"/>
      <w:bookmarkEnd w:id="1097"/>
      <w:bookmarkEnd w:id="1098"/>
      <w:bookmarkEnd w:id="1099"/>
    </w:p>
    <w:p w14:paraId="60498062">
      <w:pPr>
        <w:tabs>
          <w:tab w:val="left" w:pos="567"/>
        </w:tabs>
        <w:autoSpaceDE w:val="0"/>
        <w:autoSpaceDN w:val="0"/>
        <w:adjustRightInd w:val="0"/>
        <w:spacing w:line="360" w:lineRule="auto"/>
        <w:jc w:val="left"/>
        <w:outlineLvl w:val="2"/>
        <w:rPr>
          <w:rFonts w:ascii="宋体" w:hAnsi="宋体" w:eastAsia="宋体" w:cs="宋体"/>
          <w:b/>
          <w:bCs/>
          <w:color w:val="auto"/>
          <w:sz w:val="32"/>
          <w:szCs w:val="32"/>
          <w:highlight w:val="none"/>
          <w:lang w:val="zh-CN"/>
        </w:rPr>
      </w:pPr>
      <w:bookmarkStart w:id="1100" w:name="_Toc21843"/>
      <w:bookmarkStart w:id="1101" w:name="_Toc8599"/>
      <w:bookmarkStart w:id="1102" w:name="_Toc8121"/>
      <w:bookmarkStart w:id="1103" w:name="_Toc195714387"/>
      <w:bookmarkStart w:id="1104" w:name="_Toc23309"/>
      <w:bookmarkStart w:id="1105" w:name="_Toc7508"/>
      <w:bookmarkStart w:id="1106" w:name="_Toc12629"/>
      <w:bookmarkStart w:id="1107" w:name="_Toc17003"/>
      <w:bookmarkStart w:id="1108" w:name="_Toc16429"/>
      <w:bookmarkStart w:id="1109" w:name="_Toc28635"/>
      <w:bookmarkStart w:id="1110" w:name="_Toc4556"/>
      <w:r>
        <w:rPr>
          <w:rFonts w:hint="eastAsia" w:ascii="宋体" w:hAnsi="宋体" w:eastAsia="宋体" w:cs="宋体"/>
          <w:b/>
          <w:color w:val="auto"/>
          <w:kern w:val="0"/>
          <w:sz w:val="30"/>
          <w:szCs w:val="30"/>
          <w:highlight w:val="none"/>
        </w:rPr>
        <w:t>4.</w:t>
      </w:r>
      <w:r>
        <w:rPr>
          <w:rFonts w:hint="eastAsia" w:ascii="宋体" w:hAnsi="宋体" w:eastAsia="宋体" w:cs="宋体"/>
          <w:b/>
          <w:color w:val="auto"/>
          <w:kern w:val="0"/>
          <w:sz w:val="30"/>
          <w:szCs w:val="30"/>
          <w:highlight w:val="none"/>
          <w:lang w:val="en-US" w:eastAsia="zh-CN"/>
        </w:rPr>
        <w:t>7</w:t>
      </w:r>
      <w:r>
        <w:rPr>
          <w:rFonts w:hint="eastAsia" w:ascii="宋体" w:hAnsi="宋体" w:eastAsia="宋体" w:cs="宋体"/>
          <w:b/>
          <w:color w:val="auto"/>
          <w:kern w:val="0"/>
          <w:sz w:val="30"/>
          <w:szCs w:val="30"/>
          <w:highlight w:val="none"/>
        </w:rPr>
        <w:t xml:space="preserve"> 最近3年投标人牵涉的其他（失信和违法）处罚说明格式</w:t>
      </w:r>
      <w:bookmarkEnd w:id="1076"/>
      <w:bookmarkEnd w:id="1077"/>
      <w:bookmarkEnd w:id="1078"/>
      <w:bookmarkEnd w:id="1079"/>
      <w:bookmarkEnd w:id="1080"/>
      <w:bookmarkEnd w:id="1100"/>
      <w:bookmarkEnd w:id="1101"/>
      <w:bookmarkEnd w:id="1102"/>
      <w:bookmarkEnd w:id="1103"/>
      <w:bookmarkEnd w:id="1104"/>
      <w:bookmarkEnd w:id="1105"/>
      <w:bookmarkEnd w:id="1106"/>
      <w:bookmarkEnd w:id="1107"/>
      <w:bookmarkEnd w:id="1108"/>
      <w:bookmarkEnd w:id="1109"/>
      <w:bookmarkEnd w:id="1110"/>
    </w:p>
    <w:p w14:paraId="0CDC8FD2">
      <w:pPr>
        <w:autoSpaceDE w:val="0"/>
        <w:autoSpaceDN w:val="0"/>
        <w:adjustRightInd w:val="0"/>
        <w:spacing w:line="360" w:lineRule="auto"/>
        <w:jc w:val="center"/>
        <w:outlineLvl w:val="1"/>
        <w:rPr>
          <w:rFonts w:ascii="宋体" w:hAnsi="宋体" w:eastAsia="宋体" w:cs="宋体"/>
          <w:color w:val="auto"/>
          <w:kern w:val="0"/>
          <w:sz w:val="24"/>
          <w:szCs w:val="24"/>
          <w:highlight w:val="none"/>
        </w:rPr>
      </w:pPr>
      <w:bookmarkStart w:id="1111" w:name="_Toc13432"/>
      <w:bookmarkStart w:id="1112" w:name="_Toc15974"/>
      <w:bookmarkStart w:id="1113" w:name="_Toc18260"/>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bookmarkEnd w:id="1111"/>
      <w:bookmarkEnd w:id="1112"/>
      <w:bookmarkEnd w:id="1113"/>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2528B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jc w:val="center"/>
        </w:trPr>
        <w:tc>
          <w:tcPr>
            <w:tcW w:w="4253" w:type="dxa"/>
            <w:vAlign w:val="center"/>
          </w:tcPr>
          <w:p w14:paraId="20DBAC6A">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54966083">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3F8EB17C">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1315E319">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724A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38AE553D">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79D827D6">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478073F5">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405AD9CF">
            <w:pPr>
              <w:autoSpaceDE w:val="0"/>
              <w:autoSpaceDN w:val="0"/>
              <w:adjustRightInd w:val="0"/>
              <w:spacing w:line="360" w:lineRule="auto"/>
              <w:jc w:val="center"/>
              <w:rPr>
                <w:rFonts w:ascii="宋体" w:hAnsi="宋体" w:eastAsia="宋体" w:cs="宋体"/>
                <w:color w:val="auto"/>
                <w:kern w:val="0"/>
                <w:szCs w:val="21"/>
                <w:highlight w:val="none"/>
              </w:rPr>
            </w:pPr>
          </w:p>
        </w:tc>
      </w:tr>
      <w:tr w14:paraId="338C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459CFF03">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4B55F4A4">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15D28F13">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092E045C">
            <w:pPr>
              <w:autoSpaceDE w:val="0"/>
              <w:autoSpaceDN w:val="0"/>
              <w:adjustRightInd w:val="0"/>
              <w:spacing w:line="360" w:lineRule="auto"/>
              <w:jc w:val="center"/>
              <w:rPr>
                <w:rFonts w:ascii="宋体" w:hAnsi="宋体" w:eastAsia="宋体" w:cs="宋体"/>
                <w:color w:val="auto"/>
                <w:kern w:val="0"/>
                <w:szCs w:val="21"/>
                <w:highlight w:val="none"/>
              </w:rPr>
            </w:pPr>
          </w:p>
        </w:tc>
      </w:tr>
      <w:tr w14:paraId="22EC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496B2960">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vAlign w:val="center"/>
          </w:tcPr>
          <w:p w14:paraId="40D96CE6">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790C802D">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13AD7CE7">
            <w:pPr>
              <w:autoSpaceDE w:val="0"/>
              <w:autoSpaceDN w:val="0"/>
              <w:adjustRightInd w:val="0"/>
              <w:spacing w:line="360" w:lineRule="auto"/>
              <w:jc w:val="center"/>
              <w:rPr>
                <w:rFonts w:ascii="宋体" w:hAnsi="宋体" w:eastAsia="宋体" w:cs="宋体"/>
                <w:color w:val="auto"/>
                <w:kern w:val="0"/>
                <w:szCs w:val="21"/>
                <w:highlight w:val="none"/>
              </w:rPr>
            </w:pPr>
          </w:p>
        </w:tc>
      </w:tr>
    </w:tbl>
    <w:p w14:paraId="223B49A1">
      <w:pPr>
        <w:autoSpaceDE w:val="0"/>
        <w:autoSpaceDN w:val="0"/>
        <w:adjustRightInd w:val="0"/>
        <w:spacing w:line="360" w:lineRule="auto"/>
        <w:jc w:val="left"/>
        <w:rPr>
          <w:rFonts w:ascii="宋体" w:hAnsi="宋体" w:eastAsia="宋体" w:cs="宋体"/>
          <w:color w:val="auto"/>
          <w:kern w:val="0"/>
          <w:szCs w:val="21"/>
          <w:highlight w:val="none"/>
        </w:rPr>
      </w:pPr>
    </w:p>
    <w:p w14:paraId="424BC1F8">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45411D93">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（1）根据投标人及其不具有独立法人资格的分支机构的实际情况自行编写，无相关事项的，在 “认定时间”列填“无”；若受到相关处罚的应附处罚相关材料扫描件；若出现相关处罚的处罚期满,但处罚公示没有及时更新的情况,投标人须提供相关材料（扫描件）佐证，需原件备查</w:t>
      </w:r>
      <w:r>
        <w:rPr>
          <w:rFonts w:hint="eastAsia" w:ascii="宋体" w:hAnsi="宋体" w:eastAsia="宋体" w:cs="宋体"/>
          <w:color w:val="auto"/>
          <w:szCs w:val="21"/>
          <w:highlight w:val="none"/>
          <w:lang w:val="zh-CN"/>
        </w:rPr>
        <w:t>。</w:t>
      </w:r>
    </w:p>
    <w:p w14:paraId="251A6299">
      <w:pPr>
        <w:autoSpaceDE w:val="0"/>
        <w:autoSpaceDN w:val="0"/>
        <w:adjustRightInd w:val="0"/>
        <w:spacing w:line="360" w:lineRule="auto"/>
        <w:jc w:val="left"/>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rPr>
        <w:t>（2）联合体投标的，则联合体各方均提交。</w:t>
      </w:r>
    </w:p>
    <w:p w14:paraId="4B1C0F13">
      <w:pPr>
        <w:autoSpaceDE w:val="0"/>
        <w:autoSpaceDN w:val="0"/>
        <w:adjustRightInd w:val="0"/>
        <w:ind w:right="-23" w:rightChars="-11"/>
        <w:jc w:val="left"/>
        <w:rPr>
          <w:rFonts w:ascii="宋体" w:hAnsi="宋体" w:eastAsia="宋体" w:cs="宋体"/>
          <w:b/>
          <w:bCs/>
          <w:color w:val="auto"/>
          <w:kern w:val="0"/>
          <w:szCs w:val="21"/>
          <w:highlight w:val="none"/>
          <w:lang w:val="zh-CN"/>
        </w:rPr>
      </w:pPr>
    </w:p>
    <w:p w14:paraId="5632032F">
      <w:pPr>
        <w:autoSpaceDE w:val="0"/>
        <w:autoSpaceDN w:val="0"/>
        <w:adjustRightInd w:val="0"/>
        <w:spacing w:line="360" w:lineRule="auto"/>
        <w:jc w:val="center"/>
        <w:rPr>
          <w:rFonts w:ascii="宋体" w:hAnsi="宋体" w:eastAsia="宋体" w:cs="宋体"/>
          <w:color w:val="auto"/>
          <w:kern w:val="0"/>
          <w:sz w:val="24"/>
          <w:szCs w:val="24"/>
          <w:highlight w:val="none"/>
        </w:rPr>
      </w:pPr>
    </w:p>
    <w:p w14:paraId="5117926C">
      <w:pPr>
        <w:spacing w:line="360" w:lineRule="auto"/>
        <w:ind w:firstLine="494" w:firstLineChars="206"/>
        <w:rPr>
          <w:rFonts w:ascii="宋体" w:hAnsi="宋体" w:eastAsia="宋体" w:cs="宋体"/>
          <w:color w:val="auto"/>
          <w:kern w:val="0"/>
          <w:sz w:val="24"/>
          <w:szCs w:val="24"/>
          <w:highlight w:val="none"/>
        </w:rPr>
      </w:pPr>
    </w:p>
    <w:p w14:paraId="6285DCE7">
      <w:pPr>
        <w:spacing w:line="360" w:lineRule="auto"/>
        <w:ind w:firstLine="494" w:firstLineChars="206"/>
        <w:rPr>
          <w:rFonts w:ascii="宋体" w:hAnsi="宋体" w:eastAsia="宋体" w:cs="宋体"/>
          <w:color w:val="auto"/>
          <w:kern w:val="0"/>
          <w:sz w:val="24"/>
          <w:szCs w:val="24"/>
          <w:highlight w:val="none"/>
        </w:rPr>
      </w:pPr>
    </w:p>
    <w:p w14:paraId="5674CE58">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60330B65">
      <w:pPr>
        <w:autoSpaceDE w:val="0"/>
        <w:autoSpaceDN w:val="0"/>
        <w:adjustRightInd w:val="0"/>
        <w:spacing w:line="360" w:lineRule="auto"/>
        <w:ind w:firstLine="3780" w:firstLineChars="1800"/>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4D537323">
      <w:pPr>
        <w:autoSpaceDE w:val="0"/>
        <w:autoSpaceDN w:val="0"/>
        <w:adjustRightInd w:val="0"/>
        <w:spacing w:line="360" w:lineRule="auto"/>
        <w:jc w:val="center"/>
        <w:rPr>
          <w:rFonts w:ascii="宋体" w:hAnsi="宋体" w:eastAsia="宋体" w:cs="宋体"/>
          <w:b/>
          <w:bCs/>
          <w:color w:val="auto"/>
          <w:szCs w:val="24"/>
          <w:highlight w:val="none"/>
          <w:lang w:val="zh-CN"/>
        </w:rPr>
      </w:pPr>
    </w:p>
    <w:p w14:paraId="28B0A670">
      <w:pPr>
        <w:autoSpaceDE w:val="0"/>
        <w:autoSpaceDN w:val="0"/>
        <w:adjustRightInd w:val="0"/>
        <w:spacing w:line="360" w:lineRule="auto"/>
        <w:jc w:val="center"/>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57880EDF">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p>
    <w:p w14:paraId="2098EB58">
      <w:pPr>
        <w:rPr>
          <w:rFonts w:ascii="宋体" w:hAnsi="宋体" w:eastAsia="宋体" w:cs="宋体"/>
          <w:color w:val="auto"/>
          <w:szCs w:val="24"/>
          <w:highlight w:val="none"/>
          <w:lang w:val="zh-CN"/>
        </w:rPr>
      </w:pPr>
      <w:bookmarkStart w:id="1114" w:name="_Toc142508374"/>
      <w:bookmarkStart w:id="1115" w:name="_Toc486167714"/>
      <w:bookmarkStart w:id="1116" w:name="_Toc102860423"/>
      <w:bookmarkStart w:id="1117" w:name="_Toc140596934"/>
      <w:bookmarkStart w:id="1118" w:name="_Toc1977731"/>
      <w:bookmarkStart w:id="1119" w:name="_Toc30939"/>
      <w:bookmarkStart w:id="1120" w:name="_Toc6412"/>
      <w:bookmarkStart w:id="1121" w:name="_Toc533708126"/>
      <w:bookmarkStart w:id="1122" w:name="_Toc94107215"/>
      <w:bookmarkStart w:id="1123" w:name="_Toc102860079"/>
      <w:bookmarkStart w:id="1124" w:name="_Toc104991881"/>
      <w:bookmarkStart w:id="1125" w:name="_Toc2031_WPSOffice_Level2"/>
      <w:r>
        <w:rPr>
          <w:rFonts w:hint="eastAsia" w:ascii="宋体" w:hAnsi="宋体" w:eastAsia="宋体" w:cs="宋体"/>
          <w:color w:val="auto"/>
          <w:szCs w:val="24"/>
          <w:highlight w:val="none"/>
          <w:lang w:val="zh-CN"/>
        </w:rPr>
        <w:br w:type="page"/>
      </w:r>
    </w:p>
    <w:p w14:paraId="792CE9DF">
      <w:pPr>
        <w:tabs>
          <w:tab w:val="left" w:pos="567"/>
        </w:tabs>
        <w:autoSpaceDE w:val="0"/>
        <w:autoSpaceDN w:val="0"/>
        <w:adjustRightInd w:val="0"/>
        <w:spacing w:line="360" w:lineRule="auto"/>
        <w:jc w:val="left"/>
        <w:outlineLvl w:val="2"/>
        <w:rPr>
          <w:rFonts w:ascii="宋体" w:hAnsi="宋体" w:eastAsia="宋体" w:cs="宋体"/>
          <w:b/>
          <w:bCs/>
          <w:color w:val="auto"/>
          <w:sz w:val="32"/>
          <w:szCs w:val="32"/>
          <w:highlight w:val="none"/>
          <w:lang w:val="zh-CN"/>
        </w:rPr>
      </w:pPr>
      <w:bookmarkStart w:id="1126" w:name="_Toc27948"/>
      <w:bookmarkStart w:id="1127" w:name="_Toc7933"/>
      <w:bookmarkStart w:id="1128" w:name="_Toc15713"/>
      <w:bookmarkStart w:id="1129" w:name="_Toc14571"/>
      <w:bookmarkStart w:id="1130" w:name="_Toc21091"/>
      <w:bookmarkStart w:id="1131" w:name="_Toc18201"/>
      <w:bookmarkStart w:id="1132" w:name="OLE_LINK56"/>
      <w:bookmarkStart w:id="1133" w:name="OLE_LINK68"/>
      <w:bookmarkStart w:id="1134" w:name="_Toc18145"/>
      <w:bookmarkStart w:id="1135" w:name="_Toc195714388"/>
      <w:bookmarkStart w:id="1136" w:name="_Toc18126"/>
      <w:bookmarkStart w:id="1137" w:name="_Toc115"/>
      <w:bookmarkStart w:id="1138" w:name="_Toc3374"/>
      <w:bookmarkStart w:id="1139" w:name="_Toc17508"/>
      <w:r>
        <w:rPr>
          <w:rFonts w:hint="eastAsia" w:ascii="宋体" w:hAnsi="宋体" w:eastAsia="宋体" w:cs="宋体"/>
          <w:b/>
          <w:color w:val="auto"/>
          <w:kern w:val="0"/>
          <w:sz w:val="30"/>
          <w:szCs w:val="30"/>
          <w:highlight w:val="none"/>
        </w:rPr>
        <w:t>4.</w:t>
      </w:r>
      <w:r>
        <w:rPr>
          <w:rFonts w:hint="eastAsia" w:ascii="宋体" w:hAnsi="宋体" w:eastAsia="宋体" w:cs="宋体"/>
          <w:b/>
          <w:color w:val="auto"/>
          <w:kern w:val="0"/>
          <w:sz w:val="30"/>
          <w:szCs w:val="30"/>
          <w:highlight w:val="none"/>
          <w:lang w:val="en-US" w:eastAsia="zh-CN"/>
        </w:rPr>
        <w:t>8</w:t>
      </w:r>
      <w:r>
        <w:rPr>
          <w:rFonts w:hint="eastAsia" w:ascii="宋体" w:hAnsi="宋体" w:eastAsia="宋体" w:cs="宋体"/>
          <w:b/>
          <w:color w:val="auto"/>
          <w:kern w:val="0"/>
          <w:sz w:val="30"/>
          <w:szCs w:val="30"/>
          <w:highlight w:val="none"/>
        </w:rPr>
        <w:t xml:space="preserve"> </w:t>
      </w:r>
      <w:bookmarkStart w:id="1140" w:name="OLE_LINK63"/>
      <w:r>
        <w:rPr>
          <w:rFonts w:hint="eastAsia" w:ascii="宋体" w:hAnsi="宋体" w:eastAsia="宋体" w:cs="宋体"/>
          <w:b/>
          <w:color w:val="auto"/>
          <w:kern w:val="0"/>
          <w:sz w:val="30"/>
          <w:szCs w:val="30"/>
          <w:highlight w:val="none"/>
        </w:rPr>
        <w:t>联合体共同投标协议书格式（当联合体投标时提供）</w:t>
      </w:r>
      <w:bookmarkEnd w:id="1126"/>
      <w:bookmarkEnd w:id="1127"/>
      <w:bookmarkEnd w:id="1128"/>
      <w:bookmarkEnd w:id="1129"/>
      <w:bookmarkEnd w:id="1130"/>
      <w:bookmarkEnd w:id="1131"/>
      <w:bookmarkEnd w:id="1140"/>
    </w:p>
    <w:bookmarkEnd w:id="1132"/>
    <w:p w14:paraId="3A64C072">
      <w:pPr>
        <w:pStyle w:val="221"/>
        <w:spacing w:line="360" w:lineRule="auto"/>
        <w:jc w:val="center"/>
        <w:outlineLvl w:val="3"/>
        <w:rPr>
          <w:rFonts w:hint="default" w:ascii="宋体" w:hAnsi="宋体" w:eastAsia="宋体" w:cs="宋体"/>
          <w:color w:val="auto"/>
          <w:sz w:val="30"/>
          <w:szCs w:val="30"/>
          <w:highlight w:val="none"/>
        </w:rPr>
      </w:pPr>
      <w:bookmarkStart w:id="1141" w:name="OLE_LINK57"/>
      <w:bookmarkStart w:id="1142" w:name="OLE_LINK61"/>
      <w:r>
        <w:rPr>
          <w:rFonts w:ascii="宋体" w:hAnsi="宋体" w:eastAsia="宋体" w:cs="宋体"/>
          <w:b/>
          <w:color w:val="auto"/>
          <w:sz w:val="30"/>
          <w:szCs w:val="30"/>
          <w:highlight w:val="none"/>
        </w:rPr>
        <w:t>联合体共同投标协议书</w:t>
      </w:r>
      <w:bookmarkEnd w:id="1141"/>
    </w:p>
    <w:bookmarkEnd w:id="1142"/>
    <w:p w14:paraId="0B8DE1AA">
      <w:pPr>
        <w:pStyle w:val="221"/>
        <w:spacing w:line="360" w:lineRule="auto"/>
        <w:ind w:firstLine="48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立约方：</w:t>
      </w:r>
      <w:r>
        <w:rPr>
          <w:rFonts w:ascii="宋体" w:hAnsi="宋体" w:eastAsia="宋体" w:cs="宋体"/>
          <w:color w:val="auto"/>
          <w:sz w:val="21"/>
          <w:szCs w:val="21"/>
          <w:highlight w:val="none"/>
          <w:u w:val="single"/>
        </w:rPr>
        <w:t>（甲公司全称）</w:t>
      </w:r>
    </w:p>
    <w:p w14:paraId="71861716">
      <w:pPr>
        <w:pStyle w:val="221"/>
        <w:spacing w:line="360" w:lineRule="auto"/>
        <w:ind w:firstLine="480"/>
        <w:rPr>
          <w:rFonts w:hint="default" w:ascii="宋体" w:hAnsi="宋体" w:eastAsia="宋体" w:cs="宋体"/>
          <w:color w:val="auto"/>
          <w:sz w:val="21"/>
          <w:szCs w:val="21"/>
          <w:highlight w:val="none"/>
        </w:rPr>
      </w:pPr>
      <w:r>
        <w:rPr>
          <w:rFonts w:ascii="宋体" w:hAnsi="宋体" w:eastAsia="宋体" w:cs="宋体"/>
          <w:color w:val="auto"/>
          <w:sz w:val="21"/>
          <w:szCs w:val="21"/>
          <w:highlight w:val="none"/>
          <w:u w:val="single"/>
        </w:rPr>
        <w:t>（乙公司全称）</w:t>
      </w:r>
    </w:p>
    <w:p w14:paraId="048ED7DD">
      <w:pPr>
        <w:pStyle w:val="221"/>
        <w:spacing w:line="360" w:lineRule="auto"/>
        <w:ind w:firstLine="480"/>
        <w:rPr>
          <w:rFonts w:hint="default" w:ascii="宋体" w:hAnsi="宋体" w:eastAsia="宋体" w:cs="宋体"/>
          <w:color w:val="auto"/>
          <w:sz w:val="21"/>
          <w:szCs w:val="21"/>
          <w:highlight w:val="none"/>
        </w:rPr>
      </w:pPr>
    </w:p>
    <w:p w14:paraId="55BB7933">
      <w:pPr>
        <w:pStyle w:val="221"/>
        <w:spacing w:line="360" w:lineRule="auto"/>
        <w:ind w:firstLine="480"/>
        <w:rPr>
          <w:rFonts w:hint="default" w:ascii="宋体" w:hAnsi="宋体" w:eastAsia="宋体" w:cs="宋体"/>
          <w:color w:val="auto"/>
          <w:sz w:val="21"/>
          <w:szCs w:val="21"/>
          <w:highlight w:val="none"/>
        </w:rPr>
      </w:pPr>
      <w:r>
        <w:rPr>
          <w:rFonts w:ascii="宋体" w:hAnsi="宋体" w:eastAsia="宋体" w:cs="宋体"/>
          <w:color w:val="auto"/>
          <w:sz w:val="21"/>
          <w:szCs w:val="21"/>
          <w:highlight w:val="none"/>
          <w:u w:val="single"/>
        </w:rPr>
        <w:t>（甲公司全称）、（乙公司全称）</w:t>
      </w:r>
      <w:r>
        <w:rPr>
          <w:rFonts w:ascii="宋体" w:hAnsi="宋体" w:eastAsia="宋体" w:cs="宋体"/>
          <w:color w:val="auto"/>
          <w:sz w:val="21"/>
          <w:szCs w:val="21"/>
          <w:highlight w:val="none"/>
        </w:rPr>
        <w:t>自愿组成联合体，以一个投标人的身份共同参加（项目名称）（</w:t>
      </w:r>
      <w:r>
        <w:rPr>
          <w:rFonts w:ascii="宋体" w:hAnsi="宋体" w:eastAsia="宋体" w:cs="宋体"/>
          <w:color w:val="auto"/>
          <w:sz w:val="21"/>
          <w:szCs w:val="21"/>
          <w:highlight w:val="none"/>
          <w:lang w:eastAsia="zh-CN"/>
        </w:rPr>
        <w:t>招标</w:t>
      </w:r>
      <w:r>
        <w:rPr>
          <w:rFonts w:ascii="宋体" w:hAnsi="宋体" w:eastAsia="宋体" w:cs="宋体"/>
          <w:color w:val="auto"/>
          <w:sz w:val="21"/>
          <w:szCs w:val="21"/>
          <w:highlight w:val="none"/>
        </w:rPr>
        <w:t>编号）的</w:t>
      </w:r>
      <w:r>
        <w:rPr>
          <w:rFonts w:ascii="宋体" w:hAnsi="宋体" w:eastAsia="宋体" w:cs="宋体"/>
          <w:color w:val="auto"/>
          <w:sz w:val="21"/>
          <w:szCs w:val="21"/>
          <w:highlight w:val="none"/>
          <w:lang w:eastAsia="zh-CN"/>
        </w:rPr>
        <w:t>投标</w:t>
      </w:r>
      <w:r>
        <w:rPr>
          <w:rFonts w:ascii="宋体" w:hAnsi="宋体" w:eastAsia="宋体" w:cs="宋体"/>
          <w:color w:val="auto"/>
          <w:sz w:val="21"/>
          <w:szCs w:val="21"/>
          <w:highlight w:val="none"/>
        </w:rPr>
        <w:t>活动。经各方充分协商一致，就项目的</w:t>
      </w:r>
      <w:r>
        <w:rPr>
          <w:rFonts w:ascii="宋体" w:hAnsi="宋体" w:eastAsia="宋体" w:cs="宋体"/>
          <w:color w:val="auto"/>
          <w:sz w:val="21"/>
          <w:szCs w:val="21"/>
          <w:highlight w:val="none"/>
          <w:lang w:eastAsia="zh-CN"/>
        </w:rPr>
        <w:t>投标</w:t>
      </w:r>
      <w:r>
        <w:rPr>
          <w:rFonts w:ascii="宋体" w:hAnsi="宋体" w:eastAsia="宋体" w:cs="宋体"/>
          <w:color w:val="auto"/>
          <w:sz w:val="21"/>
          <w:szCs w:val="21"/>
          <w:highlight w:val="none"/>
        </w:rPr>
        <w:t>和合同实施阶段的有关事务协商一致订立协议如下：</w:t>
      </w:r>
    </w:p>
    <w:p w14:paraId="34845182">
      <w:pPr>
        <w:pStyle w:val="221"/>
        <w:spacing w:line="360" w:lineRule="auto"/>
        <w:ind w:firstLine="48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一、联合体各方关系</w:t>
      </w:r>
    </w:p>
    <w:p w14:paraId="14C27E24">
      <w:pPr>
        <w:pStyle w:val="221"/>
        <w:spacing w:line="360" w:lineRule="auto"/>
        <w:ind w:firstLine="480"/>
        <w:rPr>
          <w:rFonts w:hint="default" w:ascii="宋体" w:hAnsi="宋体" w:eastAsia="宋体" w:cs="宋体"/>
          <w:color w:val="auto"/>
          <w:sz w:val="21"/>
          <w:szCs w:val="21"/>
          <w:highlight w:val="none"/>
        </w:rPr>
      </w:pPr>
      <w:r>
        <w:rPr>
          <w:rFonts w:ascii="宋体" w:hAnsi="宋体" w:eastAsia="宋体" w:cs="宋体"/>
          <w:color w:val="auto"/>
          <w:sz w:val="21"/>
          <w:szCs w:val="21"/>
          <w:highlight w:val="none"/>
          <w:u w:val="single"/>
        </w:rPr>
        <w:t>（甲公司全称）、（乙公司全称）</w:t>
      </w:r>
      <w:r>
        <w:rPr>
          <w:rFonts w:ascii="宋体" w:hAnsi="宋体" w:eastAsia="宋体" w:cs="宋体"/>
          <w:color w:val="auto"/>
          <w:sz w:val="21"/>
          <w:szCs w:val="21"/>
          <w:highlight w:val="none"/>
        </w:rPr>
        <w:t>共同组成一个联合体，以一个投标人的身份共同参加本项目的</w:t>
      </w:r>
      <w:r>
        <w:rPr>
          <w:rFonts w:ascii="宋体" w:hAnsi="宋体" w:eastAsia="宋体" w:cs="宋体"/>
          <w:color w:val="auto"/>
          <w:sz w:val="21"/>
          <w:szCs w:val="21"/>
          <w:highlight w:val="none"/>
          <w:lang w:eastAsia="zh-CN"/>
        </w:rPr>
        <w:t>投标</w:t>
      </w:r>
      <w:r>
        <w:rPr>
          <w:rFonts w:ascii="宋体" w:hAnsi="宋体" w:eastAsia="宋体" w:cs="宋体"/>
          <w:color w:val="auto"/>
          <w:sz w:val="21"/>
          <w:szCs w:val="21"/>
          <w:highlight w:val="none"/>
        </w:rPr>
        <w:t>。（甲公司全称）、（乙公司全称）作为联合体成员，若中标，联合体各方共同与（</w:t>
      </w:r>
      <w:r>
        <w:rPr>
          <w:rFonts w:ascii="宋体" w:hAnsi="宋体" w:eastAsia="宋体" w:cs="宋体"/>
          <w:color w:val="auto"/>
          <w:sz w:val="21"/>
          <w:szCs w:val="21"/>
          <w:highlight w:val="none"/>
          <w:lang w:eastAsia="zh-CN"/>
        </w:rPr>
        <w:t>招标</w:t>
      </w:r>
      <w:r>
        <w:rPr>
          <w:rFonts w:ascii="宋体" w:hAnsi="宋体" w:eastAsia="宋体" w:cs="宋体"/>
          <w:color w:val="auto"/>
          <w:sz w:val="21"/>
          <w:szCs w:val="21"/>
          <w:highlight w:val="none"/>
        </w:rPr>
        <w:t>人）签订采购合同。</w:t>
      </w:r>
    </w:p>
    <w:p w14:paraId="7F54BCA4">
      <w:pPr>
        <w:pStyle w:val="221"/>
        <w:spacing w:line="360" w:lineRule="auto"/>
        <w:ind w:firstLine="48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二、联合体内部有关事项约定如下：</w:t>
      </w:r>
    </w:p>
    <w:p w14:paraId="2CE8232B">
      <w:pPr>
        <w:pStyle w:val="221"/>
        <w:spacing w:line="360" w:lineRule="auto"/>
        <w:ind w:firstLine="48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1.（甲公司全称）作为联合体的牵头单位，代表联合体双方负责投标和合同实施阶段的主办、协调工作。</w:t>
      </w:r>
    </w:p>
    <w:p w14:paraId="61C38B73">
      <w:pPr>
        <w:pStyle w:val="221"/>
        <w:spacing w:line="360" w:lineRule="auto"/>
        <w:ind w:firstLine="48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2.联合体将严格按照文件的各项要求，递交投标文件，切实执行一切合同文件，共同承担合同规定的一切义务和责任，同时按照内部职责的划分，承担自身所负的责任和风险，在法律上承担连带责任。</w:t>
      </w:r>
    </w:p>
    <w:p w14:paraId="29B5AA53">
      <w:pPr>
        <w:pStyle w:val="221"/>
        <w:spacing w:line="360" w:lineRule="auto"/>
        <w:ind w:firstLine="48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3.如果本联合体中标，</w:t>
      </w:r>
      <w:r>
        <w:rPr>
          <w:rFonts w:ascii="宋体" w:hAnsi="宋体" w:eastAsia="宋体" w:cs="宋体"/>
          <w:color w:val="auto"/>
          <w:sz w:val="21"/>
          <w:szCs w:val="21"/>
          <w:highlight w:val="none"/>
          <w:u w:val="single"/>
        </w:rPr>
        <w:t>（甲公司全称）</w:t>
      </w:r>
      <w:r>
        <w:rPr>
          <w:rFonts w:ascii="宋体" w:hAnsi="宋体" w:eastAsia="宋体" w:cs="宋体"/>
          <w:color w:val="auto"/>
          <w:sz w:val="21"/>
          <w:szCs w:val="21"/>
          <w:highlight w:val="none"/>
        </w:rPr>
        <w:t>负责本项目___________部分，</w:t>
      </w:r>
      <w:r>
        <w:rPr>
          <w:rFonts w:ascii="宋体" w:hAnsi="宋体" w:eastAsia="宋体" w:cs="宋体"/>
          <w:color w:val="auto"/>
          <w:sz w:val="21"/>
          <w:szCs w:val="21"/>
          <w:highlight w:val="none"/>
          <w:u w:val="single"/>
        </w:rPr>
        <w:t>（乙公司全称）</w:t>
      </w:r>
      <w:r>
        <w:rPr>
          <w:rFonts w:ascii="宋体" w:hAnsi="宋体" w:eastAsia="宋体" w:cs="宋体"/>
          <w:color w:val="auto"/>
          <w:sz w:val="21"/>
          <w:szCs w:val="21"/>
          <w:highlight w:val="none"/>
        </w:rPr>
        <w:t>负责本项目___________部分。</w:t>
      </w:r>
    </w:p>
    <w:p w14:paraId="2ABE48FF">
      <w:pPr>
        <w:pStyle w:val="221"/>
        <w:spacing w:line="360" w:lineRule="auto"/>
        <w:ind w:firstLine="48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4.如中标，联合体各方共同与（</w:t>
      </w:r>
      <w:r>
        <w:rPr>
          <w:rFonts w:ascii="宋体" w:hAnsi="宋体" w:eastAsia="宋体" w:cs="宋体"/>
          <w:color w:val="auto"/>
          <w:sz w:val="21"/>
          <w:szCs w:val="21"/>
          <w:highlight w:val="none"/>
          <w:lang w:eastAsia="zh-CN"/>
        </w:rPr>
        <w:t>招标</w:t>
      </w:r>
      <w:r>
        <w:rPr>
          <w:rFonts w:ascii="宋体" w:hAnsi="宋体" w:eastAsia="宋体" w:cs="宋体"/>
          <w:color w:val="auto"/>
          <w:sz w:val="21"/>
          <w:szCs w:val="21"/>
          <w:highlight w:val="none"/>
        </w:rPr>
        <w:t>人）签订合同书，并就中标项目向</w:t>
      </w:r>
      <w:r>
        <w:rPr>
          <w:rFonts w:ascii="宋体" w:hAnsi="宋体" w:eastAsia="宋体" w:cs="宋体"/>
          <w:color w:val="auto"/>
          <w:sz w:val="21"/>
          <w:szCs w:val="21"/>
          <w:highlight w:val="none"/>
          <w:lang w:eastAsia="zh-CN"/>
        </w:rPr>
        <w:t>招标</w:t>
      </w:r>
      <w:r>
        <w:rPr>
          <w:rFonts w:ascii="宋体" w:hAnsi="宋体" w:eastAsia="宋体" w:cs="宋体"/>
          <w:color w:val="auto"/>
          <w:sz w:val="21"/>
          <w:szCs w:val="21"/>
          <w:highlight w:val="none"/>
        </w:rPr>
        <w:t>人负责有连带的和各自的法律责任。</w:t>
      </w:r>
    </w:p>
    <w:p w14:paraId="536CA784">
      <w:pPr>
        <w:pStyle w:val="221"/>
        <w:spacing w:line="360" w:lineRule="auto"/>
        <w:ind w:firstLine="48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三、联合体各方不得再以自己名义参与</w:t>
      </w:r>
      <w:bookmarkStart w:id="1143" w:name="OLE_LINK66"/>
      <w:r>
        <w:rPr>
          <w:rFonts w:ascii="宋体" w:hAnsi="宋体" w:eastAsia="宋体" w:cs="宋体"/>
          <w:color w:val="auto"/>
          <w:sz w:val="21"/>
          <w:szCs w:val="21"/>
          <w:highlight w:val="none"/>
        </w:rPr>
        <w:t>本</w:t>
      </w:r>
      <w:bookmarkEnd w:id="1143"/>
      <w:r>
        <w:rPr>
          <w:rFonts w:ascii="宋体" w:hAnsi="宋体" w:eastAsia="宋体" w:cs="宋体"/>
          <w:color w:val="auto"/>
          <w:sz w:val="21"/>
          <w:szCs w:val="21"/>
          <w:highlight w:val="none"/>
          <w:lang w:eastAsia="zh-CN"/>
        </w:rPr>
        <w:t>项目投标</w:t>
      </w:r>
      <w:r>
        <w:rPr>
          <w:rFonts w:ascii="宋体" w:hAnsi="宋体" w:eastAsia="宋体" w:cs="宋体"/>
          <w:color w:val="auto"/>
          <w:sz w:val="21"/>
          <w:szCs w:val="21"/>
          <w:highlight w:val="none"/>
        </w:rPr>
        <w:t>，联合体各方不能作为其它联合体或单独</w:t>
      </w:r>
      <w:r>
        <w:rPr>
          <w:rFonts w:ascii="宋体" w:hAnsi="宋体" w:eastAsia="宋体" w:cs="宋体"/>
          <w:color w:val="auto"/>
          <w:sz w:val="21"/>
          <w:szCs w:val="21"/>
          <w:highlight w:val="none"/>
          <w:lang w:eastAsia="zh-CN"/>
        </w:rPr>
        <w:t>投标</w:t>
      </w:r>
      <w:r>
        <w:rPr>
          <w:rFonts w:ascii="宋体" w:hAnsi="宋体" w:eastAsia="宋体" w:cs="宋体"/>
          <w:color w:val="auto"/>
          <w:sz w:val="21"/>
          <w:szCs w:val="21"/>
          <w:highlight w:val="none"/>
        </w:rPr>
        <w:t>单位的项目组成员参加本</w:t>
      </w:r>
      <w:r>
        <w:rPr>
          <w:rFonts w:ascii="宋体" w:hAnsi="宋体" w:eastAsia="宋体" w:cs="宋体"/>
          <w:color w:val="auto"/>
          <w:sz w:val="21"/>
          <w:szCs w:val="21"/>
          <w:highlight w:val="none"/>
          <w:lang w:eastAsia="zh-CN"/>
        </w:rPr>
        <w:t>项目投标</w:t>
      </w:r>
      <w:r>
        <w:rPr>
          <w:rFonts w:ascii="宋体" w:hAnsi="宋体" w:eastAsia="宋体" w:cs="宋体"/>
          <w:color w:val="auto"/>
          <w:sz w:val="21"/>
          <w:szCs w:val="21"/>
          <w:highlight w:val="none"/>
        </w:rPr>
        <w:t>。因发生上述问题导致联合体</w:t>
      </w:r>
      <w:r>
        <w:rPr>
          <w:rFonts w:ascii="宋体" w:hAnsi="宋体" w:eastAsia="宋体" w:cs="宋体"/>
          <w:color w:val="auto"/>
          <w:sz w:val="21"/>
          <w:szCs w:val="21"/>
          <w:highlight w:val="none"/>
          <w:lang w:eastAsia="zh-CN"/>
        </w:rPr>
        <w:t>投标</w:t>
      </w:r>
      <w:r>
        <w:rPr>
          <w:rFonts w:ascii="宋体" w:hAnsi="宋体" w:eastAsia="宋体" w:cs="宋体"/>
          <w:color w:val="auto"/>
          <w:sz w:val="21"/>
          <w:szCs w:val="21"/>
          <w:highlight w:val="none"/>
        </w:rPr>
        <w:t>成为无效报价，联合体的其他成员可追究其违约责任和经济损失。</w:t>
      </w:r>
    </w:p>
    <w:p w14:paraId="26E03C2E">
      <w:pPr>
        <w:pStyle w:val="221"/>
        <w:spacing w:line="360" w:lineRule="auto"/>
        <w:ind w:firstLine="48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四、联合体如因违约过失责任而导致</w:t>
      </w:r>
      <w:r>
        <w:rPr>
          <w:rFonts w:ascii="宋体" w:hAnsi="宋体" w:eastAsia="宋体" w:cs="宋体"/>
          <w:color w:val="auto"/>
          <w:sz w:val="21"/>
          <w:szCs w:val="21"/>
          <w:highlight w:val="none"/>
          <w:lang w:eastAsia="zh-CN"/>
        </w:rPr>
        <w:t>招标</w:t>
      </w:r>
      <w:r>
        <w:rPr>
          <w:rFonts w:ascii="宋体" w:hAnsi="宋体" w:eastAsia="宋体" w:cs="宋体"/>
          <w:color w:val="auto"/>
          <w:sz w:val="21"/>
          <w:szCs w:val="21"/>
          <w:highlight w:val="none"/>
        </w:rPr>
        <w:t>人经济损失或被索赔时，本联合体任何一方均同意无条件优先清偿</w:t>
      </w:r>
      <w:r>
        <w:rPr>
          <w:rFonts w:ascii="宋体" w:hAnsi="宋体" w:eastAsia="宋体" w:cs="宋体"/>
          <w:color w:val="auto"/>
          <w:sz w:val="21"/>
          <w:szCs w:val="21"/>
          <w:highlight w:val="none"/>
          <w:lang w:eastAsia="zh-CN"/>
        </w:rPr>
        <w:t>招标</w:t>
      </w:r>
      <w:r>
        <w:rPr>
          <w:rFonts w:ascii="宋体" w:hAnsi="宋体" w:eastAsia="宋体" w:cs="宋体"/>
          <w:color w:val="auto"/>
          <w:sz w:val="21"/>
          <w:szCs w:val="21"/>
          <w:highlight w:val="none"/>
        </w:rPr>
        <w:t>人的一切债务和经济赔偿。</w:t>
      </w:r>
    </w:p>
    <w:p w14:paraId="2FBD1F4B">
      <w:pPr>
        <w:pStyle w:val="221"/>
        <w:spacing w:line="360" w:lineRule="auto"/>
        <w:ind w:firstLine="48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五、本协议在自签署之日起生效，有效期内有效，如获中标资格，合同有效期延续至合同履行完毕之日。</w:t>
      </w:r>
    </w:p>
    <w:p w14:paraId="07A6E8ED">
      <w:pPr>
        <w:pStyle w:val="221"/>
        <w:spacing w:line="360" w:lineRule="auto"/>
        <w:ind w:firstLine="48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六、本协议书正本一式_____份，随投标文件_____份，送</w:t>
      </w:r>
      <w:r>
        <w:rPr>
          <w:rFonts w:ascii="宋体" w:hAnsi="宋体" w:eastAsia="宋体" w:cs="宋体"/>
          <w:color w:val="auto"/>
          <w:sz w:val="21"/>
          <w:szCs w:val="21"/>
          <w:highlight w:val="none"/>
          <w:lang w:eastAsia="zh-CN"/>
        </w:rPr>
        <w:t>招标</w:t>
      </w:r>
      <w:r>
        <w:rPr>
          <w:rFonts w:ascii="宋体" w:hAnsi="宋体" w:eastAsia="宋体" w:cs="宋体"/>
          <w:color w:val="auto"/>
          <w:sz w:val="21"/>
          <w:szCs w:val="21"/>
          <w:highlight w:val="none"/>
        </w:rPr>
        <w:t>人_____份，联合体成员各一份；副本一式_____份，联合体成员各执_____份。</w:t>
      </w:r>
    </w:p>
    <w:p w14:paraId="049BE3A9">
      <w:pPr>
        <w:pStyle w:val="221"/>
        <w:spacing w:line="360" w:lineRule="auto"/>
        <w:rPr>
          <w:rFonts w:hint="default" w:ascii="宋体" w:hAnsi="宋体" w:eastAsia="宋体" w:cs="宋体"/>
          <w:color w:val="auto"/>
          <w:sz w:val="21"/>
          <w:szCs w:val="21"/>
          <w:highlight w:val="none"/>
        </w:rPr>
      </w:pPr>
    </w:p>
    <w:p w14:paraId="24B15937">
      <w:pPr>
        <w:pStyle w:val="221"/>
        <w:spacing w:line="360" w:lineRule="auto"/>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甲公司全称：</w:t>
      </w:r>
      <w:r>
        <w:rPr>
          <w:rFonts w:ascii="宋体" w:hAnsi="宋体" w:eastAsia="宋体" w:cs="宋体"/>
          <w:color w:val="auto"/>
          <w:sz w:val="21"/>
          <w:szCs w:val="21"/>
          <w:highlight w:val="none"/>
          <w:u w:val="single"/>
          <w:lang w:eastAsia="zh-CN"/>
        </w:rPr>
        <w:t xml:space="preserve">      </w:t>
      </w:r>
      <w:r>
        <w:rPr>
          <w:rFonts w:ascii="宋体" w:hAnsi="宋体" w:eastAsia="宋体" w:cs="宋体"/>
          <w:color w:val="auto"/>
          <w:sz w:val="21"/>
          <w:szCs w:val="21"/>
          <w:highlight w:val="none"/>
          <w:u w:val="single"/>
        </w:rPr>
        <w:t>（盖章）</w:t>
      </w:r>
      <w:r>
        <w:rPr>
          <w:rFonts w:ascii="宋体" w:hAnsi="宋体" w:eastAsia="宋体" w:cs="宋体"/>
          <w:color w:val="auto"/>
          <w:sz w:val="21"/>
          <w:szCs w:val="21"/>
          <w:highlight w:val="none"/>
          <w:u w:val="single"/>
          <w:lang w:eastAsia="zh-CN"/>
        </w:rPr>
        <w:t xml:space="preserve">      </w:t>
      </w:r>
      <w:r>
        <w:rPr>
          <w:rFonts w:ascii="宋体" w:hAnsi="宋体" w:eastAsia="宋体" w:cs="宋体"/>
          <w:color w:val="auto"/>
          <w:sz w:val="21"/>
          <w:szCs w:val="21"/>
          <w:highlight w:val="none"/>
        </w:rPr>
        <w:t>，乙公司全称：</w:t>
      </w:r>
      <w:r>
        <w:rPr>
          <w:rFonts w:ascii="宋体" w:hAnsi="宋体" w:eastAsia="宋体" w:cs="宋体"/>
          <w:color w:val="auto"/>
          <w:sz w:val="21"/>
          <w:szCs w:val="21"/>
          <w:highlight w:val="none"/>
          <w:u w:val="single"/>
          <w:lang w:eastAsia="zh-CN"/>
        </w:rPr>
        <w:t xml:space="preserve">       </w:t>
      </w:r>
      <w:r>
        <w:rPr>
          <w:rFonts w:ascii="宋体" w:hAnsi="宋体" w:eastAsia="宋体" w:cs="宋体"/>
          <w:color w:val="auto"/>
          <w:sz w:val="21"/>
          <w:szCs w:val="21"/>
          <w:highlight w:val="none"/>
          <w:u w:val="single"/>
        </w:rPr>
        <w:t>（盖章）</w:t>
      </w:r>
      <w:r>
        <w:rPr>
          <w:rFonts w:ascii="宋体" w:hAnsi="宋体" w:eastAsia="宋体" w:cs="宋体"/>
          <w:color w:val="auto"/>
          <w:sz w:val="21"/>
          <w:szCs w:val="21"/>
          <w:highlight w:val="none"/>
          <w:u w:val="single"/>
          <w:lang w:eastAsia="zh-CN"/>
        </w:rPr>
        <w:t xml:space="preserve">      </w:t>
      </w:r>
    </w:p>
    <w:p w14:paraId="38199D28">
      <w:pPr>
        <w:pStyle w:val="221"/>
        <w:spacing w:line="360" w:lineRule="auto"/>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 xml:space="preserve"> </w:t>
      </w:r>
      <w:r>
        <w:rPr>
          <w:rFonts w:ascii="宋体" w:hAnsi="宋体" w:eastAsia="宋体" w:cs="宋体"/>
          <w:color w:val="auto"/>
          <w:sz w:val="21"/>
          <w:szCs w:val="21"/>
          <w:highlight w:val="none"/>
          <w:u w:val="single"/>
          <w:lang w:eastAsia="zh-CN"/>
        </w:rPr>
        <w:t xml:space="preserve">      </w:t>
      </w:r>
      <w:r>
        <w:rPr>
          <w:rFonts w:ascii="宋体" w:hAnsi="宋体" w:eastAsia="宋体" w:cs="宋体"/>
          <w:color w:val="auto"/>
          <w:sz w:val="21"/>
          <w:szCs w:val="21"/>
          <w:highlight w:val="none"/>
        </w:rPr>
        <w:t>年</w:t>
      </w:r>
      <w:r>
        <w:rPr>
          <w:rFonts w:ascii="宋体" w:hAnsi="宋体" w:eastAsia="宋体" w:cs="宋体"/>
          <w:color w:val="auto"/>
          <w:sz w:val="21"/>
          <w:szCs w:val="21"/>
          <w:highlight w:val="none"/>
          <w:u w:val="single"/>
          <w:lang w:eastAsia="zh-CN"/>
        </w:rPr>
        <w:t xml:space="preserve">    </w:t>
      </w:r>
      <w:r>
        <w:rPr>
          <w:rFonts w:ascii="宋体" w:hAnsi="宋体" w:eastAsia="宋体" w:cs="宋体"/>
          <w:color w:val="auto"/>
          <w:sz w:val="21"/>
          <w:szCs w:val="21"/>
          <w:highlight w:val="none"/>
        </w:rPr>
        <w:t>月</w:t>
      </w:r>
      <w:r>
        <w:rPr>
          <w:rFonts w:ascii="宋体" w:hAnsi="宋体" w:eastAsia="宋体" w:cs="宋体"/>
          <w:color w:val="auto"/>
          <w:sz w:val="21"/>
          <w:szCs w:val="21"/>
          <w:highlight w:val="none"/>
          <w:u w:val="single"/>
          <w:lang w:eastAsia="zh-CN"/>
        </w:rPr>
        <w:t xml:space="preserve">    </w:t>
      </w:r>
      <w:r>
        <w:rPr>
          <w:rFonts w:ascii="宋体" w:hAnsi="宋体" w:eastAsia="宋体" w:cs="宋体"/>
          <w:color w:val="auto"/>
          <w:sz w:val="21"/>
          <w:szCs w:val="21"/>
          <w:highlight w:val="none"/>
        </w:rPr>
        <w:t>日，</w:t>
      </w:r>
      <w:r>
        <w:rPr>
          <w:rFonts w:ascii="宋体" w:hAnsi="宋体" w:eastAsia="宋体" w:cs="宋体"/>
          <w:color w:val="auto"/>
          <w:sz w:val="21"/>
          <w:szCs w:val="21"/>
          <w:highlight w:val="none"/>
          <w:u w:val="single"/>
          <w:lang w:eastAsia="zh-CN"/>
        </w:rPr>
        <w:t xml:space="preserve">      </w:t>
      </w:r>
      <w:r>
        <w:rPr>
          <w:rFonts w:ascii="宋体" w:hAnsi="宋体" w:eastAsia="宋体" w:cs="宋体"/>
          <w:color w:val="auto"/>
          <w:sz w:val="21"/>
          <w:szCs w:val="21"/>
          <w:highlight w:val="none"/>
        </w:rPr>
        <w:t>年</w:t>
      </w:r>
      <w:r>
        <w:rPr>
          <w:rFonts w:ascii="宋体" w:hAnsi="宋体" w:eastAsia="宋体" w:cs="宋体"/>
          <w:color w:val="auto"/>
          <w:sz w:val="21"/>
          <w:szCs w:val="21"/>
          <w:highlight w:val="none"/>
          <w:u w:val="single"/>
          <w:lang w:eastAsia="zh-CN"/>
        </w:rPr>
        <w:t xml:space="preserve">    </w:t>
      </w:r>
      <w:r>
        <w:rPr>
          <w:rFonts w:ascii="宋体" w:hAnsi="宋体" w:eastAsia="宋体" w:cs="宋体"/>
          <w:color w:val="auto"/>
          <w:sz w:val="21"/>
          <w:szCs w:val="21"/>
          <w:highlight w:val="none"/>
        </w:rPr>
        <w:t>月</w:t>
      </w:r>
      <w:r>
        <w:rPr>
          <w:rFonts w:ascii="宋体" w:hAnsi="宋体" w:eastAsia="宋体" w:cs="宋体"/>
          <w:color w:val="auto"/>
          <w:sz w:val="21"/>
          <w:szCs w:val="21"/>
          <w:highlight w:val="none"/>
          <w:u w:val="single"/>
          <w:lang w:eastAsia="zh-CN"/>
        </w:rPr>
        <w:t xml:space="preserve">    </w:t>
      </w:r>
      <w:r>
        <w:rPr>
          <w:rFonts w:ascii="宋体" w:hAnsi="宋体" w:eastAsia="宋体" w:cs="宋体"/>
          <w:color w:val="auto"/>
          <w:sz w:val="21"/>
          <w:szCs w:val="21"/>
          <w:highlight w:val="none"/>
        </w:rPr>
        <w:t>日</w:t>
      </w:r>
    </w:p>
    <w:p w14:paraId="63711A9B">
      <w:pPr>
        <w:pStyle w:val="221"/>
        <w:spacing w:line="360" w:lineRule="auto"/>
        <w:ind w:firstLine="48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注：1．联合</w:t>
      </w:r>
      <w:r>
        <w:rPr>
          <w:rFonts w:ascii="宋体" w:hAnsi="宋体" w:eastAsia="宋体" w:cs="宋体"/>
          <w:color w:val="auto"/>
          <w:sz w:val="21"/>
          <w:szCs w:val="21"/>
          <w:highlight w:val="none"/>
          <w:lang w:eastAsia="zh-CN"/>
        </w:rPr>
        <w:t>投标</w:t>
      </w:r>
      <w:r>
        <w:rPr>
          <w:rFonts w:ascii="宋体" w:hAnsi="宋体" w:eastAsia="宋体" w:cs="宋体"/>
          <w:color w:val="auto"/>
          <w:sz w:val="21"/>
          <w:szCs w:val="21"/>
          <w:highlight w:val="none"/>
        </w:rPr>
        <w:t>时需签本协议，联合体各方成员应在本协议上共同盖章确认。</w:t>
      </w:r>
    </w:p>
    <w:p w14:paraId="3B49BBC8">
      <w:pPr>
        <w:pStyle w:val="221"/>
        <w:spacing w:line="360" w:lineRule="auto"/>
        <w:ind w:firstLine="48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2．本协议内容不得擅自修改。此协议将作为签订合同的附件之一。</w:t>
      </w:r>
    </w:p>
    <w:p w14:paraId="115D83EA">
      <w:pPr>
        <w:pStyle w:val="221"/>
        <w:spacing w:line="360" w:lineRule="auto"/>
        <w:ind w:firstLine="480"/>
        <w:rPr>
          <w:rFonts w:hint="default" w:ascii="宋体" w:hAnsi="宋体" w:eastAsia="宋体" w:cs="宋体"/>
          <w:color w:val="auto"/>
          <w:sz w:val="21"/>
          <w:szCs w:val="21"/>
          <w:highlight w:val="none"/>
        </w:rPr>
      </w:pPr>
    </w:p>
    <w:p w14:paraId="106D6358">
      <w:pPr>
        <w:pStyle w:val="221"/>
        <w:spacing w:line="360" w:lineRule="auto"/>
        <w:ind w:firstLine="480"/>
        <w:rPr>
          <w:rFonts w:hint="default" w:ascii="宋体" w:hAnsi="宋体" w:eastAsia="宋体" w:cs="宋体"/>
          <w:b/>
          <w:bCs/>
          <w:color w:val="auto"/>
          <w:sz w:val="21"/>
          <w:szCs w:val="21"/>
          <w:highlight w:val="none"/>
          <w:lang w:eastAsia="zh-CN"/>
        </w:rPr>
      </w:pPr>
      <w:r>
        <w:rPr>
          <w:rFonts w:ascii="宋体" w:hAnsi="宋体" w:eastAsia="宋体" w:cs="宋体"/>
          <w:b/>
          <w:bCs/>
          <w:color w:val="auto"/>
          <w:sz w:val="21"/>
          <w:szCs w:val="21"/>
          <w:highlight w:val="none"/>
          <w:lang w:eastAsia="zh-CN"/>
        </w:rPr>
        <w:t>说明：本联合体共同投标协议书需由联合体各方成员盖章后扫描上传。</w:t>
      </w:r>
    </w:p>
    <w:p w14:paraId="075FA51F">
      <w:pPr>
        <w:pStyle w:val="221"/>
        <w:spacing w:line="360" w:lineRule="auto"/>
        <w:ind w:firstLine="480"/>
        <w:rPr>
          <w:rFonts w:hint="default" w:ascii="宋体" w:hAnsi="宋体" w:eastAsia="宋体" w:cs="宋体"/>
          <w:color w:val="auto"/>
          <w:sz w:val="21"/>
          <w:szCs w:val="21"/>
          <w:highlight w:val="none"/>
          <w:lang w:eastAsia="zh-CN"/>
        </w:rPr>
      </w:pPr>
    </w:p>
    <w:bookmarkEnd w:id="1133"/>
    <w:p w14:paraId="45823D33">
      <w:pPr>
        <w:pageBreakBefore/>
        <w:tabs>
          <w:tab w:val="left" w:pos="567"/>
        </w:tabs>
        <w:autoSpaceDE w:val="0"/>
        <w:autoSpaceDN w:val="0"/>
        <w:adjustRightInd w:val="0"/>
        <w:spacing w:line="360" w:lineRule="auto"/>
        <w:jc w:val="left"/>
        <w:outlineLvl w:val="1"/>
        <w:rPr>
          <w:rFonts w:ascii="宋体" w:hAnsi="宋体" w:eastAsia="宋体" w:cs="宋体"/>
          <w:color w:val="auto"/>
          <w:kern w:val="0"/>
          <w:szCs w:val="21"/>
          <w:highlight w:val="none"/>
          <w:u w:val="single"/>
        </w:rPr>
      </w:pPr>
      <w:bookmarkStart w:id="1144" w:name="_Toc1798"/>
      <w:bookmarkStart w:id="1145" w:name="_Toc1306"/>
      <w:bookmarkStart w:id="1146" w:name="_Toc6872"/>
      <w:r>
        <w:rPr>
          <w:rFonts w:hint="eastAsia" w:ascii="宋体" w:hAnsi="宋体" w:eastAsia="宋体" w:cs="宋体"/>
          <w:b/>
          <w:color w:val="auto"/>
          <w:sz w:val="32"/>
          <w:szCs w:val="32"/>
          <w:highlight w:val="none"/>
        </w:rPr>
        <w:t>五</w:t>
      </w:r>
      <w:r>
        <w:rPr>
          <w:rFonts w:hint="eastAsia" w:ascii="宋体" w:hAnsi="宋体" w:eastAsia="宋体" w:cs="宋体"/>
          <w:b/>
          <w:color w:val="auto"/>
          <w:kern w:val="0"/>
          <w:sz w:val="32"/>
          <w:szCs w:val="32"/>
          <w:highlight w:val="none"/>
        </w:rPr>
        <w:t>、投标人基本情况一览表</w:t>
      </w:r>
      <w:bookmarkEnd w:id="1114"/>
      <w:bookmarkEnd w:id="1115"/>
      <w:bookmarkEnd w:id="1116"/>
      <w:bookmarkEnd w:id="1117"/>
      <w:bookmarkEnd w:id="1118"/>
      <w:bookmarkEnd w:id="1119"/>
      <w:bookmarkEnd w:id="1120"/>
      <w:bookmarkEnd w:id="1121"/>
      <w:bookmarkEnd w:id="1122"/>
      <w:bookmarkEnd w:id="1123"/>
      <w:bookmarkEnd w:id="1124"/>
      <w:bookmarkEnd w:id="1125"/>
      <w:bookmarkEnd w:id="1134"/>
      <w:bookmarkEnd w:id="1135"/>
      <w:bookmarkEnd w:id="1136"/>
      <w:bookmarkEnd w:id="1137"/>
      <w:bookmarkEnd w:id="1138"/>
      <w:bookmarkEnd w:id="1139"/>
      <w:bookmarkEnd w:id="1144"/>
      <w:bookmarkEnd w:id="1145"/>
      <w:bookmarkEnd w:id="1146"/>
    </w:p>
    <w:p w14:paraId="23F31898">
      <w:pPr>
        <w:autoSpaceDE w:val="0"/>
        <w:autoSpaceDN w:val="0"/>
        <w:adjustRightInd w:val="0"/>
        <w:spacing w:line="360" w:lineRule="auto"/>
        <w:jc w:val="center"/>
        <w:outlineLvl w:val="0"/>
        <w:rPr>
          <w:rFonts w:ascii="宋体" w:hAnsi="宋体" w:eastAsia="宋体" w:cs="宋体"/>
          <w:b/>
          <w:bCs/>
          <w:color w:val="auto"/>
          <w:sz w:val="30"/>
          <w:szCs w:val="30"/>
          <w:highlight w:val="none"/>
        </w:rPr>
      </w:pPr>
      <w:bookmarkStart w:id="1147" w:name="_Toc2773_WPSOffice_Level3"/>
      <w:bookmarkStart w:id="1148" w:name="_Toc25282"/>
      <w:bookmarkStart w:id="1149" w:name="_Toc13008"/>
      <w:bookmarkStart w:id="1150" w:name="_Toc28892"/>
      <w:r>
        <w:rPr>
          <w:rFonts w:hint="eastAsia" w:ascii="宋体" w:hAnsi="宋体" w:eastAsia="宋体" w:cs="宋体"/>
          <w:b/>
          <w:bCs/>
          <w:color w:val="auto"/>
          <w:sz w:val="30"/>
          <w:szCs w:val="30"/>
          <w:highlight w:val="none"/>
          <w:lang w:val="zh-CN"/>
        </w:rPr>
        <w:t>投标人基本情况一览表</w:t>
      </w:r>
      <w:bookmarkEnd w:id="1147"/>
      <w:bookmarkEnd w:id="1148"/>
      <w:bookmarkEnd w:id="1149"/>
      <w:bookmarkEnd w:id="1150"/>
    </w:p>
    <w:p w14:paraId="253C9753">
      <w:pPr>
        <w:autoSpaceDE w:val="0"/>
        <w:autoSpaceDN w:val="0"/>
        <w:adjustRightInd w:val="0"/>
        <w:spacing w:line="360" w:lineRule="auto"/>
        <w:ind w:firstLine="420"/>
        <w:outlineLvl w:val="0"/>
        <w:rPr>
          <w:rFonts w:ascii="宋体" w:hAnsi="宋体" w:eastAsia="宋体" w:cs="宋体"/>
          <w:color w:val="auto"/>
          <w:szCs w:val="21"/>
          <w:highlight w:val="none"/>
        </w:rPr>
      </w:pPr>
      <w:bookmarkStart w:id="1151" w:name="_Toc25310"/>
      <w:bookmarkStart w:id="1152" w:name="_Toc16526"/>
      <w:bookmarkStart w:id="1153" w:name="_Toc20228"/>
      <w:r>
        <w:rPr>
          <w:rFonts w:hint="eastAsia" w:ascii="宋体" w:hAnsi="宋体" w:eastAsia="宋体" w:cs="宋体"/>
          <w:color w:val="auto"/>
          <w:szCs w:val="21"/>
          <w:highlight w:val="none"/>
          <w:lang w:val="zh-CN"/>
        </w:rPr>
        <w:t>1．名称及概况：</w:t>
      </w:r>
      <w:bookmarkEnd w:id="1151"/>
      <w:bookmarkEnd w:id="1152"/>
      <w:bookmarkEnd w:id="1153"/>
    </w:p>
    <w:p w14:paraId="413FC0C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29BC3C1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224B86C2">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48E00CA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58F7974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20DA16D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0C34DB3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（4）法人代表：__________________________________________</w:t>
      </w:r>
    </w:p>
    <w:p w14:paraId="57CBA56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3C5708D3">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4B3CABB1">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11E29271">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57201950">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5F680C8F">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40AA3AC2">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366DA0E8">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5130FE13">
      <w:pPr>
        <w:autoSpaceDE w:val="0"/>
        <w:autoSpaceDN w:val="0"/>
        <w:adjustRightInd w:val="0"/>
        <w:spacing w:line="360" w:lineRule="auto"/>
        <w:ind w:firstLine="420"/>
        <w:outlineLvl w:val="0"/>
        <w:rPr>
          <w:rFonts w:ascii="宋体" w:hAnsi="宋体" w:eastAsia="宋体" w:cs="宋体"/>
          <w:color w:val="auto"/>
          <w:szCs w:val="24"/>
          <w:highlight w:val="none"/>
        </w:rPr>
      </w:pPr>
      <w:bookmarkStart w:id="1154" w:name="_Toc31879"/>
      <w:bookmarkStart w:id="1155" w:name="_Toc11903"/>
      <w:bookmarkStart w:id="1156" w:name="_Toc14400"/>
      <w:r>
        <w:rPr>
          <w:rFonts w:hint="eastAsia" w:ascii="宋体" w:hAnsi="宋体" w:eastAsia="宋体" w:cs="宋体"/>
          <w:color w:val="auto"/>
          <w:szCs w:val="24"/>
          <w:highlight w:val="none"/>
          <w:lang w:val="zh-CN"/>
        </w:rPr>
        <w:t>4. 提交资料（包括但不限于组织架构、公司简介等）：</w:t>
      </w:r>
      <w:bookmarkEnd w:id="1154"/>
      <w:bookmarkEnd w:id="1155"/>
      <w:bookmarkEnd w:id="1156"/>
    </w:p>
    <w:p w14:paraId="0BC6E25B">
      <w:pPr>
        <w:autoSpaceDE w:val="0"/>
        <w:autoSpaceDN w:val="0"/>
        <w:adjustRightInd w:val="0"/>
        <w:spacing w:line="360" w:lineRule="auto"/>
        <w:ind w:firstLine="630" w:firstLineChars="300"/>
        <w:outlineLvl w:val="1"/>
        <w:rPr>
          <w:rFonts w:ascii="宋体" w:hAnsi="宋体" w:eastAsia="宋体" w:cs="宋体"/>
          <w:color w:val="auto"/>
          <w:szCs w:val="24"/>
          <w:highlight w:val="none"/>
          <w:lang w:val="zh-CN"/>
        </w:rPr>
      </w:pPr>
      <w:bookmarkStart w:id="1157" w:name="_Toc4727"/>
      <w:bookmarkStart w:id="1158" w:name="_Toc5162"/>
      <w:bookmarkStart w:id="1159" w:name="_Toc3929"/>
      <w:r>
        <w:rPr>
          <w:rFonts w:hint="eastAsia" w:ascii="宋体" w:hAnsi="宋体" w:eastAsia="宋体" w:cs="宋体"/>
          <w:color w:val="auto"/>
          <w:szCs w:val="24"/>
          <w:highlight w:val="none"/>
          <w:lang w:val="zh-CN"/>
        </w:rPr>
        <w:t>（1）公司简介；</w:t>
      </w:r>
      <w:bookmarkEnd w:id="1157"/>
      <w:bookmarkEnd w:id="1158"/>
      <w:bookmarkEnd w:id="1159"/>
    </w:p>
    <w:p w14:paraId="456A8CF5">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25432941">
      <w:pPr>
        <w:autoSpaceDE w:val="0"/>
        <w:autoSpaceDN w:val="0"/>
        <w:adjustRightInd w:val="0"/>
        <w:spacing w:line="360" w:lineRule="auto"/>
        <w:ind w:firstLine="630" w:firstLineChars="300"/>
        <w:outlineLvl w:val="1"/>
        <w:rPr>
          <w:rFonts w:ascii="宋体" w:hAnsi="宋体" w:eastAsia="宋体" w:cs="宋体"/>
          <w:color w:val="auto"/>
          <w:szCs w:val="24"/>
          <w:highlight w:val="none"/>
          <w:lang w:val="zh-CN"/>
        </w:rPr>
      </w:pPr>
      <w:bookmarkStart w:id="1160" w:name="_Toc17222"/>
      <w:bookmarkStart w:id="1161" w:name="_Toc5293"/>
      <w:bookmarkStart w:id="1162" w:name="_Toc27360"/>
      <w:r>
        <w:rPr>
          <w:rFonts w:hint="eastAsia" w:ascii="宋体" w:hAnsi="宋体" w:eastAsia="宋体" w:cs="宋体"/>
          <w:color w:val="auto"/>
          <w:szCs w:val="24"/>
          <w:highlight w:val="none"/>
          <w:lang w:val="zh-CN"/>
        </w:rPr>
        <w:t>（2）公司组织架构；</w:t>
      </w:r>
      <w:bookmarkEnd w:id="1160"/>
      <w:bookmarkEnd w:id="1161"/>
      <w:bookmarkEnd w:id="1162"/>
    </w:p>
    <w:p w14:paraId="420BF222">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302DE183">
      <w:pPr>
        <w:autoSpaceDE w:val="0"/>
        <w:autoSpaceDN w:val="0"/>
        <w:adjustRightInd w:val="0"/>
        <w:spacing w:line="360" w:lineRule="auto"/>
        <w:ind w:left="821" w:leftChars="331" w:hanging="126" w:hangingChars="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（3）东莞市内设有分支机构情况介绍[应提供该分支机构的多证合一营业执照原件扫描件等证明材料]（若无前述分支机构的无需介绍）。</w:t>
      </w:r>
    </w:p>
    <w:p w14:paraId="28CB185D">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4C4A287E">
      <w:pPr>
        <w:autoSpaceDE w:val="0"/>
        <w:autoSpaceDN w:val="0"/>
        <w:adjustRightInd w:val="0"/>
        <w:spacing w:line="360" w:lineRule="auto"/>
        <w:ind w:firstLine="420" w:firstLineChars="200"/>
        <w:rPr>
          <w:rFonts w:ascii="宋体" w:hAnsi="宋体" w:eastAsia="宋体" w:cs="宋体"/>
          <w:color w:val="auto"/>
          <w:szCs w:val="24"/>
          <w:highlight w:val="none"/>
        </w:rPr>
      </w:pPr>
    </w:p>
    <w:p w14:paraId="4BA9915D">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245D54E5">
      <w:pPr>
        <w:autoSpaceDE w:val="0"/>
        <w:autoSpaceDN w:val="0"/>
        <w:adjustRightInd w:val="0"/>
        <w:spacing w:line="360" w:lineRule="auto"/>
        <w:ind w:firstLine="3780" w:firstLineChars="1800"/>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25257470">
      <w:pPr>
        <w:autoSpaceDE w:val="0"/>
        <w:autoSpaceDN w:val="0"/>
        <w:adjustRightInd w:val="0"/>
        <w:spacing w:line="360" w:lineRule="auto"/>
        <w:jc w:val="center"/>
        <w:rPr>
          <w:rFonts w:ascii="宋体" w:hAnsi="宋体" w:eastAsia="宋体" w:cs="宋体"/>
          <w:b/>
          <w:bCs/>
          <w:color w:val="auto"/>
          <w:szCs w:val="24"/>
          <w:highlight w:val="none"/>
          <w:lang w:val="zh-CN"/>
        </w:rPr>
      </w:pPr>
    </w:p>
    <w:p w14:paraId="2709A0CA">
      <w:pPr>
        <w:autoSpaceDE w:val="0"/>
        <w:autoSpaceDN w:val="0"/>
        <w:adjustRightInd w:val="0"/>
        <w:spacing w:line="360" w:lineRule="auto"/>
        <w:jc w:val="left"/>
        <w:rPr>
          <w:rFonts w:ascii="宋体" w:hAnsi="宋体" w:eastAsia="宋体" w:cs="宋体"/>
          <w:b/>
          <w:bCs/>
          <w:color w:val="auto"/>
          <w:kern w:val="0"/>
          <w:szCs w:val="21"/>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r>
        <w:rPr>
          <w:rFonts w:hint="eastAsia" w:ascii="宋体" w:hAnsi="宋体" w:eastAsia="宋体" w:cs="宋体"/>
          <w:b/>
          <w:bCs/>
          <w:color w:val="auto"/>
          <w:kern w:val="0"/>
          <w:szCs w:val="21"/>
          <w:highlight w:val="none"/>
        </w:rPr>
        <w:t>；联合体投标的，则联合体各方均提交。</w:t>
      </w:r>
    </w:p>
    <w:p w14:paraId="6F9D1DFD">
      <w:pPr>
        <w:autoSpaceDE w:val="0"/>
        <w:autoSpaceDN w:val="0"/>
        <w:adjustRightInd w:val="0"/>
        <w:spacing w:line="360" w:lineRule="auto"/>
        <w:jc w:val="center"/>
        <w:rPr>
          <w:rFonts w:ascii="宋体" w:hAnsi="宋体" w:eastAsia="宋体" w:cs="宋体"/>
          <w:color w:val="auto"/>
          <w:szCs w:val="24"/>
          <w:highlight w:val="none"/>
          <w:lang w:val="zh-CN"/>
        </w:rPr>
      </w:pPr>
    </w:p>
    <w:p w14:paraId="11DCFBE6">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1163" w:name="_Toc9160"/>
      <w:bookmarkStart w:id="1164" w:name="_Toc195714389"/>
      <w:bookmarkStart w:id="1165" w:name="_Toc7439"/>
      <w:bookmarkStart w:id="1166" w:name="_Toc18075"/>
      <w:bookmarkStart w:id="1167" w:name="_Toc140596935"/>
      <w:bookmarkStart w:id="1168" w:name="_Toc102860080"/>
      <w:bookmarkStart w:id="1169" w:name="_Toc94107216"/>
      <w:bookmarkStart w:id="1170" w:name="_Toc29014"/>
      <w:bookmarkStart w:id="1171" w:name="_Toc142508375"/>
      <w:bookmarkStart w:id="1172" w:name="_Toc31090"/>
      <w:bookmarkStart w:id="1173" w:name="_Toc10443"/>
      <w:bookmarkStart w:id="1174" w:name="_Toc285"/>
      <w:bookmarkStart w:id="1175" w:name="_Toc13621"/>
      <w:bookmarkStart w:id="1176" w:name="_Toc12005"/>
      <w:bookmarkStart w:id="1177" w:name="_Toc104991882"/>
      <w:bookmarkStart w:id="1178" w:name="_Toc4023"/>
      <w:bookmarkStart w:id="1179" w:name="_Toc102860424"/>
      <w:bookmarkStart w:id="1180" w:name="_Toc9051_WPSOffice_Level2"/>
      <w:bookmarkStart w:id="1181" w:name="_Toc533708128"/>
      <w:bookmarkStart w:id="1182" w:name="_Toc486167715"/>
      <w:bookmarkStart w:id="1183" w:name="_Toc1977733"/>
      <w:r>
        <w:rPr>
          <w:rFonts w:hint="eastAsia" w:ascii="宋体" w:hAnsi="宋体" w:eastAsia="宋体" w:cs="宋体"/>
          <w:b/>
          <w:color w:val="auto"/>
          <w:sz w:val="32"/>
          <w:szCs w:val="32"/>
          <w:highlight w:val="none"/>
        </w:rPr>
        <w:t>六</w:t>
      </w:r>
      <w:r>
        <w:rPr>
          <w:rFonts w:hint="eastAsia" w:ascii="宋体" w:hAnsi="宋体" w:eastAsia="宋体" w:cs="宋体"/>
          <w:b/>
          <w:color w:val="auto"/>
          <w:sz w:val="32"/>
          <w:szCs w:val="32"/>
          <w:highlight w:val="none"/>
          <w:lang w:val="zh-CN"/>
        </w:rPr>
        <w:t>、投标人财务状况表格式</w:t>
      </w:r>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p>
    <w:p w14:paraId="636DA232">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21908FDC">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2558B0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5F9A72E2">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1FBBE197">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162896C9">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3CA282E3">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46E378E9">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3B1BF3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1217AC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2022</w:t>
            </w:r>
          </w:p>
        </w:tc>
        <w:tc>
          <w:tcPr>
            <w:tcW w:w="1944" w:type="dxa"/>
            <w:vAlign w:val="center"/>
          </w:tcPr>
          <w:p w14:paraId="602608C0">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274DCB1E">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310BE105">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0E1E3695">
            <w:pPr>
              <w:autoSpaceDE w:val="0"/>
              <w:autoSpaceDN w:val="0"/>
              <w:adjustRightInd w:val="0"/>
              <w:spacing w:line="360" w:lineRule="auto"/>
              <w:jc w:val="center"/>
              <w:rPr>
                <w:rFonts w:ascii="宋体" w:hAnsi="宋体" w:eastAsia="宋体" w:cs="宋体"/>
                <w:color w:val="auto"/>
                <w:kern w:val="0"/>
                <w:szCs w:val="21"/>
                <w:highlight w:val="none"/>
              </w:rPr>
            </w:pPr>
          </w:p>
        </w:tc>
      </w:tr>
      <w:tr w14:paraId="7D3542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1E27E5A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2023</w:t>
            </w:r>
          </w:p>
        </w:tc>
        <w:tc>
          <w:tcPr>
            <w:tcW w:w="1944" w:type="dxa"/>
            <w:vAlign w:val="center"/>
          </w:tcPr>
          <w:p w14:paraId="2546DD35">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0CBFBB41">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2D7907AD">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25482068">
            <w:pPr>
              <w:autoSpaceDE w:val="0"/>
              <w:autoSpaceDN w:val="0"/>
              <w:adjustRightInd w:val="0"/>
              <w:spacing w:line="360" w:lineRule="auto"/>
              <w:jc w:val="center"/>
              <w:rPr>
                <w:rFonts w:ascii="宋体" w:hAnsi="宋体" w:eastAsia="宋体" w:cs="宋体"/>
                <w:color w:val="auto"/>
                <w:kern w:val="0"/>
                <w:szCs w:val="21"/>
                <w:highlight w:val="none"/>
              </w:rPr>
            </w:pPr>
          </w:p>
        </w:tc>
      </w:tr>
      <w:tr w14:paraId="0D1174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5386853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2024</w:t>
            </w:r>
          </w:p>
        </w:tc>
        <w:tc>
          <w:tcPr>
            <w:tcW w:w="1944" w:type="dxa"/>
            <w:vAlign w:val="center"/>
          </w:tcPr>
          <w:p w14:paraId="3096C1A7">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3323E215">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153B112C">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0C816C16">
            <w:pPr>
              <w:autoSpaceDE w:val="0"/>
              <w:autoSpaceDN w:val="0"/>
              <w:adjustRightInd w:val="0"/>
              <w:spacing w:line="360" w:lineRule="auto"/>
              <w:jc w:val="center"/>
              <w:rPr>
                <w:rFonts w:ascii="宋体" w:hAnsi="宋体" w:eastAsia="宋体" w:cs="宋体"/>
                <w:color w:val="auto"/>
                <w:kern w:val="0"/>
                <w:szCs w:val="21"/>
                <w:highlight w:val="none"/>
              </w:rPr>
            </w:pPr>
          </w:p>
        </w:tc>
      </w:tr>
      <w:tr w14:paraId="25C67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6116BB11">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4F98D420">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3661DFC1">
            <w:pPr>
              <w:autoSpaceDE w:val="0"/>
              <w:autoSpaceDN w:val="0"/>
              <w:adjustRightInd w:val="0"/>
              <w:spacing w:line="360" w:lineRule="auto"/>
              <w:jc w:val="center"/>
              <w:rPr>
                <w:rFonts w:ascii="宋体" w:hAnsi="宋体" w:eastAsia="宋体" w:cs="宋体"/>
                <w:color w:val="auto"/>
                <w:kern w:val="0"/>
                <w:szCs w:val="21"/>
                <w:highlight w:val="none"/>
              </w:rPr>
            </w:pPr>
          </w:p>
        </w:tc>
      </w:tr>
    </w:tbl>
    <w:p w14:paraId="3F066AAC">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7AA8F773">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51A87F01">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42A52BC7">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7AE548E9">
      <w:pPr>
        <w:autoSpaceDE w:val="0"/>
        <w:autoSpaceDN w:val="0"/>
        <w:adjustRightInd w:val="0"/>
        <w:spacing w:line="360" w:lineRule="auto"/>
        <w:ind w:firstLine="3780" w:firstLineChars="1800"/>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2ADAABC7">
      <w:pPr>
        <w:autoSpaceDE w:val="0"/>
        <w:autoSpaceDN w:val="0"/>
        <w:adjustRightInd w:val="0"/>
        <w:spacing w:line="360" w:lineRule="auto"/>
        <w:jc w:val="center"/>
        <w:rPr>
          <w:rFonts w:ascii="宋体" w:hAnsi="宋体" w:eastAsia="宋体" w:cs="宋体"/>
          <w:b/>
          <w:bCs/>
          <w:color w:val="auto"/>
          <w:szCs w:val="24"/>
          <w:highlight w:val="none"/>
          <w:lang w:val="zh-CN"/>
        </w:rPr>
      </w:pPr>
    </w:p>
    <w:p w14:paraId="61DCA507">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r>
        <w:rPr>
          <w:rFonts w:hint="eastAsia" w:ascii="宋体" w:hAnsi="宋体" w:eastAsia="宋体" w:cs="宋体"/>
          <w:b/>
          <w:bCs/>
          <w:color w:val="auto"/>
          <w:kern w:val="0"/>
          <w:szCs w:val="21"/>
          <w:highlight w:val="none"/>
        </w:rPr>
        <w:t>联合体投标的，则联合体牵头单位提交</w:t>
      </w:r>
      <w:r>
        <w:rPr>
          <w:rFonts w:hint="eastAsia" w:ascii="宋体" w:hAnsi="宋体" w:eastAsia="宋体" w:cs="宋体"/>
          <w:b/>
          <w:bCs/>
          <w:color w:val="auto"/>
          <w:szCs w:val="24"/>
          <w:highlight w:val="none"/>
          <w:lang w:val="zh-CN"/>
        </w:rPr>
        <w:t>。</w:t>
      </w:r>
    </w:p>
    <w:p w14:paraId="2D02AAA6">
      <w:pPr>
        <w:autoSpaceDE w:val="0"/>
        <w:autoSpaceDN w:val="0"/>
        <w:adjustRightInd w:val="0"/>
        <w:spacing w:line="360" w:lineRule="auto"/>
        <w:ind w:firstLine="6274" w:firstLineChars="2976"/>
        <w:rPr>
          <w:rFonts w:ascii="宋体" w:hAnsi="宋体" w:eastAsia="宋体" w:cs="宋体"/>
          <w:b/>
          <w:bCs/>
          <w:color w:val="auto"/>
          <w:kern w:val="0"/>
          <w:szCs w:val="21"/>
          <w:highlight w:val="none"/>
        </w:rPr>
        <w:sectPr>
          <w:footerReference r:id="rId9" w:type="default"/>
          <w:pgSz w:w="11907" w:h="16840"/>
          <w:pgMar w:top="1701" w:right="1418" w:bottom="851" w:left="1418" w:header="720" w:footer="720" w:gutter="0"/>
          <w:cols w:space="720" w:num="1"/>
          <w:docGrid w:linePitch="326" w:charSpace="0"/>
        </w:sectPr>
      </w:pPr>
    </w:p>
    <w:bookmarkEnd w:id="1180"/>
    <w:bookmarkEnd w:id="1181"/>
    <w:bookmarkEnd w:id="1182"/>
    <w:bookmarkEnd w:id="1183"/>
    <w:p w14:paraId="16983616">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1184" w:name="_Toc954"/>
      <w:bookmarkStart w:id="1185" w:name="_Toc15550"/>
      <w:bookmarkStart w:id="1186" w:name="_Toc23325"/>
      <w:bookmarkStart w:id="1187" w:name="_Toc137"/>
      <w:bookmarkStart w:id="1188" w:name="_Toc30041"/>
      <w:bookmarkStart w:id="1189" w:name="_Toc16452"/>
      <w:bookmarkStart w:id="1190" w:name="_Toc94107217"/>
      <w:bookmarkStart w:id="1191" w:name="_Toc102860425"/>
      <w:bookmarkStart w:id="1192" w:name="_Toc486167716"/>
      <w:bookmarkStart w:id="1193" w:name="_Toc333"/>
      <w:bookmarkStart w:id="1194" w:name="_Toc102860081"/>
      <w:bookmarkStart w:id="1195" w:name="_Toc195714390"/>
      <w:bookmarkStart w:id="1196" w:name="_Toc104991883"/>
      <w:bookmarkStart w:id="1197" w:name="_Toc1977736"/>
      <w:bookmarkStart w:id="1198" w:name="_Toc17995"/>
      <w:bookmarkStart w:id="1199" w:name="_Toc142508376"/>
      <w:bookmarkStart w:id="1200" w:name="_Toc533708130"/>
      <w:bookmarkStart w:id="1201" w:name="_Toc28458"/>
      <w:bookmarkStart w:id="1202" w:name="_Toc6028"/>
      <w:bookmarkStart w:id="1203" w:name="_Toc26821"/>
      <w:bookmarkStart w:id="1204" w:name="_Toc140596936"/>
      <w:bookmarkStart w:id="1205" w:name="_Toc5085"/>
      <w:bookmarkStart w:id="1206" w:name="_Toc739_WPSOffice_Level2"/>
      <w:bookmarkStart w:id="1207" w:name="_Toc16948"/>
      <w:r>
        <w:rPr>
          <w:rFonts w:hint="eastAsia" w:ascii="宋体" w:hAnsi="宋体" w:eastAsia="宋体" w:cs="宋体"/>
          <w:b/>
          <w:color w:val="auto"/>
          <w:kern w:val="0"/>
          <w:sz w:val="32"/>
          <w:szCs w:val="32"/>
          <w:highlight w:val="none"/>
        </w:rPr>
        <w:t>七</w:t>
      </w:r>
      <w:r>
        <w:rPr>
          <w:rFonts w:hint="eastAsia" w:ascii="宋体" w:hAnsi="宋体" w:eastAsia="宋体" w:cs="宋体"/>
          <w:b/>
          <w:color w:val="auto"/>
          <w:kern w:val="0"/>
          <w:sz w:val="32"/>
          <w:szCs w:val="32"/>
          <w:highlight w:val="none"/>
          <w:lang w:val="zh-CN"/>
        </w:rPr>
        <w:t>、</w:t>
      </w:r>
      <w:bookmarkStart w:id="1208" w:name="OLE_LINK369"/>
      <w:r>
        <w:rPr>
          <w:rFonts w:hint="eastAsia" w:ascii="宋体" w:hAnsi="宋体" w:eastAsia="宋体" w:cs="宋体"/>
          <w:b/>
          <w:color w:val="auto"/>
          <w:kern w:val="0"/>
          <w:sz w:val="32"/>
          <w:szCs w:val="32"/>
          <w:highlight w:val="none"/>
          <w:lang w:val="zh-CN"/>
        </w:rPr>
        <w:t>标准化体系认证</w:t>
      </w:r>
      <w:bookmarkEnd w:id="1184"/>
      <w:bookmarkEnd w:id="1185"/>
      <w:bookmarkEnd w:id="1186"/>
      <w:bookmarkEnd w:id="1187"/>
      <w:bookmarkEnd w:id="1188"/>
      <w:bookmarkEnd w:id="1189"/>
      <w:bookmarkEnd w:id="1208"/>
    </w:p>
    <w:p w14:paraId="6247510E">
      <w:pPr>
        <w:tabs>
          <w:tab w:val="left" w:pos="567"/>
        </w:tabs>
        <w:wordWrap w:val="0"/>
        <w:autoSpaceDE w:val="0"/>
        <w:autoSpaceDN w:val="0"/>
        <w:adjustRightInd w:val="0"/>
        <w:spacing w:line="360" w:lineRule="auto"/>
        <w:jc w:val="left"/>
        <w:outlineLvl w:val="2"/>
        <w:rPr>
          <w:rFonts w:ascii="宋体" w:hAnsi="宋体" w:eastAsia="宋体" w:cs="宋体"/>
          <w:color w:val="auto"/>
          <w:kern w:val="0"/>
          <w:szCs w:val="21"/>
          <w:highlight w:val="none"/>
        </w:rPr>
      </w:pPr>
      <w:bookmarkStart w:id="1209" w:name="_Toc24623"/>
      <w:bookmarkStart w:id="1210" w:name="_Toc22564"/>
      <w:bookmarkStart w:id="1211" w:name="_Toc15286"/>
      <w:r>
        <w:rPr>
          <w:rFonts w:hint="eastAsia" w:ascii="宋体" w:hAnsi="宋体" w:eastAsia="宋体" w:cs="宋体"/>
          <w:color w:val="auto"/>
          <w:kern w:val="0"/>
          <w:szCs w:val="21"/>
          <w:highlight w:val="none"/>
        </w:rPr>
        <w:t>备注：</w:t>
      </w:r>
      <w:bookmarkEnd w:id="1209"/>
      <w:bookmarkEnd w:id="1210"/>
      <w:r>
        <w:rPr>
          <w:rFonts w:hint="eastAsia" w:ascii="宋体" w:hAnsi="宋体" w:eastAsia="宋体" w:cs="宋体"/>
          <w:color w:val="auto"/>
          <w:kern w:val="0"/>
          <w:szCs w:val="21"/>
          <w:highlight w:val="none"/>
        </w:rPr>
        <w:t>①投标人应提供有效证书复印件及能显示证书有效状态的全国认证认可信息公共服务平台（http://cx.cnca.cn/)查询结果凭证{凭证界面需显示有“全国认证认可信息公共服务平台”或“认证证书（需显示网址cx.cnca.cn）”}，否则不得分。②若为联合体投标的，以联合体牵头单位提供的认证证书为准。</w:t>
      </w:r>
      <w:bookmarkEnd w:id="1211"/>
    </w:p>
    <w:p w14:paraId="2CF67841">
      <w:pPr>
        <w:pageBreakBefore/>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1212" w:name="_Toc9255"/>
      <w:bookmarkStart w:id="1213" w:name="_Toc14944"/>
      <w:bookmarkStart w:id="1214" w:name="_Toc16314"/>
      <w:r>
        <w:rPr>
          <w:rFonts w:hint="eastAsia" w:ascii="宋体" w:hAnsi="宋体" w:eastAsia="宋体" w:cs="宋体"/>
          <w:b/>
          <w:color w:val="auto"/>
          <w:kern w:val="0"/>
          <w:sz w:val="32"/>
          <w:szCs w:val="32"/>
          <w:highlight w:val="none"/>
        </w:rPr>
        <w:t>八</w:t>
      </w:r>
      <w:r>
        <w:rPr>
          <w:rFonts w:hint="eastAsia" w:ascii="宋体" w:hAnsi="宋体" w:eastAsia="宋体" w:cs="宋体"/>
          <w:b/>
          <w:color w:val="auto"/>
          <w:kern w:val="0"/>
          <w:sz w:val="32"/>
          <w:szCs w:val="32"/>
          <w:highlight w:val="none"/>
          <w:lang w:val="zh-CN"/>
        </w:rPr>
        <w:t>、合同条款偏离表格式</w:t>
      </w:r>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12"/>
      <w:bookmarkEnd w:id="1213"/>
      <w:bookmarkEnd w:id="1214"/>
    </w:p>
    <w:p w14:paraId="129C2616">
      <w:pPr>
        <w:autoSpaceDE w:val="0"/>
        <w:autoSpaceDN w:val="0"/>
        <w:adjustRightInd w:val="0"/>
        <w:spacing w:line="360" w:lineRule="auto"/>
        <w:jc w:val="center"/>
        <w:outlineLvl w:val="3"/>
        <w:rPr>
          <w:rFonts w:ascii="宋体" w:hAnsi="宋体" w:eastAsia="宋体" w:cs="宋体"/>
          <w:b/>
          <w:bCs/>
          <w:color w:val="auto"/>
          <w:kern w:val="0"/>
          <w:sz w:val="28"/>
          <w:szCs w:val="30"/>
          <w:highlight w:val="none"/>
          <w:lang w:val="zh-CN"/>
        </w:rPr>
      </w:pPr>
      <w:bookmarkStart w:id="1215" w:name="_Toc26412_WPSOffice_Level3"/>
      <w:r>
        <w:rPr>
          <w:rFonts w:hint="eastAsia" w:ascii="宋体" w:hAnsi="宋体" w:eastAsia="宋体" w:cs="宋体"/>
          <w:b/>
          <w:bCs/>
          <w:color w:val="auto"/>
          <w:kern w:val="0"/>
          <w:sz w:val="28"/>
          <w:szCs w:val="30"/>
          <w:highlight w:val="none"/>
          <w:lang w:val="zh-CN"/>
        </w:rPr>
        <w:t>东莞市水务环境投资控股集团分布式光伏发电项目（第一批）供水厂项目合同条款偏离表</w:t>
      </w:r>
      <w:bookmarkEnd w:id="1215"/>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1262"/>
        <w:gridCol w:w="2718"/>
        <w:gridCol w:w="1192"/>
        <w:gridCol w:w="3135"/>
      </w:tblGrid>
      <w:tr w14:paraId="14B64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91" w:type="pct"/>
            <w:vMerge w:val="restart"/>
            <w:vAlign w:val="center"/>
          </w:tcPr>
          <w:p w14:paraId="04DABA8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160" w:type="pct"/>
            <w:gridSpan w:val="2"/>
            <w:vAlign w:val="center"/>
          </w:tcPr>
          <w:p w14:paraId="0D2BC43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2348" w:type="pct"/>
            <w:gridSpan w:val="2"/>
            <w:vAlign w:val="center"/>
          </w:tcPr>
          <w:p w14:paraId="0507E8D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79EC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491" w:type="pct"/>
            <w:vMerge w:val="continue"/>
            <w:vAlign w:val="center"/>
          </w:tcPr>
          <w:p w14:paraId="71601C8F">
            <w:pPr>
              <w:autoSpaceDE w:val="0"/>
              <w:autoSpaceDN w:val="0"/>
              <w:adjustRightInd w:val="0"/>
              <w:spacing w:line="400" w:lineRule="exact"/>
              <w:jc w:val="center"/>
              <w:rPr>
                <w:rFonts w:ascii="宋体" w:hAnsi="宋体" w:eastAsia="宋体" w:cs="宋体"/>
                <w:color w:val="auto"/>
                <w:kern w:val="0"/>
                <w:szCs w:val="21"/>
                <w:highlight w:val="none"/>
              </w:rPr>
            </w:pPr>
          </w:p>
        </w:tc>
        <w:tc>
          <w:tcPr>
            <w:tcW w:w="685" w:type="pct"/>
            <w:vAlign w:val="center"/>
          </w:tcPr>
          <w:p w14:paraId="4BF5831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1474" w:type="pct"/>
            <w:vAlign w:val="center"/>
          </w:tcPr>
          <w:p w14:paraId="5E97928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647" w:type="pct"/>
            <w:vAlign w:val="center"/>
          </w:tcPr>
          <w:p w14:paraId="7E7AD59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1700" w:type="pct"/>
            <w:vAlign w:val="center"/>
          </w:tcPr>
          <w:p w14:paraId="7E9CC8F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0A31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404680E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85" w:type="pct"/>
            <w:shd w:val="clear" w:color="auto" w:fill="auto"/>
            <w:vAlign w:val="center"/>
          </w:tcPr>
          <w:p w14:paraId="1256EBF7">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w:t>
            </w:r>
          </w:p>
        </w:tc>
        <w:tc>
          <w:tcPr>
            <w:tcW w:w="1474" w:type="pct"/>
            <w:shd w:val="clear" w:color="auto" w:fill="auto"/>
            <w:vAlign w:val="center"/>
          </w:tcPr>
          <w:p w14:paraId="503418AE">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合同项目</w:t>
            </w:r>
          </w:p>
        </w:tc>
        <w:tc>
          <w:tcPr>
            <w:tcW w:w="647" w:type="pct"/>
            <w:vAlign w:val="center"/>
          </w:tcPr>
          <w:p w14:paraId="50C7A6A0">
            <w:pPr>
              <w:autoSpaceDE w:val="0"/>
              <w:autoSpaceDN w:val="0"/>
              <w:adjustRightInd w:val="0"/>
              <w:spacing w:line="400" w:lineRule="exact"/>
              <w:jc w:val="center"/>
              <w:rPr>
                <w:rFonts w:ascii="宋体" w:hAnsi="宋体" w:eastAsia="宋体" w:cs="宋体"/>
                <w:color w:val="auto"/>
                <w:kern w:val="0"/>
                <w:szCs w:val="21"/>
                <w:highlight w:val="none"/>
              </w:rPr>
            </w:pPr>
          </w:p>
        </w:tc>
        <w:tc>
          <w:tcPr>
            <w:tcW w:w="1700" w:type="pct"/>
            <w:vAlign w:val="center"/>
          </w:tcPr>
          <w:p w14:paraId="49793F2F">
            <w:pPr>
              <w:autoSpaceDE w:val="0"/>
              <w:autoSpaceDN w:val="0"/>
              <w:adjustRightInd w:val="0"/>
              <w:spacing w:line="400" w:lineRule="exact"/>
              <w:jc w:val="center"/>
              <w:rPr>
                <w:rFonts w:ascii="宋体" w:hAnsi="宋体" w:eastAsia="宋体" w:cs="宋体"/>
                <w:color w:val="auto"/>
                <w:kern w:val="0"/>
                <w:szCs w:val="21"/>
                <w:highlight w:val="none"/>
              </w:rPr>
            </w:pPr>
          </w:p>
        </w:tc>
      </w:tr>
      <w:tr w14:paraId="7476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trPr>
        <w:tc>
          <w:tcPr>
            <w:tcW w:w="491" w:type="pct"/>
            <w:vAlign w:val="center"/>
          </w:tcPr>
          <w:p w14:paraId="313CD4F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685" w:type="pct"/>
            <w:shd w:val="clear" w:color="auto" w:fill="auto"/>
            <w:vAlign w:val="center"/>
          </w:tcPr>
          <w:p w14:paraId="2A49B6D3">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第二条</w:t>
            </w:r>
          </w:p>
        </w:tc>
        <w:tc>
          <w:tcPr>
            <w:tcW w:w="1474" w:type="pct"/>
            <w:shd w:val="clear" w:color="auto" w:fill="auto"/>
            <w:vAlign w:val="center"/>
          </w:tcPr>
          <w:p w14:paraId="2E84B247">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合同价及销项税额</w:t>
            </w:r>
          </w:p>
        </w:tc>
        <w:tc>
          <w:tcPr>
            <w:tcW w:w="647" w:type="pct"/>
            <w:vAlign w:val="center"/>
          </w:tcPr>
          <w:p w14:paraId="03A82065">
            <w:pPr>
              <w:autoSpaceDE w:val="0"/>
              <w:autoSpaceDN w:val="0"/>
              <w:adjustRightInd w:val="0"/>
              <w:spacing w:line="400" w:lineRule="exact"/>
              <w:jc w:val="center"/>
              <w:rPr>
                <w:rFonts w:ascii="宋体" w:hAnsi="宋体" w:eastAsia="宋体" w:cs="宋体"/>
                <w:color w:val="auto"/>
                <w:kern w:val="0"/>
                <w:szCs w:val="21"/>
                <w:highlight w:val="none"/>
              </w:rPr>
            </w:pPr>
          </w:p>
        </w:tc>
        <w:tc>
          <w:tcPr>
            <w:tcW w:w="1700" w:type="pct"/>
            <w:vAlign w:val="center"/>
          </w:tcPr>
          <w:p w14:paraId="1CD56485">
            <w:pPr>
              <w:autoSpaceDE w:val="0"/>
              <w:autoSpaceDN w:val="0"/>
              <w:adjustRightInd w:val="0"/>
              <w:spacing w:line="400" w:lineRule="exact"/>
              <w:jc w:val="center"/>
              <w:rPr>
                <w:rFonts w:ascii="宋体" w:hAnsi="宋体" w:eastAsia="宋体" w:cs="宋体"/>
                <w:color w:val="auto"/>
                <w:kern w:val="0"/>
                <w:szCs w:val="21"/>
                <w:highlight w:val="none"/>
              </w:rPr>
            </w:pPr>
          </w:p>
        </w:tc>
      </w:tr>
      <w:tr w14:paraId="4F2E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1456504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685" w:type="pct"/>
            <w:shd w:val="clear" w:color="auto" w:fill="auto"/>
            <w:vAlign w:val="center"/>
          </w:tcPr>
          <w:p w14:paraId="5BD79144">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第三条</w:t>
            </w:r>
          </w:p>
        </w:tc>
        <w:tc>
          <w:tcPr>
            <w:tcW w:w="1474" w:type="pct"/>
            <w:shd w:val="clear" w:color="auto" w:fill="auto"/>
            <w:vAlign w:val="center"/>
          </w:tcPr>
          <w:p w14:paraId="5AA9D1D3">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w:t>
            </w:r>
          </w:p>
        </w:tc>
        <w:tc>
          <w:tcPr>
            <w:tcW w:w="647" w:type="pct"/>
            <w:vAlign w:val="center"/>
          </w:tcPr>
          <w:p w14:paraId="08753155">
            <w:pPr>
              <w:autoSpaceDE w:val="0"/>
              <w:autoSpaceDN w:val="0"/>
              <w:adjustRightInd w:val="0"/>
              <w:spacing w:line="400" w:lineRule="exact"/>
              <w:jc w:val="center"/>
              <w:rPr>
                <w:rFonts w:ascii="宋体" w:hAnsi="宋体" w:eastAsia="宋体" w:cs="宋体"/>
                <w:color w:val="auto"/>
                <w:kern w:val="0"/>
                <w:szCs w:val="21"/>
                <w:highlight w:val="none"/>
              </w:rPr>
            </w:pPr>
          </w:p>
        </w:tc>
        <w:tc>
          <w:tcPr>
            <w:tcW w:w="1700" w:type="pct"/>
            <w:vAlign w:val="center"/>
          </w:tcPr>
          <w:p w14:paraId="03F96381">
            <w:pPr>
              <w:autoSpaceDE w:val="0"/>
              <w:autoSpaceDN w:val="0"/>
              <w:adjustRightInd w:val="0"/>
              <w:spacing w:line="400" w:lineRule="exact"/>
              <w:jc w:val="center"/>
              <w:rPr>
                <w:rFonts w:ascii="宋体" w:hAnsi="宋体" w:eastAsia="宋体" w:cs="宋体"/>
                <w:color w:val="auto"/>
                <w:kern w:val="0"/>
                <w:szCs w:val="21"/>
                <w:highlight w:val="none"/>
              </w:rPr>
            </w:pPr>
          </w:p>
        </w:tc>
      </w:tr>
      <w:tr w14:paraId="0673B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1" w:type="pct"/>
            <w:vAlign w:val="center"/>
          </w:tcPr>
          <w:p w14:paraId="2E2AD24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685" w:type="pct"/>
            <w:shd w:val="clear" w:color="auto" w:fill="auto"/>
            <w:vAlign w:val="center"/>
          </w:tcPr>
          <w:p w14:paraId="04559D76">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第四条</w:t>
            </w:r>
          </w:p>
        </w:tc>
        <w:tc>
          <w:tcPr>
            <w:tcW w:w="1474" w:type="pct"/>
            <w:shd w:val="clear" w:color="auto" w:fill="auto"/>
            <w:vAlign w:val="center"/>
          </w:tcPr>
          <w:p w14:paraId="13EAB1A1">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合同组成</w:t>
            </w:r>
          </w:p>
        </w:tc>
        <w:tc>
          <w:tcPr>
            <w:tcW w:w="647" w:type="pct"/>
            <w:vAlign w:val="center"/>
          </w:tcPr>
          <w:p w14:paraId="72D4BA1F">
            <w:pPr>
              <w:autoSpaceDE w:val="0"/>
              <w:autoSpaceDN w:val="0"/>
              <w:adjustRightInd w:val="0"/>
              <w:spacing w:line="400" w:lineRule="exact"/>
              <w:jc w:val="center"/>
              <w:rPr>
                <w:rFonts w:ascii="宋体" w:hAnsi="宋体" w:eastAsia="宋体" w:cs="宋体"/>
                <w:color w:val="auto"/>
                <w:kern w:val="0"/>
                <w:szCs w:val="21"/>
                <w:highlight w:val="none"/>
              </w:rPr>
            </w:pPr>
          </w:p>
        </w:tc>
        <w:tc>
          <w:tcPr>
            <w:tcW w:w="1700" w:type="pct"/>
            <w:vAlign w:val="center"/>
          </w:tcPr>
          <w:p w14:paraId="069A0489">
            <w:pPr>
              <w:autoSpaceDE w:val="0"/>
              <w:autoSpaceDN w:val="0"/>
              <w:adjustRightInd w:val="0"/>
              <w:spacing w:line="400" w:lineRule="exact"/>
              <w:jc w:val="center"/>
              <w:rPr>
                <w:rFonts w:ascii="宋体" w:hAnsi="宋体" w:eastAsia="宋体" w:cs="宋体"/>
                <w:color w:val="auto"/>
                <w:kern w:val="0"/>
                <w:szCs w:val="21"/>
                <w:highlight w:val="none"/>
              </w:rPr>
            </w:pPr>
          </w:p>
        </w:tc>
      </w:tr>
      <w:tr w14:paraId="7A5A2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1E2D015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685" w:type="pct"/>
            <w:shd w:val="clear" w:color="auto" w:fill="auto"/>
            <w:vAlign w:val="center"/>
          </w:tcPr>
          <w:p w14:paraId="02BC5F82">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第五条</w:t>
            </w:r>
          </w:p>
        </w:tc>
        <w:tc>
          <w:tcPr>
            <w:tcW w:w="1474" w:type="pct"/>
            <w:shd w:val="clear" w:color="auto" w:fill="auto"/>
            <w:vAlign w:val="center"/>
          </w:tcPr>
          <w:p w14:paraId="5CEF1A77">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产品质量要求</w:t>
            </w:r>
          </w:p>
        </w:tc>
        <w:tc>
          <w:tcPr>
            <w:tcW w:w="647" w:type="pct"/>
            <w:vAlign w:val="center"/>
          </w:tcPr>
          <w:p w14:paraId="15A39600">
            <w:pPr>
              <w:autoSpaceDE w:val="0"/>
              <w:autoSpaceDN w:val="0"/>
              <w:adjustRightInd w:val="0"/>
              <w:spacing w:line="400" w:lineRule="exact"/>
              <w:jc w:val="center"/>
              <w:rPr>
                <w:rFonts w:ascii="宋体" w:hAnsi="宋体" w:eastAsia="宋体" w:cs="宋体"/>
                <w:color w:val="auto"/>
                <w:kern w:val="0"/>
                <w:szCs w:val="21"/>
                <w:highlight w:val="none"/>
              </w:rPr>
            </w:pPr>
          </w:p>
        </w:tc>
        <w:tc>
          <w:tcPr>
            <w:tcW w:w="1700" w:type="pct"/>
            <w:vAlign w:val="center"/>
          </w:tcPr>
          <w:p w14:paraId="26A16645">
            <w:pPr>
              <w:autoSpaceDE w:val="0"/>
              <w:autoSpaceDN w:val="0"/>
              <w:adjustRightInd w:val="0"/>
              <w:spacing w:line="400" w:lineRule="exact"/>
              <w:jc w:val="center"/>
              <w:rPr>
                <w:rFonts w:ascii="宋体" w:hAnsi="宋体" w:eastAsia="宋体" w:cs="宋体"/>
                <w:color w:val="auto"/>
                <w:kern w:val="0"/>
                <w:szCs w:val="21"/>
                <w:highlight w:val="none"/>
              </w:rPr>
            </w:pPr>
          </w:p>
        </w:tc>
      </w:tr>
      <w:tr w14:paraId="5EAE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24E2EA7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685" w:type="pct"/>
            <w:shd w:val="clear" w:color="auto" w:fill="auto"/>
            <w:vAlign w:val="center"/>
          </w:tcPr>
          <w:p w14:paraId="769F866C">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第六条</w:t>
            </w:r>
          </w:p>
        </w:tc>
        <w:tc>
          <w:tcPr>
            <w:tcW w:w="1474" w:type="pct"/>
            <w:shd w:val="clear" w:color="auto" w:fill="auto"/>
            <w:vAlign w:val="center"/>
          </w:tcPr>
          <w:p w14:paraId="6E7754E1">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包装、运输</w:t>
            </w:r>
          </w:p>
        </w:tc>
        <w:tc>
          <w:tcPr>
            <w:tcW w:w="647" w:type="pct"/>
            <w:vAlign w:val="center"/>
          </w:tcPr>
          <w:p w14:paraId="60237344">
            <w:pPr>
              <w:autoSpaceDE w:val="0"/>
              <w:autoSpaceDN w:val="0"/>
              <w:adjustRightInd w:val="0"/>
              <w:spacing w:line="400" w:lineRule="exact"/>
              <w:jc w:val="center"/>
              <w:rPr>
                <w:rFonts w:ascii="宋体" w:hAnsi="宋体" w:eastAsia="宋体" w:cs="宋体"/>
                <w:color w:val="auto"/>
                <w:kern w:val="0"/>
                <w:szCs w:val="21"/>
                <w:highlight w:val="none"/>
              </w:rPr>
            </w:pPr>
          </w:p>
        </w:tc>
        <w:tc>
          <w:tcPr>
            <w:tcW w:w="1700" w:type="pct"/>
            <w:vAlign w:val="center"/>
          </w:tcPr>
          <w:p w14:paraId="5EBCF640">
            <w:pPr>
              <w:autoSpaceDE w:val="0"/>
              <w:autoSpaceDN w:val="0"/>
              <w:adjustRightInd w:val="0"/>
              <w:spacing w:line="400" w:lineRule="exact"/>
              <w:jc w:val="center"/>
              <w:rPr>
                <w:rFonts w:ascii="宋体" w:hAnsi="宋体" w:eastAsia="宋体" w:cs="宋体"/>
                <w:color w:val="auto"/>
                <w:kern w:val="0"/>
                <w:szCs w:val="21"/>
                <w:highlight w:val="none"/>
              </w:rPr>
            </w:pPr>
          </w:p>
        </w:tc>
      </w:tr>
      <w:tr w14:paraId="660E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6C03D99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685" w:type="pct"/>
            <w:shd w:val="clear" w:color="auto" w:fill="auto"/>
            <w:vAlign w:val="center"/>
          </w:tcPr>
          <w:p w14:paraId="730B9BCF">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第七条</w:t>
            </w:r>
          </w:p>
        </w:tc>
        <w:tc>
          <w:tcPr>
            <w:tcW w:w="1474" w:type="pct"/>
            <w:shd w:val="clear" w:color="auto" w:fill="auto"/>
            <w:vAlign w:val="center"/>
          </w:tcPr>
          <w:p w14:paraId="6BB0D4BA">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保险</w:t>
            </w:r>
          </w:p>
        </w:tc>
        <w:tc>
          <w:tcPr>
            <w:tcW w:w="647" w:type="pct"/>
            <w:vAlign w:val="center"/>
          </w:tcPr>
          <w:p w14:paraId="2D8C5D12">
            <w:pPr>
              <w:autoSpaceDE w:val="0"/>
              <w:autoSpaceDN w:val="0"/>
              <w:adjustRightInd w:val="0"/>
              <w:spacing w:line="400" w:lineRule="exact"/>
              <w:jc w:val="center"/>
              <w:rPr>
                <w:rFonts w:ascii="宋体" w:hAnsi="宋体" w:eastAsia="宋体" w:cs="宋体"/>
                <w:color w:val="auto"/>
                <w:kern w:val="0"/>
                <w:szCs w:val="21"/>
                <w:highlight w:val="none"/>
              </w:rPr>
            </w:pPr>
          </w:p>
        </w:tc>
        <w:tc>
          <w:tcPr>
            <w:tcW w:w="1700" w:type="pct"/>
            <w:vAlign w:val="center"/>
          </w:tcPr>
          <w:p w14:paraId="1718FF2C">
            <w:pPr>
              <w:autoSpaceDE w:val="0"/>
              <w:autoSpaceDN w:val="0"/>
              <w:adjustRightInd w:val="0"/>
              <w:spacing w:line="400" w:lineRule="exact"/>
              <w:jc w:val="center"/>
              <w:rPr>
                <w:rFonts w:ascii="宋体" w:hAnsi="宋体" w:eastAsia="宋体" w:cs="宋体"/>
                <w:color w:val="auto"/>
                <w:kern w:val="0"/>
                <w:szCs w:val="21"/>
                <w:highlight w:val="none"/>
              </w:rPr>
            </w:pPr>
          </w:p>
        </w:tc>
      </w:tr>
      <w:tr w14:paraId="1DD4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16EE2C2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685" w:type="pct"/>
            <w:shd w:val="clear" w:color="auto" w:fill="auto"/>
            <w:vAlign w:val="center"/>
          </w:tcPr>
          <w:p w14:paraId="672C70E7">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第八条</w:t>
            </w:r>
          </w:p>
        </w:tc>
        <w:tc>
          <w:tcPr>
            <w:tcW w:w="1474" w:type="pct"/>
            <w:shd w:val="clear" w:color="auto" w:fill="auto"/>
            <w:vAlign w:val="center"/>
          </w:tcPr>
          <w:p w14:paraId="029AF92D">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货物的交付</w:t>
            </w:r>
          </w:p>
        </w:tc>
        <w:tc>
          <w:tcPr>
            <w:tcW w:w="647" w:type="pct"/>
            <w:vAlign w:val="center"/>
          </w:tcPr>
          <w:p w14:paraId="2D13067A">
            <w:pPr>
              <w:autoSpaceDE w:val="0"/>
              <w:autoSpaceDN w:val="0"/>
              <w:adjustRightInd w:val="0"/>
              <w:spacing w:line="400" w:lineRule="exact"/>
              <w:jc w:val="center"/>
              <w:rPr>
                <w:rFonts w:ascii="宋体" w:hAnsi="宋体" w:eastAsia="宋体" w:cs="宋体"/>
                <w:color w:val="auto"/>
                <w:kern w:val="0"/>
                <w:szCs w:val="21"/>
                <w:highlight w:val="none"/>
              </w:rPr>
            </w:pPr>
          </w:p>
        </w:tc>
        <w:tc>
          <w:tcPr>
            <w:tcW w:w="1700" w:type="pct"/>
            <w:vAlign w:val="center"/>
          </w:tcPr>
          <w:p w14:paraId="555B92CD">
            <w:pPr>
              <w:autoSpaceDE w:val="0"/>
              <w:autoSpaceDN w:val="0"/>
              <w:adjustRightInd w:val="0"/>
              <w:spacing w:line="400" w:lineRule="exact"/>
              <w:jc w:val="center"/>
              <w:rPr>
                <w:rFonts w:ascii="宋体" w:hAnsi="宋体" w:eastAsia="宋体" w:cs="宋体"/>
                <w:color w:val="auto"/>
                <w:kern w:val="0"/>
                <w:szCs w:val="21"/>
                <w:highlight w:val="none"/>
              </w:rPr>
            </w:pPr>
          </w:p>
        </w:tc>
      </w:tr>
      <w:tr w14:paraId="17F9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6933FEF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685" w:type="pct"/>
            <w:shd w:val="clear" w:color="auto" w:fill="auto"/>
            <w:vAlign w:val="center"/>
          </w:tcPr>
          <w:p w14:paraId="3A06EB34">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第九条</w:t>
            </w:r>
          </w:p>
        </w:tc>
        <w:tc>
          <w:tcPr>
            <w:tcW w:w="1474" w:type="pct"/>
            <w:shd w:val="clear" w:color="auto" w:fill="auto"/>
            <w:vAlign w:val="center"/>
          </w:tcPr>
          <w:p w14:paraId="1FB307F7">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安装、调试</w:t>
            </w:r>
          </w:p>
        </w:tc>
        <w:tc>
          <w:tcPr>
            <w:tcW w:w="647" w:type="pct"/>
            <w:vAlign w:val="center"/>
          </w:tcPr>
          <w:p w14:paraId="32E3C522">
            <w:pPr>
              <w:autoSpaceDE w:val="0"/>
              <w:autoSpaceDN w:val="0"/>
              <w:adjustRightInd w:val="0"/>
              <w:spacing w:line="400" w:lineRule="exact"/>
              <w:jc w:val="center"/>
              <w:rPr>
                <w:rFonts w:ascii="宋体" w:hAnsi="宋体" w:eastAsia="宋体" w:cs="宋体"/>
                <w:color w:val="auto"/>
                <w:kern w:val="0"/>
                <w:szCs w:val="21"/>
                <w:highlight w:val="none"/>
              </w:rPr>
            </w:pPr>
          </w:p>
        </w:tc>
        <w:tc>
          <w:tcPr>
            <w:tcW w:w="1700" w:type="pct"/>
            <w:vAlign w:val="center"/>
          </w:tcPr>
          <w:p w14:paraId="4FFFC489">
            <w:pPr>
              <w:autoSpaceDE w:val="0"/>
              <w:autoSpaceDN w:val="0"/>
              <w:adjustRightInd w:val="0"/>
              <w:spacing w:line="400" w:lineRule="exact"/>
              <w:jc w:val="center"/>
              <w:rPr>
                <w:rFonts w:ascii="宋体" w:hAnsi="宋体" w:eastAsia="宋体" w:cs="宋体"/>
                <w:color w:val="auto"/>
                <w:kern w:val="0"/>
                <w:szCs w:val="21"/>
                <w:highlight w:val="none"/>
              </w:rPr>
            </w:pPr>
          </w:p>
        </w:tc>
      </w:tr>
      <w:tr w14:paraId="5692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552374F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685" w:type="pct"/>
            <w:shd w:val="clear" w:color="auto" w:fill="auto"/>
            <w:vAlign w:val="center"/>
          </w:tcPr>
          <w:p w14:paraId="62B1B1C7">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第十条</w:t>
            </w:r>
          </w:p>
        </w:tc>
        <w:tc>
          <w:tcPr>
            <w:tcW w:w="1474" w:type="pct"/>
            <w:shd w:val="clear" w:color="auto" w:fill="auto"/>
            <w:vAlign w:val="center"/>
          </w:tcPr>
          <w:p w14:paraId="59D05852">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w:t>
            </w:r>
          </w:p>
        </w:tc>
        <w:tc>
          <w:tcPr>
            <w:tcW w:w="647" w:type="pct"/>
            <w:vAlign w:val="center"/>
          </w:tcPr>
          <w:p w14:paraId="356DAD26">
            <w:pPr>
              <w:autoSpaceDE w:val="0"/>
              <w:autoSpaceDN w:val="0"/>
              <w:adjustRightInd w:val="0"/>
              <w:spacing w:line="400" w:lineRule="exact"/>
              <w:jc w:val="center"/>
              <w:rPr>
                <w:rFonts w:ascii="宋体" w:hAnsi="宋体" w:eastAsia="宋体" w:cs="宋体"/>
                <w:color w:val="auto"/>
                <w:kern w:val="0"/>
                <w:szCs w:val="21"/>
                <w:highlight w:val="none"/>
              </w:rPr>
            </w:pPr>
          </w:p>
        </w:tc>
        <w:tc>
          <w:tcPr>
            <w:tcW w:w="1700" w:type="pct"/>
            <w:vAlign w:val="center"/>
          </w:tcPr>
          <w:p w14:paraId="1DC11139">
            <w:pPr>
              <w:autoSpaceDE w:val="0"/>
              <w:autoSpaceDN w:val="0"/>
              <w:adjustRightInd w:val="0"/>
              <w:spacing w:line="400" w:lineRule="exact"/>
              <w:jc w:val="center"/>
              <w:rPr>
                <w:rFonts w:ascii="宋体" w:hAnsi="宋体" w:eastAsia="宋体" w:cs="宋体"/>
                <w:color w:val="auto"/>
                <w:kern w:val="0"/>
                <w:szCs w:val="21"/>
                <w:highlight w:val="none"/>
              </w:rPr>
            </w:pPr>
          </w:p>
        </w:tc>
      </w:tr>
      <w:tr w14:paraId="6766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2F280FC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685" w:type="pct"/>
            <w:shd w:val="clear" w:color="auto" w:fill="auto"/>
            <w:vAlign w:val="center"/>
          </w:tcPr>
          <w:p w14:paraId="005964F4">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第十一条</w:t>
            </w:r>
          </w:p>
        </w:tc>
        <w:tc>
          <w:tcPr>
            <w:tcW w:w="1474" w:type="pct"/>
            <w:shd w:val="clear" w:color="auto" w:fill="auto"/>
            <w:vAlign w:val="center"/>
          </w:tcPr>
          <w:p w14:paraId="31E48675">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项目照管</w:t>
            </w:r>
          </w:p>
        </w:tc>
        <w:tc>
          <w:tcPr>
            <w:tcW w:w="647" w:type="pct"/>
            <w:vAlign w:val="center"/>
          </w:tcPr>
          <w:p w14:paraId="269F439E">
            <w:pPr>
              <w:autoSpaceDE w:val="0"/>
              <w:autoSpaceDN w:val="0"/>
              <w:adjustRightInd w:val="0"/>
              <w:spacing w:line="400" w:lineRule="exact"/>
              <w:jc w:val="center"/>
              <w:rPr>
                <w:rFonts w:ascii="宋体" w:hAnsi="宋体" w:eastAsia="宋体" w:cs="宋体"/>
                <w:color w:val="auto"/>
                <w:kern w:val="0"/>
                <w:szCs w:val="21"/>
                <w:highlight w:val="none"/>
              </w:rPr>
            </w:pPr>
          </w:p>
        </w:tc>
        <w:tc>
          <w:tcPr>
            <w:tcW w:w="1700" w:type="pct"/>
            <w:vAlign w:val="center"/>
          </w:tcPr>
          <w:p w14:paraId="32589AC7">
            <w:pPr>
              <w:autoSpaceDE w:val="0"/>
              <w:autoSpaceDN w:val="0"/>
              <w:adjustRightInd w:val="0"/>
              <w:spacing w:line="400" w:lineRule="exact"/>
              <w:jc w:val="center"/>
              <w:rPr>
                <w:rFonts w:ascii="宋体" w:hAnsi="宋体" w:eastAsia="宋体" w:cs="宋体"/>
                <w:color w:val="auto"/>
                <w:kern w:val="0"/>
                <w:szCs w:val="21"/>
                <w:highlight w:val="none"/>
              </w:rPr>
            </w:pPr>
          </w:p>
        </w:tc>
      </w:tr>
      <w:tr w14:paraId="5A74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6AADA28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685" w:type="pct"/>
            <w:shd w:val="clear" w:color="auto" w:fill="auto"/>
            <w:vAlign w:val="center"/>
          </w:tcPr>
          <w:p w14:paraId="4D89413B">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第十二条</w:t>
            </w:r>
          </w:p>
        </w:tc>
        <w:tc>
          <w:tcPr>
            <w:tcW w:w="1474" w:type="pct"/>
            <w:shd w:val="clear" w:color="auto" w:fill="auto"/>
            <w:vAlign w:val="center"/>
          </w:tcPr>
          <w:p w14:paraId="50E7D58F">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知识产权</w:t>
            </w:r>
          </w:p>
        </w:tc>
        <w:tc>
          <w:tcPr>
            <w:tcW w:w="647" w:type="pct"/>
            <w:vAlign w:val="center"/>
          </w:tcPr>
          <w:p w14:paraId="2549328F">
            <w:pPr>
              <w:autoSpaceDE w:val="0"/>
              <w:autoSpaceDN w:val="0"/>
              <w:adjustRightInd w:val="0"/>
              <w:spacing w:line="400" w:lineRule="exact"/>
              <w:jc w:val="center"/>
              <w:rPr>
                <w:rFonts w:ascii="宋体" w:hAnsi="宋体" w:eastAsia="宋体" w:cs="宋体"/>
                <w:color w:val="auto"/>
                <w:kern w:val="0"/>
                <w:szCs w:val="21"/>
                <w:highlight w:val="none"/>
              </w:rPr>
            </w:pPr>
          </w:p>
        </w:tc>
        <w:tc>
          <w:tcPr>
            <w:tcW w:w="1700" w:type="pct"/>
            <w:vAlign w:val="center"/>
          </w:tcPr>
          <w:p w14:paraId="3CDB58E4">
            <w:pPr>
              <w:autoSpaceDE w:val="0"/>
              <w:autoSpaceDN w:val="0"/>
              <w:adjustRightInd w:val="0"/>
              <w:spacing w:line="400" w:lineRule="exact"/>
              <w:jc w:val="center"/>
              <w:rPr>
                <w:rFonts w:ascii="宋体" w:hAnsi="宋体" w:eastAsia="宋体" w:cs="宋体"/>
                <w:color w:val="auto"/>
                <w:kern w:val="0"/>
                <w:szCs w:val="21"/>
                <w:highlight w:val="none"/>
              </w:rPr>
            </w:pPr>
          </w:p>
        </w:tc>
      </w:tr>
      <w:tr w14:paraId="5F5DA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79FAA5B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685" w:type="pct"/>
            <w:shd w:val="clear" w:color="auto" w:fill="auto"/>
            <w:vAlign w:val="center"/>
          </w:tcPr>
          <w:p w14:paraId="59F598B9">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第十三条</w:t>
            </w:r>
          </w:p>
        </w:tc>
        <w:tc>
          <w:tcPr>
            <w:tcW w:w="1474" w:type="pct"/>
            <w:shd w:val="clear" w:color="auto" w:fill="auto"/>
            <w:vAlign w:val="center"/>
          </w:tcPr>
          <w:p w14:paraId="4904964F">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技术服务、设计联络、设计技术要求和培训</w:t>
            </w:r>
          </w:p>
        </w:tc>
        <w:tc>
          <w:tcPr>
            <w:tcW w:w="647" w:type="pct"/>
            <w:vAlign w:val="center"/>
          </w:tcPr>
          <w:p w14:paraId="69AD1B27">
            <w:pPr>
              <w:autoSpaceDE w:val="0"/>
              <w:autoSpaceDN w:val="0"/>
              <w:adjustRightInd w:val="0"/>
              <w:spacing w:line="400" w:lineRule="exact"/>
              <w:jc w:val="center"/>
              <w:rPr>
                <w:rFonts w:ascii="宋体" w:hAnsi="宋体" w:eastAsia="宋体" w:cs="宋体"/>
                <w:color w:val="auto"/>
                <w:kern w:val="0"/>
                <w:szCs w:val="21"/>
                <w:highlight w:val="none"/>
              </w:rPr>
            </w:pPr>
          </w:p>
        </w:tc>
        <w:tc>
          <w:tcPr>
            <w:tcW w:w="1700" w:type="pct"/>
            <w:vAlign w:val="center"/>
          </w:tcPr>
          <w:p w14:paraId="04F0655A">
            <w:pPr>
              <w:autoSpaceDE w:val="0"/>
              <w:autoSpaceDN w:val="0"/>
              <w:adjustRightInd w:val="0"/>
              <w:spacing w:line="400" w:lineRule="exact"/>
              <w:jc w:val="center"/>
              <w:rPr>
                <w:rFonts w:ascii="宋体" w:hAnsi="宋体" w:eastAsia="宋体" w:cs="宋体"/>
                <w:color w:val="auto"/>
                <w:kern w:val="0"/>
                <w:szCs w:val="21"/>
                <w:highlight w:val="none"/>
              </w:rPr>
            </w:pPr>
          </w:p>
        </w:tc>
      </w:tr>
      <w:tr w14:paraId="59F1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7081D3E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685" w:type="pct"/>
            <w:shd w:val="clear" w:color="auto" w:fill="auto"/>
            <w:vAlign w:val="center"/>
          </w:tcPr>
          <w:p w14:paraId="74D19167">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第十四条</w:t>
            </w:r>
          </w:p>
        </w:tc>
        <w:tc>
          <w:tcPr>
            <w:tcW w:w="1474" w:type="pct"/>
            <w:shd w:val="clear" w:color="auto" w:fill="auto"/>
            <w:vAlign w:val="center"/>
          </w:tcPr>
          <w:p w14:paraId="41B08264">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质保期及售后服务</w:t>
            </w:r>
          </w:p>
        </w:tc>
        <w:tc>
          <w:tcPr>
            <w:tcW w:w="647" w:type="pct"/>
            <w:vAlign w:val="center"/>
          </w:tcPr>
          <w:p w14:paraId="3898A29D">
            <w:pPr>
              <w:autoSpaceDE w:val="0"/>
              <w:autoSpaceDN w:val="0"/>
              <w:adjustRightInd w:val="0"/>
              <w:spacing w:line="400" w:lineRule="exact"/>
              <w:jc w:val="center"/>
              <w:rPr>
                <w:rFonts w:ascii="宋体" w:hAnsi="宋体" w:eastAsia="宋体" w:cs="宋体"/>
                <w:color w:val="auto"/>
                <w:kern w:val="0"/>
                <w:szCs w:val="21"/>
                <w:highlight w:val="none"/>
              </w:rPr>
            </w:pPr>
          </w:p>
        </w:tc>
        <w:tc>
          <w:tcPr>
            <w:tcW w:w="1700" w:type="pct"/>
            <w:vAlign w:val="center"/>
          </w:tcPr>
          <w:p w14:paraId="5BD751C3">
            <w:pPr>
              <w:autoSpaceDE w:val="0"/>
              <w:autoSpaceDN w:val="0"/>
              <w:adjustRightInd w:val="0"/>
              <w:spacing w:line="400" w:lineRule="exact"/>
              <w:jc w:val="center"/>
              <w:rPr>
                <w:rFonts w:ascii="宋体" w:hAnsi="宋体" w:eastAsia="宋体" w:cs="宋体"/>
                <w:color w:val="auto"/>
                <w:kern w:val="0"/>
                <w:szCs w:val="21"/>
                <w:highlight w:val="none"/>
              </w:rPr>
            </w:pPr>
          </w:p>
        </w:tc>
      </w:tr>
      <w:tr w14:paraId="0B21F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3184406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685" w:type="pct"/>
            <w:shd w:val="clear" w:color="auto" w:fill="auto"/>
            <w:vAlign w:val="center"/>
          </w:tcPr>
          <w:p w14:paraId="4AFA02F8">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第十五条</w:t>
            </w:r>
          </w:p>
        </w:tc>
        <w:tc>
          <w:tcPr>
            <w:tcW w:w="1474" w:type="pct"/>
            <w:shd w:val="clear" w:color="auto" w:fill="auto"/>
            <w:vAlign w:val="center"/>
          </w:tcPr>
          <w:p w14:paraId="752CDF1B">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项目运维</w:t>
            </w:r>
          </w:p>
        </w:tc>
        <w:tc>
          <w:tcPr>
            <w:tcW w:w="647" w:type="pct"/>
            <w:vAlign w:val="center"/>
          </w:tcPr>
          <w:p w14:paraId="7E65F986">
            <w:pPr>
              <w:autoSpaceDE w:val="0"/>
              <w:autoSpaceDN w:val="0"/>
              <w:adjustRightInd w:val="0"/>
              <w:spacing w:line="400" w:lineRule="exact"/>
              <w:jc w:val="center"/>
              <w:rPr>
                <w:rFonts w:ascii="宋体" w:hAnsi="宋体" w:eastAsia="宋体" w:cs="宋体"/>
                <w:color w:val="auto"/>
                <w:kern w:val="0"/>
                <w:szCs w:val="21"/>
                <w:highlight w:val="none"/>
              </w:rPr>
            </w:pPr>
          </w:p>
        </w:tc>
        <w:tc>
          <w:tcPr>
            <w:tcW w:w="1700" w:type="pct"/>
            <w:vAlign w:val="center"/>
          </w:tcPr>
          <w:p w14:paraId="20C77BB0">
            <w:pPr>
              <w:autoSpaceDE w:val="0"/>
              <w:autoSpaceDN w:val="0"/>
              <w:adjustRightInd w:val="0"/>
              <w:spacing w:line="400" w:lineRule="exact"/>
              <w:jc w:val="center"/>
              <w:rPr>
                <w:rFonts w:ascii="宋体" w:hAnsi="宋体" w:eastAsia="宋体" w:cs="宋体"/>
                <w:color w:val="auto"/>
                <w:kern w:val="0"/>
                <w:szCs w:val="21"/>
                <w:highlight w:val="none"/>
              </w:rPr>
            </w:pPr>
          </w:p>
        </w:tc>
      </w:tr>
      <w:tr w14:paraId="3711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04EF79A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685" w:type="pct"/>
            <w:shd w:val="clear" w:color="auto" w:fill="auto"/>
            <w:vAlign w:val="center"/>
          </w:tcPr>
          <w:p w14:paraId="37D31665">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第十六条</w:t>
            </w:r>
          </w:p>
        </w:tc>
        <w:tc>
          <w:tcPr>
            <w:tcW w:w="1474" w:type="pct"/>
            <w:shd w:val="clear" w:color="auto" w:fill="auto"/>
            <w:vAlign w:val="center"/>
          </w:tcPr>
          <w:p w14:paraId="00364E2A">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履约担保</w:t>
            </w:r>
          </w:p>
        </w:tc>
        <w:tc>
          <w:tcPr>
            <w:tcW w:w="647" w:type="pct"/>
            <w:vAlign w:val="center"/>
          </w:tcPr>
          <w:p w14:paraId="32502EA6">
            <w:pPr>
              <w:autoSpaceDE w:val="0"/>
              <w:autoSpaceDN w:val="0"/>
              <w:adjustRightInd w:val="0"/>
              <w:spacing w:line="400" w:lineRule="exact"/>
              <w:jc w:val="center"/>
              <w:rPr>
                <w:rFonts w:ascii="宋体" w:hAnsi="宋体" w:eastAsia="宋体" w:cs="宋体"/>
                <w:color w:val="auto"/>
                <w:kern w:val="0"/>
                <w:szCs w:val="21"/>
                <w:highlight w:val="none"/>
              </w:rPr>
            </w:pPr>
          </w:p>
        </w:tc>
        <w:tc>
          <w:tcPr>
            <w:tcW w:w="1700" w:type="pct"/>
            <w:vAlign w:val="center"/>
          </w:tcPr>
          <w:p w14:paraId="53E84361">
            <w:pPr>
              <w:autoSpaceDE w:val="0"/>
              <w:autoSpaceDN w:val="0"/>
              <w:adjustRightInd w:val="0"/>
              <w:spacing w:line="400" w:lineRule="exact"/>
              <w:jc w:val="center"/>
              <w:rPr>
                <w:rFonts w:ascii="宋体" w:hAnsi="宋体" w:eastAsia="宋体" w:cs="宋体"/>
                <w:color w:val="auto"/>
                <w:kern w:val="0"/>
                <w:szCs w:val="21"/>
                <w:highlight w:val="none"/>
              </w:rPr>
            </w:pPr>
          </w:p>
        </w:tc>
      </w:tr>
      <w:tr w14:paraId="0949B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0C0C4F3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685" w:type="pct"/>
            <w:shd w:val="clear" w:color="auto" w:fill="auto"/>
            <w:vAlign w:val="center"/>
          </w:tcPr>
          <w:p w14:paraId="7245B5BD">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第十七条</w:t>
            </w:r>
          </w:p>
        </w:tc>
        <w:tc>
          <w:tcPr>
            <w:tcW w:w="1474" w:type="pct"/>
            <w:shd w:val="clear" w:color="auto" w:fill="auto"/>
            <w:vAlign w:val="center"/>
          </w:tcPr>
          <w:p w14:paraId="18EB54E2">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技术资料</w:t>
            </w:r>
          </w:p>
        </w:tc>
        <w:tc>
          <w:tcPr>
            <w:tcW w:w="647" w:type="pct"/>
            <w:vAlign w:val="center"/>
          </w:tcPr>
          <w:p w14:paraId="051B8528">
            <w:pPr>
              <w:autoSpaceDE w:val="0"/>
              <w:autoSpaceDN w:val="0"/>
              <w:adjustRightInd w:val="0"/>
              <w:spacing w:line="400" w:lineRule="exact"/>
              <w:jc w:val="center"/>
              <w:rPr>
                <w:rFonts w:ascii="宋体" w:hAnsi="宋体" w:eastAsia="宋体" w:cs="宋体"/>
                <w:color w:val="auto"/>
                <w:kern w:val="0"/>
                <w:szCs w:val="21"/>
                <w:highlight w:val="none"/>
              </w:rPr>
            </w:pPr>
          </w:p>
        </w:tc>
        <w:tc>
          <w:tcPr>
            <w:tcW w:w="1700" w:type="pct"/>
            <w:vAlign w:val="center"/>
          </w:tcPr>
          <w:p w14:paraId="21366268">
            <w:pPr>
              <w:autoSpaceDE w:val="0"/>
              <w:autoSpaceDN w:val="0"/>
              <w:adjustRightInd w:val="0"/>
              <w:spacing w:line="400" w:lineRule="exact"/>
              <w:jc w:val="center"/>
              <w:rPr>
                <w:rFonts w:ascii="宋体" w:hAnsi="宋体" w:eastAsia="宋体" w:cs="宋体"/>
                <w:color w:val="auto"/>
                <w:kern w:val="0"/>
                <w:szCs w:val="21"/>
                <w:highlight w:val="none"/>
              </w:rPr>
            </w:pPr>
          </w:p>
        </w:tc>
      </w:tr>
      <w:tr w14:paraId="5E14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44A4CE1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w:t>
            </w:r>
          </w:p>
        </w:tc>
        <w:tc>
          <w:tcPr>
            <w:tcW w:w="685" w:type="pct"/>
            <w:shd w:val="clear" w:color="auto" w:fill="auto"/>
            <w:vAlign w:val="center"/>
          </w:tcPr>
          <w:p w14:paraId="6E6165A8">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第十八条</w:t>
            </w:r>
          </w:p>
        </w:tc>
        <w:tc>
          <w:tcPr>
            <w:tcW w:w="1474" w:type="pct"/>
            <w:shd w:val="clear" w:color="auto" w:fill="auto"/>
            <w:vAlign w:val="center"/>
          </w:tcPr>
          <w:p w14:paraId="44C78D97">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廉洁条款</w:t>
            </w:r>
          </w:p>
        </w:tc>
        <w:tc>
          <w:tcPr>
            <w:tcW w:w="647" w:type="pct"/>
            <w:vAlign w:val="center"/>
          </w:tcPr>
          <w:p w14:paraId="0394E221">
            <w:pPr>
              <w:autoSpaceDE w:val="0"/>
              <w:autoSpaceDN w:val="0"/>
              <w:adjustRightInd w:val="0"/>
              <w:spacing w:line="400" w:lineRule="exact"/>
              <w:jc w:val="center"/>
              <w:rPr>
                <w:rFonts w:ascii="宋体" w:hAnsi="宋体" w:eastAsia="宋体" w:cs="宋体"/>
                <w:color w:val="auto"/>
                <w:kern w:val="0"/>
                <w:szCs w:val="21"/>
                <w:highlight w:val="none"/>
              </w:rPr>
            </w:pPr>
          </w:p>
        </w:tc>
        <w:tc>
          <w:tcPr>
            <w:tcW w:w="1700" w:type="pct"/>
            <w:vAlign w:val="center"/>
          </w:tcPr>
          <w:p w14:paraId="7623BF8F">
            <w:pPr>
              <w:autoSpaceDE w:val="0"/>
              <w:autoSpaceDN w:val="0"/>
              <w:adjustRightInd w:val="0"/>
              <w:spacing w:line="400" w:lineRule="exact"/>
              <w:jc w:val="center"/>
              <w:rPr>
                <w:rFonts w:ascii="宋体" w:hAnsi="宋体" w:eastAsia="宋体" w:cs="宋体"/>
                <w:color w:val="auto"/>
                <w:kern w:val="0"/>
                <w:szCs w:val="21"/>
                <w:highlight w:val="none"/>
              </w:rPr>
            </w:pPr>
          </w:p>
        </w:tc>
      </w:tr>
      <w:tr w14:paraId="13750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439C410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19</w:t>
            </w:r>
          </w:p>
        </w:tc>
        <w:tc>
          <w:tcPr>
            <w:tcW w:w="685" w:type="pct"/>
            <w:shd w:val="clear" w:color="auto" w:fill="auto"/>
            <w:vAlign w:val="center"/>
          </w:tcPr>
          <w:p w14:paraId="2D8C287F">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第十九条</w:t>
            </w:r>
          </w:p>
        </w:tc>
        <w:tc>
          <w:tcPr>
            <w:tcW w:w="1474" w:type="pct"/>
            <w:shd w:val="clear" w:color="auto" w:fill="auto"/>
            <w:vAlign w:val="center"/>
          </w:tcPr>
          <w:p w14:paraId="5D7B94D8">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不可抗力</w:t>
            </w:r>
          </w:p>
        </w:tc>
        <w:tc>
          <w:tcPr>
            <w:tcW w:w="647" w:type="pct"/>
            <w:vAlign w:val="center"/>
          </w:tcPr>
          <w:p w14:paraId="4A23FFAD">
            <w:pPr>
              <w:autoSpaceDE w:val="0"/>
              <w:autoSpaceDN w:val="0"/>
              <w:adjustRightInd w:val="0"/>
              <w:spacing w:line="400" w:lineRule="exact"/>
              <w:jc w:val="center"/>
              <w:rPr>
                <w:rFonts w:ascii="宋体" w:hAnsi="宋体" w:eastAsia="宋体" w:cs="宋体"/>
                <w:color w:val="auto"/>
                <w:kern w:val="0"/>
                <w:szCs w:val="21"/>
                <w:highlight w:val="none"/>
              </w:rPr>
            </w:pPr>
          </w:p>
        </w:tc>
        <w:tc>
          <w:tcPr>
            <w:tcW w:w="1700" w:type="pct"/>
            <w:vAlign w:val="center"/>
          </w:tcPr>
          <w:p w14:paraId="132A5D7D">
            <w:pPr>
              <w:autoSpaceDE w:val="0"/>
              <w:autoSpaceDN w:val="0"/>
              <w:adjustRightInd w:val="0"/>
              <w:spacing w:line="400" w:lineRule="exact"/>
              <w:jc w:val="center"/>
              <w:rPr>
                <w:rFonts w:ascii="宋体" w:hAnsi="宋体" w:eastAsia="宋体" w:cs="宋体"/>
                <w:color w:val="auto"/>
                <w:kern w:val="0"/>
                <w:szCs w:val="21"/>
                <w:highlight w:val="none"/>
              </w:rPr>
            </w:pPr>
          </w:p>
        </w:tc>
      </w:tr>
      <w:tr w14:paraId="612D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18A1942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w:t>
            </w:r>
          </w:p>
        </w:tc>
        <w:tc>
          <w:tcPr>
            <w:tcW w:w="685" w:type="pct"/>
            <w:shd w:val="clear" w:color="auto" w:fill="auto"/>
            <w:vAlign w:val="center"/>
          </w:tcPr>
          <w:p w14:paraId="0B28B7F3">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第二十条</w:t>
            </w:r>
          </w:p>
        </w:tc>
        <w:tc>
          <w:tcPr>
            <w:tcW w:w="1474" w:type="pct"/>
            <w:shd w:val="clear" w:color="auto" w:fill="auto"/>
            <w:vAlign w:val="center"/>
          </w:tcPr>
          <w:p w14:paraId="5368C9C4">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索赔</w:t>
            </w:r>
          </w:p>
        </w:tc>
        <w:tc>
          <w:tcPr>
            <w:tcW w:w="647" w:type="pct"/>
            <w:vAlign w:val="center"/>
          </w:tcPr>
          <w:p w14:paraId="007AE10B">
            <w:pPr>
              <w:autoSpaceDE w:val="0"/>
              <w:autoSpaceDN w:val="0"/>
              <w:adjustRightInd w:val="0"/>
              <w:spacing w:line="400" w:lineRule="exact"/>
              <w:jc w:val="center"/>
              <w:rPr>
                <w:rFonts w:ascii="宋体" w:hAnsi="宋体" w:eastAsia="宋体" w:cs="宋体"/>
                <w:color w:val="auto"/>
                <w:kern w:val="0"/>
                <w:szCs w:val="21"/>
                <w:highlight w:val="none"/>
              </w:rPr>
            </w:pPr>
          </w:p>
        </w:tc>
        <w:tc>
          <w:tcPr>
            <w:tcW w:w="1700" w:type="pct"/>
            <w:vAlign w:val="center"/>
          </w:tcPr>
          <w:p w14:paraId="1A187B6F">
            <w:pPr>
              <w:autoSpaceDE w:val="0"/>
              <w:autoSpaceDN w:val="0"/>
              <w:adjustRightInd w:val="0"/>
              <w:spacing w:line="400" w:lineRule="exact"/>
              <w:jc w:val="center"/>
              <w:rPr>
                <w:rFonts w:ascii="宋体" w:hAnsi="宋体" w:eastAsia="宋体" w:cs="宋体"/>
                <w:color w:val="auto"/>
                <w:kern w:val="0"/>
                <w:szCs w:val="21"/>
                <w:highlight w:val="none"/>
              </w:rPr>
            </w:pPr>
          </w:p>
        </w:tc>
      </w:tr>
      <w:tr w14:paraId="50DE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1AF97C1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685" w:type="pct"/>
            <w:shd w:val="clear" w:color="auto" w:fill="auto"/>
            <w:vAlign w:val="center"/>
          </w:tcPr>
          <w:p w14:paraId="748B21D3">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第二十一条</w:t>
            </w:r>
          </w:p>
        </w:tc>
        <w:tc>
          <w:tcPr>
            <w:tcW w:w="1474" w:type="pct"/>
            <w:shd w:val="clear" w:color="auto" w:fill="auto"/>
            <w:vAlign w:val="center"/>
          </w:tcPr>
          <w:p w14:paraId="35289BAF">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违约责任</w:t>
            </w:r>
          </w:p>
        </w:tc>
        <w:tc>
          <w:tcPr>
            <w:tcW w:w="647" w:type="pct"/>
            <w:vAlign w:val="center"/>
          </w:tcPr>
          <w:p w14:paraId="79D20F02">
            <w:pPr>
              <w:autoSpaceDE w:val="0"/>
              <w:autoSpaceDN w:val="0"/>
              <w:adjustRightInd w:val="0"/>
              <w:spacing w:line="400" w:lineRule="exact"/>
              <w:jc w:val="center"/>
              <w:rPr>
                <w:rFonts w:ascii="宋体" w:hAnsi="宋体" w:eastAsia="宋体" w:cs="宋体"/>
                <w:color w:val="auto"/>
                <w:kern w:val="0"/>
                <w:szCs w:val="21"/>
                <w:highlight w:val="none"/>
              </w:rPr>
            </w:pPr>
          </w:p>
        </w:tc>
        <w:tc>
          <w:tcPr>
            <w:tcW w:w="1700" w:type="pct"/>
            <w:vAlign w:val="center"/>
          </w:tcPr>
          <w:p w14:paraId="0C25D49F">
            <w:pPr>
              <w:autoSpaceDE w:val="0"/>
              <w:autoSpaceDN w:val="0"/>
              <w:adjustRightInd w:val="0"/>
              <w:spacing w:line="400" w:lineRule="exact"/>
              <w:jc w:val="center"/>
              <w:rPr>
                <w:rFonts w:ascii="宋体" w:hAnsi="宋体" w:eastAsia="宋体" w:cs="宋体"/>
                <w:color w:val="auto"/>
                <w:kern w:val="0"/>
                <w:szCs w:val="21"/>
                <w:highlight w:val="none"/>
              </w:rPr>
            </w:pPr>
          </w:p>
        </w:tc>
      </w:tr>
      <w:tr w14:paraId="76969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29F888B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p>
        </w:tc>
        <w:tc>
          <w:tcPr>
            <w:tcW w:w="685" w:type="pct"/>
            <w:shd w:val="clear" w:color="auto" w:fill="auto"/>
            <w:vAlign w:val="center"/>
          </w:tcPr>
          <w:p w14:paraId="58551BB5">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第二十二条</w:t>
            </w:r>
          </w:p>
        </w:tc>
        <w:tc>
          <w:tcPr>
            <w:tcW w:w="1474" w:type="pct"/>
            <w:shd w:val="clear" w:color="auto" w:fill="auto"/>
            <w:vAlign w:val="center"/>
          </w:tcPr>
          <w:p w14:paraId="110F16BA">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争议解决</w:t>
            </w:r>
          </w:p>
        </w:tc>
        <w:tc>
          <w:tcPr>
            <w:tcW w:w="647" w:type="pct"/>
            <w:vAlign w:val="center"/>
          </w:tcPr>
          <w:p w14:paraId="23BBD454">
            <w:pPr>
              <w:autoSpaceDE w:val="0"/>
              <w:autoSpaceDN w:val="0"/>
              <w:adjustRightInd w:val="0"/>
              <w:spacing w:line="400" w:lineRule="exact"/>
              <w:jc w:val="center"/>
              <w:rPr>
                <w:rFonts w:ascii="宋体" w:hAnsi="宋体" w:eastAsia="宋体" w:cs="宋体"/>
                <w:color w:val="auto"/>
                <w:kern w:val="0"/>
                <w:szCs w:val="21"/>
                <w:highlight w:val="none"/>
              </w:rPr>
            </w:pPr>
          </w:p>
        </w:tc>
        <w:tc>
          <w:tcPr>
            <w:tcW w:w="1700" w:type="pct"/>
            <w:vAlign w:val="center"/>
          </w:tcPr>
          <w:p w14:paraId="6F8CDA44">
            <w:pPr>
              <w:autoSpaceDE w:val="0"/>
              <w:autoSpaceDN w:val="0"/>
              <w:adjustRightInd w:val="0"/>
              <w:spacing w:line="400" w:lineRule="exact"/>
              <w:jc w:val="center"/>
              <w:rPr>
                <w:rFonts w:ascii="宋体" w:hAnsi="宋体" w:eastAsia="宋体" w:cs="宋体"/>
                <w:color w:val="auto"/>
                <w:kern w:val="0"/>
                <w:szCs w:val="21"/>
                <w:highlight w:val="none"/>
              </w:rPr>
            </w:pPr>
          </w:p>
        </w:tc>
      </w:tr>
      <w:tr w14:paraId="350F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2F25F32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w:t>
            </w:r>
          </w:p>
        </w:tc>
        <w:tc>
          <w:tcPr>
            <w:tcW w:w="685" w:type="pct"/>
            <w:shd w:val="clear" w:color="auto" w:fill="auto"/>
            <w:vAlign w:val="center"/>
          </w:tcPr>
          <w:p w14:paraId="4DAE62A1">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第二十三条</w:t>
            </w:r>
          </w:p>
        </w:tc>
        <w:tc>
          <w:tcPr>
            <w:tcW w:w="1474" w:type="pct"/>
            <w:shd w:val="clear" w:color="auto" w:fill="auto"/>
            <w:vAlign w:val="center"/>
          </w:tcPr>
          <w:p w14:paraId="170BD3BD">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送达</w:t>
            </w:r>
          </w:p>
        </w:tc>
        <w:tc>
          <w:tcPr>
            <w:tcW w:w="647" w:type="pct"/>
            <w:vAlign w:val="center"/>
          </w:tcPr>
          <w:p w14:paraId="470992E0">
            <w:pPr>
              <w:autoSpaceDE w:val="0"/>
              <w:autoSpaceDN w:val="0"/>
              <w:adjustRightInd w:val="0"/>
              <w:spacing w:line="400" w:lineRule="exact"/>
              <w:jc w:val="center"/>
              <w:rPr>
                <w:rFonts w:ascii="宋体" w:hAnsi="宋体" w:eastAsia="宋体" w:cs="宋体"/>
                <w:color w:val="auto"/>
                <w:kern w:val="0"/>
                <w:szCs w:val="21"/>
                <w:highlight w:val="none"/>
              </w:rPr>
            </w:pPr>
          </w:p>
        </w:tc>
        <w:tc>
          <w:tcPr>
            <w:tcW w:w="1700" w:type="pct"/>
            <w:vAlign w:val="center"/>
          </w:tcPr>
          <w:p w14:paraId="587DE493">
            <w:pPr>
              <w:autoSpaceDE w:val="0"/>
              <w:autoSpaceDN w:val="0"/>
              <w:adjustRightInd w:val="0"/>
              <w:spacing w:line="400" w:lineRule="exact"/>
              <w:jc w:val="center"/>
              <w:rPr>
                <w:rFonts w:ascii="宋体" w:hAnsi="宋体" w:eastAsia="宋体" w:cs="宋体"/>
                <w:color w:val="auto"/>
                <w:kern w:val="0"/>
                <w:szCs w:val="21"/>
                <w:highlight w:val="none"/>
              </w:rPr>
            </w:pPr>
          </w:p>
        </w:tc>
      </w:tr>
      <w:tr w14:paraId="6E7C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4371849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w:t>
            </w:r>
          </w:p>
        </w:tc>
        <w:tc>
          <w:tcPr>
            <w:tcW w:w="685" w:type="pct"/>
            <w:shd w:val="clear" w:color="auto" w:fill="auto"/>
            <w:vAlign w:val="center"/>
          </w:tcPr>
          <w:p w14:paraId="61F62495">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第二十四条</w:t>
            </w:r>
          </w:p>
        </w:tc>
        <w:tc>
          <w:tcPr>
            <w:tcW w:w="1474" w:type="pct"/>
            <w:shd w:val="clear" w:color="auto" w:fill="auto"/>
            <w:vAlign w:val="center"/>
          </w:tcPr>
          <w:p w14:paraId="0D78EC7F">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647" w:type="pct"/>
            <w:vAlign w:val="center"/>
          </w:tcPr>
          <w:p w14:paraId="039B4E1D">
            <w:pPr>
              <w:autoSpaceDE w:val="0"/>
              <w:autoSpaceDN w:val="0"/>
              <w:adjustRightInd w:val="0"/>
              <w:spacing w:line="400" w:lineRule="exact"/>
              <w:jc w:val="center"/>
              <w:rPr>
                <w:rFonts w:ascii="宋体" w:hAnsi="宋体" w:eastAsia="宋体" w:cs="宋体"/>
                <w:color w:val="auto"/>
                <w:kern w:val="0"/>
                <w:szCs w:val="21"/>
                <w:highlight w:val="none"/>
              </w:rPr>
            </w:pPr>
          </w:p>
        </w:tc>
        <w:tc>
          <w:tcPr>
            <w:tcW w:w="1700" w:type="pct"/>
            <w:vAlign w:val="center"/>
          </w:tcPr>
          <w:p w14:paraId="65433A5D">
            <w:pPr>
              <w:autoSpaceDE w:val="0"/>
              <w:autoSpaceDN w:val="0"/>
              <w:adjustRightInd w:val="0"/>
              <w:spacing w:line="400" w:lineRule="exact"/>
              <w:jc w:val="center"/>
              <w:rPr>
                <w:rFonts w:ascii="宋体" w:hAnsi="宋体" w:eastAsia="宋体" w:cs="宋体"/>
                <w:color w:val="auto"/>
                <w:kern w:val="0"/>
                <w:szCs w:val="21"/>
                <w:highlight w:val="none"/>
              </w:rPr>
            </w:pPr>
          </w:p>
        </w:tc>
      </w:tr>
      <w:tr w14:paraId="4776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2AF059D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w:t>
            </w:r>
          </w:p>
        </w:tc>
        <w:tc>
          <w:tcPr>
            <w:tcW w:w="685" w:type="pct"/>
            <w:shd w:val="clear" w:color="auto" w:fill="auto"/>
            <w:vAlign w:val="center"/>
          </w:tcPr>
          <w:p w14:paraId="300E9966">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附件4</w:t>
            </w:r>
          </w:p>
        </w:tc>
        <w:tc>
          <w:tcPr>
            <w:tcW w:w="1474" w:type="pct"/>
            <w:shd w:val="clear" w:color="auto" w:fill="auto"/>
            <w:vAlign w:val="center"/>
          </w:tcPr>
          <w:p w14:paraId="060E2FD0">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安全生产管理协议</w:t>
            </w:r>
          </w:p>
        </w:tc>
        <w:tc>
          <w:tcPr>
            <w:tcW w:w="647" w:type="pct"/>
            <w:vAlign w:val="center"/>
          </w:tcPr>
          <w:p w14:paraId="6C9905EB">
            <w:pPr>
              <w:autoSpaceDE w:val="0"/>
              <w:autoSpaceDN w:val="0"/>
              <w:adjustRightInd w:val="0"/>
              <w:spacing w:line="400" w:lineRule="exact"/>
              <w:jc w:val="center"/>
              <w:rPr>
                <w:rFonts w:ascii="宋体" w:hAnsi="宋体" w:eastAsia="宋体" w:cs="宋体"/>
                <w:color w:val="auto"/>
                <w:kern w:val="0"/>
                <w:szCs w:val="21"/>
                <w:highlight w:val="none"/>
              </w:rPr>
            </w:pPr>
          </w:p>
        </w:tc>
        <w:tc>
          <w:tcPr>
            <w:tcW w:w="1700" w:type="pct"/>
            <w:vAlign w:val="center"/>
          </w:tcPr>
          <w:p w14:paraId="739260B4">
            <w:pPr>
              <w:autoSpaceDE w:val="0"/>
              <w:autoSpaceDN w:val="0"/>
              <w:adjustRightInd w:val="0"/>
              <w:spacing w:line="400" w:lineRule="exact"/>
              <w:jc w:val="center"/>
              <w:rPr>
                <w:rFonts w:ascii="宋体" w:hAnsi="宋体" w:eastAsia="宋体" w:cs="宋体"/>
                <w:color w:val="auto"/>
                <w:kern w:val="0"/>
                <w:szCs w:val="21"/>
                <w:highlight w:val="none"/>
              </w:rPr>
            </w:pPr>
          </w:p>
        </w:tc>
      </w:tr>
      <w:tr w14:paraId="2F12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trPr>
        <w:tc>
          <w:tcPr>
            <w:tcW w:w="491" w:type="pct"/>
            <w:vAlign w:val="center"/>
          </w:tcPr>
          <w:p w14:paraId="220EFF0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26</w:t>
            </w:r>
          </w:p>
        </w:tc>
        <w:tc>
          <w:tcPr>
            <w:tcW w:w="685" w:type="pct"/>
            <w:shd w:val="clear" w:color="auto" w:fill="auto"/>
            <w:vAlign w:val="center"/>
          </w:tcPr>
          <w:p w14:paraId="28A4C2FC">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附件5</w:t>
            </w:r>
          </w:p>
        </w:tc>
        <w:tc>
          <w:tcPr>
            <w:tcW w:w="1474" w:type="pct"/>
            <w:shd w:val="clear" w:color="auto" w:fill="auto"/>
            <w:vAlign w:val="center"/>
          </w:tcPr>
          <w:p w14:paraId="06C3086B">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647" w:type="pct"/>
            <w:vAlign w:val="center"/>
          </w:tcPr>
          <w:p w14:paraId="471E3466">
            <w:pPr>
              <w:autoSpaceDE w:val="0"/>
              <w:autoSpaceDN w:val="0"/>
              <w:adjustRightInd w:val="0"/>
              <w:spacing w:line="400" w:lineRule="exact"/>
              <w:jc w:val="center"/>
              <w:rPr>
                <w:rFonts w:ascii="宋体" w:hAnsi="宋体" w:eastAsia="宋体" w:cs="宋体"/>
                <w:color w:val="auto"/>
                <w:kern w:val="0"/>
                <w:szCs w:val="21"/>
                <w:highlight w:val="none"/>
              </w:rPr>
            </w:pPr>
          </w:p>
        </w:tc>
        <w:tc>
          <w:tcPr>
            <w:tcW w:w="1700" w:type="pct"/>
            <w:vAlign w:val="center"/>
          </w:tcPr>
          <w:p w14:paraId="7FFDF621">
            <w:pPr>
              <w:autoSpaceDE w:val="0"/>
              <w:autoSpaceDN w:val="0"/>
              <w:adjustRightInd w:val="0"/>
              <w:spacing w:line="400" w:lineRule="exact"/>
              <w:jc w:val="center"/>
              <w:rPr>
                <w:rFonts w:ascii="宋体" w:hAnsi="宋体" w:eastAsia="宋体" w:cs="宋体"/>
                <w:color w:val="auto"/>
                <w:kern w:val="0"/>
                <w:szCs w:val="21"/>
                <w:highlight w:val="none"/>
              </w:rPr>
            </w:pPr>
          </w:p>
        </w:tc>
      </w:tr>
      <w:tr w14:paraId="70F1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29466E78">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7</w:t>
            </w:r>
          </w:p>
        </w:tc>
        <w:tc>
          <w:tcPr>
            <w:tcW w:w="685" w:type="pct"/>
            <w:shd w:val="clear" w:color="auto" w:fill="auto"/>
            <w:vAlign w:val="center"/>
          </w:tcPr>
          <w:p w14:paraId="06F0755E">
            <w:pPr>
              <w:autoSpaceDE w:val="0"/>
              <w:autoSpaceDN w:val="0"/>
              <w:adjustRightInd w:val="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附件</w:t>
            </w:r>
            <w:r>
              <w:rPr>
                <w:rFonts w:hint="eastAsia" w:ascii="宋体" w:hAnsi="宋体" w:eastAsia="宋体" w:cs="宋体"/>
                <w:color w:val="auto"/>
                <w:kern w:val="0"/>
                <w:szCs w:val="21"/>
                <w:highlight w:val="none"/>
                <w:lang w:val="en-US" w:eastAsia="zh-CN"/>
              </w:rPr>
              <w:t>7</w:t>
            </w:r>
          </w:p>
        </w:tc>
        <w:tc>
          <w:tcPr>
            <w:tcW w:w="1474" w:type="pct"/>
            <w:shd w:val="clear" w:color="auto" w:fill="auto"/>
            <w:vAlign w:val="center"/>
          </w:tcPr>
          <w:p w14:paraId="01772292">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运维服务质量季度考核评分表</w:t>
            </w:r>
          </w:p>
        </w:tc>
        <w:tc>
          <w:tcPr>
            <w:tcW w:w="647" w:type="pct"/>
            <w:vAlign w:val="center"/>
          </w:tcPr>
          <w:p w14:paraId="7E1D3BA5">
            <w:pPr>
              <w:autoSpaceDE w:val="0"/>
              <w:autoSpaceDN w:val="0"/>
              <w:adjustRightInd w:val="0"/>
              <w:spacing w:line="400" w:lineRule="exact"/>
              <w:jc w:val="center"/>
              <w:rPr>
                <w:rFonts w:ascii="宋体" w:hAnsi="宋体" w:eastAsia="宋体" w:cs="宋体"/>
                <w:color w:val="auto"/>
                <w:kern w:val="0"/>
                <w:szCs w:val="21"/>
                <w:highlight w:val="none"/>
              </w:rPr>
            </w:pPr>
          </w:p>
        </w:tc>
        <w:tc>
          <w:tcPr>
            <w:tcW w:w="1700" w:type="pct"/>
            <w:vAlign w:val="center"/>
          </w:tcPr>
          <w:p w14:paraId="6EFD962A">
            <w:pPr>
              <w:autoSpaceDE w:val="0"/>
              <w:autoSpaceDN w:val="0"/>
              <w:adjustRightInd w:val="0"/>
              <w:spacing w:line="400" w:lineRule="exact"/>
              <w:jc w:val="center"/>
              <w:rPr>
                <w:rFonts w:ascii="宋体" w:hAnsi="宋体" w:eastAsia="宋体" w:cs="宋体"/>
                <w:color w:val="auto"/>
                <w:kern w:val="0"/>
                <w:szCs w:val="21"/>
                <w:highlight w:val="none"/>
              </w:rPr>
            </w:pPr>
          </w:p>
        </w:tc>
      </w:tr>
      <w:tr w14:paraId="5ECF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57F1E6AC">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p>
        </w:tc>
        <w:tc>
          <w:tcPr>
            <w:tcW w:w="685" w:type="pct"/>
            <w:vAlign w:val="center"/>
          </w:tcPr>
          <w:p w14:paraId="6AF13BF1">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color w:val="auto"/>
                <w:kern w:val="0"/>
                <w:szCs w:val="21"/>
                <w:highlight w:val="none"/>
              </w:rPr>
              <w:t>一</w:t>
            </w:r>
          </w:p>
        </w:tc>
        <w:tc>
          <w:tcPr>
            <w:tcW w:w="1474" w:type="pct"/>
            <w:vAlign w:val="center"/>
          </w:tcPr>
          <w:p w14:paraId="366AE3A3">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color w:val="auto"/>
                <w:kern w:val="0"/>
                <w:szCs w:val="21"/>
                <w:highlight w:val="none"/>
              </w:rPr>
              <w:t>不可撤销银行履约保函</w:t>
            </w:r>
          </w:p>
        </w:tc>
        <w:tc>
          <w:tcPr>
            <w:tcW w:w="647" w:type="pct"/>
            <w:vAlign w:val="center"/>
          </w:tcPr>
          <w:p w14:paraId="65BB9FAD">
            <w:pPr>
              <w:autoSpaceDE w:val="0"/>
              <w:autoSpaceDN w:val="0"/>
              <w:adjustRightInd w:val="0"/>
              <w:spacing w:line="400" w:lineRule="exact"/>
              <w:jc w:val="center"/>
              <w:rPr>
                <w:rFonts w:ascii="宋体" w:hAnsi="宋体" w:eastAsia="宋体" w:cs="宋体"/>
                <w:color w:val="auto"/>
                <w:kern w:val="0"/>
                <w:szCs w:val="21"/>
                <w:highlight w:val="none"/>
              </w:rPr>
            </w:pPr>
          </w:p>
        </w:tc>
        <w:tc>
          <w:tcPr>
            <w:tcW w:w="1700" w:type="pct"/>
            <w:vAlign w:val="center"/>
          </w:tcPr>
          <w:p w14:paraId="58568FF1">
            <w:pPr>
              <w:autoSpaceDE w:val="0"/>
              <w:autoSpaceDN w:val="0"/>
              <w:adjustRightInd w:val="0"/>
              <w:spacing w:line="400" w:lineRule="exact"/>
              <w:jc w:val="center"/>
              <w:rPr>
                <w:rFonts w:ascii="宋体" w:hAnsi="宋体" w:eastAsia="宋体" w:cs="宋体"/>
                <w:color w:val="auto"/>
                <w:kern w:val="0"/>
                <w:szCs w:val="21"/>
                <w:highlight w:val="none"/>
              </w:rPr>
            </w:pPr>
          </w:p>
        </w:tc>
      </w:tr>
      <w:tr w14:paraId="4EF4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14691FD9">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29</w:t>
            </w:r>
          </w:p>
        </w:tc>
        <w:tc>
          <w:tcPr>
            <w:tcW w:w="685" w:type="pct"/>
            <w:vAlign w:val="center"/>
          </w:tcPr>
          <w:p w14:paraId="0BD02723">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color w:val="auto"/>
                <w:kern w:val="0"/>
                <w:szCs w:val="21"/>
                <w:highlight w:val="none"/>
              </w:rPr>
              <w:t>二</w:t>
            </w:r>
          </w:p>
        </w:tc>
        <w:tc>
          <w:tcPr>
            <w:tcW w:w="1474" w:type="pct"/>
            <w:vAlign w:val="center"/>
          </w:tcPr>
          <w:p w14:paraId="6FE96368">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color w:val="auto"/>
                <w:kern w:val="0"/>
                <w:szCs w:val="21"/>
                <w:highlight w:val="none"/>
              </w:rPr>
              <w:t>履约保证保险凭证</w:t>
            </w:r>
          </w:p>
        </w:tc>
        <w:tc>
          <w:tcPr>
            <w:tcW w:w="647" w:type="pct"/>
            <w:vAlign w:val="center"/>
          </w:tcPr>
          <w:p w14:paraId="58CE64CA">
            <w:pPr>
              <w:autoSpaceDE w:val="0"/>
              <w:autoSpaceDN w:val="0"/>
              <w:adjustRightInd w:val="0"/>
              <w:spacing w:line="400" w:lineRule="exact"/>
              <w:jc w:val="center"/>
              <w:rPr>
                <w:rFonts w:ascii="宋体" w:hAnsi="宋体" w:eastAsia="宋体" w:cs="宋体"/>
                <w:color w:val="auto"/>
                <w:kern w:val="0"/>
                <w:szCs w:val="21"/>
                <w:highlight w:val="none"/>
              </w:rPr>
            </w:pPr>
          </w:p>
        </w:tc>
        <w:tc>
          <w:tcPr>
            <w:tcW w:w="1700" w:type="pct"/>
            <w:vAlign w:val="center"/>
          </w:tcPr>
          <w:p w14:paraId="1DDD337F">
            <w:pPr>
              <w:autoSpaceDE w:val="0"/>
              <w:autoSpaceDN w:val="0"/>
              <w:adjustRightInd w:val="0"/>
              <w:spacing w:line="400" w:lineRule="exact"/>
              <w:jc w:val="center"/>
              <w:rPr>
                <w:rFonts w:ascii="宋体" w:hAnsi="宋体" w:eastAsia="宋体" w:cs="宋体"/>
                <w:color w:val="auto"/>
                <w:kern w:val="0"/>
                <w:szCs w:val="21"/>
                <w:highlight w:val="none"/>
              </w:rPr>
            </w:pPr>
          </w:p>
        </w:tc>
      </w:tr>
      <w:tr w14:paraId="3AB9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12D968FA">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30</w:t>
            </w:r>
          </w:p>
        </w:tc>
        <w:tc>
          <w:tcPr>
            <w:tcW w:w="685" w:type="pct"/>
            <w:vAlign w:val="center"/>
          </w:tcPr>
          <w:p w14:paraId="4EDA6CA8">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color w:val="auto"/>
                <w:kern w:val="0"/>
                <w:szCs w:val="21"/>
                <w:highlight w:val="none"/>
              </w:rPr>
              <w:t>三</w:t>
            </w:r>
          </w:p>
        </w:tc>
        <w:tc>
          <w:tcPr>
            <w:tcW w:w="1474" w:type="pct"/>
            <w:vAlign w:val="center"/>
          </w:tcPr>
          <w:p w14:paraId="1930CAEA">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color w:val="auto"/>
                <w:kern w:val="0"/>
                <w:szCs w:val="21"/>
                <w:highlight w:val="none"/>
              </w:rPr>
              <w:t>担保公司履约担保书</w:t>
            </w:r>
          </w:p>
        </w:tc>
        <w:tc>
          <w:tcPr>
            <w:tcW w:w="647" w:type="pct"/>
            <w:vAlign w:val="center"/>
          </w:tcPr>
          <w:p w14:paraId="1190A76F">
            <w:pPr>
              <w:autoSpaceDE w:val="0"/>
              <w:autoSpaceDN w:val="0"/>
              <w:adjustRightInd w:val="0"/>
              <w:spacing w:line="400" w:lineRule="exact"/>
              <w:jc w:val="center"/>
              <w:rPr>
                <w:rFonts w:ascii="宋体" w:hAnsi="宋体" w:eastAsia="宋体" w:cs="宋体"/>
                <w:color w:val="auto"/>
                <w:kern w:val="0"/>
                <w:szCs w:val="21"/>
                <w:highlight w:val="none"/>
              </w:rPr>
            </w:pPr>
          </w:p>
        </w:tc>
        <w:tc>
          <w:tcPr>
            <w:tcW w:w="1700" w:type="pct"/>
            <w:vAlign w:val="center"/>
          </w:tcPr>
          <w:p w14:paraId="20D442B9">
            <w:pPr>
              <w:autoSpaceDE w:val="0"/>
              <w:autoSpaceDN w:val="0"/>
              <w:adjustRightInd w:val="0"/>
              <w:spacing w:line="400" w:lineRule="exact"/>
              <w:jc w:val="center"/>
              <w:rPr>
                <w:rFonts w:ascii="宋体" w:hAnsi="宋体" w:eastAsia="宋体" w:cs="宋体"/>
                <w:color w:val="auto"/>
                <w:kern w:val="0"/>
                <w:szCs w:val="21"/>
                <w:highlight w:val="none"/>
              </w:rPr>
            </w:pPr>
          </w:p>
        </w:tc>
      </w:tr>
      <w:tr w14:paraId="31B6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7972336D">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31</w:t>
            </w:r>
          </w:p>
        </w:tc>
        <w:tc>
          <w:tcPr>
            <w:tcW w:w="685" w:type="pct"/>
            <w:vAlign w:val="center"/>
          </w:tcPr>
          <w:p w14:paraId="49F7E367">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w:t>
            </w:r>
          </w:p>
        </w:tc>
        <w:tc>
          <w:tcPr>
            <w:tcW w:w="1474" w:type="pct"/>
            <w:vAlign w:val="center"/>
          </w:tcPr>
          <w:p w14:paraId="524D4B16">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不可撤销银行预付款保函</w:t>
            </w:r>
          </w:p>
        </w:tc>
        <w:tc>
          <w:tcPr>
            <w:tcW w:w="647" w:type="pct"/>
            <w:vAlign w:val="center"/>
          </w:tcPr>
          <w:p w14:paraId="1477D970">
            <w:pPr>
              <w:autoSpaceDE w:val="0"/>
              <w:autoSpaceDN w:val="0"/>
              <w:adjustRightInd w:val="0"/>
              <w:spacing w:line="400" w:lineRule="exact"/>
              <w:jc w:val="center"/>
              <w:rPr>
                <w:rFonts w:ascii="宋体" w:hAnsi="宋体" w:eastAsia="宋体" w:cs="宋体"/>
                <w:color w:val="auto"/>
                <w:kern w:val="0"/>
                <w:szCs w:val="21"/>
                <w:highlight w:val="none"/>
              </w:rPr>
            </w:pPr>
          </w:p>
        </w:tc>
        <w:tc>
          <w:tcPr>
            <w:tcW w:w="1700" w:type="pct"/>
            <w:vAlign w:val="center"/>
          </w:tcPr>
          <w:p w14:paraId="6859B705">
            <w:pPr>
              <w:autoSpaceDE w:val="0"/>
              <w:autoSpaceDN w:val="0"/>
              <w:adjustRightInd w:val="0"/>
              <w:spacing w:line="400" w:lineRule="exact"/>
              <w:jc w:val="center"/>
              <w:rPr>
                <w:rFonts w:ascii="宋体" w:hAnsi="宋体" w:eastAsia="宋体" w:cs="宋体"/>
                <w:color w:val="auto"/>
                <w:kern w:val="0"/>
                <w:szCs w:val="21"/>
                <w:highlight w:val="none"/>
              </w:rPr>
            </w:pPr>
          </w:p>
        </w:tc>
      </w:tr>
      <w:tr w14:paraId="6532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0A6F62A6">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32</w:t>
            </w:r>
          </w:p>
        </w:tc>
        <w:tc>
          <w:tcPr>
            <w:tcW w:w="685" w:type="pct"/>
            <w:vAlign w:val="center"/>
          </w:tcPr>
          <w:p w14:paraId="3C569D95">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五</w:t>
            </w:r>
          </w:p>
        </w:tc>
        <w:tc>
          <w:tcPr>
            <w:tcW w:w="1474" w:type="pct"/>
            <w:vAlign w:val="center"/>
          </w:tcPr>
          <w:p w14:paraId="042AC058">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不可撤销银行</w:t>
            </w:r>
            <w:r>
              <w:rPr>
                <w:rFonts w:hint="eastAsia" w:ascii="宋体" w:hAnsi="宋体" w:eastAsia="宋体" w:cs="宋体"/>
                <w:color w:val="auto"/>
                <w:kern w:val="0"/>
                <w:szCs w:val="21"/>
                <w:highlight w:val="none"/>
              </w:rPr>
              <w:t>质量保修保函</w:t>
            </w:r>
          </w:p>
        </w:tc>
        <w:tc>
          <w:tcPr>
            <w:tcW w:w="647" w:type="pct"/>
            <w:vAlign w:val="center"/>
          </w:tcPr>
          <w:p w14:paraId="18BE01B2">
            <w:pPr>
              <w:autoSpaceDE w:val="0"/>
              <w:autoSpaceDN w:val="0"/>
              <w:adjustRightInd w:val="0"/>
              <w:spacing w:line="400" w:lineRule="exact"/>
              <w:jc w:val="center"/>
              <w:rPr>
                <w:rFonts w:ascii="宋体" w:hAnsi="宋体" w:eastAsia="宋体" w:cs="宋体"/>
                <w:color w:val="auto"/>
                <w:kern w:val="0"/>
                <w:szCs w:val="21"/>
                <w:highlight w:val="none"/>
              </w:rPr>
            </w:pPr>
          </w:p>
        </w:tc>
        <w:tc>
          <w:tcPr>
            <w:tcW w:w="1700" w:type="pct"/>
            <w:vAlign w:val="center"/>
          </w:tcPr>
          <w:p w14:paraId="7039C17A">
            <w:pPr>
              <w:autoSpaceDE w:val="0"/>
              <w:autoSpaceDN w:val="0"/>
              <w:adjustRightInd w:val="0"/>
              <w:spacing w:line="400" w:lineRule="exact"/>
              <w:jc w:val="center"/>
              <w:rPr>
                <w:rFonts w:ascii="宋体" w:hAnsi="宋体" w:eastAsia="宋体" w:cs="宋体"/>
                <w:color w:val="auto"/>
                <w:kern w:val="0"/>
                <w:szCs w:val="21"/>
                <w:highlight w:val="none"/>
              </w:rPr>
            </w:pPr>
          </w:p>
        </w:tc>
      </w:tr>
    </w:tbl>
    <w:p w14:paraId="00AAB008">
      <w:pPr>
        <w:autoSpaceDE w:val="0"/>
        <w:autoSpaceDN w:val="0"/>
        <w:adjustRightInd w:val="0"/>
        <w:snapToGrid w:val="0"/>
        <w:spacing w:line="360" w:lineRule="auto"/>
        <w:ind w:left="186" w:leftChars="-158" w:hanging="518" w:hangingChars="247"/>
        <w:jc w:val="left"/>
        <w:rPr>
          <w:rFonts w:ascii="宋体" w:hAnsi="宋体" w:eastAsia="宋体" w:cs="宋体"/>
          <w:color w:val="auto"/>
          <w:szCs w:val="24"/>
          <w:highlight w:val="none"/>
          <w:lang w:val="zh-CN"/>
        </w:rPr>
      </w:pPr>
    </w:p>
    <w:p w14:paraId="4B0ADF56">
      <w:pPr>
        <w:autoSpaceDE w:val="0"/>
        <w:autoSpaceDN w:val="0"/>
        <w:adjustRightInd w:val="0"/>
        <w:snapToGrid w:val="0"/>
        <w:spacing w:line="360" w:lineRule="auto"/>
        <w:ind w:left="166" w:leftChars="-101" w:hanging="378" w:hangingChars="180"/>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5235D980">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highlight w:val="none"/>
        </w:rPr>
        <w:t>。</w:t>
      </w:r>
    </w:p>
    <w:p w14:paraId="7B718EE7">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相关服务商务条件优于招标文件的要求；负偏离是指投标人提供的相关服务商务条件不满足或不完全满足招标文件的要求；无偏离是指投标人提供的相关服务商务条件完全满足招标文件的要求。</w:t>
      </w:r>
    </w:p>
    <w:p w14:paraId="2AA10535">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（3）招标文件“第五篇 相关保函格式”作为重要的商务条款，投标人的响应情况列入本合同条款偏离表。</w:t>
      </w:r>
    </w:p>
    <w:p w14:paraId="69E77BEA">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（4）如投标人差异内容较多可另附页说明，并在本偏离表“具体偏离内容”项注明其在投标文件中的具体页码。</w:t>
      </w:r>
    </w:p>
    <w:p w14:paraId="60B8DCD5">
      <w:pPr>
        <w:spacing w:line="360" w:lineRule="auto"/>
        <w:ind w:left="357" w:leftChars="-100" w:hanging="567" w:hangingChars="270"/>
        <w:rPr>
          <w:rFonts w:ascii="宋体" w:hAnsi="宋体" w:eastAsia="宋体" w:cs="宋体"/>
          <w:color w:val="auto"/>
          <w:szCs w:val="21"/>
          <w:highlight w:val="none"/>
        </w:rPr>
      </w:pPr>
    </w:p>
    <w:p w14:paraId="2B7C831E">
      <w:pPr>
        <w:spacing w:line="360" w:lineRule="auto"/>
        <w:ind w:left="357" w:leftChars="-100" w:hanging="567" w:hangingChars="270"/>
        <w:rPr>
          <w:rFonts w:ascii="宋体" w:hAnsi="宋体" w:eastAsia="宋体" w:cs="宋体"/>
          <w:color w:val="auto"/>
          <w:szCs w:val="21"/>
          <w:highlight w:val="none"/>
        </w:rPr>
      </w:pPr>
    </w:p>
    <w:p w14:paraId="07CE633D">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4D521039">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40F44F07">
      <w:pPr>
        <w:autoSpaceDE w:val="0"/>
        <w:autoSpaceDN w:val="0"/>
        <w:adjustRightInd w:val="0"/>
        <w:spacing w:line="360" w:lineRule="auto"/>
        <w:ind w:firstLine="3780" w:firstLineChars="1800"/>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6EEC8815">
      <w:pPr>
        <w:autoSpaceDE w:val="0"/>
        <w:autoSpaceDN w:val="0"/>
        <w:adjustRightInd w:val="0"/>
        <w:spacing w:line="360" w:lineRule="auto"/>
        <w:jc w:val="center"/>
        <w:rPr>
          <w:rFonts w:ascii="宋体" w:hAnsi="宋体" w:eastAsia="宋体" w:cs="宋体"/>
          <w:b/>
          <w:bCs/>
          <w:color w:val="auto"/>
          <w:szCs w:val="24"/>
          <w:highlight w:val="none"/>
          <w:lang w:val="zh-CN"/>
        </w:rPr>
      </w:pPr>
    </w:p>
    <w:p w14:paraId="011AABEB">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13F01D4D">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1216" w:name="_Toc140596937"/>
      <w:bookmarkStart w:id="1217" w:name="_Toc102860426"/>
      <w:bookmarkStart w:id="1218" w:name="_Toc102860082"/>
      <w:bookmarkStart w:id="1219" w:name="_Toc21963"/>
      <w:bookmarkStart w:id="1220" w:name="_Toc104991884"/>
      <w:bookmarkStart w:id="1221" w:name="_Toc5987"/>
      <w:bookmarkStart w:id="1222" w:name="_Toc94107218"/>
      <w:bookmarkStart w:id="1223" w:name="_Toc6230"/>
      <w:bookmarkStart w:id="1224" w:name="_Toc195714391"/>
      <w:bookmarkStart w:id="1225" w:name="_Toc6740"/>
      <w:bookmarkStart w:id="1226" w:name="_Toc142508377"/>
      <w:bookmarkStart w:id="1227" w:name="_Toc29505"/>
      <w:bookmarkStart w:id="1228" w:name="_Toc31371"/>
      <w:bookmarkStart w:id="1229" w:name="_Toc27005"/>
      <w:bookmarkStart w:id="1230" w:name="_Toc13179"/>
      <w:bookmarkStart w:id="1231" w:name="_Toc5473"/>
      <w:bookmarkStart w:id="1232" w:name="_Toc11349"/>
      <w:bookmarkStart w:id="1233" w:name="_Toc27980_WPSOffice_Level2"/>
      <w:bookmarkStart w:id="1234" w:name="_Toc486167717"/>
      <w:r>
        <w:rPr>
          <w:rFonts w:hint="eastAsia" w:ascii="宋体" w:hAnsi="宋体" w:eastAsia="宋体" w:cs="宋体"/>
          <w:b/>
          <w:color w:val="auto"/>
          <w:kern w:val="0"/>
          <w:sz w:val="32"/>
          <w:szCs w:val="32"/>
          <w:highlight w:val="none"/>
        </w:rPr>
        <w:t>九、业绩表格式</w:t>
      </w:r>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p>
    <w:p w14:paraId="43C68028">
      <w:pPr>
        <w:autoSpaceDE w:val="0"/>
        <w:autoSpaceDN w:val="0"/>
        <w:adjustRightInd w:val="0"/>
        <w:spacing w:line="360" w:lineRule="auto"/>
        <w:ind w:firstLine="602"/>
        <w:jc w:val="center"/>
        <w:rPr>
          <w:rFonts w:ascii="宋体" w:hAnsi="宋体" w:eastAsia="宋体" w:cs="宋体"/>
          <w:b/>
          <w:bCs/>
          <w:color w:val="auto"/>
          <w:sz w:val="30"/>
          <w:szCs w:val="30"/>
          <w:highlight w:val="none"/>
          <w:lang w:val="zh-CN"/>
        </w:rPr>
      </w:pPr>
      <w:bookmarkStart w:id="1235" w:name="OLE_LINK124"/>
      <w:r>
        <w:rPr>
          <w:rFonts w:hint="eastAsia" w:ascii="宋体" w:hAnsi="宋体" w:eastAsia="宋体" w:cs="宋体"/>
          <w:b/>
          <w:bCs/>
          <w:color w:val="auto"/>
          <w:sz w:val="30"/>
          <w:szCs w:val="30"/>
          <w:highlight w:val="none"/>
          <w:lang w:val="zh-CN"/>
        </w:rPr>
        <w:t>投标人</w:t>
      </w:r>
      <w:r>
        <w:rPr>
          <w:rFonts w:hint="eastAsia" w:ascii="宋体" w:hAnsi="宋体" w:eastAsia="宋体" w:cs="宋体"/>
          <w:b/>
          <w:bCs/>
          <w:color w:val="auto"/>
          <w:sz w:val="30"/>
          <w:szCs w:val="30"/>
          <w:highlight w:val="none"/>
        </w:rPr>
        <w:t>2022</w:t>
      </w:r>
      <w:r>
        <w:rPr>
          <w:rFonts w:hint="eastAsia" w:ascii="宋体" w:hAnsi="宋体" w:eastAsia="宋体" w:cs="宋体"/>
          <w:b/>
          <w:bCs/>
          <w:color w:val="auto"/>
          <w:sz w:val="30"/>
          <w:szCs w:val="30"/>
          <w:highlight w:val="none"/>
          <w:lang w:val="zh-CN"/>
        </w:rPr>
        <w:t>年</w:t>
      </w:r>
      <w:r>
        <w:rPr>
          <w:rFonts w:hint="eastAsia" w:ascii="宋体" w:hAnsi="宋体" w:eastAsia="宋体" w:cs="宋体"/>
          <w:b/>
          <w:bCs/>
          <w:color w:val="auto"/>
          <w:sz w:val="30"/>
          <w:szCs w:val="30"/>
          <w:highlight w:val="none"/>
        </w:rPr>
        <w:t>1</w:t>
      </w:r>
      <w:r>
        <w:rPr>
          <w:rFonts w:hint="eastAsia" w:ascii="宋体" w:hAnsi="宋体" w:eastAsia="宋体" w:cs="宋体"/>
          <w:b/>
          <w:bCs/>
          <w:color w:val="auto"/>
          <w:sz w:val="30"/>
          <w:szCs w:val="30"/>
          <w:highlight w:val="none"/>
          <w:lang w:val="zh-CN"/>
        </w:rPr>
        <w:t>月</w:t>
      </w:r>
      <w:r>
        <w:rPr>
          <w:rFonts w:hint="eastAsia" w:ascii="宋体" w:hAnsi="宋体" w:eastAsia="宋体" w:cs="宋体"/>
          <w:b/>
          <w:bCs/>
          <w:color w:val="auto"/>
          <w:sz w:val="30"/>
          <w:szCs w:val="30"/>
          <w:highlight w:val="none"/>
        </w:rPr>
        <w:t>1</w:t>
      </w:r>
      <w:r>
        <w:rPr>
          <w:rFonts w:hint="eastAsia" w:ascii="宋体" w:hAnsi="宋体" w:eastAsia="宋体" w:cs="宋体"/>
          <w:b/>
          <w:bCs/>
          <w:color w:val="auto"/>
          <w:sz w:val="30"/>
          <w:szCs w:val="30"/>
          <w:highlight w:val="none"/>
          <w:lang w:val="zh-CN"/>
        </w:rPr>
        <w:t>日</w:t>
      </w:r>
      <w:r>
        <w:rPr>
          <w:rFonts w:hint="eastAsia" w:ascii="宋体" w:hAnsi="宋体" w:eastAsia="宋体" w:cs="宋体"/>
          <w:b/>
          <w:bCs/>
          <w:color w:val="auto"/>
          <w:sz w:val="30"/>
          <w:szCs w:val="30"/>
          <w:highlight w:val="none"/>
        </w:rPr>
        <w:t>以来</w:t>
      </w:r>
      <w:r>
        <w:rPr>
          <w:rFonts w:hint="eastAsia" w:ascii="宋体" w:hAnsi="宋体" w:eastAsia="宋体" w:cs="宋体"/>
          <w:b/>
          <w:bCs/>
          <w:color w:val="auto"/>
          <w:sz w:val="30"/>
          <w:szCs w:val="30"/>
          <w:highlight w:val="none"/>
          <w:lang w:val="zh-CN"/>
        </w:rPr>
        <w:t>完成的分布式光伏发电业绩表</w:t>
      </w:r>
    </w:p>
    <w:bookmarkEnd w:id="1235"/>
    <w:tbl>
      <w:tblPr>
        <w:tblStyle w:val="45"/>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88"/>
        <w:gridCol w:w="585"/>
        <w:gridCol w:w="764"/>
        <w:gridCol w:w="747"/>
        <w:gridCol w:w="972"/>
        <w:gridCol w:w="972"/>
        <w:gridCol w:w="972"/>
        <w:gridCol w:w="780"/>
        <w:gridCol w:w="585"/>
        <w:gridCol w:w="535"/>
        <w:gridCol w:w="568"/>
        <w:gridCol w:w="749"/>
        <w:gridCol w:w="493"/>
      </w:tblGrid>
      <w:tr w14:paraId="546CFD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265" w:type="pct"/>
            <w:tcBorders>
              <w:top w:val="single" w:color="auto" w:sz="4" w:space="0"/>
              <w:left w:val="single" w:color="auto" w:sz="4" w:space="0"/>
              <w:bottom w:val="single" w:color="auto" w:sz="4" w:space="0"/>
              <w:right w:val="single" w:color="auto" w:sz="4" w:space="0"/>
            </w:tcBorders>
            <w:vAlign w:val="center"/>
          </w:tcPr>
          <w:p w14:paraId="0745F7CE">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序号</w:t>
            </w:r>
          </w:p>
        </w:tc>
        <w:tc>
          <w:tcPr>
            <w:tcW w:w="317" w:type="pct"/>
            <w:tcBorders>
              <w:top w:val="single" w:color="auto" w:sz="4" w:space="0"/>
              <w:left w:val="single" w:color="auto" w:sz="4" w:space="0"/>
              <w:bottom w:val="single" w:color="auto" w:sz="4" w:space="0"/>
              <w:right w:val="single" w:color="auto" w:sz="4" w:space="0"/>
            </w:tcBorders>
            <w:vAlign w:val="center"/>
          </w:tcPr>
          <w:p w14:paraId="325BF7C5">
            <w:pPr>
              <w:autoSpaceDE w:val="0"/>
              <w:autoSpaceDN w:val="0"/>
              <w:adjustRightInd w:val="0"/>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项目</w:t>
            </w:r>
          </w:p>
          <w:p w14:paraId="5DB39E6C">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名称</w:t>
            </w:r>
          </w:p>
        </w:tc>
        <w:tc>
          <w:tcPr>
            <w:tcW w:w="414" w:type="pct"/>
            <w:tcBorders>
              <w:top w:val="single" w:color="auto" w:sz="4" w:space="0"/>
              <w:left w:val="single" w:color="auto" w:sz="4" w:space="0"/>
              <w:bottom w:val="single" w:color="auto" w:sz="4" w:space="0"/>
              <w:right w:val="single" w:color="auto" w:sz="4" w:space="0"/>
            </w:tcBorders>
            <w:vAlign w:val="center"/>
          </w:tcPr>
          <w:p w14:paraId="30F34639">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合同主要内容</w:t>
            </w:r>
          </w:p>
        </w:tc>
        <w:tc>
          <w:tcPr>
            <w:tcW w:w="405" w:type="pct"/>
            <w:tcBorders>
              <w:top w:val="single" w:color="auto" w:sz="4" w:space="0"/>
              <w:left w:val="single" w:color="auto" w:sz="4" w:space="0"/>
              <w:bottom w:val="single" w:color="auto" w:sz="4" w:space="0"/>
              <w:right w:val="single" w:color="auto" w:sz="4" w:space="0"/>
            </w:tcBorders>
            <w:vAlign w:val="center"/>
          </w:tcPr>
          <w:p w14:paraId="349B76DA">
            <w:pPr>
              <w:autoSpaceDE w:val="0"/>
              <w:autoSpaceDN w:val="0"/>
              <w:adjustRightInd w:val="0"/>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合同标的光伏组件品牌</w:t>
            </w:r>
          </w:p>
        </w:tc>
        <w:tc>
          <w:tcPr>
            <w:tcW w:w="527" w:type="pct"/>
            <w:tcBorders>
              <w:top w:val="single" w:color="auto" w:sz="4" w:space="0"/>
              <w:left w:val="single" w:color="auto" w:sz="4" w:space="0"/>
              <w:bottom w:val="single" w:color="auto" w:sz="4" w:space="0"/>
              <w:right w:val="single" w:color="auto" w:sz="4" w:space="0"/>
            </w:tcBorders>
            <w:vAlign w:val="center"/>
          </w:tcPr>
          <w:p w14:paraId="31E66A1D">
            <w:pPr>
              <w:autoSpaceDE w:val="0"/>
              <w:autoSpaceDN w:val="0"/>
              <w:adjustRightInd w:val="0"/>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合同标的逆变器品牌</w:t>
            </w:r>
          </w:p>
        </w:tc>
        <w:tc>
          <w:tcPr>
            <w:tcW w:w="527" w:type="pct"/>
            <w:tcBorders>
              <w:top w:val="single" w:color="auto" w:sz="4" w:space="0"/>
              <w:left w:val="single" w:color="auto" w:sz="4" w:space="0"/>
              <w:bottom w:val="single" w:color="auto" w:sz="4" w:space="0"/>
              <w:right w:val="single" w:color="auto" w:sz="4" w:space="0"/>
            </w:tcBorders>
            <w:vAlign w:val="center"/>
          </w:tcPr>
          <w:p w14:paraId="7BF40E8B">
            <w:pPr>
              <w:autoSpaceDE w:val="0"/>
              <w:autoSpaceDN w:val="0"/>
              <w:adjustRightInd w:val="0"/>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合同标的电缆品牌</w:t>
            </w:r>
          </w:p>
        </w:tc>
        <w:tc>
          <w:tcPr>
            <w:tcW w:w="527" w:type="pct"/>
            <w:tcBorders>
              <w:top w:val="single" w:color="auto" w:sz="4" w:space="0"/>
              <w:left w:val="single" w:color="auto" w:sz="4" w:space="0"/>
              <w:bottom w:val="single" w:color="auto" w:sz="4" w:space="0"/>
              <w:right w:val="single" w:color="auto" w:sz="4" w:space="0"/>
            </w:tcBorders>
            <w:vAlign w:val="center"/>
          </w:tcPr>
          <w:p w14:paraId="46DA1CC4">
            <w:pPr>
              <w:autoSpaceDE w:val="0"/>
              <w:autoSpaceDN w:val="0"/>
              <w:adjustRightInd w:val="0"/>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单项合同</w:t>
            </w:r>
          </w:p>
          <w:p w14:paraId="7142E2C1">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金额（单位：万元）</w:t>
            </w:r>
          </w:p>
        </w:tc>
        <w:tc>
          <w:tcPr>
            <w:tcW w:w="423" w:type="pct"/>
            <w:tcBorders>
              <w:top w:val="single" w:color="auto" w:sz="4" w:space="0"/>
              <w:left w:val="single" w:color="auto" w:sz="4" w:space="0"/>
              <w:bottom w:val="single" w:color="auto" w:sz="4" w:space="0"/>
              <w:right w:val="single" w:color="auto" w:sz="4" w:space="0"/>
            </w:tcBorders>
            <w:vAlign w:val="center"/>
          </w:tcPr>
          <w:p w14:paraId="6DF7A955">
            <w:pPr>
              <w:autoSpaceDE w:val="0"/>
              <w:autoSpaceDN w:val="0"/>
              <w:adjustRightInd w:val="0"/>
              <w:jc w:val="center"/>
              <w:rPr>
                <w:rFonts w:ascii="宋体" w:hAnsi="宋体" w:eastAsia="宋体" w:cs="宋体"/>
                <w:color w:val="auto"/>
                <w:kern w:val="0"/>
                <w:szCs w:val="21"/>
                <w:highlight w:val="none"/>
                <w:lang w:val="zh-CN"/>
              </w:rPr>
            </w:pPr>
            <w:bookmarkStart w:id="1236" w:name="OLE_LINK128"/>
            <w:r>
              <w:rPr>
                <w:rFonts w:hint="eastAsia" w:ascii="宋体" w:hAnsi="宋体" w:eastAsia="宋体" w:cs="宋体"/>
                <w:color w:val="auto"/>
                <w:kern w:val="0"/>
                <w:szCs w:val="21"/>
                <w:highlight w:val="none"/>
                <w:lang w:val="zh-CN"/>
              </w:rPr>
              <w:t>单项合同总装机容量</w:t>
            </w:r>
            <w:bookmarkEnd w:id="1236"/>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以该合同下并网验收证明上的装机容量填写</w:t>
            </w:r>
            <w:r>
              <w:rPr>
                <w:rFonts w:hint="eastAsia" w:ascii="宋体" w:hAnsi="宋体" w:eastAsia="宋体" w:cs="宋体"/>
                <w:color w:val="auto"/>
                <w:kern w:val="0"/>
                <w:szCs w:val="21"/>
                <w:highlight w:val="none"/>
                <w:lang w:val="zh-CN"/>
              </w:rPr>
              <w:t>】</w:t>
            </w:r>
          </w:p>
        </w:tc>
        <w:tc>
          <w:tcPr>
            <w:tcW w:w="317" w:type="pct"/>
            <w:tcBorders>
              <w:top w:val="single" w:color="auto" w:sz="4" w:space="0"/>
              <w:left w:val="single" w:color="auto" w:sz="4" w:space="0"/>
              <w:bottom w:val="single" w:color="auto" w:sz="4" w:space="0"/>
              <w:right w:val="single" w:color="auto" w:sz="4" w:space="0"/>
            </w:tcBorders>
            <w:vAlign w:val="center"/>
          </w:tcPr>
          <w:p w14:paraId="2EB85439">
            <w:pPr>
              <w:autoSpaceDE w:val="0"/>
              <w:autoSpaceDN w:val="0"/>
              <w:adjustRightInd w:val="0"/>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合同期限</w:t>
            </w:r>
          </w:p>
        </w:tc>
        <w:tc>
          <w:tcPr>
            <w:tcW w:w="290" w:type="pct"/>
            <w:tcBorders>
              <w:top w:val="single" w:color="auto" w:sz="4" w:space="0"/>
              <w:left w:val="single" w:color="auto" w:sz="4" w:space="0"/>
              <w:bottom w:val="single" w:color="auto" w:sz="4" w:space="0"/>
              <w:right w:val="single" w:color="auto" w:sz="4" w:space="0"/>
            </w:tcBorders>
            <w:vAlign w:val="center"/>
          </w:tcPr>
          <w:p w14:paraId="10759F15">
            <w:pPr>
              <w:autoSpaceDE w:val="0"/>
              <w:autoSpaceDN w:val="0"/>
              <w:adjustRightInd w:val="0"/>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签约</w:t>
            </w:r>
          </w:p>
          <w:p w14:paraId="46F5DCC7">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日期</w:t>
            </w:r>
          </w:p>
        </w:tc>
        <w:tc>
          <w:tcPr>
            <w:tcW w:w="308" w:type="pct"/>
            <w:tcBorders>
              <w:top w:val="single" w:color="auto" w:sz="4" w:space="0"/>
              <w:left w:val="single" w:color="auto" w:sz="4" w:space="0"/>
              <w:bottom w:val="single" w:color="auto" w:sz="4" w:space="0"/>
              <w:right w:val="single" w:color="auto" w:sz="4" w:space="0"/>
            </w:tcBorders>
            <w:vAlign w:val="center"/>
          </w:tcPr>
          <w:p w14:paraId="22908368">
            <w:pPr>
              <w:autoSpaceDE w:val="0"/>
              <w:autoSpaceDN w:val="0"/>
              <w:adjustRightInd w:val="0"/>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完成</w:t>
            </w:r>
          </w:p>
          <w:p w14:paraId="460FE923">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情况</w:t>
            </w:r>
          </w:p>
        </w:tc>
        <w:tc>
          <w:tcPr>
            <w:tcW w:w="406" w:type="pct"/>
            <w:tcBorders>
              <w:top w:val="single" w:color="auto" w:sz="4" w:space="0"/>
              <w:left w:val="single" w:color="auto" w:sz="4" w:space="0"/>
              <w:bottom w:val="single" w:color="auto" w:sz="4" w:space="0"/>
              <w:right w:val="single" w:color="auto" w:sz="4" w:space="0"/>
            </w:tcBorders>
            <w:vAlign w:val="center"/>
          </w:tcPr>
          <w:p w14:paraId="7AB04F6D">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买方单位联系人及电话</w:t>
            </w:r>
          </w:p>
        </w:tc>
        <w:tc>
          <w:tcPr>
            <w:tcW w:w="267" w:type="pct"/>
            <w:tcBorders>
              <w:top w:val="single" w:color="auto" w:sz="4" w:space="0"/>
              <w:left w:val="single" w:color="auto" w:sz="4" w:space="0"/>
              <w:bottom w:val="single" w:color="auto" w:sz="4" w:space="0"/>
              <w:right w:val="single" w:color="auto" w:sz="4" w:space="0"/>
            </w:tcBorders>
            <w:vAlign w:val="center"/>
          </w:tcPr>
          <w:p w14:paraId="64113D03">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备注</w:t>
            </w:r>
          </w:p>
        </w:tc>
      </w:tr>
      <w:tr w14:paraId="105054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265" w:type="pct"/>
            <w:tcBorders>
              <w:top w:val="single" w:color="auto" w:sz="4" w:space="0"/>
              <w:left w:val="single" w:color="auto" w:sz="4" w:space="0"/>
              <w:bottom w:val="single" w:color="auto" w:sz="4" w:space="0"/>
              <w:right w:val="single" w:color="auto" w:sz="4" w:space="0"/>
            </w:tcBorders>
            <w:vAlign w:val="center"/>
          </w:tcPr>
          <w:p w14:paraId="72AE04C6">
            <w:pPr>
              <w:autoSpaceDE w:val="0"/>
              <w:autoSpaceDN w:val="0"/>
              <w:adjustRightInd w:val="0"/>
              <w:spacing w:line="360" w:lineRule="auto"/>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w:t>
            </w:r>
          </w:p>
        </w:tc>
        <w:tc>
          <w:tcPr>
            <w:tcW w:w="317" w:type="pct"/>
            <w:tcBorders>
              <w:top w:val="single" w:color="auto" w:sz="4" w:space="0"/>
              <w:left w:val="single" w:color="auto" w:sz="4" w:space="0"/>
              <w:bottom w:val="single" w:color="auto" w:sz="4" w:space="0"/>
              <w:right w:val="single" w:color="auto" w:sz="4" w:space="0"/>
            </w:tcBorders>
            <w:vAlign w:val="center"/>
          </w:tcPr>
          <w:p w14:paraId="12EAE976">
            <w:pPr>
              <w:autoSpaceDE w:val="0"/>
              <w:autoSpaceDN w:val="0"/>
              <w:adjustRightInd w:val="0"/>
              <w:spacing w:line="360" w:lineRule="auto"/>
              <w:jc w:val="center"/>
              <w:rPr>
                <w:rFonts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6A274F0A">
            <w:pPr>
              <w:autoSpaceDE w:val="0"/>
              <w:autoSpaceDN w:val="0"/>
              <w:adjustRightInd w:val="0"/>
              <w:spacing w:line="360" w:lineRule="auto"/>
              <w:jc w:val="center"/>
              <w:rPr>
                <w:rFonts w:ascii="宋体" w:hAnsi="宋体" w:eastAsia="宋体" w:cs="宋体"/>
                <w:color w:val="auto"/>
                <w:kern w:val="0"/>
                <w:szCs w:val="21"/>
                <w:highlight w:val="none"/>
              </w:rPr>
            </w:pPr>
          </w:p>
        </w:tc>
        <w:tc>
          <w:tcPr>
            <w:tcW w:w="405" w:type="pct"/>
            <w:tcBorders>
              <w:top w:val="single" w:color="auto" w:sz="4" w:space="0"/>
              <w:left w:val="single" w:color="auto" w:sz="4" w:space="0"/>
              <w:bottom w:val="single" w:color="auto" w:sz="4" w:space="0"/>
              <w:right w:val="single" w:color="auto" w:sz="4" w:space="0"/>
            </w:tcBorders>
            <w:vAlign w:val="center"/>
          </w:tcPr>
          <w:p w14:paraId="02CBCF34">
            <w:pPr>
              <w:autoSpaceDE w:val="0"/>
              <w:autoSpaceDN w:val="0"/>
              <w:adjustRightInd w:val="0"/>
              <w:spacing w:line="360" w:lineRule="auto"/>
              <w:jc w:val="center"/>
              <w:rPr>
                <w:rFonts w:ascii="宋体" w:hAnsi="宋体" w:eastAsia="宋体" w:cs="宋体"/>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09F9756F">
            <w:pPr>
              <w:autoSpaceDE w:val="0"/>
              <w:autoSpaceDN w:val="0"/>
              <w:adjustRightInd w:val="0"/>
              <w:spacing w:line="360" w:lineRule="auto"/>
              <w:jc w:val="center"/>
              <w:rPr>
                <w:rFonts w:ascii="宋体" w:hAnsi="宋体" w:eastAsia="宋体" w:cs="宋体"/>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630A5D7C">
            <w:pPr>
              <w:autoSpaceDE w:val="0"/>
              <w:autoSpaceDN w:val="0"/>
              <w:adjustRightInd w:val="0"/>
              <w:spacing w:line="360" w:lineRule="auto"/>
              <w:jc w:val="center"/>
              <w:rPr>
                <w:rFonts w:ascii="宋体" w:hAnsi="宋体" w:eastAsia="宋体" w:cs="宋体"/>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5F8FE20A">
            <w:pPr>
              <w:autoSpaceDE w:val="0"/>
              <w:autoSpaceDN w:val="0"/>
              <w:adjustRightInd w:val="0"/>
              <w:spacing w:line="360" w:lineRule="auto"/>
              <w:jc w:val="center"/>
              <w:rPr>
                <w:rFonts w:ascii="宋体" w:hAnsi="宋体" w:eastAsia="宋体" w:cs="宋体"/>
                <w:color w:val="auto"/>
                <w:kern w:val="0"/>
                <w:szCs w:val="21"/>
                <w:highlight w:val="none"/>
              </w:rPr>
            </w:pPr>
          </w:p>
        </w:tc>
        <w:tc>
          <w:tcPr>
            <w:tcW w:w="423" w:type="pct"/>
            <w:tcBorders>
              <w:top w:val="single" w:color="auto" w:sz="4" w:space="0"/>
              <w:left w:val="single" w:color="auto" w:sz="4" w:space="0"/>
              <w:bottom w:val="single" w:color="auto" w:sz="4" w:space="0"/>
              <w:right w:val="single" w:color="auto" w:sz="4" w:space="0"/>
            </w:tcBorders>
          </w:tcPr>
          <w:p w14:paraId="7293951F">
            <w:pPr>
              <w:autoSpaceDE w:val="0"/>
              <w:autoSpaceDN w:val="0"/>
              <w:adjustRightInd w:val="0"/>
              <w:spacing w:line="360" w:lineRule="auto"/>
              <w:jc w:val="center"/>
              <w:rPr>
                <w:rFonts w:ascii="宋体" w:hAnsi="宋体" w:eastAsia="宋体" w:cs="宋体"/>
                <w:color w:val="auto"/>
                <w:kern w:val="0"/>
                <w:szCs w:val="21"/>
                <w:highlight w:val="none"/>
              </w:rPr>
            </w:pPr>
          </w:p>
        </w:tc>
        <w:tc>
          <w:tcPr>
            <w:tcW w:w="317" w:type="pct"/>
            <w:tcBorders>
              <w:top w:val="single" w:color="auto" w:sz="4" w:space="0"/>
              <w:left w:val="single" w:color="auto" w:sz="4" w:space="0"/>
              <w:bottom w:val="single" w:color="auto" w:sz="4" w:space="0"/>
              <w:right w:val="single" w:color="auto" w:sz="4" w:space="0"/>
            </w:tcBorders>
          </w:tcPr>
          <w:p w14:paraId="4336D50C">
            <w:pPr>
              <w:autoSpaceDE w:val="0"/>
              <w:autoSpaceDN w:val="0"/>
              <w:adjustRightInd w:val="0"/>
              <w:spacing w:line="360" w:lineRule="auto"/>
              <w:jc w:val="center"/>
              <w:rPr>
                <w:rFonts w:ascii="宋体" w:hAnsi="宋体" w:eastAsia="宋体" w:cs="宋体"/>
                <w:color w:val="auto"/>
                <w:kern w:val="0"/>
                <w:szCs w:val="21"/>
                <w:highlight w:val="none"/>
              </w:rPr>
            </w:pPr>
          </w:p>
        </w:tc>
        <w:tc>
          <w:tcPr>
            <w:tcW w:w="290" w:type="pct"/>
            <w:tcBorders>
              <w:top w:val="single" w:color="auto" w:sz="4" w:space="0"/>
              <w:left w:val="single" w:color="auto" w:sz="4" w:space="0"/>
              <w:bottom w:val="single" w:color="auto" w:sz="4" w:space="0"/>
              <w:right w:val="single" w:color="auto" w:sz="4" w:space="0"/>
            </w:tcBorders>
            <w:vAlign w:val="center"/>
          </w:tcPr>
          <w:p w14:paraId="3C6CDF51">
            <w:pPr>
              <w:autoSpaceDE w:val="0"/>
              <w:autoSpaceDN w:val="0"/>
              <w:adjustRightInd w:val="0"/>
              <w:spacing w:line="360" w:lineRule="auto"/>
              <w:jc w:val="center"/>
              <w:rPr>
                <w:rFonts w:ascii="宋体" w:hAnsi="宋体" w:eastAsia="宋体" w:cs="宋体"/>
                <w:color w:val="auto"/>
                <w:kern w:val="0"/>
                <w:szCs w:val="21"/>
                <w:highlight w:val="none"/>
              </w:rPr>
            </w:pPr>
          </w:p>
        </w:tc>
        <w:tc>
          <w:tcPr>
            <w:tcW w:w="308" w:type="pct"/>
            <w:tcBorders>
              <w:top w:val="single" w:color="auto" w:sz="4" w:space="0"/>
              <w:left w:val="single" w:color="auto" w:sz="4" w:space="0"/>
              <w:bottom w:val="single" w:color="auto" w:sz="4" w:space="0"/>
              <w:right w:val="single" w:color="auto" w:sz="4" w:space="0"/>
            </w:tcBorders>
            <w:vAlign w:val="center"/>
          </w:tcPr>
          <w:p w14:paraId="65D1E422">
            <w:pPr>
              <w:autoSpaceDE w:val="0"/>
              <w:autoSpaceDN w:val="0"/>
              <w:adjustRightInd w:val="0"/>
              <w:spacing w:line="360" w:lineRule="auto"/>
              <w:jc w:val="center"/>
              <w:rPr>
                <w:rFonts w:ascii="宋体" w:hAnsi="宋体" w:eastAsia="宋体" w:cs="宋体"/>
                <w:color w:val="auto"/>
                <w:kern w:val="0"/>
                <w:szCs w:val="21"/>
                <w:highlight w:val="none"/>
              </w:rPr>
            </w:pPr>
          </w:p>
        </w:tc>
        <w:tc>
          <w:tcPr>
            <w:tcW w:w="406" w:type="pct"/>
            <w:tcBorders>
              <w:top w:val="single" w:color="auto" w:sz="4" w:space="0"/>
              <w:left w:val="single" w:color="auto" w:sz="4" w:space="0"/>
              <w:bottom w:val="single" w:color="auto" w:sz="4" w:space="0"/>
              <w:right w:val="single" w:color="auto" w:sz="4" w:space="0"/>
            </w:tcBorders>
            <w:vAlign w:val="center"/>
          </w:tcPr>
          <w:p w14:paraId="2FF5B8C9">
            <w:pPr>
              <w:autoSpaceDE w:val="0"/>
              <w:autoSpaceDN w:val="0"/>
              <w:adjustRightInd w:val="0"/>
              <w:spacing w:line="360" w:lineRule="auto"/>
              <w:jc w:val="center"/>
              <w:rPr>
                <w:rFonts w:ascii="宋体" w:hAnsi="宋体" w:eastAsia="宋体" w:cs="宋体"/>
                <w:color w:val="auto"/>
                <w:kern w:val="0"/>
                <w:szCs w:val="21"/>
                <w:highlight w:val="none"/>
              </w:rPr>
            </w:pPr>
          </w:p>
        </w:tc>
        <w:tc>
          <w:tcPr>
            <w:tcW w:w="267" w:type="pct"/>
            <w:tcBorders>
              <w:top w:val="single" w:color="auto" w:sz="4" w:space="0"/>
              <w:left w:val="single" w:color="auto" w:sz="4" w:space="0"/>
              <w:bottom w:val="single" w:color="auto" w:sz="4" w:space="0"/>
              <w:right w:val="single" w:color="auto" w:sz="4" w:space="0"/>
            </w:tcBorders>
            <w:vAlign w:val="center"/>
          </w:tcPr>
          <w:p w14:paraId="5C8961F0">
            <w:pPr>
              <w:autoSpaceDE w:val="0"/>
              <w:autoSpaceDN w:val="0"/>
              <w:adjustRightInd w:val="0"/>
              <w:spacing w:line="360" w:lineRule="auto"/>
              <w:jc w:val="center"/>
              <w:rPr>
                <w:rFonts w:ascii="宋体" w:hAnsi="宋体" w:eastAsia="宋体" w:cs="宋体"/>
                <w:color w:val="auto"/>
                <w:kern w:val="0"/>
                <w:szCs w:val="21"/>
                <w:highlight w:val="none"/>
              </w:rPr>
            </w:pPr>
          </w:p>
        </w:tc>
      </w:tr>
      <w:tr w14:paraId="140337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265" w:type="pct"/>
            <w:tcBorders>
              <w:top w:val="single" w:color="auto" w:sz="4" w:space="0"/>
              <w:left w:val="single" w:color="auto" w:sz="4" w:space="0"/>
              <w:bottom w:val="single" w:color="auto" w:sz="4" w:space="0"/>
              <w:right w:val="single" w:color="auto" w:sz="4" w:space="0"/>
            </w:tcBorders>
            <w:vAlign w:val="center"/>
          </w:tcPr>
          <w:p w14:paraId="64F574F1">
            <w:pPr>
              <w:autoSpaceDE w:val="0"/>
              <w:autoSpaceDN w:val="0"/>
              <w:adjustRightInd w:val="0"/>
              <w:spacing w:line="360" w:lineRule="auto"/>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w:t>
            </w:r>
          </w:p>
        </w:tc>
        <w:tc>
          <w:tcPr>
            <w:tcW w:w="317" w:type="pct"/>
            <w:tcBorders>
              <w:top w:val="single" w:color="auto" w:sz="4" w:space="0"/>
              <w:left w:val="single" w:color="auto" w:sz="4" w:space="0"/>
              <w:bottom w:val="single" w:color="auto" w:sz="4" w:space="0"/>
              <w:right w:val="single" w:color="auto" w:sz="4" w:space="0"/>
            </w:tcBorders>
            <w:vAlign w:val="center"/>
          </w:tcPr>
          <w:p w14:paraId="5BAA6D6B">
            <w:pPr>
              <w:autoSpaceDE w:val="0"/>
              <w:autoSpaceDN w:val="0"/>
              <w:adjustRightInd w:val="0"/>
              <w:spacing w:line="360" w:lineRule="auto"/>
              <w:jc w:val="center"/>
              <w:rPr>
                <w:rFonts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4E092AA4">
            <w:pPr>
              <w:autoSpaceDE w:val="0"/>
              <w:autoSpaceDN w:val="0"/>
              <w:adjustRightInd w:val="0"/>
              <w:spacing w:line="360" w:lineRule="auto"/>
              <w:jc w:val="center"/>
              <w:rPr>
                <w:rFonts w:ascii="宋体" w:hAnsi="宋体" w:eastAsia="宋体" w:cs="宋体"/>
                <w:color w:val="auto"/>
                <w:kern w:val="0"/>
                <w:szCs w:val="21"/>
                <w:highlight w:val="none"/>
              </w:rPr>
            </w:pPr>
          </w:p>
        </w:tc>
        <w:tc>
          <w:tcPr>
            <w:tcW w:w="405" w:type="pct"/>
            <w:tcBorders>
              <w:top w:val="single" w:color="auto" w:sz="4" w:space="0"/>
              <w:left w:val="single" w:color="auto" w:sz="4" w:space="0"/>
              <w:bottom w:val="single" w:color="auto" w:sz="4" w:space="0"/>
              <w:right w:val="single" w:color="auto" w:sz="4" w:space="0"/>
            </w:tcBorders>
            <w:vAlign w:val="center"/>
          </w:tcPr>
          <w:p w14:paraId="69FB6B49">
            <w:pPr>
              <w:autoSpaceDE w:val="0"/>
              <w:autoSpaceDN w:val="0"/>
              <w:adjustRightInd w:val="0"/>
              <w:spacing w:line="360" w:lineRule="auto"/>
              <w:jc w:val="center"/>
              <w:rPr>
                <w:rFonts w:ascii="宋体" w:hAnsi="宋体" w:eastAsia="宋体" w:cs="宋体"/>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2B23AF4A">
            <w:pPr>
              <w:autoSpaceDE w:val="0"/>
              <w:autoSpaceDN w:val="0"/>
              <w:adjustRightInd w:val="0"/>
              <w:spacing w:line="360" w:lineRule="auto"/>
              <w:jc w:val="center"/>
              <w:rPr>
                <w:rFonts w:ascii="宋体" w:hAnsi="宋体" w:eastAsia="宋体" w:cs="宋体"/>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770E7B44">
            <w:pPr>
              <w:autoSpaceDE w:val="0"/>
              <w:autoSpaceDN w:val="0"/>
              <w:adjustRightInd w:val="0"/>
              <w:spacing w:line="360" w:lineRule="auto"/>
              <w:jc w:val="center"/>
              <w:rPr>
                <w:rFonts w:ascii="宋体" w:hAnsi="宋体" w:eastAsia="宋体" w:cs="宋体"/>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4C36B285">
            <w:pPr>
              <w:autoSpaceDE w:val="0"/>
              <w:autoSpaceDN w:val="0"/>
              <w:adjustRightInd w:val="0"/>
              <w:spacing w:line="360" w:lineRule="auto"/>
              <w:jc w:val="center"/>
              <w:rPr>
                <w:rFonts w:ascii="宋体" w:hAnsi="宋体" w:eastAsia="宋体" w:cs="宋体"/>
                <w:color w:val="auto"/>
                <w:kern w:val="0"/>
                <w:szCs w:val="21"/>
                <w:highlight w:val="none"/>
              </w:rPr>
            </w:pPr>
          </w:p>
        </w:tc>
        <w:tc>
          <w:tcPr>
            <w:tcW w:w="423" w:type="pct"/>
            <w:tcBorders>
              <w:top w:val="single" w:color="auto" w:sz="4" w:space="0"/>
              <w:left w:val="single" w:color="auto" w:sz="4" w:space="0"/>
              <w:bottom w:val="single" w:color="auto" w:sz="4" w:space="0"/>
              <w:right w:val="single" w:color="auto" w:sz="4" w:space="0"/>
            </w:tcBorders>
          </w:tcPr>
          <w:p w14:paraId="364DF484">
            <w:pPr>
              <w:autoSpaceDE w:val="0"/>
              <w:autoSpaceDN w:val="0"/>
              <w:adjustRightInd w:val="0"/>
              <w:spacing w:line="360" w:lineRule="auto"/>
              <w:jc w:val="center"/>
              <w:rPr>
                <w:rFonts w:ascii="宋体" w:hAnsi="宋体" w:eastAsia="宋体" w:cs="宋体"/>
                <w:color w:val="auto"/>
                <w:kern w:val="0"/>
                <w:szCs w:val="21"/>
                <w:highlight w:val="none"/>
              </w:rPr>
            </w:pPr>
          </w:p>
        </w:tc>
        <w:tc>
          <w:tcPr>
            <w:tcW w:w="317" w:type="pct"/>
            <w:tcBorders>
              <w:top w:val="single" w:color="auto" w:sz="4" w:space="0"/>
              <w:left w:val="single" w:color="auto" w:sz="4" w:space="0"/>
              <w:bottom w:val="single" w:color="auto" w:sz="4" w:space="0"/>
              <w:right w:val="single" w:color="auto" w:sz="4" w:space="0"/>
            </w:tcBorders>
          </w:tcPr>
          <w:p w14:paraId="7106B72C">
            <w:pPr>
              <w:autoSpaceDE w:val="0"/>
              <w:autoSpaceDN w:val="0"/>
              <w:adjustRightInd w:val="0"/>
              <w:spacing w:line="360" w:lineRule="auto"/>
              <w:jc w:val="center"/>
              <w:rPr>
                <w:rFonts w:ascii="宋体" w:hAnsi="宋体" w:eastAsia="宋体" w:cs="宋体"/>
                <w:color w:val="auto"/>
                <w:kern w:val="0"/>
                <w:szCs w:val="21"/>
                <w:highlight w:val="none"/>
              </w:rPr>
            </w:pPr>
          </w:p>
        </w:tc>
        <w:tc>
          <w:tcPr>
            <w:tcW w:w="290" w:type="pct"/>
            <w:tcBorders>
              <w:top w:val="single" w:color="auto" w:sz="4" w:space="0"/>
              <w:left w:val="single" w:color="auto" w:sz="4" w:space="0"/>
              <w:bottom w:val="single" w:color="auto" w:sz="4" w:space="0"/>
              <w:right w:val="single" w:color="auto" w:sz="4" w:space="0"/>
            </w:tcBorders>
            <w:vAlign w:val="center"/>
          </w:tcPr>
          <w:p w14:paraId="3A83F510">
            <w:pPr>
              <w:autoSpaceDE w:val="0"/>
              <w:autoSpaceDN w:val="0"/>
              <w:adjustRightInd w:val="0"/>
              <w:spacing w:line="360" w:lineRule="auto"/>
              <w:jc w:val="center"/>
              <w:rPr>
                <w:rFonts w:ascii="宋体" w:hAnsi="宋体" w:eastAsia="宋体" w:cs="宋体"/>
                <w:color w:val="auto"/>
                <w:kern w:val="0"/>
                <w:szCs w:val="21"/>
                <w:highlight w:val="none"/>
              </w:rPr>
            </w:pPr>
          </w:p>
        </w:tc>
        <w:tc>
          <w:tcPr>
            <w:tcW w:w="308" w:type="pct"/>
            <w:tcBorders>
              <w:top w:val="single" w:color="auto" w:sz="4" w:space="0"/>
              <w:left w:val="single" w:color="auto" w:sz="4" w:space="0"/>
              <w:bottom w:val="single" w:color="auto" w:sz="4" w:space="0"/>
              <w:right w:val="single" w:color="auto" w:sz="4" w:space="0"/>
            </w:tcBorders>
            <w:vAlign w:val="center"/>
          </w:tcPr>
          <w:p w14:paraId="10F59156">
            <w:pPr>
              <w:autoSpaceDE w:val="0"/>
              <w:autoSpaceDN w:val="0"/>
              <w:adjustRightInd w:val="0"/>
              <w:spacing w:line="360" w:lineRule="auto"/>
              <w:jc w:val="center"/>
              <w:rPr>
                <w:rFonts w:ascii="宋体" w:hAnsi="宋体" w:eastAsia="宋体" w:cs="宋体"/>
                <w:color w:val="auto"/>
                <w:kern w:val="0"/>
                <w:szCs w:val="21"/>
                <w:highlight w:val="none"/>
              </w:rPr>
            </w:pPr>
          </w:p>
        </w:tc>
        <w:tc>
          <w:tcPr>
            <w:tcW w:w="406" w:type="pct"/>
            <w:tcBorders>
              <w:top w:val="single" w:color="auto" w:sz="4" w:space="0"/>
              <w:left w:val="single" w:color="auto" w:sz="4" w:space="0"/>
              <w:bottom w:val="single" w:color="auto" w:sz="4" w:space="0"/>
              <w:right w:val="single" w:color="auto" w:sz="4" w:space="0"/>
            </w:tcBorders>
            <w:vAlign w:val="center"/>
          </w:tcPr>
          <w:p w14:paraId="1596DE98">
            <w:pPr>
              <w:autoSpaceDE w:val="0"/>
              <w:autoSpaceDN w:val="0"/>
              <w:adjustRightInd w:val="0"/>
              <w:spacing w:line="360" w:lineRule="auto"/>
              <w:jc w:val="center"/>
              <w:rPr>
                <w:rFonts w:ascii="宋体" w:hAnsi="宋体" w:eastAsia="宋体" w:cs="宋体"/>
                <w:color w:val="auto"/>
                <w:kern w:val="0"/>
                <w:szCs w:val="21"/>
                <w:highlight w:val="none"/>
              </w:rPr>
            </w:pPr>
          </w:p>
        </w:tc>
        <w:tc>
          <w:tcPr>
            <w:tcW w:w="267" w:type="pct"/>
            <w:tcBorders>
              <w:top w:val="single" w:color="auto" w:sz="4" w:space="0"/>
              <w:left w:val="single" w:color="auto" w:sz="4" w:space="0"/>
              <w:bottom w:val="single" w:color="auto" w:sz="4" w:space="0"/>
              <w:right w:val="single" w:color="auto" w:sz="4" w:space="0"/>
            </w:tcBorders>
            <w:vAlign w:val="center"/>
          </w:tcPr>
          <w:p w14:paraId="37D1A064">
            <w:pPr>
              <w:autoSpaceDE w:val="0"/>
              <w:autoSpaceDN w:val="0"/>
              <w:adjustRightInd w:val="0"/>
              <w:spacing w:line="360" w:lineRule="auto"/>
              <w:jc w:val="center"/>
              <w:rPr>
                <w:rFonts w:ascii="宋体" w:hAnsi="宋体" w:eastAsia="宋体" w:cs="宋体"/>
                <w:color w:val="auto"/>
                <w:kern w:val="0"/>
                <w:szCs w:val="21"/>
                <w:highlight w:val="none"/>
              </w:rPr>
            </w:pPr>
          </w:p>
        </w:tc>
      </w:tr>
      <w:tr w14:paraId="531EE7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265" w:type="pct"/>
            <w:tcBorders>
              <w:top w:val="single" w:color="auto" w:sz="4" w:space="0"/>
              <w:left w:val="single" w:color="auto" w:sz="4" w:space="0"/>
              <w:bottom w:val="single" w:color="auto" w:sz="4" w:space="0"/>
              <w:right w:val="single" w:color="auto" w:sz="4" w:space="0"/>
            </w:tcBorders>
            <w:vAlign w:val="center"/>
          </w:tcPr>
          <w:p w14:paraId="4F5189CA">
            <w:pPr>
              <w:autoSpaceDE w:val="0"/>
              <w:autoSpaceDN w:val="0"/>
              <w:adjustRightInd w:val="0"/>
              <w:spacing w:line="360" w:lineRule="auto"/>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w:t>
            </w:r>
          </w:p>
        </w:tc>
        <w:tc>
          <w:tcPr>
            <w:tcW w:w="317" w:type="pct"/>
            <w:tcBorders>
              <w:top w:val="single" w:color="auto" w:sz="4" w:space="0"/>
              <w:left w:val="single" w:color="auto" w:sz="4" w:space="0"/>
              <w:bottom w:val="single" w:color="auto" w:sz="4" w:space="0"/>
              <w:right w:val="single" w:color="auto" w:sz="4" w:space="0"/>
            </w:tcBorders>
            <w:vAlign w:val="center"/>
          </w:tcPr>
          <w:p w14:paraId="02D2B59E">
            <w:pPr>
              <w:autoSpaceDE w:val="0"/>
              <w:autoSpaceDN w:val="0"/>
              <w:adjustRightInd w:val="0"/>
              <w:spacing w:line="360" w:lineRule="auto"/>
              <w:jc w:val="center"/>
              <w:rPr>
                <w:rFonts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6F799DC8">
            <w:pPr>
              <w:autoSpaceDE w:val="0"/>
              <w:autoSpaceDN w:val="0"/>
              <w:adjustRightInd w:val="0"/>
              <w:spacing w:line="360" w:lineRule="auto"/>
              <w:jc w:val="center"/>
              <w:rPr>
                <w:rFonts w:ascii="宋体" w:hAnsi="宋体" w:eastAsia="宋体" w:cs="宋体"/>
                <w:color w:val="auto"/>
                <w:kern w:val="0"/>
                <w:szCs w:val="21"/>
                <w:highlight w:val="none"/>
              </w:rPr>
            </w:pPr>
          </w:p>
        </w:tc>
        <w:tc>
          <w:tcPr>
            <w:tcW w:w="405" w:type="pct"/>
            <w:tcBorders>
              <w:top w:val="single" w:color="auto" w:sz="4" w:space="0"/>
              <w:left w:val="single" w:color="auto" w:sz="4" w:space="0"/>
              <w:bottom w:val="single" w:color="auto" w:sz="4" w:space="0"/>
              <w:right w:val="single" w:color="auto" w:sz="4" w:space="0"/>
            </w:tcBorders>
            <w:vAlign w:val="center"/>
          </w:tcPr>
          <w:p w14:paraId="3160984A">
            <w:pPr>
              <w:autoSpaceDE w:val="0"/>
              <w:autoSpaceDN w:val="0"/>
              <w:adjustRightInd w:val="0"/>
              <w:spacing w:line="360" w:lineRule="auto"/>
              <w:jc w:val="center"/>
              <w:rPr>
                <w:rFonts w:ascii="宋体" w:hAnsi="宋体" w:eastAsia="宋体" w:cs="宋体"/>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2D1EA145">
            <w:pPr>
              <w:autoSpaceDE w:val="0"/>
              <w:autoSpaceDN w:val="0"/>
              <w:adjustRightInd w:val="0"/>
              <w:spacing w:line="360" w:lineRule="auto"/>
              <w:jc w:val="center"/>
              <w:rPr>
                <w:rFonts w:ascii="宋体" w:hAnsi="宋体" w:eastAsia="宋体" w:cs="宋体"/>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64161AE8">
            <w:pPr>
              <w:autoSpaceDE w:val="0"/>
              <w:autoSpaceDN w:val="0"/>
              <w:adjustRightInd w:val="0"/>
              <w:spacing w:line="360" w:lineRule="auto"/>
              <w:jc w:val="center"/>
              <w:rPr>
                <w:rFonts w:ascii="宋体" w:hAnsi="宋体" w:eastAsia="宋体" w:cs="宋体"/>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4D307A02">
            <w:pPr>
              <w:autoSpaceDE w:val="0"/>
              <w:autoSpaceDN w:val="0"/>
              <w:adjustRightInd w:val="0"/>
              <w:spacing w:line="360" w:lineRule="auto"/>
              <w:jc w:val="center"/>
              <w:rPr>
                <w:rFonts w:ascii="宋体" w:hAnsi="宋体" w:eastAsia="宋体" w:cs="宋体"/>
                <w:color w:val="auto"/>
                <w:kern w:val="0"/>
                <w:szCs w:val="21"/>
                <w:highlight w:val="none"/>
              </w:rPr>
            </w:pPr>
          </w:p>
        </w:tc>
        <w:tc>
          <w:tcPr>
            <w:tcW w:w="423" w:type="pct"/>
            <w:tcBorders>
              <w:top w:val="single" w:color="auto" w:sz="4" w:space="0"/>
              <w:left w:val="single" w:color="auto" w:sz="4" w:space="0"/>
              <w:bottom w:val="single" w:color="auto" w:sz="4" w:space="0"/>
              <w:right w:val="single" w:color="auto" w:sz="4" w:space="0"/>
            </w:tcBorders>
          </w:tcPr>
          <w:p w14:paraId="32BBF036">
            <w:pPr>
              <w:autoSpaceDE w:val="0"/>
              <w:autoSpaceDN w:val="0"/>
              <w:adjustRightInd w:val="0"/>
              <w:spacing w:line="360" w:lineRule="auto"/>
              <w:jc w:val="center"/>
              <w:rPr>
                <w:rFonts w:ascii="宋体" w:hAnsi="宋体" w:eastAsia="宋体" w:cs="宋体"/>
                <w:color w:val="auto"/>
                <w:kern w:val="0"/>
                <w:szCs w:val="21"/>
                <w:highlight w:val="none"/>
              </w:rPr>
            </w:pPr>
          </w:p>
        </w:tc>
        <w:tc>
          <w:tcPr>
            <w:tcW w:w="317" w:type="pct"/>
            <w:tcBorders>
              <w:top w:val="single" w:color="auto" w:sz="4" w:space="0"/>
              <w:left w:val="single" w:color="auto" w:sz="4" w:space="0"/>
              <w:bottom w:val="single" w:color="auto" w:sz="4" w:space="0"/>
              <w:right w:val="single" w:color="auto" w:sz="4" w:space="0"/>
            </w:tcBorders>
          </w:tcPr>
          <w:p w14:paraId="06611FDC">
            <w:pPr>
              <w:autoSpaceDE w:val="0"/>
              <w:autoSpaceDN w:val="0"/>
              <w:adjustRightInd w:val="0"/>
              <w:spacing w:line="360" w:lineRule="auto"/>
              <w:jc w:val="center"/>
              <w:rPr>
                <w:rFonts w:ascii="宋体" w:hAnsi="宋体" w:eastAsia="宋体" w:cs="宋体"/>
                <w:color w:val="auto"/>
                <w:kern w:val="0"/>
                <w:szCs w:val="21"/>
                <w:highlight w:val="none"/>
              </w:rPr>
            </w:pPr>
          </w:p>
        </w:tc>
        <w:tc>
          <w:tcPr>
            <w:tcW w:w="290" w:type="pct"/>
            <w:tcBorders>
              <w:top w:val="single" w:color="auto" w:sz="4" w:space="0"/>
              <w:left w:val="single" w:color="auto" w:sz="4" w:space="0"/>
              <w:bottom w:val="single" w:color="auto" w:sz="4" w:space="0"/>
              <w:right w:val="single" w:color="auto" w:sz="4" w:space="0"/>
            </w:tcBorders>
            <w:vAlign w:val="center"/>
          </w:tcPr>
          <w:p w14:paraId="2E60780F">
            <w:pPr>
              <w:autoSpaceDE w:val="0"/>
              <w:autoSpaceDN w:val="0"/>
              <w:adjustRightInd w:val="0"/>
              <w:spacing w:line="360" w:lineRule="auto"/>
              <w:jc w:val="center"/>
              <w:rPr>
                <w:rFonts w:ascii="宋体" w:hAnsi="宋体" w:eastAsia="宋体" w:cs="宋体"/>
                <w:color w:val="auto"/>
                <w:kern w:val="0"/>
                <w:szCs w:val="21"/>
                <w:highlight w:val="none"/>
              </w:rPr>
            </w:pPr>
          </w:p>
        </w:tc>
        <w:tc>
          <w:tcPr>
            <w:tcW w:w="308" w:type="pct"/>
            <w:tcBorders>
              <w:top w:val="single" w:color="auto" w:sz="4" w:space="0"/>
              <w:left w:val="single" w:color="auto" w:sz="4" w:space="0"/>
              <w:bottom w:val="single" w:color="auto" w:sz="4" w:space="0"/>
              <w:right w:val="single" w:color="auto" w:sz="4" w:space="0"/>
            </w:tcBorders>
            <w:vAlign w:val="center"/>
          </w:tcPr>
          <w:p w14:paraId="553463D3">
            <w:pPr>
              <w:autoSpaceDE w:val="0"/>
              <w:autoSpaceDN w:val="0"/>
              <w:adjustRightInd w:val="0"/>
              <w:spacing w:line="360" w:lineRule="auto"/>
              <w:jc w:val="center"/>
              <w:rPr>
                <w:rFonts w:ascii="宋体" w:hAnsi="宋体" w:eastAsia="宋体" w:cs="宋体"/>
                <w:color w:val="auto"/>
                <w:kern w:val="0"/>
                <w:szCs w:val="21"/>
                <w:highlight w:val="none"/>
              </w:rPr>
            </w:pPr>
          </w:p>
        </w:tc>
        <w:tc>
          <w:tcPr>
            <w:tcW w:w="406" w:type="pct"/>
            <w:tcBorders>
              <w:top w:val="single" w:color="auto" w:sz="4" w:space="0"/>
              <w:left w:val="single" w:color="auto" w:sz="4" w:space="0"/>
              <w:bottom w:val="single" w:color="auto" w:sz="4" w:space="0"/>
              <w:right w:val="single" w:color="auto" w:sz="4" w:space="0"/>
            </w:tcBorders>
            <w:vAlign w:val="center"/>
          </w:tcPr>
          <w:p w14:paraId="16236C1F">
            <w:pPr>
              <w:autoSpaceDE w:val="0"/>
              <w:autoSpaceDN w:val="0"/>
              <w:adjustRightInd w:val="0"/>
              <w:spacing w:line="360" w:lineRule="auto"/>
              <w:jc w:val="center"/>
              <w:rPr>
                <w:rFonts w:ascii="宋体" w:hAnsi="宋体" w:eastAsia="宋体" w:cs="宋体"/>
                <w:color w:val="auto"/>
                <w:kern w:val="0"/>
                <w:szCs w:val="21"/>
                <w:highlight w:val="none"/>
              </w:rPr>
            </w:pPr>
          </w:p>
        </w:tc>
        <w:tc>
          <w:tcPr>
            <w:tcW w:w="267" w:type="pct"/>
            <w:tcBorders>
              <w:top w:val="single" w:color="auto" w:sz="4" w:space="0"/>
              <w:left w:val="single" w:color="auto" w:sz="4" w:space="0"/>
              <w:bottom w:val="single" w:color="auto" w:sz="4" w:space="0"/>
              <w:right w:val="single" w:color="auto" w:sz="4" w:space="0"/>
            </w:tcBorders>
            <w:vAlign w:val="center"/>
          </w:tcPr>
          <w:p w14:paraId="1AD6768E">
            <w:pPr>
              <w:autoSpaceDE w:val="0"/>
              <w:autoSpaceDN w:val="0"/>
              <w:adjustRightInd w:val="0"/>
              <w:spacing w:line="360" w:lineRule="auto"/>
              <w:jc w:val="center"/>
              <w:rPr>
                <w:rFonts w:ascii="宋体" w:hAnsi="宋体" w:eastAsia="宋体" w:cs="宋体"/>
                <w:color w:val="auto"/>
                <w:kern w:val="0"/>
                <w:szCs w:val="21"/>
                <w:highlight w:val="none"/>
              </w:rPr>
            </w:pPr>
          </w:p>
        </w:tc>
      </w:tr>
      <w:tr w14:paraId="354A06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265" w:type="pct"/>
            <w:tcBorders>
              <w:top w:val="single" w:color="auto" w:sz="4" w:space="0"/>
              <w:left w:val="single" w:color="auto" w:sz="4" w:space="0"/>
              <w:bottom w:val="single" w:color="auto" w:sz="4" w:space="0"/>
              <w:right w:val="single" w:color="auto" w:sz="4" w:space="0"/>
            </w:tcBorders>
            <w:vAlign w:val="center"/>
          </w:tcPr>
          <w:p w14:paraId="3AF8E015">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317" w:type="pct"/>
            <w:tcBorders>
              <w:top w:val="single" w:color="auto" w:sz="4" w:space="0"/>
              <w:left w:val="single" w:color="auto" w:sz="4" w:space="0"/>
              <w:bottom w:val="single" w:color="auto" w:sz="4" w:space="0"/>
              <w:right w:val="single" w:color="auto" w:sz="4" w:space="0"/>
            </w:tcBorders>
            <w:vAlign w:val="center"/>
          </w:tcPr>
          <w:p w14:paraId="08C4C7C5">
            <w:pPr>
              <w:autoSpaceDE w:val="0"/>
              <w:autoSpaceDN w:val="0"/>
              <w:adjustRightInd w:val="0"/>
              <w:spacing w:line="360" w:lineRule="auto"/>
              <w:jc w:val="center"/>
              <w:rPr>
                <w:rFonts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64C747E6">
            <w:pPr>
              <w:autoSpaceDE w:val="0"/>
              <w:autoSpaceDN w:val="0"/>
              <w:adjustRightInd w:val="0"/>
              <w:spacing w:line="360" w:lineRule="auto"/>
              <w:jc w:val="center"/>
              <w:rPr>
                <w:rFonts w:ascii="宋体" w:hAnsi="宋体" w:eastAsia="宋体" w:cs="宋体"/>
                <w:color w:val="auto"/>
                <w:kern w:val="0"/>
                <w:szCs w:val="21"/>
                <w:highlight w:val="none"/>
              </w:rPr>
            </w:pPr>
          </w:p>
        </w:tc>
        <w:tc>
          <w:tcPr>
            <w:tcW w:w="405" w:type="pct"/>
            <w:tcBorders>
              <w:top w:val="single" w:color="auto" w:sz="4" w:space="0"/>
              <w:left w:val="single" w:color="auto" w:sz="4" w:space="0"/>
              <w:bottom w:val="single" w:color="auto" w:sz="4" w:space="0"/>
              <w:right w:val="single" w:color="auto" w:sz="4" w:space="0"/>
            </w:tcBorders>
            <w:vAlign w:val="center"/>
          </w:tcPr>
          <w:p w14:paraId="1E778022">
            <w:pPr>
              <w:autoSpaceDE w:val="0"/>
              <w:autoSpaceDN w:val="0"/>
              <w:adjustRightInd w:val="0"/>
              <w:spacing w:line="360" w:lineRule="auto"/>
              <w:jc w:val="center"/>
              <w:rPr>
                <w:rFonts w:ascii="宋体" w:hAnsi="宋体" w:eastAsia="宋体" w:cs="宋体"/>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3CDBBFBA">
            <w:pPr>
              <w:autoSpaceDE w:val="0"/>
              <w:autoSpaceDN w:val="0"/>
              <w:adjustRightInd w:val="0"/>
              <w:spacing w:line="360" w:lineRule="auto"/>
              <w:jc w:val="center"/>
              <w:rPr>
                <w:rFonts w:ascii="宋体" w:hAnsi="宋体" w:eastAsia="宋体" w:cs="宋体"/>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1676E695">
            <w:pPr>
              <w:autoSpaceDE w:val="0"/>
              <w:autoSpaceDN w:val="0"/>
              <w:adjustRightInd w:val="0"/>
              <w:spacing w:line="360" w:lineRule="auto"/>
              <w:jc w:val="center"/>
              <w:rPr>
                <w:rFonts w:ascii="宋体" w:hAnsi="宋体" w:eastAsia="宋体" w:cs="宋体"/>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54ED555D">
            <w:pPr>
              <w:autoSpaceDE w:val="0"/>
              <w:autoSpaceDN w:val="0"/>
              <w:adjustRightInd w:val="0"/>
              <w:spacing w:line="360" w:lineRule="auto"/>
              <w:jc w:val="center"/>
              <w:rPr>
                <w:rFonts w:ascii="宋体" w:hAnsi="宋体" w:eastAsia="宋体" w:cs="宋体"/>
                <w:color w:val="auto"/>
                <w:kern w:val="0"/>
                <w:szCs w:val="21"/>
                <w:highlight w:val="none"/>
              </w:rPr>
            </w:pPr>
          </w:p>
        </w:tc>
        <w:tc>
          <w:tcPr>
            <w:tcW w:w="423" w:type="pct"/>
            <w:tcBorders>
              <w:top w:val="single" w:color="auto" w:sz="4" w:space="0"/>
              <w:left w:val="single" w:color="auto" w:sz="4" w:space="0"/>
              <w:bottom w:val="single" w:color="auto" w:sz="4" w:space="0"/>
              <w:right w:val="single" w:color="auto" w:sz="4" w:space="0"/>
            </w:tcBorders>
          </w:tcPr>
          <w:p w14:paraId="6279307A">
            <w:pPr>
              <w:autoSpaceDE w:val="0"/>
              <w:autoSpaceDN w:val="0"/>
              <w:adjustRightInd w:val="0"/>
              <w:spacing w:line="360" w:lineRule="auto"/>
              <w:jc w:val="center"/>
              <w:rPr>
                <w:rFonts w:ascii="宋体" w:hAnsi="宋体" w:eastAsia="宋体" w:cs="宋体"/>
                <w:color w:val="auto"/>
                <w:kern w:val="0"/>
                <w:szCs w:val="21"/>
                <w:highlight w:val="none"/>
              </w:rPr>
            </w:pPr>
          </w:p>
        </w:tc>
        <w:tc>
          <w:tcPr>
            <w:tcW w:w="317" w:type="pct"/>
            <w:tcBorders>
              <w:top w:val="single" w:color="auto" w:sz="4" w:space="0"/>
              <w:left w:val="single" w:color="auto" w:sz="4" w:space="0"/>
              <w:bottom w:val="single" w:color="auto" w:sz="4" w:space="0"/>
              <w:right w:val="single" w:color="auto" w:sz="4" w:space="0"/>
            </w:tcBorders>
          </w:tcPr>
          <w:p w14:paraId="1E26BA42">
            <w:pPr>
              <w:autoSpaceDE w:val="0"/>
              <w:autoSpaceDN w:val="0"/>
              <w:adjustRightInd w:val="0"/>
              <w:spacing w:line="360" w:lineRule="auto"/>
              <w:jc w:val="center"/>
              <w:rPr>
                <w:rFonts w:ascii="宋体" w:hAnsi="宋体" w:eastAsia="宋体" w:cs="宋体"/>
                <w:color w:val="auto"/>
                <w:kern w:val="0"/>
                <w:szCs w:val="21"/>
                <w:highlight w:val="none"/>
              </w:rPr>
            </w:pPr>
          </w:p>
        </w:tc>
        <w:tc>
          <w:tcPr>
            <w:tcW w:w="290" w:type="pct"/>
            <w:tcBorders>
              <w:top w:val="single" w:color="auto" w:sz="4" w:space="0"/>
              <w:left w:val="single" w:color="auto" w:sz="4" w:space="0"/>
              <w:bottom w:val="single" w:color="auto" w:sz="4" w:space="0"/>
              <w:right w:val="single" w:color="auto" w:sz="4" w:space="0"/>
            </w:tcBorders>
            <w:vAlign w:val="center"/>
          </w:tcPr>
          <w:p w14:paraId="65197C9F">
            <w:pPr>
              <w:autoSpaceDE w:val="0"/>
              <w:autoSpaceDN w:val="0"/>
              <w:adjustRightInd w:val="0"/>
              <w:spacing w:line="360" w:lineRule="auto"/>
              <w:jc w:val="center"/>
              <w:rPr>
                <w:rFonts w:ascii="宋体" w:hAnsi="宋体" w:eastAsia="宋体" w:cs="宋体"/>
                <w:color w:val="auto"/>
                <w:kern w:val="0"/>
                <w:szCs w:val="21"/>
                <w:highlight w:val="none"/>
              </w:rPr>
            </w:pPr>
          </w:p>
        </w:tc>
        <w:tc>
          <w:tcPr>
            <w:tcW w:w="308" w:type="pct"/>
            <w:tcBorders>
              <w:top w:val="single" w:color="auto" w:sz="4" w:space="0"/>
              <w:left w:val="single" w:color="auto" w:sz="4" w:space="0"/>
              <w:bottom w:val="single" w:color="auto" w:sz="4" w:space="0"/>
              <w:right w:val="single" w:color="auto" w:sz="4" w:space="0"/>
            </w:tcBorders>
            <w:vAlign w:val="center"/>
          </w:tcPr>
          <w:p w14:paraId="704ABB15">
            <w:pPr>
              <w:autoSpaceDE w:val="0"/>
              <w:autoSpaceDN w:val="0"/>
              <w:adjustRightInd w:val="0"/>
              <w:spacing w:line="360" w:lineRule="auto"/>
              <w:jc w:val="center"/>
              <w:rPr>
                <w:rFonts w:ascii="宋体" w:hAnsi="宋体" w:eastAsia="宋体" w:cs="宋体"/>
                <w:color w:val="auto"/>
                <w:kern w:val="0"/>
                <w:szCs w:val="21"/>
                <w:highlight w:val="none"/>
              </w:rPr>
            </w:pPr>
          </w:p>
        </w:tc>
        <w:tc>
          <w:tcPr>
            <w:tcW w:w="406" w:type="pct"/>
            <w:tcBorders>
              <w:top w:val="single" w:color="auto" w:sz="4" w:space="0"/>
              <w:left w:val="single" w:color="auto" w:sz="4" w:space="0"/>
              <w:bottom w:val="single" w:color="auto" w:sz="4" w:space="0"/>
              <w:right w:val="single" w:color="auto" w:sz="4" w:space="0"/>
            </w:tcBorders>
            <w:vAlign w:val="center"/>
          </w:tcPr>
          <w:p w14:paraId="02A2F58F">
            <w:pPr>
              <w:autoSpaceDE w:val="0"/>
              <w:autoSpaceDN w:val="0"/>
              <w:adjustRightInd w:val="0"/>
              <w:spacing w:line="360" w:lineRule="auto"/>
              <w:jc w:val="center"/>
              <w:rPr>
                <w:rFonts w:ascii="宋体" w:hAnsi="宋体" w:eastAsia="宋体" w:cs="宋体"/>
                <w:color w:val="auto"/>
                <w:kern w:val="0"/>
                <w:szCs w:val="21"/>
                <w:highlight w:val="none"/>
              </w:rPr>
            </w:pPr>
          </w:p>
        </w:tc>
        <w:tc>
          <w:tcPr>
            <w:tcW w:w="267" w:type="pct"/>
            <w:tcBorders>
              <w:top w:val="single" w:color="auto" w:sz="4" w:space="0"/>
              <w:left w:val="single" w:color="auto" w:sz="4" w:space="0"/>
              <w:bottom w:val="single" w:color="auto" w:sz="4" w:space="0"/>
              <w:right w:val="single" w:color="auto" w:sz="4" w:space="0"/>
            </w:tcBorders>
            <w:vAlign w:val="center"/>
          </w:tcPr>
          <w:p w14:paraId="39C40842">
            <w:pPr>
              <w:autoSpaceDE w:val="0"/>
              <w:autoSpaceDN w:val="0"/>
              <w:adjustRightInd w:val="0"/>
              <w:spacing w:line="360" w:lineRule="auto"/>
              <w:jc w:val="center"/>
              <w:rPr>
                <w:rFonts w:ascii="宋体" w:hAnsi="宋体" w:eastAsia="宋体" w:cs="宋体"/>
                <w:color w:val="auto"/>
                <w:kern w:val="0"/>
                <w:szCs w:val="21"/>
                <w:highlight w:val="none"/>
              </w:rPr>
            </w:pPr>
          </w:p>
        </w:tc>
      </w:tr>
    </w:tbl>
    <w:p w14:paraId="05E13743">
      <w:pPr>
        <w:autoSpaceDE w:val="0"/>
        <w:autoSpaceDN w:val="0"/>
        <w:adjustRightInd w:val="0"/>
        <w:snapToGrid w:val="0"/>
        <w:spacing w:line="360" w:lineRule="auto"/>
        <w:ind w:left="186" w:leftChars="-158" w:hanging="518" w:hangingChars="247"/>
        <w:jc w:val="left"/>
        <w:rPr>
          <w:rFonts w:ascii="宋体" w:hAnsi="宋体" w:eastAsia="宋体" w:cs="宋体"/>
          <w:color w:val="auto"/>
          <w:szCs w:val="24"/>
          <w:highlight w:val="none"/>
          <w:lang w:val="zh-CN"/>
        </w:rPr>
      </w:pPr>
    </w:p>
    <w:p w14:paraId="35269752">
      <w:pPr>
        <w:autoSpaceDE w:val="0"/>
        <w:autoSpaceDN w:val="0"/>
        <w:adjustRightInd w:val="0"/>
        <w:snapToGrid w:val="0"/>
        <w:spacing w:line="360" w:lineRule="auto"/>
        <w:ind w:left="481" w:leftChars="-41" w:hanging="567" w:hangingChars="270"/>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1305EC6A">
      <w:pPr>
        <w:autoSpaceDE w:val="0"/>
        <w:autoSpaceDN w:val="0"/>
        <w:adjustRightInd w:val="0"/>
        <w:snapToGrid w:val="0"/>
        <w:spacing w:line="360" w:lineRule="auto"/>
        <w:ind w:left="481" w:leftChars="-41" w:hanging="567" w:hangingChars="270"/>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（1）同一个单项合同的业绩可以同时在资格业绩和评分业绩重复放置；</w:t>
      </w:r>
    </w:p>
    <w:p w14:paraId="64F0259E">
      <w:pPr>
        <w:autoSpaceDE w:val="0"/>
        <w:autoSpaceDN w:val="0"/>
        <w:adjustRightInd w:val="0"/>
        <w:snapToGrid w:val="0"/>
        <w:spacing w:line="360" w:lineRule="auto"/>
        <w:ind w:left="481" w:leftChars="-41" w:hanging="567" w:hangingChars="270"/>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w:t>
      </w:r>
      <w:r>
        <w:rPr>
          <w:rFonts w:hint="eastAsia" w:ascii="宋体" w:hAnsi="宋体" w:eastAsia="宋体" w:cs="宋体"/>
          <w:b/>
          <w:bCs/>
          <w:color w:val="auto"/>
          <w:szCs w:val="24"/>
          <w:highlight w:val="none"/>
          <w:lang w:val="zh-CN"/>
        </w:rPr>
        <w:t>作为投标人评分</w:t>
      </w:r>
      <w:r>
        <w:rPr>
          <w:rFonts w:hint="eastAsia" w:ascii="宋体" w:hAnsi="宋体" w:eastAsia="宋体" w:cs="宋体"/>
          <w:b/>
          <w:bCs/>
          <w:color w:val="auto"/>
          <w:szCs w:val="24"/>
          <w:highlight w:val="none"/>
        </w:rPr>
        <w:t>要求的业绩放置在此处,</w:t>
      </w:r>
      <w:bookmarkStart w:id="1237" w:name="OLE_LINK130"/>
      <w:r>
        <w:rPr>
          <w:rFonts w:hint="eastAsia" w:ascii="宋体" w:hAnsi="宋体" w:eastAsia="宋体" w:cs="宋体"/>
          <w:b/>
          <w:bCs/>
          <w:color w:val="auto"/>
          <w:szCs w:val="24"/>
          <w:highlight w:val="none"/>
          <w:lang w:val="zh-CN"/>
        </w:rPr>
        <w:t>业绩按</w:t>
      </w:r>
      <w:r>
        <w:rPr>
          <w:rFonts w:hint="eastAsia" w:ascii="宋体" w:hAnsi="宋体" w:eastAsia="宋体" w:cs="宋体"/>
          <w:b/>
          <w:bCs/>
          <w:color w:val="auto"/>
          <w:szCs w:val="24"/>
          <w:highlight w:val="none"/>
        </w:rPr>
        <w:t>单项合同总装机容量（</w:t>
      </w:r>
      <w:r>
        <w:rPr>
          <w:rFonts w:hint="eastAsia" w:ascii="宋体" w:hAnsi="宋体" w:eastAsia="宋体" w:cs="宋体"/>
          <w:b/>
          <w:color w:val="auto"/>
          <w:kern w:val="0"/>
          <w:szCs w:val="21"/>
          <w:highlight w:val="none"/>
        </w:rPr>
        <w:t>单项合同内多份并网验收证明的，以累计量计算</w:t>
      </w:r>
      <w:r>
        <w:rPr>
          <w:rFonts w:hint="eastAsia" w:ascii="宋体" w:hAnsi="宋体" w:eastAsia="宋体" w:cs="宋体"/>
          <w:b/>
          <w:bCs/>
          <w:color w:val="auto"/>
          <w:szCs w:val="24"/>
          <w:highlight w:val="none"/>
        </w:rPr>
        <w:t>）</w:t>
      </w:r>
      <w:r>
        <w:rPr>
          <w:rFonts w:hint="eastAsia" w:ascii="宋体" w:hAnsi="宋体" w:eastAsia="宋体" w:cs="宋体"/>
          <w:b/>
          <w:bCs/>
          <w:color w:val="auto"/>
          <w:szCs w:val="24"/>
          <w:highlight w:val="none"/>
          <w:lang w:val="zh-CN"/>
        </w:rPr>
        <w:t>从高到低的方式排列</w:t>
      </w:r>
      <w:bookmarkEnd w:id="1237"/>
      <w:r>
        <w:rPr>
          <w:rFonts w:hint="eastAsia" w:ascii="宋体" w:hAnsi="宋体" w:eastAsia="宋体" w:cs="宋体"/>
          <w:color w:val="auto"/>
          <w:szCs w:val="24"/>
          <w:highlight w:val="none"/>
          <w:lang w:val="zh-CN"/>
        </w:rPr>
        <w:t>；</w:t>
      </w:r>
    </w:p>
    <w:p w14:paraId="7EC262E1">
      <w:pPr>
        <w:autoSpaceDE w:val="0"/>
        <w:autoSpaceDN w:val="0"/>
        <w:adjustRightInd w:val="0"/>
        <w:snapToGrid w:val="0"/>
        <w:spacing w:line="360" w:lineRule="auto"/>
        <w:ind w:left="481" w:leftChars="-41" w:hanging="567" w:hangingChars="270"/>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zh-CN"/>
        </w:rPr>
        <w:t>）</w:t>
      </w:r>
      <w:r>
        <w:rPr>
          <w:rFonts w:hint="eastAsia" w:ascii="宋体" w:hAnsi="宋体" w:eastAsia="宋体" w:cs="宋体"/>
          <w:b/>
          <w:color w:val="auto"/>
          <w:kern w:val="0"/>
          <w:szCs w:val="21"/>
          <w:highlight w:val="none"/>
        </w:rPr>
        <w:t>业绩须同时附合同原件扫描件、并网验收证明原件扫描件，和合同下对应任意1份已供货或实施的发票扫描件（发票销售方应为投标人/联合体的牵头单位，非合同能源管理模式下以电费回收成本的项目的发票购买方应为合同买方，合同能源管理模式下以电费回收成本的项目的发票购买方可为合同买方或为能源使用方），否则不得分</w:t>
      </w:r>
      <w:r>
        <w:rPr>
          <w:rFonts w:hint="eastAsia" w:ascii="宋体" w:hAnsi="宋体" w:eastAsia="宋体" w:cs="宋体"/>
          <w:color w:val="auto"/>
          <w:szCs w:val="24"/>
          <w:highlight w:val="none"/>
          <w:lang w:val="zh-CN"/>
        </w:rPr>
        <w:t>；</w:t>
      </w:r>
    </w:p>
    <w:p w14:paraId="7A54901E">
      <w:pPr>
        <w:autoSpaceDE w:val="0"/>
        <w:autoSpaceDN w:val="0"/>
        <w:adjustRightInd w:val="0"/>
        <w:snapToGrid w:val="0"/>
        <w:spacing w:line="360" w:lineRule="auto"/>
        <w:ind w:left="481" w:leftChars="-41" w:hanging="567" w:hangingChars="270"/>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rPr>
        <w:t>4</w:t>
      </w:r>
      <w:r>
        <w:rPr>
          <w:rFonts w:hint="eastAsia" w:ascii="宋体" w:hAnsi="宋体" w:eastAsia="宋体" w:cs="宋体"/>
          <w:color w:val="auto"/>
          <w:szCs w:val="24"/>
          <w:highlight w:val="none"/>
          <w:lang w:val="zh-CN"/>
        </w:rPr>
        <w:t>）</w:t>
      </w:r>
      <w:r>
        <w:rPr>
          <w:rFonts w:hint="eastAsia" w:ascii="宋体" w:hAnsi="宋体" w:eastAsia="宋体" w:cs="宋体"/>
          <w:b/>
          <w:color w:val="auto"/>
          <w:kern w:val="0"/>
          <w:szCs w:val="21"/>
          <w:highlight w:val="none"/>
        </w:rPr>
        <w:t>单项合同总装机容量以并网验收证明上标明的装机容量为准，单项合同内多份并网验收证明的，以累计量作为评分依据；</w:t>
      </w:r>
      <w:r>
        <w:rPr>
          <w:rFonts w:hint="eastAsia" w:ascii="宋体" w:hAnsi="宋体" w:eastAsia="宋体" w:cs="Times New Roman"/>
          <w:b/>
          <w:color w:val="auto"/>
          <w:kern w:val="0"/>
          <w:szCs w:val="21"/>
          <w:highlight w:val="none"/>
        </w:rPr>
        <w:t>当业绩证明材料内装机容量单位非MW、MWp时，评审时按对应单位换算后打分，即1000</w:t>
      </w:r>
      <w:r>
        <w:rPr>
          <w:rFonts w:hint="eastAsia" w:ascii="宋体" w:hAnsi="宋体" w:eastAsia="宋体" w:cs="宋体"/>
          <w:b/>
          <w:color w:val="auto"/>
          <w:kern w:val="0"/>
          <w:szCs w:val="21"/>
          <w:highlight w:val="none"/>
        </w:rPr>
        <w:t>k</w:t>
      </w:r>
      <w:r>
        <w:rPr>
          <w:rFonts w:hint="eastAsia" w:ascii="宋体" w:hAnsi="宋体" w:eastAsia="宋体" w:cs="Times New Roman"/>
          <w:b/>
          <w:color w:val="auto"/>
          <w:kern w:val="0"/>
          <w:szCs w:val="21"/>
          <w:highlight w:val="none"/>
        </w:rPr>
        <w:t>W=</w:t>
      </w:r>
      <w:r>
        <w:rPr>
          <w:rFonts w:hint="eastAsia" w:ascii="宋体" w:hAnsi="宋体" w:eastAsia="宋体" w:cs="宋体"/>
          <w:b/>
          <w:color w:val="auto"/>
          <w:kern w:val="0"/>
          <w:szCs w:val="21"/>
          <w:highlight w:val="none"/>
        </w:rPr>
        <w:t>1</w:t>
      </w:r>
      <w:r>
        <w:rPr>
          <w:rFonts w:hint="eastAsia" w:ascii="宋体" w:hAnsi="宋体" w:eastAsia="宋体" w:cs="Times New Roman"/>
          <w:b/>
          <w:color w:val="auto"/>
          <w:kern w:val="0"/>
          <w:szCs w:val="21"/>
          <w:highlight w:val="none"/>
        </w:rPr>
        <w:t>MW，1000kWp=1MWp</w:t>
      </w:r>
      <w:r>
        <w:rPr>
          <w:rFonts w:hint="eastAsia" w:ascii="宋体" w:hAnsi="宋体" w:eastAsia="宋体" w:cs="Times New Roman"/>
          <w:bCs/>
          <w:color w:val="auto"/>
          <w:kern w:val="0"/>
          <w:szCs w:val="21"/>
          <w:highlight w:val="none"/>
        </w:rPr>
        <w:t>；</w:t>
      </w:r>
    </w:p>
    <w:p w14:paraId="2DF78379">
      <w:pPr>
        <w:autoSpaceDE w:val="0"/>
        <w:autoSpaceDN w:val="0"/>
        <w:adjustRightInd w:val="0"/>
        <w:snapToGrid w:val="0"/>
        <w:spacing w:line="360" w:lineRule="auto"/>
        <w:ind w:left="481" w:leftChars="-41" w:hanging="567" w:hangingChars="270"/>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rPr>
        <w:t>5</w:t>
      </w:r>
      <w:r>
        <w:rPr>
          <w:rFonts w:hint="eastAsia" w:ascii="宋体" w:hAnsi="宋体" w:eastAsia="宋体" w:cs="宋体"/>
          <w:color w:val="auto"/>
          <w:szCs w:val="24"/>
          <w:highlight w:val="none"/>
          <w:lang w:val="zh-CN"/>
        </w:rPr>
        <w:t>）</w:t>
      </w:r>
      <w:r>
        <w:rPr>
          <w:rFonts w:hint="eastAsia" w:ascii="宋体" w:hAnsi="宋体" w:eastAsia="宋体" w:cs="宋体"/>
          <w:b/>
          <w:color w:val="auto"/>
          <w:kern w:val="0"/>
          <w:szCs w:val="21"/>
          <w:highlight w:val="none"/>
        </w:rPr>
        <w:t>分布式光伏发电项目业绩合同范围/合同服务内容仅为设计、接入方案编制、维修维护类服务的，该类项目业绩不得分；业绩合同必须包含反映合同名称、签约双方信息、合同标的/合同范围/合同服务内容、加盖合同各方印章的落款等信息的关键页，并网验收证明必须有项目属地电力管理部门（如供电局、供电公司、供电管理/服务中心、电网公司、供电所）的印章，否则该类业绩不得分；</w:t>
      </w:r>
    </w:p>
    <w:p w14:paraId="5693A4E3">
      <w:pPr>
        <w:autoSpaceDE w:val="0"/>
        <w:autoSpaceDN w:val="0"/>
        <w:adjustRightInd w:val="0"/>
        <w:snapToGrid w:val="0"/>
        <w:spacing w:line="360" w:lineRule="auto"/>
        <w:ind w:left="481" w:leftChars="-41" w:hanging="567" w:hangingChars="270"/>
        <w:jc w:val="left"/>
        <w:rPr>
          <w:rFonts w:ascii="宋体" w:hAnsi="宋体" w:eastAsia="宋体" w:cs="宋体"/>
          <w:b/>
          <w:bCs/>
          <w:color w:val="auto"/>
          <w:szCs w:val="21"/>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rPr>
        <w:t>6</w:t>
      </w:r>
      <w:r>
        <w:rPr>
          <w:rFonts w:hint="eastAsia" w:ascii="宋体" w:hAnsi="宋体" w:eastAsia="宋体" w:cs="宋体"/>
          <w:color w:val="auto"/>
          <w:szCs w:val="24"/>
          <w:highlight w:val="none"/>
          <w:lang w:val="zh-CN"/>
        </w:rPr>
        <w:t>）</w:t>
      </w:r>
      <w:r>
        <w:rPr>
          <w:rFonts w:hint="eastAsia" w:ascii="宋体" w:hAnsi="宋体" w:eastAsia="宋体" w:cs="宋体"/>
          <w:b/>
          <w:color w:val="auto"/>
          <w:kern w:val="0"/>
          <w:szCs w:val="21"/>
          <w:highlight w:val="none"/>
        </w:rPr>
        <w:t>若合同和并网验收证明无法反映评分条件[1.合同签订日期为2022年1月1日或以后；2.合同标的必须为分布式光伏发电的业绩（若合同文本和并网验收证明反映的光伏发电类别不一致时，以并网验收证明上反映的光伏发电类别为准）；3.单项合同装机容量；4.合同范围/合同服务内容。]，还需提供合同甲方出具的书面补充说明文件原件扫描件作为辅助证明（补充说明文件原件扫描件能显示合同甲方公章）</w:t>
      </w:r>
      <w:r>
        <w:rPr>
          <w:rFonts w:hint="eastAsia" w:ascii="宋体" w:hAnsi="宋体" w:eastAsia="宋体" w:cs="宋体"/>
          <w:b/>
          <w:bCs/>
          <w:color w:val="auto"/>
          <w:szCs w:val="21"/>
          <w:highlight w:val="none"/>
          <w:lang w:val="zh-CN"/>
        </w:rPr>
        <w:t>；</w:t>
      </w:r>
    </w:p>
    <w:p w14:paraId="11A4367C">
      <w:pPr>
        <w:autoSpaceDE w:val="0"/>
        <w:autoSpaceDN w:val="0"/>
        <w:adjustRightInd w:val="0"/>
        <w:snapToGrid w:val="0"/>
        <w:spacing w:line="360" w:lineRule="auto"/>
        <w:ind w:left="481" w:leftChars="-41" w:hanging="567" w:hangingChars="270"/>
        <w:jc w:val="left"/>
        <w:rPr>
          <w:rFonts w:ascii="宋体" w:hAnsi="宋体" w:eastAsia="宋体" w:cs="宋体"/>
          <w:b/>
          <w:bCs/>
          <w:color w:val="auto"/>
          <w:szCs w:val="21"/>
          <w:highlight w:val="none"/>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rPr>
        <w:t>7</w:t>
      </w:r>
      <w:r>
        <w:rPr>
          <w:rFonts w:hint="eastAsia" w:ascii="宋体" w:hAnsi="宋体" w:eastAsia="宋体" w:cs="宋体"/>
          <w:color w:val="auto"/>
          <w:szCs w:val="24"/>
          <w:highlight w:val="none"/>
          <w:lang w:val="zh-CN"/>
        </w:rPr>
        <w:t>）</w:t>
      </w:r>
      <w:r>
        <w:rPr>
          <w:rFonts w:hint="eastAsia" w:ascii="宋体" w:hAnsi="宋体" w:eastAsia="宋体" w:cs="宋体"/>
          <w:b/>
          <w:bCs/>
          <w:color w:val="auto"/>
          <w:szCs w:val="24"/>
          <w:highlight w:val="none"/>
        </w:rPr>
        <w:t>框架协议下未签订单项合同的，该框架协议整体视为一份单项合同</w:t>
      </w:r>
      <w:r>
        <w:rPr>
          <w:rFonts w:hint="eastAsia" w:ascii="宋体" w:hAnsi="宋体" w:eastAsia="宋体" w:cs="宋体"/>
          <w:color w:val="auto"/>
          <w:szCs w:val="24"/>
          <w:highlight w:val="none"/>
        </w:rPr>
        <w:t>；</w:t>
      </w:r>
    </w:p>
    <w:p w14:paraId="76F912C9">
      <w:pPr>
        <w:autoSpaceDE w:val="0"/>
        <w:autoSpaceDN w:val="0"/>
        <w:adjustRightInd w:val="0"/>
        <w:snapToGrid w:val="0"/>
        <w:spacing w:line="360" w:lineRule="auto"/>
        <w:ind w:left="481" w:leftChars="-41" w:hanging="567" w:hangingChars="270"/>
        <w:jc w:val="left"/>
        <w:rPr>
          <w:rFonts w:ascii="宋体" w:hAnsi="宋体" w:eastAsia="宋体" w:cs="宋体"/>
          <w:b/>
          <w:bCs/>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rPr>
        <w:t>8</w:t>
      </w:r>
      <w:r>
        <w:rPr>
          <w:rFonts w:hint="eastAsia" w:ascii="宋体" w:hAnsi="宋体" w:eastAsia="宋体" w:cs="宋体"/>
          <w:color w:val="auto"/>
          <w:szCs w:val="24"/>
          <w:highlight w:val="none"/>
          <w:lang w:val="zh-CN"/>
        </w:rPr>
        <w:t>）</w:t>
      </w:r>
      <w:r>
        <w:rPr>
          <w:rFonts w:hint="eastAsia" w:ascii="宋体" w:hAnsi="宋体" w:eastAsia="宋体" w:cs="宋体"/>
          <w:b/>
          <w:bCs/>
          <w:color w:val="auto"/>
          <w:szCs w:val="24"/>
          <w:highlight w:val="none"/>
          <w:lang w:val="zh-CN"/>
        </w:rPr>
        <w:t>若为联合体投标的，</w:t>
      </w:r>
      <w:r>
        <w:rPr>
          <w:rFonts w:hint="eastAsia" w:ascii="宋体" w:hAnsi="宋体" w:eastAsia="宋体" w:cs="宋体"/>
          <w:b/>
          <w:color w:val="auto"/>
          <w:kern w:val="0"/>
          <w:szCs w:val="21"/>
          <w:highlight w:val="none"/>
        </w:rPr>
        <w:t>以联合体牵头单位提供的业绩为准，非牵头单位的业绩不予认可</w:t>
      </w:r>
      <w:r>
        <w:rPr>
          <w:rFonts w:hint="eastAsia" w:ascii="宋体" w:hAnsi="宋体" w:eastAsia="宋体" w:cs="宋体"/>
          <w:b/>
          <w:bCs/>
          <w:color w:val="auto"/>
          <w:szCs w:val="24"/>
          <w:highlight w:val="none"/>
          <w:lang w:val="zh-CN"/>
        </w:rPr>
        <w:t>；</w:t>
      </w:r>
    </w:p>
    <w:p w14:paraId="5CE2742B">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rPr>
        <w:t>9</w:t>
      </w:r>
      <w:r>
        <w:rPr>
          <w:rFonts w:hint="eastAsia" w:ascii="宋体" w:hAnsi="宋体" w:eastAsia="宋体" w:cs="宋体"/>
          <w:color w:val="auto"/>
          <w:szCs w:val="24"/>
          <w:highlight w:val="none"/>
          <w:lang w:val="zh-CN"/>
        </w:rPr>
        <w:t>）未按上述要求在此格式下提供证明材料的业绩，或在此格式下所附材料无法证明填报项目符合本项评分要求的业绩，在评标时将不予考虑。</w:t>
      </w:r>
    </w:p>
    <w:p w14:paraId="659CC0EF">
      <w:pPr>
        <w:autoSpaceDE w:val="0"/>
        <w:autoSpaceDN w:val="0"/>
        <w:adjustRightInd w:val="0"/>
        <w:spacing w:line="360" w:lineRule="auto"/>
        <w:ind w:firstLine="5040" w:firstLineChars="2400"/>
        <w:jc w:val="left"/>
        <w:rPr>
          <w:rFonts w:ascii="宋体" w:hAnsi="宋体" w:eastAsia="宋体" w:cs="宋体"/>
          <w:color w:val="auto"/>
          <w:szCs w:val="24"/>
          <w:highlight w:val="none"/>
          <w:lang w:val="zh-CN"/>
        </w:rPr>
      </w:pPr>
    </w:p>
    <w:p w14:paraId="691D037A">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288FA09A">
      <w:pPr>
        <w:autoSpaceDE w:val="0"/>
        <w:autoSpaceDN w:val="0"/>
        <w:adjustRightInd w:val="0"/>
        <w:spacing w:line="360" w:lineRule="auto"/>
        <w:ind w:firstLine="3780" w:firstLineChars="1800"/>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65EA4C35">
      <w:pPr>
        <w:autoSpaceDE w:val="0"/>
        <w:autoSpaceDN w:val="0"/>
        <w:adjustRightInd w:val="0"/>
        <w:spacing w:line="360" w:lineRule="auto"/>
        <w:jc w:val="center"/>
        <w:rPr>
          <w:rFonts w:ascii="宋体" w:hAnsi="宋体" w:eastAsia="宋体" w:cs="宋体"/>
          <w:b/>
          <w:bCs/>
          <w:color w:val="auto"/>
          <w:szCs w:val="24"/>
          <w:highlight w:val="none"/>
          <w:lang w:val="zh-CN"/>
        </w:rPr>
      </w:pPr>
    </w:p>
    <w:p w14:paraId="47513C81">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479B1AF3">
      <w:pPr>
        <w:widowControl/>
        <w:jc w:val="left"/>
        <w:rPr>
          <w:rFonts w:ascii="宋体" w:hAnsi="宋体" w:eastAsia="宋体" w:cs="宋体"/>
          <w:b/>
          <w:bCs/>
          <w:color w:val="auto"/>
          <w:sz w:val="30"/>
          <w:szCs w:val="30"/>
          <w:highlight w:val="none"/>
          <w:lang w:bidi="ar"/>
        </w:rPr>
      </w:pPr>
      <w:r>
        <w:rPr>
          <w:rFonts w:hint="eastAsia" w:ascii="宋体" w:hAnsi="宋体" w:eastAsia="宋体" w:cs="宋体"/>
          <w:b/>
          <w:bCs/>
          <w:color w:val="auto"/>
          <w:sz w:val="30"/>
          <w:szCs w:val="30"/>
          <w:highlight w:val="none"/>
          <w:lang w:bidi="ar"/>
        </w:rPr>
        <w:br w:type="page"/>
      </w:r>
    </w:p>
    <w:bookmarkEnd w:id="1233"/>
    <w:bookmarkEnd w:id="1234"/>
    <w:p w14:paraId="70C610E0">
      <w:pPr>
        <w:pStyle w:val="4"/>
        <w:pageBreakBefore/>
        <w:spacing w:line="360" w:lineRule="auto"/>
        <w:rPr>
          <w:rFonts w:hAnsi="宋体" w:cs="宋体"/>
          <w:b/>
          <w:bCs/>
          <w:color w:val="auto"/>
          <w:kern w:val="2"/>
          <w:sz w:val="32"/>
          <w:szCs w:val="32"/>
          <w:highlight w:val="none"/>
          <w:lang w:val="zh-CN"/>
        </w:rPr>
      </w:pPr>
      <w:bookmarkStart w:id="1238" w:name="_Toc534983546"/>
      <w:bookmarkStart w:id="1239" w:name="_Toc24242"/>
      <w:bookmarkStart w:id="1240" w:name="_Toc447045097"/>
      <w:bookmarkStart w:id="1241" w:name="_Toc78709789"/>
      <w:bookmarkStart w:id="1242" w:name="_Toc447044486"/>
      <w:bookmarkStart w:id="1243" w:name="_Toc447044610"/>
      <w:bookmarkStart w:id="1244" w:name="_Toc4743574"/>
      <w:bookmarkStart w:id="1245" w:name="_Toc24011"/>
      <w:bookmarkStart w:id="1246" w:name="_Toc8972"/>
      <w:bookmarkStart w:id="1247" w:name="_Toc31135"/>
      <w:bookmarkStart w:id="1248" w:name="_Toc2007"/>
      <w:bookmarkStart w:id="1249" w:name="_Toc195714398"/>
      <w:bookmarkStart w:id="1250" w:name="_Toc102860084"/>
      <w:bookmarkStart w:id="1251" w:name="_Toc94107221"/>
      <w:bookmarkStart w:id="1252" w:name="_Toc18185"/>
      <w:bookmarkStart w:id="1253" w:name="_Toc24616"/>
      <w:bookmarkStart w:id="1254" w:name="_Toc104991886"/>
      <w:bookmarkStart w:id="1255" w:name="_Toc142508379"/>
      <w:bookmarkStart w:id="1256" w:name="_Toc102860428"/>
      <w:bookmarkStart w:id="1257" w:name="_Toc1977738"/>
      <w:bookmarkStart w:id="1258" w:name="_Toc28042"/>
      <w:bookmarkStart w:id="1259" w:name="_Toc18762"/>
      <w:bookmarkStart w:id="1260" w:name="_Toc29652"/>
      <w:bookmarkStart w:id="1261" w:name="_Toc140596939"/>
      <w:bookmarkStart w:id="1262" w:name="_Toc533708134"/>
      <w:bookmarkStart w:id="1263" w:name="_Toc486167721"/>
      <w:r>
        <w:rPr>
          <w:rFonts w:hint="eastAsia" w:hAnsi="宋体" w:cs="宋体"/>
          <w:b/>
          <w:bCs/>
          <w:color w:val="auto"/>
          <w:kern w:val="2"/>
          <w:sz w:val="32"/>
          <w:szCs w:val="32"/>
          <w:highlight w:val="none"/>
          <w:lang w:val="zh-CN"/>
        </w:rPr>
        <w:t>十、中标服务费承诺书格式</w:t>
      </w:r>
      <w:bookmarkEnd w:id="1238"/>
      <w:bookmarkEnd w:id="1239"/>
      <w:bookmarkEnd w:id="1240"/>
      <w:bookmarkEnd w:id="1241"/>
      <w:bookmarkEnd w:id="1242"/>
      <w:bookmarkEnd w:id="1243"/>
      <w:bookmarkEnd w:id="1244"/>
      <w:bookmarkEnd w:id="1245"/>
      <w:bookmarkEnd w:id="1246"/>
    </w:p>
    <w:p w14:paraId="3264D84D">
      <w:pPr>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中标服务费承诺书</w:t>
      </w:r>
    </w:p>
    <w:p w14:paraId="29C5C80F">
      <w:pPr>
        <w:spacing w:line="360" w:lineRule="auto"/>
        <w:rPr>
          <w:rFonts w:ascii="宋体" w:hAnsi="宋体" w:eastAsia="宋体" w:cs="宋体"/>
          <w:b/>
          <w:bCs/>
          <w:color w:val="auto"/>
          <w:highlight w:val="none"/>
          <w:lang w:val="zh-CN"/>
        </w:rPr>
      </w:pPr>
    </w:p>
    <w:p w14:paraId="3DF3294D">
      <w:pPr>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致：广东有德招标采购有限公司</w:t>
      </w:r>
    </w:p>
    <w:p w14:paraId="7C8E7095">
      <w:pPr>
        <w:spacing w:line="360" w:lineRule="auto"/>
        <w:ind w:right="893"/>
        <w:rPr>
          <w:rFonts w:ascii="宋体" w:hAnsi="宋体" w:eastAsia="宋体" w:cs="宋体"/>
          <w:color w:val="auto"/>
          <w:szCs w:val="21"/>
          <w:highlight w:val="none"/>
          <w:lang w:val="zh-CN"/>
        </w:rPr>
      </w:pPr>
    </w:p>
    <w:p w14:paraId="433F42DD">
      <w:pPr>
        <w:tabs>
          <w:tab w:val="left" w:pos="-142"/>
        </w:tabs>
        <w:spacing w:line="360" w:lineRule="auto"/>
        <w:ind w:left="-31" w:leftChars="-15" w:right="18" w:firstLine="457" w:firstLineChars="218"/>
        <w:rPr>
          <w:rFonts w:ascii="宋体" w:hAnsi="宋体" w:eastAsia="宋体" w:cs="宋体"/>
          <w:color w:val="auto"/>
          <w:highlight w:val="none"/>
          <w:lang w:val="zh-CN"/>
        </w:rPr>
      </w:pPr>
      <w:r>
        <w:rPr>
          <w:rFonts w:hint="eastAsia" w:ascii="宋体" w:hAnsi="宋体" w:eastAsia="宋体" w:cs="宋体"/>
          <w:color w:val="auto"/>
          <w:highlight w:val="none"/>
          <w:lang w:val="zh-CN"/>
        </w:rPr>
        <w:t>在贵司代理的</w:t>
      </w:r>
      <w:r>
        <w:rPr>
          <w:rFonts w:hint="eastAsia" w:ascii="宋体" w:hAnsi="宋体" w:eastAsia="宋体" w:cs="宋体"/>
          <w:color w:val="auto"/>
          <w:kern w:val="0"/>
          <w:szCs w:val="21"/>
          <w:highlight w:val="none"/>
          <w:u w:val="single"/>
          <w:lang w:eastAsia="zh-CN"/>
        </w:rPr>
        <w:t>东莞市水务环境投资控股集团分布式光伏发电项目（第一批）供水厂项目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w:t>
      </w:r>
      <w:r>
        <w:rPr>
          <w:rFonts w:hint="eastAsia" w:ascii="宋体" w:hAnsi="宋体" w:eastAsia="宋体" w:cs="宋体"/>
          <w:color w:val="auto"/>
          <w:highlight w:val="none"/>
          <w:lang w:val="zh-CN"/>
        </w:rPr>
        <w:t>招标中，我司如获中标，保证在领取中标通知书原件之</w:t>
      </w:r>
      <w:r>
        <w:rPr>
          <w:rFonts w:hint="eastAsia" w:ascii="宋体" w:hAnsi="宋体" w:eastAsia="宋体" w:cs="宋体"/>
          <w:color w:val="auto"/>
          <w:highlight w:val="none"/>
        </w:rPr>
        <w:t>前</w:t>
      </w:r>
      <w:r>
        <w:rPr>
          <w:rFonts w:hint="eastAsia" w:ascii="宋体" w:hAnsi="宋体" w:eastAsia="宋体" w:cs="宋体"/>
          <w:color w:val="auto"/>
          <w:highlight w:val="none"/>
          <w:lang w:val="zh-CN"/>
        </w:rPr>
        <w:t>按招标文件的规定向贵</w:t>
      </w:r>
      <w:r>
        <w:rPr>
          <w:rFonts w:hint="eastAsia" w:ascii="宋体" w:hAnsi="宋体" w:eastAsia="宋体" w:cs="宋体"/>
          <w:color w:val="auto"/>
          <w:szCs w:val="21"/>
          <w:highlight w:val="none"/>
          <w:lang w:val="zh-CN"/>
        </w:rPr>
        <w:t>司即广东有德招标采购有限公司指定的银行账号，一次性交纳中标服务费</w:t>
      </w:r>
      <w:r>
        <w:rPr>
          <w:rFonts w:hint="eastAsia" w:ascii="宋体" w:hAnsi="宋体" w:eastAsia="宋体" w:cs="宋体"/>
          <w:color w:val="auto"/>
          <w:highlight w:val="none"/>
          <w:lang w:val="zh-CN"/>
        </w:rPr>
        <w:t>。</w:t>
      </w:r>
    </w:p>
    <w:p w14:paraId="204A05F8">
      <w:pPr>
        <w:spacing w:line="360" w:lineRule="auto"/>
        <w:ind w:right="893"/>
        <w:rPr>
          <w:rFonts w:ascii="宋体" w:hAnsi="宋体" w:eastAsia="宋体" w:cs="宋体"/>
          <w:color w:val="auto"/>
          <w:szCs w:val="21"/>
          <w:highlight w:val="none"/>
          <w:lang w:val="zh-CN"/>
        </w:rPr>
      </w:pPr>
    </w:p>
    <w:p w14:paraId="7AA6858D">
      <w:pPr>
        <w:spacing w:line="360" w:lineRule="auto"/>
        <w:ind w:right="893" w:firstLine="480"/>
        <w:rPr>
          <w:rFonts w:ascii="宋体" w:hAnsi="宋体" w:eastAsia="宋体" w:cs="宋体"/>
          <w:color w:val="auto"/>
          <w:highlight w:val="none"/>
          <w:lang w:val="zh-CN"/>
        </w:rPr>
      </w:pPr>
      <w:r>
        <w:rPr>
          <w:rFonts w:hint="eastAsia" w:ascii="宋体" w:hAnsi="宋体" w:eastAsia="宋体" w:cs="宋体"/>
          <w:color w:val="auto"/>
          <w:highlight w:val="none"/>
          <w:lang w:val="zh-CN"/>
        </w:rPr>
        <w:t>特此承诺。</w:t>
      </w:r>
    </w:p>
    <w:p w14:paraId="09CED13B">
      <w:pPr>
        <w:spacing w:line="360" w:lineRule="auto"/>
        <w:ind w:right="893"/>
        <w:rPr>
          <w:rFonts w:ascii="宋体" w:hAnsi="宋体" w:eastAsia="宋体" w:cs="宋体"/>
          <w:color w:val="auto"/>
          <w:highlight w:val="none"/>
          <w:lang w:val="zh-CN"/>
        </w:rPr>
      </w:pPr>
    </w:p>
    <w:p w14:paraId="1C8E70B5">
      <w:pPr>
        <w:spacing w:line="360" w:lineRule="auto"/>
        <w:ind w:right="893"/>
        <w:rPr>
          <w:rFonts w:ascii="宋体" w:hAnsi="宋体" w:eastAsia="宋体" w:cs="宋体"/>
          <w:color w:val="auto"/>
          <w:highlight w:val="none"/>
          <w:lang w:val="zh-CN"/>
        </w:rPr>
      </w:pPr>
      <w:r>
        <w:rPr>
          <w:rFonts w:hint="eastAsia" w:ascii="宋体" w:hAnsi="宋体" w:eastAsia="宋体" w:cs="宋体"/>
          <w:color w:val="auto"/>
          <w:highlight w:val="none"/>
          <w:lang w:val="zh-CN"/>
        </w:rPr>
        <w:t>地址：</w:t>
      </w:r>
      <w:r>
        <w:rPr>
          <w:rFonts w:hint="eastAsia" w:ascii="宋体" w:hAnsi="宋体" w:eastAsia="宋体" w:cs="宋体"/>
          <w:color w:val="auto"/>
          <w:highlight w:val="none"/>
          <w:u w:val="single"/>
          <w:lang w:val="zh-CN"/>
        </w:rPr>
        <w:t xml:space="preserve">                       </w:t>
      </w:r>
    </w:p>
    <w:p w14:paraId="501BDE78">
      <w:pPr>
        <w:spacing w:line="360" w:lineRule="auto"/>
        <w:ind w:right="893"/>
        <w:rPr>
          <w:rFonts w:ascii="宋体" w:hAnsi="宋体" w:eastAsia="宋体" w:cs="宋体"/>
          <w:color w:val="auto"/>
          <w:highlight w:val="none"/>
          <w:u w:val="single"/>
          <w:lang w:val="zh-CN"/>
        </w:rPr>
      </w:pPr>
      <w:r>
        <w:rPr>
          <w:rFonts w:hint="eastAsia" w:ascii="宋体" w:hAnsi="宋体" w:eastAsia="宋体" w:cs="宋体"/>
          <w:color w:val="auto"/>
          <w:highlight w:val="none"/>
          <w:lang w:val="zh-CN"/>
        </w:rPr>
        <w:t xml:space="preserve">电话： </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 xml:space="preserve">       传真： </w:t>
      </w:r>
      <w:r>
        <w:rPr>
          <w:rFonts w:hint="eastAsia" w:ascii="宋体" w:hAnsi="宋体" w:eastAsia="宋体" w:cs="宋体"/>
          <w:color w:val="auto"/>
          <w:highlight w:val="none"/>
          <w:u w:val="single"/>
          <w:lang w:val="zh-CN"/>
        </w:rPr>
        <w:t xml:space="preserve">                  </w:t>
      </w:r>
    </w:p>
    <w:p w14:paraId="375A70CF">
      <w:pPr>
        <w:spacing w:line="360" w:lineRule="auto"/>
        <w:ind w:right="893"/>
        <w:rPr>
          <w:rFonts w:ascii="宋体" w:hAnsi="宋体" w:eastAsia="宋体" w:cs="宋体"/>
          <w:color w:val="auto"/>
          <w:highlight w:val="none"/>
          <w:u w:val="single"/>
          <w:lang w:val="zh-CN"/>
        </w:rPr>
      </w:pPr>
      <w:r>
        <w:rPr>
          <w:rFonts w:hint="eastAsia" w:ascii="宋体" w:hAnsi="宋体" w:eastAsia="宋体" w:cs="宋体"/>
          <w:color w:val="auto"/>
          <w:highlight w:val="none"/>
          <w:lang w:val="zh-CN"/>
        </w:rPr>
        <w:t xml:space="preserve">邮箱： </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 xml:space="preserve">       邮编： </w:t>
      </w:r>
      <w:r>
        <w:rPr>
          <w:rFonts w:hint="eastAsia" w:ascii="宋体" w:hAnsi="宋体" w:eastAsia="宋体" w:cs="宋体"/>
          <w:color w:val="auto"/>
          <w:highlight w:val="none"/>
          <w:u w:val="single"/>
          <w:lang w:val="zh-CN"/>
        </w:rPr>
        <w:t xml:space="preserve">                  </w:t>
      </w:r>
    </w:p>
    <w:p w14:paraId="23345098">
      <w:pPr>
        <w:spacing w:line="360" w:lineRule="auto"/>
        <w:ind w:right="893"/>
        <w:rPr>
          <w:rFonts w:ascii="宋体" w:hAnsi="宋体" w:eastAsia="宋体" w:cs="宋体"/>
          <w:color w:val="auto"/>
          <w:highlight w:val="none"/>
          <w:lang w:val="zh-CN"/>
        </w:rPr>
      </w:pPr>
    </w:p>
    <w:p w14:paraId="79425596">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5C6919D">
      <w:pPr>
        <w:autoSpaceDE w:val="0"/>
        <w:autoSpaceDN w:val="0"/>
        <w:adjustRightInd w:val="0"/>
        <w:spacing w:line="360" w:lineRule="auto"/>
        <w:ind w:firstLine="3780" w:firstLineChars="1800"/>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1717E07C">
      <w:pPr>
        <w:autoSpaceDE w:val="0"/>
        <w:autoSpaceDN w:val="0"/>
        <w:adjustRightInd w:val="0"/>
        <w:spacing w:line="360" w:lineRule="auto"/>
        <w:jc w:val="center"/>
        <w:rPr>
          <w:rFonts w:ascii="宋体" w:hAnsi="宋体" w:eastAsia="宋体" w:cs="宋体"/>
          <w:b/>
          <w:bCs/>
          <w:color w:val="auto"/>
          <w:szCs w:val="24"/>
          <w:highlight w:val="none"/>
          <w:lang w:val="zh-CN"/>
        </w:rPr>
      </w:pPr>
    </w:p>
    <w:p w14:paraId="61CB435C">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056A2781">
      <w:pPr>
        <w:pageBreakBefore/>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737" w:bottom="1191" w:left="1503" w:header="720" w:footer="720" w:gutter="0"/>
          <w:cols w:space="720" w:num="1"/>
          <w:docGrid w:linePitch="326" w:charSpace="0"/>
        </w:sectPr>
      </w:pPr>
      <w:bookmarkStart w:id="1264" w:name="_Toc19058"/>
      <w:bookmarkStart w:id="1265" w:name="_Toc21969"/>
      <w:bookmarkStart w:id="1266" w:name="_Toc5412"/>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扫描件等投标人认为有需要证明其具备为本次招标项目提供服务能力的有关其它商务文件（不做强制要求）</w:t>
      </w:r>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4"/>
      <w:bookmarkEnd w:id="1265"/>
      <w:bookmarkEnd w:id="1266"/>
    </w:p>
    <w:p w14:paraId="53BB6CF6">
      <w:pPr>
        <w:jc w:val="center"/>
        <w:outlineLvl w:val="1"/>
        <w:rPr>
          <w:rFonts w:ascii="宋体" w:hAnsi="宋体" w:eastAsia="宋体" w:cs="宋体"/>
          <w:b/>
          <w:color w:val="auto"/>
          <w:kern w:val="0"/>
          <w:sz w:val="32"/>
          <w:szCs w:val="32"/>
          <w:highlight w:val="none"/>
        </w:rPr>
      </w:pPr>
      <w:bookmarkStart w:id="1267" w:name="_Toc4972"/>
      <w:bookmarkStart w:id="1268" w:name="_Toc195714399"/>
      <w:bookmarkStart w:id="1269" w:name="_Toc5151"/>
      <w:bookmarkStart w:id="1270" w:name="_Toc17076"/>
      <w:bookmarkStart w:id="1271" w:name="_Toc27993"/>
      <w:bookmarkStart w:id="1272" w:name="_Toc14997"/>
      <w:bookmarkStart w:id="1273" w:name="_Toc32650"/>
      <w:bookmarkStart w:id="1274" w:name="_Toc14144"/>
      <w:bookmarkStart w:id="1275" w:name="_Toc140596940"/>
      <w:bookmarkStart w:id="1276" w:name="_Toc18038"/>
      <w:bookmarkStart w:id="1277" w:name="_Toc1977739"/>
      <w:bookmarkStart w:id="1278" w:name="_Toc31916"/>
      <w:bookmarkStart w:id="1279" w:name="_Toc104991887"/>
      <w:bookmarkStart w:id="1280" w:name="_Toc27482"/>
      <w:bookmarkStart w:id="1281" w:name="_Toc102860429"/>
      <w:bookmarkStart w:id="1282" w:name="_Toc94107222"/>
      <w:bookmarkStart w:id="1283" w:name="_Toc102860085"/>
      <w:bookmarkStart w:id="1284" w:name="_Toc142508380"/>
      <w:r>
        <w:rPr>
          <w:rFonts w:hint="eastAsia" w:ascii="宋体" w:hAnsi="宋体" w:eastAsia="宋体" w:cs="宋体"/>
          <w:b/>
          <w:color w:val="auto"/>
          <w:kern w:val="0"/>
          <w:sz w:val="32"/>
          <w:szCs w:val="32"/>
          <w:highlight w:val="none"/>
        </w:rPr>
        <w:t>二  技术标格式</w:t>
      </w:r>
      <w:bookmarkEnd w:id="1267"/>
      <w:bookmarkEnd w:id="1268"/>
      <w:bookmarkEnd w:id="1269"/>
      <w:bookmarkEnd w:id="1270"/>
      <w:bookmarkEnd w:id="1271"/>
      <w:bookmarkEnd w:id="1272"/>
      <w:bookmarkEnd w:id="1273"/>
      <w:bookmarkEnd w:id="1274"/>
    </w:p>
    <w:p w14:paraId="447D9288">
      <w:pPr>
        <w:jc w:val="left"/>
        <w:rPr>
          <w:rFonts w:ascii="宋体" w:hAnsi="宋体" w:eastAsia="宋体" w:cs="宋体"/>
          <w:b/>
          <w:color w:val="auto"/>
          <w:kern w:val="0"/>
          <w:sz w:val="32"/>
          <w:szCs w:val="32"/>
          <w:highlight w:val="none"/>
        </w:rPr>
      </w:pPr>
    </w:p>
    <w:bookmarkEnd w:id="1262"/>
    <w:bookmarkEnd w:id="1275"/>
    <w:bookmarkEnd w:id="1276"/>
    <w:bookmarkEnd w:id="1277"/>
    <w:bookmarkEnd w:id="1278"/>
    <w:bookmarkEnd w:id="1279"/>
    <w:bookmarkEnd w:id="1280"/>
    <w:bookmarkEnd w:id="1281"/>
    <w:bookmarkEnd w:id="1282"/>
    <w:bookmarkEnd w:id="1283"/>
    <w:bookmarkEnd w:id="1284"/>
    <w:p w14:paraId="59E70B09">
      <w:pPr>
        <w:pStyle w:val="21"/>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br w:type="page"/>
      </w:r>
      <w:bookmarkEnd w:id="1263"/>
      <w:bookmarkStart w:id="1285" w:name="_Toc140596941"/>
      <w:bookmarkStart w:id="1286" w:name="_Toc94107223"/>
      <w:bookmarkStart w:id="1287" w:name="_Toc102860430"/>
      <w:bookmarkStart w:id="1288" w:name="_Toc533708135"/>
      <w:bookmarkStart w:id="1289" w:name="_Toc1977740"/>
      <w:bookmarkStart w:id="1290" w:name="_Toc142508381"/>
      <w:bookmarkStart w:id="1291" w:name="_Toc104991888"/>
      <w:bookmarkStart w:id="1292" w:name="_Toc102860086"/>
    </w:p>
    <w:p w14:paraId="4E096168">
      <w:pPr>
        <w:pStyle w:val="21"/>
        <w:spacing w:line="360" w:lineRule="auto"/>
        <w:jc w:val="center"/>
        <w:rPr>
          <w:rFonts w:ascii="宋体" w:hAnsi="宋体" w:cs="宋体"/>
          <w:b/>
          <w:color w:val="auto"/>
          <w:kern w:val="0"/>
          <w:szCs w:val="21"/>
          <w:highlight w:val="none"/>
        </w:rPr>
      </w:pPr>
    </w:p>
    <w:p w14:paraId="42209EE0">
      <w:pPr>
        <w:pStyle w:val="21"/>
        <w:spacing w:line="360" w:lineRule="auto"/>
        <w:jc w:val="center"/>
        <w:rPr>
          <w:rFonts w:ascii="宋体" w:hAnsi="宋体" w:cs="宋体"/>
          <w:b/>
          <w:color w:val="auto"/>
          <w:kern w:val="0"/>
          <w:szCs w:val="21"/>
          <w:highlight w:val="none"/>
        </w:rPr>
      </w:pPr>
    </w:p>
    <w:p w14:paraId="14A333C2">
      <w:pPr>
        <w:pStyle w:val="21"/>
        <w:spacing w:line="360" w:lineRule="auto"/>
        <w:jc w:val="center"/>
        <w:rPr>
          <w:rFonts w:ascii="宋体" w:hAnsi="宋体" w:cs="宋体"/>
          <w:b/>
          <w:color w:val="auto"/>
          <w:kern w:val="0"/>
          <w:szCs w:val="21"/>
          <w:highlight w:val="none"/>
        </w:rPr>
      </w:pPr>
    </w:p>
    <w:p w14:paraId="3671394D">
      <w:pPr>
        <w:pStyle w:val="21"/>
        <w:spacing w:line="360" w:lineRule="auto"/>
        <w:jc w:val="center"/>
        <w:rPr>
          <w:rFonts w:ascii="宋体" w:hAnsi="宋体" w:cs="宋体"/>
          <w:b/>
          <w:color w:val="auto"/>
          <w:kern w:val="0"/>
          <w:szCs w:val="21"/>
          <w:highlight w:val="none"/>
        </w:rPr>
      </w:pPr>
    </w:p>
    <w:p w14:paraId="5A749C1C">
      <w:pPr>
        <w:pStyle w:val="21"/>
        <w:spacing w:line="360" w:lineRule="auto"/>
        <w:jc w:val="center"/>
        <w:rPr>
          <w:rFonts w:ascii="宋体" w:hAnsi="宋体" w:cs="宋体"/>
          <w:b/>
          <w:color w:val="auto"/>
          <w:kern w:val="0"/>
          <w:szCs w:val="21"/>
          <w:highlight w:val="none"/>
        </w:rPr>
      </w:pPr>
    </w:p>
    <w:p w14:paraId="79B12470">
      <w:pPr>
        <w:pStyle w:val="21"/>
        <w:spacing w:line="360" w:lineRule="auto"/>
        <w:jc w:val="center"/>
        <w:rPr>
          <w:rFonts w:ascii="宋体" w:hAnsi="宋体" w:cs="宋体"/>
          <w:b/>
          <w:color w:val="auto"/>
          <w:kern w:val="0"/>
          <w:szCs w:val="21"/>
          <w:highlight w:val="none"/>
        </w:rPr>
      </w:pPr>
    </w:p>
    <w:p w14:paraId="15B1F975">
      <w:pPr>
        <w:pStyle w:val="21"/>
        <w:spacing w:line="360" w:lineRule="auto"/>
        <w:jc w:val="center"/>
        <w:rPr>
          <w:rFonts w:ascii="宋体" w:hAnsi="宋体" w:cs="宋体"/>
          <w:b/>
          <w:color w:val="auto"/>
          <w:kern w:val="0"/>
          <w:szCs w:val="21"/>
          <w:highlight w:val="none"/>
        </w:rPr>
      </w:pPr>
    </w:p>
    <w:p w14:paraId="0B8E4FEF">
      <w:pPr>
        <w:pStyle w:val="21"/>
        <w:spacing w:line="360" w:lineRule="auto"/>
        <w:jc w:val="center"/>
        <w:rPr>
          <w:rFonts w:ascii="宋体" w:hAnsi="宋体" w:cs="宋体"/>
          <w:b/>
          <w:color w:val="auto"/>
          <w:kern w:val="0"/>
          <w:szCs w:val="21"/>
          <w:highlight w:val="none"/>
        </w:rPr>
      </w:pPr>
    </w:p>
    <w:p w14:paraId="00B2B9B5">
      <w:pPr>
        <w:pStyle w:val="21"/>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1F55910A">
      <w:pPr>
        <w:pStyle w:val="21"/>
        <w:spacing w:line="360" w:lineRule="auto"/>
        <w:rPr>
          <w:rFonts w:ascii="宋体" w:hAnsi="宋体" w:cs="宋体"/>
          <w:color w:val="auto"/>
          <w:highlight w:val="none"/>
        </w:rPr>
      </w:pPr>
    </w:p>
    <w:p w14:paraId="4E55BFD0">
      <w:pPr>
        <w:pStyle w:val="21"/>
        <w:spacing w:line="360" w:lineRule="auto"/>
        <w:rPr>
          <w:rFonts w:ascii="宋体" w:hAnsi="宋体" w:cs="宋体"/>
          <w:color w:val="auto"/>
          <w:highlight w:val="none"/>
        </w:rPr>
      </w:pPr>
    </w:p>
    <w:p w14:paraId="5827469C">
      <w:pPr>
        <w:pStyle w:val="21"/>
        <w:spacing w:line="360" w:lineRule="auto"/>
        <w:rPr>
          <w:rFonts w:ascii="宋体" w:hAnsi="宋体" w:cs="宋体"/>
          <w:color w:val="auto"/>
          <w:highlight w:val="none"/>
        </w:rPr>
      </w:pPr>
    </w:p>
    <w:p w14:paraId="0267C303">
      <w:pPr>
        <w:pStyle w:val="21"/>
        <w:spacing w:line="360" w:lineRule="auto"/>
        <w:rPr>
          <w:rFonts w:ascii="宋体" w:hAnsi="宋体" w:cs="宋体"/>
          <w:color w:val="auto"/>
          <w:highlight w:val="none"/>
        </w:rPr>
      </w:pPr>
    </w:p>
    <w:p w14:paraId="56BBBFC0">
      <w:pPr>
        <w:pStyle w:val="21"/>
        <w:spacing w:line="360" w:lineRule="auto"/>
        <w:rPr>
          <w:rFonts w:ascii="宋体" w:hAnsi="宋体" w:cs="宋体"/>
          <w:color w:val="auto"/>
          <w:highlight w:val="none"/>
        </w:rPr>
      </w:pPr>
    </w:p>
    <w:p w14:paraId="0D9D54F1">
      <w:pPr>
        <w:pStyle w:val="21"/>
        <w:spacing w:line="360" w:lineRule="auto"/>
        <w:rPr>
          <w:rFonts w:ascii="宋体" w:hAnsi="宋体" w:cs="宋体"/>
          <w:color w:val="auto"/>
          <w:highlight w:val="none"/>
        </w:rPr>
      </w:pPr>
    </w:p>
    <w:p w14:paraId="0AB0AE8E">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201CFFD0">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1F9B569A">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投标文件技术标 </w:t>
      </w:r>
    </w:p>
    <w:p w14:paraId="668E05CB">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06E76045">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（企业数字证书电子签名）   </w:t>
      </w:r>
    </w:p>
    <w:p w14:paraId="06AE3060">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4FE5A3C2">
      <w:pPr>
        <w:pStyle w:val="21"/>
        <w:spacing w:line="360" w:lineRule="auto"/>
        <w:rPr>
          <w:rFonts w:ascii="宋体" w:hAnsi="宋体" w:cs="宋体"/>
          <w:color w:val="auto"/>
          <w:highlight w:val="none"/>
        </w:rPr>
      </w:pPr>
    </w:p>
    <w:p w14:paraId="6FC054C0">
      <w:pPr>
        <w:pStyle w:val="21"/>
        <w:spacing w:line="360" w:lineRule="auto"/>
        <w:rPr>
          <w:rFonts w:ascii="宋体" w:hAnsi="宋体" w:cs="宋体"/>
          <w:color w:val="auto"/>
          <w:highlight w:val="none"/>
        </w:rPr>
      </w:pPr>
      <w:r>
        <w:rPr>
          <w:rFonts w:hint="eastAsia" w:ascii="宋体" w:hAnsi="宋体" w:cs="宋体"/>
          <w:color w:val="auto"/>
          <w:highlight w:val="none"/>
        </w:rPr>
        <w:br w:type="page"/>
      </w:r>
    </w:p>
    <w:p w14:paraId="758FFF9D">
      <w:pPr>
        <w:tabs>
          <w:tab w:val="left" w:pos="567"/>
        </w:tabs>
        <w:autoSpaceDE w:val="0"/>
        <w:autoSpaceDN w:val="0"/>
        <w:adjustRightInd w:val="0"/>
        <w:spacing w:line="360" w:lineRule="auto"/>
        <w:ind w:left="357" w:leftChars="-100" w:hanging="567"/>
        <w:jc w:val="center"/>
        <w:outlineLvl w:val="2"/>
        <w:rPr>
          <w:rFonts w:ascii="宋体" w:hAnsi="宋体" w:eastAsia="宋体" w:cs="宋体"/>
          <w:b/>
          <w:color w:val="auto"/>
          <w:kern w:val="0"/>
          <w:sz w:val="24"/>
          <w:szCs w:val="24"/>
          <w:highlight w:val="none"/>
        </w:rPr>
      </w:pPr>
      <w:bookmarkStart w:id="1293" w:name="_Toc14054"/>
      <w:bookmarkStart w:id="1294" w:name="_Toc8004"/>
      <w:bookmarkStart w:id="1295" w:name="_Toc11390"/>
      <w:bookmarkStart w:id="1296" w:name="_Toc5601"/>
      <w:bookmarkStart w:id="1297" w:name="_Toc195714400"/>
      <w:bookmarkStart w:id="1298" w:name="_Toc23169"/>
      <w:bookmarkStart w:id="1299" w:name="_Toc23902"/>
      <w:bookmarkStart w:id="1300" w:name="_Toc20130"/>
      <w:r>
        <w:rPr>
          <w:rFonts w:hint="eastAsia" w:ascii="宋体" w:hAnsi="宋体" w:eastAsia="宋体" w:cs="宋体"/>
          <w:b/>
          <w:color w:val="auto"/>
          <w:kern w:val="0"/>
          <w:sz w:val="24"/>
          <w:szCs w:val="24"/>
          <w:highlight w:val="none"/>
        </w:rPr>
        <w:t>目录</w:t>
      </w:r>
      <w:bookmarkEnd w:id="1293"/>
      <w:bookmarkEnd w:id="1294"/>
      <w:bookmarkEnd w:id="1295"/>
      <w:bookmarkEnd w:id="1296"/>
      <w:bookmarkEnd w:id="1297"/>
      <w:bookmarkEnd w:id="1298"/>
      <w:bookmarkEnd w:id="1299"/>
      <w:bookmarkEnd w:id="1300"/>
    </w:p>
    <w:p w14:paraId="09195616">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一、用户需求的响应程度（用户需求偏离表）；</w:t>
      </w:r>
    </w:p>
    <w:p w14:paraId="78BC0C75">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二、</w:t>
      </w:r>
      <w:r>
        <w:rPr>
          <w:rFonts w:hint="eastAsia" w:ascii="宋体" w:hAnsi="宋体" w:eastAsia="宋体" w:cs="宋体"/>
          <w:b/>
          <w:bCs/>
          <w:color w:val="auto"/>
          <w:kern w:val="0"/>
          <w:szCs w:val="21"/>
          <w:highlight w:val="none"/>
        </w:rPr>
        <w:t>供货货物清单表</w:t>
      </w:r>
      <w:bookmarkStart w:id="1301" w:name="OLE_LINK138"/>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货物明细中的</w:t>
      </w:r>
      <w:r>
        <w:rPr>
          <w:rFonts w:hint="eastAsia" w:ascii="宋体" w:hAnsi="宋体" w:eastAsia="宋体" w:cs="宋体"/>
          <w:b/>
          <w:bCs/>
          <w:color w:val="auto"/>
          <w:kern w:val="0"/>
          <w:szCs w:val="21"/>
          <w:highlight w:val="none"/>
        </w:rPr>
        <w:t>项目</w:t>
      </w:r>
      <w:r>
        <w:rPr>
          <w:rFonts w:hint="eastAsia" w:ascii="宋体" w:hAnsi="宋体" w:eastAsia="宋体" w:cs="宋体"/>
          <w:b/>
          <w:bCs/>
          <w:color w:val="auto"/>
          <w:kern w:val="0"/>
          <w:szCs w:val="21"/>
          <w:highlight w:val="none"/>
          <w:lang w:val="zh-CN"/>
        </w:rPr>
        <w:t>名称、</w:t>
      </w:r>
      <w:r>
        <w:rPr>
          <w:rFonts w:hint="eastAsia" w:ascii="宋体" w:hAnsi="宋体" w:eastAsia="宋体" w:cs="宋体"/>
          <w:b/>
          <w:bCs/>
          <w:color w:val="auto"/>
          <w:kern w:val="0"/>
          <w:szCs w:val="21"/>
          <w:highlight w:val="none"/>
        </w:rPr>
        <w:t>单位</w:t>
      </w:r>
      <w:r>
        <w:rPr>
          <w:rFonts w:hint="eastAsia" w:ascii="宋体" w:hAnsi="宋体" w:eastAsia="宋体" w:cs="宋体"/>
          <w:b/>
          <w:bCs/>
          <w:color w:val="auto"/>
          <w:kern w:val="0"/>
          <w:szCs w:val="21"/>
          <w:highlight w:val="none"/>
          <w:lang w:val="zh-CN"/>
        </w:rPr>
        <w:t>、数量等，应与用户需求书</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zh-CN"/>
        </w:rPr>
        <w:t>附件1项目清单一致，需包含光伏组件、逆变器、电缆、汇流箱、并网柜、计量设备、支架材料、监控设备等主材</w:t>
      </w:r>
      <w:r>
        <w:rPr>
          <w:rFonts w:hint="eastAsia" w:ascii="宋体" w:hAnsi="宋体" w:eastAsia="宋体" w:cs="宋体"/>
          <w:b/>
          <w:bCs/>
          <w:color w:val="auto"/>
          <w:kern w:val="0"/>
          <w:szCs w:val="21"/>
          <w:highlight w:val="none"/>
        </w:rPr>
        <w:t>）</w:t>
      </w:r>
      <w:bookmarkEnd w:id="1301"/>
      <w:r>
        <w:rPr>
          <w:rFonts w:hint="eastAsia" w:ascii="宋体" w:hAnsi="宋体" w:eastAsia="宋体" w:cs="宋体"/>
          <w:b/>
          <w:bCs/>
          <w:color w:val="auto"/>
          <w:szCs w:val="21"/>
          <w:highlight w:val="none"/>
        </w:rPr>
        <w:t>；</w:t>
      </w:r>
    </w:p>
    <w:p w14:paraId="2FC7B623">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三、</w:t>
      </w:r>
      <w:bookmarkStart w:id="1302" w:name="OLE_LINK336"/>
      <w:r>
        <w:rPr>
          <w:rFonts w:hint="eastAsia" w:ascii="宋体" w:hAnsi="宋体" w:eastAsia="宋体" w:cs="宋体"/>
          <w:b/>
          <w:bCs/>
          <w:color w:val="auto"/>
          <w:szCs w:val="21"/>
          <w:highlight w:val="none"/>
        </w:rPr>
        <w:t>光伏发电设施技术证明材料；</w:t>
      </w:r>
    </w:p>
    <w:p w14:paraId="043484B4">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rPr>
        <w:t>四、光伏系统主要设备产品性能</w:t>
      </w:r>
      <w:bookmarkEnd w:id="1302"/>
      <w:r>
        <w:rPr>
          <w:rFonts w:hint="eastAsia" w:ascii="宋体" w:hAnsi="宋体" w:eastAsia="宋体" w:cs="宋体"/>
          <w:b/>
          <w:bCs/>
          <w:color w:val="auto"/>
          <w:szCs w:val="21"/>
          <w:highlight w:val="none"/>
        </w:rPr>
        <w:t>；</w:t>
      </w:r>
    </w:p>
    <w:p w14:paraId="4E173B15">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五、质保时间（质保说明书）；</w:t>
      </w:r>
    </w:p>
    <w:p w14:paraId="38E5FF3A">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六、</w:t>
      </w:r>
      <w:r>
        <w:rPr>
          <w:rFonts w:hint="eastAsia" w:ascii="宋体" w:hAnsi="宋体" w:eastAsia="宋体" w:cs="宋体"/>
          <w:b/>
          <w:bCs/>
          <w:color w:val="auto"/>
          <w:kern w:val="0"/>
          <w:szCs w:val="21"/>
          <w:highlight w:val="none"/>
        </w:rPr>
        <w:t>技术服务团队实力（投标人提供证明资料）</w:t>
      </w:r>
      <w:r>
        <w:rPr>
          <w:rFonts w:hint="eastAsia" w:ascii="宋体" w:hAnsi="宋体" w:eastAsia="宋体" w:cs="宋体"/>
          <w:b/>
          <w:bCs/>
          <w:color w:val="auto"/>
          <w:szCs w:val="21"/>
          <w:highlight w:val="none"/>
        </w:rPr>
        <w:t>；</w:t>
      </w:r>
    </w:p>
    <w:p w14:paraId="577B7EBE">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七、</w:t>
      </w:r>
      <w:bookmarkStart w:id="1303" w:name="OLE_LINK344"/>
      <w:r>
        <w:rPr>
          <w:rFonts w:hint="eastAsia" w:ascii="宋体" w:hAnsi="宋体" w:eastAsia="宋体" w:cs="宋体"/>
          <w:b/>
          <w:bCs/>
          <w:color w:val="auto"/>
          <w:kern w:val="0"/>
          <w:szCs w:val="21"/>
          <w:highlight w:val="none"/>
        </w:rPr>
        <w:t>系统总体设计方案（投标人自行编写）</w:t>
      </w:r>
      <w:bookmarkEnd w:id="1303"/>
      <w:r>
        <w:rPr>
          <w:rFonts w:hint="eastAsia" w:ascii="宋体" w:hAnsi="宋体" w:eastAsia="宋体" w:cs="宋体"/>
          <w:b/>
          <w:bCs/>
          <w:color w:val="auto"/>
          <w:szCs w:val="21"/>
          <w:highlight w:val="none"/>
        </w:rPr>
        <w:t>；</w:t>
      </w:r>
    </w:p>
    <w:p w14:paraId="414E3043">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八、项目实施方案（投标人自行编写）；</w:t>
      </w:r>
    </w:p>
    <w:p w14:paraId="1A9984AE">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九、安全保证措施（投标人自行编写）；</w:t>
      </w:r>
    </w:p>
    <w:p w14:paraId="75CD697B">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十、技术服务运维方案（投标人自行编写）；</w:t>
      </w:r>
    </w:p>
    <w:p w14:paraId="2F81EABE">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rPr>
        <w:t>十一</w:t>
      </w:r>
      <w:r>
        <w:rPr>
          <w:rFonts w:hint="eastAsia" w:ascii="宋体" w:hAnsi="宋体" w:eastAsia="宋体" w:cs="宋体"/>
          <w:b/>
          <w:bCs/>
          <w:color w:val="auto"/>
          <w:szCs w:val="21"/>
          <w:highlight w:val="none"/>
        </w:rPr>
        <w:t>、投标人认为有必要提供的其它材料（不做强制要求）。</w:t>
      </w:r>
    </w:p>
    <w:p w14:paraId="17D0BCD3">
      <w:pPr>
        <w:pBdr>
          <w:bottom w:val="single" w:color="auto" w:sz="6" w:space="0"/>
        </w:pBdr>
        <w:spacing w:line="500" w:lineRule="exact"/>
        <w:ind w:firstLine="675" w:firstLineChars="224"/>
        <w:jc w:val="left"/>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2873FE98">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1304" w:name="_Toc30448"/>
      <w:bookmarkStart w:id="1305" w:name="_Toc4813"/>
      <w:bookmarkStart w:id="1306" w:name="_Toc24129"/>
      <w:bookmarkStart w:id="1307" w:name="_Toc24879"/>
      <w:bookmarkStart w:id="1308" w:name="_Toc32398"/>
      <w:bookmarkStart w:id="1309" w:name="_Toc19585"/>
      <w:bookmarkStart w:id="1310" w:name="_Toc20085"/>
      <w:bookmarkStart w:id="1311" w:name="_Toc23268"/>
      <w:bookmarkStart w:id="1312" w:name="_Toc195714401"/>
      <w:bookmarkStart w:id="1313" w:name="_Toc18999"/>
      <w:bookmarkStart w:id="1314" w:name="_Toc27934"/>
      <w:r>
        <w:rPr>
          <w:rFonts w:hint="eastAsia" w:ascii="宋体" w:hAnsi="宋体" w:eastAsia="宋体" w:cs="宋体"/>
          <w:b/>
          <w:color w:val="auto"/>
          <w:kern w:val="0"/>
          <w:sz w:val="30"/>
          <w:szCs w:val="30"/>
          <w:highlight w:val="none"/>
        </w:rPr>
        <w:t>一、用户需求偏离表</w:t>
      </w:r>
      <w:bookmarkEnd w:id="1285"/>
      <w:bookmarkEnd w:id="1286"/>
      <w:bookmarkEnd w:id="1287"/>
      <w:bookmarkEnd w:id="1288"/>
      <w:bookmarkEnd w:id="1289"/>
      <w:bookmarkEnd w:id="1290"/>
      <w:bookmarkEnd w:id="1291"/>
      <w:bookmarkEnd w:id="1292"/>
      <w:bookmarkEnd w:id="1304"/>
      <w:bookmarkEnd w:id="1305"/>
      <w:bookmarkEnd w:id="1306"/>
      <w:bookmarkEnd w:id="1307"/>
      <w:bookmarkEnd w:id="1308"/>
      <w:bookmarkEnd w:id="1309"/>
      <w:bookmarkEnd w:id="1310"/>
      <w:bookmarkEnd w:id="1311"/>
      <w:bookmarkEnd w:id="1312"/>
      <w:bookmarkEnd w:id="1313"/>
      <w:bookmarkEnd w:id="1314"/>
    </w:p>
    <w:p w14:paraId="06CF09E1">
      <w:pPr>
        <w:spacing w:before="120" w:after="120" w:line="360" w:lineRule="auto"/>
        <w:jc w:val="center"/>
        <w:outlineLvl w:val="3"/>
        <w:rPr>
          <w:rFonts w:ascii="宋体" w:hAnsi="宋体" w:eastAsia="宋体" w:cs="宋体"/>
          <w:color w:val="auto"/>
          <w:kern w:val="0"/>
          <w:szCs w:val="21"/>
          <w:highlight w:val="none"/>
        </w:rPr>
      </w:pPr>
      <w:bookmarkStart w:id="1315" w:name="_Toc17449_WPSOffice_Level3"/>
      <w:r>
        <w:rPr>
          <w:rFonts w:hint="eastAsia" w:ascii="宋体" w:hAnsi="宋体" w:eastAsia="宋体" w:cs="宋体"/>
          <w:b/>
          <w:color w:val="auto"/>
          <w:kern w:val="0"/>
          <w:sz w:val="30"/>
          <w:szCs w:val="30"/>
          <w:highlight w:val="none"/>
          <w:lang w:val="zh-CN"/>
        </w:rPr>
        <w:t>用户需求偏离表</w:t>
      </w:r>
      <w:bookmarkEnd w:id="1315"/>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578"/>
        <w:gridCol w:w="6833"/>
        <w:gridCol w:w="400"/>
        <w:gridCol w:w="527"/>
        <w:gridCol w:w="522"/>
      </w:tblGrid>
      <w:tr w14:paraId="5DF2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54" w:type="pct"/>
            <w:vMerge w:val="restart"/>
            <w:vAlign w:val="center"/>
          </w:tcPr>
          <w:p w14:paraId="7336D4CB">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638" w:type="pct"/>
            <w:gridSpan w:val="2"/>
            <w:vAlign w:val="center"/>
          </w:tcPr>
          <w:p w14:paraId="501992C0">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07" w:type="pct"/>
            <w:gridSpan w:val="3"/>
            <w:vAlign w:val="center"/>
          </w:tcPr>
          <w:p w14:paraId="3FA07074">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778B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54" w:type="pct"/>
            <w:vMerge w:val="continue"/>
            <w:vAlign w:val="center"/>
          </w:tcPr>
          <w:p w14:paraId="3EF44E5E">
            <w:pPr>
              <w:keepNext/>
              <w:keepLines/>
              <w:spacing w:line="360" w:lineRule="auto"/>
              <w:jc w:val="center"/>
              <w:rPr>
                <w:rFonts w:ascii="宋体" w:hAnsi="宋体" w:eastAsia="宋体" w:cs="宋体"/>
                <w:color w:val="auto"/>
                <w:kern w:val="0"/>
                <w:sz w:val="18"/>
                <w:szCs w:val="18"/>
                <w:highlight w:val="none"/>
              </w:rPr>
            </w:pPr>
          </w:p>
        </w:tc>
        <w:tc>
          <w:tcPr>
            <w:tcW w:w="488" w:type="pct"/>
            <w:vAlign w:val="center"/>
          </w:tcPr>
          <w:p w14:paraId="3A79DD9C">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149" w:type="pct"/>
            <w:vAlign w:val="center"/>
          </w:tcPr>
          <w:p w14:paraId="08A8F1A0">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25" w:type="pct"/>
            <w:vAlign w:val="center"/>
          </w:tcPr>
          <w:p w14:paraId="7BCDA577">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393" w:type="pct"/>
            <w:vAlign w:val="center"/>
          </w:tcPr>
          <w:p w14:paraId="12D0DB30">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88" w:type="pct"/>
            <w:vAlign w:val="center"/>
          </w:tcPr>
          <w:p w14:paraId="04FC1062">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5D0A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54" w:type="pct"/>
            <w:vAlign w:val="center"/>
          </w:tcPr>
          <w:p w14:paraId="49EBE783">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488" w:type="pct"/>
            <w:vAlign w:val="center"/>
          </w:tcPr>
          <w:p w14:paraId="28287F42">
            <w:pPr>
              <w:spacing w:line="360" w:lineRule="auto"/>
              <w:jc w:val="center"/>
              <w:rPr>
                <w:rFonts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一、项目概况</w:t>
            </w:r>
          </w:p>
          <w:p w14:paraId="086642F1">
            <w:pPr>
              <w:spacing w:line="360" w:lineRule="auto"/>
              <w:jc w:val="center"/>
              <w:rPr>
                <w:rFonts w:ascii="宋体" w:hAnsi="宋体" w:eastAsia="宋体" w:cs="宋体"/>
                <w:color w:val="auto"/>
                <w:sz w:val="18"/>
                <w:szCs w:val="18"/>
                <w:highlight w:val="none"/>
              </w:rPr>
            </w:pPr>
          </w:p>
        </w:tc>
        <w:tc>
          <w:tcPr>
            <w:tcW w:w="3149" w:type="pct"/>
            <w:vAlign w:val="center"/>
          </w:tcPr>
          <w:p w14:paraId="4E0AB6BA">
            <w:pPr>
              <w:widowControl/>
              <w:spacing w:line="360" w:lineRule="auto"/>
              <w:ind w:firstLine="360" w:firstLineChars="200"/>
              <w:jc w:val="left"/>
              <w:rPr>
                <w:rFonts w:ascii="宋体" w:hAnsi="宋体" w:eastAsia="宋体" w:cs="宋体"/>
                <w:color w:val="auto"/>
                <w:kern w:val="0"/>
                <w:sz w:val="18"/>
                <w:szCs w:val="18"/>
                <w:highlight w:val="none"/>
              </w:rPr>
            </w:pPr>
            <w:r>
              <w:rPr>
                <w:rFonts w:hint="eastAsia" w:ascii="宋体" w:hAnsi="宋体" w:eastAsia="宋体" w:cs="宋体"/>
                <w:color w:val="auto"/>
                <w:sz w:val="18"/>
                <w:szCs w:val="18"/>
                <w:highlight w:val="none"/>
                <w:lang w:val="zh-CN"/>
              </w:rPr>
              <w:t>为贯彻落实国家“双碳”战略，积极响应市委市政府关于市属国企积极参与光伏发电项目开发建设的要求，东莞市水务环境投资控股集团</w:t>
            </w:r>
            <w:r>
              <w:rPr>
                <w:rFonts w:hint="eastAsia" w:ascii="宋体" w:hAnsi="宋体" w:eastAsia="宋体" w:cs="宋体"/>
                <w:color w:val="auto"/>
                <w:sz w:val="18"/>
                <w:szCs w:val="18"/>
                <w:highlight w:val="none"/>
                <w:lang w:val="en-US" w:eastAsia="zh-CN"/>
              </w:rPr>
              <w:t>有限公司</w:t>
            </w:r>
            <w:r>
              <w:rPr>
                <w:rFonts w:hint="eastAsia" w:ascii="宋体" w:hAnsi="宋体" w:eastAsia="宋体" w:cs="宋体"/>
                <w:color w:val="auto"/>
                <w:sz w:val="18"/>
                <w:szCs w:val="18"/>
                <w:highlight w:val="none"/>
                <w:lang w:val="zh-CN"/>
              </w:rPr>
              <w:t>正大力拓展绿色新能源业务板块。根据东莞市水务环境投资控股集团</w:t>
            </w:r>
            <w:r>
              <w:rPr>
                <w:rFonts w:hint="eastAsia" w:ascii="宋体" w:hAnsi="宋体" w:eastAsia="宋体" w:cs="宋体"/>
                <w:color w:val="auto"/>
                <w:sz w:val="18"/>
                <w:szCs w:val="18"/>
                <w:highlight w:val="none"/>
                <w:lang w:val="en-US" w:eastAsia="zh-CN"/>
              </w:rPr>
              <w:t>有限公司</w:t>
            </w:r>
            <w:r>
              <w:rPr>
                <w:rFonts w:hint="eastAsia" w:ascii="宋体" w:hAnsi="宋体" w:eastAsia="宋体" w:cs="宋体"/>
                <w:color w:val="auto"/>
                <w:sz w:val="18"/>
                <w:szCs w:val="18"/>
                <w:highlight w:val="none"/>
                <w:lang w:val="zh-CN"/>
              </w:rPr>
              <w:t>工作部署，拟在市第四水厂、市第六水厂、石龙黄洲水厂、市第五水厂、石碣水厂、企石水厂、谢岗第三水厂、塘厦凤凰水厂、塘厦中心水厂、黄江水厂、凤岗第二水厂、樟木头簕竹排水厂、塘厦虾公岩水厂、市第三水厂等14家供水水厂的工作间屋面和部分工作池池面安装光伏发电设施，直属企业东莞市水务集团科技发展有限公司（以下简称“招标人”）负责上述14家厂区光伏发电项目（以下简称“供水厂光伏项目”）投资、建设及运营。</w:t>
            </w:r>
          </w:p>
        </w:tc>
        <w:tc>
          <w:tcPr>
            <w:tcW w:w="325" w:type="pct"/>
            <w:vAlign w:val="center"/>
          </w:tcPr>
          <w:p w14:paraId="5F7916D3">
            <w:pPr>
              <w:keepNext/>
              <w:keepLines/>
              <w:spacing w:line="360" w:lineRule="auto"/>
              <w:jc w:val="center"/>
              <w:rPr>
                <w:rFonts w:ascii="宋体" w:hAnsi="宋体" w:eastAsia="宋体" w:cs="宋体"/>
                <w:color w:val="auto"/>
                <w:kern w:val="0"/>
                <w:sz w:val="18"/>
                <w:szCs w:val="18"/>
                <w:highlight w:val="none"/>
              </w:rPr>
            </w:pPr>
          </w:p>
        </w:tc>
        <w:tc>
          <w:tcPr>
            <w:tcW w:w="393" w:type="pct"/>
            <w:vAlign w:val="center"/>
          </w:tcPr>
          <w:p w14:paraId="2E0E0136">
            <w:pPr>
              <w:keepNext/>
              <w:keepLines/>
              <w:spacing w:line="360" w:lineRule="auto"/>
              <w:jc w:val="center"/>
              <w:rPr>
                <w:rFonts w:ascii="宋体" w:hAnsi="宋体" w:eastAsia="宋体" w:cs="宋体"/>
                <w:color w:val="auto"/>
                <w:kern w:val="0"/>
                <w:sz w:val="18"/>
                <w:szCs w:val="18"/>
                <w:highlight w:val="none"/>
              </w:rPr>
            </w:pPr>
          </w:p>
        </w:tc>
        <w:tc>
          <w:tcPr>
            <w:tcW w:w="388" w:type="pct"/>
            <w:vAlign w:val="center"/>
          </w:tcPr>
          <w:p w14:paraId="203DA7A1">
            <w:pPr>
              <w:keepNext/>
              <w:keepLines/>
              <w:spacing w:line="360" w:lineRule="auto"/>
              <w:jc w:val="center"/>
              <w:rPr>
                <w:rFonts w:ascii="宋体" w:hAnsi="宋体" w:eastAsia="宋体" w:cs="宋体"/>
                <w:color w:val="auto"/>
                <w:kern w:val="0"/>
                <w:sz w:val="18"/>
                <w:szCs w:val="18"/>
                <w:highlight w:val="none"/>
              </w:rPr>
            </w:pPr>
          </w:p>
        </w:tc>
      </w:tr>
      <w:tr w14:paraId="3395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4" w:type="pct"/>
            <w:vAlign w:val="center"/>
          </w:tcPr>
          <w:p w14:paraId="769F87A0">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488" w:type="pct"/>
            <w:vAlign w:val="center"/>
          </w:tcPr>
          <w:p w14:paraId="310DE910">
            <w:pPr>
              <w:adjustRightInd w:val="0"/>
              <w:spacing w:line="360" w:lineRule="auto"/>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二、工作内容</w:t>
            </w:r>
          </w:p>
          <w:p w14:paraId="73EB2DE8">
            <w:pPr>
              <w:spacing w:line="360" w:lineRule="auto"/>
              <w:jc w:val="center"/>
              <w:rPr>
                <w:rFonts w:ascii="宋体" w:hAnsi="宋体" w:eastAsia="宋体" w:cs="宋体"/>
                <w:color w:val="auto"/>
                <w:kern w:val="0"/>
                <w:sz w:val="18"/>
                <w:szCs w:val="18"/>
                <w:highlight w:val="none"/>
                <w:lang w:val="zh-CN"/>
              </w:rPr>
            </w:pPr>
          </w:p>
        </w:tc>
        <w:tc>
          <w:tcPr>
            <w:tcW w:w="3149" w:type="pct"/>
            <w:vAlign w:val="center"/>
          </w:tcPr>
          <w:p w14:paraId="43A5FEE9">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1、项目建设内容：</w:t>
            </w:r>
          </w:p>
          <w:p w14:paraId="0B7FE11D">
            <w:pPr>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根据《东莞市水务集团分布式光伏发电项目（第一批）》方案优化内容，供水厂光伏项目主要建设内容包括但不限于光伏组件、并网设施、交流汇流箱、逆变器、开关柜、光伏支架、电缆、监控、通讯、防雷及安全防护等配套设施的安装及相关配套手续的办理，光伏发电规模建设规模初定为</w:t>
            </w:r>
            <w:r>
              <w:rPr>
                <w:rFonts w:hint="eastAsia" w:ascii="宋体" w:hAnsi="宋体" w:eastAsia="宋体" w:cs="宋体"/>
                <w:color w:val="auto"/>
                <w:kern w:val="0"/>
                <w:sz w:val="18"/>
                <w:szCs w:val="18"/>
                <w:highlight w:val="none"/>
                <w:lang w:bidi="ar"/>
              </w:rPr>
              <w:t>10491.02</w:t>
            </w:r>
            <w:r>
              <w:rPr>
                <w:rFonts w:hint="eastAsia" w:ascii="宋体" w:hAnsi="宋体" w:eastAsia="宋体" w:cs="宋体"/>
                <w:color w:val="auto"/>
                <w:sz w:val="18"/>
                <w:szCs w:val="18"/>
                <w:highlight w:val="none"/>
              </w:rPr>
              <w:t>kWp，详见下表。</w:t>
            </w:r>
          </w:p>
          <w:p w14:paraId="7D97CF1E">
            <w:pPr>
              <w:spacing w:line="360" w:lineRule="auto"/>
              <w:ind w:firstLine="360" w:firstLineChars="200"/>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最终安装容量以项目实际安装容量为准，据实际建设</w:t>
            </w:r>
            <w:r>
              <w:rPr>
                <w:rFonts w:hint="eastAsia" w:ascii="宋体" w:hAnsi="宋体" w:eastAsia="宋体" w:cs="宋体"/>
                <w:color w:val="auto"/>
                <w:sz w:val="18"/>
                <w:szCs w:val="18"/>
                <w:highlight w:val="none"/>
                <w:lang w:val="en-US" w:eastAsia="zh-CN"/>
              </w:rPr>
              <w:t>后的结算装机</w:t>
            </w:r>
            <w:r>
              <w:rPr>
                <w:rFonts w:hint="eastAsia" w:ascii="宋体" w:hAnsi="宋体" w:eastAsia="宋体" w:cs="宋体"/>
                <w:color w:val="auto"/>
                <w:sz w:val="18"/>
                <w:szCs w:val="18"/>
                <w:highlight w:val="none"/>
              </w:rPr>
              <w:t>容量及每瓦单价结算。</w:t>
            </w:r>
          </w:p>
          <w:tbl>
            <w:tblPr>
              <w:tblStyle w:val="45"/>
              <w:tblW w:w="6617" w:type="dxa"/>
              <w:tblInd w:w="28" w:type="dxa"/>
              <w:tblLayout w:type="autofit"/>
              <w:tblCellMar>
                <w:top w:w="0" w:type="dxa"/>
                <w:left w:w="108" w:type="dxa"/>
                <w:bottom w:w="0" w:type="dxa"/>
                <w:right w:w="108" w:type="dxa"/>
              </w:tblCellMar>
            </w:tblPr>
            <w:tblGrid>
              <w:gridCol w:w="1273"/>
              <w:gridCol w:w="932"/>
              <w:gridCol w:w="949"/>
              <w:gridCol w:w="942"/>
              <w:gridCol w:w="2521"/>
            </w:tblGrid>
            <w:tr w14:paraId="3F30B936">
              <w:tblPrEx>
                <w:tblCellMar>
                  <w:top w:w="0" w:type="dxa"/>
                  <w:left w:w="108" w:type="dxa"/>
                  <w:bottom w:w="0" w:type="dxa"/>
                  <w:right w:w="108" w:type="dxa"/>
                </w:tblCellMar>
              </w:tblPrEx>
              <w:trPr>
                <w:trHeight w:val="780" w:hRule="atLeast"/>
              </w:trPr>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7ED15">
                  <w:pPr>
                    <w:widowControl/>
                    <w:spacing w:line="360" w:lineRule="auto"/>
                    <w:jc w:val="center"/>
                    <w:textAlignment w:val="center"/>
                    <w:rPr>
                      <w:rFonts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厂区名称</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19715">
                  <w:pPr>
                    <w:widowControl/>
                    <w:spacing w:line="360" w:lineRule="auto"/>
                    <w:jc w:val="center"/>
                    <w:textAlignment w:val="center"/>
                    <w:rPr>
                      <w:rFonts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安装区域</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30D13">
                  <w:pPr>
                    <w:widowControl/>
                    <w:spacing w:line="360" w:lineRule="auto"/>
                    <w:jc w:val="center"/>
                    <w:textAlignment w:val="center"/>
                    <w:rPr>
                      <w:rFonts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面积</w:t>
                  </w:r>
                  <w:r>
                    <w:rPr>
                      <w:rFonts w:hint="eastAsia" w:ascii="宋体" w:hAnsi="宋体" w:eastAsia="宋体" w:cs="宋体"/>
                      <w:b/>
                      <w:bCs/>
                      <w:color w:val="auto"/>
                      <w:kern w:val="0"/>
                      <w:sz w:val="18"/>
                      <w:szCs w:val="18"/>
                      <w:highlight w:val="none"/>
                      <w:lang w:bidi="ar"/>
                    </w:rPr>
                    <w:br w:type="textWrapping"/>
                  </w:r>
                  <w:r>
                    <w:rPr>
                      <w:rFonts w:hint="eastAsia" w:ascii="宋体" w:hAnsi="宋体" w:eastAsia="宋体" w:cs="宋体"/>
                      <w:b/>
                      <w:bCs/>
                      <w:color w:val="auto"/>
                      <w:kern w:val="0"/>
                      <w:sz w:val="18"/>
                      <w:szCs w:val="18"/>
                      <w:highlight w:val="none"/>
                      <w:lang w:bidi="ar"/>
                    </w:rPr>
                    <w:t>（单位：㎡）</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152FF">
                  <w:pPr>
                    <w:widowControl/>
                    <w:spacing w:line="360" w:lineRule="auto"/>
                    <w:jc w:val="center"/>
                    <w:textAlignment w:val="center"/>
                    <w:rPr>
                      <w:rFonts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暂定装机容量</w:t>
                  </w:r>
                  <w:r>
                    <w:rPr>
                      <w:rFonts w:hint="eastAsia" w:ascii="宋体" w:hAnsi="宋体" w:eastAsia="宋体" w:cs="宋体"/>
                      <w:b/>
                      <w:bCs/>
                      <w:color w:val="auto"/>
                      <w:kern w:val="0"/>
                      <w:sz w:val="18"/>
                      <w:szCs w:val="18"/>
                      <w:highlight w:val="none"/>
                      <w:lang w:bidi="ar"/>
                    </w:rPr>
                    <w:br w:type="textWrapping"/>
                  </w:r>
                  <w:r>
                    <w:rPr>
                      <w:rFonts w:hint="eastAsia" w:ascii="宋体" w:hAnsi="宋体" w:eastAsia="宋体" w:cs="宋体"/>
                      <w:b/>
                      <w:bCs/>
                      <w:color w:val="auto"/>
                      <w:kern w:val="0"/>
                      <w:sz w:val="18"/>
                      <w:szCs w:val="18"/>
                      <w:highlight w:val="none"/>
                      <w:lang w:bidi="ar"/>
                    </w:rPr>
                    <w:t>（单位：kWp）</w:t>
                  </w:r>
                </w:p>
              </w:tc>
              <w:tc>
                <w:tcPr>
                  <w:tcW w:w="1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A459F">
                  <w:pPr>
                    <w:widowControl/>
                    <w:spacing w:line="360" w:lineRule="auto"/>
                    <w:jc w:val="center"/>
                    <w:textAlignment w:val="center"/>
                    <w:rPr>
                      <w:rFonts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安装步梯位置</w:t>
                  </w:r>
                </w:p>
              </w:tc>
            </w:tr>
            <w:tr w14:paraId="6B5E8BD3">
              <w:tblPrEx>
                <w:tblCellMar>
                  <w:top w:w="0" w:type="dxa"/>
                  <w:left w:w="108" w:type="dxa"/>
                  <w:bottom w:w="0" w:type="dxa"/>
                  <w:right w:w="108" w:type="dxa"/>
                </w:tblCellMar>
              </w:tblPrEx>
              <w:trPr>
                <w:trHeight w:val="90" w:hRule="atLeast"/>
              </w:trPr>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305E2">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市第四水厂</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7271F">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池面</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F4ABF">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2863.26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41BD2">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657.2</w:t>
                  </w:r>
                </w:p>
              </w:tc>
              <w:tc>
                <w:tcPr>
                  <w:tcW w:w="1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2A69E">
                  <w:pPr>
                    <w:spacing w:line="360" w:lineRule="auto"/>
                    <w:jc w:val="center"/>
                    <w:rPr>
                      <w:rFonts w:ascii="宋体" w:hAnsi="宋体" w:eastAsia="宋体" w:cs="宋体"/>
                      <w:color w:val="auto"/>
                      <w:sz w:val="18"/>
                      <w:szCs w:val="18"/>
                      <w:highlight w:val="none"/>
                    </w:rPr>
                  </w:pPr>
                </w:p>
              </w:tc>
            </w:tr>
            <w:tr w14:paraId="34DE5F77">
              <w:tblPrEx>
                <w:tblCellMar>
                  <w:top w:w="0" w:type="dxa"/>
                  <w:left w:w="108" w:type="dxa"/>
                  <w:bottom w:w="0" w:type="dxa"/>
                  <w:right w:w="108" w:type="dxa"/>
                </w:tblCellMar>
              </w:tblPrEx>
              <w:trPr>
                <w:trHeight w:val="90" w:hRule="atLeast"/>
              </w:trPr>
              <w:tc>
                <w:tcPr>
                  <w:tcW w:w="963" w:type="pct"/>
                  <w:vMerge w:val="restart"/>
                  <w:tcBorders>
                    <w:top w:val="single" w:color="000000" w:sz="4" w:space="0"/>
                    <w:left w:val="single" w:color="000000" w:sz="4" w:space="0"/>
                    <w:right w:val="single" w:color="000000" w:sz="4" w:space="0"/>
                  </w:tcBorders>
                  <w:shd w:val="clear" w:color="auto" w:fill="auto"/>
                  <w:vAlign w:val="center"/>
                </w:tcPr>
                <w:p w14:paraId="72D0E0F3">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市第六水厂</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0E4BB">
                  <w:pPr>
                    <w:widowControl/>
                    <w:spacing w:line="360" w:lineRule="auto"/>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池面</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E3C10">
                  <w:pPr>
                    <w:widowControl/>
                    <w:spacing w:line="360" w:lineRule="auto"/>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3241.43</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2D04F">
                  <w:pPr>
                    <w:widowControl/>
                    <w:spacing w:line="360" w:lineRule="auto"/>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744</w:t>
                  </w:r>
                </w:p>
              </w:tc>
              <w:tc>
                <w:tcPr>
                  <w:tcW w:w="1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1D18B">
                  <w:pPr>
                    <w:spacing w:line="360" w:lineRule="auto"/>
                    <w:jc w:val="center"/>
                    <w:rPr>
                      <w:rFonts w:ascii="宋体" w:hAnsi="宋体" w:eastAsia="宋体" w:cs="宋体"/>
                      <w:color w:val="auto"/>
                      <w:sz w:val="18"/>
                      <w:szCs w:val="18"/>
                      <w:highlight w:val="none"/>
                    </w:rPr>
                  </w:pPr>
                </w:p>
              </w:tc>
            </w:tr>
            <w:tr w14:paraId="7ACFCA46">
              <w:tblPrEx>
                <w:tblCellMar>
                  <w:top w:w="0" w:type="dxa"/>
                  <w:left w:w="108" w:type="dxa"/>
                  <w:bottom w:w="0" w:type="dxa"/>
                  <w:right w:w="108" w:type="dxa"/>
                </w:tblCellMar>
              </w:tblPrEx>
              <w:trPr>
                <w:trHeight w:val="538" w:hRule="atLeast"/>
              </w:trPr>
              <w:tc>
                <w:tcPr>
                  <w:tcW w:w="963" w:type="pct"/>
                  <w:vMerge w:val="continue"/>
                  <w:tcBorders>
                    <w:left w:val="single" w:color="000000" w:sz="4" w:space="0"/>
                    <w:bottom w:val="single" w:color="000000" w:sz="4" w:space="0"/>
                    <w:right w:val="single" w:color="000000" w:sz="4" w:space="0"/>
                  </w:tcBorders>
                  <w:shd w:val="clear" w:color="auto" w:fill="auto"/>
                  <w:vAlign w:val="center"/>
                </w:tcPr>
                <w:p w14:paraId="4E49D68E">
                  <w:pPr>
                    <w:widowControl/>
                    <w:spacing w:line="360" w:lineRule="auto"/>
                    <w:jc w:val="center"/>
                    <w:textAlignment w:val="center"/>
                    <w:rPr>
                      <w:rFonts w:ascii="宋体" w:hAnsi="宋体" w:eastAsia="宋体" w:cs="宋体"/>
                      <w:color w:val="auto"/>
                      <w:sz w:val="18"/>
                      <w:szCs w:val="18"/>
                      <w:highlight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D075A">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屋面</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64B65">
                  <w:pPr>
                    <w:widowControl/>
                    <w:spacing w:line="360" w:lineRule="auto"/>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kern w:val="0"/>
                      <w:sz w:val="18"/>
                      <w:szCs w:val="18"/>
                      <w:highlight w:val="none"/>
                      <w:lang w:val="en-US" w:eastAsia="zh-CN" w:bidi="ar"/>
                    </w:rPr>
                    <w:t>3533.16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0D93B">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val="en-US" w:eastAsia="zh-CN" w:bidi="ar"/>
                    </w:rPr>
                    <w:t>810.96</w:t>
                  </w:r>
                </w:p>
              </w:tc>
              <w:tc>
                <w:tcPr>
                  <w:tcW w:w="1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80929">
                  <w:pPr>
                    <w:spacing w:line="360" w:lineRule="auto"/>
                    <w:jc w:val="center"/>
                    <w:rPr>
                      <w:rFonts w:ascii="宋体" w:hAnsi="宋体" w:eastAsia="宋体" w:cs="宋体"/>
                      <w:color w:val="auto"/>
                      <w:sz w:val="18"/>
                      <w:szCs w:val="18"/>
                      <w:highlight w:val="none"/>
                    </w:rPr>
                  </w:pPr>
                </w:p>
              </w:tc>
            </w:tr>
            <w:tr w14:paraId="74E1A8E6">
              <w:tblPrEx>
                <w:tblCellMar>
                  <w:top w:w="0" w:type="dxa"/>
                  <w:left w:w="108" w:type="dxa"/>
                  <w:bottom w:w="0" w:type="dxa"/>
                  <w:right w:w="108" w:type="dxa"/>
                </w:tblCellMar>
              </w:tblPrEx>
              <w:trPr>
                <w:trHeight w:val="511" w:hRule="atLeast"/>
              </w:trPr>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D8BB8">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石龙黄洲水厂</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79600">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屋面</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D13B3">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4124.71</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C397F">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946.12</w:t>
                  </w:r>
                </w:p>
              </w:tc>
              <w:tc>
                <w:tcPr>
                  <w:tcW w:w="1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6EDCE">
                  <w:pPr>
                    <w:widowControl/>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取水泵房、配水泵房</w:t>
                  </w:r>
                </w:p>
              </w:tc>
            </w:tr>
            <w:tr w14:paraId="67F3B29B">
              <w:tblPrEx>
                <w:tblCellMar>
                  <w:top w:w="0" w:type="dxa"/>
                  <w:left w:w="108" w:type="dxa"/>
                  <w:bottom w:w="0" w:type="dxa"/>
                  <w:right w:w="108" w:type="dxa"/>
                </w:tblCellMar>
              </w:tblPrEx>
              <w:trPr>
                <w:trHeight w:val="497" w:hRule="atLeast"/>
              </w:trPr>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57143">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第五水厂</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87390">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屋面</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CF63B">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4340.82</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7989E">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993.86</w:t>
                  </w:r>
                </w:p>
              </w:tc>
              <w:tc>
                <w:tcPr>
                  <w:tcW w:w="1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5204D">
                  <w:pPr>
                    <w:widowControl/>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主配电室（排泥水处理主配电室）、脱水机房、投药间、反冲洗泵房、二期配水泵房、一期配水泵房、一期取水泵房、二期取水泵房</w:t>
                  </w:r>
                </w:p>
              </w:tc>
            </w:tr>
            <w:tr w14:paraId="4CD3CD19">
              <w:tblPrEx>
                <w:tblCellMar>
                  <w:top w:w="0" w:type="dxa"/>
                  <w:left w:w="108" w:type="dxa"/>
                  <w:bottom w:w="0" w:type="dxa"/>
                  <w:right w:w="108" w:type="dxa"/>
                </w:tblCellMar>
              </w:tblPrEx>
              <w:trPr>
                <w:trHeight w:val="470" w:hRule="atLeast"/>
              </w:trPr>
              <w:tc>
                <w:tcPr>
                  <w:tcW w:w="9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66B17">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石碣水厂</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41315">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池面</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D3937">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353.86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5ED8D">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81.22</w:t>
                  </w:r>
                </w:p>
              </w:tc>
              <w:tc>
                <w:tcPr>
                  <w:tcW w:w="1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3D233">
                  <w:pPr>
                    <w:spacing w:line="360" w:lineRule="auto"/>
                    <w:jc w:val="center"/>
                    <w:rPr>
                      <w:rFonts w:ascii="宋体" w:hAnsi="宋体" w:eastAsia="宋体" w:cs="宋体"/>
                      <w:color w:val="auto"/>
                      <w:sz w:val="18"/>
                      <w:szCs w:val="18"/>
                      <w:highlight w:val="none"/>
                    </w:rPr>
                  </w:pPr>
                </w:p>
              </w:tc>
            </w:tr>
            <w:tr w14:paraId="2CCE9253">
              <w:tblPrEx>
                <w:tblCellMar>
                  <w:top w:w="0" w:type="dxa"/>
                  <w:left w:w="108" w:type="dxa"/>
                  <w:bottom w:w="0" w:type="dxa"/>
                  <w:right w:w="108" w:type="dxa"/>
                </w:tblCellMar>
              </w:tblPrEx>
              <w:trPr>
                <w:trHeight w:val="470" w:hRule="atLeast"/>
              </w:trPr>
              <w:tc>
                <w:tcPr>
                  <w:tcW w:w="9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2689E">
                  <w:pPr>
                    <w:spacing w:line="360" w:lineRule="auto"/>
                    <w:jc w:val="center"/>
                    <w:rPr>
                      <w:rFonts w:ascii="宋体" w:hAnsi="宋体" w:eastAsia="宋体" w:cs="宋体"/>
                      <w:color w:val="auto"/>
                      <w:sz w:val="18"/>
                      <w:szCs w:val="18"/>
                      <w:highlight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E0798">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屋面</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A3DE4">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2206.87</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20C97">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506.54</w:t>
                  </w:r>
                </w:p>
              </w:tc>
              <w:tc>
                <w:tcPr>
                  <w:tcW w:w="1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73621">
                  <w:pPr>
                    <w:spacing w:line="360" w:lineRule="auto"/>
                    <w:jc w:val="center"/>
                    <w:rPr>
                      <w:rFonts w:ascii="宋体" w:hAnsi="宋体" w:eastAsia="宋体" w:cs="宋体"/>
                      <w:color w:val="auto"/>
                      <w:sz w:val="18"/>
                      <w:szCs w:val="18"/>
                      <w:highlight w:val="none"/>
                    </w:rPr>
                  </w:pPr>
                </w:p>
              </w:tc>
            </w:tr>
            <w:tr w14:paraId="570FD37C">
              <w:tblPrEx>
                <w:tblCellMar>
                  <w:top w:w="0" w:type="dxa"/>
                  <w:left w:w="108" w:type="dxa"/>
                  <w:bottom w:w="0" w:type="dxa"/>
                  <w:right w:w="108" w:type="dxa"/>
                </w:tblCellMar>
              </w:tblPrEx>
              <w:trPr>
                <w:trHeight w:val="429" w:hRule="atLeast"/>
              </w:trPr>
              <w:tc>
                <w:tcPr>
                  <w:tcW w:w="9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62976">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企石水厂</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517D4">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池面</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924D4">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826.56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3EB10">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189.72</w:t>
                  </w:r>
                </w:p>
              </w:tc>
              <w:tc>
                <w:tcPr>
                  <w:tcW w:w="1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0B55D">
                  <w:pPr>
                    <w:spacing w:line="320" w:lineRule="exact"/>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一期清水池、投药间、二期滤池</w:t>
                  </w:r>
                </w:p>
              </w:tc>
            </w:tr>
            <w:tr w14:paraId="1A7468CD">
              <w:tblPrEx>
                <w:tblCellMar>
                  <w:top w:w="0" w:type="dxa"/>
                  <w:left w:w="108" w:type="dxa"/>
                  <w:bottom w:w="0" w:type="dxa"/>
                  <w:right w:w="108" w:type="dxa"/>
                </w:tblCellMar>
              </w:tblPrEx>
              <w:trPr>
                <w:trHeight w:val="511" w:hRule="atLeast"/>
              </w:trPr>
              <w:tc>
                <w:tcPr>
                  <w:tcW w:w="9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C9B7A">
                  <w:pPr>
                    <w:spacing w:line="360" w:lineRule="auto"/>
                    <w:jc w:val="center"/>
                    <w:rPr>
                      <w:rFonts w:ascii="宋体" w:hAnsi="宋体" w:eastAsia="宋体" w:cs="宋体"/>
                      <w:color w:val="auto"/>
                      <w:sz w:val="18"/>
                      <w:szCs w:val="18"/>
                      <w:highlight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E3C1C">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屋面</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C29E5">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1626.12</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FC99D">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373.24</w:t>
                  </w:r>
                </w:p>
              </w:tc>
              <w:tc>
                <w:tcPr>
                  <w:tcW w:w="1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B72A0">
                  <w:pPr>
                    <w:spacing w:line="360" w:lineRule="auto"/>
                    <w:jc w:val="center"/>
                    <w:rPr>
                      <w:rFonts w:ascii="宋体" w:hAnsi="宋体" w:eastAsia="宋体" w:cs="宋体"/>
                      <w:color w:val="auto"/>
                      <w:sz w:val="18"/>
                      <w:szCs w:val="18"/>
                      <w:highlight w:val="none"/>
                    </w:rPr>
                  </w:pPr>
                </w:p>
              </w:tc>
            </w:tr>
            <w:tr w14:paraId="0CC6BE01">
              <w:tblPrEx>
                <w:tblCellMar>
                  <w:top w:w="0" w:type="dxa"/>
                  <w:left w:w="108" w:type="dxa"/>
                  <w:bottom w:w="0" w:type="dxa"/>
                  <w:right w:w="108" w:type="dxa"/>
                </w:tblCellMar>
              </w:tblPrEx>
              <w:trPr>
                <w:trHeight w:val="497" w:hRule="atLeast"/>
              </w:trPr>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C892A">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谢岗第三水厂</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60087">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屋面</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00B85">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2160.94</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57B98">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496</w:t>
                  </w:r>
                </w:p>
              </w:tc>
              <w:tc>
                <w:tcPr>
                  <w:tcW w:w="1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6D67B">
                  <w:pPr>
                    <w:widowControl/>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投药间、反冲洗泵房、配水泵房、配电间</w:t>
                  </w:r>
                </w:p>
              </w:tc>
            </w:tr>
            <w:tr w14:paraId="5D16F8FB">
              <w:tblPrEx>
                <w:tblCellMar>
                  <w:top w:w="0" w:type="dxa"/>
                  <w:left w:w="108" w:type="dxa"/>
                  <w:bottom w:w="0" w:type="dxa"/>
                  <w:right w:w="108" w:type="dxa"/>
                </w:tblCellMar>
              </w:tblPrEx>
              <w:trPr>
                <w:trHeight w:val="902" w:hRule="atLeast"/>
              </w:trPr>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27868">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塘厦凤凰水厂</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6DD3E">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屋面</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BC63E">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1785.48</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DFE69">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409.82</w:t>
                  </w:r>
                </w:p>
              </w:tc>
              <w:tc>
                <w:tcPr>
                  <w:tcW w:w="1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EEC20">
                  <w:pPr>
                    <w:widowControl/>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加药间、滤池、脱水机房、配水泵房（含配电间</w:t>
                  </w:r>
                </w:p>
              </w:tc>
            </w:tr>
            <w:tr w14:paraId="6D32FAC2">
              <w:tblPrEx>
                <w:tblCellMar>
                  <w:top w:w="0" w:type="dxa"/>
                  <w:left w:w="108" w:type="dxa"/>
                  <w:bottom w:w="0" w:type="dxa"/>
                  <w:right w:w="108" w:type="dxa"/>
                </w:tblCellMar>
              </w:tblPrEx>
              <w:trPr>
                <w:trHeight w:val="511" w:hRule="atLeast"/>
              </w:trPr>
              <w:tc>
                <w:tcPr>
                  <w:tcW w:w="9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6D465">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塘厦中心水厂</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31002">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池面</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3D044">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850.87</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124FD">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195.3</w:t>
                  </w:r>
                </w:p>
              </w:tc>
              <w:tc>
                <w:tcPr>
                  <w:tcW w:w="1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6C671">
                  <w:pPr>
                    <w:spacing w:line="320" w:lineRule="exact"/>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1#清水池、3#清水池、一级泵房、送水泵房、综合办公楼、公司仓库、高压泵房</w:t>
                  </w:r>
                </w:p>
              </w:tc>
            </w:tr>
            <w:tr w14:paraId="7B6FBCA5">
              <w:tblPrEx>
                <w:tblCellMar>
                  <w:top w:w="0" w:type="dxa"/>
                  <w:left w:w="108" w:type="dxa"/>
                  <w:bottom w:w="0" w:type="dxa"/>
                  <w:right w:w="108" w:type="dxa"/>
                </w:tblCellMar>
              </w:tblPrEx>
              <w:trPr>
                <w:trHeight w:val="228" w:hRule="atLeast"/>
              </w:trPr>
              <w:tc>
                <w:tcPr>
                  <w:tcW w:w="9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E39C3">
                  <w:pPr>
                    <w:spacing w:line="360" w:lineRule="auto"/>
                    <w:jc w:val="center"/>
                    <w:rPr>
                      <w:rFonts w:ascii="宋体" w:hAnsi="宋体" w:eastAsia="宋体" w:cs="宋体"/>
                      <w:color w:val="auto"/>
                      <w:sz w:val="18"/>
                      <w:szCs w:val="18"/>
                      <w:highlight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71BEE">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屋面</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609B1">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2206.87</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EAC96">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506.54</w:t>
                  </w:r>
                </w:p>
              </w:tc>
              <w:tc>
                <w:tcPr>
                  <w:tcW w:w="1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A11E0">
                  <w:pPr>
                    <w:spacing w:line="360" w:lineRule="auto"/>
                    <w:jc w:val="center"/>
                    <w:rPr>
                      <w:rFonts w:ascii="宋体" w:hAnsi="宋体" w:eastAsia="宋体" w:cs="宋体"/>
                      <w:color w:val="auto"/>
                      <w:sz w:val="18"/>
                      <w:szCs w:val="18"/>
                      <w:highlight w:val="none"/>
                    </w:rPr>
                  </w:pPr>
                </w:p>
              </w:tc>
            </w:tr>
            <w:tr w14:paraId="328D5E2B">
              <w:tblPrEx>
                <w:tblCellMar>
                  <w:top w:w="0" w:type="dxa"/>
                  <w:left w:w="108" w:type="dxa"/>
                  <w:bottom w:w="0" w:type="dxa"/>
                  <w:right w:w="108" w:type="dxa"/>
                </w:tblCellMar>
              </w:tblPrEx>
              <w:trPr>
                <w:trHeight w:val="606" w:hRule="atLeast"/>
              </w:trPr>
              <w:tc>
                <w:tcPr>
                  <w:tcW w:w="9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D9479">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黄江水厂</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7FB50">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池面</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2DF2B">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378.17</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A6931">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86.8</w:t>
                  </w:r>
                </w:p>
              </w:tc>
              <w:tc>
                <w:tcPr>
                  <w:tcW w:w="1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29ADF">
                  <w:pPr>
                    <w:spacing w:line="320" w:lineRule="exact"/>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化验室、二线滤池、送水泵房、投药间、一线宿舍、一线送水泵房、一线原水泵房、一线电房</w:t>
                  </w:r>
                </w:p>
              </w:tc>
            </w:tr>
            <w:tr w14:paraId="67409F6B">
              <w:tblPrEx>
                <w:tblCellMar>
                  <w:top w:w="0" w:type="dxa"/>
                  <w:left w:w="108" w:type="dxa"/>
                  <w:bottom w:w="0" w:type="dxa"/>
                  <w:right w:w="108" w:type="dxa"/>
                </w:tblCellMar>
              </w:tblPrEx>
              <w:trPr>
                <w:trHeight w:val="626" w:hRule="atLeast"/>
              </w:trPr>
              <w:tc>
                <w:tcPr>
                  <w:tcW w:w="9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F0142">
                  <w:pPr>
                    <w:spacing w:line="360" w:lineRule="auto"/>
                    <w:jc w:val="center"/>
                    <w:rPr>
                      <w:rFonts w:ascii="宋体" w:hAnsi="宋体" w:eastAsia="宋体" w:cs="宋体"/>
                      <w:color w:val="auto"/>
                      <w:sz w:val="18"/>
                      <w:szCs w:val="18"/>
                      <w:highlight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B2788">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屋面</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5D526">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2709.3</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10F3F">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621.86</w:t>
                  </w:r>
                </w:p>
              </w:tc>
              <w:tc>
                <w:tcPr>
                  <w:tcW w:w="1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FA24E">
                  <w:pPr>
                    <w:spacing w:line="360" w:lineRule="auto"/>
                    <w:jc w:val="center"/>
                    <w:rPr>
                      <w:rFonts w:ascii="宋体" w:hAnsi="宋体" w:eastAsia="宋体" w:cs="宋体"/>
                      <w:color w:val="auto"/>
                      <w:sz w:val="18"/>
                      <w:szCs w:val="18"/>
                      <w:highlight w:val="none"/>
                    </w:rPr>
                  </w:pPr>
                </w:p>
              </w:tc>
            </w:tr>
            <w:tr w14:paraId="7AF9A372">
              <w:tblPrEx>
                <w:tblCellMar>
                  <w:top w:w="0" w:type="dxa"/>
                  <w:left w:w="108" w:type="dxa"/>
                  <w:bottom w:w="0" w:type="dxa"/>
                  <w:right w:w="108" w:type="dxa"/>
                </w:tblCellMar>
              </w:tblPrEx>
              <w:trPr>
                <w:trHeight w:val="457" w:hRule="atLeast"/>
              </w:trPr>
              <w:tc>
                <w:tcPr>
                  <w:tcW w:w="9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040C4">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凤岗第二水厂</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61713">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池面</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EE961">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994.04</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A01D4">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228.16</w:t>
                  </w:r>
                </w:p>
              </w:tc>
              <w:tc>
                <w:tcPr>
                  <w:tcW w:w="1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9B133">
                  <w:pPr>
                    <w:spacing w:line="360" w:lineRule="auto"/>
                    <w:jc w:val="center"/>
                    <w:rPr>
                      <w:rFonts w:ascii="宋体" w:hAnsi="宋体" w:eastAsia="宋体" w:cs="宋体"/>
                      <w:color w:val="auto"/>
                      <w:sz w:val="18"/>
                      <w:szCs w:val="18"/>
                      <w:highlight w:val="none"/>
                    </w:rPr>
                  </w:pPr>
                </w:p>
              </w:tc>
            </w:tr>
            <w:tr w14:paraId="63B15517">
              <w:tblPrEx>
                <w:tblCellMar>
                  <w:top w:w="0" w:type="dxa"/>
                  <w:left w:w="108" w:type="dxa"/>
                  <w:bottom w:w="0" w:type="dxa"/>
                  <w:right w:w="108" w:type="dxa"/>
                </w:tblCellMar>
              </w:tblPrEx>
              <w:trPr>
                <w:trHeight w:val="420" w:hRule="atLeast"/>
              </w:trPr>
              <w:tc>
                <w:tcPr>
                  <w:tcW w:w="9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32DC1">
                  <w:pPr>
                    <w:spacing w:line="360" w:lineRule="auto"/>
                    <w:jc w:val="center"/>
                    <w:rPr>
                      <w:rFonts w:ascii="宋体" w:hAnsi="宋体" w:eastAsia="宋体" w:cs="宋体"/>
                      <w:color w:val="auto"/>
                      <w:sz w:val="18"/>
                      <w:szCs w:val="18"/>
                      <w:highlight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9274C">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屋面</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45E82">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1188.52</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88EF0">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272.8</w:t>
                  </w:r>
                </w:p>
              </w:tc>
              <w:tc>
                <w:tcPr>
                  <w:tcW w:w="1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0A26F">
                  <w:pPr>
                    <w:spacing w:line="360" w:lineRule="auto"/>
                    <w:jc w:val="center"/>
                    <w:rPr>
                      <w:rFonts w:ascii="宋体" w:hAnsi="宋体" w:eastAsia="宋体" w:cs="宋体"/>
                      <w:color w:val="auto"/>
                      <w:sz w:val="18"/>
                      <w:szCs w:val="18"/>
                      <w:highlight w:val="none"/>
                    </w:rPr>
                  </w:pPr>
                </w:p>
              </w:tc>
            </w:tr>
            <w:tr w14:paraId="7B87B376">
              <w:tblPrEx>
                <w:tblCellMar>
                  <w:top w:w="0" w:type="dxa"/>
                  <w:left w:w="108" w:type="dxa"/>
                  <w:bottom w:w="0" w:type="dxa"/>
                  <w:right w:w="108" w:type="dxa"/>
                </w:tblCellMar>
              </w:tblPrEx>
              <w:trPr>
                <w:trHeight w:val="420" w:hRule="atLeast"/>
              </w:trPr>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8F227">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樟木头簕竹排水厂</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A2E9C">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屋面</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81FBD">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2204.17</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59187">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505.92</w:t>
                  </w:r>
                </w:p>
              </w:tc>
              <w:tc>
                <w:tcPr>
                  <w:tcW w:w="1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0D588">
                  <w:pPr>
                    <w:spacing w:line="360" w:lineRule="auto"/>
                    <w:jc w:val="center"/>
                    <w:rPr>
                      <w:rFonts w:ascii="宋体" w:hAnsi="宋体" w:eastAsia="宋体" w:cs="宋体"/>
                      <w:color w:val="auto"/>
                      <w:sz w:val="18"/>
                      <w:szCs w:val="18"/>
                      <w:highlight w:val="none"/>
                    </w:rPr>
                  </w:pPr>
                </w:p>
              </w:tc>
            </w:tr>
            <w:tr w14:paraId="152B5712">
              <w:tblPrEx>
                <w:tblCellMar>
                  <w:top w:w="0" w:type="dxa"/>
                  <w:left w:w="108" w:type="dxa"/>
                  <w:bottom w:w="0" w:type="dxa"/>
                  <w:right w:w="108" w:type="dxa"/>
                </w:tblCellMar>
              </w:tblPrEx>
              <w:trPr>
                <w:trHeight w:val="377" w:hRule="atLeast"/>
              </w:trPr>
              <w:tc>
                <w:tcPr>
                  <w:tcW w:w="9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38B69">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塘厦虾公岩水厂</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C9332">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池面</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A5E44">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378.17</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A2187">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86.8</w:t>
                  </w:r>
                </w:p>
              </w:tc>
              <w:tc>
                <w:tcPr>
                  <w:tcW w:w="1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E5B21">
                  <w:pPr>
                    <w:spacing w:line="360" w:lineRule="auto"/>
                    <w:jc w:val="center"/>
                    <w:rPr>
                      <w:rFonts w:ascii="宋体" w:hAnsi="宋体" w:eastAsia="宋体" w:cs="宋体"/>
                      <w:color w:val="auto"/>
                      <w:sz w:val="18"/>
                      <w:szCs w:val="18"/>
                      <w:highlight w:val="none"/>
                    </w:rPr>
                  </w:pPr>
                </w:p>
              </w:tc>
            </w:tr>
            <w:tr w14:paraId="58E456CF">
              <w:tblPrEx>
                <w:tblCellMar>
                  <w:top w:w="0" w:type="dxa"/>
                  <w:left w:w="108" w:type="dxa"/>
                  <w:bottom w:w="0" w:type="dxa"/>
                  <w:right w:w="108" w:type="dxa"/>
                </w:tblCellMar>
              </w:tblPrEx>
              <w:trPr>
                <w:trHeight w:val="447" w:hRule="atLeast"/>
              </w:trPr>
              <w:tc>
                <w:tcPr>
                  <w:tcW w:w="9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9BAA3">
                  <w:pPr>
                    <w:spacing w:line="360" w:lineRule="auto"/>
                    <w:jc w:val="center"/>
                    <w:rPr>
                      <w:rFonts w:ascii="宋体" w:hAnsi="宋体" w:eastAsia="宋体" w:cs="宋体"/>
                      <w:color w:val="auto"/>
                      <w:sz w:val="18"/>
                      <w:szCs w:val="18"/>
                      <w:highlight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D20D9">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屋面</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62262">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2147.44</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F513C">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492.9</w:t>
                  </w:r>
                </w:p>
              </w:tc>
              <w:tc>
                <w:tcPr>
                  <w:tcW w:w="1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D59D0">
                  <w:pPr>
                    <w:spacing w:line="360" w:lineRule="auto"/>
                    <w:jc w:val="center"/>
                    <w:rPr>
                      <w:rFonts w:ascii="宋体" w:hAnsi="宋体" w:eastAsia="宋体" w:cs="宋体"/>
                      <w:color w:val="auto"/>
                      <w:sz w:val="18"/>
                      <w:szCs w:val="18"/>
                      <w:highlight w:val="none"/>
                    </w:rPr>
                  </w:pPr>
                </w:p>
              </w:tc>
            </w:tr>
            <w:tr w14:paraId="17CA3E89">
              <w:tblPrEx>
                <w:tblCellMar>
                  <w:top w:w="0" w:type="dxa"/>
                  <w:left w:w="108" w:type="dxa"/>
                  <w:bottom w:w="0" w:type="dxa"/>
                  <w:right w:w="108" w:type="dxa"/>
                </w:tblCellMar>
              </w:tblPrEx>
              <w:trPr>
                <w:trHeight w:val="422" w:hRule="atLeast"/>
              </w:trPr>
              <w:tc>
                <w:tcPr>
                  <w:tcW w:w="9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98C30">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市第三水厂</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EDDDD">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池面</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BA5FB">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2649.87</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68A8A">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608.22</w:t>
                  </w:r>
                </w:p>
              </w:tc>
              <w:tc>
                <w:tcPr>
                  <w:tcW w:w="1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1929B">
                  <w:pPr>
                    <w:spacing w:line="360" w:lineRule="auto"/>
                    <w:jc w:val="center"/>
                    <w:rPr>
                      <w:rFonts w:ascii="宋体" w:hAnsi="宋体" w:eastAsia="宋体" w:cs="宋体"/>
                      <w:color w:val="auto"/>
                      <w:sz w:val="18"/>
                      <w:szCs w:val="18"/>
                      <w:highlight w:val="none"/>
                    </w:rPr>
                  </w:pPr>
                </w:p>
              </w:tc>
            </w:tr>
            <w:tr w14:paraId="50EC54C7">
              <w:tblPrEx>
                <w:tblCellMar>
                  <w:top w:w="0" w:type="dxa"/>
                  <w:left w:w="108" w:type="dxa"/>
                  <w:bottom w:w="0" w:type="dxa"/>
                  <w:right w:w="108" w:type="dxa"/>
                </w:tblCellMar>
              </w:tblPrEx>
              <w:trPr>
                <w:trHeight w:val="446" w:hRule="atLeast"/>
              </w:trPr>
              <w:tc>
                <w:tcPr>
                  <w:tcW w:w="9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12584">
                  <w:pPr>
                    <w:spacing w:line="360" w:lineRule="auto"/>
                    <w:jc w:val="center"/>
                    <w:rPr>
                      <w:rFonts w:ascii="宋体" w:hAnsi="宋体" w:eastAsia="宋体" w:cs="宋体"/>
                      <w:color w:val="auto"/>
                      <w:sz w:val="18"/>
                      <w:szCs w:val="18"/>
                      <w:highlight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6C615">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屋面</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621A9">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3989.65</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F029F">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677.04</w:t>
                  </w:r>
                </w:p>
              </w:tc>
              <w:tc>
                <w:tcPr>
                  <w:tcW w:w="1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01ECC">
                  <w:pPr>
                    <w:spacing w:line="360" w:lineRule="auto"/>
                    <w:jc w:val="center"/>
                    <w:rPr>
                      <w:rFonts w:ascii="宋体" w:hAnsi="宋体" w:eastAsia="宋体" w:cs="宋体"/>
                      <w:color w:val="auto"/>
                      <w:sz w:val="18"/>
                      <w:szCs w:val="18"/>
                      <w:highlight w:val="none"/>
                    </w:rPr>
                  </w:pPr>
                </w:p>
              </w:tc>
            </w:tr>
            <w:tr w14:paraId="1744BDF8">
              <w:tblPrEx>
                <w:tblCellMar>
                  <w:top w:w="0" w:type="dxa"/>
                  <w:left w:w="108" w:type="dxa"/>
                  <w:bottom w:w="0" w:type="dxa"/>
                  <w:right w:w="108" w:type="dxa"/>
                </w:tblCellMar>
              </w:tblPrEx>
              <w:trPr>
                <w:trHeight w:val="446" w:hRule="atLeast"/>
              </w:trPr>
              <w:tc>
                <w:tcPr>
                  <w:tcW w:w="23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AF01F2">
                  <w:pPr>
                    <w:widowControl/>
                    <w:spacing w:line="360" w:lineRule="auto"/>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b/>
                      <w:bCs/>
                      <w:color w:val="auto"/>
                      <w:kern w:val="0"/>
                      <w:sz w:val="18"/>
                      <w:szCs w:val="18"/>
                      <w:highlight w:val="none"/>
                      <w:lang w:bidi="ar"/>
                    </w:rPr>
                    <w:t>暂定总装机容量（单位：kWp）</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4D521">
                  <w:pPr>
                    <w:widowControl/>
                    <w:spacing w:line="360" w:lineRule="auto"/>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b/>
                      <w:bCs/>
                      <w:color w:val="auto"/>
                      <w:kern w:val="0"/>
                      <w:sz w:val="18"/>
                      <w:szCs w:val="18"/>
                      <w:highlight w:val="none"/>
                      <w:lang w:bidi="ar"/>
                    </w:rPr>
                    <w:t>10491.02</w:t>
                  </w:r>
                </w:p>
              </w:tc>
              <w:tc>
                <w:tcPr>
                  <w:tcW w:w="1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BE98D">
                  <w:pPr>
                    <w:spacing w:line="360" w:lineRule="auto"/>
                    <w:jc w:val="center"/>
                    <w:rPr>
                      <w:rFonts w:ascii="宋体" w:hAnsi="宋体" w:eastAsia="宋体" w:cs="宋体"/>
                      <w:color w:val="auto"/>
                      <w:sz w:val="18"/>
                      <w:szCs w:val="18"/>
                      <w:highlight w:val="none"/>
                    </w:rPr>
                  </w:pPr>
                </w:p>
              </w:tc>
            </w:tr>
            <w:tr w14:paraId="20769DFF">
              <w:tblPrEx>
                <w:tblCellMar>
                  <w:top w:w="0" w:type="dxa"/>
                  <w:left w:w="108" w:type="dxa"/>
                  <w:bottom w:w="0" w:type="dxa"/>
                  <w:right w:w="108" w:type="dxa"/>
                </w:tblCellMar>
              </w:tblPrEx>
              <w:trPr>
                <w:trHeight w:val="78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B7D77B">
                  <w:pPr>
                    <w:spacing w:line="320" w:lineRule="exact"/>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注：新增踏步钢梯费用由投标人承担，投标人须在投标报价中全额计入此项费用，中标后不再另行调整。</w:t>
                  </w:r>
                </w:p>
              </w:tc>
            </w:tr>
          </w:tbl>
          <w:p w14:paraId="6F210805">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2、服务内容：</w:t>
            </w:r>
          </w:p>
          <w:p w14:paraId="1868B3A7">
            <w:pPr>
              <w:adjustRightInd w:val="0"/>
              <w:spacing w:line="360" w:lineRule="auto"/>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本项目按图纸、用户需求书、合同范围总承包，包括但不限于完成太阳能光伏组件至并网点全部项目的勘察与设计、设备材料供应及安装（含并网设施、光伏组件、交流汇流箱、逆变器、开关柜、光伏支架、电缆、监控、防雷及</w:t>
            </w:r>
            <w:r>
              <w:rPr>
                <w:rFonts w:hint="eastAsia" w:ascii="宋体" w:hAnsi="宋体" w:eastAsia="宋体" w:cs="宋体"/>
                <w:color w:val="auto"/>
                <w:sz w:val="18"/>
                <w:szCs w:val="18"/>
                <w:highlight w:val="none"/>
                <w:lang w:val="zh-CN"/>
              </w:rPr>
              <w:t>安全等配套设施</w:t>
            </w:r>
            <w:r>
              <w:rPr>
                <w:rFonts w:hint="eastAsia" w:ascii="宋体" w:hAnsi="宋体" w:eastAsia="宋体" w:cs="宋体"/>
                <w:color w:val="auto"/>
                <w:sz w:val="18"/>
                <w:szCs w:val="18"/>
                <w:highlight w:val="none"/>
              </w:rPr>
              <w:t>等光伏发电项目所有设备材料，运输、储存），以及在各供水厂现状条件下为满足本项目实施的相关拆除、迁改、基础制作、安装，按厂区要求增设的钢结构室外楼梯和安全线缆，电网接入系统检测、全部项目系统调试及试运、验收（含为满足并网条件，需按供电局要求完成线路改造、安健环改造、网络安防、电能质量优化及调度控制系统建设等相关工作</w:t>
            </w:r>
            <w:r>
              <w:rPr>
                <w:rFonts w:hint="eastAsia" w:ascii="宋体" w:hAnsi="宋体" w:eastAsia="宋体" w:cs="宋体"/>
                <w:bCs/>
                <w:color w:val="auto"/>
                <w:sz w:val="18"/>
                <w:szCs w:val="18"/>
                <w:highlight w:val="none"/>
              </w:rPr>
              <w:t>，以及供电局所需的试验</w:t>
            </w:r>
            <w:r>
              <w:rPr>
                <w:rFonts w:hint="eastAsia" w:ascii="宋体" w:hAnsi="宋体" w:eastAsia="宋体" w:cs="宋体"/>
                <w:color w:val="auto"/>
                <w:sz w:val="18"/>
                <w:szCs w:val="18"/>
                <w:highlight w:val="none"/>
              </w:rPr>
              <w:t>）并交付生产、培训、质量保修期内的消缺等完成并网投运全过程的工作，办理从项目备案到供电局并网投运全过程中所需的各类手续，在满足合同其它责任和义务的同时使本项目符合相关达标验收的要求，提供1年的</w:t>
            </w:r>
            <w:r>
              <w:rPr>
                <w:rFonts w:hint="eastAsia" w:ascii="宋体" w:hAnsi="宋体" w:eastAsia="宋体" w:cs="宋体"/>
                <w:color w:val="auto"/>
                <w:sz w:val="18"/>
                <w:szCs w:val="18"/>
                <w:highlight w:val="none"/>
                <w:lang w:val="zh-CN"/>
              </w:rPr>
              <w:t>运营维护服务</w:t>
            </w:r>
            <w:r>
              <w:rPr>
                <w:rFonts w:hint="eastAsia" w:ascii="宋体" w:hAnsi="宋体" w:eastAsia="宋体" w:cs="宋体"/>
                <w:color w:val="auto"/>
                <w:sz w:val="18"/>
                <w:szCs w:val="18"/>
                <w:highlight w:val="none"/>
              </w:rPr>
              <w:t>。</w:t>
            </w:r>
          </w:p>
        </w:tc>
        <w:tc>
          <w:tcPr>
            <w:tcW w:w="325" w:type="pct"/>
            <w:vAlign w:val="center"/>
          </w:tcPr>
          <w:p w14:paraId="6E8742AA">
            <w:pPr>
              <w:keepNext/>
              <w:keepLines/>
              <w:spacing w:line="360" w:lineRule="auto"/>
              <w:jc w:val="center"/>
              <w:rPr>
                <w:rFonts w:ascii="宋体" w:hAnsi="宋体" w:eastAsia="宋体" w:cs="宋体"/>
                <w:color w:val="auto"/>
                <w:kern w:val="0"/>
                <w:sz w:val="18"/>
                <w:szCs w:val="18"/>
                <w:highlight w:val="none"/>
              </w:rPr>
            </w:pPr>
          </w:p>
        </w:tc>
        <w:tc>
          <w:tcPr>
            <w:tcW w:w="393" w:type="pct"/>
            <w:vAlign w:val="center"/>
          </w:tcPr>
          <w:p w14:paraId="30959EA4">
            <w:pPr>
              <w:keepNext/>
              <w:keepLines/>
              <w:spacing w:line="360" w:lineRule="auto"/>
              <w:jc w:val="center"/>
              <w:rPr>
                <w:rFonts w:ascii="宋体" w:hAnsi="宋体" w:eastAsia="宋体" w:cs="宋体"/>
                <w:color w:val="auto"/>
                <w:kern w:val="0"/>
                <w:sz w:val="18"/>
                <w:szCs w:val="18"/>
                <w:highlight w:val="none"/>
              </w:rPr>
            </w:pPr>
          </w:p>
        </w:tc>
        <w:tc>
          <w:tcPr>
            <w:tcW w:w="388" w:type="pct"/>
            <w:vAlign w:val="center"/>
          </w:tcPr>
          <w:p w14:paraId="1811DFB5">
            <w:pPr>
              <w:keepNext/>
              <w:keepLines/>
              <w:spacing w:line="360" w:lineRule="auto"/>
              <w:jc w:val="center"/>
              <w:rPr>
                <w:rFonts w:ascii="宋体" w:hAnsi="宋体" w:eastAsia="宋体" w:cs="宋体"/>
                <w:color w:val="auto"/>
                <w:kern w:val="0"/>
                <w:sz w:val="18"/>
                <w:szCs w:val="18"/>
                <w:highlight w:val="none"/>
              </w:rPr>
            </w:pPr>
          </w:p>
        </w:tc>
      </w:tr>
      <w:tr w14:paraId="54CB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4" w:type="pct"/>
            <w:vAlign w:val="center"/>
          </w:tcPr>
          <w:p w14:paraId="62D190F4">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488" w:type="pct"/>
            <w:vAlign w:val="center"/>
          </w:tcPr>
          <w:p w14:paraId="6BAFDF80">
            <w:pPr>
              <w:spacing w:line="360" w:lineRule="auto"/>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三、费用说明</w:t>
            </w:r>
          </w:p>
          <w:p w14:paraId="118B4C56">
            <w:pPr>
              <w:spacing w:line="360" w:lineRule="auto"/>
              <w:jc w:val="center"/>
              <w:rPr>
                <w:rFonts w:ascii="宋体" w:hAnsi="宋体" w:eastAsia="宋体" w:cs="宋体"/>
                <w:color w:val="auto"/>
                <w:sz w:val="18"/>
                <w:szCs w:val="18"/>
                <w:highlight w:val="none"/>
                <w:lang w:val="zh-CN"/>
              </w:rPr>
            </w:pPr>
          </w:p>
        </w:tc>
        <w:tc>
          <w:tcPr>
            <w:tcW w:w="3149" w:type="pct"/>
            <w:vAlign w:val="center"/>
          </w:tcPr>
          <w:p w14:paraId="21FF8DA6">
            <w:pPr>
              <w:widowControl/>
              <w:tabs>
                <w:tab w:val="center" w:pos="3125"/>
              </w:tabs>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项目经供电局验收通过且全容量并网发电后1年内的全部运维费（含日常办公、设备巡检、维修养护、组件清洗、耗材更换、人员工资及保险、管理酬金等所有相关费用）均已包含在总承包费用中，中标人须自行承担上述全部成本，招标人不再另行支付任何费用。</w:t>
            </w:r>
          </w:p>
          <w:p w14:paraId="6F377D4E">
            <w:pPr>
              <w:pStyle w:val="24"/>
              <w:spacing w:line="360" w:lineRule="auto"/>
              <w:ind w:firstLine="420"/>
              <w:rPr>
                <w:rFonts w:hAnsi="宋体" w:cs="宋体"/>
                <w:color w:val="auto"/>
                <w:sz w:val="18"/>
                <w:szCs w:val="18"/>
                <w:highlight w:val="none"/>
              </w:rPr>
            </w:pPr>
            <w:r>
              <w:rPr>
                <w:rFonts w:hint="eastAsia" w:hAnsi="宋体" w:cs="宋体"/>
                <w:color w:val="auto"/>
                <w:sz w:val="18"/>
                <w:szCs w:val="18"/>
                <w:highlight w:val="none"/>
              </w:rPr>
              <w:t>3、项目实施过程中，与本项目相关的原建（构）筑物的拆除、设备迁改（生产设备除外）、原彩钢瓦屋顶、车棚顶拆除或为方便厂区后期运维，按厂区要求增设的室外楼梯（钢结构）和安全线缆等，其费用包含在总承包费用里。</w:t>
            </w:r>
          </w:p>
          <w:p w14:paraId="7136157B">
            <w:pPr>
              <w:pStyle w:val="24"/>
              <w:spacing w:line="360" w:lineRule="auto"/>
              <w:ind w:firstLine="420"/>
              <w:rPr>
                <w:rFonts w:hAnsi="宋体" w:cs="宋体"/>
                <w:color w:val="auto"/>
                <w:sz w:val="18"/>
                <w:szCs w:val="18"/>
                <w:highlight w:val="none"/>
              </w:rPr>
            </w:pPr>
            <w:r>
              <w:rPr>
                <w:rFonts w:hint="eastAsia" w:hAnsi="宋体" w:cs="宋体"/>
                <w:color w:val="auto"/>
                <w:sz w:val="18"/>
                <w:szCs w:val="18"/>
                <w:highlight w:val="none"/>
              </w:rPr>
              <w:t>4、项目实施过程中需按要求办理项目的全部手续及合规性工作，包括但不限于：（1）向项目所在地相关主管部门办理备案手续；（2）供电局对项目接入意见办理、接入方案的设计、评审、接入施工图纸的设计、评审、接入系统的设备、材料的采购、施工、调试以及竣工验收；（3）政府部门或售电公司上网项目核准；（4）为满足并网条件，需按供电局要求完成线路改造、安健环改造、网络安防、电能质量优化及调度控制系统建设等相关工作。前述所有手续的办理、协调及实施费用均已包含在总承包费用中，不因任何原因调整总承包费用。投标人须自行承担因手续延误或变更产生的全部责任及额外成本。</w:t>
            </w:r>
          </w:p>
          <w:p w14:paraId="3862C3E8">
            <w:pPr>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5、投标人需负责项目招标范围内的设计、供货、施工和验收及满足并网投运所需要的一切手续，即便在招标范围内没有载明，但实际证明是确保项目发电运行所必须的，则需纳入设计、采购、安装及提供服务范围。</w:t>
            </w:r>
          </w:p>
          <w:p w14:paraId="32F5102E">
            <w:pPr>
              <w:spacing w:line="360" w:lineRule="auto"/>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6、接入方式以供电局批复为准；技术要求以本用户需求书“五、光伏发电设施技术要求”为准。根据项目的要求，等保测评、涉网试验等包括在本次招标范围内。</w:t>
            </w:r>
          </w:p>
        </w:tc>
        <w:tc>
          <w:tcPr>
            <w:tcW w:w="325" w:type="pct"/>
            <w:vAlign w:val="center"/>
          </w:tcPr>
          <w:p w14:paraId="7EE7BAED">
            <w:pPr>
              <w:keepNext/>
              <w:keepLines/>
              <w:spacing w:line="360" w:lineRule="auto"/>
              <w:jc w:val="center"/>
              <w:rPr>
                <w:rFonts w:ascii="宋体" w:hAnsi="宋体" w:eastAsia="宋体" w:cs="宋体"/>
                <w:color w:val="auto"/>
                <w:kern w:val="0"/>
                <w:sz w:val="18"/>
                <w:szCs w:val="18"/>
                <w:highlight w:val="none"/>
              </w:rPr>
            </w:pPr>
          </w:p>
        </w:tc>
        <w:tc>
          <w:tcPr>
            <w:tcW w:w="393" w:type="pct"/>
            <w:vAlign w:val="center"/>
          </w:tcPr>
          <w:p w14:paraId="072143AA">
            <w:pPr>
              <w:keepNext/>
              <w:keepLines/>
              <w:spacing w:line="360" w:lineRule="auto"/>
              <w:jc w:val="center"/>
              <w:rPr>
                <w:rFonts w:ascii="宋体" w:hAnsi="宋体" w:eastAsia="宋体" w:cs="宋体"/>
                <w:color w:val="auto"/>
                <w:kern w:val="0"/>
                <w:sz w:val="18"/>
                <w:szCs w:val="18"/>
                <w:highlight w:val="none"/>
              </w:rPr>
            </w:pPr>
          </w:p>
        </w:tc>
        <w:tc>
          <w:tcPr>
            <w:tcW w:w="388" w:type="pct"/>
            <w:vAlign w:val="center"/>
          </w:tcPr>
          <w:p w14:paraId="71D52A06">
            <w:pPr>
              <w:keepNext/>
              <w:keepLines/>
              <w:spacing w:line="360" w:lineRule="auto"/>
              <w:jc w:val="center"/>
              <w:rPr>
                <w:rFonts w:ascii="宋体" w:hAnsi="宋体" w:eastAsia="宋体" w:cs="宋体"/>
                <w:color w:val="auto"/>
                <w:kern w:val="0"/>
                <w:sz w:val="18"/>
                <w:szCs w:val="18"/>
                <w:highlight w:val="none"/>
              </w:rPr>
            </w:pPr>
          </w:p>
        </w:tc>
      </w:tr>
      <w:tr w14:paraId="4F76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4" w:type="pct"/>
            <w:vAlign w:val="center"/>
          </w:tcPr>
          <w:p w14:paraId="69F67A52">
            <w:pPr>
              <w:spacing w:line="360" w:lineRule="auto"/>
              <w:jc w:val="center"/>
              <w:rPr>
                <w:rFonts w:ascii="宋体" w:hAnsi="宋体" w:eastAsia="宋体" w:cs="宋体"/>
                <w:color w:val="auto"/>
                <w:kern w:val="0"/>
                <w:sz w:val="18"/>
                <w:szCs w:val="18"/>
                <w:highlight w:val="none"/>
              </w:rPr>
            </w:pPr>
            <w:bookmarkStart w:id="1316" w:name="_Toc4860"/>
            <w:bookmarkStart w:id="1317" w:name="_Toc195714402"/>
            <w:bookmarkStart w:id="1318" w:name="_Toc32583"/>
            <w:bookmarkStart w:id="1319" w:name="_Toc440"/>
            <w:r>
              <w:rPr>
                <w:rFonts w:hint="eastAsia" w:ascii="宋体" w:hAnsi="宋体" w:eastAsia="宋体" w:cs="宋体"/>
                <w:color w:val="auto"/>
                <w:kern w:val="0"/>
                <w:sz w:val="18"/>
                <w:szCs w:val="18"/>
                <w:highlight w:val="none"/>
              </w:rPr>
              <w:t>4</w:t>
            </w:r>
          </w:p>
        </w:tc>
        <w:tc>
          <w:tcPr>
            <w:tcW w:w="488" w:type="pct"/>
            <w:vAlign w:val="center"/>
          </w:tcPr>
          <w:p w14:paraId="526C65BC">
            <w:pPr>
              <w:widowControl/>
              <w:spacing w:line="360" w:lineRule="auto"/>
              <w:jc w:val="center"/>
              <w:rPr>
                <w:rFonts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rPr>
              <w:t>四</w:t>
            </w:r>
            <w:r>
              <w:rPr>
                <w:rFonts w:hint="eastAsia" w:ascii="宋体" w:hAnsi="宋体" w:eastAsia="宋体" w:cs="宋体"/>
                <w:b/>
                <w:color w:val="auto"/>
                <w:sz w:val="18"/>
                <w:szCs w:val="18"/>
                <w:highlight w:val="none"/>
                <w:lang w:val="zh-CN"/>
              </w:rPr>
              <w:t>、设计规范和设计依据</w:t>
            </w:r>
          </w:p>
          <w:p w14:paraId="6467FB64">
            <w:pPr>
              <w:spacing w:line="360" w:lineRule="auto"/>
              <w:jc w:val="center"/>
              <w:rPr>
                <w:rFonts w:ascii="宋体" w:hAnsi="宋体" w:eastAsia="宋体" w:cs="宋体"/>
                <w:color w:val="auto"/>
                <w:sz w:val="18"/>
                <w:szCs w:val="18"/>
                <w:highlight w:val="none"/>
              </w:rPr>
            </w:pPr>
          </w:p>
        </w:tc>
        <w:tc>
          <w:tcPr>
            <w:tcW w:w="3149" w:type="pct"/>
            <w:vAlign w:val="center"/>
          </w:tcPr>
          <w:p w14:paraId="34335F50">
            <w:pPr>
              <w:wordWrap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（1）建筑平面、总平面；其他相关专业提出的要求。</w:t>
            </w:r>
          </w:p>
          <w:p w14:paraId="623076B2">
            <w:pPr>
              <w:wordWrap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（2）招标人所提供的可行性研究报告、房屋检定报告、原厂区设计图纸等资料。</w:t>
            </w:r>
          </w:p>
          <w:p w14:paraId="5E822720">
            <w:pPr>
              <w:wordWrap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（3）国家及省的有关规范、标准、规程：</w:t>
            </w:r>
          </w:p>
          <w:p w14:paraId="6A91AB57">
            <w:pPr>
              <w:wordWrap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《光伏发电站防雷技术规程》 DL/T 1364-2014(国家能源局)</w:t>
            </w:r>
          </w:p>
          <w:p w14:paraId="062C8E08">
            <w:pPr>
              <w:wordWrap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《光伏并网逆变器技术规范》 NB/T 32004-2018(国家能源局)</w:t>
            </w:r>
          </w:p>
          <w:p w14:paraId="03970EF5">
            <w:pPr>
              <w:wordWrap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《光伏发电站电能质量检测技术规程》 NB/T 32006-2013(国家能源局)</w:t>
            </w:r>
          </w:p>
          <w:p w14:paraId="55B6980D">
            <w:pPr>
              <w:wordWrap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《光伏发电站功率预测系统技术要求》 NB/T 32011-2013(国家能源局)</w:t>
            </w:r>
          </w:p>
          <w:p w14:paraId="5B655E6B">
            <w:pPr>
              <w:wordWrap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《光伏发电站防孤岛效应检测技术规程》 NB/T 32014-2013(国家能源局)</w:t>
            </w:r>
          </w:p>
          <w:p w14:paraId="1D1C3B4D">
            <w:pPr>
              <w:wordWrap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《并网光伏发电监控系统技术规范》 NB/T 32016-2013(国家能源局)</w:t>
            </w:r>
          </w:p>
          <w:p w14:paraId="1FCB9931">
            <w:pPr>
              <w:wordWrap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《太阳能光伏系统防雷技术规范》 QX/T 263-2015(中国气象局)</w:t>
            </w:r>
          </w:p>
          <w:p w14:paraId="1D8BBA8A">
            <w:pPr>
              <w:wordWrap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《光伏发电接入配电网设计规范》 GB/T 50865-2013</w:t>
            </w:r>
          </w:p>
          <w:p w14:paraId="50B755C6">
            <w:pPr>
              <w:wordWrap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《光伏发电站接入电力系统设计规范》 GB/T 50866-2013</w:t>
            </w:r>
          </w:p>
          <w:p w14:paraId="363258E9">
            <w:pPr>
              <w:wordWrap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《光伏发电站继电保护技术规范》 GB/T 32900-2016</w:t>
            </w:r>
          </w:p>
          <w:p w14:paraId="427FA57C">
            <w:pPr>
              <w:wordWrap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《分布式光伏发电系统接入电网技术规范》 Q/CSG_1211001-2014</w:t>
            </w:r>
          </w:p>
          <w:p w14:paraId="20D20FFC">
            <w:pPr>
              <w:wordWrap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《光伏发电站接入电网技术规范》 Q/CSG_1211002-2014</w:t>
            </w:r>
          </w:p>
          <w:p w14:paraId="2F63E542">
            <w:pPr>
              <w:wordWrap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《光伏发电并网技术标准》 Q/CSG_1211006-2016</w:t>
            </w:r>
          </w:p>
          <w:p w14:paraId="79FE6596">
            <w:pPr>
              <w:wordWrap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《并网光伏发电站监控系统技术规范》 Q/CSG_1211011-2016</w:t>
            </w:r>
          </w:p>
          <w:p w14:paraId="41D1473D">
            <w:pPr>
              <w:wordWrap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《光伏发电站设计标准》 GB50797-2012</w:t>
            </w:r>
          </w:p>
          <w:p w14:paraId="0094FC86">
            <w:pPr>
              <w:wordWrap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《建筑结构荷载规范》 GB50009-2012</w:t>
            </w:r>
          </w:p>
          <w:p w14:paraId="2751C07D">
            <w:pPr>
              <w:wordWrap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《建筑物防雷设计规范》 GB50057-2010</w:t>
            </w:r>
          </w:p>
          <w:p w14:paraId="47BFFA8F">
            <w:pPr>
              <w:spacing w:line="360" w:lineRule="auto"/>
              <w:rPr>
                <w:rFonts w:ascii="宋体" w:hAnsi="宋体" w:eastAsia="宋体" w:cs="宋体"/>
                <w:b/>
                <w:color w:val="auto"/>
                <w:sz w:val="18"/>
                <w:szCs w:val="18"/>
                <w:highlight w:val="none"/>
              </w:rPr>
            </w:pPr>
            <w:r>
              <w:rPr>
                <w:rFonts w:hint="eastAsia" w:ascii="宋体" w:hAnsi="宋体" w:eastAsia="宋体" w:cs="宋体"/>
                <w:color w:val="auto"/>
                <w:sz w:val="18"/>
                <w:szCs w:val="18"/>
                <w:highlight w:val="none"/>
              </w:rPr>
              <w:t>且包含未明列但属国家或地方规定的其他强制执行标准或规范（条款）</w:t>
            </w:r>
          </w:p>
        </w:tc>
        <w:tc>
          <w:tcPr>
            <w:tcW w:w="325" w:type="pct"/>
            <w:vAlign w:val="center"/>
          </w:tcPr>
          <w:p w14:paraId="19FEA694">
            <w:pPr>
              <w:keepNext/>
              <w:keepLines/>
              <w:spacing w:line="360" w:lineRule="auto"/>
              <w:jc w:val="center"/>
              <w:rPr>
                <w:rFonts w:ascii="宋体" w:hAnsi="宋体" w:eastAsia="宋体" w:cs="宋体"/>
                <w:color w:val="auto"/>
                <w:kern w:val="0"/>
                <w:sz w:val="18"/>
                <w:szCs w:val="18"/>
                <w:highlight w:val="none"/>
              </w:rPr>
            </w:pPr>
          </w:p>
        </w:tc>
        <w:tc>
          <w:tcPr>
            <w:tcW w:w="393" w:type="pct"/>
            <w:vAlign w:val="center"/>
          </w:tcPr>
          <w:p w14:paraId="4918EACF">
            <w:pPr>
              <w:keepNext/>
              <w:keepLines/>
              <w:spacing w:line="360" w:lineRule="auto"/>
              <w:jc w:val="center"/>
              <w:rPr>
                <w:rFonts w:ascii="宋体" w:hAnsi="宋体" w:eastAsia="宋体" w:cs="宋体"/>
                <w:color w:val="auto"/>
                <w:kern w:val="0"/>
                <w:sz w:val="18"/>
                <w:szCs w:val="18"/>
                <w:highlight w:val="none"/>
              </w:rPr>
            </w:pPr>
          </w:p>
        </w:tc>
        <w:tc>
          <w:tcPr>
            <w:tcW w:w="388" w:type="pct"/>
            <w:vAlign w:val="center"/>
          </w:tcPr>
          <w:p w14:paraId="422BCE94">
            <w:pPr>
              <w:keepNext/>
              <w:keepLines/>
              <w:spacing w:line="360" w:lineRule="auto"/>
              <w:jc w:val="center"/>
              <w:rPr>
                <w:rFonts w:ascii="宋体" w:hAnsi="宋体" w:eastAsia="宋体" w:cs="宋体"/>
                <w:color w:val="auto"/>
                <w:kern w:val="0"/>
                <w:sz w:val="18"/>
                <w:szCs w:val="18"/>
                <w:highlight w:val="none"/>
              </w:rPr>
            </w:pPr>
          </w:p>
        </w:tc>
      </w:tr>
      <w:tr w14:paraId="2162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4" w:type="pct"/>
            <w:vMerge w:val="restart"/>
            <w:vAlign w:val="center"/>
          </w:tcPr>
          <w:p w14:paraId="7D073765">
            <w:pPr>
              <w:spacing w:line="360" w:lineRule="auto"/>
              <w:jc w:val="center"/>
              <w:rPr>
                <w:rFonts w:ascii="宋体" w:hAnsi="宋体" w:eastAsia="宋体" w:cs="宋体"/>
                <w:color w:val="auto"/>
                <w:kern w:val="0"/>
                <w:sz w:val="18"/>
                <w:szCs w:val="18"/>
                <w:highlight w:val="none"/>
              </w:rPr>
            </w:pPr>
            <w:bookmarkStart w:id="1320" w:name="_Toc32586"/>
            <w:r>
              <w:rPr>
                <w:rFonts w:hint="eastAsia" w:ascii="宋体" w:hAnsi="宋体" w:eastAsia="宋体" w:cs="宋体"/>
                <w:color w:val="auto"/>
                <w:kern w:val="0"/>
                <w:sz w:val="18"/>
                <w:szCs w:val="18"/>
                <w:highlight w:val="none"/>
              </w:rPr>
              <w:t>5</w:t>
            </w:r>
          </w:p>
        </w:tc>
        <w:tc>
          <w:tcPr>
            <w:tcW w:w="488" w:type="pct"/>
            <w:vMerge w:val="restart"/>
            <w:vAlign w:val="center"/>
          </w:tcPr>
          <w:p w14:paraId="325CC2CB">
            <w:pPr>
              <w:spacing w:line="360" w:lineRule="auto"/>
              <w:jc w:val="center"/>
              <w:rPr>
                <w:rFonts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五、光伏发电设施技术要求</w:t>
            </w:r>
          </w:p>
        </w:tc>
        <w:tc>
          <w:tcPr>
            <w:tcW w:w="3149" w:type="pct"/>
            <w:vAlign w:val="center"/>
          </w:tcPr>
          <w:p w14:paraId="57379E58">
            <w:pPr>
              <w:wordWrap w:val="0"/>
              <w:spacing w:line="360" w:lineRule="auto"/>
              <w:ind w:firstLine="361" w:firstLineChars="200"/>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1、光伏组件</w:t>
            </w:r>
          </w:p>
          <w:p w14:paraId="2207FA35">
            <w:pPr>
              <w:wordWrap w:val="0"/>
              <w:spacing w:line="360" w:lineRule="auto"/>
              <w:ind w:firstLine="361" w:firstLineChars="200"/>
              <w:rPr>
                <w:rFonts w:ascii="宋体" w:hAnsi="宋体" w:eastAsia="宋体" w:cs="宋体"/>
                <w:color w:val="auto"/>
                <w:sz w:val="18"/>
                <w:szCs w:val="18"/>
                <w:highlight w:val="none"/>
              </w:rPr>
            </w:pPr>
            <w:r>
              <w:rPr>
                <w:rFonts w:hint="eastAsia" w:ascii="宋体" w:hAnsi="宋体" w:eastAsia="宋体" w:cs="宋体"/>
                <w:b/>
                <w:color w:val="auto"/>
                <w:sz w:val="18"/>
                <w:szCs w:val="18"/>
                <w:highlight w:val="none"/>
              </w:rPr>
              <w:t>（1）光伏组件光伏发电系统采用高效单晶硅光伏组件，单块容量620Wp～</w:t>
            </w:r>
            <w:r>
              <w:rPr>
                <w:rFonts w:hint="eastAsia" w:ascii="宋体" w:hAnsi="宋体" w:eastAsia="宋体" w:cs="宋体"/>
                <w:b/>
                <w:bCs/>
                <w:color w:val="auto"/>
                <w:spacing w:val="-2"/>
                <w:sz w:val="18"/>
                <w:szCs w:val="18"/>
                <w:highlight w:val="none"/>
                <w:lang w:val="en-US" w:eastAsia="zh-CN"/>
              </w:rPr>
              <w:t>650Wp</w:t>
            </w:r>
            <w:r>
              <w:rPr>
                <w:rFonts w:hint="eastAsia" w:ascii="宋体" w:hAnsi="宋体" w:eastAsia="宋体" w:cs="宋体"/>
                <w:b/>
                <w:color w:val="auto"/>
                <w:sz w:val="18"/>
                <w:szCs w:val="18"/>
                <w:highlight w:val="none"/>
              </w:rPr>
              <w:t>,具体参数如下：</w:t>
            </w:r>
          </w:p>
          <w:p w14:paraId="3159B9D8">
            <w:pPr>
              <w:wordWrap w:val="0"/>
              <w:spacing w:line="360" w:lineRule="auto"/>
              <w:jc w:val="center"/>
              <w:rPr>
                <w:rFonts w:ascii="宋体" w:hAnsi="宋体" w:eastAsia="宋体" w:cs="宋体"/>
                <w:b/>
                <w:color w:val="auto"/>
                <w:sz w:val="18"/>
                <w:szCs w:val="18"/>
                <w:highlight w:val="none"/>
              </w:rPr>
            </w:pPr>
            <w:r>
              <w:rPr>
                <w:rFonts w:hint="eastAsia" w:ascii="宋体" w:hAnsi="宋体" w:eastAsia="宋体" w:cs="宋体"/>
                <w:b/>
                <w:color w:val="auto"/>
                <w:spacing w:val="13"/>
                <w:sz w:val="18"/>
                <w:szCs w:val="18"/>
                <w:highlight w:val="none"/>
              </w:rPr>
              <w:t>光伏组</w:t>
            </w:r>
            <w:r>
              <w:rPr>
                <w:rFonts w:hint="eastAsia" w:ascii="宋体" w:hAnsi="宋体" w:eastAsia="宋体" w:cs="宋体"/>
                <w:b/>
                <w:color w:val="auto"/>
                <w:spacing w:val="8"/>
                <w:sz w:val="18"/>
                <w:szCs w:val="18"/>
                <w:highlight w:val="none"/>
              </w:rPr>
              <w:t>件主要技术参数表</w:t>
            </w:r>
          </w:p>
          <w:tbl>
            <w:tblPr>
              <w:tblStyle w:val="45"/>
              <w:tblW w:w="502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171"/>
              <w:gridCol w:w="3471"/>
            </w:tblGrid>
            <w:tr w14:paraId="60841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5B981E7E">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型号规</w:t>
                  </w:r>
                  <w:r>
                    <w:rPr>
                      <w:rFonts w:hint="eastAsia" w:ascii="宋体" w:hAnsi="宋体" w:eastAsia="宋体" w:cs="宋体"/>
                      <w:color w:val="auto"/>
                      <w:spacing w:val="5"/>
                      <w:sz w:val="18"/>
                      <w:szCs w:val="18"/>
                      <w:highlight w:val="none"/>
                    </w:rPr>
                    <w:t>格</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6559CE1C">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单晶硅双面双玻</w:t>
                  </w:r>
                  <w:r>
                    <w:rPr>
                      <w:rFonts w:hint="eastAsia" w:ascii="宋体" w:hAnsi="宋体" w:eastAsia="宋体" w:cs="宋体"/>
                      <w:color w:val="auto"/>
                      <w:spacing w:val="-2"/>
                      <w:sz w:val="18"/>
                      <w:szCs w:val="18"/>
                      <w:highlight w:val="none"/>
                    </w:rPr>
                    <w:t>620Wp～</w:t>
                  </w:r>
                  <w:r>
                    <w:rPr>
                      <w:rFonts w:hint="eastAsia" w:ascii="宋体" w:hAnsi="宋体" w:eastAsia="宋体" w:cs="宋体"/>
                      <w:color w:val="auto"/>
                      <w:spacing w:val="-2"/>
                      <w:sz w:val="18"/>
                      <w:szCs w:val="18"/>
                      <w:highlight w:val="none"/>
                      <w:lang w:val="en-US" w:eastAsia="zh-CN"/>
                    </w:rPr>
                    <w:t>650Wp</w:t>
                  </w:r>
                </w:p>
              </w:tc>
            </w:tr>
            <w:tr w14:paraId="3935C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5E88A8FF">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标称功率</w:t>
                  </w:r>
                  <w:r>
                    <w:rPr>
                      <w:rFonts w:hint="eastAsia" w:ascii="宋体" w:hAnsi="宋体" w:eastAsia="宋体" w:cs="宋体"/>
                      <w:color w:val="auto"/>
                      <w:sz w:val="18"/>
                      <w:szCs w:val="18"/>
                      <w:highlight w:val="none"/>
                    </w:rPr>
                    <w:t>(W)</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3BD622C7">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620</w:t>
                  </w:r>
                  <w:r>
                    <w:rPr>
                      <w:rFonts w:hint="eastAsia" w:ascii="宋体" w:hAnsi="宋体" w:eastAsia="宋体" w:cs="宋体"/>
                      <w:color w:val="auto"/>
                      <w:spacing w:val="-2"/>
                      <w:sz w:val="18"/>
                      <w:szCs w:val="18"/>
                      <w:highlight w:val="none"/>
                      <w:lang w:val="en-US" w:eastAsia="zh-CN"/>
                    </w:rPr>
                    <w:t>Wp～650Wp</w:t>
                  </w:r>
                </w:p>
              </w:tc>
            </w:tr>
            <w:tr w14:paraId="366C5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4F036A29">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组</w:t>
                  </w:r>
                  <w:r>
                    <w:rPr>
                      <w:rFonts w:hint="eastAsia" w:ascii="宋体" w:hAnsi="宋体" w:eastAsia="宋体" w:cs="宋体"/>
                      <w:color w:val="auto"/>
                      <w:spacing w:val="-5"/>
                      <w:sz w:val="18"/>
                      <w:szCs w:val="18"/>
                      <w:highlight w:val="none"/>
                    </w:rPr>
                    <w:t>件效率(</w:t>
                  </w:r>
                  <w:r>
                    <w:rPr>
                      <w:rFonts w:hint="eastAsia" w:ascii="宋体" w:hAnsi="宋体" w:eastAsia="宋体" w:cs="宋体"/>
                      <w:color w:val="auto"/>
                      <w:spacing w:val="2"/>
                      <w:position w:val="-1"/>
                      <w:sz w:val="18"/>
                      <w:szCs w:val="18"/>
                      <w:highlight w:val="none"/>
                    </w:rPr>
                    <w:t>%</w:t>
                  </w:r>
                  <w:r>
                    <w:rPr>
                      <w:rFonts w:hint="eastAsia" w:ascii="宋体" w:hAnsi="宋体" w:eastAsia="宋体" w:cs="宋体"/>
                      <w:color w:val="auto"/>
                      <w:spacing w:val="-5"/>
                      <w:sz w:val="18"/>
                      <w:szCs w:val="18"/>
                      <w:highlight w:val="none"/>
                    </w:rPr>
                    <w:t>)</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6B577A54">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pacing w:val="-2"/>
                      <w:sz w:val="18"/>
                      <w:szCs w:val="18"/>
                      <w:highlight w:val="none"/>
                    </w:rPr>
                    <w:t>23</w:t>
                  </w:r>
                </w:p>
              </w:tc>
            </w:tr>
            <w:tr w14:paraId="20526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4CC8ECAD">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首年功率衰减率</w:t>
                  </w:r>
                  <w:r>
                    <w:rPr>
                      <w:rFonts w:hint="eastAsia" w:ascii="宋体" w:hAnsi="宋体" w:eastAsia="宋体" w:cs="宋体"/>
                      <w:color w:val="auto"/>
                      <w:spacing w:val="-5"/>
                      <w:sz w:val="18"/>
                      <w:szCs w:val="18"/>
                      <w:highlight w:val="none"/>
                    </w:rPr>
                    <w:t>(</w:t>
                  </w:r>
                  <w:r>
                    <w:rPr>
                      <w:rFonts w:hint="eastAsia" w:ascii="宋体" w:hAnsi="宋体" w:eastAsia="宋体" w:cs="宋体"/>
                      <w:color w:val="auto"/>
                      <w:spacing w:val="2"/>
                      <w:position w:val="-1"/>
                      <w:sz w:val="18"/>
                      <w:szCs w:val="18"/>
                      <w:highlight w:val="none"/>
                    </w:rPr>
                    <w:t>%</w:t>
                  </w:r>
                  <w:r>
                    <w:rPr>
                      <w:rFonts w:hint="eastAsia" w:ascii="宋体" w:hAnsi="宋体" w:eastAsia="宋体" w:cs="宋体"/>
                      <w:color w:val="auto"/>
                      <w:spacing w:val="-5"/>
                      <w:sz w:val="18"/>
                      <w:szCs w:val="18"/>
                      <w:highlight w:val="none"/>
                    </w:rPr>
                    <w:t>)</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1C13889E">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r>
            <w:tr w14:paraId="29C6F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06DF38CF">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次年后每年功率衰减率</w:t>
                  </w:r>
                  <w:r>
                    <w:rPr>
                      <w:rFonts w:hint="eastAsia" w:ascii="宋体" w:hAnsi="宋体" w:eastAsia="宋体" w:cs="宋体"/>
                      <w:color w:val="auto"/>
                      <w:spacing w:val="-5"/>
                      <w:sz w:val="18"/>
                      <w:szCs w:val="18"/>
                      <w:highlight w:val="none"/>
                    </w:rPr>
                    <w:t>(</w:t>
                  </w:r>
                  <w:r>
                    <w:rPr>
                      <w:rFonts w:hint="eastAsia" w:ascii="宋体" w:hAnsi="宋体" w:eastAsia="宋体" w:cs="宋体"/>
                      <w:color w:val="auto"/>
                      <w:spacing w:val="2"/>
                      <w:position w:val="-1"/>
                      <w:sz w:val="18"/>
                      <w:szCs w:val="18"/>
                      <w:highlight w:val="none"/>
                    </w:rPr>
                    <w:t>%</w:t>
                  </w:r>
                  <w:r>
                    <w:rPr>
                      <w:rFonts w:hint="eastAsia" w:ascii="宋体" w:hAnsi="宋体" w:eastAsia="宋体" w:cs="宋体"/>
                      <w:color w:val="auto"/>
                      <w:spacing w:val="-5"/>
                      <w:sz w:val="18"/>
                      <w:szCs w:val="18"/>
                      <w:highlight w:val="none"/>
                    </w:rPr>
                    <w:t>)</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1E2C42F9">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pacing w:val="-2"/>
                      <w:sz w:val="18"/>
                      <w:szCs w:val="18"/>
                      <w:highlight w:val="none"/>
                    </w:rPr>
                    <w:t>0.4</w:t>
                  </w:r>
                </w:p>
              </w:tc>
            </w:tr>
            <w:tr w14:paraId="0B5C5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72C1D394">
                  <w:pPr>
                    <w:spacing w:line="360" w:lineRule="auto"/>
                    <w:jc w:val="center"/>
                    <w:rPr>
                      <w:rFonts w:ascii="宋体" w:hAnsi="宋体" w:eastAsia="宋体" w:cs="宋体"/>
                      <w:color w:val="auto"/>
                      <w:spacing w:val="6"/>
                      <w:sz w:val="18"/>
                      <w:szCs w:val="18"/>
                      <w:highlight w:val="none"/>
                    </w:rPr>
                  </w:pPr>
                  <w:r>
                    <w:rPr>
                      <w:rFonts w:hint="eastAsia" w:ascii="宋体" w:hAnsi="宋体" w:eastAsia="宋体" w:cs="宋体"/>
                      <w:color w:val="auto"/>
                      <w:spacing w:val="6"/>
                      <w:sz w:val="18"/>
                      <w:szCs w:val="18"/>
                      <w:highlight w:val="none"/>
                    </w:rPr>
                    <w:t>25年后</w:t>
                  </w:r>
                  <w:r>
                    <w:rPr>
                      <w:rFonts w:hint="eastAsia" w:ascii="宋体" w:hAnsi="宋体" w:eastAsia="宋体" w:cs="宋体"/>
                      <w:color w:val="auto"/>
                      <w:sz w:val="18"/>
                      <w:szCs w:val="18"/>
                      <w:highlight w:val="none"/>
                    </w:rPr>
                    <w:t>功率衰减率</w:t>
                  </w:r>
                  <w:r>
                    <w:rPr>
                      <w:rFonts w:hint="eastAsia" w:ascii="宋体" w:hAnsi="宋体" w:eastAsia="宋体" w:cs="宋体"/>
                      <w:color w:val="auto"/>
                      <w:spacing w:val="-5"/>
                      <w:sz w:val="18"/>
                      <w:szCs w:val="18"/>
                      <w:highlight w:val="none"/>
                    </w:rPr>
                    <w:t>(</w:t>
                  </w:r>
                  <w:r>
                    <w:rPr>
                      <w:rFonts w:hint="eastAsia" w:ascii="宋体" w:hAnsi="宋体" w:eastAsia="宋体" w:cs="宋体"/>
                      <w:color w:val="auto"/>
                      <w:spacing w:val="2"/>
                      <w:position w:val="-1"/>
                      <w:sz w:val="18"/>
                      <w:szCs w:val="18"/>
                      <w:highlight w:val="none"/>
                    </w:rPr>
                    <w:t>%</w:t>
                  </w:r>
                  <w:r>
                    <w:rPr>
                      <w:rFonts w:hint="eastAsia" w:ascii="宋体" w:hAnsi="宋体" w:eastAsia="宋体" w:cs="宋体"/>
                      <w:color w:val="auto"/>
                      <w:spacing w:val="-5"/>
                      <w:sz w:val="18"/>
                      <w:szCs w:val="18"/>
                      <w:highlight w:val="none"/>
                    </w:rPr>
                    <w:t>)</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1DF50120">
                  <w:pPr>
                    <w:spacing w:line="360" w:lineRule="auto"/>
                    <w:jc w:val="center"/>
                    <w:rPr>
                      <w:rFonts w:ascii="宋体" w:hAnsi="宋体" w:eastAsia="宋体" w:cs="宋体"/>
                      <w:color w:val="auto"/>
                      <w:spacing w:val="-12"/>
                      <w:position w:val="1"/>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pacing w:val="-2"/>
                      <w:sz w:val="18"/>
                      <w:szCs w:val="18"/>
                      <w:highlight w:val="none"/>
                    </w:rPr>
                    <w:t>13</w:t>
                  </w:r>
                </w:p>
              </w:tc>
            </w:tr>
            <w:tr w14:paraId="7B26D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31448563">
                  <w:pPr>
                    <w:spacing w:line="360" w:lineRule="auto"/>
                    <w:jc w:val="center"/>
                    <w:rPr>
                      <w:rFonts w:ascii="宋体" w:hAnsi="宋体" w:eastAsia="宋体" w:cs="宋体"/>
                      <w:color w:val="auto"/>
                      <w:spacing w:val="6"/>
                      <w:sz w:val="18"/>
                      <w:szCs w:val="18"/>
                      <w:highlight w:val="none"/>
                    </w:rPr>
                  </w:pPr>
                  <w:r>
                    <w:rPr>
                      <w:rFonts w:hint="eastAsia" w:ascii="宋体" w:hAnsi="宋体" w:eastAsia="宋体" w:cs="宋体"/>
                      <w:color w:val="auto"/>
                      <w:spacing w:val="6"/>
                      <w:sz w:val="18"/>
                      <w:szCs w:val="18"/>
                      <w:highlight w:val="none"/>
                    </w:rPr>
                    <w:t>功率公差(</w:t>
                  </w:r>
                  <w:r>
                    <w:rPr>
                      <w:rFonts w:hint="eastAsia" w:ascii="宋体" w:hAnsi="宋体" w:eastAsia="宋体" w:cs="宋体"/>
                      <w:color w:val="auto"/>
                      <w:spacing w:val="2"/>
                      <w:position w:val="-1"/>
                      <w:sz w:val="18"/>
                      <w:szCs w:val="18"/>
                      <w:highlight w:val="none"/>
                    </w:rPr>
                    <w:t>%</w:t>
                  </w:r>
                  <w:r>
                    <w:rPr>
                      <w:rFonts w:hint="eastAsia" w:ascii="宋体" w:hAnsi="宋体" w:eastAsia="宋体" w:cs="宋体"/>
                      <w:color w:val="auto"/>
                      <w:spacing w:val="5"/>
                      <w:sz w:val="18"/>
                      <w:szCs w:val="18"/>
                      <w:highlight w:val="none"/>
                    </w:rPr>
                    <w:t>)</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4875470B">
                  <w:pPr>
                    <w:spacing w:line="360" w:lineRule="auto"/>
                    <w:jc w:val="center"/>
                    <w:rPr>
                      <w:rFonts w:ascii="宋体" w:hAnsi="宋体" w:eastAsia="宋体" w:cs="宋体"/>
                      <w:color w:val="auto"/>
                      <w:spacing w:val="-12"/>
                      <w:position w:val="1"/>
                      <w:sz w:val="18"/>
                      <w:szCs w:val="18"/>
                      <w:highlight w:val="none"/>
                    </w:rPr>
                  </w:pPr>
                  <w:r>
                    <w:rPr>
                      <w:rFonts w:hint="eastAsia" w:ascii="宋体" w:hAnsi="宋体" w:eastAsia="宋体" w:cs="宋体"/>
                      <w:color w:val="auto"/>
                      <w:spacing w:val="2"/>
                      <w:position w:val="-1"/>
                      <w:sz w:val="18"/>
                      <w:szCs w:val="18"/>
                      <w:highlight w:val="none"/>
                    </w:rPr>
                    <w:t>0</w:t>
                  </w:r>
                  <w:r>
                    <w:rPr>
                      <w:rFonts w:hint="eastAsia" w:ascii="宋体" w:hAnsi="宋体" w:eastAsia="宋体" w:cs="宋体"/>
                      <w:color w:val="auto"/>
                      <w:spacing w:val="5"/>
                      <w:sz w:val="18"/>
                      <w:szCs w:val="18"/>
                      <w:highlight w:val="none"/>
                    </w:rPr>
                    <w:t>⁓+</w:t>
                  </w:r>
                  <w:r>
                    <w:rPr>
                      <w:rFonts w:hint="eastAsia" w:ascii="宋体" w:hAnsi="宋体" w:eastAsia="宋体" w:cs="宋体"/>
                      <w:color w:val="auto"/>
                      <w:spacing w:val="2"/>
                      <w:position w:val="-1"/>
                      <w:sz w:val="18"/>
                      <w:szCs w:val="18"/>
                      <w:highlight w:val="none"/>
                    </w:rPr>
                    <w:t>3</w:t>
                  </w:r>
                </w:p>
              </w:tc>
            </w:tr>
            <w:tr w14:paraId="7D103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6F8FEC74">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功</w:t>
                  </w:r>
                  <w:r>
                    <w:rPr>
                      <w:rFonts w:hint="eastAsia" w:ascii="宋体" w:hAnsi="宋体" w:eastAsia="宋体" w:cs="宋体"/>
                      <w:color w:val="auto"/>
                      <w:spacing w:val="5"/>
                      <w:sz w:val="18"/>
                      <w:szCs w:val="18"/>
                      <w:highlight w:val="none"/>
                    </w:rPr>
                    <w:t>率误差(%)</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6575C178">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pacing w:val="-12"/>
                      <w:position w:val="1"/>
                      <w:sz w:val="18"/>
                      <w:szCs w:val="18"/>
                      <w:highlight w:val="none"/>
                    </w:rPr>
                    <w:t>±</w:t>
                  </w:r>
                  <w:r>
                    <w:rPr>
                      <w:rFonts w:hint="eastAsia" w:ascii="宋体" w:hAnsi="宋体" w:eastAsia="宋体" w:cs="宋体"/>
                      <w:color w:val="auto"/>
                      <w:spacing w:val="-11"/>
                      <w:position w:val="1"/>
                      <w:sz w:val="18"/>
                      <w:szCs w:val="18"/>
                      <w:highlight w:val="none"/>
                    </w:rPr>
                    <w:t>3</w:t>
                  </w:r>
                </w:p>
              </w:tc>
            </w:tr>
            <w:tr w14:paraId="090C9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2103B03E">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短路电流温度系数(%/℃</w:t>
                  </w:r>
                  <w:r>
                    <w:rPr>
                      <w:rFonts w:hint="eastAsia" w:ascii="宋体" w:hAnsi="宋体" w:eastAsia="宋体" w:cs="宋体"/>
                      <w:color w:val="auto"/>
                      <w:spacing w:val="6"/>
                      <w:sz w:val="18"/>
                      <w:szCs w:val="18"/>
                      <w:highlight w:val="none"/>
                    </w:rPr>
                    <w:t>)</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42D50963">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pacing w:val="3"/>
                      <w:position w:val="1"/>
                      <w:sz w:val="18"/>
                      <w:szCs w:val="18"/>
                      <w:highlight w:val="none"/>
                    </w:rPr>
                    <w:t>+0.0</w:t>
                  </w:r>
                  <w:r>
                    <w:rPr>
                      <w:rFonts w:hint="eastAsia" w:ascii="宋体" w:hAnsi="宋体" w:eastAsia="宋体" w:cs="宋体"/>
                      <w:color w:val="auto"/>
                      <w:spacing w:val="2"/>
                      <w:position w:val="1"/>
                      <w:sz w:val="18"/>
                      <w:szCs w:val="18"/>
                      <w:highlight w:val="none"/>
                    </w:rPr>
                    <w:t>5</w:t>
                  </w:r>
                </w:p>
              </w:tc>
            </w:tr>
            <w:tr w14:paraId="45565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005FAF4E">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开</w:t>
                  </w:r>
                  <w:r>
                    <w:rPr>
                      <w:rFonts w:hint="eastAsia" w:ascii="宋体" w:hAnsi="宋体" w:eastAsia="宋体" w:cs="宋体"/>
                      <w:color w:val="auto"/>
                      <w:spacing w:val="7"/>
                      <w:sz w:val="18"/>
                      <w:szCs w:val="18"/>
                      <w:highlight w:val="none"/>
                    </w:rPr>
                    <w:t>路电压温度系数(%/℃)</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6F226A2C">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w:t>
                  </w:r>
                  <w:r>
                    <w:rPr>
                      <w:rFonts w:hint="eastAsia" w:ascii="宋体" w:hAnsi="宋体" w:eastAsia="宋体" w:cs="宋体"/>
                      <w:color w:val="auto"/>
                      <w:spacing w:val="3"/>
                      <w:sz w:val="18"/>
                      <w:szCs w:val="18"/>
                      <w:highlight w:val="none"/>
                    </w:rPr>
                    <w:t>0.23</w:t>
                  </w:r>
                </w:p>
              </w:tc>
            </w:tr>
            <w:tr w14:paraId="72825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58ADF823">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最大功率温度系数(%/℃</w:t>
                  </w:r>
                  <w:r>
                    <w:rPr>
                      <w:rFonts w:hint="eastAsia" w:ascii="宋体" w:hAnsi="宋体" w:eastAsia="宋体" w:cs="宋体"/>
                      <w:color w:val="auto"/>
                      <w:spacing w:val="6"/>
                      <w:sz w:val="18"/>
                      <w:szCs w:val="18"/>
                      <w:highlight w:val="none"/>
                    </w:rPr>
                    <w:t>)</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331DD0B9">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w:t>
                  </w:r>
                  <w:r>
                    <w:rPr>
                      <w:rFonts w:hint="eastAsia" w:ascii="宋体" w:hAnsi="宋体" w:eastAsia="宋体" w:cs="宋体"/>
                      <w:color w:val="auto"/>
                      <w:spacing w:val="3"/>
                      <w:sz w:val="18"/>
                      <w:szCs w:val="18"/>
                      <w:highlight w:val="none"/>
                    </w:rPr>
                    <w:t>0.29</w:t>
                  </w:r>
                </w:p>
              </w:tc>
            </w:tr>
            <w:tr w14:paraId="6A459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3D8AEBF2">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最大系统电</w:t>
                  </w:r>
                  <w:r>
                    <w:rPr>
                      <w:rFonts w:hint="eastAsia" w:ascii="宋体" w:hAnsi="宋体" w:eastAsia="宋体" w:cs="宋体"/>
                      <w:color w:val="auto"/>
                      <w:spacing w:val="7"/>
                      <w:sz w:val="18"/>
                      <w:szCs w:val="18"/>
                      <w:highlight w:val="none"/>
                    </w:rPr>
                    <w:t>压</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1DCF7E6D">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DC</w:t>
                  </w:r>
                  <w:r>
                    <w:rPr>
                      <w:rFonts w:hint="eastAsia" w:ascii="宋体" w:hAnsi="宋体" w:eastAsia="宋体" w:cs="宋体"/>
                      <w:color w:val="auto"/>
                      <w:spacing w:val="9"/>
                      <w:sz w:val="18"/>
                      <w:szCs w:val="18"/>
                      <w:highlight w:val="none"/>
                    </w:rPr>
                    <w:t>1</w:t>
                  </w:r>
                  <w:r>
                    <w:rPr>
                      <w:rFonts w:hint="eastAsia" w:ascii="宋体" w:hAnsi="宋体" w:eastAsia="宋体" w:cs="宋体"/>
                      <w:color w:val="auto"/>
                      <w:spacing w:val="7"/>
                      <w:sz w:val="18"/>
                      <w:szCs w:val="18"/>
                      <w:highlight w:val="none"/>
                    </w:rPr>
                    <w:t>500</w:t>
                  </w:r>
                  <w:r>
                    <w:rPr>
                      <w:rFonts w:hint="eastAsia" w:ascii="宋体" w:hAnsi="宋体" w:eastAsia="宋体" w:cs="宋体"/>
                      <w:color w:val="auto"/>
                      <w:sz w:val="18"/>
                      <w:szCs w:val="18"/>
                      <w:highlight w:val="none"/>
                    </w:rPr>
                    <w:t>V（IEC）</w:t>
                  </w:r>
                </w:p>
              </w:tc>
            </w:tr>
            <w:tr w14:paraId="77DBF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6D7D8A2A">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工作温度范围</w:t>
                  </w:r>
                  <w:r>
                    <w:rPr>
                      <w:rFonts w:hint="eastAsia" w:ascii="宋体" w:hAnsi="宋体" w:eastAsia="宋体" w:cs="宋体"/>
                      <w:color w:val="auto"/>
                      <w:spacing w:val="6"/>
                      <w:sz w:val="18"/>
                      <w:szCs w:val="18"/>
                      <w:highlight w:val="none"/>
                    </w:rPr>
                    <w:t>(</w:t>
                  </w:r>
                  <w:r>
                    <w:rPr>
                      <w:rFonts w:hint="eastAsia" w:ascii="宋体" w:hAnsi="宋体" w:eastAsia="宋体" w:cs="宋体"/>
                      <w:color w:val="auto"/>
                      <w:spacing w:val="5"/>
                      <w:sz w:val="18"/>
                      <w:szCs w:val="18"/>
                      <w:highlight w:val="none"/>
                    </w:rPr>
                    <w:t>℃，高温±5℃)</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26DF7E02">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w:t>
                  </w:r>
                  <w:r>
                    <w:rPr>
                      <w:rFonts w:hint="eastAsia" w:ascii="宋体" w:hAnsi="宋体" w:eastAsia="宋体" w:cs="宋体"/>
                      <w:color w:val="auto"/>
                      <w:spacing w:val="5"/>
                      <w:sz w:val="18"/>
                      <w:szCs w:val="18"/>
                      <w:highlight w:val="none"/>
                    </w:rPr>
                    <w:t>40 ⁓+85</w:t>
                  </w:r>
                </w:p>
              </w:tc>
            </w:tr>
            <w:tr w14:paraId="0E0A2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1C26402F">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rPr>
                    <w:t>接</w:t>
                  </w:r>
                  <w:r>
                    <w:rPr>
                      <w:rFonts w:hint="eastAsia" w:ascii="宋体" w:hAnsi="宋体" w:eastAsia="宋体" w:cs="宋体"/>
                      <w:color w:val="auto"/>
                      <w:spacing w:val="8"/>
                      <w:sz w:val="18"/>
                      <w:szCs w:val="18"/>
                      <w:highlight w:val="none"/>
                    </w:rPr>
                    <w:t>线盒类型</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6E872462">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密封防水型 防护等级</w:t>
                  </w:r>
                  <w:r>
                    <w:rPr>
                      <w:rFonts w:hint="eastAsia" w:ascii="宋体" w:hAnsi="宋体" w:eastAsia="宋体" w:cs="宋体"/>
                      <w:color w:val="auto"/>
                      <w:sz w:val="18"/>
                      <w:szCs w:val="18"/>
                      <w:highlight w:val="none"/>
                    </w:rPr>
                    <w:t>IP</w:t>
                  </w:r>
                  <w:r>
                    <w:rPr>
                      <w:rFonts w:hint="eastAsia" w:ascii="宋体" w:hAnsi="宋体" w:eastAsia="宋体" w:cs="宋体"/>
                      <w:color w:val="auto"/>
                      <w:spacing w:val="4"/>
                      <w:sz w:val="18"/>
                      <w:szCs w:val="18"/>
                      <w:highlight w:val="none"/>
                    </w:rPr>
                    <w:t>6</w:t>
                  </w:r>
                  <w:r>
                    <w:rPr>
                      <w:rFonts w:hint="eastAsia" w:ascii="宋体" w:hAnsi="宋体" w:eastAsia="宋体" w:cs="宋体"/>
                      <w:color w:val="auto"/>
                      <w:spacing w:val="1"/>
                      <w:sz w:val="18"/>
                      <w:szCs w:val="18"/>
                      <w:highlight w:val="none"/>
                    </w:rPr>
                    <w:t>8</w:t>
                  </w:r>
                </w:p>
              </w:tc>
            </w:tr>
            <w:tr w14:paraId="2881C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0180CDDB">
                  <w:pPr>
                    <w:spacing w:line="360" w:lineRule="auto"/>
                    <w:jc w:val="center"/>
                    <w:rPr>
                      <w:rFonts w:ascii="宋体" w:hAnsi="宋体" w:eastAsia="宋体" w:cs="宋体"/>
                      <w:color w:val="auto"/>
                      <w:spacing w:val="5"/>
                      <w:sz w:val="18"/>
                      <w:szCs w:val="18"/>
                      <w:highlight w:val="none"/>
                    </w:rPr>
                  </w:pPr>
                  <w:r>
                    <w:rPr>
                      <w:rFonts w:hint="eastAsia" w:ascii="宋体" w:hAnsi="宋体" w:eastAsia="宋体" w:cs="宋体"/>
                      <w:color w:val="auto"/>
                      <w:spacing w:val="5"/>
                      <w:sz w:val="18"/>
                      <w:szCs w:val="18"/>
                      <w:highlight w:val="none"/>
                    </w:rPr>
                    <w:t>边框</w:t>
                  </w:r>
                  <w:r>
                    <w:rPr>
                      <w:rFonts w:hint="eastAsia" w:ascii="宋体" w:hAnsi="宋体" w:eastAsia="宋体" w:cs="宋体"/>
                      <w:color w:val="auto"/>
                      <w:spacing w:val="8"/>
                      <w:sz w:val="18"/>
                      <w:szCs w:val="18"/>
                      <w:highlight w:val="none"/>
                    </w:rPr>
                    <w:t>类型</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7E9B7947">
                  <w:pPr>
                    <w:spacing w:line="360" w:lineRule="auto"/>
                    <w:jc w:val="center"/>
                    <w:rPr>
                      <w:rFonts w:ascii="宋体" w:hAnsi="宋体" w:eastAsia="宋体" w:cs="宋体"/>
                      <w:color w:val="auto"/>
                      <w:spacing w:val="5"/>
                      <w:position w:val="1"/>
                      <w:sz w:val="18"/>
                      <w:szCs w:val="18"/>
                      <w:highlight w:val="none"/>
                    </w:rPr>
                  </w:pPr>
                  <w:r>
                    <w:rPr>
                      <w:rFonts w:hint="eastAsia" w:ascii="宋体" w:hAnsi="宋体" w:eastAsia="宋体" w:cs="宋体"/>
                      <w:color w:val="auto"/>
                      <w:spacing w:val="5"/>
                      <w:position w:val="1"/>
                      <w:sz w:val="18"/>
                      <w:szCs w:val="18"/>
                      <w:highlight w:val="none"/>
                    </w:rPr>
                    <w:t>阳极氧化铝合金 防积灰设计（可加装导流器）</w:t>
                  </w:r>
                </w:p>
              </w:tc>
            </w:tr>
            <w:tr w14:paraId="14822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78DBEC71">
                  <w:pPr>
                    <w:spacing w:line="360" w:lineRule="auto"/>
                    <w:jc w:val="center"/>
                    <w:rPr>
                      <w:rFonts w:ascii="宋体" w:hAnsi="宋体" w:eastAsia="宋体" w:cs="宋体"/>
                      <w:color w:val="auto"/>
                      <w:spacing w:val="5"/>
                      <w:sz w:val="18"/>
                      <w:szCs w:val="18"/>
                      <w:highlight w:val="none"/>
                    </w:rPr>
                  </w:pPr>
                  <w:r>
                    <w:rPr>
                      <w:rFonts w:hint="eastAsia" w:ascii="宋体" w:hAnsi="宋体" w:eastAsia="宋体" w:cs="宋体"/>
                      <w:color w:val="auto"/>
                      <w:spacing w:val="5"/>
                      <w:sz w:val="18"/>
                      <w:szCs w:val="18"/>
                      <w:highlight w:val="none"/>
                    </w:rPr>
                    <w:t>安全防护等级</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7121847C">
                  <w:pPr>
                    <w:spacing w:line="360" w:lineRule="auto"/>
                    <w:jc w:val="center"/>
                    <w:rPr>
                      <w:rFonts w:ascii="宋体" w:hAnsi="宋体" w:eastAsia="宋体" w:cs="宋体"/>
                      <w:color w:val="auto"/>
                      <w:spacing w:val="5"/>
                      <w:position w:val="1"/>
                      <w:sz w:val="18"/>
                      <w:szCs w:val="18"/>
                      <w:highlight w:val="none"/>
                    </w:rPr>
                  </w:pPr>
                  <w:r>
                    <w:rPr>
                      <w:rFonts w:hint="eastAsia" w:ascii="宋体" w:hAnsi="宋体" w:eastAsia="宋体" w:cs="宋体"/>
                      <w:color w:val="auto"/>
                      <w:spacing w:val="5"/>
                      <w:position w:val="1"/>
                      <w:sz w:val="18"/>
                      <w:szCs w:val="18"/>
                      <w:highlight w:val="none"/>
                    </w:rPr>
                    <w:t>ClassⅡ</w:t>
                  </w:r>
                </w:p>
              </w:tc>
            </w:tr>
          </w:tbl>
          <w:p w14:paraId="35FCB2D9">
            <w:pPr>
              <w:spacing w:line="360" w:lineRule="auto"/>
              <w:ind w:firstLine="180" w:firstLineChars="100"/>
              <w:rPr>
                <w:rFonts w:ascii="宋体" w:hAnsi="宋体" w:eastAsia="宋体" w:cs="宋体"/>
                <w:color w:val="auto"/>
                <w:sz w:val="18"/>
                <w:szCs w:val="18"/>
                <w:highlight w:val="none"/>
              </w:rPr>
            </w:pP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2</w:t>
            </w:r>
            <w:r>
              <w:rPr>
                <w:rFonts w:ascii="宋体" w:hAnsi="宋体" w:eastAsia="宋体" w:cs="宋体"/>
                <w:color w:val="auto"/>
                <w:sz w:val="18"/>
                <w:szCs w:val="18"/>
                <w:highlight w:val="none"/>
              </w:rPr>
              <w:t>）</w:t>
            </w:r>
            <w:r>
              <w:rPr>
                <w:rFonts w:hint="eastAsia" w:ascii="宋体" w:hAnsi="宋体" w:eastAsia="宋体" w:cs="宋体"/>
                <w:b/>
                <w:bCs/>
                <w:color w:val="auto"/>
                <w:sz w:val="18"/>
                <w:szCs w:val="18"/>
                <w:highlight w:val="none"/>
                <w:u w:val="single"/>
              </w:rPr>
              <w:t>光伏项目建设使用的太阳能组件须为A级品质，其生产企业要纳入国家工信部名录或产品通过TUV国际产品质量认证或CQC认证，投标时提供对应证明材料</w:t>
            </w:r>
            <w:r>
              <w:rPr>
                <w:rFonts w:hint="eastAsia" w:ascii="宋体" w:hAnsi="宋体" w:eastAsia="宋体" w:cs="宋体"/>
                <w:color w:val="auto"/>
                <w:sz w:val="18"/>
                <w:szCs w:val="18"/>
                <w:highlight w:val="none"/>
              </w:rPr>
              <w:t>。</w:t>
            </w:r>
          </w:p>
          <w:p w14:paraId="579F704C">
            <w:pPr>
              <w:spacing w:line="360" w:lineRule="auto"/>
              <w:ind w:firstLine="180" w:firstLineChars="100"/>
              <w:rPr>
                <w:rFonts w:ascii="宋体" w:hAnsi="宋体" w:eastAsia="宋体" w:cs="宋体"/>
                <w:color w:val="auto"/>
                <w:sz w:val="18"/>
                <w:szCs w:val="18"/>
                <w:highlight w:val="none"/>
              </w:rPr>
            </w:pP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3</w:t>
            </w: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光伏组件防护等级不低于IP66，在雨、雾、露水的湿气的环境下能正常工作，耐火等级达到A级不燃。</w:t>
            </w:r>
            <w:r>
              <w:rPr>
                <w:rFonts w:hint="eastAsia" w:ascii="宋体" w:hAnsi="宋体" w:eastAsia="宋体" w:cs="宋体"/>
                <w:b/>
                <w:bCs/>
                <w:color w:val="auto"/>
                <w:sz w:val="18"/>
                <w:szCs w:val="18"/>
                <w:highlight w:val="none"/>
                <w:u w:val="single"/>
              </w:rPr>
              <w:t>投标时需提供具有相应资质机构出具的检测报告，若检测机构为英文版则需提供中文版检测报告</w:t>
            </w:r>
            <w:r>
              <w:rPr>
                <w:rFonts w:hint="eastAsia" w:ascii="宋体" w:hAnsi="宋体" w:eastAsia="宋体" w:cs="宋体"/>
                <w:color w:val="auto"/>
                <w:sz w:val="18"/>
                <w:szCs w:val="18"/>
                <w:highlight w:val="none"/>
              </w:rPr>
              <w:t>。</w:t>
            </w:r>
          </w:p>
          <w:p w14:paraId="15B6487D">
            <w:pPr>
              <w:spacing w:line="360" w:lineRule="auto"/>
              <w:ind w:firstLine="180" w:firstLineChars="100"/>
              <w:rPr>
                <w:rFonts w:ascii="宋体" w:hAnsi="宋体" w:eastAsia="宋体" w:cs="宋体"/>
                <w:color w:val="auto"/>
                <w:sz w:val="18"/>
                <w:szCs w:val="18"/>
                <w:highlight w:val="none"/>
              </w:rPr>
            </w:pP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4</w:t>
            </w: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所供电池组件需满足抗25mm冰雹的撞击要求，</w:t>
            </w:r>
            <w:r>
              <w:rPr>
                <w:rFonts w:hint="eastAsia" w:ascii="宋体" w:hAnsi="宋体" w:eastAsia="宋体" w:cs="宋体"/>
                <w:b/>
                <w:bCs/>
                <w:color w:val="auto"/>
                <w:sz w:val="18"/>
                <w:szCs w:val="18"/>
                <w:highlight w:val="none"/>
                <w:u w:val="single"/>
              </w:rPr>
              <w:t>冰雹实验需满足 IEC61215 相关规定，并提供实验冰球质量、尺寸及试验速度</w:t>
            </w:r>
            <w:r>
              <w:rPr>
                <w:rFonts w:hint="eastAsia" w:ascii="宋体" w:hAnsi="宋体" w:eastAsia="宋体" w:cs="宋体"/>
                <w:color w:val="auto"/>
                <w:sz w:val="18"/>
                <w:szCs w:val="18"/>
                <w:highlight w:val="none"/>
              </w:rPr>
              <w:t>，同时提供组件适应安装的气候条件，</w:t>
            </w:r>
            <w:r>
              <w:rPr>
                <w:rFonts w:hint="eastAsia" w:ascii="宋体" w:hAnsi="宋体" w:eastAsia="宋体" w:cs="宋体"/>
                <w:b/>
                <w:bCs/>
                <w:color w:val="auto"/>
                <w:sz w:val="18"/>
                <w:szCs w:val="18"/>
                <w:highlight w:val="none"/>
                <w:u w:val="single"/>
              </w:rPr>
              <w:t>需对所供组件的抗冰雹能力加以说明并提供证明文件</w:t>
            </w:r>
            <w:r>
              <w:rPr>
                <w:rFonts w:hint="eastAsia" w:ascii="宋体" w:hAnsi="宋体" w:eastAsia="宋体" w:cs="宋体"/>
                <w:color w:val="auto"/>
                <w:sz w:val="18"/>
                <w:szCs w:val="18"/>
                <w:highlight w:val="none"/>
              </w:rPr>
              <w:t>。</w:t>
            </w:r>
          </w:p>
          <w:p w14:paraId="3B5B7F8D">
            <w:pPr>
              <w:spacing w:line="360" w:lineRule="auto"/>
              <w:ind w:firstLine="180" w:firstLineChars="100"/>
              <w:rPr>
                <w:rFonts w:ascii="宋体" w:hAnsi="宋体" w:eastAsia="宋体" w:cs="宋体"/>
                <w:color w:val="auto"/>
                <w:sz w:val="18"/>
                <w:szCs w:val="18"/>
                <w:highlight w:val="none"/>
              </w:rPr>
            </w:pP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5</w:t>
            </w: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所供组电池组件需具备防盐雾腐蚀功能，不因盐雾腐蚀出现绝缘降低、发电量减少情况。</w:t>
            </w:r>
          </w:p>
          <w:p w14:paraId="5FC07793">
            <w:pPr>
              <w:spacing w:line="360" w:lineRule="auto"/>
              <w:ind w:firstLine="180" w:firstLineChars="100"/>
              <w:rPr>
                <w:rFonts w:ascii="宋体" w:hAnsi="宋体" w:eastAsia="宋体" w:cs="宋体"/>
                <w:color w:val="auto"/>
                <w:sz w:val="18"/>
                <w:szCs w:val="18"/>
                <w:highlight w:val="none"/>
              </w:rPr>
            </w:pP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6</w:t>
            </w: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电池组件需具备一定的抗潮湿能力，组件在雨、雾、露水的湿气的环境下，组件能正常工作，绝缘性能满足要求，不允许出现漏电现象，湿漏电流试验需满足IEC61215相关条款规定。</w:t>
            </w:r>
          </w:p>
          <w:p w14:paraId="127E9A4E">
            <w:pPr>
              <w:spacing w:line="360" w:lineRule="auto"/>
              <w:ind w:firstLine="180" w:firstLineChars="100"/>
              <w:rPr>
                <w:rFonts w:ascii="宋体" w:hAnsi="宋体" w:eastAsia="宋体" w:cs="宋体"/>
                <w:color w:val="auto"/>
                <w:sz w:val="18"/>
                <w:szCs w:val="18"/>
                <w:highlight w:val="none"/>
              </w:rPr>
            </w:pP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7</w:t>
            </w: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要求同一光伏发电单元内光伏组件的电池片需为同一批次原料，表面颜色均匀一致，无机械损伤，焊点无氧化斑，电池组件的I-V曲线基本相同。</w:t>
            </w:r>
          </w:p>
          <w:p w14:paraId="6257B62E">
            <w:pPr>
              <w:widowControl/>
              <w:spacing w:line="360" w:lineRule="auto"/>
              <w:ind w:firstLine="180" w:firstLineChars="100"/>
              <w:jc w:val="left"/>
              <w:rPr>
                <w:rFonts w:ascii="宋体" w:hAnsi="宋体" w:eastAsia="宋体" w:cs="宋体"/>
                <w:b/>
                <w:color w:val="auto"/>
                <w:sz w:val="18"/>
                <w:szCs w:val="18"/>
                <w:highlight w:val="none"/>
              </w:rPr>
            </w:pPr>
            <w:r>
              <w:rPr>
                <w:rFonts w:hint="eastAsia" w:ascii="宋体" w:hAnsi="宋体" w:eastAsia="宋体" w:cs="宋体"/>
                <w:color w:val="auto"/>
                <w:sz w:val="18"/>
                <w:szCs w:val="18"/>
                <w:highlight w:val="none"/>
              </w:rPr>
              <w:t>（8）光伏组件进场后投标人需安排抽样进行开箱检查与EL检测，对不合格组件免费进行更换，并且在项目施工完成验收时，需组织对安装组件隐裂情况进行检测，检测到的存在不合格的组件，投标人需安排替换。</w:t>
            </w:r>
          </w:p>
        </w:tc>
        <w:tc>
          <w:tcPr>
            <w:tcW w:w="325" w:type="pct"/>
            <w:vAlign w:val="center"/>
          </w:tcPr>
          <w:p w14:paraId="038D1523">
            <w:pPr>
              <w:keepNext/>
              <w:keepLines/>
              <w:spacing w:line="360" w:lineRule="auto"/>
              <w:jc w:val="center"/>
              <w:rPr>
                <w:rFonts w:ascii="宋体" w:hAnsi="宋体" w:eastAsia="宋体" w:cs="宋体"/>
                <w:color w:val="auto"/>
                <w:kern w:val="0"/>
                <w:sz w:val="18"/>
                <w:szCs w:val="18"/>
                <w:highlight w:val="none"/>
              </w:rPr>
            </w:pPr>
          </w:p>
        </w:tc>
        <w:tc>
          <w:tcPr>
            <w:tcW w:w="393" w:type="pct"/>
            <w:vAlign w:val="center"/>
          </w:tcPr>
          <w:p w14:paraId="5D1DF173">
            <w:pPr>
              <w:keepNext/>
              <w:keepLines/>
              <w:spacing w:line="360" w:lineRule="auto"/>
              <w:jc w:val="center"/>
              <w:rPr>
                <w:rFonts w:ascii="宋体" w:hAnsi="宋体" w:eastAsia="宋体" w:cs="宋体"/>
                <w:color w:val="auto"/>
                <w:kern w:val="0"/>
                <w:sz w:val="18"/>
                <w:szCs w:val="18"/>
                <w:highlight w:val="none"/>
              </w:rPr>
            </w:pPr>
          </w:p>
        </w:tc>
        <w:tc>
          <w:tcPr>
            <w:tcW w:w="388" w:type="pct"/>
            <w:vAlign w:val="center"/>
          </w:tcPr>
          <w:p w14:paraId="1A31E9DD">
            <w:pPr>
              <w:keepNext/>
              <w:keepLines/>
              <w:spacing w:line="360" w:lineRule="auto"/>
              <w:jc w:val="center"/>
              <w:rPr>
                <w:rFonts w:ascii="宋体" w:hAnsi="宋体" w:eastAsia="宋体" w:cs="宋体"/>
                <w:color w:val="auto"/>
                <w:kern w:val="0"/>
                <w:sz w:val="18"/>
                <w:szCs w:val="18"/>
                <w:highlight w:val="none"/>
              </w:rPr>
            </w:pPr>
          </w:p>
        </w:tc>
      </w:tr>
      <w:tr w14:paraId="5F13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4" w:type="pct"/>
            <w:vMerge w:val="continue"/>
            <w:vAlign w:val="center"/>
          </w:tcPr>
          <w:p w14:paraId="37B519E6">
            <w:pPr>
              <w:spacing w:line="360" w:lineRule="auto"/>
              <w:jc w:val="center"/>
              <w:rPr>
                <w:rFonts w:ascii="宋体" w:hAnsi="宋体" w:eastAsia="宋体" w:cs="宋体"/>
                <w:color w:val="auto"/>
                <w:kern w:val="0"/>
                <w:sz w:val="18"/>
                <w:szCs w:val="18"/>
                <w:highlight w:val="none"/>
              </w:rPr>
            </w:pPr>
          </w:p>
        </w:tc>
        <w:tc>
          <w:tcPr>
            <w:tcW w:w="488" w:type="pct"/>
            <w:vMerge w:val="continue"/>
            <w:vAlign w:val="center"/>
          </w:tcPr>
          <w:p w14:paraId="0E347F0A">
            <w:pPr>
              <w:spacing w:line="360" w:lineRule="auto"/>
              <w:jc w:val="center"/>
              <w:rPr>
                <w:rFonts w:ascii="宋体" w:hAnsi="宋体" w:eastAsia="宋体" w:cs="宋体"/>
                <w:color w:val="auto"/>
                <w:sz w:val="18"/>
                <w:szCs w:val="18"/>
                <w:highlight w:val="none"/>
              </w:rPr>
            </w:pPr>
          </w:p>
        </w:tc>
        <w:tc>
          <w:tcPr>
            <w:tcW w:w="3149" w:type="pct"/>
            <w:vAlign w:val="center"/>
          </w:tcPr>
          <w:p w14:paraId="1355E348">
            <w:pPr>
              <w:keepNext/>
              <w:keepLines/>
              <w:spacing w:line="360" w:lineRule="auto"/>
              <w:ind w:firstLine="361" w:firstLineChars="200"/>
              <w:outlineLvl w:val="3"/>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2、逆变器</w:t>
            </w:r>
          </w:p>
          <w:p w14:paraId="71BA4C47">
            <w:pPr>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逆变器选型时除应考虑具有过/欠电压、过/欠频率、防孤岛效应、短路保护、逆向功率保护等保护功能外，同时应考虑其电压（电流）总谐波畸变率满足国际规定要求，减少对电网的干扰。整个光伏系统采用若干组逆变器每个逆变器具有自动最大功率跟踪功能，并能够随着光伏组件接收的功率，以最经济的方式自动识别并投入运行。</w:t>
            </w:r>
          </w:p>
          <w:p w14:paraId="40D2023F">
            <w:pPr>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（2）逆变器必须是经国家认监委批准的认证机构认证且达标的产品（须具备直流拉弧检测功能），并提供不低于5年的质保。</w:t>
            </w:r>
          </w:p>
          <w:p w14:paraId="042173D7">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（3）最大逆变效率≥98.5%，中国效率≥98%，交流输出400V机型直流输入电压范围范围200~1100V或更宽，交流输出800V机型直流输入电压范围500~1500V或更宽。</w:t>
            </w:r>
          </w:p>
          <w:p w14:paraId="776CE58B">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（4）逆变器输出功率大于其额定功率的50%时，功率因数应不小于0.98，输出有功功率在20%-50%之间时，功率因数不小于0.95。同时逆变器功率因素必须满足项目所在地电网要求。</w:t>
            </w:r>
          </w:p>
          <w:p w14:paraId="18064150">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5）10%额定功率及以上下电流总谐波畸变率≤3%；交流输出三相电压的允许偏差不超过额定电压的±7%；直流分量不超过其交流额定值的0.5%；具有电网过/欠压保护、过/欠频保护、防孤岛保护、恢复并网保护、过流保护、极性反接保护、过载保护功能、Anti-PID功能，具备远程操作功能。</w:t>
            </w:r>
          </w:p>
          <w:p w14:paraId="2514300B">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（6）逆变器要求能够自动化运行，可维护性强。采用近端线连或者 app 通讯方式，可实时了解各项运行数据、实时故障数据、历史故障数据、总发电量等数据，逆变器镶有设备的铭牌，需提供标准/开放的协议和接口。</w:t>
            </w:r>
          </w:p>
          <w:p w14:paraId="6C106EA9">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（7）逆变器≥110kW需安装高温排风装置，在环境温度高于45℃时自动启动排风装置，排风口应具有防尘措施。</w:t>
            </w:r>
          </w:p>
          <w:p w14:paraId="38F399A8">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（8）组串式逆变器箱体须具备防盐雾腐蚀措施，具备防盐雾腐蚀功能，确保箱体内部25年内无任何腐蚀现象。</w:t>
            </w:r>
          </w:p>
          <w:p w14:paraId="40B0D673">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（9）要求配置每路组串电压电流检测功能。</w:t>
            </w:r>
          </w:p>
          <w:p w14:paraId="2A51BF41">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（10）具有直流拉弧检测功能。</w:t>
            </w:r>
          </w:p>
          <w:p w14:paraId="41579A89">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（11）逆变器必须满足系统抗PID功能和修复PID功能。</w:t>
            </w:r>
          </w:p>
          <w:p w14:paraId="3620D1DE">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（12）逆变器内置交直流防雷和直流开关，交直流浪涌保护II 级以上，具备良好的电气隔离性，整机符合国家相关标准。</w:t>
            </w:r>
          </w:p>
          <w:p w14:paraId="05BEE649">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（13）逆变器直流输入支路必须配置光伏专用熔断器，确保当直流侧发生短路或热斑效应时，可快速隔离故障点。</w:t>
            </w:r>
          </w:p>
          <w:p w14:paraId="4644ED8E">
            <w:pPr>
              <w:wordWrap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（14）支持PLC通讯，项目通电并网后投标人必须负责为招标人技术员注册APP监控软件，并将光伏电站现场实时监测数据联通传送至招标人指定的数据控制中心PC端。</w:t>
            </w:r>
          </w:p>
          <w:p w14:paraId="256D9B03">
            <w:pPr>
              <w:widowControl/>
              <w:numPr>
                <w:ilvl w:val="2"/>
                <w:numId w:val="0"/>
              </w:numPr>
              <w:tabs>
                <w:tab w:val="left" w:pos="735"/>
                <w:tab w:val="left" w:pos="2160"/>
              </w:tabs>
              <w:adjustRightInd w:val="0"/>
              <w:snapToGrid w:val="0"/>
              <w:spacing w:line="360" w:lineRule="auto"/>
              <w:ind w:firstLine="360" w:firstLineChars="200"/>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（15）户外安装时，要求具备遮阳挡雨措施，挡雨板材质应采用304及以上不锈钢材质。</w:t>
            </w:r>
          </w:p>
        </w:tc>
        <w:tc>
          <w:tcPr>
            <w:tcW w:w="325" w:type="pct"/>
            <w:vAlign w:val="center"/>
          </w:tcPr>
          <w:p w14:paraId="35E42F7F">
            <w:pPr>
              <w:keepNext/>
              <w:keepLines/>
              <w:spacing w:line="360" w:lineRule="auto"/>
              <w:jc w:val="center"/>
              <w:rPr>
                <w:rFonts w:ascii="宋体" w:hAnsi="宋体" w:eastAsia="宋体" w:cs="宋体"/>
                <w:color w:val="auto"/>
                <w:kern w:val="0"/>
                <w:sz w:val="18"/>
                <w:szCs w:val="18"/>
                <w:highlight w:val="none"/>
              </w:rPr>
            </w:pPr>
          </w:p>
        </w:tc>
        <w:tc>
          <w:tcPr>
            <w:tcW w:w="393" w:type="pct"/>
            <w:vAlign w:val="center"/>
          </w:tcPr>
          <w:p w14:paraId="04733C29">
            <w:pPr>
              <w:keepNext/>
              <w:keepLines/>
              <w:spacing w:line="360" w:lineRule="auto"/>
              <w:jc w:val="center"/>
              <w:rPr>
                <w:rFonts w:ascii="宋体" w:hAnsi="宋体" w:eastAsia="宋体" w:cs="宋体"/>
                <w:color w:val="auto"/>
                <w:kern w:val="0"/>
                <w:sz w:val="18"/>
                <w:szCs w:val="18"/>
                <w:highlight w:val="none"/>
              </w:rPr>
            </w:pPr>
          </w:p>
        </w:tc>
        <w:tc>
          <w:tcPr>
            <w:tcW w:w="388" w:type="pct"/>
            <w:vAlign w:val="center"/>
          </w:tcPr>
          <w:p w14:paraId="77AF458D">
            <w:pPr>
              <w:keepNext/>
              <w:keepLines/>
              <w:spacing w:line="360" w:lineRule="auto"/>
              <w:jc w:val="center"/>
              <w:rPr>
                <w:rFonts w:ascii="宋体" w:hAnsi="宋体" w:eastAsia="宋体" w:cs="宋体"/>
                <w:color w:val="auto"/>
                <w:kern w:val="0"/>
                <w:sz w:val="18"/>
                <w:szCs w:val="18"/>
                <w:highlight w:val="none"/>
              </w:rPr>
            </w:pPr>
          </w:p>
        </w:tc>
      </w:tr>
      <w:tr w14:paraId="40D8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4" w:type="pct"/>
            <w:vMerge w:val="continue"/>
            <w:vAlign w:val="center"/>
          </w:tcPr>
          <w:p w14:paraId="4713DEE3">
            <w:pPr>
              <w:spacing w:line="360" w:lineRule="auto"/>
              <w:jc w:val="center"/>
              <w:rPr>
                <w:rFonts w:ascii="宋体" w:hAnsi="宋体" w:eastAsia="宋体" w:cs="宋体"/>
                <w:color w:val="auto"/>
                <w:kern w:val="0"/>
                <w:sz w:val="18"/>
                <w:szCs w:val="18"/>
                <w:highlight w:val="none"/>
              </w:rPr>
            </w:pPr>
          </w:p>
        </w:tc>
        <w:tc>
          <w:tcPr>
            <w:tcW w:w="488" w:type="pct"/>
            <w:vMerge w:val="continue"/>
            <w:vAlign w:val="center"/>
          </w:tcPr>
          <w:p w14:paraId="36E923D3">
            <w:pPr>
              <w:spacing w:line="360" w:lineRule="auto"/>
              <w:jc w:val="center"/>
              <w:rPr>
                <w:rFonts w:ascii="宋体" w:hAnsi="宋体" w:eastAsia="宋体" w:cs="宋体"/>
                <w:color w:val="auto"/>
                <w:sz w:val="18"/>
                <w:szCs w:val="18"/>
                <w:highlight w:val="none"/>
              </w:rPr>
            </w:pPr>
          </w:p>
        </w:tc>
        <w:tc>
          <w:tcPr>
            <w:tcW w:w="3149" w:type="pct"/>
            <w:vAlign w:val="center"/>
          </w:tcPr>
          <w:p w14:paraId="2F5CD8CF">
            <w:pPr>
              <w:keepNext/>
              <w:keepLines/>
              <w:spacing w:line="360" w:lineRule="auto"/>
              <w:ind w:firstLine="361" w:firstLineChars="200"/>
              <w:outlineLvl w:val="3"/>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3、交流汇流箱</w:t>
            </w:r>
          </w:p>
          <w:p w14:paraId="049645F4">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（1）配电箱必须是成套配电箱，</w:t>
            </w:r>
            <w:r>
              <w:rPr>
                <w:rFonts w:hint="eastAsia" w:ascii="宋体" w:hAnsi="宋体" w:eastAsia="宋体" w:cs="宋体"/>
                <w:b/>
                <w:bCs/>
                <w:color w:val="auto"/>
                <w:sz w:val="18"/>
                <w:szCs w:val="18"/>
                <w:highlight w:val="none"/>
                <w:u w:val="single"/>
              </w:rPr>
              <w:t>成套配电箱内开关要提供3C认证和出厂检验报告，投标时提供对应证明材料</w:t>
            </w:r>
            <w:r>
              <w:rPr>
                <w:rFonts w:hint="eastAsia" w:ascii="宋体" w:hAnsi="宋体" w:eastAsia="宋体" w:cs="宋体"/>
                <w:color w:val="auto"/>
                <w:sz w:val="18"/>
                <w:szCs w:val="18"/>
                <w:highlight w:val="none"/>
              </w:rPr>
              <w:t>。箱内并网设备要配备符合安全需求的闸刀、断路器、浪涌保护器，并应具备光伏元件故障、漏电自动断开光伏输出总开关。</w:t>
            </w:r>
          </w:p>
          <w:p w14:paraId="49C42320">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（2）采用的内置漏电保护和浪涌保护，采用交直II级防雷保护，整体符合国家相关标准。</w:t>
            </w:r>
          </w:p>
          <w:p w14:paraId="6915CCAE">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（3）箱体的防护等级不低于IP65，适合户外安装，满足防水、防尘、防紫外线、防盐雾、耐腐蚀等，安装位置干燥、通风良好。</w:t>
            </w:r>
          </w:p>
          <w:p w14:paraId="110F871E">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（4）箱体需采用304不锈钢，钢板的厚度≥1.5mm，经过静电喷塑处理，内部全部的金属结构都需经过防腐处理，内外表面平整、光洁，无锈蚀、涂层脱落和磕碰损伤现象。</w:t>
            </w:r>
          </w:p>
          <w:p w14:paraId="145FFE03">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（5）箱体内部结构具有足够的机械强度，保证元器件安装后及操作时无摇晃、不变形；元器 件安装走线应整齐、可靠、合理布置；电器间绝缘应符合国家有关标准，进出线必须通过接线端子。</w:t>
            </w:r>
          </w:p>
          <w:p w14:paraId="70089328">
            <w:pPr>
              <w:widowControl/>
              <w:numPr>
                <w:ilvl w:val="2"/>
                <w:numId w:val="0"/>
              </w:numPr>
              <w:tabs>
                <w:tab w:val="left" w:pos="735"/>
                <w:tab w:val="left" w:pos="2160"/>
              </w:tabs>
              <w:adjustRightInd w:val="0"/>
              <w:snapToGrid w:val="0"/>
              <w:spacing w:line="360" w:lineRule="auto"/>
              <w:ind w:firstLine="360" w:firstLineChars="200"/>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（6）箱体内应该针对接入的设备及线路，拥有明显的电气开断元件，能够确保检修时能够逐级断开系统，每个汇流箱必须给出一次及二次接线图。</w:t>
            </w:r>
          </w:p>
        </w:tc>
        <w:tc>
          <w:tcPr>
            <w:tcW w:w="325" w:type="pct"/>
            <w:vAlign w:val="center"/>
          </w:tcPr>
          <w:p w14:paraId="2151CF4C">
            <w:pPr>
              <w:keepNext/>
              <w:keepLines/>
              <w:spacing w:line="360" w:lineRule="auto"/>
              <w:jc w:val="center"/>
              <w:rPr>
                <w:rFonts w:ascii="宋体" w:hAnsi="宋体" w:eastAsia="宋体" w:cs="宋体"/>
                <w:color w:val="auto"/>
                <w:kern w:val="0"/>
                <w:sz w:val="18"/>
                <w:szCs w:val="18"/>
                <w:highlight w:val="none"/>
              </w:rPr>
            </w:pPr>
          </w:p>
        </w:tc>
        <w:tc>
          <w:tcPr>
            <w:tcW w:w="393" w:type="pct"/>
            <w:vAlign w:val="center"/>
          </w:tcPr>
          <w:p w14:paraId="762C47F8">
            <w:pPr>
              <w:keepNext/>
              <w:keepLines/>
              <w:spacing w:line="360" w:lineRule="auto"/>
              <w:jc w:val="center"/>
              <w:rPr>
                <w:rFonts w:ascii="宋体" w:hAnsi="宋体" w:eastAsia="宋体" w:cs="宋体"/>
                <w:color w:val="auto"/>
                <w:kern w:val="0"/>
                <w:sz w:val="18"/>
                <w:szCs w:val="18"/>
                <w:highlight w:val="none"/>
              </w:rPr>
            </w:pPr>
          </w:p>
        </w:tc>
        <w:tc>
          <w:tcPr>
            <w:tcW w:w="388" w:type="pct"/>
            <w:vAlign w:val="center"/>
          </w:tcPr>
          <w:p w14:paraId="66C9E943">
            <w:pPr>
              <w:keepNext/>
              <w:keepLines/>
              <w:spacing w:line="360" w:lineRule="auto"/>
              <w:jc w:val="center"/>
              <w:rPr>
                <w:rFonts w:ascii="宋体" w:hAnsi="宋体" w:eastAsia="宋体" w:cs="宋体"/>
                <w:color w:val="auto"/>
                <w:kern w:val="0"/>
                <w:sz w:val="18"/>
                <w:szCs w:val="18"/>
                <w:highlight w:val="none"/>
              </w:rPr>
            </w:pPr>
          </w:p>
        </w:tc>
      </w:tr>
      <w:tr w14:paraId="1F14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4" w:type="pct"/>
            <w:vMerge w:val="continue"/>
            <w:vAlign w:val="center"/>
          </w:tcPr>
          <w:p w14:paraId="1E4D7B9C">
            <w:pPr>
              <w:spacing w:line="360" w:lineRule="auto"/>
              <w:jc w:val="center"/>
              <w:rPr>
                <w:rFonts w:ascii="宋体" w:hAnsi="宋体" w:eastAsia="宋体" w:cs="宋体"/>
                <w:color w:val="auto"/>
                <w:kern w:val="0"/>
                <w:sz w:val="18"/>
                <w:szCs w:val="18"/>
                <w:highlight w:val="none"/>
              </w:rPr>
            </w:pPr>
          </w:p>
        </w:tc>
        <w:tc>
          <w:tcPr>
            <w:tcW w:w="488" w:type="pct"/>
            <w:vMerge w:val="continue"/>
            <w:vAlign w:val="center"/>
          </w:tcPr>
          <w:p w14:paraId="582A0549">
            <w:pPr>
              <w:spacing w:line="360" w:lineRule="auto"/>
              <w:jc w:val="center"/>
              <w:rPr>
                <w:rFonts w:ascii="宋体" w:hAnsi="宋体" w:eastAsia="宋体" w:cs="宋体"/>
                <w:color w:val="auto"/>
                <w:sz w:val="18"/>
                <w:szCs w:val="18"/>
                <w:highlight w:val="none"/>
              </w:rPr>
            </w:pPr>
          </w:p>
        </w:tc>
        <w:tc>
          <w:tcPr>
            <w:tcW w:w="3149" w:type="pct"/>
            <w:vAlign w:val="center"/>
          </w:tcPr>
          <w:p w14:paraId="50E75CEF">
            <w:pPr>
              <w:numPr>
                <w:ilvl w:val="2"/>
                <w:numId w:val="0"/>
              </w:numPr>
              <w:tabs>
                <w:tab w:val="left" w:pos="735"/>
                <w:tab w:val="left" w:pos="2160"/>
              </w:tabs>
              <w:adjustRightInd w:val="0"/>
              <w:snapToGrid w:val="0"/>
              <w:spacing w:line="360" w:lineRule="auto"/>
              <w:ind w:firstLine="361" w:firstLineChars="200"/>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4、并网柜</w:t>
            </w:r>
          </w:p>
          <w:p w14:paraId="1CE48A61">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（1）中压10千伏项目中配置的配电箱应为自动化成套配电箱。</w:t>
            </w:r>
          </w:p>
          <w:p w14:paraId="18F0C35C">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r>
              <w:rPr>
                <w:rFonts w:hint="eastAsia" w:ascii="宋体" w:hAnsi="宋体" w:eastAsia="宋体" w:cs="宋体"/>
                <w:b/>
                <w:bCs/>
                <w:color w:val="auto"/>
                <w:sz w:val="18"/>
                <w:szCs w:val="18"/>
                <w:highlight w:val="none"/>
                <w:u w:val="single"/>
              </w:rPr>
              <w:t>并网柜与电气元件均应具备国内3C认证，投标时提供对应证明材料</w:t>
            </w:r>
            <w:r>
              <w:rPr>
                <w:rFonts w:hint="eastAsia" w:ascii="宋体" w:hAnsi="宋体" w:eastAsia="宋体" w:cs="宋体"/>
                <w:color w:val="auto"/>
                <w:sz w:val="18"/>
                <w:szCs w:val="18"/>
                <w:highlight w:val="none"/>
              </w:rPr>
              <w:t>。</w:t>
            </w:r>
          </w:p>
          <w:p w14:paraId="4B23ED73">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3）并网柜具备被动孤岛检测、有压自动重合闸、失压跳闸、过欠压保护、过电流保护、防雷保护、短路保护、高低频保护、防孤岛保护等基本功能，若当地供电部门要求，还需配置逆功率保护；同时具备智能通讯功能，可以和后台系统通讯组网，远程操作断路器分合闸，远程查看并网柜各种电参量及开关位置信息。</w:t>
            </w:r>
          </w:p>
          <w:p w14:paraId="429B8270">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（4）光伏并网柜可以加装计量仓，计量表具备双向计量功能，计量表有功电能精度不低于0.5S 级，电压互感器、电流互感器不低于0.2S 级。计量电表数据均接入到监控系统后台。</w:t>
            </w:r>
          </w:p>
          <w:p w14:paraId="1F927120">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（5）柜体的防护等级不低于IP41，配电房内安装，柜型按照原有配电房开关柜定做，整体符合国家相关标准。</w:t>
            </w:r>
          </w:p>
          <w:p w14:paraId="05E3FE52">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（6）柜体需采用冷轧钢板制作，钢板的厚度≥1.5mm，经过静电喷塑处理，内部全部的金属结构都需经过防腐处理，内外表面平整、光洁，无锈蚀、涂层脱落和磕碰损伤现象。</w:t>
            </w:r>
          </w:p>
          <w:p w14:paraId="49488BD5">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（7）630A及以上低压断路器采用固定式框架式断路器，要求配置具有三段保护的数显智能模块，630A以下采用塑壳式断路器。</w:t>
            </w:r>
          </w:p>
          <w:p w14:paraId="5006DD8A">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8</w:t>
            </w: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柜体内应该针对接入的设备及线路，拥有明显的电气开断元件，能够确保检修时能够逐级断开系统，每个并网柜在安装时必须给出一次及二次接线图。</w:t>
            </w:r>
          </w:p>
          <w:p w14:paraId="0B5F5E8A">
            <w:pPr>
              <w:widowControl/>
              <w:numPr>
                <w:ilvl w:val="2"/>
                <w:numId w:val="0"/>
              </w:numPr>
              <w:tabs>
                <w:tab w:val="left" w:pos="735"/>
                <w:tab w:val="left" w:pos="2160"/>
              </w:tabs>
              <w:adjustRightInd w:val="0"/>
              <w:snapToGrid w:val="0"/>
              <w:spacing w:line="360" w:lineRule="auto"/>
              <w:ind w:firstLine="360" w:firstLineChars="200"/>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9</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所有电气设备安装完成后，应进行电气交接试验，并形成记录。</w:t>
            </w:r>
          </w:p>
        </w:tc>
        <w:tc>
          <w:tcPr>
            <w:tcW w:w="325" w:type="pct"/>
            <w:vAlign w:val="center"/>
          </w:tcPr>
          <w:p w14:paraId="5BF1BC42">
            <w:pPr>
              <w:keepNext/>
              <w:keepLines/>
              <w:spacing w:line="360" w:lineRule="auto"/>
              <w:jc w:val="center"/>
              <w:rPr>
                <w:rFonts w:ascii="宋体" w:hAnsi="宋体" w:eastAsia="宋体" w:cs="宋体"/>
                <w:color w:val="auto"/>
                <w:kern w:val="0"/>
                <w:sz w:val="18"/>
                <w:szCs w:val="18"/>
                <w:highlight w:val="none"/>
              </w:rPr>
            </w:pPr>
          </w:p>
        </w:tc>
        <w:tc>
          <w:tcPr>
            <w:tcW w:w="393" w:type="pct"/>
            <w:vAlign w:val="center"/>
          </w:tcPr>
          <w:p w14:paraId="7922B0EC">
            <w:pPr>
              <w:keepNext/>
              <w:keepLines/>
              <w:spacing w:line="360" w:lineRule="auto"/>
              <w:jc w:val="center"/>
              <w:rPr>
                <w:rFonts w:ascii="宋体" w:hAnsi="宋体" w:eastAsia="宋体" w:cs="宋体"/>
                <w:color w:val="auto"/>
                <w:kern w:val="0"/>
                <w:sz w:val="18"/>
                <w:szCs w:val="18"/>
                <w:highlight w:val="none"/>
              </w:rPr>
            </w:pPr>
          </w:p>
        </w:tc>
        <w:tc>
          <w:tcPr>
            <w:tcW w:w="388" w:type="pct"/>
            <w:vAlign w:val="center"/>
          </w:tcPr>
          <w:p w14:paraId="2CE7C501">
            <w:pPr>
              <w:keepNext/>
              <w:keepLines/>
              <w:spacing w:line="360" w:lineRule="auto"/>
              <w:jc w:val="center"/>
              <w:rPr>
                <w:rFonts w:ascii="宋体" w:hAnsi="宋体" w:eastAsia="宋体" w:cs="宋体"/>
                <w:color w:val="auto"/>
                <w:kern w:val="0"/>
                <w:sz w:val="18"/>
                <w:szCs w:val="18"/>
                <w:highlight w:val="none"/>
              </w:rPr>
            </w:pPr>
          </w:p>
        </w:tc>
      </w:tr>
      <w:tr w14:paraId="6B7BF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4" w:type="pct"/>
            <w:vMerge w:val="continue"/>
            <w:vAlign w:val="center"/>
          </w:tcPr>
          <w:p w14:paraId="0FCF9B85">
            <w:pPr>
              <w:spacing w:line="360" w:lineRule="auto"/>
              <w:jc w:val="center"/>
              <w:rPr>
                <w:rFonts w:ascii="宋体" w:hAnsi="宋体" w:eastAsia="宋体" w:cs="宋体"/>
                <w:color w:val="auto"/>
                <w:kern w:val="0"/>
                <w:sz w:val="18"/>
                <w:szCs w:val="18"/>
                <w:highlight w:val="none"/>
              </w:rPr>
            </w:pPr>
          </w:p>
        </w:tc>
        <w:tc>
          <w:tcPr>
            <w:tcW w:w="488" w:type="pct"/>
            <w:vMerge w:val="continue"/>
            <w:vAlign w:val="center"/>
          </w:tcPr>
          <w:p w14:paraId="0979BC91">
            <w:pPr>
              <w:spacing w:line="360" w:lineRule="auto"/>
              <w:jc w:val="center"/>
              <w:rPr>
                <w:rFonts w:ascii="宋体" w:hAnsi="宋体" w:eastAsia="宋体" w:cs="宋体"/>
                <w:color w:val="auto"/>
                <w:sz w:val="18"/>
                <w:szCs w:val="18"/>
                <w:highlight w:val="none"/>
              </w:rPr>
            </w:pPr>
          </w:p>
        </w:tc>
        <w:tc>
          <w:tcPr>
            <w:tcW w:w="3149" w:type="pct"/>
            <w:vAlign w:val="center"/>
          </w:tcPr>
          <w:p w14:paraId="7EB3BC2B">
            <w:pPr>
              <w:keepNext/>
              <w:keepLines/>
              <w:spacing w:line="360" w:lineRule="auto"/>
              <w:ind w:firstLine="361" w:firstLineChars="200"/>
              <w:outlineLvl w:val="3"/>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5、光伏支架</w:t>
            </w:r>
          </w:p>
          <w:p w14:paraId="3EF93D55">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支架（含阵列式）的强度应满足在自重、风荷载和地震荷载共同作用下的使用要求，设计时光伏支架基础设计使用年限50年，光伏支架结构设计使用年限25年，表面防腐应满足10年内可拆卸再利用和25年内安全使用的要求；建筑光伏一体化的光伏支架设计使用年限应与一体化建筑主体结构一致。</w:t>
            </w:r>
          </w:p>
          <w:p w14:paraId="7124C164">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（2）支架设计（含阵列式）必须满足东莞地区的风压等级要求（即0.65KN/m²风压，风速在32.27米/秒以上的热带气旋）的抗风要求。</w:t>
            </w:r>
          </w:p>
          <w:p w14:paraId="43DAA194">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（3）本项目支架形式采用固定式钢支架的，需选用Q235B及以上钢材，钢材防腐可采用热浸锌和镀镁铝锌两种方式。若采用热浸锌防腐，镀锌层厚度应满足《光伏支架结构设计规程》（NB/T 10115-2018）、《金属覆盖层 钢铁制件热浸镀锌层技术要求及试验方法》（GB/T13912-2020）的相关要求。钢构件厚度＞6mm 时，热浸镀锌平均厚度不应小于85μm，局部镀锌厚度不应小于70μm；对于3＜钢构件厚度≤6mm 时，热浸镀锌平均厚度不应小于70μm，局部镀锌厚度不应小于55μm；镀镁铝锌不低于275mg/m</w:t>
            </w:r>
            <w:r>
              <w:rPr>
                <w:rFonts w:hint="eastAsia" w:ascii="宋体" w:hAnsi="宋体" w:eastAsia="宋体" w:cs="宋体"/>
                <w:color w:val="auto"/>
                <w:sz w:val="18"/>
                <w:szCs w:val="18"/>
                <w:highlight w:val="none"/>
                <w:vertAlign w:val="superscript"/>
              </w:rPr>
              <w:t>2</w:t>
            </w:r>
            <w:r>
              <w:rPr>
                <w:rFonts w:hint="eastAsia" w:ascii="宋体" w:hAnsi="宋体" w:eastAsia="宋体" w:cs="宋体"/>
                <w:color w:val="auto"/>
                <w:sz w:val="18"/>
                <w:szCs w:val="18"/>
                <w:highlight w:val="none"/>
              </w:rPr>
              <w:t>；光伏支架铝构件阳极氧化膜平均厚度不应小于15μm，局部厚度不应小于12μm，铝合金连接件阳极氧化膜平均厚度不应小于10μm，局部厚度不应小于8μm。</w:t>
            </w:r>
          </w:p>
          <w:p w14:paraId="5A92874A">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4）彩钢瓦屋面采用夹具固定，夹具、压块及安装龙骨均采用600铝合金，强度等级不低于6063-T6，铝合金支架的使用寿命应在25年以上。结构主材化学成分和力学性能应符合《铝合金结构设计规范》（GB50429-2007）规定。铝合金型材经阳极氧化处理，氧化膜平均厚度不小于15μm，并满足《光伏发电站设计标准》（GB50797-2012）中相关要求。</w:t>
            </w:r>
          </w:p>
          <w:p w14:paraId="1497A7DC">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（5）光伏支架施工图设计应根据</w:t>
            </w:r>
            <w:r>
              <w:rPr>
                <w:rFonts w:hint="eastAsia" w:ascii="宋体" w:hAnsi="宋体" w:eastAsia="宋体" w:cs="宋体"/>
                <w:color w:val="auto"/>
                <w:sz w:val="18"/>
                <w:szCs w:val="18"/>
                <w:highlight w:val="none"/>
                <w:lang w:bidi="en-US"/>
              </w:rPr>
              <w:t>建构筑物承载力检测报告</w:t>
            </w:r>
            <w:r>
              <w:rPr>
                <w:rFonts w:hint="eastAsia" w:ascii="宋体" w:hAnsi="宋体" w:eastAsia="宋体" w:cs="宋体"/>
                <w:color w:val="auto"/>
                <w:sz w:val="18"/>
                <w:szCs w:val="18"/>
                <w:highlight w:val="none"/>
              </w:rPr>
              <w:t>进行深化，并在过程中征得招标人同意，钢材选用及防腐要求同混凝土屋面支架要求。</w:t>
            </w:r>
          </w:p>
          <w:p w14:paraId="380F4737">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（6）光伏车棚钢材选用及防腐要求同混凝土屋面支架要求。</w:t>
            </w:r>
          </w:p>
          <w:p w14:paraId="02B80E1A">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7）本项目光伏支架布置必须考虑光伏电站的建设和后期运行不能影响厂区的正常运作，厂区地下管网错综复杂，支架基础要注意避开地下管网，基础桩基施工过程注意对厂区生产构筑物、管道、电缆的安全监测，如因施工原因造成安全隐患，投标人需无条件修复。</w:t>
            </w:r>
          </w:p>
          <w:p w14:paraId="7CE66452">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（8）光伏支架根据</w:t>
            </w:r>
            <w:r>
              <w:rPr>
                <w:rFonts w:hint="eastAsia" w:ascii="宋体" w:hAnsi="宋体" w:eastAsia="宋体" w:cs="宋体"/>
                <w:color w:val="auto"/>
                <w:sz w:val="18"/>
                <w:szCs w:val="18"/>
                <w:highlight w:val="none"/>
                <w:lang w:bidi="en-US"/>
              </w:rPr>
              <w:t>建构筑物承载力检测报告</w:t>
            </w:r>
            <w:r>
              <w:rPr>
                <w:rFonts w:hint="eastAsia" w:ascii="宋体" w:hAnsi="宋体" w:eastAsia="宋体" w:cs="宋体"/>
                <w:color w:val="auto"/>
                <w:sz w:val="18"/>
                <w:szCs w:val="18"/>
                <w:highlight w:val="none"/>
              </w:rPr>
              <w:t>，如确因屋面承载力不满足抗风荷载要求，光伏支架可采用膨胀螺栓或化学螺栓锚固，但投标人需及时修复锚固过程中破损的屋面防水层，并保障屋面的防水性能不低于本项目工程实施前。若因光伏项目造成屋面漏水的，由投标人负责处理修复完好。</w:t>
            </w:r>
          </w:p>
          <w:p w14:paraId="7BF0A119">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（9）本项目光伏支架布置需为后期光伏板机器人自动清洗、厂区维护运营预留操作路径。</w:t>
            </w:r>
          </w:p>
          <w:p w14:paraId="2C2C5B2F">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设计时，整个支架结构的强度、挠度、稳定性应符合国家结构设计相关规范的安全性要求；同时，支架结构的的节点连接也应满足国家结构设计规范的结构安全性的要求。若在现有变压器容量的基础上，若因单块光伏板容量增大，导致组件排布数量减少的，中标人需采用与运维通道相同材质的板材，把空缺部分补平，达到</w:t>
            </w:r>
            <w:r>
              <w:rPr>
                <w:rFonts w:hint="eastAsia" w:ascii="宋体" w:hAnsi="宋体" w:eastAsia="宋体" w:cs="宋体"/>
                <w:color w:val="auto"/>
                <w:sz w:val="18"/>
                <w:szCs w:val="18"/>
                <w:highlight w:val="none"/>
                <w:lang w:val="en-US" w:eastAsia="zh-CN"/>
              </w:rPr>
              <w:t>招标人</w:t>
            </w:r>
            <w:r>
              <w:rPr>
                <w:rFonts w:hint="eastAsia" w:ascii="宋体" w:hAnsi="宋体" w:eastAsia="宋体" w:cs="宋体"/>
                <w:color w:val="auto"/>
                <w:sz w:val="18"/>
                <w:szCs w:val="18"/>
                <w:highlight w:val="none"/>
              </w:rPr>
              <w:t>或厂区的美观要求，费用已包含在合同不含税固定每瓦单价内，招标人无需另行支付费用。</w:t>
            </w:r>
          </w:p>
          <w:p w14:paraId="3538FAC8">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（11）组件安装螺栓选用不锈钢304及以上材质，表面需钝化，安装前须点胶或采用防松动螺母。</w:t>
            </w:r>
          </w:p>
          <w:p w14:paraId="2A7F99A5">
            <w:pPr>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（12）支架安装完毕后中标人须委托第三方完成支架抗拉拔测试，要求符合《GB 50797-2012光伏电站设计标准》和《JGJ 145-2013混凝土结构后锚固技术规程》相关内容，锚栓抗拔力需达到设计荷载的1.5–2倍，且滑移量≤0.5 mm、残余变形≤0.2%。</w:t>
            </w:r>
          </w:p>
        </w:tc>
        <w:tc>
          <w:tcPr>
            <w:tcW w:w="325" w:type="pct"/>
            <w:vAlign w:val="center"/>
          </w:tcPr>
          <w:p w14:paraId="543BA91E">
            <w:pPr>
              <w:keepNext/>
              <w:keepLines/>
              <w:spacing w:line="360" w:lineRule="auto"/>
              <w:jc w:val="center"/>
              <w:rPr>
                <w:rFonts w:ascii="宋体" w:hAnsi="宋体" w:eastAsia="宋体" w:cs="宋体"/>
                <w:color w:val="auto"/>
                <w:kern w:val="0"/>
                <w:sz w:val="18"/>
                <w:szCs w:val="18"/>
                <w:highlight w:val="none"/>
              </w:rPr>
            </w:pPr>
          </w:p>
        </w:tc>
        <w:tc>
          <w:tcPr>
            <w:tcW w:w="393" w:type="pct"/>
            <w:vAlign w:val="center"/>
          </w:tcPr>
          <w:p w14:paraId="3BACFA92">
            <w:pPr>
              <w:keepNext/>
              <w:keepLines/>
              <w:spacing w:line="360" w:lineRule="auto"/>
              <w:jc w:val="center"/>
              <w:rPr>
                <w:rFonts w:ascii="宋体" w:hAnsi="宋体" w:eastAsia="宋体" w:cs="宋体"/>
                <w:color w:val="auto"/>
                <w:kern w:val="0"/>
                <w:sz w:val="18"/>
                <w:szCs w:val="18"/>
                <w:highlight w:val="none"/>
              </w:rPr>
            </w:pPr>
          </w:p>
        </w:tc>
        <w:tc>
          <w:tcPr>
            <w:tcW w:w="388" w:type="pct"/>
            <w:vAlign w:val="center"/>
          </w:tcPr>
          <w:p w14:paraId="0A3F6B75">
            <w:pPr>
              <w:keepNext/>
              <w:keepLines/>
              <w:spacing w:line="360" w:lineRule="auto"/>
              <w:jc w:val="center"/>
              <w:rPr>
                <w:rFonts w:ascii="宋体" w:hAnsi="宋体" w:eastAsia="宋体" w:cs="宋体"/>
                <w:color w:val="auto"/>
                <w:kern w:val="0"/>
                <w:sz w:val="18"/>
                <w:szCs w:val="18"/>
                <w:highlight w:val="none"/>
              </w:rPr>
            </w:pPr>
          </w:p>
          <w:p w14:paraId="0D4098B5">
            <w:pPr>
              <w:keepNext/>
              <w:keepLines/>
              <w:spacing w:line="360" w:lineRule="auto"/>
              <w:jc w:val="center"/>
              <w:rPr>
                <w:rFonts w:ascii="宋体" w:hAnsi="宋体" w:eastAsia="宋体" w:cs="宋体"/>
                <w:color w:val="auto"/>
                <w:kern w:val="0"/>
                <w:sz w:val="18"/>
                <w:szCs w:val="18"/>
                <w:highlight w:val="none"/>
              </w:rPr>
            </w:pPr>
          </w:p>
        </w:tc>
      </w:tr>
      <w:tr w14:paraId="09B95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4" w:type="pct"/>
            <w:vMerge w:val="continue"/>
            <w:vAlign w:val="center"/>
          </w:tcPr>
          <w:p w14:paraId="2F943AC6">
            <w:pPr>
              <w:spacing w:line="360" w:lineRule="auto"/>
              <w:jc w:val="center"/>
              <w:rPr>
                <w:rFonts w:ascii="宋体" w:hAnsi="宋体" w:eastAsia="宋体" w:cs="宋体"/>
                <w:color w:val="auto"/>
                <w:kern w:val="0"/>
                <w:sz w:val="18"/>
                <w:szCs w:val="18"/>
                <w:highlight w:val="none"/>
              </w:rPr>
            </w:pPr>
          </w:p>
        </w:tc>
        <w:tc>
          <w:tcPr>
            <w:tcW w:w="488" w:type="pct"/>
            <w:vMerge w:val="continue"/>
            <w:vAlign w:val="center"/>
          </w:tcPr>
          <w:p w14:paraId="606B8DF7">
            <w:pPr>
              <w:spacing w:line="360" w:lineRule="auto"/>
              <w:jc w:val="center"/>
              <w:rPr>
                <w:rFonts w:ascii="宋体" w:hAnsi="宋体" w:eastAsia="宋体" w:cs="宋体"/>
                <w:color w:val="auto"/>
                <w:sz w:val="18"/>
                <w:szCs w:val="18"/>
                <w:highlight w:val="none"/>
              </w:rPr>
            </w:pPr>
          </w:p>
        </w:tc>
        <w:tc>
          <w:tcPr>
            <w:tcW w:w="3149" w:type="pct"/>
            <w:vAlign w:val="center"/>
          </w:tcPr>
          <w:p w14:paraId="411C876C">
            <w:pPr>
              <w:keepNext/>
              <w:keepLines/>
              <w:spacing w:line="360" w:lineRule="auto"/>
              <w:ind w:firstLine="361" w:firstLineChars="200"/>
              <w:outlineLvl w:val="3"/>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6、电气安装要求</w:t>
            </w:r>
          </w:p>
          <w:p w14:paraId="37BB8602">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（1）光伏电站必须在逆变器输出汇总点设置易于操作、可闭锁、且具有明显断开点的并网总断路器，以保证电力设备检修维护人员的人身安全。</w:t>
            </w:r>
          </w:p>
          <w:p w14:paraId="5CF21E6A">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（2）光伏电站和并网点设备的防雷和接地应符合当地供电部门规定要求，光伏电站接地网接地电阻合格，接地电阻应按规定周期进行测试。</w:t>
            </w:r>
          </w:p>
          <w:p w14:paraId="4545B4F5">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3）光伏电站或电网异常、故障时为保护设备和人身安全，应具有相应继电保护功能，保护电网和光伏设备的安全运行，确保维护人员和公众人身安全。光伏电站的保护应符合当地供电部门规定的可靠性、选择性、灵活性和速动性的要求。</w:t>
            </w:r>
          </w:p>
          <w:p w14:paraId="2E469A33">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（4）光伏电站的过流与短路保护、防孤岛能力、逆变器保护、恢复并网等应满足当地供电部门规定的要求。</w:t>
            </w:r>
          </w:p>
          <w:p w14:paraId="62D3B5E0">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（5）光伏电站的二次用直流系统的设计配置及蓄电池的放电容量应符合相关规程的技术要求。</w:t>
            </w:r>
          </w:p>
          <w:p w14:paraId="07DC1D89">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（6）光伏电站的电能质量满足规程要求，电压谐波和波形畸变、电压偏差、电压波动和闪变、电压不平衡度、直流分量在规定的范围内，保证功率因素在0.98以上。</w:t>
            </w:r>
          </w:p>
          <w:p w14:paraId="75F4CB3C">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（7）光伏电站的安全自动装置应按国家规定配置齐全。</w:t>
            </w:r>
          </w:p>
          <w:p w14:paraId="6EA6931E">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（8）直流部分和交流低压部分的总线路损耗应控制在2%以内。</w:t>
            </w:r>
          </w:p>
          <w:p w14:paraId="5CB293C6">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（9）配线线槽在建筑物上的布置应美观，与整个建筑协调一致，布线应隐蔽，从底部不能明显的看到线缆。各方阵的线缆便于连接，并有足够的强度，线缆连接附件应防水、抗老化。</w:t>
            </w:r>
          </w:p>
          <w:p w14:paraId="5F2E0C23">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（10）直流侧电缆要以减少线损并防止外界干扰的原则选型，选用双绝缘防紫外线阻燃铜芯电缆，电缆性能符合《橡胶和塑料软管 实验室光源暴露试验法 颜色、外观和其他物理性能变化的测定》（GB/T18950-2023）性能测试的要求；交流侧需要考虑敷设的形式和安全来选择，应采用铜芯阻燃5芯电缆，若涉及埋管电缆须采用铠装。</w:t>
            </w:r>
          </w:p>
          <w:p w14:paraId="4F5F90C5">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（11）电缆要采用铜芯电缆，其中直流电缆采用中国质量中心认证的光伏专用电缆，能满足室外30年的使用年限。光伏线缆 MC4 插头制作应严格按规范进行，各类线缆不能裸露。</w:t>
            </w:r>
          </w:p>
          <w:p w14:paraId="6D68A8EE">
            <w:pPr>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（12）所有线缆敷设完成后，应进行直流电阻、绝缘电阻、直流耐压/交流耐压试验，并形成记录。</w:t>
            </w:r>
          </w:p>
        </w:tc>
        <w:tc>
          <w:tcPr>
            <w:tcW w:w="325" w:type="pct"/>
            <w:vAlign w:val="center"/>
          </w:tcPr>
          <w:p w14:paraId="4BCA77BD">
            <w:pPr>
              <w:keepNext/>
              <w:keepLines/>
              <w:spacing w:line="360" w:lineRule="auto"/>
              <w:jc w:val="center"/>
              <w:rPr>
                <w:rFonts w:ascii="宋体" w:hAnsi="宋体" w:eastAsia="宋体" w:cs="宋体"/>
                <w:color w:val="auto"/>
                <w:kern w:val="0"/>
                <w:sz w:val="18"/>
                <w:szCs w:val="18"/>
                <w:highlight w:val="none"/>
              </w:rPr>
            </w:pPr>
          </w:p>
        </w:tc>
        <w:tc>
          <w:tcPr>
            <w:tcW w:w="393" w:type="pct"/>
            <w:vAlign w:val="center"/>
          </w:tcPr>
          <w:p w14:paraId="4C70269B">
            <w:pPr>
              <w:keepNext/>
              <w:keepLines/>
              <w:spacing w:line="360" w:lineRule="auto"/>
              <w:jc w:val="center"/>
              <w:rPr>
                <w:rFonts w:ascii="宋体" w:hAnsi="宋体" w:eastAsia="宋体" w:cs="宋体"/>
                <w:color w:val="auto"/>
                <w:kern w:val="0"/>
                <w:sz w:val="18"/>
                <w:szCs w:val="18"/>
                <w:highlight w:val="none"/>
              </w:rPr>
            </w:pPr>
          </w:p>
        </w:tc>
        <w:tc>
          <w:tcPr>
            <w:tcW w:w="388" w:type="pct"/>
            <w:vAlign w:val="center"/>
          </w:tcPr>
          <w:p w14:paraId="5E82D87A">
            <w:pPr>
              <w:keepNext/>
              <w:keepLines/>
              <w:spacing w:line="360" w:lineRule="auto"/>
              <w:jc w:val="center"/>
              <w:rPr>
                <w:rFonts w:ascii="宋体" w:hAnsi="宋体" w:eastAsia="宋体" w:cs="宋体"/>
                <w:color w:val="auto"/>
                <w:kern w:val="0"/>
                <w:sz w:val="18"/>
                <w:szCs w:val="18"/>
                <w:highlight w:val="none"/>
              </w:rPr>
            </w:pPr>
          </w:p>
        </w:tc>
      </w:tr>
      <w:tr w14:paraId="11FE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4" w:type="pct"/>
            <w:vMerge w:val="continue"/>
            <w:vAlign w:val="center"/>
          </w:tcPr>
          <w:p w14:paraId="77A7B012">
            <w:pPr>
              <w:spacing w:line="360" w:lineRule="auto"/>
              <w:jc w:val="center"/>
              <w:rPr>
                <w:rFonts w:ascii="宋体" w:hAnsi="宋体" w:eastAsia="宋体" w:cs="宋体"/>
                <w:color w:val="auto"/>
                <w:kern w:val="0"/>
                <w:sz w:val="18"/>
                <w:szCs w:val="18"/>
                <w:highlight w:val="none"/>
              </w:rPr>
            </w:pPr>
          </w:p>
        </w:tc>
        <w:tc>
          <w:tcPr>
            <w:tcW w:w="488" w:type="pct"/>
            <w:vMerge w:val="continue"/>
            <w:vAlign w:val="center"/>
          </w:tcPr>
          <w:p w14:paraId="37815971">
            <w:pPr>
              <w:spacing w:line="360" w:lineRule="auto"/>
              <w:jc w:val="center"/>
              <w:rPr>
                <w:rFonts w:ascii="宋体" w:hAnsi="宋体" w:eastAsia="宋体" w:cs="宋体"/>
                <w:color w:val="auto"/>
                <w:sz w:val="18"/>
                <w:szCs w:val="18"/>
                <w:highlight w:val="none"/>
              </w:rPr>
            </w:pPr>
          </w:p>
        </w:tc>
        <w:tc>
          <w:tcPr>
            <w:tcW w:w="3149" w:type="pct"/>
            <w:vAlign w:val="center"/>
          </w:tcPr>
          <w:p w14:paraId="0D2E54B2">
            <w:pPr>
              <w:spacing w:line="360" w:lineRule="auto"/>
              <w:ind w:firstLine="361" w:firstLineChars="200"/>
              <w:outlineLvl w:val="2"/>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7、防雷系统技术要求</w:t>
            </w:r>
          </w:p>
          <w:p w14:paraId="64C0668A">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（1）光伏系统的防雷设计，应满足雷电防护分区、分级确定的防雷等级要求。各连接点的连接 电阻应小于4Ω。接地网的制作应符合国家相关规范要求。屋顶必须有等电位接地地网作为接地连接。防雷接地设施符合国家《建筑物防雷设计规范》（GB50057-2010）。</w:t>
            </w:r>
          </w:p>
          <w:p w14:paraId="0AF9C924">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（2）提供的并网逆变器安全可靠，能确保25年内有效防止光伏组件PID现象的发生。</w:t>
            </w:r>
          </w:p>
          <w:p w14:paraId="1AE4D727">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（3）带边框的光伏太阳能组件防雷接地要牢靠，并网逆变器将外壳可靠接地，避雷针、避雷扁钢、接地线及接地级要符合规范要求。</w:t>
            </w:r>
          </w:p>
          <w:p w14:paraId="1FAFD8E5">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（4）组件与组件之间、组件与导轨之间需用接地线连接，线槽需做好等电位连接与接地。</w:t>
            </w:r>
          </w:p>
          <w:p w14:paraId="0FAD7D44">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光伏组件作为建筑一部分，本身要具备很好的防雷措施，能够与建筑物的防雷带有很明显的防雷连接点。在并网逆变器、交流汇流箱，光伏并网柜都应该有分级别的防雷防浪涌保护模块，保护相关的电气设备和线路。</w:t>
            </w:r>
          </w:p>
          <w:p w14:paraId="58B2D5A2">
            <w:pPr>
              <w:numPr>
                <w:ilvl w:val="2"/>
                <w:numId w:val="0"/>
              </w:numPr>
              <w:tabs>
                <w:tab w:val="left" w:pos="735"/>
                <w:tab w:val="left" w:pos="2160"/>
              </w:tabs>
              <w:adjustRightInd w:val="0"/>
              <w:snapToGrid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（5）防雷系统完成后由中标人委托具备防雷检测CMA、CNAS资质认证的第三方检测单位进行防雷检测工作，出具加盖CMA或CNAS章的检测报告。</w:t>
            </w:r>
          </w:p>
        </w:tc>
        <w:tc>
          <w:tcPr>
            <w:tcW w:w="325" w:type="pct"/>
            <w:vAlign w:val="center"/>
          </w:tcPr>
          <w:p w14:paraId="0B3C4DD6">
            <w:pPr>
              <w:keepNext/>
              <w:keepLines/>
              <w:spacing w:line="360" w:lineRule="auto"/>
              <w:jc w:val="center"/>
              <w:rPr>
                <w:rFonts w:ascii="宋体" w:hAnsi="宋体" w:eastAsia="宋体" w:cs="宋体"/>
                <w:color w:val="auto"/>
                <w:kern w:val="0"/>
                <w:sz w:val="18"/>
                <w:szCs w:val="18"/>
                <w:highlight w:val="none"/>
              </w:rPr>
            </w:pPr>
          </w:p>
        </w:tc>
        <w:tc>
          <w:tcPr>
            <w:tcW w:w="393" w:type="pct"/>
            <w:vAlign w:val="center"/>
          </w:tcPr>
          <w:p w14:paraId="1020D41E">
            <w:pPr>
              <w:keepNext/>
              <w:keepLines/>
              <w:spacing w:line="360" w:lineRule="auto"/>
              <w:jc w:val="center"/>
              <w:rPr>
                <w:rFonts w:ascii="宋体" w:hAnsi="宋体" w:eastAsia="宋体" w:cs="宋体"/>
                <w:color w:val="auto"/>
                <w:kern w:val="0"/>
                <w:sz w:val="18"/>
                <w:szCs w:val="18"/>
                <w:highlight w:val="none"/>
              </w:rPr>
            </w:pPr>
          </w:p>
        </w:tc>
        <w:tc>
          <w:tcPr>
            <w:tcW w:w="388" w:type="pct"/>
            <w:vAlign w:val="center"/>
          </w:tcPr>
          <w:p w14:paraId="74D7462C">
            <w:pPr>
              <w:keepNext/>
              <w:keepLines/>
              <w:spacing w:line="360" w:lineRule="auto"/>
              <w:jc w:val="center"/>
              <w:rPr>
                <w:rFonts w:ascii="宋体" w:hAnsi="宋体" w:eastAsia="宋体" w:cs="宋体"/>
                <w:color w:val="auto"/>
                <w:kern w:val="0"/>
                <w:sz w:val="18"/>
                <w:szCs w:val="18"/>
                <w:highlight w:val="none"/>
              </w:rPr>
            </w:pPr>
          </w:p>
        </w:tc>
      </w:tr>
      <w:tr w14:paraId="280C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4" w:type="pct"/>
            <w:vMerge w:val="continue"/>
            <w:vAlign w:val="center"/>
          </w:tcPr>
          <w:p w14:paraId="0D88021F">
            <w:pPr>
              <w:spacing w:line="360" w:lineRule="auto"/>
              <w:jc w:val="center"/>
              <w:rPr>
                <w:rFonts w:ascii="宋体" w:hAnsi="宋体" w:eastAsia="宋体" w:cs="宋体"/>
                <w:color w:val="auto"/>
                <w:kern w:val="0"/>
                <w:sz w:val="18"/>
                <w:szCs w:val="18"/>
                <w:highlight w:val="none"/>
              </w:rPr>
            </w:pPr>
          </w:p>
        </w:tc>
        <w:tc>
          <w:tcPr>
            <w:tcW w:w="488" w:type="pct"/>
            <w:vMerge w:val="continue"/>
            <w:vAlign w:val="center"/>
          </w:tcPr>
          <w:p w14:paraId="4834B7BF">
            <w:pPr>
              <w:spacing w:line="360" w:lineRule="auto"/>
              <w:jc w:val="center"/>
              <w:rPr>
                <w:rFonts w:ascii="宋体" w:hAnsi="宋体" w:eastAsia="宋体" w:cs="宋体"/>
                <w:color w:val="auto"/>
                <w:sz w:val="18"/>
                <w:szCs w:val="18"/>
                <w:highlight w:val="none"/>
              </w:rPr>
            </w:pPr>
          </w:p>
        </w:tc>
        <w:tc>
          <w:tcPr>
            <w:tcW w:w="3149" w:type="pct"/>
            <w:vAlign w:val="center"/>
          </w:tcPr>
          <w:p w14:paraId="047E85EC">
            <w:pPr>
              <w:spacing w:line="360" w:lineRule="auto"/>
              <w:ind w:firstLine="361" w:firstLineChars="200"/>
              <w:outlineLvl w:val="2"/>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8、视频监控系统技术要求</w:t>
            </w:r>
          </w:p>
          <w:p w14:paraId="6D49B834">
            <w:pPr>
              <w:wordWrap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（1）本项目中系统监控管理由投标人提供，投标人负责安装调试及配合招标人后期维护。</w:t>
            </w:r>
          </w:p>
          <w:p w14:paraId="721F7377">
            <w:pPr>
              <w:wordWrap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（2）视频监控采用高清光口网络摄像机加光口高速摄像机的模式，招标人能通过投标人提供的网络地址或软件对光伏电站进行实时远程监控，图像分辨率达到</w:t>
            </w:r>
            <w:r>
              <w:rPr>
                <w:rFonts w:hint="eastAsia" w:ascii="宋体" w:hAnsi="宋体" w:eastAsia="宋体" w:cs="宋体"/>
                <w:color w:val="auto"/>
                <w:sz w:val="18"/>
                <w:szCs w:val="18"/>
                <w:highlight w:val="none"/>
                <w:lang w:val="en-US" w:eastAsia="zh-CN"/>
              </w:rPr>
              <w:t>2560×1440</w:t>
            </w:r>
            <w:r>
              <w:rPr>
                <w:rFonts w:hint="eastAsia" w:ascii="宋体" w:hAnsi="宋体" w:eastAsia="宋体" w:cs="宋体"/>
                <w:color w:val="auto"/>
                <w:sz w:val="18"/>
                <w:szCs w:val="18"/>
                <w:highlight w:val="none"/>
              </w:rPr>
              <w:t>以上，镜头变倍≥20 倍光学变焦，能够分辨出设备的外观及运行状态、识别出人员车辆等，防护等级要求达到IP67，TVS 8000V防雷、防浪涌、防突波，具有红外夜视功能，夜视距离≥150 米，使用先进的压缩编码技术，视频图像直接在前端进行压缩，通过网络传输回电站监控室，避免外界电磁场对图像的影响。</w:t>
            </w:r>
          </w:p>
          <w:p w14:paraId="3B36CA76">
            <w:pPr>
              <w:wordWrap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3）视频监控系统既支持光伏电站全景展示又能进行细节展示，对于重要设备还具有从多个摄像机进行多角度监视的功能，同时实时图像自动复位，即可对发电阵列内可旋转的摄像机设定默认监视位置，正常状态下摄像机保持默认位置；在控制完成后自动恢复到默认监视位置。</w:t>
            </w:r>
          </w:p>
          <w:p w14:paraId="6EA5960D">
            <w:pPr>
              <w:wordWrap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4）项目通电并网后投标人必须负责为招标人技术员注册APP视频监控软件，软件长期有效且可免费升级，并将光伏电站现场实时监测数据联通传送至招标人指定的数据控制中心PC端，实现集中监控，具体要求如下：</w:t>
            </w:r>
          </w:p>
          <w:tbl>
            <w:tblPr>
              <w:tblStyle w:val="216"/>
              <w:tblW w:w="5046"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30"/>
              <w:gridCol w:w="1743"/>
              <w:gridCol w:w="4100"/>
            </w:tblGrid>
            <w:tr w14:paraId="6DB46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622" w:type="pct"/>
                  <w:tcBorders>
                    <w:top w:val="single" w:color="auto" w:sz="4" w:space="0"/>
                    <w:left w:val="single" w:color="auto" w:sz="4" w:space="0"/>
                    <w:bottom w:val="single" w:color="auto" w:sz="4" w:space="0"/>
                    <w:right w:val="single" w:color="auto" w:sz="4" w:space="0"/>
                  </w:tcBorders>
                  <w:vAlign w:val="center"/>
                </w:tcPr>
                <w:p w14:paraId="1E518CEC">
                  <w:pPr>
                    <w:autoSpaceDE/>
                    <w:autoSpaceDN/>
                    <w:spacing w:line="360" w:lineRule="auto"/>
                    <w:jc w:val="center"/>
                    <w:rPr>
                      <w:rFonts w:ascii="宋体" w:hAnsi="宋体" w:eastAsia="宋体" w:cs="宋体"/>
                      <w:b/>
                      <w:bCs/>
                      <w:color w:val="auto"/>
                      <w:sz w:val="18"/>
                      <w:szCs w:val="18"/>
                      <w:highlight w:val="none"/>
                      <w:lang w:eastAsia="en-US"/>
                    </w:rPr>
                  </w:pPr>
                  <w:r>
                    <w:rPr>
                      <w:rFonts w:hint="eastAsia" w:ascii="宋体" w:hAnsi="宋体" w:eastAsia="宋体" w:cs="宋体"/>
                      <w:b/>
                      <w:bCs/>
                      <w:color w:val="auto"/>
                      <w:spacing w:val="-5"/>
                      <w:sz w:val="18"/>
                      <w:szCs w:val="18"/>
                      <w:highlight w:val="none"/>
                      <w:lang w:eastAsia="en-US"/>
                    </w:rPr>
                    <w:t>区</w:t>
                  </w:r>
                  <w:r>
                    <w:rPr>
                      <w:rFonts w:hint="eastAsia" w:ascii="宋体" w:hAnsi="宋体" w:eastAsia="宋体" w:cs="宋体"/>
                      <w:b/>
                      <w:bCs/>
                      <w:color w:val="auto"/>
                      <w:spacing w:val="-3"/>
                      <w:sz w:val="18"/>
                      <w:szCs w:val="18"/>
                      <w:highlight w:val="none"/>
                      <w:lang w:eastAsia="en-US"/>
                    </w:rPr>
                    <w:t>域</w:t>
                  </w:r>
                </w:p>
              </w:tc>
              <w:tc>
                <w:tcPr>
                  <w:tcW w:w="1306" w:type="pct"/>
                  <w:tcBorders>
                    <w:top w:val="single" w:color="auto" w:sz="4" w:space="0"/>
                    <w:left w:val="single" w:color="auto" w:sz="4" w:space="0"/>
                    <w:bottom w:val="single" w:color="auto" w:sz="4" w:space="0"/>
                    <w:right w:val="single" w:color="auto" w:sz="4" w:space="0"/>
                  </w:tcBorders>
                  <w:vAlign w:val="center"/>
                </w:tcPr>
                <w:p w14:paraId="24FD704B">
                  <w:pPr>
                    <w:autoSpaceDE/>
                    <w:autoSpaceDN/>
                    <w:spacing w:line="360" w:lineRule="auto"/>
                    <w:jc w:val="center"/>
                    <w:rPr>
                      <w:rFonts w:ascii="宋体" w:hAnsi="宋体" w:eastAsia="宋体" w:cs="宋体"/>
                      <w:b/>
                      <w:bCs/>
                      <w:color w:val="auto"/>
                      <w:sz w:val="18"/>
                      <w:szCs w:val="18"/>
                      <w:highlight w:val="none"/>
                      <w:lang w:eastAsia="en-US"/>
                    </w:rPr>
                  </w:pPr>
                  <w:r>
                    <w:rPr>
                      <w:rFonts w:hint="eastAsia" w:ascii="宋体" w:hAnsi="宋体" w:eastAsia="宋体" w:cs="宋体"/>
                      <w:b/>
                      <w:bCs/>
                      <w:color w:val="auto"/>
                      <w:spacing w:val="8"/>
                      <w:sz w:val="18"/>
                      <w:szCs w:val="18"/>
                      <w:highlight w:val="none"/>
                      <w:lang w:eastAsia="en-US"/>
                    </w:rPr>
                    <w:t>摄像头数量</w:t>
                  </w:r>
                </w:p>
              </w:tc>
              <w:tc>
                <w:tcPr>
                  <w:tcW w:w="3071" w:type="pct"/>
                  <w:tcBorders>
                    <w:top w:val="single" w:color="auto" w:sz="4" w:space="0"/>
                    <w:left w:val="single" w:color="auto" w:sz="4" w:space="0"/>
                    <w:bottom w:val="single" w:color="auto" w:sz="4" w:space="0"/>
                    <w:right w:val="single" w:color="auto" w:sz="4" w:space="0"/>
                  </w:tcBorders>
                  <w:vAlign w:val="center"/>
                </w:tcPr>
                <w:p w14:paraId="3E852B42">
                  <w:pPr>
                    <w:autoSpaceDE/>
                    <w:autoSpaceDN/>
                    <w:spacing w:line="360" w:lineRule="auto"/>
                    <w:jc w:val="center"/>
                    <w:rPr>
                      <w:rFonts w:ascii="宋体" w:hAnsi="宋体" w:eastAsia="宋体" w:cs="宋体"/>
                      <w:b/>
                      <w:bCs/>
                      <w:color w:val="auto"/>
                      <w:sz w:val="18"/>
                      <w:szCs w:val="18"/>
                      <w:highlight w:val="none"/>
                      <w:lang w:eastAsia="en-US"/>
                    </w:rPr>
                  </w:pPr>
                  <w:r>
                    <w:rPr>
                      <w:rFonts w:hint="eastAsia" w:ascii="宋体" w:hAnsi="宋体" w:eastAsia="宋体" w:cs="宋体"/>
                      <w:b/>
                      <w:bCs/>
                      <w:color w:val="auto"/>
                      <w:spacing w:val="4"/>
                      <w:sz w:val="18"/>
                      <w:szCs w:val="18"/>
                      <w:highlight w:val="none"/>
                      <w:lang w:eastAsia="en-US"/>
                    </w:rPr>
                    <w:t>技术</w:t>
                  </w:r>
                </w:p>
              </w:tc>
            </w:tr>
            <w:tr w14:paraId="72956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7" w:hRule="atLeast"/>
                <w:jc w:val="center"/>
              </w:trPr>
              <w:tc>
                <w:tcPr>
                  <w:tcW w:w="622" w:type="pct"/>
                  <w:tcBorders>
                    <w:top w:val="single" w:color="auto" w:sz="4" w:space="0"/>
                    <w:left w:val="single" w:color="auto" w:sz="4" w:space="0"/>
                    <w:bottom w:val="single" w:color="auto" w:sz="4" w:space="0"/>
                    <w:right w:val="single" w:color="auto" w:sz="4" w:space="0"/>
                  </w:tcBorders>
                  <w:vAlign w:val="center"/>
                </w:tcPr>
                <w:p w14:paraId="7587945A">
                  <w:pPr>
                    <w:autoSpaceDE/>
                    <w:autoSpaceDN/>
                    <w:spacing w:line="360" w:lineRule="auto"/>
                    <w:jc w:val="center"/>
                    <w:rPr>
                      <w:rFonts w:ascii="宋体" w:hAnsi="宋体" w:eastAsia="宋体" w:cs="宋体"/>
                      <w:color w:val="auto"/>
                      <w:sz w:val="18"/>
                      <w:szCs w:val="18"/>
                      <w:highlight w:val="none"/>
                      <w:lang w:eastAsia="en-US"/>
                    </w:rPr>
                  </w:pPr>
                  <w:r>
                    <w:rPr>
                      <w:rFonts w:hint="eastAsia" w:ascii="宋体" w:hAnsi="宋体" w:eastAsia="宋体" w:cs="宋体"/>
                      <w:color w:val="auto"/>
                      <w:spacing w:val="4"/>
                      <w:sz w:val="18"/>
                      <w:szCs w:val="18"/>
                      <w:highlight w:val="none"/>
                      <w:lang w:eastAsia="en-US"/>
                    </w:rPr>
                    <w:t>光伏组件</w:t>
                  </w:r>
                </w:p>
              </w:tc>
              <w:tc>
                <w:tcPr>
                  <w:tcW w:w="1306" w:type="pct"/>
                  <w:vMerge w:val="restart"/>
                  <w:tcBorders>
                    <w:top w:val="single" w:color="auto" w:sz="4" w:space="0"/>
                    <w:left w:val="single" w:color="auto" w:sz="4" w:space="0"/>
                    <w:bottom w:val="single" w:color="auto" w:sz="4" w:space="0"/>
                    <w:right w:val="single" w:color="auto" w:sz="4" w:space="0"/>
                  </w:tcBorders>
                  <w:vAlign w:val="center"/>
                </w:tcPr>
                <w:p w14:paraId="493F1706">
                  <w:pPr>
                    <w:autoSpaceDE/>
                    <w:autoSpaceDN/>
                    <w:spacing w:line="360" w:lineRule="auto"/>
                    <w:ind w:right="203"/>
                    <w:jc w:val="left"/>
                    <w:rPr>
                      <w:rFonts w:ascii="宋体" w:hAnsi="宋体" w:eastAsia="宋体" w:cs="宋体"/>
                      <w:color w:val="auto"/>
                      <w:sz w:val="18"/>
                      <w:szCs w:val="18"/>
                      <w:highlight w:val="none"/>
                      <w:lang w:eastAsia="en-US"/>
                    </w:rPr>
                  </w:pPr>
                  <w:r>
                    <w:rPr>
                      <w:rFonts w:hint="eastAsia" w:ascii="宋体" w:hAnsi="宋体" w:eastAsia="宋体" w:cs="宋体"/>
                      <w:color w:val="auto"/>
                      <w:spacing w:val="-4"/>
                      <w:sz w:val="18"/>
                      <w:szCs w:val="18"/>
                      <w:highlight w:val="none"/>
                      <w:lang w:eastAsia="en-US"/>
                    </w:rPr>
                    <w:t>1.</w:t>
                  </w:r>
                  <w:r>
                    <w:rPr>
                      <w:rFonts w:hint="eastAsia" w:ascii="宋体" w:hAnsi="宋体" w:eastAsia="宋体" w:cs="宋体"/>
                      <w:color w:val="auto"/>
                      <w:sz w:val="18"/>
                      <w:szCs w:val="18"/>
                      <w:highlight w:val="none"/>
                      <w:lang w:eastAsia="en-US"/>
                    </w:rPr>
                    <w:t>根据现场及招标人意见调整；</w:t>
                  </w:r>
                </w:p>
                <w:p w14:paraId="5D24EB88">
                  <w:pPr>
                    <w:autoSpaceDE/>
                    <w:autoSpaceDN/>
                    <w:spacing w:line="360" w:lineRule="auto"/>
                    <w:ind w:right="203"/>
                    <w:jc w:val="left"/>
                    <w:rPr>
                      <w:rFonts w:ascii="宋体" w:hAnsi="宋体" w:eastAsia="宋体" w:cs="宋体"/>
                      <w:color w:val="auto"/>
                      <w:sz w:val="18"/>
                      <w:szCs w:val="18"/>
                      <w:highlight w:val="none"/>
                      <w:lang w:eastAsia="en-US"/>
                    </w:rPr>
                  </w:pPr>
                  <w:r>
                    <w:rPr>
                      <w:rFonts w:hint="eastAsia" w:ascii="宋体" w:hAnsi="宋体" w:eastAsia="宋体" w:cs="宋体"/>
                      <w:color w:val="auto"/>
                      <w:sz w:val="18"/>
                      <w:szCs w:val="18"/>
                      <w:highlight w:val="none"/>
                      <w:lang w:eastAsia="en-US"/>
                    </w:rPr>
                    <w:t>2.视频监控画面必须覆盖所有光伏组件、逆变器区域，不得存在盲区。</w:t>
                  </w:r>
                </w:p>
              </w:tc>
              <w:tc>
                <w:tcPr>
                  <w:tcW w:w="3071" w:type="pct"/>
                  <w:vMerge w:val="restart"/>
                  <w:tcBorders>
                    <w:top w:val="single" w:color="auto" w:sz="4" w:space="0"/>
                    <w:left w:val="single" w:color="auto" w:sz="4" w:space="0"/>
                    <w:bottom w:val="single" w:color="auto" w:sz="4" w:space="0"/>
                    <w:right w:val="single" w:color="auto" w:sz="4" w:space="0"/>
                  </w:tcBorders>
                  <w:vAlign w:val="center"/>
                </w:tcPr>
                <w:p w14:paraId="4230376F">
                  <w:pPr>
                    <w:autoSpaceDE/>
                    <w:autoSpaceDN/>
                    <w:spacing w:line="360" w:lineRule="auto"/>
                    <w:ind w:right="203"/>
                    <w:rPr>
                      <w:rFonts w:hint="eastAsia" w:ascii="宋体" w:hAnsi="宋体" w:eastAsia="宋体" w:cs="宋体"/>
                      <w:color w:val="auto"/>
                      <w:spacing w:val="-4"/>
                      <w:sz w:val="18"/>
                      <w:szCs w:val="18"/>
                      <w:highlight w:val="none"/>
                      <w:lang w:eastAsia="en-US"/>
                    </w:rPr>
                  </w:pPr>
                  <w:r>
                    <w:rPr>
                      <w:rFonts w:hint="eastAsia" w:ascii="宋体" w:hAnsi="宋体" w:eastAsia="宋体" w:cs="宋体"/>
                      <w:color w:val="auto"/>
                      <w:spacing w:val="-4"/>
                      <w:sz w:val="18"/>
                      <w:szCs w:val="18"/>
                      <w:highlight w:val="none"/>
                      <w:lang w:eastAsia="en-US"/>
                    </w:rPr>
                    <w:t>1.支持使用4G/5G卡，</w:t>
                  </w:r>
                  <w:r>
                    <w:rPr>
                      <w:rFonts w:hint="eastAsia" w:ascii="宋体" w:hAnsi="宋体" w:eastAsia="宋体" w:cs="宋体"/>
                      <w:color w:val="auto"/>
                      <w:spacing w:val="-4"/>
                      <w:sz w:val="18"/>
                      <w:szCs w:val="18"/>
                      <w:highlight w:val="none"/>
                      <w:lang w:val="en-US" w:eastAsia="en-US"/>
                    </w:rPr>
                    <w:t>含</w:t>
                  </w:r>
                  <w:r>
                    <w:rPr>
                      <w:rFonts w:hint="eastAsia" w:ascii="宋体" w:hAnsi="宋体" w:eastAsia="宋体" w:cs="宋体"/>
                      <w:color w:val="auto"/>
                      <w:spacing w:val="-4"/>
                      <w:sz w:val="18"/>
                      <w:szCs w:val="18"/>
                      <w:highlight w:val="none"/>
                      <w:lang w:eastAsia="en-US"/>
                    </w:rPr>
                    <w:t>1年流量包，</w:t>
                  </w:r>
                  <w:r>
                    <w:rPr>
                      <w:rFonts w:hint="eastAsia" w:ascii="宋体" w:hAnsi="宋体" w:eastAsia="宋体" w:cs="宋体"/>
                      <w:color w:val="auto"/>
                      <w:spacing w:val="-4"/>
                      <w:sz w:val="18"/>
                      <w:szCs w:val="18"/>
                      <w:highlight w:val="none"/>
                      <w:lang w:val="en-US" w:eastAsia="en-US"/>
                    </w:rPr>
                    <w:t>设备具备插卡功能</w:t>
                  </w:r>
                  <w:r>
                    <w:rPr>
                      <w:rFonts w:hint="eastAsia" w:ascii="宋体" w:hAnsi="宋体" w:eastAsia="宋体" w:cs="宋体"/>
                      <w:color w:val="auto"/>
                      <w:spacing w:val="-4"/>
                      <w:sz w:val="18"/>
                      <w:szCs w:val="18"/>
                      <w:highlight w:val="none"/>
                      <w:lang w:eastAsia="en-US"/>
                    </w:rPr>
                    <w:t>；</w:t>
                  </w:r>
                </w:p>
                <w:p w14:paraId="7280FB49">
                  <w:pPr>
                    <w:autoSpaceDE/>
                    <w:autoSpaceDN/>
                    <w:spacing w:line="360" w:lineRule="auto"/>
                    <w:ind w:right="203"/>
                    <w:rPr>
                      <w:rFonts w:ascii="宋体" w:hAnsi="宋体" w:eastAsia="宋体" w:cs="宋体"/>
                      <w:color w:val="auto"/>
                      <w:spacing w:val="-4"/>
                      <w:sz w:val="18"/>
                      <w:szCs w:val="18"/>
                      <w:highlight w:val="none"/>
                      <w:lang w:eastAsia="en-US"/>
                    </w:rPr>
                  </w:pPr>
                  <w:r>
                    <w:rPr>
                      <w:rFonts w:hint="eastAsia" w:ascii="宋体" w:hAnsi="宋体" w:eastAsia="宋体" w:cs="宋体"/>
                      <w:color w:val="auto"/>
                      <w:spacing w:val="-4"/>
                      <w:sz w:val="18"/>
                      <w:szCs w:val="18"/>
                      <w:highlight w:val="none"/>
                      <w:lang w:eastAsia="en-US"/>
                    </w:rPr>
                    <w:t>2.支持手机远程监控，TF卡容量不小于256G，所有监控数据要保留1个月以上；</w:t>
                  </w:r>
                </w:p>
                <w:p w14:paraId="5FA021B5">
                  <w:pPr>
                    <w:autoSpaceDE/>
                    <w:autoSpaceDN/>
                    <w:spacing w:line="360" w:lineRule="auto"/>
                    <w:ind w:right="203"/>
                    <w:rPr>
                      <w:rFonts w:ascii="宋体" w:hAnsi="宋体" w:eastAsia="宋体" w:cs="宋体"/>
                      <w:color w:val="auto"/>
                      <w:spacing w:val="-4"/>
                      <w:sz w:val="18"/>
                      <w:szCs w:val="18"/>
                      <w:highlight w:val="none"/>
                      <w:lang w:eastAsia="en-US"/>
                    </w:rPr>
                  </w:pPr>
                  <w:r>
                    <w:rPr>
                      <w:rFonts w:hint="eastAsia" w:ascii="宋体" w:hAnsi="宋体" w:eastAsia="宋体" w:cs="宋体"/>
                      <w:color w:val="auto"/>
                      <w:spacing w:val="-4"/>
                      <w:sz w:val="18"/>
                      <w:szCs w:val="18"/>
                      <w:highlight w:val="none"/>
                      <w:lang w:eastAsia="en-US"/>
                    </w:rPr>
                    <w:t>3.视频摄像头为高清、具有夜视功能，支持移动侦测报警；</w:t>
                  </w:r>
                </w:p>
                <w:p w14:paraId="22ECC5C7">
                  <w:pPr>
                    <w:autoSpaceDE/>
                    <w:autoSpaceDN/>
                    <w:spacing w:line="360" w:lineRule="auto"/>
                    <w:ind w:right="203"/>
                    <w:rPr>
                      <w:rFonts w:ascii="宋体" w:hAnsi="宋体" w:eastAsia="宋体" w:cs="宋体"/>
                      <w:color w:val="auto"/>
                      <w:spacing w:val="-4"/>
                      <w:sz w:val="18"/>
                      <w:szCs w:val="18"/>
                      <w:highlight w:val="none"/>
                      <w:lang w:eastAsia="en-US"/>
                    </w:rPr>
                  </w:pPr>
                  <w:r>
                    <w:rPr>
                      <w:rFonts w:hint="eastAsia" w:ascii="宋体" w:hAnsi="宋体" w:eastAsia="宋体" w:cs="宋体"/>
                      <w:color w:val="auto"/>
                      <w:spacing w:val="-4"/>
                      <w:sz w:val="18"/>
                      <w:szCs w:val="18"/>
                      <w:highlight w:val="none"/>
                      <w:lang w:eastAsia="en-US"/>
                    </w:rPr>
                    <w:t>4.视频监控电源需引自市电，若配置室外立杆需可靠接地并不造成光伏组件阴影遮挡；</w:t>
                  </w:r>
                </w:p>
                <w:p w14:paraId="08BF171C">
                  <w:pPr>
                    <w:autoSpaceDE/>
                    <w:autoSpaceDN/>
                    <w:spacing w:line="360" w:lineRule="auto"/>
                    <w:ind w:right="203"/>
                    <w:rPr>
                      <w:rFonts w:ascii="宋体" w:hAnsi="宋体" w:eastAsia="宋体" w:cs="宋体"/>
                      <w:color w:val="auto"/>
                      <w:spacing w:val="-4"/>
                      <w:sz w:val="18"/>
                      <w:szCs w:val="18"/>
                      <w:highlight w:val="none"/>
                      <w:lang w:eastAsia="en-US"/>
                    </w:rPr>
                  </w:pPr>
                  <w:r>
                    <w:rPr>
                      <w:rFonts w:hint="eastAsia" w:ascii="宋体" w:hAnsi="宋体" w:eastAsia="宋体" w:cs="宋体"/>
                      <w:color w:val="auto"/>
                      <w:spacing w:val="-4"/>
                      <w:sz w:val="18"/>
                      <w:szCs w:val="18"/>
                      <w:highlight w:val="none"/>
                      <w:lang w:eastAsia="en-US"/>
                    </w:rPr>
                    <w:t>5.所有摄像头均可360°自由转动巡检；</w:t>
                  </w:r>
                </w:p>
                <w:p w14:paraId="42CB3874">
                  <w:pPr>
                    <w:autoSpaceDE/>
                    <w:autoSpaceDN/>
                    <w:spacing w:line="360" w:lineRule="auto"/>
                    <w:ind w:right="203"/>
                    <w:rPr>
                      <w:rFonts w:ascii="宋体" w:hAnsi="宋体" w:eastAsia="宋体" w:cs="宋体"/>
                      <w:color w:val="auto"/>
                      <w:sz w:val="18"/>
                      <w:szCs w:val="18"/>
                      <w:highlight w:val="none"/>
                      <w:lang w:eastAsia="en-US"/>
                    </w:rPr>
                  </w:pPr>
                  <w:r>
                    <w:rPr>
                      <w:rFonts w:hint="eastAsia" w:ascii="宋体" w:hAnsi="宋体" w:eastAsia="宋体" w:cs="宋体"/>
                      <w:color w:val="auto"/>
                      <w:spacing w:val="-4"/>
                      <w:sz w:val="18"/>
                      <w:szCs w:val="18"/>
                      <w:highlight w:val="none"/>
                      <w:lang w:eastAsia="en-US"/>
                    </w:rPr>
                    <w:t>6.提供标准/开放的协议和接口，由招标人实现集成整合应用。</w:t>
                  </w:r>
                </w:p>
              </w:tc>
            </w:tr>
            <w:tr w14:paraId="12AFB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jc w:val="center"/>
              </w:trPr>
              <w:tc>
                <w:tcPr>
                  <w:tcW w:w="622" w:type="pct"/>
                  <w:tcBorders>
                    <w:top w:val="single" w:color="auto" w:sz="4" w:space="0"/>
                  </w:tcBorders>
                  <w:vAlign w:val="center"/>
                </w:tcPr>
                <w:p w14:paraId="1A99E207">
                  <w:pPr>
                    <w:autoSpaceDE/>
                    <w:autoSpaceDN/>
                    <w:spacing w:line="360" w:lineRule="auto"/>
                    <w:jc w:val="center"/>
                    <w:rPr>
                      <w:rFonts w:ascii="宋体" w:hAnsi="宋体" w:eastAsia="宋体" w:cs="宋体"/>
                      <w:color w:val="auto"/>
                      <w:sz w:val="18"/>
                      <w:szCs w:val="18"/>
                      <w:highlight w:val="none"/>
                      <w:lang w:eastAsia="en-US"/>
                    </w:rPr>
                  </w:pPr>
                  <w:r>
                    <w:rPr>
                      <w:rFonts w:hint="eastAsia" w:ascii="宋体" w:hAnsi="宋体" w:eastAsia="宋体" w:cs="宋体"/>
                      <w:color w:val="auto"/>
                      <w:spacing w:val="7"/>
                      <w:sz w:val="18"/>
                      <w:szCs w:val="18"/>
                      <w:highlight w:val="none"/>
                      <w:lang w:eastAsia="en-US"/>
                    </w:rPr>
                    <w:t>并网逆变器</w:t>
                  </w:r>
                </w:p>
              </w:tc>
              <w:tc>
                <w:tcPr>
                  <w:tcW w:w="1306" w:type="pct"/>
                  <w:vMerge w:val="continue"/>
                  <w:tcBorders>
                    <w:top w:val="single" w:color="auto" w:sz="4" w:space="0"/>
                  </w:tcBorders>
                  <w:vAlign w:val="center"/>
                </w:tcPr>
                <w:p w14:paraId="28028708">
                  <w:pPr>
                    <w:autoSpaceDE/>
                    <w:autoSpaceDN/>
                    <w:spacing w:line="360" w:lineRule="auto"/>
                    <w:jc w:val="center"/>
                    <w:rPr>
                      <w:rFonts w:ascii="宋体" w:hAnsi="宋体" w:eastAsia="宋体" w:cs="宋体"/>
                      <w:color w:val="auto"/>
                      <w:sz w:val="18"/>
                      <w:szCs w:val="18"/>
                      <w:highlight w:val="none"/>
                      <w:lang w:eastAsia="en-US"/>
                    </w:rPr>
                  </w:pPr>
                </w:p>
              </w:tc>
              <w:tc>
                <w:tcPr>
                  <w:tcW w:w="3071" w:type="pct"/>
                  <w:vMerge w:val="continue"/>
                  <w:tcBorders>
                    <w:top w:val="single" w:color="auto" w:sz="4" w:space="0"/>
                    <w:right w:val="single" w:color="auto" w:sz="4" w:space="0"/>
                  </w:tcBorders>
                  <w:vAlign w:val="center"/>
                </w:tcPr>
                <w:p w14:paraId="5AF4652F">
                  <w:pPr>
                    <w:autoSpaceDE/>
                    <w:autoSpaceDN/>
                    <w:spacing w:line="360" w:lineRule="auto"/>
                    <w:jc w:val="center"/>
                    <w:rPr>
                      <w:rFonts w:ascii="宋体" w:hAnsi="宋体" w:eastAsia="宋体" w:cs="宋体"/>
                      <w:color w:val="auto"/>
                      <w:sz w:val="18"/>
                      <w:szCs w:val="18"/>
                      <w:highlight w:val="none"/>
                      <w:lang w:eastAsia="en-US"/>
                    </w:rPr>
                  </w:pPr>
                </w:p>
              </w:tc>
            </w:tr>
          </w:tbl>
          <w:p w14:paraId="6F7CE743">
            <w:pPr>
              <w:spacing w:line="360" w:lineRule="auto"/>
              <w:ind w:firstLine="361" w:firstLineChars="200"/>
              <w:rPr>
                <w:rFonts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(5)中标人须在项目进场施工后7天内按以上要求完成所有区域视频监控的安装投运和移交，确保视频监控系统正常运行。</w:t>
            </w:r>
          </w:p>
        </w:tc>
        <w:tc>
          <w:tcPr>
            <w:tcW w:w="325" w:type="pct"/>
            <w:vAlign w:val="center"/>
          </w:tcPr>
          <w:p w14:paraId="5D042B76">
            <w:pPr>
              <w:keepNext/>
              <w:keepLines/>
              <w:spacing w:line="360" w:lineRule="auto"/>
              <w:jc w:val="center"/>
              <w:rPr>
                <w:rFonts w:ascii="宋体" w:hAnsi="宋体" w:eastAsia="宋体" w:cs="宋体"/>
                <w:color w:val="auto"/>
                <w:kern w:val="0"/>
                <w:sz w:val="18"/>
                <w:szCs w:val="18"/>
                <w:highlight w:val="none"/>
              </w:rPr>
            </w:pPr>
          </w:p>
        </w:tc>
        <w:tc>
          <w:tcPr>
            <w:tcW w:w="393" w:type="pct"/>
            <w:vAlign w:val="center"/>
          </w:tcPr>
          <w:p w14:paraId="6749323E">
            <w:pPr>
              <w:keepNext/>
              <w:keepLines/>
              <w:spacing w:line="360" w:lineRule="auto"/>
              <w:jc w:val="center"/>
              <w:rPr>
                <w:rFonts w:ascii="宋体" w:hAnsi="宋体" w:eastAsia="宋体" w:cs="宋体"/>
                <w:color w:val="auto"/>
                <w:kern w:val="0"/>
                <w:sz w:val="18"/>
                <w:szCs w:val="18"/>
                <w:highlight w:val="none"/>
              </w:rPr>
            </w:pPr>
          </w:p>
        </w:tc>
        <w:tc>
          <w:tcPr>
            <w:tcW w:w="388" w:type="pct"/>
            <w:vAlign w:val="center"/>
          </w:tcPr>
          <w:p w14:paraId="19A66DD0">
            <w:pPr>
              <w:keepNext/>
              <w:keepLines/>
              <w:spacing w:line="360" w:lineRule="auto"/>
              <w:jc w:val="center"/>
              <w:rPr>
                <w:rFonts w:ascii="宋体" w:hAnsi="宋体" w:eastAsia="宋体" w:cs="宋体"/>
                <w:color w:val="auto"/>
                <w:kern w:val="0"/>
                <w:sz w:val="18"/>
                <w:szCs w:val="18"/>
                <w:highlight w:val="none"/>
              </w:rPr>
            </w:pPr>
          </w:p>
        </w:tc>
      </w:tr>
      <w:tr w14:paraId="2F1B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4" w:type="pct"/>
            <w:vAlign w:val="center"/>
          </w:tcPr>
          <w:p w14:paraId="785C04C4">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488" w:type="pct"/>
            <w:vAlign w:val="center"/>
          </w:tcPr>
          <w:p w14:paraId="3767E115">
            <w:pPr>
              <w:spacing w:line="360" w:lineRule="auto"/>
              <w:jc w:val="center"/>
              <w:rPr>
                <w:rFonts w:ascii="宋体" w:hAnsi="宋体" w:eastAsia="宋体" w:cs="宋体"/>
                <w:color w:val="auto"/>
                <w:sz w:val="18"/>
                <w:szCs w:val="18"/>
                <w:highlight w:val="none"/>
              </w:rPr>
            </w:pPr>
            <w:r>
              <w:rPr>
                <w:rFonts w:hint="eastAsia" w:ascii="宋体" w:hAnsi="宋体" w:eastAsia="宋体" w:cs="宋体"/>
                <w:b/>
                <w:color w:val="auto"/>
                <w:sz w:val="18"/>
                <w:szCs w:val="18"/>
                <w:highlight w:val="none"/>
              </w:rPr>
              <w:t>六、质量及安全保障</w:t>
            </w:r>
          </w:p>
        </w:tc>
        <w:tc>
          <w:tcPr>
            <w:tcW w:w="3149" w:type="pct"/>
            <w:vAlign w:val="center"/>
          </w:tcPr>
          <w:p w14:paraId="7021D47F">
            <w:pPr>
              <w:wordWrap w:val="0"/>
              <w:spacing w:line="360" w:lineRule="auto"/>
              <w:ind w:firstLine="361" w:firstLineChars="200"/>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1、质量要求</w:t>
            </w:r>
          </w:p>
          <w:p w14:paraId="6D63A4D2">
            <w:pPr>
              <w:tabs>
                <w:tab w:val="left" w:pos="360"/>
              </w:tabs>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（1）达到国家或光伏、电力行业质量检验评定的</w:t>
            </w:r>
            <w:r>
              <w:rPr>
                <w:rFonts w:hint="eastAsia" w:ascii="宋体" w:hAnsi="宋体" w:eastAsia="宋体" w:cs="宋体"/>
                <w:color w:val="auto"/>
                <w:sz w:val="18"/>
                <w:szCs w:val="18"/>
                <w:highlight w:val="none"/>
                <w:u w:val="single"/>
              </w:rPr>
              <w:t xml:space="preserve"> 合格 </w:t>
            </w:r>
            <w:r>
              <w:rPr>
                <w:rFonts w:hint="eastAsia" w:ascii="宋体" w:hAnsi="宋体" w:eastAsia="宋体" w:cs="宋体"/>
                <w:color w:val="auto"/>
                <w:sz w:val="18"/>
                <w:szCs w:val="18"/>
                <w:highlight w:val="none"/>
              </w:rPr>
              <w:t>标准。</w:t>
            </w:r>
          </w:p>
          <w:p w14:paraId="6A743A3C">
            <w:pPr>
              <w:tabs>
                <w:tab w:val="left" w:pos="360"/>
              </w:tabs>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（2）建立健全质量保证体系，并保证其正常运作。</w:t>
            </w:r>
          </w:p>
          <w:p w14:paraId="6687A740">
            <w:pPr>
              <w:tabs>
                <w:tab w:val="left" w:pos="360"/>
              </w:tabs>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（3）加强安装调试过程控制，设专人对安装质量进行跟踪检查。</w:t>
            </w:r>
          </w:p>
          <w:p w14:paraId="72DD3BF0">
            <w:pPr>
              <w:tabs>
                <w:tab w:val="left" w:pos="360"/>
              </w:tabs>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（4）对项目质量的检查严格执行三检制（自检、互检、专检）。</w:t>
            </w:r>
          </w:p>
          <w:p w14:paraId="491444FE">
            <w:pPr>
              <w:wordWrap w:val="0"/>
              <w:spacing w:line="360" w:lineRule="auto"/>
              <w:ind w:firstLine="361" w:firstLineChars="200"/>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2、安全保证措施</w:t>
            </w:r>
          </w:p>
          <w:p w14:paraId="0883401F">
            <w:pPr>
              <w:tabs>
                <w:tab w:val="left" w:pos="360"/>
              </w:tabs>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（1）建立安全生产体系，制定详细的安全保证措施，加强安全管理，保证安全生产无事故。</w:t>
            </w:r>
          </w:p>
          <w:p w14:paraId="7737C3C6">
            <w:pPr>
              <w:tabs>
                <w:tab w:val="left" w:pos="360"/>
              </w:tabs>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（2）项目现场的布置符合防火、防爆、防雷电等安全规定及文明施工的要求。项目现场生活办公用房、仓库、材料堆放场按批准的总平面布置图进行布置。</w:t>
            </w:r>
          </w:p>
          <w:p w14:paraId="4B41D872">
            <w:pPr>
              <w:tabs>
                <w:tab w:val="left" w:pos="360"/>
              </w:tabs>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（3）现场道路保持畅通，危险地点悬挂安全警示标牌，项目现场设置安全宣传标语。</w:t>
            </w:r>
          </w:p>
          <w:p w14:paraId="6C89EDBD">
            <w:pPr>
              <w:tabs>
                <w:tab w:val="left" w:pos="360"/>
              </w:tabs>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（4）各类房屋、库棚、料场等安全消防距离符合有关规定，现场易燃杂物随时清理，严禁在有火种的场所或其近旁堆放易燃物品。</w:t>
            </w:r>
          </w:p>
          <w:p w14:paraId="557BE6E6">
            <w:pPr>
              <w:tabs>
                <w:tab w:val="left" w:pos="360"/>
              </w:tabs>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（5）成品保护措施：脆弱屋面在实施前应采集承载数据，经结构荷载计算光伏荷载≤0.71KN/m</w:t>
            </w:r>
            <w:r>
              <w:rPr>
                <w:rFonts w:hint="eastAsia" w:ascii="宋体" w:hAnsi="宋体" w:eastAsia="宋体" w:cs="宋体"/>
                <w:color w:val="auto"/>
                <w:sz w:val="18"/>
                <w:szCs w:val="18"/>
                <w:highlight w:val="none"/>
                <w:vertAlign w:val="superscript"/>
              </w:rPr>
              <w:t>2</w:t>
            </w:r>
            <w:r>
              <w:rPr>
                <w:rFonts w:hint="eastAsia" w:ascii="宋体" w:hAnsi="宋体" w:eastAsia="宋体" w:cs="宋体"/>
                <w:color w:val="auto"/>
                <w:sz w:val="18"/>
                <w:szCs w:val="18"/>
                <w:highlight w:val="none"/>
              </w:rPr>
              <w:t>，符合承载要求才可进行安装；应采取避免集中受力的保证措施，如架设轻质木板或其他增大受力面积的保证措施，同时必须优先安装运维通道，避免屋面因集中受力变形破裂受损。如因保护措施不足，使原有屋面受损，投标人应承担维修责任及费用，情况严重的，招标人有权要求投标人按照招标人遭受的损失进行赔偿。</w:t>
            </w:r>
          </w:p>
          <w:p w14:paraId="46544076">
            <w:pPr>
              <w:tabs>
                <w:tab w:val="left" w:pos="360"/>
              </w:tabs>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（6）项目现场的临时用电严格按照《建筑与市政工程施工现场临时用电安全技术标准》JGJ/46-2024 的规定执行，严格按照三相五线制布设电线，做到二级保护，三级控制，一机一闸，同时需出专项方案。</w:t>
            </w:r>
          </w:p>
          <w:p w14:paraId="4F1F1A83">
            <w:pPr>
              <w:tabs>
                <w:tab w:val="left" w:pos="360"/>
              </w:tabs>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（7）项目现场的高处作业严格按照《建筑施工高处作业安全技术规范》JGJ80-2016的规定落实安全措施，正确佩戴五点式安全带（绳）、安全帽，同时需出专项方案。</w:t>
            </w:r>
          </w:p>
          <w:p w14:paraId="1B4306FE">
            <w:pPr>
              <w:tabs>
                <w:tab w:val="left" w:pos="360"/>
              </w:tabs>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（8）项目现场的吊装作业必须设置警戒区域，禁止人员跟随物体起吊，禁止人员站在吊物作业范围内下方，同时需出专项方案。</w:t>
            </w:r>
          </w:p>
          <w:p w14:paraId="41950FD2">
            <w:pPr>
              <w:tabs>
                <w:tab w:val="left" w:pos="360"/>
              </w:tabs>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（9）项目现场的动火作业点应落实消防安全措施，清理周边易燃、可燃物体，设置灭火毯、灭火器等设施，严禁在禁火区域进行动火，同时需出专项方案。</w:t>
            </w:r>
          </w:p>
          <w:p w14:paraId="39C78DD1">
            <w:pPr>
              <w:spacing w:line="360" w:lineRule="auto"/>
              <w:ind w:firstLine="360" w:firstLineChars="200"/>
              <w:rPr>
                <w:rFonts w:ascii="宋体" w:hAnsi="宋体" w:eastAsia="宋体" w:cs="宋体"/>
                <w:b/>
                <w:color w:val="auto"/>
                <w:sz w:val="18"/>
                <w:szCs w:val="18"/>
                <w:highlight w:val="none"/>
              </w:rPr>
            </w:pPr>
            <w:r>
              <w:rPr>
                <w:rFonts w:hint="eastAsia" w:ascii="宋体" w:hAnsi="宋体" w:eastAsia="宋体" w:cs="宋体"/>
                <w:color w:val="auto"/>
                <w:sz w:val="18"/>
                <w:szCs w:val="18"/>
                <w:highlight w:val="none"/>
              </w:rPr>
              <w:t>（10）项目现场设立安全警示牌。危险区域必须悬挂“临边区域，当心坠落”、“高空作业，当心坠落”、“小心踏空，以防坠落”、“以防坠落，请勿攀爬”、“吊装作业，请勿靠近”、“高压有电，请勿靠近”、“当心触电”、“注意安全 ”、“严禁烟火”、“禁止通行”或“高空作业，系好安全带”、“必须系安全带”、“必须戴安全帽”等警示标志。</w:t>
            </w:r>
          </w:p>
        </w:tc>
        <w:tc>
          <w:tcPr>
            <w:tcW w:w="325" w:type="pct"/>
            <w:vAlign w:val="center"/>
          </w:tcPr>
          <w:p w14:paraId="6F964FDD">
            <w:pPr>
              <w:keepNext/>
              <w:keepLines/>
              <w:spacing w:line="360" w:lineRule="auto"/>
              <w:jc w:val="center"/>
              <w:rPr>
                <w:rFonts w:ascii="宋体" w:hAnsi="宋体" w:eastAsia="宋体" w:cs="宋体"/>
                <w:color w:val="auto"/>
                <w:kern w:val="0"/>
                <w:sz w:val="18"/>
                <w:szCs w:val="18"/>
                <w:highlight w:val="none"/>
              </w:rPr>
            </w:pPr>
          </w:p>
        </w:tc>
        <w:tc>
          <w:tcPr>
            <w:tcW w:w="393" w:type="pct"/>
            <w:vAlign w:val="center"/>
          </w:tcPr>
          <w:p w14:paraId="3B14645F">
            <w:pPr>
              <w:keepNext/>
              <w:keepLines/>
              <w:spacing w:line="360" w:lineRule="auto"/>
              <w:jc w:val="center"/>
              <w:rPr>
                <w:rFonts w:ascii="宋体" w:hAnsi="宋体" w:eastAsia="宋体" w:cs="宋体"/>
                <w:color w:val="auto"/>
                <w:kern w:val="0"/>
                <w:sz w:val="18"/>
                <w:szCs w:val="18"/>
                <w:highlight w:val="none"/>
              </w:rPr>
            </w:pPr>
          </w:p>
        </w:tc>
        <w:tc>
          <w:tcPr>
            <w:tcW w:w="388" w:type="pct"/>
            <w:vAlign w:val="center"/>
          </w:tcPr>
          <w:p w14:paraId="5830A738">
            <w:pPr>
              <w:keepNext/>
              <w:keepLines/>
              <w:spacing w:line="360" w:lineRule="auto"/>
              <w:jc w:val="center"/>
              <w:rPr>
                <w:rFonts w:ascii="宋体" w:hAnsi="宋体" w:eastAsia="宋体" w:cs="宋体"/>
                <w:color w:val="auto"/>
                <w:kern w:val="0"/>
                <w:sz w:val="18"/>
                <w:szCs w:val="18"/>
                <w:highlight w:val="none"/>
              </w:rPr>
            </w:pPr>
          </w:p>
        </w:tc>
      </w:tr>
      <w:tr w14:paraId="5E54F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4" w:type="pct"/>
            <w:vAlign w:val="center"/>
          </w:tcPr>
          <w:p w14:paraId="0F9F4D18">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w:t>
            </w:r>
          </w:p>
        </w:tc>
        <w:tc>
          <w:tcPr>
            <w:tcW w:w="488" w:type="pct"/>
            <w:vAlign w:val="center"/>
          </w:tcPr>
          <w:p w14:paraId="3C3A0166">
            <w:pPr>
              <w:spacing w:line="360" w:lineRule="auto"/>
              <w:jc w:val="center"/>
              <w:rPr>
                <w:rFonts w:ascii="宋体" w:hAnsi="宋体" w:eastAsia="宋体" w:cs="宋体"/>
                <w:color w:val="auto"/>
                <w:sz w:val="18"/>
                <w:szCs w:val="18"/>
                <w:highlight w:val="none"/>
              </w:rPr>
            </w:pPr>
            <w:r>
              <w:rPr>
                <w:rFonts w:hint="eastAsia" w:ascii="宋体" w:hAnsi="宋体" w:eastAsia="宋体" w:cs="宋体"/>
                <w:b/>
                <w:color w:val="auto"/>
                <w:sz w:val="18"/>
                <w:szCs w:val="18"/>
                <w:highlight w:val="none"/>
              </w:rPr>
              <w:t>七、安全运维技术要求</w:t>
            </w:r>
          </w:p>
        </w:tc>
        <w:tc>
          <w:tcPr>
            <w:tcW w:w="3149" w:type="pct"/>
            <w:vAlign w:val="center"/>
          </w:tcPr>
          <w:p w14:paraId="3DB3B960">
            <w:pPr>
              <w:wordWrap w:val="0"/>
              <w:spacing w:line="360" w:lineRule="auto"/>
              <w:ind w:firstLine="361" w:firstLineChars="200"/>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1、安全运维要求</w:t>
            </w:r>
          </w:p>
          <w:p w14:paraId="4AA463CA">
            <w:pPr>
              <w:tabs>
                <w:tab w:val="left" w:pos="360"/>
              </w:tabs>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投标人应当在光伏系统并网成功后在招标人要求时间内，按投标文件及合同约定制定相应的运维制度，成立专门的管理团队，编制运维方案，确保光伏设施的安全运行；投标人在质保期内需配合招标人进行运维管理。</w:t>
            </w:r>
          </w:p>
          <w:p w14:paraId="3A746AE3">
            <w:pPr>
              <w:wordWrap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（2）质保期内投标人应确保光伏系统安全、稳定、可靠运行，定期派人检查、监管和记录项目的运行情况，并定期汇总给招标人安全运维部门。</w:t>
            </w:r>
          </w:p>
          <w:p w14:paraId="35C86C61">
            <w:pPr>
              <w:wordWrap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（3）投标人对光伏系统提供一年的运营维护服务，负责项目照管责任并承担全部运营维护所需费用。</w:t>
            </w:r>
          </w:p>
          <w:p w14:paraId="691B5FBF">
            <w:pPr>
              <w:wordWrap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（4）投标人承诺对光伏系统提供质保期内维修保养服务，并承担维修保养费用。</w:t>
            </w:r>
          </w:p>
          <w:p w14:paraId="676A8224">
            <w:pPr>
              <w:wordWrap w:val="0"/>
              <w:spacing w:line="360" w:lineRule="auto"/>
              <w:ind w:firstLine="361" w:firstLineChars="200"/>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2、安全运维设施</w:t>
            </w:r>
          </w:p>
          <w:p w14:paraId="56DB3EBD">
            <w:pPr>
              <w:tabs>
                <w:tab w:val="left" w:pos="360"/>
              </w:tabs>
              <w:spacing w:line="360" w:lineRule="auto"/>
              <w:ind w:firstLine="360" w:firstLineChars="200"/>
              <w:rPr>
                <w:rFonts w:ascii="宋体" w:hAnsi="宋体" w:eastAsia="宋体" w:cs="宋体"/>
                <w:color w:val="auto"/>
                <w:sz w:val="18"/>
                <w:szCs w:val="18"/>
                <w:highlight w:val="none"/>
              </w:rPr>
            </w:pPr>
            <w:r>
              <w:rPr>
                <w:rFonts w:ascii="宋体" w:hAnsi="宋体" w:eastAsia="宋体" w:cs="宋体"/>
                <w:color w:val="auto"/>
                <w:sz w:val="18"/>
                <w:szCs w:val="18"/>
                <w:highlight w:val="none"/>
              </w:rPr>
              <w:t>（1）水清洗系统</w:t>
            </w:r>
          </w:p>
          <w:p w14:paraId="6B6C6609">
            <w:pPr>
              <w:tabs>
                <w:tab w:val="left" w:pos="360"/>
              </w:tabs>
              <w:spacing w:line="360" w:lineRule="auto"/>
              <w:ind w:firstLine="360" w:firstLineChars="200"/>
              <w:rPr>
                <w:rFonts w:ascii="宋体" w:hAnsi="宋体" w:eastAsia="宋体" w:cs="宋体"/>
                <w:color w:val="auto"/>
                <w:sz w:val="18"/>
                <w:szCs w:val="18"/>
                <w:highlight w:val="none"/>
              </w:rPr>
            </w:pPr>
            <w:r>
              <w:rPr>
                <w:rFonts w:ascii="宋体" w:hAnsi="宋体" w:eastAsia="宋体" w:cs="宋体"/>
                <w:color w:val="auto"/>
                <w:sz w:val="18"/>
                <w:szCs w:val="18"/>
                <w:highlight w:val="none"/>
              </w:rPr>
              <w:t>①考虑到后期光伏组件清洗，每个屋面光伏系统需设计水清洗系统，要求在光伏组件排布屋面安装水管，并在出水口加装水龙头，在每个接水口需要配置相应的计量水表。</w:t>
            </w:r>
          </w:p>
          <w:p w14:paraId="6305800A">
            <w:pPr>
              <w:tabs>
                <w:tab w:val="left" w:pos="360"/>
              </w:tabs>
              <w:spacing w:line="360" w:lineRule="auto"/>
              <w:ind w:firstLine="360" w:firstLineChars="200"/>
              <w:rPr>
                <w:rFonts w:ascii="宋体" w:hAnsi="宋体" w:eastAsia="宋体" w:cs="宋体"/>
                <w:color w:val="auto"/>
                <w:sz w:val="18"/>
                <w:szCs w:val="18"/>
                <w:highlight w:val="none"/>
              </w:rPr>
            </w:pPr>
            <w:r>
              <w:rPr>
                <w:rFonts w:ascii="宋体" w:hAnsi="宋体" w:eastAsia="宋体" w:cs="宋体"/>
                <w:color w:val="auto"/>
                <w:sz w:val="18"/>
                <w:szCs w:val="18"/>
                <w:highlight w:val="none"/>
              </w:rPr>
              <w:t>②水清洗系统冲洗端水压不足（压力小于0.2MPa时）需加装增压泵，出口压力可调节，最小出口压力保证每个终端同时开启时冲洗压力大于0.2MPa，泵入口设置可拆卸式滤网保证冲洗水不含杂质。</w:t>
            </w:r>
          </w:p>
          <w:p w14:paraId="2D5B4B42">
            <w:pPr>
              <w:tabs>
                <w:tab w:val="left" w:pos="360"/>
              </w:tabs>
              <w:spacing w:line="360" w:lineRule="auto"/>
              <w:ind w:firstLine="360" w:firstLineChars="200"/>
              <w:rPr>
                <w:rFonts w:ascii="宋体" w:hAnsi="宋体" w:eastAsia="宋体" w:cs="宋体"/>
                <w:color w:val="auto"/>
                <w:sz w:val="18"/>
                <w:szCs w:val="18"/>
                <w:highlight w:val="none"/>
              </w:rPr>
            </w:pPr>
            <w:r>
              <w:rPr>
                <w:rFonts w:ascii="宋体" w:hAnsi="宋体" w:eastAsia="宋体" w:cs="宋体"/>
                <w:color w:val="auto"/>
                <w:sz w:val="18"/>
                <w:szCs w:val="18"/>
                <w:highlight w:val="none"/>
              </w:rPr>
              <w:t>③所有的冲洗水管采用PPR热熔管，清洗水管管网放在通道上，水管拖长不超过50米且不能放在光伏组件上，在棚架光伏组件面每25米设置一个水龙头，按只能走通道的原则来布置水龙头。</w:t>
            </w:r>
          </w:p>
          <w:p w14:paraId="6376D18D">
            <w:pPr>
              <w:tabs>
                <w:tab w:val="left" w:pos="360"/>
              </w:tabs>
              <w:spacing w:line="360" w:lineRule="auto"/>
              <w:ind w:firstLine="360" w:firstLineChars="200"/>
              <w:rPr>
                <w:rFonts w:ascii="宋体" w:hAnsi="宋体" w:eastAsia="宋体" w:cs="宋体"/>
                <w:color w:val="auto"/>
                <w:sz w:val="18"/>
                <w:szCs w:val="18"/>
                <w:highlight w:val="none"/>
              </w:rPr>
            </w:pPr>
            <w:r>
              <w:rPr>
                <w:rFonts w:ascii="宋体" w:hAnsi="宋体" w:eastAsia="宋体" w:cs="宋体"/>
                <w:color w:val="auto"/>
                <w:sz w:val="18"/>
                <w:szCs w:val="18"/>
                <w:highlight w:val="none"/>
              </w:rPr>
              <w:t>④水管、水龙头应安装整齐、牢固，外观无明显破损和质量问题。</w:t>
            </w:r>
          </w:p>
          <w:p w14:paraId="169D7C2F">
            <w:pPr>
              <w:tabs>
                <w:tab w:val="left" w:pos="360"/>
              </w:tabs>
              <w:spacing w:line="360" w:lineRule="auto"/>
              <w:ind w:firstLine="360" w:firstLineChars="200"/>
              <w:rPr>
                <w:rFonts w:ascii="宋体" w:hAnsi="宋体" w:eastAsia="宋体" w:cs="宋体"/>
                <w:color w:val="auto"/>
                <w:sz w:val="18"/>
                <w:szCs w:val="18"/>
                <w:highlight w:val="none"/>
              </w:rPr>
            </w:pPr>
            <w:r>
              <w:rPr>
                <w:rFonts w:ascii="宋体" w:hAnsi="宋体" w:eastAsia="宋体" w:cs="宋体"/>
                <w:color w:val="auto"/>
                <w:sz w:val="18"/>
                <w:szCs w:val="18"/>
                <w:highlight w:val="none"/>
              </w:rPr>
              <w:t>⑤混凝土屋顶原排水系统不足以及时排水或建筑物业主方要求增加新的排水管时需设计安装引到地面的排水管</w:t>
            </w:r>
            <w:r>
              <w:rPr>
                <w:rFonts w:hint="eastAsia" w:ascii="宋体" w:hAnsi="宋体" w:eastAsia="宋体" w:cs="宋体"/>
                <w:color w:val="auto"/>
                <w:sz w:val="18"/>
                <w:szCs w:val="18"/>
                <w:highlight w:val="none"/>
              </w:rPr>
              <w:t>。</w:t>
            </w:r>
          </w:p>
          <w:p w14:paraId="2F1C3FC5">
            <w:pPr>
              <w:tabs>
                <w:tab w:val="left" w:pos="360"/>
              </w:tabs>
              <w:spacing w:line="360" w:lineRule="auto"/>
              <w:ind w:firstLine="360" w:firstLineChars="200"/>
              <w:rPr>
                <w:rFonts w:ascii="宋体" w:hAnsi="宋体" w:eastAsia="宋体" w:cs="宋体"/>
                <w:color w:val="auto"/>
                <w:sz w:val="18"/>
                <w:szCs w:val="18"/>
                <w:highlight w:val="none"/>
              </w:rPr>
            </w:pPr>
            <w:r>
              <w:rPr>
                <w:rFonts w:ascii="宋体" w:hAnsi="宋体" w:eastAsia="宋体" w:cs="宋体"/>
                <w:color w:val="auto"/>
                <w:sz w:val="18"/>
                <w:szCs w:val="18"/>
                <w:highlight w:val="none"/>
              </w:rPr>
              <w:t>（2）运维通道</w:t>
            </w:r>
          </w:p>
          <w:p w14:paraId="458926BF">
            <w:pPr>
              <w:tabs>
                <w:tab w:val="left" w:pos="360"/>
              </w:tabs>
              <w:spacing w:line="360" w:lineRule="auto"/>
              <w:ind w:firstLine="360" w:firstLineChars="200"/>
              <w:rPr>
                <w:rFonts w:ascii="宋体" w:hAnsi="宋体" w:eastAsia="宋体" w:cs="宋体"/>
                <w:color w:val="auto"/>
                <w:sz w:val="18"/>
                <w:szCs w:val="18"/>
                <w:highlight w:val="none"/>
              </w:rPr>
            </w:pPr>
            <w:r>
              <w:rPr>
                <w:rFonts w:ascii="宋体" w:hAnsi="宋体" w:eastAsia="宋体" w:cs="宋体"/>
                <w:color w:val="auto"/>
                <w:sz w:val="18"/>
                <w:szCs w:val="18"/>
                <w:highlight w:val="none"/>
              </w:rPr>
              <w:t>各项目根据组件排布设置合理的运维通道，确保方便运维人员进行运维。运维通道应连成一体，并和水管、桥架等统一布置。</w:t>
            </w:r>
          </w:p>
          <w:p w14:paraId="06DD3F2E">
            <w:pPr>
              <w:tabs>
                <w:tab w:val="left" w:pos="360"/>
              </w:tabs>
              <w:spacing w:line="360" w:lineRule="auto"/>
              <w:ind w:firstLine="360" w:firstLineChars="200"/>
              <w:rPr>
                <w:rFonts w:ascii="宋体" w:hAnsi="宋体" w:eastAsia="宋体" w:cs="宋体"/>
                <w:color w:val="auto"/>
                <w:sz w:val="18"/>
                <w:szCs w:val="18"/>
                <w:highlight w:val="none"/>
              </w:rPr>
            </w:pPr>
            <w:r>
              <w:rPr>
                <w:rFonts w:ascii="宋体" w:hAnsi="宋体" w:eastAsia="宋体" w:cs="宋体"/>
                <w:color w:val="auto"/>
                <w:sz w:val="18"/>
                <w:szCs w:val="18"/>
                <w:highlight w:val="none"/>
              </w:rPr>
              <w:t>A.混凝土屋面光伏结构棚面中间设置花纹钢板运维通道，通道能直达到检修楼梯平台且不影响光伏系统件的正常运行。运维花纹钢板要求如下：</w:t>
            </w:r>
          </w:p>
          <w:p w14:paraId="1611D4D2">
            <w:pPr>
              <w:tabs>
                <w:tab w:val="left" w:pos="360"/>
              </w:tabs>
              <w:spacing w:line="360" w:lineRule="auto"/>
              <w:ind w:firstLine="360" w:firstLineChars="200"/>
              <w:rPr>
                <w:rFonts w:ascii="宋体" w:hAnsi="宋体" w:eastAsia="宋体" w:cs="宋体"/>
                <w:color w:val="auto"/>
                <w:sz w:val="18"/>
                <w:szCs w:val="18"/>
                <w:highlight w:val="none"/>
              </w:rPr>
            </w:pPr>
            <w:r>
              <w:rPr>
                <w:rFonts w:ascii="宋体" w:hAnsi="宋体" w:eastAsia="宋体" w:cs="宋体"/>
                <w:color w:val="auto"/>
                <w:sz w:val="18"/>
                <w:szCs w:val="18"/>
                <w:highlight w:val="none"/>
              </w:rPr>
              <w:t>①花纹钢板材质采用镀锌钢，花纹钢板的重量在15kg/m2以内，宽度不低于400mm；</w:t>
            </w:r>
          </w:p>
          <w:p w14:paraId="13ABB6ED">
            <w:pPr>
              <w:tabs>
                <w:tab w:val="left" w:pos="360"/>
              </w:tabs>
              <w:spacing w:line="360" w:lineRule="auto"/>
              <w:ind w:firstLine="360" w:firstLineChars="200"/>
              <w:rPr>
                <w:rFonts w:ascii="宋体" w:hAnsi="宋体" w:eastAsia="宋体" w:cs="宋体"/>
                <w:color w:val="auto"/>
                <w:sz w:val="18"/>
                <w:szCs w:val="18"/>
                <w:highlight w:val="none"/>
              </w:rPr>
            </w:pPr>
            <w:r>
              <w:rPr>
                <w:rFonts w:ascii="宋体" w:hAnsi="宋体" w:eastAsia="宋体" w:cs="宋体"/>
                <w:color w:val="auto"/>
                <w:sz w:val="18"/>
                <w:szCs w:val="18"/>
                <w:highlight w:val="none"/>
              </w:rPr>
              <w:t>②花纹钢板能够满足并能覆盖整个屋面太阳能板区域运维过程中的清洗、检修等工作；</w:t>
            </w:r>
          </w:p>
          <w:p w14:paraId="66159E1C">
            <w:pPr>
              <w:tabs>
                <w:tab w:val="left" w:pos="360"/>
              </w:tabs>
              <w:spacing w:line="360" w:lineRule="auto"/>
              <w:ind w:firstLine="360" w:firstLineChars="200"/>
              <w:rPr>
                <w:rFonts w:ascii="宋体" w:hAnsi="宋体" w:eastAsia="宋体" w:cs="宋体"/>
                <w:color w:val="auto"/>
                <w:sz w:val="18"/>
                <w:szCs w:val="18"/>
                <w:highlight w:val="none"/>
              </w:rPr>
            </w:pPr>
            <w:r>
              <w:rPr>
                <w:rFonts w:ascii="宋体" w:hAnsi="宋体" w:eastAsia="宋体" w:cs="宋体"/>
                <w:color w:val="auto"/>
                <w:sz w:val="18"/>
                <w:szCs w:val="18"/>
                <w:highlight w:val="none"/>
              </w:rPr>
              <w:t>③花纹钢板与花纹钢板衔接处可靠固定，花纹钢板与光伏结构棚可靠连接；</w:t>
            </w:r>
          </w:p>
          <w:p w14:paraId="422520EF">
            <w:pPr>
              <w:tabs>
                <w:tab w:val="left" w:pos="360"/>
              </w:tabs>
              <w:spacing w:line="360" w:lineRule="auto"/>
              <w:ind w:firstLine="360" w:firstLineChars="200"/>
              <w:rPr>
                <w:rFonts w:ascii="宋体" w:hAnsi="宋体" w:eastAsia="宋体" w:cs="宋体"/>
                <w:color w:val="auto"/>
                <w:sz w:val="18"/>
                <w:szCs w:val="18"/>
                <w:highlight w:val="none"/>
              </w:rPr>
            </w:pPr>
            <w:r>
              <w:rPr>
                <w:rFonts w:ascii="宋体" w:hAnsi="宋体" w:eastAsia="宋体" w:cs="宋体"/>
                <w:color w:val="auto"/>
                <w:sz w:val="18"/>
                <w:szCs w:val="18"/>
                <w:highlight w:val="none"/>
              </w:rPr>
              <w:t>④花纹钢板强度和质量，满足如下要求：确保花纹钢板不移位晃动，不下垂并满足踩踏强度要求，寿命要求25年以上；</w:t>
            </w:r>
          </w:p>
          <w:p w14:paraId="61649B17">
            <w:pPr>
              <w:tabs>
                <w:tab w:val="left" w:pos="360"/>
              </w:tabs>
              <w:spacing w:line="360" w:lineRule="auto"/>
              <w:ind w:firstLine="360" w:firstLineChars="200"/>
              <w:rPr>
                <w:rFonts w:ascii="宋体" w:hAnsi="宋体" w:eastAsia="宋体" w:cs="宋体"/>
                <w:color w:val="auto"/>
                <w:sz w:val="18"/>
                <w:szCs w:val="18"/>
                <w:highlight w:val="none"/>
              </w:rPr>
            </w:pPr>
            <w:r>
              <w:rPr>
                <w:rFonts w:ascii="宋体" w:hAnsi="宋体" w:eastAsia="宋体" w:cs="宋体"/>
                <w:color w:val="auto"/>
                <w:sz w:val="18"/>
                <w:szCs w:val="18"/>
                <w:highlight w:val="none"/>
              </w:rPr>
              <w:t>⑤花纹钢板侧必须设置悬挂安全绳的牢固点，并参照《坠落防护水平生命线装置》GB38454-2019沿着花纹钢板加装水平生命线，确保方便运维人员安全清洗、运维。</w:t>
            </w:r>
          </w:p>
          <w:p w14:paraId="6CE075B3">
            <w:pPr>
              <w:tabs>
                <w:tab w:val="left" w:pos="360"/>
              </w:tabs>
              <w:spacing w:line="360" w:lineRule="auto"/>
              <w:ind w:firstLine="360" w:firstLineChars="200"/>
              <w:rPr>
                <w:rFonts w:ascii="宋体" w:hAnsi="宋体" w:eastAsia="宋体" w:cs="宋体"/>
                <w:color w:val="auto"/>
                <w:sz w:val="18"/>
                <w:szCs w:val="18"/>
                <w:highlight w:val="none"/>
              </w:rPr>
            </w:pPr>
            <w:r>
              <w:rPr>
                <w:rFonts w:ascii="宋体" w:hAnsi="宋体" w:eastAsia="宋体" w:cs="宋体"/>
                <w:color w:val="auto"/>
                <w:sz w:val="18"/>
                <w:szCs w:val="18"/>
                <w:highlight w:val="none"/>
              </w:rPr>
              <w:t>（3）检修配电箱</w:t>
            </w:r>
          </w:p>
          <w:p w14:paraId="0A824266">
            <w:pPr>
              <w:tabs>
                <w:tab w:val="left" w:pos="360"/>
              </w:tabs>
              <w:spacing w:line="360" w:lineRule="auto"/>
              <w:ind w:firstLine="360" w:firstLineChars="200"/>
              <w:rPr>
                <w:rFonts w:ascii="宋体" w:hAnsi="宋体" w:eastAsia="宋体" w:cs="宋体"/>
                <w:color w:val="auto"/>
                <w:sz w:val="18"/>
                <w:szCs w:val="18"/>
                <w:highlight w:val="none"/>
              </w:rPr>
            </w:pPr>
            <w:r>
              <w:rPr>
                <w:rFonts w:ascii="宋体" w:hAnsi="宋体" w:eastAsia="宋体" w:cs="宋体"/>
                <w:color w:val="auto"/>
                <w:sz w:val="18"/>
                <w:szCs w:val="18"/>
                <w:highlight w:val="none"/>
              </w:rPr>
              <w:t>为方便运维人员进行后期运维作业，安装光伏系统的屋面需加装检修配电箱，做法同逆变器一样，安装户外支架或挂墙安装,箱体采用厚度≥1.5mm的</w:t>
            </w:r>
            <w:r>
              <w:rPr>
                <w:rFonts w:hint="eastAsia" w:ascii="宋体" w:hAnsi="宋体" w:eastAsia="宋体" w:cs="宋体"/>
                <w:color w:val="auto"/>
                <w:sz w:val="18"/>
                <w:szCs w:val="18"/>
                <w:highlight w:val="none"/>
              </w:rPr>
              <w:t>304不锈钢</w:t>
            </w:r>
            <w:r>
              <w:rPr>
                <w:rFonts w:ascii="宋体" w:hAnsi="宋体" w:eastAsia="宋体" w:cs="宋体"/>
                <w:color w:val="auto"/>
                <w:sz w:val="18"/>
                <w:szCs w:val="18"/>
                <w:highlight w:val="none"/>
              </w:rPr>
              <w:t>，防护等级不低于IP65，可靠接地，电源由交流汇流箱、逆变器交流端就近引入，开关与线缆大小的选型需满足焊接要求，同时方便视频监控系统取电。</w:t>
            </w:r>
          </w:p>
          <w:p w14:paraId="689B0AB5">
            <w:pPr>
              <w:tabs>
                <w:tab w:val="left" w:pos="360"/>
              </w:tabs>
              <w:spacing w:line="360" w:lineRule="auto"/>
              <w:ind w:firstLine="360" w:firstLineChars="200"/>
              <w:rPr>
                <w:rFonts w:ascii="宋体" w:hAnsi="宋体" w:eastAsia="宋体" w:cs="宋体"/>
                <w:color w:val="auto"/>
                <w:sz w:val="18"/>
                <w:szCs w:val="18"/>
                <w:highlight w:val="none"/>
              </w:rPr>
            </w:pPr>
            <w:r>
              <w:rPr>
                <w:rFonts w:ascii="宋体" w:hAnsi="宋体" w:eastAsia="宋体" w:cs="宋体"/>
                <w:color w:val="auto"/>
                <w:sz w:val="18"/>
                <w:szCs w:val="18"/>
                <w:highlight w:val="none"/>
              </w:rPr>
              <w:t>（4）安全护栏、钢斜梯、采光带标识</w:t>
            </w:r>
          </w:p>
          <w:p w14:paraId="22A56417">
            <w:pPr>
              <w:tabs>
                <w:tab w:val="left" w:pos="360"/>
              </w:tabs>
              <w:spacing w:line="360" w:lineRule="auto"/>
              <w:ind w:firstLine="360" w:firstLineChars="200"/>
              <w:rPr>
                <w:rFonts w:ascii="宋体" w:hAnsi="宋体" w:eastAsia="宋体" w:cs="宋体"/>
                <w:color w:val="auto"/>
                <w:sz w:val="18"/>
                <w:szCs w:val="18"/>
                <w:highlight w:val="none"/>
              </w:rPr>
            </w:pPr>
            <w:r>
              <w:rPr>
                <w:rFonts w:ascii="宋体" w:hAnsi="宋体" w:eastAsia="宋体" w:cs="宋体"/>
                <w:color w:val="auto"/>
                <w:sz w:val="18"/>
                <w:szCs w:val="18"/>
                <w:highlight w:val="none"/>
              </w:rPr>
              <w:t>①安全护栏：若屋顶无护栏或女儿墙屋顶的屋顶临边、洞口处，需加装高度≥1200mm的永久热镀锌角钢、U型钢材质防护围栏，以保护人身安全，同时也要减少护栏对光伏组件阴影遮挡影响。护栏立柱之间的间距小于1.5m，横杆之间的间距小于0.6m，护栏按间隔可靠防雷接地。护栏安装应牢固、美观，符合《建筑施工高处作业安全技术规范》JGJ80-2016。</w:t>
            </w:r>
          </w:p>
          <w:p w14:paraId="46EAE6E5">
            <w:pPr>
              <w:tabs>
                <w:tab w:val="left" w:pos="360"/>
              </w:tabs>
              <w:spacing w:line="360" w:lineRule="auto"/>
              <w:ind w:firstLine="360" w:firstLineChars="200"/>
              <w:rPr>
                <w:rFonts w:ascii="宋体" w:hAnsi="宋体" w:eastAsia="宋体" w:cs="宋体"/>
                <w:color w:val="auto"/>
                <w:sz w:val="18"/>
                <w:szCs w:val="18"/>
                <w:highlight w:val="none"/>
              </w:rPr>
            </w:pPr>
            <w:r>
              <w:rPr>
                <w:rFonts w:ascii="宋体" w:hAnsi="宋体" w:eastAsia="宋体" w:cs="宋体"/>
                <w:color w:val="auto"/>
                <w:sz w:val="18"/>
                <w:szCs w:val="18"/>
                <w:highlight w:val="none"/>
              </w:rPr>
              <w:t>②扶手踏步钢斜梯：为方便运维和安全作业，未设置楼梯的屋面、棚架式光伏组件面，须设置扶手踏步镀锌钢斜梯，钢梯宽度≥0.8m，扶手高度≥0.9m，同时加装0.8m×1.2m运维操作平台并与运维通道进行连接，应符合《固定式钢梯及平台安全要求</w:t>
            </w:r>
            <w:r>
              <w:rPr>
                <w:rFonts w:hint="eastAsia" w:ascii="宋体" w:hAnsi="宋体" w:eastAsia="宋体" w:cs="宋体"/>
                <w:color w:val="auto"/>
                <w:sz w:val="18"/>
                <w:szCs w:val="18"/>
                <w:highlight w:val="none"/>
              </w:rPr>
              <w:t xml:space="preserve"> </w:t>
            </w:r>
            <w:r>
              <w:rPr>
                <w:rFonts w:ascii="宋体" w:hAnsi="宋体" w:eastAsia="宋体" w:cs="宋体"/>
                <w:color w:val="auto"/>
                <w:sz w:val="18"/>
                <w:szCs w:val="18"/>
                <w:highlight w:val="none"/>
              </w:rPr>
              <w:t>第2部分:钢斜梯》GB4053.2-2009规定。钢斜梯入口要有带锁的活动门，钢斜梯旁边设置“非内部人员禁止进入”等安全警示牌。</w:t>
            </w:r>
          </w:p>
          <w:p w14:paraId="6F766439">
            <w:pPr>
              <w:spacing w:line="360" w:lineRule="auto"/>
              <w:ind w:firstLine="360" w:firstLineChars="200"/>
              <w:rPr>
                <w:rFonts w:ascii="宋体" w:hAnsi="宋体" w:eastAsia="宋体" w:cs="宋体"/>
                <w:b/>
                <w:color w:val="auto"/>
                <w:sz w:val="18"/>
                <w:szCs w:val="18"/>
                <w:highlight w:val="none"/>
              </w:rPr>
            </w:pPr>
            <w:r>
              <w:rPr>
                <w:rFonts w:ascii="宋体" w:hAnsi="宋体" w:eastAsia="宋体" w:cs="宋体"/>
                <w:color w:val="auto"/>
                <w:sz w:val="18"/>
                <w:szCs w:val="18"/>
                <w:highlight w:val="none"/>
              </w:rPr>
              <w:t>③采光带周围用宽度不少于100mm黄色油漆标识（或贴警示带），并设置“禁止踩踏”警示牌；同时设置防坠落网进行保护，防止人员踩空</w:t>
            </w:r>
            <w:r>
              <w:rPr>
                <w:rFonts w:hint="eastAsia" w:ascii="宋体" w:hAnsi="宋体" w:eastAsia="宋体" w:cs="宋体"/>
                <w:color w:val="auto"/>
                <w:sz w:val="18"/>
                <w:szCs w:val="18"/>
                <w:highlight w:val="none"/>
              </w:rPr>
              <w:t>。</w:t>
            </w:r>
          </w:p>
        </w:tc>
        <w:tc>
          <w:tcPr>
            <w:tcW w:w="325" w:type="pct"/>
            <w:vAlign w:val="center"/>
          </w:tcPr>
          <w:p w14:paraId="37649604">
            <w:pPr>
              <w:keepNext/>
              <w:keepLines/>
              <w:spacing w:line="360" w:lineRule="auto"/>
              <w:jc w:val="center"/>
              <w:rPr>
                <w:rFonts w:ascii="宋体" w:hAnsi="宋体" w:eastAsia="宋体" w:cs="宋体"/>
                <w:color w:val="auto"/>
                <w:kern w:val="0"/>
                <w:sz w:val="18"/>
                <w:szCs w:val="18"/>
                <w:highlight w:val="none"/>
              </w:rPr>
            </w:pPr>
          </w:p>
        </w:tc>
        <w:tc>
          <w:tcPr>
            <w:tcW w:w="393" w:type="pct"/>
            <w:vAlign w:val="center"/>
          </w:tcPr>
          <w:p w14:paraId="51132624">
            <w:pPr>
              <w:keepNext/>
              <w:keepLines/>
              <w:spacing w:line="360" w:lineRule="auto"/>
              <w:jc w:val="center"/>
              <w:rPr>
                <w:rFonts w:ascii="宋体" w:hAnsi="宋体" w:eastAsia="宋体" w:cs="宋体"/>
                <w:color w:val="auto"/>
                <w:kern w:val="0"/>
                <w:sz w:val="18"/>
                <w:szCs w:val="18"/>
                <w:highlight w:val="none"/>
              </w:rPr>
            </w:pPr>
          </w:p>
        </w:tc>
        <w:tc>
          <w:tcPr>
            <w:tcW w:w="388" w:type="pct"/>
            <w:vAlign w:val="center"/>
          </w:tcPr>
          <w:p w14:paraId="1ECEE311">
            <w:pPr>
              <w:keepNext/>
              <w:keepLines/>
              <w:spacing w:line="360" w:lineRule="auto"/>
              <w:jc w:val="center"/>
              <w:rPr>
                <w:rFonts w:ascii="宋体" w:hAnsi="宋体" w:eastAsia="宋体" w:cs="宋体"/>
                <w:color w:val="auto"/>
                <w:kern w:val="0"/>
                <w:sz w:val="18"/>
                <w:szCs w:val="18"/>
                <w:highlight w:val="none"/>
              </w:rPr>
            </w:pPr>
          </w:p>
        </w:tc>
      </w:tr>
      <w:tr w14:paraId="2F97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4" w:type="pct"/>
            <w:vAlign w:val="center"/>
          </w:tcPr>
          <w:p w14:paraId="1D3F4499">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w:t>
            </w:r>
          </w:p>
        </w:tc>
        <w:tc>
          <w:tcPr>
            <w:tcW w:w="488" w:type="pct"/>
            <w:vAlign w:val="center"/>
          </w:tcPr>
          <w:p w14:paraId="379B72B3">
            <w:pPr>
              <w:spacing w:line="360" w:lineRule="auto"/>
              <w:jc w:val="center"/>
              <w:rPr>
                <w:rFonts w:ascii="宋体" w:hAnsi="宋体" w:eastAsia="宋体" w:cs="宋体"/>
                <w:color w:val="auto"/>
                <w:sz w:val="18"/>
                <w:szCs w:val="18"/>
                <w:highlight w:val="none"/>
              </w:rPr>
            </w:pPr>
            <w:r>
              <w:rPr>
                <w:rFonts w:hint="eastAsia" w:ascii="宋体" w:hAnsi="宋体" w:eastAsia="宋体" w:cs="宋体"/>
                <w:b/>
                <w:color w:val="auto"/>
                <w:sz w:val="18"/>
                <w:szCs w:val="18"/>
                <w:highlight w:val="none"/>
              </w:rPr>
              <w:t>八、消防要求</w:t>
            </w:r>
          </w:p>
        </w:tc>
        <w:tc>
          <w:tcPr>
            <w:tcW w:w="3149" w:type="pct"/>
            <w:vAlign w:val="center"/>
          </w:tcPr>
          <w:p w14:paraId="57378421">
            <w:pPr>
              <w:wordWrap w:val="0"/>
              <w:spacing w:line="360" w:lineRule="auto"/>
              <w:ind w:firstLine="361" w:firstLineChars="200"/>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1、主要设计原则、功能及配置</w:t>
            </w:r>
          </w:p>
          <w:p w14:paraId="339F380A">
            <w:pPr>
              <w:wordWrap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本项目依据国家有关消防条例、规范进行设计，本着“预防为主、防消结合 ”的消防工作方针，消防系统的设置以加强自身防范力量为主，立足于自救，同时与消防部门联防，做到“防患于未然”，从积极的方面预防火灾的发生及蔓延。变电站内电气设备较多，消防设计的重点是防止电气火灾。</w:t>
            </w:r>
          </w:p>
          <w:p w14:paraId="5FE6C984">
            <w:pPr>
              <w:wordWrap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（1）对设有电气仪表设备的房间，应配置移动式气体灭火器和手动火灾报警（警铃）。</w:t>
            </w:r>
          </w:p>
          <w:p w14:paraId="0D855D72">
            <w:pPr>
              <w:wordWrap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（2）对光伏组件屋面应按方阵、逆变器数量配置干粉灭火器和消防沙，用于发电单元电气设备的灭火。</w:t>
            </w:r>
          </w:p>
          <w:p w14:paraId="0FD4A66C">
            <w:pPr>
              <w:wordWrap w:val="0"/>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3）根据“预防为主、防消结合”的原则，本着减少着火几率，阻止电缆着火延燃及窜燃的目的，结合现场实际情况，主要采取“封”“堵”“隔”“涂”等技术措施，封堵施工按照国家及行业有关标准和以往的电缆防火封堵措施并结合电站实际情况进行，交流电缆采用阻燃型。安装主要达到《电气装置安装工程 电缆线路施工及验收标准》GB50168-2018。</w:t>
            </w:r>
          </w:p>
          <w:p w14:paraId="1612247B">
            <w:pPr>
              <w:wordWrap w:val="0"/>
              <w:spacing w:line="360" w:lineRule="auto"/>
              <w:ind w:firstLine="361" w:firstLineChars="200"/>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2、消防设计及消防验收</w:t>
            </w:r>
          </w:p>
          <w:p w14:paraId="071FDE6B">
            <w:pPr>
              <w:tabs>
                <w:tab w:val="left" w:pos="360"/>
              </w:tabs>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投标人须依据《中华人民共和国消防法》、《建设工程消防设计审查验收管理暂行规定》等法律法规及当地消防管理部门的要求，完成如下事项（包括但不限于）:</w:t>
            </w:r>
          </w:p>
          <w:p w14:paraId="66298D76">
            <w:pPr>
              <w:tabs>
                <w:tab w:val="left" w:pos="360"/>
              </w:tabs>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（1）光伏发电项目的消防设计及备案；</w:t>
            </w:r>
          </w:p>
          <w:p w14:paraId="1B7093AF">
            <w:pPr>
              <w:tabs>
                <w:tab w:val="left" w:pos="360"/>
              </w:tabs>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（2）委托有资质的第三方机构进行消防检测，并取得消防设施检测合格证明文件；</w:t>
            </w:r>
          </w:p>
          <w:p w14:paraId="6F270A70">
            <w:pPr>
              <w:tabs>
                <w:tab w:val="left" w:pos="360"/>
              </w:tabs>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（3）竣工验收消防备案；</w:t>
            </w:r>
          </w:p>
          <w:p w14:paraId="19AD3E6E">
            <w:pPr>
              <w:widowControl/>
              <w:tabs>
                <w:tab w:val="left" w:pos="360"/>
              </w:tabs>
              <w:spacing w:line="360" w:lineRule="auto"/>
              <w:ind w:firstLine="360" w:firstLineChars="200"/>
              <w:jc w:val="left"/>
              <w:rPr>
                <w:rFonts w:ascii="宋体" w:hAnsi="宋体" w:eastAsia="宋体" w:cs="宋体"/>
                <w:b/>
                <w:color w:val="auto"/>
                <w:sz w:val="18"/>
                <w:szCs w:val="18"/>
                <w:highlight w:val="none"/>
              </w:rPr>
            </w:pPr>
            <w:r>
              <w:rPr>
                <w:rFonts w:hint="eastAsia" w:ascii="宋体" w:hAnsi="宋体" w:eastAsia="宋体" w:cs="宋体"/>
                <w:color w:val="auto"/>
                <w:sz w:val="18"/>
                <w:szCs w:val="18"/>
                <w:highlight w:val="none"/>
              </w:rPr>
              <w:t>（4）如本项目被确定为抽查对象，须通过当地消防管理部门的检测检验。</w:t>
            </w:r>
          </w:p>
        </w:tc>
        <w:tc>
          <w:tcPr>
            <w:tcW w:w="325" w:type="pct"/>
            <w:vAlign w:val="center"/>
          </w:tcPr>
          <w:p w14:paraId="5DF77A7D">
            <w:pPr>
              <w:keepNext/>
              <w:keepLines/>
              <w:spacing w:line="360" w:lineRule="auto"/>
              <w:jc w:val="center"/>
              <w:rPr>
                <w:rFonts w:ascii="宋体" w:hAnsi="宋体" w:eastAsia="宋体" w:cs="宋体"/>
                <w:color w:val="auto"/>
                <w:kern w:val="0"/>
                <w:sz w:val="18"/>
                <w:szCs w:val="18"/>
                <w:highlight w:val="none"/>
              </w:rPr>
            </w:pPr>
          </w:p>
        </w:tc>
        <w:tc>
          <w:tcPr>
            <w:tcW w:w="393" w:type="pct"/>
            <w:vAlign w:val="center"/>
          </w:tcPr>
          <w:p w14:paraId="4CFD33CB">
            <w:pPr>
              <w:keepNext/>
              <w:keepLines/>
              <w:spacing w:line="360" w:lineRule="auto"/>
              <w:jc w:val="center"/>
              <w:rPr>
                <w:rFonts w:ascii="宋体" w:hAnsi="宋体" w:eastAsia="宋体" w:cs="宋体"/>
                <w:color w:val="auto"/>
                <w:kern w:val="0"/>
                <w:sz w:val="18"/>
                <w:szCs w:val="18"/>
                <w:highlight w:val="none"/>
              </w:rPr>
            </w:pPr>
          </w:p>
        </w:tc>
        <w:tc>
          <w:tcPr>
            <w:tcW w:w="388" w:type="pct"/>
            <w:vAlign w:val="center"/>
          </w:tcPr>
          <w:p w14:paraId="1FDAA2FA">
            <w:pPr>
              <w:keepNext/>
              <w:keepLines/>
              <w:spacing w:line="360" w:lineRule="auto"/>
              <w:jc w:val="center"/>
              <w:rPr>
                <w:rFonts w:ascii="宋体" w:hAnsi="宋体" w:eastAsia="宋体" w:cs="宋体"/>
                <w:color w:val="auto"/>
                <w:kern w:val="0"/>
                <w:sz w:val="18"/>
                <w:szCs w:val="18"/>
                <w:highlight w:val="none"/>
              </w:rPr>
            </w:pPr>
          </w:p>
        </w:tc>
      </w:tr>
      <w:tr w14:paraId="2CBBD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4" w:type="pct"/>
            <w:vAlign w:val="center"/>
          </w:tcPr>
          <w:p w14:paraId="3F7096B2">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c>
          <w:tcPr>
            <w:tcW w:w="488" w:type="pct"/>
            <w:vAlign w:val="center"/>
          </w:tcPr>
          <w:p w14:paraId="6F91CAB3">
            <w:pPr>
              <w:spacing w:line="360" w:lineRule="auto"/>
              <w:jc w:val="center"/>
              <w:rPr>
                <w:rFonts w:ascii="宋体" w:hAnsi="宋体" w:eastAsia="宋体" w:cs="宋体"/>
                <w:color w:val="auto"/>
                <w:sz w:val="18"/>
                <w:szCs w:val="18"/>
                <w:highlight w:val="none"/>
              </w:rPr>
            </w:pPr>
            <w:r>
              <w:rPr>
                <w:rFonts w:hint="eastAsia" w:ascii="宋体" w:hAnsi="宋体" w:eastAsia="宋体" w:cs="宋体"/>
                <w:b/>
                <w:color w:val="auto"/>
                <w:sz w:val="18"/>
                <w:szCs w:val="18"/>
                <w:highlight w:val="none"/>
              </w:rPr>
              <w:t>九、其他要求</w:t>
            </w:r>
          </w:p>
        </w:tc>
        <w:tc>
          <w:tcPr>
            <w:tcW w:w="3149" w:type="pct"/>
            <w:vAlign w:val="center"/>
          </w:tcPr>
          <w:p w14:paraId="4623F477">
            <w:pPr>
              <w:pStyle w:val="24"/>
              <w:spacing w:line="360" w:lineRule="auto"/>
              <w:ind w:firstLine="361" w:firstLineChars="20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1、工期安排：</w:t>
            </w:r>
          </w:p>
          <w:p w14:paraId="20C2D91F">
            <w:pPr>
              <w:pStyle w:val="24"/>
              <w:spacing w:line="360" w:lineRule="auto"/>
              <w:ind w:firstLine="360" w:firstLineChars="200"/>
              <w:rPr>
                <w:rFonts w:hint="eastAsia" w:hAnsi="宋体" w:cs="宋体"/>
                <w:color w:val="auto"/>
                <w:sz w:val="18"/>
                <w:szCs w:val="18"/>
                <w:highlight w:val="none"/>
                <w:lang w:eastAsia="zh-CN"/>
              </w:rPr>
            </w:pPr>
            <w:r>
              <w:rPr>
                <w:rFonts w:hint="eastAsia" w:hAnsi="宋体" w:cs="宋体"/>
                <w:color w:val="auto"/>
                <w:sz w:val="18"/>
                <w:szCs w:val="18"/>
                <w:highlight w:val="none"/>
                <w:lang w:eastAsia="zh-CN"/>
              </w:rPr>
              <w:t>（</w:t>
            </w:r>
            <w:r>
              <w:rPr>
                <w:rFonts w:hint="eastAsia" w:hAnsi="宋体" w:cs="宋体"/>
                <w:color w:val="auto"/>
                <w:sz w:val="18"/>
                <w:szCs w:val="18"/>
                <w:highlight w:val="none"/>
                <w:lang w:val="en-US" w:eastAsia="zh-CN"/>
              </w:rPr>
              <w:t>1）深化设计工期：合同签订之日起，10</w:t>
            </w:r>
            <w:r>
              <w:rPr>
                <w:rFonts w:hint="eastAsia" w:hAnsi="宋体" w:cs="宋体"/>
                <w:color w:val="auto"/>
                <w:sz w:val="18"/>
                <w:szCs w:val="18"/>
                <w:highlight w:val="none"/>
              </w:rPr>
              <w:t>日（日历日，下同）内完成项目深化设计文件</w:t>
            </w:r>
            <w:r>
              <w:rPr>
                <w:rFonts w:hint="eastAsia" w:hAnsi="宋体" w:cs="宋体"/>
                <w:color w:val="auto"/>
                <w:sz w:val="18"/>
                <w:szCs w:val="18"/>
                <w:highlight w:val="none"/>
                <w:lang w:eastAsia="zh-CN"/>
              </w:rPr>
              <w:t>。</w:t>
            </w:r>
          </w:p>
          <w:p w14:paraId="446C9370">
            <w:pPr>
              <w:pStyle w:val="24"/>
              <w:spacing w:line="360" w:lineRule="auto"/>
              <w:ind w:firstLine="360" w:firstLineChars="200"/>
              <w:rPr>
                <w:rFonts w:hint="eastAsia" w:hAnsi="宋体" w:cs="宋体"/>
                <w:color w:val="auto"/>
                <w:sz w:val="18"/>
                <w:szCs w:val="18"/>
                <w:highlight w:val="none"/>
              </w:rPr>
            </w:pPr>
            <w:r>
              <w:rPr>
                <w:rFonts w:hint="eastAsia" w:hAnsi="宋体" w:cs="宋体"/>
                <w:color w:val="auto"/>
                <w:sz w:val="18"/>
                <w:szCs w:val="18"/>
                <w:highlight w:val="none"/>
                <w:lang w:eastAsia="zh-CN"/>
              </w:rPr>
              <w:t>（</w:t>
            </w:r>
            <w:r>
              <w:rPr>
                <w:rFonts w:hint="eastAsia" w:hAnsi="宋体" w:cs="宋体"/>
                <w:color w:val="auto"/>
                <w:sz w:val="18"/>
                <w:szCs w:val="18"/>
                <w:highlight w:val="none"/>
                <w:lang w:val="en-US" w:eastAsia="zh-CN"/>
              </w:rPr>
              <w:t>2）供货安装工期：</w:t>
            </w:r>
            <w:r>
              <w:rPr>
                <w:rFonts w:hint="eastAsia" w:hAnsi="宋体" w:cs="宋体"/>
                <w:color w:val="auto"/>
                <w:sz w:val="18"/>
                <w:szCs w:val="18"/>
                <w:highlight w:val="none"/>
              </w:rPr>
              <w:t>每个子项目（厂区）的基准实施周期为150日，</w:t>
            </w:r>
            <w:r>
              <w:rPr>
                <w:rFonts w:hint="eastAsia" w:hAnsi="宋体" w:cs="宋体"/>
                <w:color w:val="auto"/>
                <w:sz w:val="18"/>
                <w:szCs w:val="18"/>
                <w:highlight w:val="none"/>
                <w:lang w:val="en-US" w:eastAsia="zh-CN"/>
              </w:rPr>
              <w:t>子项目完成项目备案并由招标人</w:t>
            </w:r>
            <w:r>
              <w:rPr>
                <w:rFonts w:hint="eastAsia" w:hAnsi="宋体" w:cs="宋体"/>
                <w:color w:val="auto"/>
                <w:sz w:val="18"/>
                <w:szCs w:val="18"/>
                <w:highlight w:val="none"/>
              </w:rPr>
              <w:t>或其委托的项目管理公司签发该子项目开工通知之日起120日内完成该子项目所有建设内容（即初步验收合格），建设完成后，30日内完成并网通电。若本项目未能在工期要求时间内完成工作，</w:t>
            </w:r>
            <w:r>
              <w:rPr>
                <w:rFonts w:hint="eastAsia" w:hAnsi="宋体" w:cs="宋体"/>
                <w:color w:val="auto"/>
                <w:sz w:val="18"/>
                <w:szCs w:val="18"/>
                <w:highlight w:val="none"/>
                <w:lang w:val="en-US" w:eastAsia="zh-CN"/>
              </w:rPr>
              <w:t>中标人</w:t>
            </w:r>
            <w:r>
              <w:rPr>
                <w:rFonts w:hint="eastAsia" w:hAnsi="宋体" w:cs="宋体"/>
                <w:color w:val="auto"/>
                <w:sz w:val="18"/>
                <w:szCs w:val="18"/>
                <w:highlight w:val="none"/>
              </w:rPr>
              <w:t>需承担违约责任，并根据本</w:t>
            </w:r>
            <w:r>
              <w:rPr>
                <w:rFonts w:hint="eastAsia" w:hAnsi="宋体" w:cs="宋体"/>
                <w:color w:val="auto"/>
                <w:sz w:val="18"/>
                <w:szCs w:val="18"/>
                <w:highlight w:val="none"/>
                <w:lang w:val="en-US" w:eastAsia="zh-CN"/>
              </w:rPr>
              <w:t>项目</w:t>
            </w:r>
            <w:r>
              <w:rPr>
                <w:rFonts w:hint="eastAsia" w:hAnsi="宋体" w:cs="宋体"/>
                <w:color w:val="auto"/>
                <w:sz w:val="18"/>
                <w:szCs w:val="18"/>
                <w:highlight w:val="none"/>
              </w:rPr>
              <w:t>合同第二十一条的约定向</w:t>
            </w:r>
            <w:r>
              <w:rPr>
                <w:rFonts w:hint="eastAsia" w:hAnsi="宋体" w:cs="宋体"/>
                <w:color w:val="auto"/>
                <w:sz w:val="18"/>
                <w:szCs w:val="18"/>
                <w:highlight w:val="none"/>
                <w:lang w:val="en-US" w:eastAsia="zh-CN"/>
              </w:rPr>
              <w:t>招标人</w:t>
            </w:r>
            <w:r>
              <w:rPr>
                <w:rFonts w:hint="eastAsia" w:hAnsi="宋体" w:cs="宋体"/>
                <w:color w:val="auto"/>
                <w:sz w:val="18"/>
                <w:szCs w:val="18"/>
                <w:highlight w:val="none"/>
              </w:rPr>
              <w:t>支付对应的违约金。如因供电部门审批延误、不可抗力或其他非项目</w:t>
            </w:r>
            <w:r>
              <w:rPr>
                <w:rFonts w:hint="eastAsia" w:hAnsi="宋体" w:cs="宋体"/>
                <w:color w:val="auto"/>
                <w:sz w:val="18"/>
                <w:szCs w:val="18"/>
                <w:highlight w:val="none"/>
                <w:lang w:val="en-US" w:eastAsia="zh-CN"/>
              </w:rPr>
              <w:t>中标人</w:t>
            </w:r>
            <w:r>
              <w:rPr>
                <w:rFonts w:hint="eastAsia" w:hAnsi="宋体" w:cs="宋体"/>
                <w:color w:val="auto"/>
                <w:sz w:val="18"/>
                <w:szCs w:val="18"/>
                <w:highlight w:val="none"/>
              </w:rPr>
              <w:t>原因且不可归责于</w:t>
            </w:r>
            <w:r>
              <w:rPr>
                <w:rFonts w:hint="eastAsia" w:hAnsi="宋体" w:cs="宋体"/>
                <w:color w:val="auto"/>
                <w:sz w:val="18"/>
                <w:szCs w:val="18"/>
                <w:highlight w:val="none"/>
                <w:lang w:val="en-US" w:eastAsia="zh-CN"/>
              </w:rPr>
              <w:t>中标人</w:t>
            </w:r>
            <w:r>
              <w:rPr>
                <w:rFonts w:hint="eastAsia" w:hAnsi="宋体" w:cs="宋体"/>
                <w:color w:val="auto"/>
                <w:sz w:val="18"/>
                <w:szCs w:val="18"/>
                <w:highlight w:val="none"/>
              </w:rPr>
              <w:t>的客观因素导致工期延误，则受影响子项目的工期应相应顺延，顺延时长以实际延误时间为准，并经</w:t>
            </w:r>
            <w:r>
              <w:rPr>
                <w:rFonts w:hint="eastAsia" w:hAnsi="宋体" w:cs="宋体"/>
                <w:color w:val="auto"/>
                <w:sz w:val="18"/>
                <w:szCs w:val="18"/>
                <w:highlight w:val="none"/>
                <w:lang w:val="en-US" w:eastAsia="zh-CN"/>
              </w:rPr>
              <w:t>招标人</w:t>
            </w:r>
            <w:r>
              <w:rPr>
                <w:rFonts w:hint="eastAsia" w:hAnsi="宋体" w:cs="宋体"/>
                <w:color w:val="auto"/>
                <w:sz w:val="18"/>
                <w:szCs w:val="18"/>
                <w:highlight w:val="none"/>
              </w:rPr>
              <w:t>、</w:t>
            </w:r>
            <w:r>
              <w:rPr>
                <w:rFonts w:hint="eastAsia" w:hAnsi="宋体" w:cs="宋体"/>
                <w:color w:val="auto"/>
                <w:sz w:val="18"/>
                <w:szCs w:val="18"/>
                <w:highlight w:val="none"/>
                <w:lang w:val="en-US" w:eastAsia="zh-CN"/>
              </w:rPr>
              <w:t>中标人</w:t>
            </w:r>
            <w:r>
              <w:rPr>
                <w:rFonts w:hint="eastAsia" w:hAnsi="宋体" w:cs="宋体"/>
                <w:color w:val="auto"/>
                <w:sz w:val="18"/>
                <w:szCs w:val="18"/>
                <w:highlight w:val="none"/>
              </w:rPr>
              <w:t>双方盖章确认。</w:t>
            </w:r>
          </w:p>
          <w:p w14:paraId="7619AF05">
            <w:pPr>
              <w:tabs>
                <w:tab w:val="center" w:pos="3125"/>
              </w:tabs>
              <w:spacing w:line="360" w:lineRule="auto"/>
              <w:ind w:firstLine="361" w:firstLineChars="200"/>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2、运维期：1年，自项目下全部子项目并网审批通过开始正式送电之日起计算。</w:t>
            </w:r>
          </w:p>
          <w:p w14:paraId="22B8432A">
            <w:pPr>
              <w:tabs>
                <w:tab w:val="center" w:pos="3125"/>
              </w:tabs>
              <w:spacing w:line="360" w:lineRule="auto"/>
              <w:ind w:firstLine="361" w:firstLineChars="200"/>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3、质保期：质保期为项目整体最终验收（即本项目下全部子项目竣工验收）合格后2年，如个体设备有更高要求的，遵循更高要求。</w:t>
            </w:r>
          </w:p>
          <w:p w14:paraId="18CF6351">
            <w:pPr>
              <w:tabs>
                <w:tab w:val="center" w:pos="3125"/>
              </w:tabs>
              <w:spacing w:line="360" w:lineRule="auto"/>
              <w:ind w:firstLine="361" w:firstLineChars="200"/>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4、合同价格形式</w:t>
            </w:r>
          </w:p>
          <w:p w14:paraId="1DEBD3F9">
            <w:pPr>
              <w:tabs>
                <w:tab w:val="center" w:pos="3125"/>
              </w:tabs>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（1）关于合同价格形式的约定：以暂定不含税总价、不含税固定每瓦单价总承包的方式。</w:t>
            </w:r>
          </w:p>
          <w:p w14:paraId="570FEF91">
            <w:pPr>
              <w:tabs>
                <w:tab w:val="center" w:pos="3125"/>
              </w:tabs>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（2）关于合同价格调整的约定：根据最终</w:t>
            </w:r>
            <w:r>
              <w:rPr>
                <w:rFonts w:hint="eastAsia" w:ascii="宋体" w:hAnsi="宋体" w:eastAsia="宋体" w:cs="宋体"/>
                <w:color w:val="auto"/>
                <w:sz w:val="18"/>
                <w:szCs w:val="18"/>
                <w:highlight w:val="none"/>
                <w:lang w:val="en-US" w:eastAsia="zh-CN"/>
              </w:rPr>
              <w:t>结算</w:t>
            </w:r>
            <w:r>
              <w:rPr>
                <w:rFonts w:hint="eastAsia" w:ascii="宋体" w:hAnsi="宋体" w:eastAsia="宋体" w:cs="宋体"/>
                <w:color w:val="auto"/>
                <w:sz w:val="18"/>
                <w:szCs w:val="18"/>
                <w:highlight w:val="none"/>
              </w:rPr>
              <w:t>装机容量及合同约定相应调整。</w:t>
            </w:r>
          </w:p>
          <w:p w14:paraId="3784893C">
            <w:pPr>
              <w:tabs>
                <w:tab w:val="center" w:pos="3125"/>
              </w:tabs>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注：</w:t>
            </w:r>
          </w:p>
          <w:p w14:paraId="7CC0F839">
            <w:pPr>
              <w:tabs>
                <w:tab w:val="center" w:pos="3125"/>
              </w:tabs>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①</w:t>
            </w:r>
            <w:r>
              <w:rPr>
                <w:rFonts w:hint="eastAsia" w:ascii="宋体" w:hAnsi="宋体" w:eastAsia="宋体" w:cs="宋体"/>
                <w:b/>
                <w:bCs/>
                <w:color w:val="auto"/>
                <w:sz w:val="18"/>
                <w:szCs w:val="18"/>
                <w:highlight w:val="none"/>
                <w:u w:val="single"/>
              </w:rPr>
              <w:t>结算合同价以结算装机容量计算，按以下方式确定结算装机容量：（1）如安装并网光伏组件单块容量与投标产品一致，以并网装机容量作为结算装机容量；（2）经招标人书面提出光伏组件型号变化时，该调整范围内以并网装机容量作为结算装机容量；（3）如果中标人因产能、产品迭代等自身原因提出安装使用质量条件不低于合同约定及用户需求书的单块并网组件，且容量（对比投标产品）增大导致实际并网装机容量增大的，经招标人书面同意后，可以调整，但按并网光伏组件数量和投标产品单块组件容量计算结算装机容量</w:t>
            </w:r>
            <w:r>
              <w:rPr>
                <w:rFonts w:hint="eastAsia" w:ascii="宋体" w:hAnsi="宋体" w:eastAsia="宋体" w:cs="宋体"/>
                <w:b/>
                <w:bCs/>
                <w:color w:val="auto"/>
                <w:sz w:val="18"/>
                <w:szCs w:val="18"/>
                <w:highlight w:val="none"/>
                <w:u w:val="single"/>
                <w:lang w:eastAsia="zh-CN"/>
              </w:rPr>
              <w:t>（</w:t>
            </w:r>
            <w:r>
              <w:rPr>
                <w:rFonts w:hint="eastAsia" w:ascii="宋体" w:hAnsi="宋体" w:eastAsia="宋体" w:cs="宋体"/>
                <w:b/>
                <w:bCs/>
                <w:color w:val="auto"/>
                <w:sz w:val="18"/>
                <w:szCs w:val="18"/>
                <w:highlight w:val="none"/>
                <w:u w:val="single"/>
              </w:rPr>
              <w:t>即结算装机容量=投标产品单块组件容量×并网光伏组件数量</w:t>
            </w:r>
            <w:r>
              <w:rPr>
                <w:rFonts w:hint="eastAsia" w:ascii="宋体" w:hAnsi="宋体" w:eastAsia="宋体" w:cs="宋体"/>
                <w:b/>
                <w:bCs/>
                <w:color w:val="auto"/>
                <w:sz w:val="18"/>
                <w:szCs w:val="18"/>
                <w:highlight w:val="none"/>
                <w:u w:val="single"/>
                <w:lang w:eastAsia="zh-CN"/>
              </w:rPr>
              <w:t>）</w:t>
            </w:r>
            <w:r>
              <w:rPr>
                <w:rFonts w:hint="eastAsia" w:ascii="宋体" w:hAnsi="宋体" w:eastAsia="宋体" w:cs="宋体"/>
                <w:b/>
                <w:bCs/>
                <w:color w:val="auto"/>
                <w:sz w:val="18"/>
                <w:szCs w:val="18"/>
                <w:highlight w:val="none"/>
                <w:u w:val="single"/>
              </w:rPr>
              <w:t>；（4）原则上，单个子项目内建设范围（建设区域）不得改变，因招标人原因对单个子项目内建设范围（建设区域）增减的，经招标人书面确认后，对应调整，按照前述（1）至（3）项原则确定结算装机容量</w:t>
            </w:r>
            <w:r>
              <w:rPr>
                <w:rFonts w:hint="eastAsia" w:ascii="宋体" w:hAnsi="宋体" w:eastAsia="宋体" w:cs="宋体"/>
                <w:color w:val="auto"/>
                <w:sz w:val="18"/>
                <w:szCs w:val="18"/>
                <w:highlight w:val="none"/>
              </w:rPr>
              <w:t>。</w:t>
            </w:r>
          </w:p>
          <w:p w14:paraId="67E0A0FA">
            <w:pPr>
              <w:tabs>
                <w:tab w:val="center" w:pos="3125"/>
              </w:tabs>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②中标不含税固定每瓦单价=暂定不含税总价（即中标人的投标报价）÷暂定总装机容量（计算的单价按四舍五入保留小数点后3位小数），招标人按中标不含税固定每瓦单价×实际结算装机容量和对应的销项税额进行结算。</w:t>
            </w:r>
          </w:p>
          <w:p w14:paraId="70498542">
            <w:pPr>
              <w:tabs>
                <w:tab w:val="center" w:pos="3125"/>
              </w:tabs>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③合同暂定价格仅为便于计算使用，不作为招标人最终采购实施数量的保证。招标人的实际需求数量以实际装机容量为准，按实际的结算装机容量结算。在履行期内，中标人不得因招标人实际采购实施数量的减少或增加而要求招标人作出任何形式的补偿或赔偿，或要求招标人按暂定数量采购。 </w:t>
            </w:r>
          </w:p>
          <w:p w14:paraId="4FE38327">
            <w:pPr>
              <w:tabs>
                <w:tab w:val="center" w:pos="3125"/>
              </w:tabs>
              <w:spacing w:line="360" w:lineRule="auto"/>
              <w:ind w:firstLine="361" w:firstLineChars="200"/>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5、付款方式：</w:t>
            </w:r>
          </w:p>
          <w:p w14:paraId="3A251FA3">
            <w:pPr>
              <w:pStyle w:val="20"/>
              <w:autoSpaceDE/>
              <w:autoSpaceDN/>
              <w:adjustRightInd/>
              <w:spacing w:line="360" w:lineRule="auto"/>
              <w:ind w:right="-28" w:firstLine="360" w:firstLineChars="200"/>
              <w:jc w:val="left"/>
              <w:rPr>
                <w:rFonts w:hAnsi="宋体" w:cs="宋体"/>
                <w:b w:val="0"/>
                <w:bCs w:val="0"/>
                <w:color w:val="auto"/>
                <w:sz w:val="18"/>
                <w:szCs w:val="18"/>
                <w:highlight w:val="none"/>
              </w:rPr>
            </w:pPr>
            <w:r>
              <w:rPr>
                <w:rFonts w:hint="eastAsia" w:hAnsi="宋体" w:cs="宋体"/>
                <w:b w:val="0"/>
                <w:bCs w:val="0"/>
                <w:color w:val="auto"/>
                <w:sz w:val="18"/>
                <w:szCs w:val="18"/>
                <w:highlight w:val="none"/>
              </w:rPr>
              <w:t>第一阶段：合同签订后，</w:t>
            </w:r>
            <w:r>
              <w:rPr>
                <w:rFonts w:hint="eastAsia" w:hAnsi="宋体" w:cs="宋体"/>
                <w:b w:val="0"/>
                <w:bCs w:val="0"/>
                <w:color w:val="auto"/>
                <w:sz w:val="18"/>
                <w:szCs w:val="18"/>
                <w:highlight w:val="none"/>
                <w:lang w:val="en-US"/>
              </w:rPr>
              <w:t>中标人</w:t>
            </w:r>
            <w:r>
              <w:rPr>
                <w:rFonts w:hint="eastAsia" w:hAnsi="宋体" w:cs="宋体"/>
                <w:b w:val="0"/>
                <w:bCs w:val="0"/>
                <w:color w:val="auto"/>
                <w:sz w:val="18"/>
                <w:szCs w:val="18"/>
                <w:highlight w:val="none"/>
              </w:rPr>
              <w:t>向</w:t>
            </w:r>
            <w:r>
              <w:rPr>
                <w:rFonts w:hint="eastAsia" w:hAnsi="宋体" w:cs="宋体"/>
                <w:b w:val="0"/>
                <w:bCs w:val="0"/>
                <w:color w:val="auto"/>
                <w:sz w:val="18"/>
                <w:szCs w:val="18"/>
                <w:highlight w:val="none"/>
                <w:lang w:val="en-US"/>
              </w:rPr>
              <w:t>招标人</w:t>
            </w:r>
            <w:r>
              <w:rPr>
                <w:rFonts w:hint="eastAsia" w:hAnsi="宋体" w:cs="宋体"/>
                <w:b w:val="0"/>
                <w:bCs w:val="0"/>
                <w:color w:val="auto"/>
                <w:sz w:val="18"/>
                <w:szCs w:val="18"/>
                <w:highlight w:val="none"/>
              </w:rPr>
              <w:t>提交</w:t>
            </w:r>
            <w:r>
              <w:rPr>
                <w:rFonts w:hint="eastAsia" w:ascii="宋体" w:hAnsi="宋体" w:cs="宋体"/>
                <w:b w:val="0"/>
                <w:bCs w:val="0"/>
                <w:color w:val="auto"/>
                <w:sz w:val="18"/>
                <w:szCs w:val="18"/>
                <w:highlight w:val="none"/>
              </w:rPr>
              <w:t>等额</w:t>
            </w:r>
            <w:r>
              <w:rPr>
                <w:rFonts w:hint="eastAsia" w:hAnsi="宋体" w:cs="宋体"/>
                <w:b w:val="0"/>
                <w:bCs w:val="0"/>
                <w:color w:val="auto"/>
                <w:sz w:val="18"/>
                <w:szCs w:val="18"/>
                <w:highlight w:val="none"/>
                <w:lang w:val="en-US" w:eastAsia="zh-CN"/>
              </w:rPr>
              <w:t>不可撤销银行</w:t>
            </w:r>
            <w:r>
              <w:rPr>
                <w:rFonts w:hint="eastAsia" w:ascii="宋体" w:hAnsi="宋体" w:cs="宋体"/>
                <w:b w:val="0"/>
                <w:bCs w:val="0"/>
                <w:color w:val="auto"/>
                <w:sz w:val="18"/>
                <w:szCs w:val="18"/>
                <w:highlight w:val="none"/>
              </w:rPr>
              <w:t>预付款保函</w:t>
            </w:r>
            <w:r>
              <w:rPr>
                <w:rFonts w:hint="eastAsia" w:hAnsi="宋体" w:cs="宋体"/>
                <w:b w:val="0"/>
                <w:bCs w:val="0"/>
                <w:color w:val="auto"/>
                <w:sz w:val="18"/>
                <w:szCs w:val="18"/>
                <w:highlight w:val="none"/>
              </w:rPr>
              <w:t>，经</w:t>
            </w:r>
            <w:r>
              <w:rPr>
                <w:rFonts w:hint="eastAsia" w:hAnsi="宋体" w:cs="宋体"/>
                <w:b w:val="0"/>
                <w:bCs w:val="0"/>
                <w:color w:val="auto"/>
                <w:sz w:val="18"/>
                <w:szCs w:val="18"/>
                <w:highlight w:val="none"/>
                <w:lang w:val="en-US"/>
              </w:rPr>
              <w:t>招标人</w:t>
            </w:r>
            <w:r>
              <w:rPr>
                <w:rFonts w:hint="eastAsia" w:hAnsi="宋体" w:cs="宋体"/>
                <w:b w:val="0"/>
                <w:bCs w:val="0"/>
                <w:color w:val="auto"/>
                <w:sz w:val="18"/>
                <w:szCs w:val="18"/>
                <w:highlight w:val="none"/>
              </w:rPr>
              <w:t>审核确认后，</w:t>
            </w:r>
            <w:r>
              <w:rPr>
                <w:rFonts w:hint="eastAsia" w:hAnsi="宋体" w:cs="宋体"/>
                <w:b w:val="0"/>
                <w:bCs w:val="0"/>
                <w:color w:val="auto"/>
                <w:sz w:val="18"/>
                <w:szCs w:val="18"/>
                <w:highlight w:val="none"/>
                <w:lang w:val="en-US"/>
              </w:rPr>
              <w:t>招标人</w:t>
            </w:r>
            <w:r>
              <w:rPr>
                <w:rFonts w:hint="eastAsia" w:hAnsi="宋体" w:cs="宋体"/>
                <w:b w:val="0"/>
                <w:bCs w:val="0"/>
                <w:color w:val="auto"/>
                <w:sz w:val="18"/>
                <w:szCs w:val="18"/>
                <w:highlight w:val="none"/>
              </w:rPr>
              <w:t>向</w:t>
            </w:r>
            <w:r>
              <w:rPr>
                <w:rFonts w:hint="eastAsia" w:hAnsi="宋体" w:cs="宋体"/>
                <w:b w:val="0"/>
                <w:bCs w:val="0"/>
                <w:color w:val="auto"/>
                <w:sz w:val="18"/>
                <w:szCs w:val="18"/>
                <w:highlight w:val="none"/>
                <w:lang w:val="en-US"/>
              </w:rPr>
              <w:t>中标人</w:t>
            </w:r>
            <w:r>
              <w:rPr>
                <w:rFonts w:hint="eastAsia" w:hAnsi="宋体" w:cs="宋体"/>
                <w:b w:val="0"/>
                <w:bCs w:val="0"/>
                <w:color w:val="auto"/>
                <w:sz w:val="18"/>
                <w:szCs w:val="18"/>
                <w:highlight w:val="none"/>
              </w:rPr>
              <w:t>支付</w:t>
            </w:r>
            <w:r>
              <w:rPr>
                <w:rFonts w:hint="eastAsia" w:hAnsi="宋体" w:cs="宋体"/>
                <w:b w:val="0"/>
                <w:bCs w:val="0"/>
                <w:color w:val="auto"/>
                <w:sz w:val="18"/>
                <w:szCs w:val="18"/>
                <w:highlight w:val="none"/>
                <w:lang w:val="en-US" w:eastAsia="zh-CN"/>
              </w:rPr>
              <w:t>合同</w:t>
            </w:r>
            <w:r>
              <w:rPr>
                <w:rFonts w:hint="eastAsia" w:hAnsi="宋体" w:cs="宋体"/>
                <w:b w:val="0"/>
                <w:bCs w:val="0"/>
                <w:color w:val="auto"/>
                <w:sz w:val="18"/>
                <w:szCs w:val="18"/>
                <w:highlight w:val="none"/>
              </w:rPr>
              <w:t>暂定不含税总价20%</w:t>
            </w:r>
            <w:r>
              <w:rPr>
                <w:rFonts w:hint="eastAsia" w:hAnsi="宋体" w:cs="宋体"/>
                <w:b w:val="0"/>
                <w:bCs w:val="0"/>
                <w:color w:val="auto"/>
                <w:sz w:val="18"/>
                <w:szCs w:val="18"/>
                <w:highlight w:val="none"/>
                <w:lang w:val="en-US" w:eastAsia="zh-CN"/>
              </w:rPr>
              <w:t>的预付款</w:t>
            </w:r>
            <w:r>
              <w:rPr>
                <w:rFonts w:hint="eastAsia" w:hAnsi="宋体" w:cs="宋体"/>
                <w:b w:val="0"/>
                <w:bCs w:val="0"/>
                <w:color w:val="auto"/>
                <w:sz w:val="18"/>
                <w:szCs w:val="18"/>
                <w:highlight w:val="none"/>
                <w:lang w:val="en-US"/>
              </w:rPr>
              <w:t>和对应的销项税额</w:t>
            </w:r>
            <w:r>
              <w:rPr>
                <w:rFonts w:hint="eastAsia" w:hAnsi="宋体" w:cs="宋体"/>
                <w:b w:val="0"/>
                <w:bCs w:val="0"/>
                <w:color w:val="auto"/>
                <w:sz w:val="18"/>
                <w:szCs w:val="18"/>
                <w:highlight w:val="none"/>
              </w:rPr>
              <w:t>；</w:t>
            </w:r>
          </w:p>
          <w:p w14:paraId="4929C48B">
            <w:pPr>
              <w:pStyle w:val="20"/>
              <w:autoSpaceDE/>
              <w:autoSpaceDN/>
              <w:adjustRightInd/>
              <w:spacing w:line="360" w:lineRule="auto"/>
              <w:ind w:right="-28" w:firstLine="360" w:firstLineChars="200"/>
              <w:jc w:val="left"/>
              <w:rPr>
                <w:rFonts w:hAnsi="宋体" w:cs="宋体"/>
                <w:b w:val="0"/>
                <w:bCs w:val="0"/>
                <w:color w:val="auto"/>
                <w:sz w:val="18"/>
                <w:szCs w:val="18"/>
                <w:highlight w:val="none"/>
              </w:rPr>
            </w:pPr>
            <w:r>
              <w:rPr>
                <w:rFonts w:hint="eastAsia" w:hAnsi="宋体" w:cs="宋体"/>
                <w:b w:val="0"/>
                <w:bCs w:val="0"/>
                <w:color w:val="auto"/>
                <w:sz w:val="18"/>
                <w:szCs w:val="18"/>
                <w:highlight w:val="none"/>
              </w:rPr>
              <w:t>第二阶段：按子项目进度支付，所有子项目在该阶段累计支付金额不超过</w:t>
            </w:r>
            <w:r>
              <w:rPr>
                <w:rFonts w:hint="eastAsia" w:hAnsi="宋体" w:cs="宋体"/>
                <w:b w:val="0"/>
                <w:bCs w:val="0"/>
                <w:color w:val="auto"/>
                <w:sz w:val="18"/>
                <w:szCs w:val="18"/>
                <w:highlight w:val="none"/>
                <w:lang w:val="en-US" w:eastAsia="zh-CN"/>
              </w:rPr>
              <w:t>合同</w:t>
            </w:r>
            <w:r>
              <w:rPr>
                <w:rFonts w:hint="eastAsia" w:hAnsi="宋体" w:cs="宋体"/>
                <w:b w:val="0"/>
                <w:bCs w:val="0"/>
                <w:color w:val="auto"/>
                <w:sz w:val="18"/>
                <w:szCs w:val="18"/>
                <w:highlight w:val="none"/>
              </w:rPr>
              <w:t>暂定不含税总价的60%</w:t>
            </w:r>
            <w:r>
              <w:rPr>
                <w:rFonts w:hint="eastAsia" w:hAnsi="宋体" w:cs="宋体"/>
                <w:b w:val="0"/>
                <w:bCs w:val="0"/>
                <w:color w:val="auto"/>
                <w:sz w:val="18"/>
                <w:szCs w:val="18"/>
                <w:highlight w:val="none"/>
                <w:lang w:val="en-US"/>
              </w:rPr>
              <w:t>和对应的销项税额</w:t>
            </w:r>
            <w:r>
              <w:rPr>
                <w:rFonts w:hint="eastAsia" w:hAnsi="宋体" w:cs="宋体"/>
                <w:b w:val="0"/>
                <w:bCs w:val="0"/>
                <w:color w:val="auto"/>
                <w:sz w:val="18"/>
                <w:szCs w:val="18"/>
                <w:highlight w:val="none"/>
              </w:rPr>
              <w:t>，具体如下：</w:t>
            </w:r>
          </w:p>
          <w:p w14:paraId="38EE4844">
            <w:pPr>
              <w:pStyle w:val="20"/>
              <w:autoSpaceDE/>
              <w:autoSpaceDN/>
              <w:adjustRightInd/>
              <w:spacing w:line="360" w:lineRule="auto"/>
              <w:ind w:right="-28" w:firstLine="360" w:firstLineChars="200"/>
              <w:jc w:val="left"/>
              <w:rPr>
                <w:rFonts w:hAnsi="宋体" w:cs="宋体"/>
                <w:b w:val="0"/>
                <w:bCs w:val="0"/>
                <w:color w:val="auto"/>
                <w:sz w:val="18"/>
                <w:szCs w:val="18"/>
                <w:highlight w:val="none"/>
              </w:rPr>
            </w:pPr>
            <w:r>
              <w:rPr>
                <w:rFonts w:hint="eastAsia" w:hAnsi="宋体" w:cs="宋体"/>
                <w:b w:val="0"/>
                <w:bCs w:val="0"/>
                <w:color w:val="auto"/>
                <w:sz w:val="18"/>
                <w:szCs w:val="18"/>
                <w:highlight w:val="none"/>
              </w:rPr>
              <w:t>（</w:t>
            </w:r>
            <w:r>
              <w:rPr>
                <w:rFonts w:hint="eastAsia" w:hAnsi="宋体" w:cs="宋体"/>
                <w:b w:val="0"/>
                <w:bCs w:val="0"/>
                <w:color w:val="auto"/>
                <w:sz w:val="18"/>
                <w:szCs w:val="18"/>
                <w:highlight w:val="none"/>
                <w:lang w:val="en-US"/>
              </w:rPr>
              <w:t>1</w:t>
            </w:r>
            <w:r>
              <w:rPr>
                <w:rFonts w:hint="eastAsia" w:hAnsi="宋体" w:cs="宋体"/>
                <w:b w:val="0"/>
                <w:bCs w:val="0"/>
                <w:color w:val="auto"/>
                <w:sz w:val="18"/>
                <w:szCs w:val="18"/>
                <w:highlight w:val="none"/>
              </w:rPr>
              <w:t>）</w:t>
            </w:r>
            <w:r>
              <w:rPr>
                <w:rFonts w:hint="eastAsia" w:hAnsi="宋体" w:cs="宋体"/>
                <w:b w:val="0"/>
                <w:bCs w:val="0"/>
                <w:color w:val="auto"/>
                <w:sz w:val="18"/>
                <w:szCs w:val="18"/>
                <w:highlight w:val="none"/>
                <w:lang w:val="en-US"/>
              </w:rPr>
              <w:t>中标人</w:t>
            </w:r>
            <w:r>
              <w:rPr>
                <w:rFonts w:hint="eastAsia" w:hAnsi="宋体" w:cs="宋体"/>
                <w:b w:val="0"/>
                <w:bCs w:val="0"/>
                <w:color w:val="auto"/>
                <w:sz w:val="18"/>
                <w:szCs w:val="18"/>
                <w:highlight w:val="none"/>
              </w:rPr>
              <w:t>完成子项目备案</w:t>
            </w:r>
            <w:r>
              <w:rPr>
                <w:rFonts w:hint="eastAsia" w:hAnsi="宋体" w:cs="宋体"/>
                <w:b w:val="0"/>
                <w:bCs w:val="0"/>
                <w:color w:val="auto"/>
                <w:sz w:val="18"/>
                <w:szCs w:val="18"/>
                <w:highlight w:val="none"/>
                <w:lang w:val="en-US"/>
              </w:rPr>
              <w:t>并经招标人确认后</w:t>
            </w:r>
            <w:r>
              <w:rPr>
                <w:rFonts w:hint="eastAsia" w:hAnsi="宋体" w:cs="宋体"/>
                <w:b w:val="0"/>
                <w:bCs w:val="0"/>
                <w:color w:val="auto"/>
                <w:sz w:val="18"/>
                <w:szCs w:val="18"/>
                <w:highlight w:val="none"/>
              </w:rPr>
              <w:t>，招标人向中标人支付该子项目的项目暂定不含税总价的10%和对应的销项税额；</w:t>
            </w:r>
          </w:p>
          <w:p w14:paraId="135FACB1">
            <w:pPr>
              <w:pStyle w:val="20"/>
              <w:autoSpaceDE/>
              <w:autoSpaceDN/>
              <w:adjustRightInd/>
              <w:spacing w:line="360" w:lineRule="auto"/>
              <w:ind w:right="-28" w:firstLine="360" w:firstLineChars="200"/>
              <w:jc w:val="left"/>
              <w:rPr>
                <w:rFonts w:hAnsi="宋体" w:cs="宋体"/>
                <w:b w:val="0"/>
                <w:bCs w:val="0"/>
                <w:color w:val="auto"/>
                <w:sz w:val="18"/>
                <w:szCs w:val="18"/>
                <w:highlight w:val="none"/>
              </w:rPr>
            </w:pPr>
            <w:r>
              <w:rPr>
                <w:rFonts w:hint="eastAsia" w:hAnsi="宋体" w:cs="宋体"/>
                <w:b w:val="0"/>
                <w:bCs w:val="0"/>
                <w:color w:val="auto"/>
                <w:sz w:val="18"/>
                <w:szCs w:val="18"/>
                <w:highlight w:val="none"/>
              </w:rPr>
              <w:t>（</w:t>
            </w:r>
            <w:r>
              <w:rPr>
                <w:rFonts w:hint="eastAsia" w:hAnsi="宋体" w:cs="宋体"/>
                <w:b w:val="0"/>
                <w:bCs w:val="0"/>
                <w:color w:val="auto"/>
                <w:sz w:val="18"/>
                <w:szCs w:val="18"/>
                <w:highlight w:val="none"/>
                <w:lang w:val="en-US"/>
              </w:rPr>
              <w:t>2</w:t>
            </w:r>
            <w:r>
              <w:rPr>
                <w:rFonts w:hint="eastAsia" w:hAnsi="宋体" w:cs="宋体"/>
                <w:b w:val="0"/>
                <w:bCs w:val="0"/>
                <w:color w:val="auto"/>
                <w:sz w:val="18"/>
                <w:szCs w:val="18"/>
                <w:highlight w:val="none"/>
              </w:rPr>
              <w:t>）中标人完成光伏</w:t>
            </w:r>
            <w:r>
              <w:rPr>
                <w:rFonts w:hint="eastAsia" w:hAnsi="宋体" w:cs="宋体"/>
                <w:b w:val="0"/>
                <w:bCs w:val="0"/>
                <w:color w:val="auto"/>
                <w:sz w:val="18"/>
                <w:szCs w:val="18"/>
                <w:highlight w:val="none"/>
                <w:lang w:val="en-US" w:eastAsia="zh-CN"/>
              </w:rPr>
              <w:t>组件铺设</w:t>
            </w:r>
            <w:r>
              <w:rPr>
                <w:rFonts w:hint="eastAsia" w:hAnsi="宋体" w:cs="宋体"/>
                <w:b w:val="0"/>
                <w:bCs w:val="0"/>
                <w:color w:val="auto"/>
                <w:sz w:val="18"/>
                <w:szCs w:val="18"/>
                <w:highlight w:val="none"/>
              </w:rPr>
              <w:t>并经招标人确认后，招标人向中标人支付该子项目的项目暂定不含税总价的30%和对应的销项税额；</w:t>
            </w:r>
          </w:p>
          <w:p w14:paraId="5A7FF783">
            <w:pPr>
              <w:pStyle w:val="20"/>
              <w:autoSpaceDE/>
              <w:autoSpaceDN/>
              <w:adjustRightInd/>
              <w:spacing w:line="360" w:lineRule="auto"/>
              <w:ind w:right="-28" w:firstLine="360" w:firstLineChars="200"/>
              <w:jc w:val="left"/>
              <w:rPr>
                <w:rFonts w:hAnsi="宋体" w:cs="宋体"/>
                <w:b w:val="0"/>
                <w:bCs w:val="0"/>
                <w:color w:val="auto"/>
                <w:sz w:val="18"/>
                <w:szCs w:val="18"/>
                <w:highlight w:val="none"/>
              </w:rPr>
            </w:pPr>
            <w:r>
              <w:rPr>
                <w:rFonts w:hint="eastAsia" w:hAnsi="宋体" w:cs="宋体"/>
                <w:b w:val="0"/>
                <w:bCs w:val="0"/>
                <w:color w:val="auto"/>
                <w:sz w:val="18"/>
                <w:szCs w:val="18"/>
                <w:highlight w:val="none"/>
              </w:rPr>
              <w:t>（</w:t>
            </w:r>
            <w:r>
              <w:rPr>
                <w:rFonts w:hint="eastAsia" w:hAnsi="宋体" w:cs="宋体"/>
                <w:b w:val="0"/>
                <w:bCs w:val="0"/>
                <w:color w:val="auto"/>
                <w:sz w:val="18"/>
                <w:szCs w:val="18"/>
                <w:highlight w:val="none"/>
                <w:lang w:val="en-US"/>
              </w:rPr>
              <w:t>3</w:t>
            </w:r>
            <w:r>
              <w:rPr>
                <w:rFonts w:hint="eastAsia" w:hAnsi="宋体" w:cs="宋体"/>
                <w:b w:val="0"/>
                <w:bCs w:val="0"/>
                <w:color w:val="auto"/>
                <w:sz w:val="18"/>
                <w:szCs w:val="18"/>
                <w:highlight w:val="none"/>
              </w:rPr>
              <w:t>）子项目完成并网</w:t>
            </w:r>
            <w:r>
              <w:rPr>
                <w:rFonts w:hint="eastAsia" w:hAnsi="宋体" w:cs="宋体"/>
                <w:b w:val="0"/>
                <w:bCs w:val="0"/>
                <w:color w:val="auto"/>
                <w:sz w:val="18"/>
                <w:szCs w:val="18"/>
                <w:highlight w:val="none"/>
                <w:lang w:val="en-US"/>
              </w:rPr>
              <w:t>验收</w:t>
            </w:r>
            <w:r>
              <w:rPr>
                <w:rFonts w:hint="eastAsia" w:hAnsi="宋体" w:cs="宋体"/>
                <w:b w:val="0"/>
                <w:bCs w:val="0"/>
                <w:color w:val="auto"/>
                <w:sz w:val="18"/>
                <w:szCs w:val="18"/>
                <w:highlight w:val="none"/>
              </w:rPr>
              <w:t>，招标人向中标人支付该子项目的项目暂定不含税总价的20%</w:t>
            </w:r>
            <w:r>
              <w:rPr>
                <w:rFonts w:hint="eastAsia" w:hAnsi="宋体" w:cs="宋体"/>
                <w:b w:val="0"/>
                <w:bCs w:val="0"/>
                <w:color w:val="auto"/>
                <w:sz w:val="18"/>
                <w:szCs w:val="18"/>
                <w:highlight w:val="none"/>
                <w:lang w:val="en-US"/>
              </w:rPr>
              <w:t>和对应的销项税额</w:t>
            </w:r>
            <w:r>
              <w:rPr>
                <w:rFonts w:hint="eastAsia" w:hAnsi="宋体" w:cs="宋体"/>
                <w:b w:val="0"/>
                <w:bCs w:val="0"/>
                <w:color w:val="auto"/>
                <w:sz w:val="18"/>
                <w:szCs w:val="18"/>
                <w:highlight w:val="none"/>
              </w:rPr>
              <w:t>。</w:t>
            </w:r>
          </w:p>
          <w:p w14:paraId="0681943B">
            <w:pPr>
              <w:pStyle w:val="20"/>
              <w:autoSpaceDE/>
              <w:autoSpaceDN/>
              <w:adjustRightInd/>
              <w:spacing w:line="360" w:lineRule="auto"/>
              <w:ind w:right="-28" w:firstLine="360" w:firstLineChars="200"/>
              <w:jc w:val="left"/>
              <w:rPr>
                <w:rFonts w:hAnsi="宋体" w:cs="宋体"/>
                <w:b w:val="0"/>
                <w:bCs w:val="0"/>
                <w:color w:val="auto"/>
                <w:sz w:val="18"/>
                <w:szCs w:val="18"/>
                <w:highlight w:val="none"/>
                <w:lang w:val="en-US"/>
              </w:rPr>
            </w:pPr>
            <w:r>
              <w:rPr>
                <w:rFonts w:hint="eastAsia" w:hAnsi="宋体" w:cs="宋体"/>
                <w:b w:val="0"/>
                <w:bCs w:val="0"/>
                <w:color w:val="auto"/>
                <w:sz w:val="18"/>
                <w:szCs w:val="18"/>
                <w:highlight w:val="none"/>
              </w:rPr>
              <w:t>第三阶段：在所有子项目</w:t>
            </w:r>
            <w:r>
              <w:rPr>
                <w:rFonts w:hint="eastAsia" w:hAnsi="宋体" w:cs="宋体"/>
                <w:b w:val="0"/>
                <w:bCs w:val="0"/>
                <w:color w:val="auto"/>
                <w:sz w:val="18"/>
                <w:szCs w:val="18"/>
                <w:highlight w:val="none"/>
                <w:lang w:val="en-US"/>
              </w:rPr>
              <w:t>竣工</w:t>
            </w:r>
            <w:r>
              <w:rPr>
                <w:rFonts w:hint="eastAsia" w:hAnsi="宋体" w:cs="宋体"/>
                <w:b w:val="0"/>
                <w:bCs w:val="0"/>
                <w:color w:val="auto"/>
                <w:sz w:val="18"/>
                <w:szCs w:val="18"/>
                <w:highlight w:val="none"/>
              </w:rPr>
              <w:t>验收合格</w:t>
            </w:r>
            <w:r>
              <w:rPr>
                <w:rFonts w:hint="eastAsia" w:hAnsi="宋体" w:cs="宋体"/>
                <w:b w:val="0"/>
                <w:bCs w:val="0"/>
                <w:color w:val="auto"/>
                <w:sz w:val="18"/>
                <w:szCs w:val="18"/>
                <w:highlight w:val="none"/>
                <w:lang w:val="en-US"/>
              </w:rPr>
              <w:t>并</w:t>
            </w:r>
            <w:r>
              <w:rPr>
                <w:rFonts w:hint="eastAsia" w:hAnsi="宋体" w:cs="宋体"/>
                <w:b w:val="0"/>
                <w:bCs w:val="0"/>
                <w:color w:val="auto"/>
                <w:sz w:val="18"/>
                <w:szCs w:val="18"/>
                <w:highlight w:val="none"/>
              </w:rPr>
              <w:t>结算完成后，招标人向中标人支付至</w:t>
            </w:r>
            <w:r>
              <w:rPr>
                <w:rFonts w:hint="eastAsia" w:hAnsi="宋体" w:cs="宋体"/>
                <w:b w:val="0"/>
                <w:bCs w:val="0"/>
                <w:color w:val="auto"/>
                <w:sz w:val="18"/>
                <w:szCs w:val="18"/>
                <w:highlight w:val="none"/>
                <w:lang w:val="en-US" w:eastAsia="zh-CN"/>
              </w:rPr>
              <w:t>合同</w:t>
            </w:r>
            <w:r>
              <w:rPr>
                <w:rFonts w:hint="eastAsia" w:hAnsi="宋体" w:cs="宋体"/>
                <w:b w:val="0"/>
                <w:bCs w:val="0"/>
                <w:color w:val="auto"/>
                <w:sz w:val="18"/>
                <w:szCs w:val="18"/>
                <w:highlight w:val="none"/>
                <w:lang w:val="en-US"/>
              </w:rPr>
              <w:t>不含税</w:t>
            </w:r>
            <w:r>
              <w:rPr>
                <w:rFonts w:hint="eastAsia" w:hAnsi="宋体" w:cs="宋体"/>
                <w:b w:val="0"/>
                <w:bCs w:val="0"/>
                <w:color w:val="auto"/>
                <w:sz w:val="18"/>
                <w:szCs w:val="18"/>
                <w:highlight w:val="none"/>
              </w:rPr>
              <w:t>结算价款的90%</w:t>
            </w:r>
            <w:r>
              <w:rPr>
                <w:rFonts w:hint="eastAsia" w:hAnsi="宋体" w:cs="宋体"/>
                <w:b w:val="0"/>
                <w:bCs w:val="0"/>
                <w:color w:val="auto"/>
                <w:sz w:val="18"/>
                <w:szCs w:val="18"/>
                <w:highlight w:val="none"/>
                <w:lang w:val="en-US"/>
              </w:rPr>
              <w:t>和对应的销项税额。</w:t>
            </w:r>
          </w:p>
          <w:p w14:paraId="5F33D241">
            <w:pPr>
              <w:pStyle w:val="20"/>
              <w:autoSpaceDE/>
              <w:autoSpaceDN/>
              <w:adjustRightInd/>
              <w:spacing w:line="360" w:lineRule="auto"/>
              <w:ind w:right="-28" w:firstLine="360" w:firstLineChars="200"/>
              <w:jc w:val="left"/>
              <w:rPr>
                <w:rFonts w:hAnsi="宋体" w:cs="宋体"/>
                <w:b w:val="0"/>
                <w:bCs w:val="0"/>
                <w:color w:val="auto"/>
                <w:sz w:val="18"/>
                <w:szCs w:val="18"/>
                <w:highlight w:val="none"/>
                <w:lang w:val="en-US"/>
              </w:rPr>
            </w:pPr>
            <w:r>
              <w:rPr>
                <w:rFonts w:hint="eastAsia" w:hAnsi="宋体" w:cs="宋体"/>
                <w:b w:val="0"/>
                <w:bCs w:val="0"/>
                <w:color w:val="auto"/>
                <w:sz w:val="18"/>
                <w:szCs w:val="18"/>
                <w:highlight w:val="none"/>
              </w:rPr>
              <w:t>第四阶段：</w:t>
            </w:r>
            <w:r>
              <w:rPr>
                <w:rFonts w:hint="eastAsia" w:hAnsi="宋体" w:cs="宋体"/>
                <w:b w:val="0"/>
                <w:bCs w:val="0"/>
                <w:color w:val="auto"/>
                <w:sz w:val="18"/>
                <w:szCs w:val="18"/>
                <w:highlight w:val="none"/>
                <w:lang w:val="en-US"/>
              </w:rPr>
              <w:t>不含税</w:t>
            </w:r>
            <w:r>
              <w:rPr>
                <w:rFonts w:hint="eastAsia" w:hAnsi="宋体" w:cs="宋体"/>
                <w:b w:val="0"/>
                <w:bCs w:val="0"/>
                <w:color w:val="auto"/>
                <w:sz w:val="18"/>
                <w:szCs w:val="18"/>
                <w:highlight w:val="none"/>
              </w:rPr>
              <w:t>总结算</w:t>
            </w:r>
            <w:r>
              <w:rPr>
                <w:rFonts w:hint="eastAsia" w:hAnsi="宋体" w:cs="宋体"/>
                <w:b w:val="0"/>
                <w:bCs w:val="0"/>
                <w:color w:val="auto"/>
                <w:sz w:val="18"/>
                <w:szCs w:val="18"/>
                <w:highlight w:val="none"/>
                <w:lang w:val="en-US"/>
              </w:rPr>
              <w:t>价</w:t>
            </w:r>
            <w:r>
              <w:rPr>
                <w:rFonts w:hint="eastAsia" w:hAnsi="宋体" w:cs="宋体"/>
                <w:b w:val="0"/>
                <w:bCs w:val="0"/>
                <w:color w:val="auto"/>
                <w:sz w:val="18"/>
                <w:szCs w:val="18"/>
                <w:highlight w:val="none"/>
              </w:rPr>
              <w:t>的7%和对应的销项税额</w:t>
            </w:r>
            <w:r>
              <w:rPr>
                <w:rFonts w:hint="eastAsia" w:hAnsi="宋体" w:cs="宋体"/>
                <w:b w:val="0"/>
                <w:bCs w:val="0"/>
                <w:color w:val="auto"/>
                <w:sz w:val="18"/>
                <w:szCs w:val="18"/>
                <w:highlight w:val="none"/>
                <w:lang w:val="en-US"/>
              </w:rPr>
              <w:t>作为1年运维费用，按一年四个季度分四期进行支付。运维期费用结合季度考核评价表按季度（运维起始期3个月视为一个季度）结算，具体如下：</w:t>
            </w:r>
          </w:p>
          <w:p w14:paraId="12149689">
            <w:pPr>
              <w:pStyle w:val="20"/>
              <w:autoSpaceDE/>
              <w:autoSpaceDN/>
              <w:adjustRightInd/>
              <w:spacing w:line="360" w:lineRule="auto"/>
              <w:ind w:right="-28" w:firstLine="360" w:firstLineChars="200"/>
              <w:jc w:val="left"/>
              <w:rPr>
                <w:rFonts w:hAnsi="宋体" w:cs="宋体"/>
                <w:b w:val="0"/>
                <w:bCs w:val="0"/>
                <w:color w:val="auto"/>
                <w:sz w:val="18"/>
                <w:szCs w:val="18"/>
                <w:highlight w:val="none"/>
                <w:lang w:val="en-US"/>
              </w:rPr>
            </w:pPr>
            <w:r>
              <w:rPr>
                <w:rFonts w:hint="eastAsia" w:hAnsi="宋体" w:cs="宋体"/>
                <w:b w:val="0"/>
                <w:bCs w:val="0"/>
                <w:color w:val="auto"/>
                <w:sz w:val="18"/>
                <w:szCs w:val="18"/>
                <w:highlight w:val="none"/>
                <w:lang w:val="en-US"/>
              </w:rPr>
              <w:t>（1）每季度运维费用为1年运维费用的25%；</w:t>
            </w:r>
          </w:p>
          <w:p w14:paraId="41731B85">
            <w:pPr>
              <w:spacing w:line="360" w:lineRule="auto"/>
              <w:ind w:firstLine="42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（2）按季度考核评价表的评分结算当季度运维费用，评分90分以上（包括90分），按全额结算当季度运维费用；评分90分以下（不包括90分），按所得分数与满分的百分比结算当季度运维费用；</w:t>
            </w:r>
          </w:p>
          <w:p w14:paraId="3872FF89">
            <w:pPr>
              <w:spacing w:line="360" w:lineRule="auto"/>
              <w:ind w:firstLine="42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（3）每季度运维费用中标人需在下一季度第一个月按要求提供请款资料，招标人在收到请款资料后20日内进行支付。</w:t>
            </w:r>
          </w:p>
          <w:p w14:paraId="1CE5CD72">
            <w:pPr>
              <w:pStyle w:val="20"/>
              <w:autoSpaceDE/>
              <w:autoSpaceDN/>
              <w:adjustRightInd/>
              <w:spacing w:line="360" w:lineRule="auto"/>
              <w:ind w:right="-28" w:firstLine="360" w:firstLineChars="200"/>
              <w:jc w:val="left"/>
              <w:rPr>
                <w:rFonts w:hAnsi="宋体" w:cs="宋体"/>
                <w:b w:val="0"/>
                <w:bCs w:val="0"/>
                <w:color w:val="auto"/>
                <w:sz w:val="18"/>
                <w:szCs w:val="18"/>
                <w:highlight w:val="none"/>
              </w:rPr>
            </w:pPr>
            <w:r>
              <w:rPr>
                <w:rFonts w:hint="eastAsia" w:hAnsi="宋体" w:cs="宋体"/>
                <w:b w:val="0"/>
                <w:bCs w:val="0"/>
                <w:color w:val="auto"/>
                <w:sz w:val="18"/>
                <w:szCs w:val="18"/>
                <w:highlight w:val="none"/>
                <w:lang w:val="en-US"/>
              </w:rPr>
              <w:t>第五阶段：</w:t>
            </w:r>
            <w:r>
              <w:rPr>
                <w:rFonts w:hint="eastAsia" w:ascii="宋体" w:hAnsi="宋体" w:eastAsia="宋体" w:cs="宋体"/>
                <w:b w:val="0"/>
                <w:bCs w:val="0"/>
                <w:color w:val="auto"/>
                <w:sz w:val="18"/>
                <w:szCs w:val="18"/>
                <w:highlight w:val="none"/>
              </w:rPr>
              <w:t>结算价款的3%</w:t>
            </w:r>
            <w:r>
              <w:rPr>
                <w:rFonts w:hint="eastAsia" w:hAnsi="宋体" w:cs="宋体"/>
                <w:b w:val="0"/>
                <w:bCs w:val="0"/>
                <w:color w:val="auto"/>
                <w:sz w:val="18"/>
                <w:szCs w:val="18"/>
                <w:highlight w:val="none"/>
                <w:lang w:val="en-US" w:eastAsia="zh-CN"/>
              </w:rPr>
              <w:t>及其销项税额</w:t>
            </w:r>
            <w:r>
              <w:rPr>
                <w:rFonts w:hint="eastAsia" w:ascii="宋体" w:hAnsi="宋体" w:eastAsia="宋体" w:cs="宋体"/>
                <w:b w:val="0"/>
                <w:bCs w:val="0"/>
                <w:color w:val="auto"/>
                <w:sz w:val="18"/>
                <w:szCs w:val="18"/>
                <w:highlight w:val="none"/>
              </w:rPr>
              <w:t>留作质量保修金。若中标人按合同约定履行质量保修义务，招标人将在质保期满后无息退还剩余质量保修金。如中标人未按合同约定履行质量保修义务，招标人有权不予退还或推迟退还质量保修金。中标人可在承诺的</w:t>
            </w:r>
            <w:r>
              <w:rPr>
                <w:rFonts w:hint="eastAsia" w:hAnsi="宋体" w:cs="宋体"/>
                <w:b w:val="0"/>
                <w:bCs w:val="0"/>
                <w:color w:val="auto"/>
                <w:sz w:val="18"/>
                <w:szCs w:val="18"/>
                <w:highlight w:val="none"/>
                <w:lang w:val="en-US" w:eastAsia="zh-CN"/>
              </w:rPr>
              <w:t>项目整体</w:t>
            </w:r>
            <w:r>
              <w:rPr>
                <w:rFonts w:hint="eastAsia" w:ascii="宋体" w:hAnsi="宋体" w:eastAsia="宋体" w:cs="宋体"/>
                <w:b w:val="0"/>
                <w:bCs w:val="0"/>
                <w:color w:val="auto"/>
                <w:sz w:val="18"/>
                <w:szCs w:val="18"/>
                <w:highlight w:val="none"/>
              </w:rPr>
              <w:t>质量保修期届满前，提前申请退还质量保修金。如提前申请，中标人须向招标人提交一份担保金额与质量保修金等额、无条件、见索即付且不可撤销</w:t>
            </w:r>
            <w:r>
              <w:rPr>
                <w:rFonts w:hint="eastAsia" w:hAnsi="宋体" w:cs="宋体"/>
                <w:b w:val="0"/>
                <w:bCs w:val="0"/>
                <w:color w:val="auto"/>
                <w:sz w:val="18"/>
                <w:szCs w:val="18"/>
                <w:highlight w:val="none"/>
                <w:lang w:val="en-US" w:eastAsia="zh-CN"/>
              </w:rPr>
              <w:t>银行</w:t>
            </w:r>
            <w:r>
              <w:rPr>
                <w:rFonts w:hint="eastAsia" w:ascii="宋体" w:hAnsi="宋体" w:eastAsia="宋体" w:cs="宋体"/>
                <w:b w:val="0"/>
                <w:bCs w:val="0"/>
                <w:color w:val="auto"/>
                <w:sz w:val="18"/>
                <w:szCs w:val="18"/>
                <w:highlight w:val="none"/>
              </w:rPr>
              <w:t>质量保修保函，该</w:t>
            </w:r>
            <w:r>
              <w:rPr>
                <w:rFonts w:hint="eastAsia" w:hAnsi="宋体" w:cs="宋体"/>
                <w:b w:val="0"/>
                <w:bCs w:val="0"/>
                <w:color w:val="auto"/>
                <w:sz w:val="18"/>
                <w:szCs w:val="18"/>
                <w:highlight w:val="none"/>
                <w:lang w:val="en-US" w:eastAsia="zh-CN"/>
              </w:rPr>
              <w:t>银行</w:t>
            </w:r>
            <w:r>
              <w:rPr>
                <w:rFonts w:hint="eastAsia" w:ascii="宋体" w:hAnsi="宋体" w:eastAsia="宋体" w:cs="宋体"/>
                <w:b w:val="0"/>
                <w:bCs w:val="0"/>
                <w:color w:val="auto"/>
                <w:sz w:val="18"/>
                <w:szCs w:val="18"/>
                <w:highlight w:val="none"/>
              </w:rPr>
              <w:t>保函的有效期应覆盖</w:t>
            </w:r>
            <w:r>
              <w:rPr>
                <w:rFonts w:hint="eastAsia" w:hAnsi="宋体" w:cs="宋体"/>
                <w:b w:val="0"/>
                <w:bCs w:val="0"/>
                <w:color w:val="auto"/>
                <w:sz w:val="18"/>
                <w:szCs w:val="18"/>
                <w:highlight w:val="none"/>
                <w:lang w:val="en-US" w:eastAsia="zh-CN"/>
              </w:rPr>
              <w:t>中</w:t>
            </w:r>
            <w:r>
              <w:rPr>
                <w:rFonts w:hint="eastAsia" w:ascii="宋体" w:hAnsi="宋体" w:eastAsia="宋体" w:cs="宋体"/>
                <w:b w:val="0"/>
                <w:bCs w:val="0"/>
                <w:color w:val="auto"/>
                <w:sz w:val="18"/>
                <w:szCs w:val="18"/>
                <w:highlight w:val="none"/>
              </w:rPr>
              <w:t>标人承诺的</w:t>
            </w:r>
            <w:r>
              <w:rPr>
                <w:rFonts w:hint="eastAsia" w:hAnsi="宋体" w:cs="宋体"/>
                <w:b w:val="0"/>
                <w:bCs w:val="0"/>
                <w:color w:val="auto"/>
                <w:sz w:val="18"/>
                <w:szCs w:val="18"/>
                <w:highlight w:val="none"/>
                <w:lang w:val="en-US" w:eastAsia="zh-CN"/>
              </w:rPr>
              <w:t>项目整体</w:t>
            </w:r>
            <w:r>
              <w:rPr>
                <w:rFonts w:hint="eastAsia" w:ascii="宋体" w:hAnsi="宋体" w:eastAsia="宋体" w:cs="宋体"/>
                <w:b w:val="0"/>
                <w:bCs w:val="0"/>
                <w:color w:val="auto"/>
                <w:sz w:val="18"/>
                <w:szCs w:val="18"/>
                <w:highlight w:val="none"/>
              </w:rPr>
              <w:t>质保期限。招标人将在收到符合要求的</w:t>
            </w:r>
            <w:r>
              <w:rPr>
                <w:rFonts w:hint="eastAsia" w:hAnsi="宋体" w:cs="宋体"/>
                <w:b w:val="0"/>
                <w:bCs w:val="0"/>
                <w:color w:val="auto"/>
                <w:sz w:val="18"/>
                <w:szCs w:val="18"/>
                <w:highlight w:val="none"/>
                <w:lang w:val="en-US" w:eastAsia="zh-CN"/>
              </w:rPr>
              <w:t>银行</w:t>
            </w:r>
            <w:r>
              <w:rPr>
                <w:rFonts w:hint="eastAsia" w:ascii="宋体" w:hAnsi="宋体" w:eastAsia="宋体" w:cs="宋体"/>
                <w:b w:val="0"/>
                <w:bCs w:val="0"/>
                <w:color w:val="auto"/>
                <w:sz w:val="18"/>
                <w:szCs w:val="18"/>
                <w:highlight w:val="none"/>
              </w:rPr>
              <w:t>保函后办理退还。</w:t>
            </w:r>
          </w:p>
          <w:p w14:paraId="34D37D02">
            <w:pPr>
              <w:spacing w:line="360" w:lineRule="auto"/>
              <w:ind w:firstLine="361" w:firstLineChars="200"/>
              <w:rPr>
                <w:rFonts w:ascii="宋体" w:hAnsi="宋体" w:eastAsia="宋体" w:cs="宋体"/>
                <w:b/>
                <w:color w:val="auto"/>
                <w:sz w:val="18"/>
                <w:szCs w:val="18"/>
                <w:highlight w:val="none"/>
              </w:rPr>
            </w:pPr>
            <w:r>
              <w:rPr>
                <w:rFonts w:hint="eastAsia" w:ascii="宋体" w:hAnsi="宋体" w:eastAsia="宋体" w:cs="宋体"/>
                <w:b/>
                <w:bCs/>
                <w:color w:val="auto"/>
                <w:sz w:val="18"/>
                <w:szCs w:val="18"/>
                <w:highlight w:val="none"/>
              </w:rPr>
              <w:t>6、投标人须对本项目为单位的货物及服务进行整体投标，任何只对其中一部分内容进行的投标都被视为无效投标。如本项目的部分安装（实施）工程需要具有相应资质才能实施但投标人不具备该项资质的，投标人应在获得招标人的书面同意后，委托具有相应资质的单位实施。</w:t>
            </w:r>
          </w:p>
        </w:tc>
        <w:tc>
          <w:tcPr>
            <w:tcW w:w="325" w:type="pct"/>
            <w:vAlign w:val="center"/>
          </w:tcPr>
          <w:p w14:paraId="0F2AB0D1">
            <w:pPr>
              <w:keepNext/>
              <w:keepLines/>
              <w:spacing w:line="360" w:lineRule="auto"/>
              <w:jc w:val="center"/>
              <w:rPr>
                <w:rFonts w:ascii="宋体" w:hAnsi="宋体" w:eastAsia="宋体" w:cs="宋体"/>
                <w:color w:val="auto"/>
                <w:kern w:val="0"/>
                <w:sz w:val="18"/>
                <w:szCs w:val="18"/>
                <w:highlight w:val="none"/>
              </w:rPr>
            </w:pPr>
          </w:p>
        </w:tc>
        <w:tc>
          <w:tcPr>
            <w:tcW w:w="393" w:type="pct"/>
            <w:vAlign w:val="center"/>
          </w:tcPr>
          <w:p w14:paraId="5865C096">
            <w:pPr>
              <w:keepNext/>
              <w:keepLines/>
              <w:spacing w:line="360" w:lineRule="auto"/>
              <w:jc w:val="center"/>
              <w:rPr>
                <w:rFonts w:ascii="宋体" w:hAnsi="宋体" w:eastAsia="宋体" w:cs="宋体"/>
                <w:color w:val="auto"/>
                <w:kern w:val="0"/>
                <w:sz w:val="18"/>
                <w:szCs w:val="18"/>
                <w:highlight w:val="none"/>
              </w:rPr>
            </w:pPr>
          </w:p>
        </w:tc>
        <w:tc>
          <w:tcPr>
            <w:tcW w:w="388" w:type="pct"/>
            <w:vAlign w:val="center"/>
          </w:tcPr>
          <w:p w14:paraId="02D870C6">
            <w:pPr>
              <w:keepNext/>
              <w:keepLines/>
              <w:spacing w:line="360" w:lineRule="auto"/>
              <w:jc w:val="center"/>
              <w:rPr>
                <w:rFonts w:ascii="宋体" w:hAnsi="宋体" w:eastAsia="宋体" w:cs="宋体"/>
                <w:color w:val="auto"/>
                <w:kern w:val="0"/>
                <w:sz w:val="18"/>
                <w:szCs w:val="18"/>
                <w:highlight w:val="none"/>
              </w:rPr>
            </w:pPr>
          </w:p>
          <w:p w14:paraId="4B8ED167">
            <w:pPr>
              <w:pStyle w:val="55"/>
              <w:rPr>
                <w:color w:val="auto"/>
                <w:highlight w:val="none"/>
              </w:rPr>
            </w:pPr>
          </w:p>
        </w:tc>
      </w:tr>
      <w:tr w14:paraId="2376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4" w:type="pct"/>
            <w:vAlign w:val="center"/>
          </w:tcPr>
          <w:p w14:paraId="7E94D199">
            <w:pPr>
              <w:spacing w:line="360" w:lineRule="auto"/>
              <w:jc w:val="center"/>
              <w:rPr>
                <w:rFonts w:ascii="宋体" w:hAnsi="宋体" w:eastAsia="宋体" w:cs="宋体"/>
                <w:color w:val="auto"/>
                <w:kern w:val="0"/>
                <w:sz w:val="18"/>
                <w:szCs w:val="18"/>
                <w:highlight w:val="none"/>
              </w:rPr>
            </w:pPr>
            <w:bookmarkStart w:id="1321" w:name="_Toc24985"/>
            <w:bookmarkStart w:id="1322" w:name="_Toc23184"/>
            <w:bookmarkStart w:id="1323" w:name="_Toc13661"/>
            <w:r>
              <w:rPr>
                <w:rFonts w:hint="eastAsia" w:ascii="宋体" w:hAnsi="宋体" w:eastAsia="宋体" w:cs="宋体"/>
                <w:color w:val="auto"/>
                <w:kern w:val="0"/>
                <w:sz w:val="18"/>
                <w:szCs w:val="18"/>
                <w:highlight w:val="none"/>
              </w:rPr>
              <w:t>10</w:t>
            </w:r>
          </w:p>
        </w:tc>
        <w:tc>
          <w:tcPr>
            <w:tcW w:w="488" w:type="pct"/>
            <w:vAlign w:val="center"/>
          </w:tcPr>
          <w:p w14:paraId="122DB9C6">
            <w:pPr>
              <w:spacing w:line="360" w:lineRule="auto"/>
              <w:jc w:val="center"/>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附件1 项目清单（详见本项目招标公告）</w:t>
            </w:r>
          </w:p>
        </w:tc>
        <w:tc>
          <w:tcPr>
            <w:tcW w:w="3149" w:type="pct"/>
            <w:vAlign w:val="center"/>
          </w:tcPr>
          <w:p w14:paraId="57CA320A">
            <w:pPr>
              <w:spacing w:line="360" w:lineRule="auto"/>
              <w:ind w:firstLine="361" w:firstLineChars="200"/>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特别说明：</w:t>
            </w:r>
            <w:r>
              <w:rPr>
                <w:rFonts w:hint="eastAsia" w:ascii="宋体" w:hAnsi="宋体" w:eastAsia="宋体" w:cs="宋体"/>
                <w:b/>
                <w:bCs/>
                <w:color w:val="auto"/>
                <w:sz w:val="18"/>
                <w:szCs w:val="18"/>
                <w:highlight w:val="none"/>
                <w:u w:val="single"/>
              </w:rPr>
              <w:t>本项目按图纸、用户需求书、合同范围总承包，并以不含税固定每瓦单价包干。本项目清单仅供投标人核算造价，不作为结算计价标准，最终合同的结算价按合同约定的不含税固定每瓦单价×实际结算装机容量和对应的销项税额结算</w:t>
            </w:r>
            <w:r>
              <w:rPr>
                <w:rFonts w:hint="eastAsia" w:ascii="宋体" w:hAnsi="宋体" w:eastAsia="宋体" w:cs="宋体"/>
                <w:b/>
                <w:bCs/>
                <w:color w:val="auto"/>
                <w:sz w:val="18"/>
                <w:szCs w:val="18"/>
                <w:highlight w:val="none"/>
              </w:rPr>
              <w:t>。</w:t>
            </w:r>
          </w:p>
        </w:tc>
        <w:tc>
          <w:tcPr>
            <w:tcW w:w="325" w:type="pct"/>
            <w:vAlign w:val="center"/>
          </w:tcPr>
          <w:p w14:paraId="756519D2">
            <w:pPr>
              <w:keepNext/>
              <w:keepLines/>
              <w:spacing w:line="360" w:lineRule="auto"/>
              <w:jc w:val="center"/>
              <w:rPr>
                <w:rFonts w:ascii="宋体" w:hAnsi="宋体" w:eastAsia="宋体" w:cs="宋体"/>
                <w:color w:val="auto"/>
                <w:kern w:val="0"/>
                <w:sz w:val="18"/>
                <w:szCs w:val="18"/>
                <w:highlight w:val="none"/>
              </w:rPr>
            </w:pPr>
          </w:p>
        </w:tc>
        <w:tc>
          <w:tcPr>
            <w:tcW w:w="393" w:type="pct"/>
            <w:vAlign w:val="center"/>
          </w:tcPr>
          <w:p w14:paraId="5F4846CA">
            <w:pPr>
              <w:keepNext/>
              <w:keepLines/>
              <w:spacing w:line="360" w:lineRule="auto"/>
              <w:jc w:val="center"/>
              <w:rPr>
                <w:rFonts w:ascii="宋体" w:hAnsi="宋体" w:eastAsia="宋体" w:cs="宋体"/>
                <w:color w:val="auto"/>
                <w:kern w:val="0"/>
                <w:sz w:val="18"/>
                <w:szCs w:val="18"/>
                <w:highlight w:val="none"/>
              </w:rPr>
            </w:pPr>
          </w:p>
        </w:tc>
        <w:tc>
          <w:tcPr>
            <w:tcW w:w="388" w:type="pct"/>
            <w:vAlign w:val="center"/>
          </w:tcPr>
          <w:p w14:paraId="76228136">
            <w:pPr>
              <w:pStyle w:val="55"/>
              <w:rPr>
                <w:color w:val="auto"/>
                <w:highlight w:val="none"/>
              </w:rPr>
            </w:pPr>
          </w:p>
        </w:tc>
      </w:tr>
      <w:tr w14:paraId="32DC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4" w:type="pct"/>
            <w:vAlign w:val="center"/>
          </w:tcPr>
          <w:p w14:paraId="61DB9AC8">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11</w:t>
            </w:r>
          </w:p>
        </w:tc>
        <w:tc>
          <w:tcPr>
            <w:tcW w:w="488" w:type="pct"/>
            <w:vAlign w:val="center"/>
          </w:tcPr>
          <w:p w14:paraId="0ACD120A">
            <w:pPr>
              <w:spacing w:line="360" w:lineRule="auto"/>
              <w:jc w:val="center"/>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附件2 图纸（详见本项目招标公告）</w:t>
            </w:r>
          </w:p>
        </w:tc>
        <w:tc>
          <w:tcPr>
            <w:tcW w:w="3149" w:type="pct"/>
            <w:vAlign w:val="center"/>
          </w:tcPr>
          <w:p w14:paraId="51E0C1DD">
            <w:pPr>
              <w:jc w:val="center"/>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图纸目录</w:t>
            </w:r>
          </w:p>
          <w:tbl>
            <w:tblPr>
              <w:tblStyle w:val="4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749"/>
              <w:gridCol w:w="1332"/>
              <w:gridCol w:w="951"/>
              <w:gridCol w:w="1138"/>
              <w:gridCol w:w="1541"/>
            </w:tblGrid>
            <w:tr w14:paraId="17A1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trPr>
              <w:tc>
                <w:tcPr>
                  <w:tcW w:w="676" w:type="pct"/>
                  <w:vAlign w:val="center"/>
                </w:tcPr>
                <w:p w14:paraId="2338F674">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1575" w:type="pct"/>
                  <w:gridSpan w:val="2"/>
                  <w:vAlign w:val="center"/>
                </w:tcPr>
                <w:p w14:paraId="1171BA6C">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图纸名称</w:t>
                  </w:r>
                </w:p>
              </w:tc>
              <w:tc>
                <w:tcPr>
                  <w:tcW w:w="720" w:type="pct"/>
                  <w:vAlign w:val="center"/>
                </w:tcPr>
                <w:p w14:paraId="037192D0">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页数</w:t>
                  </w:r>
                </w:p>
              </w:tc>
              <w:tc>
                <w:tcPr>
                  <w:tcW w:w="861" w:type="pct"/>
                  <w:vAlign w:val="center"/>
                </w:tcPr>
                <w:p w14:paraId="0B8A08C8">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出图日期</w:t>
                  </w:r>
                </w:p>
              </w:tc>
              <w:tc>
                <w:tcPr>
                  <w:tcW w:w="1166" w:type="pct"/>
                  <w:vAlign w:val="center"/>
                </w:tcPr>
                <w:p w14:paraId="034DE9F7">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14:paraId="3450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pct"/>
                  <w:vAlign w:val="center"/>
                </w:tcPr>
                <w:p w14:paraId="43E49E91">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567" w:type="pct"/>
                  <w:vMerge w:val="restart"/>
                  <w:vAlign w:val="center"/>
                </w:tcPr>
                <w:p w14:paraId="7D2BA9D8">
                  <w:pP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东莞市水务集团分布式光伏发电项目（第一批）供水厂项目</w:t>
                  </w:r>
                </w:p>
              </w:tc>
              <w:tc>
                <w:tcPr>
                  <w:tcW w:w="1007" w:type="pct"/>
                  <w:vAlign w:val="center"/>
                </w:tcPr>
                <w:p w14:paraId="3245952A">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第六水厂</w:t>
                  </w:r>
                </w:p>
              </w:tc>
              <w:tc>
                <w:tcPr>
                  <w:tcW w:w="720" w:type="pct"/>
                  <w:vAlign w:val="center"/>
                </w:tcPr>
                <w:p w14:paraId="563EC9C3">
                  <w:pPr>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76</w:t>
                  </w:r>
                </w:p>
              </w:tc>
              <w:tc>
                <w:tcPr>
                  <w:tcW w:w="861" w:type="pct"/>
                  <w:vAlign w:val="center"/>
                </w:tcPr>
                <w:p w14:paraId="2D27492A">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2025.08</w:t>
                  </w:r>
                </w:p>
              </w:tc>
              <w:tc>
                <w:tcPr>
                  <w:tcW w:w="1166" w:type="pct"/>
                  <w:vAlign w:val="center"/>
                </w:tcPr>
                <w:p w14:paraId="0AA22D1C">
                  <w:pPr>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组成内容：</w:t>
                  </w:r>
                  <w:r>
                    <w:rPr>
                      <w:rFonts w:hint="eastAsia" w:ascii="宋体" w:hAnsi="宋体" w:eastAsia="宋体" w:cs="宋体"/>
                      <w:color w:val="auto"/>
                      <w:sz w:val="18"/>
                      <w:szCs w:val="18"/>
                      <w:highlight w:val="none"/>
                    </w:rPr>
                    <w:t>电气</w:t>
                  </w:r>
                  <w:r>
                    <w:rPr>
                      <w:rFonts w:hint="eastAsia" w:ascii="宋体" w:hAnsi="宋体" w:eastAsia="宋体" w:cs="宋体"/>
                      <w:color w:val="auto"/>
                      <w:sz w:val="18"/>
                      <w:szCs w:val="18"/>
                      <w:highlight w:val="none"/>
                      <w:lang w:val="en-US" w:eastAsia="zh-CN"/>
                    </w:rPr>
                    <w:t>工程、结构工程</w:t>
                  </w:r>
                </w:p>
              </w:tc>
            </w:tr>
            <w:tr w14:paraId="29E2F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pct"/>
                  <w:vAlign w:val="center"/>
                </w:tcPr>
                <w:p w14:paraId="30230D7C">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567" w:type="pct"/>
                  <w:vMerge w:val="continue"/>
                  <w:vAlign w:val="center"/>
                </w:tcPr>
                <w:p w14:paraId="61348F94">
                  <w:pPr>
                    <w:jc w:val="center"/>
                    <w:rPr>
                      <w:rFonts w:ascii="宋体" w:hAnsi="宋体" w:eastAsia="宋体" w:cs="宋体"/>
                      <w:color w:val="auto"/>
                      <w:sz w:val="18"/>
                      <w:szCs w:val="18"/>
                      <w:highlight w:val="none"/>
                    </w:rPr>
                  </w:pPr>
                </w:p>
              </w:tc>
              <w:tc>
                <w:tcPr>
                  <w:tcW w:w="1007" w:type="pct"/>
                  <w:vAlign w:val="center"/>
                </w:tcPr>
                <w:p w14:paraId="78ACDF79">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第三水厂</w:t>
                  </w:r>
                </w:p>
              </w:tc>
              <w:tc>
                <w:tcPr>
                  <w:tcW w:w="720" w:type="pct"/>
                  <w:vAlign w:val="center"/>
                </w:tcPr>
                <w:p w14:paraId="54548B2A">
                  <w:pPr>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70</w:t>
                  </w:r>
                </w:p>
              </w:tc>
              <w:tc>
                <w:tcPr>
                  <w:tcW w:w="861" w:type="pct"/>
                  <w:vAlign w:val="center"/>
                </w:tcPr>
                <w:p w14:paraId="42CE08CB">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2025.0</w:t>
                  </w:r>
                  <w:r>
                    <w:rPr>
                      <w:rFonts w:hint="eastAsia" w:ascii="宋体" w:hAnsi="宋体" w:eastAsia="宋体" w:cs="宋体"/>
                      <w:color w:val="auto"/>
                      <w:sz w:val="18"/>
                      <w:szCs w:val="18"/>
                      <w:highlight w:val="none"/>
                      <w:lang w:eastAsia="zh-CN"/>
                    </w:rPr>
                    <w:t>8</w:t>
                  </w:r>
                </w:p>
              </w:tc>
              <w:tc>
                <w:tcPr>
                  <w:tcW w:w="1166" w:type="pct"/>
                  <w:vAlign w:val="center"/>
                </w:tcPr>
                <w:p w14:paraId="7D90A7F1">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组成内容：</w:t>
                  </w:r>
                  <w:r>
                    <w:rPr>
                      <w:rFonts w:hint="eastAsia" w:ascii="宋体" w:hAnsi="宋体" w:eastAsia="宋体" w:cs="宋体"/>
                      <w:color w:val="auto"/>
                      <w:sz w:val="18"/>
                      <w:szCs w:val="18"/>
                      <w:highlight w:val="none"/>
                    </w:rPr>
                    <w:t>电气</w:t>
                  </w:r>
                  <w:r>
                    <w:rPr>
                      <w:rFonts w:hint="eastAsia" w:ascii="宋体" w:hAnsi="宋体" w:eastAsia="宋体" w:cs="宋体"/>
                      <w:color w:val="auto"/>
                      <w:sz w:val="18"/>
                      <w:szCs w:val="18"/>
                      <w:highlight w:val="none"/>
                      <w:lang w:val="en-US" w:eastAsia="zh-CN"/>
                    </w:rPr>
                    <w:t>工程、结构工程</w:t>
                  </w:r>
                </w:p>
              </w:tc>
            </w:tr>
            <w:tr w14:paraId="53DF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pct"/>
                  <w:vAlign w:val="center"/>
                </w:tcPr>
                <w:p w14:paraId="58A08870">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567" w:type="pct"/>
                  <w:vMerge w:val="continue"/>
                  <w:vAlign w:val="center"/>
                </w:tcPr>
                <w:p w14:paraId="562C4201">
                  <w:pPr>
                    <w:jc w:val="center"/>
                    <w:rPr>
                      <w:rFonts w:ascii="宋体" w:hAnsi="宋体" w:eastAsia="宋体" w:cs="宋体"/>
                      <w:color w:val="auto"/>
                      <w:sz w:val="18"/>
                      <w:szCs w:val="18"/>
                      <w:highlight w:val="none"/>
                    </w:rPr>
                  </w:pPr>
                </w:p>
              </w:tc>
              <w:tc>
                <w:tcPr>
                  <w:tcW w:w="1007" w:type="pct"/>
                  <w:vAlign w:val="center"/>
                </w:tcPr>
                <w:p w14:paraId="28433DF7">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第四水厂</w:t>
                  </w:r>
                </w:p>
              </w:tc>
              <w:tc>
                <w:tcPr>
                  <w:tcW w:w="720" w:type="pct"/>
                  <w:vAlign w:val="center"/>
                </w:tcPr>
                <w:p w14:paraId="0B6004B3">
                  <w:pPr>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64</w:t>
                  </w:r>
                </w:p>
              </w:tc>
              <w:tc>
                <w:tcPr>
                  <w:tcW w:w="861" w:type="pct"/>
                  <w:vAlign w:val="center"/>
                </w:tcPr>
                <w:p w14:paraId="2145291E">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2025.08</w:t>
                  </w:r>
                </w:p>
              </w:tc>
              <w:tc>
                <w:tcPr>
                  <w:tcW w:w="1166" w:type="pct"/>
                  <w:vAlign w:val="center"/>
                </w:tcPr>
                <w:p w14:paraId="6815083F">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组成内容：</w:t>
                  </w:r>
                  <w:r>
                    <w:rPr>
                      <w:rFonts w:hint="eastAsia" w:ascii="宋体" w:hAnsi="宋体" w:eastAsia="宋体" w:cs="宋体"/>
                      <w:color w:val="auto"/>
                      <w:sz w:val="18"/>
                      <w:szCs w:val="18"/>
                      <w:highlight w:val="none"/>
                    </w:rPr>
                    <w:t>电气</w:t>
                  </w:r>
                  <w:r>
                    <w:rPr>
                      <w:rFonts w:hint="eastAsia" w:ascii="宋体" w:hAnsi="宋体" w:eastAsia="宋体" w:cs="宋体"/>
                      <w:color w:val="auto"/>
                      <w:sz w:val="18"/>
                      <w:szCs w:val="18"/>
                      <w:highlight w:val="none"/>
                      <w:lang w:val="en-US" w:eastAsia="zh-CN"/>
                    </w:rPr>
                    <w:t>工程、结构工程</w:t>
                  </w:r>
                </w:p>
              </w:tc>
            </w:tr>
            <w:tr w14:paraId="10F2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pct"/>
                  <w:vAlign w:val="center"/>
                </w:tcPr>
                <w:p w14:paraId="2326D744">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567" w:type="pct"/>
                  <w:vMerge w:val="continue"/>
                  <w:vAlign w:val="center"/>
                </w:tcPr>
                <w:p w14:paraId="29FE7347">
                  <w:pPr>
                    <w:jc w:val="center"/>
                    <w:rPr>
                      <w:rFonts w:ascii="宋体" w:hAnsi="宋体" w:eastAsia="宋体" w:cs="宋体"/>
                      <w:color w:val="auto"/>
                      <w:sz w:val="18"/>
                      <w:szCs w:val="18"/>
                      <w:highlight w:val="none"/>
                    </w:rPr>
                  </w:pPr>
                </w:p>
              </w:tc>
              <w:tc>
                <w:tcPr>
                  <w:tcW w:w="1007" w:type="pct"/>
                  <w:vAlign w:val="center"/>
                </w:tcPr>
                <w:p w14:paraId="58D8EE1C">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第五水厂</w:t>
                  </w:r>
                </w:p>
              </w:tc>
              <w:tc>
                <w:tcPr>
                  <w:tcW w:w="720" w:type="pct"/>
                  <w:vAlign w:val="center"/>
                </w:tcPr>
                <w:p w14:paraId="3B5A89D4">
                  <w:pPr>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115</w:t>
                  </w:r>
                </w:p>
              </w:tc>
              <w:tc>
                <w:tcPr>
                  <w:tcW w:w="861" w:type="pct"/>
                  <w:vAlign w:val="center"/>
                </w:tcPr>
                <w:p w14:paraId="5A1668A7">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2025.08</w:t>
                  </w:r>
                </w:p>
              </w:tc>
              <w:tc>
                <w:tcPr>
                  <w:tcW w:w="1166" w:type="pct"/>
                  <w:vAlign w:val="center"/>
                </w:tcPr>
                <w:p w14:paraId="461CAE34">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组成内容：</w:t>
                  </w:r>
                  <w:r>
                    <w:rPr>
                      <w:rFonts w:hint="eastAsia" w:ascii="宋体" w:hAnsi="宋体" w:eastAsia="宋体" w:cs="宋体"/>
                      <w:color w:val="auto"/>
                      <w:sz w:val="18"/>
                      <w:szCs w:val="18"/>
                      <w:highlight w:val="none"/>
                    </w:rPr>
                    <w:t>电气</w:t>
                  </w:r>
                  <w:r>
                    <w:rPr>
                      <w:rFonts w:hint="eastAsia" w:ascii="宋体" w:hAnsi="宋体" w:eastAsia="宋体" w:cs="宋体"/>
                      <w:color w:val="auto"/>
                      <w:sz w:val="18"/>
                      <w:szCs w:val="18"/>
                      <w:highlight w:val="none"/>
                      <w:lang w:val="en-US" w:eastAsia="zh-CN"/>
                    </w:rPr>
                    <w:t>工程、结构工程</w:t>
                  </w:r>
                </w:p>
              </w:tc>
            </w:tr>
            <w:tr w14:paraId="3D37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pct"/>
                  <w:vAlign w:val="center"/>
                </w:tcPr>
                <w:p w14:paraId="6F644612">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567" w:type="pct"/>
                  <w:vMerge w:val="continue"/>
                  <w:vAlign w:val="center"/>
                </w:tcPr>
                <w:p w14:paraId="233CC398">
                  <w:pPr>
                    <w:jc w:val="center"/>
                    <w:rPr>
                      <w:rFonts w:ascii="宋体" w:hAnsi="宋体" w:eastAsia="宋体" w:cs="宋体"/>
                      <w:color w:val="auto"/>
                      <w:sz w:val="18"/>
                      <w:szCs w:val="18"/>
                      <w:highlight w:val="none"/>
                    </w:rPr>
                  </w:pPr>
                </w:p>
              </w:tc>
              <w:tc>
                <w:tcPr>
                  <w:tcW w:w="1007" w:type="pct"/>
                  <w:vAlign w:val="center"/>
                </w:tcPr>
                <w:p w14:paraId="7ED94B8E">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凤岗第二水厂</w:t>
                  </w:r>
                </w:p>
              </w:tc>
              <w:tc>
                <w:tcPr>
                  <w:tcW w:w="720" w:type="pct"/>
                  <w:vAlign w:val="center"/>
                </w:tcPr>
                <w:p w14:paraId="4E53BA32">
                  <w:pPr>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64</w:t>
                  </w:r>
                </w:p>
              </w:tc>
              <w:tc>
                <w:tcPr>
                  <w:tcW w:w="861" w:type="pct"/>
                  <w:vAlign w:val="center"/>
                </w:tcPr>
                <w:p w14:paraId="21B19ACF">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2025.08</w:t>
                  </w:r>
                </w:p>
              </w:tc>
              <w:tc>
                <w:tcPr>
                  <w:tcW w:w="1166" w:type="pct"/>
                  <w:vAlign w:val="center"/>
                </w:tcPr>
                <w:p w14:paraId="46F04DFA">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组成内容：</w:t>
                  </w:r>
                  <w:r>
                    <w:rPr>
                      <w:rFonts w:hint="eastAsia" w:ascii="宋体" w:hAnsi="宋体" w:eastAsia="宋体" w:cs="宋体"/>
                      <w:color w:val="auto"/>
                      <w:sz w:val="18"/>
                      <w:szCs w:val="18"/>
                      <w:highlight w:val="none"/>
                    </w:rPr>
                    <w:t>电气</w:t>
                  </w:r>
                  <w:r>
                    <w:rPr>
                      <w:rFonts w:hint="eastAsia" w:ascii="宋体" w:hAnsi="宋体" w:eastAsia="宋体" w:cs="宋体"/>
                      <w:color w:val="auto"/>
                      <w:sz w:val="18"/>
                      <w:szCs w:val="18"/>
                      <w:highlight w:val="none"/>
                      <w:lang w:val="en-US" w:eastAsia="zh-CN"/>
                    </w:rPr>
                    <w:t>工程、结构工程</w:t>
                  </w:r>
                </w:p>
              </w:tc>
            </w:tr>
            <w:tr w14:paraId="4A4E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pct"/>
                  <w:vAlign w:val="center"/>
                </w:tcPr>
                <w:p w14:paraId="3ED08780">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6</w:t>
                  </w:r>
                </w:p>
              </w:tc>
              <w:tc>
                <w:tcPr>
                  <w:tcW w:w="567" w:type="pct"/>
                  <w:vMerge w:val="continue"/>
                  <w:vAlign w:val="center"/>
                </w:tcPr>
                <w:p w14:paraId="57E0CCF3">
                  <w:pPr>
                    <w:jc w:val="center"/>
                    <w:rPr>
                      <w:rFonts w:ascii="宋体" w:hAnsi="宋体" w:eastAsia="宋体" w:cs="宋体"/>
                      <w:color w:val="auto"/>
                      <w:sz w:val="18"/>
                      <w:szCs w:val="18"/>
                      <w:highlight w:val="none"/>
                    </w:rPr>
                  </w:pPr>
                </w:p>
              </w:tc>
              <w:tc>
                <w:tcPr>
                  <w:tcW w:w="1007" w:type="pct"/>
                  <w:vAlign w:val="center"/>
                </w:tcPr>
                <w:p w14:paraId="072A8422">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黄江水厂</w:t>
                  </w:r>
                </w:p>
              </w:tc>
              <w:tc>
                <w:tcPr>
                  <w:tcW w:w="720" w:type="pct"/>
                  <w:vAlign w:val="center"/>
                </w:tcPr>
                <w:p w14:paraId="7D017036">
                  <w:pPr>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96</w:t>
                  </w:r>
                </w:p>
              </w:tc>
              <w:tc>
                <w:tcPr>
                  <w:tcW w:w="861" w:type="pct"/>
                  <w:vAlign w:val="center"/>
                </w:tcPr>
                <w:p w14:paraId="15393E03">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2025.08</w:t>
                  </w:r>
                </w:p>
              </w:tc>
              <w:tc>
                <w:tcPr>
                  <w:tcW w:w="1166" w:type="pct"/>
                  <w:vAlign w:val="center"/>
                </w:tcPr>
                <w:p w14:paraId="62DE9184">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组成内容：</w:t>
                  </w:r>
                  <w:r>
                    <w:rPr>
                      <w:rFonts w:hint="eastAsia" w:ascii="宋体" w:hAnsi="宋体" w:eastAsia="宋体" w:cs="宋体"/>
                      <w:color w:val="auto"/>
                      <w:sz w:val="18"/>
                      <w:szCs w:val="18"/>
                      <w:highlight w:val="none"/>
                    </w:rPr>
                    <w:t>电气</w:t>
                  </w:r>
                  <w:r>
                    <w:rPr>
                      <w:rFonts w:hint="eastAsia" w:ascii="宋体" w:hAnsi="宋体" w:eastAsia="宋体" w:cs="宋体"/>
                      <w:color w:val="auto"/>
                      <w:sz w:val="18"/>
                      <w:szCs w:val="18"/>
                      <w:highlight w:val="none"/>
                      <w:lang w:val="en-US" w:eastAsia="zh-CN"/>
                    </w:rPr>
                    <w:t>工程、结构工程</w:t>
                  </w:r>
                </w:p>
              </w:tc>
            </w:tr>
            <w:tr w14:paraId="7222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pct"/>
                  <w:vAlign w:val="center"/>
                </w:tcPr>
                <w:p w14:paraId="5AF13043">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7</w:t>
                  </w:r>
                </w:p>
              </w:tc>
              <w:tc>
                <w:tcPr>
                  <w:tcW w:w="567" w:type="pct"/>
                  <w:vMerge w:val="continue"/>
                  <w:vAlign w:val="center"/>
                </w:tcPr>
                <w:p w14:paraId="340D6FA5">
                  <w:pPr>
                    <w:jc w:val="center"/>
                    <w:rPr>
                      <w:rFonts w:ascii="宋体" w:hAnsi="宋体" w:eastAsia="宋体" w:cs="宋体"/>
                      <w:color w:val="auto"/>
                      <w:sz w:val="18"/>
                      <w:szCs w:val="18"/>
                      <w:highlight w:val="none"/>
                    </w:rPr>
                  </w:pPr>
                </w:p>
              </w:tc>
              <w:tc>
                <w:tcPr>
                  <w:tcW w:w="1007" w:type="pct"/>
                  <w:vAlign w:val="center"/>
                </w:tcPr>
                <w:p w14:paraId="0EFBCB43">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企石水厂</w:t>
                  </w:r>
                </w:p>
              </w:tc>
              <w:tc>
                <w:tcPr>
                  <w:tcW w:w="720" w:type="pct"/>
                  <w:vAlign w:val="center"/>
                </w:tcPr>
                <w:p w14:paraId="5A632304">
                  <w:pPr>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78</w:t>
                  </w:r>
                </w:p>
              </w:tc>
              <w:tc>
                <w:tcPr>
                  <w:tcW w:w="861" w:type="pct"/>
                  <w:vAlign w:val="center"/>
                </w:tcPr>
                <w:p w14:paraId="454F558B">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2025.08</w:t>
                  </w:r>
                </w:p>
              </w:tc>
              <w:tc>
                <w:tcPr>
                  <w:tcW w:w="1166" w:type="pct"/>
                  <w:vAlign w:val="center"/>
                </w:tcPr>
                <w:p w14:paraId="4E63003C">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组成内容：</w:t>
                  </w:r>
                  <w:r>
                    <w:rPr>
                      <w:rFonts w:hint="eastAsia" w:ascii="宋体" w:hAnsi="宋体" w:eastAsia="宋体" w:cs="宋体"/>
                      <w:color w:val="auto"/>
                      <w:sz w:val="18"/>
                      <w:szCs w:val="18"/>
                      <w:highlight w:val="none"/>
                    </w:rPr>
                    <w:t>电气</w:t>
                  </w:r>
                  <w:r>
                    <w:rPr>
                      <w:rFonts w:hint="eastAsia" w:ascii="宋体" w:hAnsi="宋体" w:eastAsia="宋体" w:cs="宋体"/>
                      <w:color w:val="auto"/>
                      <w:sz w:val="18"/>
                      <w:szCs w:val="18"/>
                      <w:highlight w:val="none"/>
                      <w:lang w:val="en-US" w:eastAsia="zh-CN"/>
                    </w:rPr>
                    <w:t>工程、结构工程</w:t>
                  </w:r>
                </w:p>
              </w:tc>
            </w:tr>
            <w:tr w14:paraId="50B6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pct"/>
                  <w:vAlign w:val="center"/>
                </w:tcPr>
                <w:p w14:paraId="4F205ADE">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8</w:t>
                  </w:r>
                </w:p>
              </w:tc>
              <w:tc>
                <w:tcPr>
                  <w:tcW w:w="567" w:type="pct"/>
                  <w:vMerge w:val="continue"/>
                  <w:vAlign w:val="center"/>
                </w:tcPr>
                <w:p w14:paraId="33D498B7">
                  <w:pPr>
                    <w:jc w:val="center"/>
                    <w:rPr>
                      <w:rFonts w:ascii="宋体" w:hAnsi="宋体" w:eastAsia="宋体" w:cs="宋体"/>
                      <w:color w:val="auto"/>
                      <w:sz w:val="18"/>
                      <w:szCs w:val="18"/>
                      <w:highlight w:val="none"/>
                    </w:rPr>
                  </w:pPr>
                </w:p>
              </w:tc>
              <w:tc>
                <w:tcPr>
                  <w:tcW w:w="1007" w:type="pct"/>
                  <w:vAlign w:val="center"/>
                </w:tcPr>
                <w:p w14:paraId="5AD0E6AC">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石碣水厂</w:t>
                  </w:r>
                </w:p>
              </w:tc>
              <w:tc>
                <w:tcPr>
                  <w:tcW w:w="720" w:type="pct"/>
                  <w:vAlign w:val="center"/>
                </w:tcPr>
                <w:p w14:paraId="2EF9A7F8">
                  <w:pPr>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80</w:t>
                  </w:r>
                </w:p>
              </w:tc>
              <w:tc>
                <w:tcPr>
                  <w:tcW w:w="861" w:type="pct"/>
                  <w:vAlign w:val="center"/>
                </w:tcPr>
                <w:p w14:paraId="54CE6086">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2025.08</w:t>
                  </w:r>
                </w:p>
              </w:tc>
              <w:tc>
                <w:tcPr>
                  <w:tcW w:w="1166" w:type="pct"/>
                  <w:vAlign w:val="center"/>
                </w:tcPr>
                <w:p w14:paraId="17FE873A">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组成内容：</w:t>
                  </w:r>
                  <w:r>
                    <w:rPr>
                      <w:rFonts w:hint="eastAsia" w:ascii="宋体" w:hAnsi="宋体" w:eastAsia="宋体" w:cs="宋体"/>
                      <w:color w:val="auto"/>
                      <w:sz w:val="18"/>
                      <w:szCs w:val="18"/>
                      <w:highlight w:val="none"/>
                    </w:rPr>
                    <w:t>电气</w:t>
                  </w:r>
                  <w:r>
                    <w:rPr>
                      <w:rFonts w:hint="eastAsia" w:ascii="宋体" w:hAnsi="宋体" w:eastAsia="宋体" w:cs="宋体"/>
                      <w:color w:val="auto"/>
                      <w:sz w:val="18"/>
                      <w:szCs w:val="18"/>
                      <w:highlight w:val="none"/>
                      <w:lang w:val="en-US" w:eastAsia="zh-CN"/>
                    </w:rPr>
                    <w:t>工程、结构工程</w:t>
                  </w:r>
                </w:p>
              </w:tc>
            </w:tr>
            <w:tr w14:paraId="4F49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pct"/>
                  <w:vAlign w:val="center"/>
                </w:tcPr>
                <w:p w14:paraId="616263AD">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9</w:t>
                  </w:r>
                </w:p>
              </w:tc>
              <w:tc>
                <w:tcPr>
                  <w:tcW w:w="567" w:type="pct"/>
                  <w:vMerge w:val="continue"/>
                  <w:vAlign w:val="center"/>
                </w:tcPr>
                <w:p w14:paraId="215879C4">
                  <w:pPr>
                    <w:jc w:val="center"/>
                    <w:rPr>
                      <w:rFonts w:ascii="宋体" w:hAnsi="宋体" w:eastAsia="宋体" w:cs="宋体"/>
                      <w:color w:val="auto"/>
                      <w:sz w:val="18"/>
                      <w:szCs w:val="18"/>
                      <w:highlight w:val="none"/>
                    </w:rPr>
                  </w:pPr>
                </w:p>
              </w:tc>
              <w:tc>
                <w:tcPr>
                  <w:tcW w:w="1007" w:type="pct"/>
                  <w:vAlign w:val="center"/>
                </w:tcPr>
                <w:p w14:paraId="2B5AFBA8">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石龙黄洲水厂</w:t>
                  </w:r>
                </w:p>
              </w:tc>
              <w:tc>
                <w:tcPr>
                  <w:tcW w:w="720" w:type="pct"/>
                  <w:vAlign w:val="center"/>
                </w:tcPr>
                <w:p w14:paraId="00B3ABE8">
                  <w:pPr>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81</w:t>
                  </w:r>
                </w:p>
              </w:tc>
              <w:tc>
                <w:tcPr>
                  <w:tcW w:w="861" w:type="pct"/>
                  <w:vAlign w:val="center"/>
                </w:tcPr>
                <w:p w14:paraId="0C9F3943">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2025.08</w:t>
                  </w:r>
                </w:p>
              </w:tc>
              <w:tc>
                <w:tcPr>
                  <w:tcW w:w="1166" w:type="pct"/>
                  <w:vAlign w:val="center"/>
                </w:tcPr>
                <w:p w14:paraId="625DD610">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组成内容：</w:t>
                  </w:r>
                  <w:r>
                    <w:rPr>
                      <w:rFonts w:hint="eastAsia" w:ascii="宋体" w:hAnsi="宋体" w:eastAsia="宋体" w:cs="宋体"/>
                      <w:color w:val="auto"/>
                      <w:sz w:val="18"/>
                      <w:szCs w:val="18"/>
                      <w:highlight w:val="none"/>
                    </w:rPr>
                    <w:t>电气</w:t>
                  </w:r>
                  <w:r>
                    <w:rPr>
                      <w:rFonts w:hint="eastAsia" w:ascii="宋体" w:hAnsi="宋体" w:eastAsia="宋体" w:cs="宋体"/>
                      <w:color w:val="auto"/>
                      <w:sz w:val="18"/>
                      <w:szCs w:val="18"/>
                      <w:highlight w:val="none"/>
                      <w:lang w:val="en-US" w:eastAsia="zh-CN"/>
                    </w:rPr>
                    <w:t>工程、结构工程</w:t>
                  </w:r>
                </w:p>
              </w:tc>
            </w:tr>
            <w:tr w14:paraId="1415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pct"/>
                  <w:vAlign w:val="center"/>
                </w:tcPr>
                <w:p w14:paraId="1EE18F91">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w:t>
                  </w:r>
                </w:p>
              </w:tc>
              <w:tc>
                <w:tcPr>
                  <w:tcW w:w="567" w:type="pct"/>
                  <w:vMerge w:val="continue"/>
                  <w:vAlign w:val="center"/>
                </w:tcPr>
                <w:p w14:paraId="60185939">
                  <w:pPr>
                    <w:jc w:val="center"/>
                    <w:rPr>
                      <w:rFonts w:ascii="宋体" w:hAnsi="宋体" w:eastAsia="宋体" w:cs="宋体"/>
                      <w:color w:val="auto"/>
                      <w:sz w:val="18"/>
                      <w:szCs w:val="18"/>
                      <w:highlight w:val="none"/>
                    </w:rPr>
                  </w:pPr>
                </w:p>
              </w:tc>
              <w:tc>
                <w:tcPr>
                  <w:tcW w:w="1007" w:type="pct"/>
                  <w:vAlign w:val="center"/>
                </w:tcPr>
                <w:p w14:paraId="013438C5">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塘厦凤凰水厂</w:t>
                  </w:r>
                </w:p>
              </w:tc>
              <w:tc>
                <w:tcPr>
                  <w:tcW w:w="720" w:type="pct"/>
                  <w:vAlign w:val="center"/>
                </w:tcPr>
                <w:p w14:paraId="1F694661">
                  <w:pPr>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85</w:t>
                  </w:r>
                </w:p>
              </w:tc>
              <w:tc>
                <w:tcPr>
                  <w:tcW w:w="861" w:type="pct"/>
                  <w:vAlign w:val="center"/>
                </w:tcPr>
                <w:p w14:paraId="3FCDBF5D">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2025.08</w:t>
                  </w:r>
                </w:p>
              </w:tc>
              <w:tc>
                <w:tcPr>
                  <w:tcW w:w="1166" w:type="pct"/>
                  <w:vAlign w:val="center"/>
                </w:tcPr>
                <w:p w14:paraId="01209DAE">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组成内容：</w:t>
                  </w:r>
                  <w:r>
                    <w:rPr>
                      <w:rFonts w:hint="eastAsia" w:ascii="宋体" w:hAnsi="宋体" w:eastAsia="宋体" w:cs="宋体"/>
                      <w:color w:val="auto"/>
                      <w:sz w:val="18"/>
                      <w:szCs w:val="18"/>
                      <w:highlight w:val="none"/>
                    </w:rPr>
                    <w:t>电气</w:t>
                  </w:r>
                  <w:r>
                    <w:rPr>
                      <w:rFonts w:hint="eastAsia" w:ascii="宋体" w:hAnsi="宋体" w:eastAsia="宋体" w:cs="宋体"/>
                      <w:color w:val="auto"/>
                      <w:sz w:val="18"/>
                      <w:szCs w:val="18"/>
                      <w:highlight w:val="none"/>
                      <w:lang w:val="en-US" w:eastAsia="zh-CN"/>
                    </w:rPr>
                    <w:t>工程、结构工程</w:t>
                  </w:r>
                </w:p>
              </w:tc>
            </w:tr>
            <w:tr w14:paraId="7320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pct"/>
                  <w:vAlign w:val="center"/>
                </w:tcPr>
                <w:p w14:paraId="57DDAC8B">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11</w:t>
                  </w:r>
                </w:p>
              </w:tc>
              <w:tc>
                <w:tcPr>
                  <w:tcW w:w="567" w:type="pct"/>
                  <w:vMerge w:val="continue"/>
                  <w:vAlign w:val="center"/>
                </w:tcPr>
                <w:p w14:paraId="5F30BD16">
                  <w:pPr>
                    <w:jc w:val="center"/>
                    <w:rPr>
                      <w:rFonts w:ascii="宋体" w:hAnsi="宋体" w:eastAsia="宋体" w:cs="宋体"/>
                      <w:color w:val="auto"/>
                      <w:sz w:val="18"/>
                      <w:szCs w:val="18"/>
                      <w:highlight w:val="none"/>
                    </w:rPr>
                  </w:pPr>
                </w:p>
              </w:tc>
              <w:tc>
                <w:tcPr>
                  <w:tcW w:w="1007" w:type="pct"/>
                  <w:vAlign w:val="center"/>
                </w:tcPr>
                <w:p w14:paraId="712F9231">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塘厦虾公岩水厂</w:t>
                  </w:r>
                </w:p>
              </w:tc>
              <w:tc>
                <w:tcPr>
                  <w:tcW w:w="720" w:type="pct"/>
                  <w:vAlign w:val="center"/>
                </w:tcPr>
                <w:p w14:paraId="2B5BAA94">
                  <w:pPr>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99</w:t>
                  </w:r>
                </w:p>
              </w:tc>
              <w:tc>
                <w:tcPr>
                  <w:tcW w:w="861" w:type="pct"/>
                  <w:vAlign w:val="center"/>
                </w:tcPr>
                <w:p w14:paraId="5BC64164">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2025.08</w:t>
                  </w:r>
                </w:p>
              </w:tc>
              <w:tc>
                <w:tcPr>
                  <w:tcW w:w="1166" w:type="pct"/>
                  <w:vAlign w:val="center"/>
                </w:tcPr>
                <w:p w14:paraId="281FA35A">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组成内容：</w:t>
                  </w:r>
                  <w:r>
                    <w:rPr>
                      <w:rFonts w:hint="eastAsia" w:ascii="宋体" w:hAnsi="宋体" w:eastAsia="宋体" w:cs="宋体"/>
                      <w:color w:val="auto"/>
                      <w:sz w:val="18"/>
                      <w:szCs w:val="18"/>
                      <w:highlight w:val="none"/>
                    </w:rPr>
                    <w:t>电气</w:t>
                  </w:r>
                  <w:r>
                    <w:rPr>
                      <w:rFonts w:hint="eastAsia" w:ascii="宋体" w:hAnsi="宋体" w:eastAsia="宋体" w:cs="宋体"/>
                      <w:color w:val="auto"/>
                      <w:sz w:val="18"/>
                      <w:szCs w:val="18"/>
                      <w:highlight w:val="none"/>
                      <w:lang w:val="en-US" w:eastAsia="zh-CN"/>
                    </w:rPr>
                    <w:t>工程、结构工程</w:t>
                  </w:r>
                </w:p>
              </w:tc>
            </w:tr>
            <w:tr w14:paraId="1CAC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pct"/>
                  <w:vAlign w:val="center"/>
                </w:tcPr>
                <w:p w14:paraId="2BB4FE5B">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12</w:t>
                  </w:r>
                </w:p>
              </w:tc>
              <w:tc>
                <w:tcPr>
                  <w:tcW w:w="567" w:type="pct"/>
                  <w:vMerge w:val="continue"/>
                  <w:vAlign w:val="center"/>
                </w:tcPr>
                <w:p w14:paraId="561CFA66">
                  <w:pPr>
                    <w:jc w:val="center"/>
                    <w:rPr>
                      <w:rFonts w:ascii="宋体" w:hAnsi="宋体" w:eastAsia="宋体" w:cs="宋体"/>
                      <w:color w:val="auto"/>
                      <w:sz w:val="18"/>
                      <w:szCs w:val="18"/>
                      <w:highlight w:val="none"/>
                    </w:rPr>
                  </w:pPr>
                </w:p>
              </w:tc>
              <w:tc>
                <w:tcPr>
                  <w:tcW w:w="1007" w:type="pct"/>
                  <w:vAlign w:val="center"/>
                </w:tcPr>
                <w:p w14:paraId="09A5CB5B">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塘厦中心水厂</w:t>
                  </w:r>
                </w:p>
              </w:tc>
              <w:tc>
                <w:tcPr>
                  <w:tcW w:w="720" w:type="pct"/>
                  <w:vAlign w:val="center"/>
                </w:tcPr>
                <w:p w14:paraId="0C45D782">
                  <w:pPr>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99</w:t>
                  </w:r>
                </w:p>
              </w:tc>
              <w:tc>
                <w:tcPr>
                  <w:tcW w:w="861" w:type="pct"/>
                  <w:vAlign w:val="center"/>
                </w:tcPr>
                <w:p w14:paraId="045B5833">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2025.08</w:t>
                  </w:r>
                </w:p>
              </w:tc>
              <w:tc>
                <w:tcPr>
                  <w:tcW w:w="1166" w:type="pct"/>
                  <w:vAlign w:val="center"/>
                </w:tcPr>
                <w:p w14:paraId="341FB14D">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组成内容：</w:t>
                  </w:r>
                  <w:r>
                    <w:rPr>
                      <w:rFonts w:hint="eastAsia" w:ascii="宋体" w:hAnsi="宋体" w:eastAsia="宋体" w:cs="宋体"/>
                      <w:color w:val="auto"/>
                      <w:sz w:val="18"/>
                      <w:szCs w:val="18"/>
                      <w:highlight w:val="none"/>
                    </w:rPr>
                    <w:t>电气</w:t>
                  </w:r>
                  <w:r>
                    <w:rPr>
                      <w:rFonts w:hint="eastAsia" w:ascii="宋体" w:hAnsi="宋体" w:eastAsia="宋体" w:cs="宋体"/>
                      <w:color w:val="auto"/>
                      <w:sz w:val="18"/>
                      <w:szCs w:val="18"/>
                      <w:highlight w:val="none"/>
                      <w:lang w:val="en-US" w:eastAsia="zh-CN"/>
                    </w:rPr>
                    <w:t>工程、结构工程</w:t>
                  </w:r>
                </w:p>
              </w:tc>
            </w:tr>
            <w:tr w14:paraId="0575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pct"/>
                  <w:vAlign w:val="center"/>
                </w:tcPr>
                <w:p w14:paraId="7D12B936">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13</w:t>
                  </w:r>
                </w:p>
              </w:tc>
              <w:tc>
                <w:tcPr>
                  <w:tcW w:w="567" w:type="pct"/>
                  <w:vMerge w:val="continue"/>
                  <w:vAlign w:val="center"/>
                </w:tcPr>
                <w:p w14:paraId="40926B26">
                  <w:pPr>
                    <w:jc w:val="center"/>
                    <w:rPr>
                      <w:rFonts w:ascii="宋体" w:hAnsi="宋体" w:eastAsia="宋体" w:cs="宋体"/>
                      <w:color w:val="auto"/>
                      <w:sz w:val="18"/>
                      <w:szCs w:val="18"/>
                      <w:highlight w:val="none"/>
                    </w:rPr>
                  </w:pPr>
                </w:p>
              </w:tc>
              <w:tc>
                <w:tcPr>
                  <w:tcW w:w="1007" w:type="pct"/>
                  <w:vAlign w:val="center"/>
                </w:tcPr>
                <w:p w14:paraId="41496FDC">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谢岗第三水厂</w:t>
                  </w:r>
                </w:p>
              </w:tc>
              <w:tc>
                <w:tcPr>
                  <w:tcW w:w="720" w:type="pct"/>
                  <w:vAlign w:val="center"/>
                </w:tcPr>
                <w:p w14:paraId="4F693678">
                  <w:pPr>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80</w:t>
                  </w:r>
                </w:p>
              </w:tc>
              <w:tc>
                <w:tcPr>
                  <w:tcW w:w="861" w:type="pct"/>
                  <w:vAlign w:val="center"/>
                </w:tcPr>
                <w:p w14:paraId="5859E397">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2025.08</w:t>
                  </w:r>
                </w:p>
              </w:tc>
              <w:tc>
                <w:tcPr>
                  <w:tcW w:w="1166" w:type="pct"/>
                  <w:vAlign w:val="center"/>
                </w:tcPr>
                <w:p w14:paraId="5B7D1C68">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组成内容：</w:t>
                  </w:r>
                  <w:r>
                    <w:rPr>
                      <w:rFonts w:hint="eastAsia" w:ascii="宋体" w:hAnsi="宋体" w:eastAsia="宋体" w:cs="宋体"/>
                      <w:color w:val="auto"/>
                      <w:sz w:val="18"/>
                      <w:szCs w:val="18"/>
                      <w:highlight w:val="none"/>
                    </w:rPr>
                    <w:t>电气</w:t>
                  </w:r>
                  <w:r>
                    <w:rPr>
                      <w:rFonts w:hint="eastAsia" w:ascii="宋体" w:hAnsi="宋体" w:eastAsia="宋体" w:cs="宋体"/>
                      <w:color w:val="auto"/>
                      <w:sz w:val="18"/>
                      <w:szCs w:val="18"/>
                      <w:highlight w:val="none"/>
                      <w:lang w:val="en-US" w:eastAsia="zh-CN"/>
                    </w:rPr>
                    <w:t>工程、结构工程</w:t>
                  </w:r>
                </w:p>
              </w:tc>
            </w:tr>
            <w:tr w14:paraId="7AC5D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pct"/>
                  <w:vAlign w:val="center"/>
                </w:tcPr>
                <w:p w14:paraId="224C6748">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14</w:t>
                  </w:r>
                </w:p>
              </w:tc>
              <w:tc>
                <w:tcPr>
                  <w:tcW w:w="567" w:type="pct"/>
                  <w:vMerge w:val="continue"/>
                  <w:vAlign w:val="center"/>
                </w:tcPr>
                <w:p w14:paraId="4B0E1406">
                  <w:pPr>
                    <w:jc w:val="center"/>
                    <w:rPr>
                      <w:rFonts w:ascii="宋体" w:hAnsi="宋体" w:eastAsia="宋体" w:cs="宋体"/>
                      <w:color w:val="auto"/>
                      <w:sz w:val="18"/>
                      <w:szCs w:val="18"/>
                      <w:highlight w:val="none"/>
                    </w:rPr>
                  </w:pPr>
                </w:p>
              </w:tc>
              <w:tc>
                <w:tcPr>
                  <w:tcW w:w="1007" w:type="pct"/>
                  <w:vAlign w:val="center"/>
                </w:tcPr>
                <w:p w14:paraId="75C8F458">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樟木头勒竹排水厂</w:t>
                  </w:r>
                </w:p>
              </w:tc>
              <w:tc>
                <w:tcPr>
                  <w:tcW w:w="720" w:type="pct"/>
                  <w:vAlign w:val="center"/>
                </w:tcPr>
                <w:p w14:paraId="678057EE">
                  <w:pPr>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80</w:t>
                  </w:r>
                </w:p>
              </w:tc>
              <w:tc>
                <w:tcPr>
                  <w:tcW w:w="861" w:type="pct"/>
                  <w:vAlign w:val="center"/>
                </w:tcPr>
                <w:p w14:paraId="713DAB0C">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2025.08</w:t>
                  </w:r>
                </w:p>
              </w:tc>
              <w:tc>
                <w:tcPr>
                  <w:tcW w:w="1166" w:type="pct"/>
                  <w:vAlign w:val="center"/>
                </w:tcPr>
                <w:p w14:paraId="01825A7A">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组成内容：</w:t>
                  </w:r>
                  <w:r>
                    <w:rPr>
                      <w:rFonts w:hint="eastAsia" w:ascii="宋体" w:hAnsi="宋体" w:eastAsia="宋体" w:cs="宋体"/>
                      <w:color w:val="auto"/>
                      <w:sz w:val="18"/>
                      <w:szCs w:val="18"/>
                      <w:highlight w:val="none"/>
                    </w:rPr>
                    <w:t>电气</w:t>
                  </w:r>
                  <w:r>
                    <w:rPr>
                      <w:rFonts w:hint="eastAsia" w:ascii="宋体" w:hAnsi="宋体" w:eastAsia="宋体" w:cs="宋体"/>
                      <w:color w:val="auto"/>
                      <w:sz w:val="18"/>
                      <w:szCs w:val="18"/>
                      <w:highlight w:val="none"/>
                      <w:lang w:val="en-US" w:eastAsia="zh-CN"/>
                    </w:rPr>
                    <w:t>工程、结构工程</w:t>
                  </w:r>
                </w:p>
              </w:tc>
            </w:tr>
          </w:tbl>
          <w:p w14:paraId="76A24C8B">
            <w:pPr>
              <w:spacing w:line="360" w:lineRule="auto"/>
              <w:ind w:firstLine="361" w:firstLineChars="200"/>
              <w:rPr>
                <w:rFonts w:ascii="宋体" w:hAnsi="宋体" w:eastAsia="宋体" w:cs="宋体"/>
                <w:b/>
                <w:bCs/>
                <w:color w:val="auto"/>
                <w:sz w:val="18"/>
                <w:szCs w:val="18"/>
                <w:highlight w:val="none"/>
              </w:rPr>
            </w:pPr>
          </w:p>
        </w:tc>
        <w:tc>
          <w:tcPr>
            <w:tcW w:w="325" w:type="pct"/>
            <w:vAlign w:val="center"/>
          </w:tcPr>
          <w:p w14:paraId="10C8565B">
            <w:pPr>
              <w:keepNext/>
              <w:keepLines/>
              <w:spacing w:line="360" w:lineRule="auto"/>
              <w:jc w:val="center"/>
              <w:rPr>
                <w:rFonts w:ascii="宋体" w:hAnsi="宋体" w:eastAsia="宋体" w:cs="宋体"/>
                <w:color w:val="auto"/>
                <w:kern w:val="0"/>
                <w:sz w:val="18"/>
                <w:szCs w:val="18"/>
                <w:highlight w:val="none"/>
              </w:rPr>
            </w:pPr>
          </w:p>
        </w:tc>
        <w:tc>
          <w:tcPr>
            <w:tcW w:w="393" w:type="pct"/>
            <w:vAlign w:val="center"/>
          </w:tcPr>
          <w:p w14:paraId="19E7E680">
            <w:pPr>
              <w:keepNext/>
              <w:keepLines/>
              <w:spacing w:line="360" w:lineRule="auto"/>
              <w:jc w:val="center"/>
              <w:rPr>
                <w:rFonts w:ascii="宋体" w:hAnsi="宋体" w:eastAsia="宋体" w:cs="宋体"/>
                <w:color w:val="auto"/>
                <w:kern w:val="0"/>
                <w:sz w:val="18"/>
                <w:szCs w:val="18"/>
                <w:highlight w:val="none"/>
              </w:rPr>
            </w:pPr>
          </w:p>
        </w:tc>
        <w:tc>
          <w:tcPr>
            <w:tcW w:w="388" w:type="pct"/>
            <w:vAlign w:val="center"/>
          </w:tcPr>
          <w:p w14:paraId="6540E4C0">
            <w:pPr>
              <w:pStyle w:val="55"/>
              <w:rPr>
                <w:color w:val="auto"/>
                <w:highlight w:val="none"/>
              </w:rPr>
            </w:pPr>
          </w:p>
        </w:tc>
      </w:tr>
      <w:tr w14:paraId="0EB6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2CFD5CCC">
            <w:pPr>
              <w:keepNext/>
              <w:keepLines/>
              <w:spacing w:line="360" w:lineRule="auto"/>
              <w:jc w:val="left"/>
              <w:outlineLvl w:val="2"/>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用户需求书“★”条款汇总：</w:t>
            </w:r>
            <w:bookmarkEnd w:id="1316"/>
            <w:bookmarkEnd w:id="1317"/>
            <w:bookmarkEnd w:id="1318"/>
            <w:bookmarkEnd w:id="1319"/>
            <w:bookmarkEnd w:id="1320"/>
            <w:bookmarkEnd w:id="1321"/>
            <w:bookmarkEnd w:id="1322"/>
            <w:bookmarkEnd w:id="1323"/>
          </w:p>
        </w:tc>
      </w:tr>
      <w:tr w14:paraId="1BEF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4" w:type="pct"/>
            <w:vAlign w:val="center"/>
          </w:tcPr>
          <w:p w14:paraId="635A0289">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488" w:type="pct"/>
            <w:vAlign w:val="center"/>
          </w:tcPr>
          <w:p w14:paraId="3E8BD536">
            <w:pPr>
              <w:spacing w:line="360" w:lineRule="auto"/>
              <w:jc w:val="center"/>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zh-CN"/>
              </w:rPr>
              <w:t>三、</w:t>
            </w:r>
            <w:r>
              <w:rPr>
                <w:rFonts w:hint="eastAsia" w:ascii="宋体" w:hAnsi="宋体" w:eastAsia="宋体" w:cs="宋体"/>
                <w:bCs/>
                <w:color w:val="auto"/>
                <w:sz w:val="18"/>
                <w:szCs w:val="18"/>
                <w:highlight w:val="none"/>
              </w:rPr>
              <w:t>费用说明</w:t>
            </w:r>
          </w:p>
        </w:tc>
        <w:tc>
          <w:tcPr>
            <w:tcW w:w="3149" w:type="pct"/>
            <w:vAlign w:val="center"/>
          </w:tcPr>
          <w:p w14:paraId="0048A76F">
            <w:pPr>
              <w:spacing w:line="360" w:lineRule="auto"/>
              <w:rPr>
                <w:rFonts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★2、</w:t>
            </w:r>
            <w:r>
              <w:rPr>
                <w:rFonts w:hint="eastAsia" w:ascii="宋体" w:hAnsi="宋体" w:eastAsia="宋体" w:cs="宋体"/>
                <w:b/>
                <w:bCs/>
                <w:color w:val="auto"/>
                <w:sz w:val="18"/>
                <w:szCs w:val="18"/>
                <w:highlight w:val="none"/>
                <w:u w:val="single"/>
              </w:rPr>
              <w:t>投标人需提供</w:t>
            </w:r>
            <w:r>
              <w:rPr>
                <w:rFonts w:hint="eastAsia" w:ascii="宋体" w:hAnsi="宋体" w:eastAsia="宋体" w:cs="宋体"/>
                <w:b/>
                <w:bCs/>
                <w:color w:val="auto"/>
                <w:sz w:val="18"/>
                <w:szCs w:val="18"/>
                <w:highlight w:val="none"/>
                <w:u w:val="single"/>
                <w:lang w:val="en-US" w:eastAsia="zh-CN"/>
              </w:rPr>
              <w:t>72块预留</w:t>
            </w:r>
            <w:r>
              <w:rPr>
                <w:rFonts w:hint="eastAsia" w:ascii="宋体" w:hAnsi="宋体" w:eastAsia="宋体" w:cs="宋体"/>
                <w:b/>
                <w:bCs/>
                <w:color w:val="auto"/>
                <w:sz w:val="18"/>
                <w:szCs w:val="18"/>
                <w:highlight w:val="none"/>
                <w:u w:val="single"/>
              </w:rPr>
              <w:t>光伏组件作为招标人在项目整体质保期满后运维使用，根据招标人的要求送货到指定地点，费用包含在总承包费用</w:t>
            </w:r>
            <w:r>
              <w:rPr>
                <w:rFonts w:hint="eastAsia" w:ascii="宋体" w:hAnsi="宋体" w:eastAsia="宋体" w:cs="宋体"/>
                <w:b/>
                <w:bCs/>
                <w:color w:val="auto"/>
                <w:sz w:val="18"/>
                <w:szCs w:val="18"/>
                <w:highlight w:val="none"/>
                <w:u w:val="single"/>
                <w:lang w:val="en-US" w:eastAsia="zh-CN"/>
              </w:rPr>
              <w:t>（固定每瓦单价）</w:t>
            </w:r>
            <w:r>
              <w:rPr>
                <w:rFonts w:hint="eastAsia" w:ascii="宋体" w:hAnsi="宋体" w:eastAsia="宋体" w:cs="宋体"/>
                <w:b/>
                <w:bCs/>
                <w:color w:val="auto"/>
                <w:sz w:val="18"/>
                <w:szCs w:val="18"/>
                <w:highlight w:val="none"/>
                <w:u w:val="single"/>
              </w:rPr>
              <w:t>中</w:t>
            </w:r>
            <w:r>
              <w:rPr>
                <w:rFonts w:hint="eastAsia" w:ascii="宋体" w:hAnsi="宋体" w:eastAsia="宋体" w:cs="宋体"/>
                <w:b/>
                <w:bCs/>
                <w:color w:val="auto"/>
                <w:sz w:val="18"/>
                <w:szCs w:val="18"/>
                <w:highlight w:val="none"/>
                <w:u w:val="single"/>
                <w:lang w:val="en-US" w:eastAsia="zh-CN"/>
              </w:rPr>
              <w:t>，不另行计费</w:t>
            </w:r>
            <w:r>
              <w:rPr>
                <w:rFonts w:hint="eastAsia" w:ascii="宋体" w:hAnsi="宋体" w:eastAsia="宋体" w:cs="宋体"/>
                <w:b/>
                <w:bCs/>
                <w:color w:val="auto"/>
                <w:sz w:val="18"/>
                <w:szCs w:val="18"/>
                <w:highlight w:val="none"/>
              </w:rPr>
              <w:t>。</w:t>
            </w:r>
          </w:p>
        </w:tc>
        <w:tc>
          <w:tcPr>
            <w:tcW w:w="325" w:type="pct"/>
            <w:vAlign w:val="center"/>
          </w:tcPr>
          <w:p w14:paraId="28005B4D">
            <w:pPr>
              <w:keepNext/>
              <w:keepLines/>
              <w:spacing w:line="360" w:lineRule="auto"/>
              <w:jc w:val="center"/>
              <w:rPr>
                <w:rFonts w:ascii="宋体" w:hAnsi="宋体" w:eastAsia="宋体" w:cs="宋体"/>
                <w:color w:val="auto"/>
                <w:kern w:val="0"/>
                <w:sz w:val="18"/>
                <w:szCs w:val="18"/>
                <w:highlight w:val="none"/>
              </w:rPr>
            </w:pPr>
          </w:p>
        </w:tc>
        <w:tc>
          <w:tcPr>
            <w:tcW w:w="393" w:type="pct"/>
            <w:vAlign w:val="center"/>
          </w:tcPr>
          <w:p w14:paraId="768B4510">
            <w:pPr>
              <w:keepNext/>
              <w:keepLines/>
              <w:spacing w:line="360" w:lineRule="auto"/>
              <w:jc w:val="center"/>
              <w:rPr>
                <w:rFonts w:ascii="宋体" w:hAnsi="宋体" w:eastAsia="宋体" w:cs="宋体"/>
                <w:color w:val="auto"/>
                <w:kern w:val="0"/>
                <w:sz w:val="18"/>
                <w:szCs w:val="18"/>
                <w:highlight w:val="none"/>
              </w:rPr>
            </w:pPr>
          </w:p>
        </w:tc>
        <w:tc>
          <w:tcPr>
            <w:tcW w:w="388" w:type="pct"/>
            <w:vAlign w:val="center"/>
          </w:tcPr>
          <w:p w14:paraId="25E431B0">
            <w:pPr>
              <w:keepNext/>
              <w:keepLines/>
              <w:spacing w:line="360" w:lineRule="auto"/>
              <w:jc w:val="center"/>
              <w:rPr>
                <w:rFonts w:ascii="宋体" w:hAnsi="宋体" w:eastAsia="宋体" w:cs="宋体"/>
                <w:color w:val="auto"/>
                <w:kern w:val="0"/>
                <w:sz w:val="18"/>
                <w:szCs w:val="18"/>
                <w:highlight w:val="none"/>
              </w:rPr>
            </w:pPr>
          </w:p>
        </w:tc>
      </w:tr>
    </w:tbl>
    <w:p w14:paraId="39F10EAD">
      <w:pPr>
        <w:spacing w:line="360" w:lineRule="auto"/>
        <w:rPr>
          <w:rFonts w:ascii="宋体" w:hAnsi="宋体" w:eastAsia="宋体" w:cs="宋体"/>
          <w:color w:val="auto"/>
          <w:szCs w:val="21"/>
          <w:highlight w:val="none"/>
        </w:rPr>
      </w:pPr>
    </w:p>
    <w:p w14:paraId="5C3DA7C5">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2620C4E7">
      <w:pPr>
        <w:spacing w:line="360" w:lineRule="auto"/>
        <w:ind w:left="605" w:leftChars="18" w:hanging="567" w:hangingChars="270"/>
        <w:rPr>
          <w:rFonts w:ascii="宋体" w:hAnsi="宋体" w:eastAsia="宋体" w:cs="宋体"/>
          <w:b/>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76399736">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20413EBE">
      <w:pPr>
        <w:spacing w:line="360" w:lineRule="auto"/>
        <w:ind w:left="607" w:leftChars="18" w:hanging="569" w:hangingChars="270"/>
        <w:rPr>
          <w:rFonts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服务能力的技术支持资料作为本表的附件，并在本偏离表“对应证明材料页码”项内注明其在投标文件中的具体页码。</w:t>
      </w:r>
    </w:p>
    <w:p w14:paraId="283E2994">
      <w:pPr>
        <w:spacing w:line="360" w:lineRule="auto"/>
        <w:ind w:left="607" w:leftChars="18" w:hanging="569" w:hangingChars="270"/>
        <w:rPr>
          <w:rFonts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凡标有“★”的地方均被视为重要的商务要求或技术性能要求。投标人要特别加以注意，必须对此回答并完全满足这些要求，否则若有一项带“★”的条款未响应或不满足，将按无效投标处理</w:t>
      </w:r>
      <w:r>
        <w:rPr>
          <w:rFonts w:hint="eastAsia" w:ascii="宋体" w:hAnsi="宋体" w:eastAsia="宋体" w:cs="宋体"/>
          <w:b/>
          <w:color w:val="auto"/>
          <w:kern w:val="0"/>
          <w:sz w:val="24"/>
          <w:szCs w:val="21"/>
          <w:highlight w:val="none"/>
          <w:u w:val="single"/>
          <w:lang w:val="zh-CN"/>
        </w:rPr>
        <w:t>。</w:t>
      </w:r>
    </w:p>
    <w:p w14:paraId="7BF65AC9">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ED891C6">
      <w:pPr>
        <w:autoSpaceDE w:val="0"/>
        <w:autoSpaceDN w:val="0"/>
        <w:adjustRightInd w:val="0"/>
        <w:spacing w:line="360" w:lineRule="auto"/>
        <w:ind w:firstLine="3780" w:firstLineChars="1800"/>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35A13475">
      <w:pPr>
        <w:autoSpaceDE w:val="0"/>
        <w:autoSpaceDN w:val="0"/>
        <w:adjustRightInd w:val="0"/>
        <w:spacing w:line="360" w:lineRule="auto"/>
        <w:jc w:val="center"/>
        <w:rPr>
          <w:rFonts w:ascii="宋体" w:hAnsi="宋体" w:eastAsia="宋体" w:cs="宋体"/>
          <w:b/>
          <w:bCs/>
          <w:color w:val="auto"/>
          <w:szCs w:val="24"/>
          <w:highlight w:val="none"/>
          <w:lang w:val="zh-CN"/>
        </w:rPr>
      </w:pPr>
    </w:p>
    <w:p w14:paraId="17B64364">
      <w:pPr>
        <w:widowControl/>
        <w:autoSpaceDE w:val="0"/>
        <w:autoSpaceDN w:val="0"/>
        <w:adjustRightInd w:val="0"/>
        <w:spacing w:line="360" w:lineRule="auto"/>
        <w:jc w:val="center"/>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23AD510D">
      <w:pPr>
        <w:autoSpaceDE w:val="0"/>
        <w:autoSpaceDN w:val="0"/>
        <w:adjustRightInd w:val="0"/>
        <w:ind w:left="15" w:leftChars="-50" w:hanging="120"/>
        <w:jc w:val="left"/>
        <w:rPr>
          <w:rFonts w:ascii="宋体" w:hAnsi="宋体" w:eastAsia="宋体" w:cs="宋体"/>
          <w:color w:val="auto"/>
          <w:kern w:val="0"/>
          <w:szCs w:val="21"/>
          <w:highlight w:val="none"/>
        </w:rPr>
      </w:pPr>
    </w:p>
    <w:p w14:paraId="55BB9025">
      <w:pPr>
        <w:tabs>
          <w:tab w:val="left" w:pos="567"/>
        </w:tabs>
        <w:autoSpaceDE w:val="0"/>
        <w:autoSpaceDN w:val="0"/>
        <w:adjustRightInd w:val="0"/>
        <w:spacing w:line="360" w:lineRule="auto"/>
        <w:jc w:val="left"/>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1324" w:name="_Toc102860438"/>
      <w:bookmarkStart w:id="1325" w:name="_Toc104991896"/>
      <w:bookmarkStart w:id="1326" w:name="_Toc142508389"/>
      <w:bookmarkStart w:id="1327" w:name="_Toc102860094"/>
      <w:bookmarkStart w:id="1328" w:name="_Toc140596949"/>
      <w:bookmarkStart w:id="1329" w:name="_Toc533708139"/>
    </w:p>
    <w:p w14:paraId="2A8A1E5E">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1330" w:name="_Toc195714407"/>
      <w:bookmarkStart w:id="1331" w:name="_Toc21914"/>
      <w:bookmarkStart w:id="1332" w:name="_Toc2738"/>
      <w:bookmarkStart w:id="1333" w:name="_Toc25329"/>
      <w:bookmarkStart w:id="1334" w:name="_Toc19562"/>
      <w:bookmarkStart w:id="1335" w:name="_Toc23332"/>
      <w:bookmarkStart w:id="1336" w:name="_Toc27871"/>
      <w:bookmarkStart w:id="1337" w:name="_Toc2023"/>
      <w:r>
        <w:rPr>
          <w:rFonts w:hint="eastAsia" w:ascii="宋体" w:hAnsi="宋体" w:eastAsia="宋体" w:cs="宋体"/>
          <w:b/>
          <w:color w:val="auto"/>
          <w:kern w:val="0"/>
          <w:sz w:val="30"/>
          <w:szCs w:val="30"/>
          <w:highlight w:val="none"/>
        </w:rPr>
        <w:t>二、</w:t>
      </w:r>
      <w:bookmarkEnd w:id="1330"/>
      <w:bookmarkEnd w:id="1331"/>
      <w:bookmarkEnd w:id="1332"/>
      <w:bookmarkEnd w:id="1333"/>
      <w:bookmarkEnd w:id="1334"/>
      <w:r>
        <w:rPr>
          <w:rFonts w:hint="eastAsia" w:ascii="宋体" w:hAnsi="宋体" w:eastAsia="宋体" w:cs="宋体"/>
          <w:b/>
          <w:color w:val="auto"/>
          <w:kern w:val="0"/>
          <w:sz w:val="30"/>
          <w:szCs w:val="30"/>
          <w:highlight w:val="none"/>
        </w:rPr>
        <w:t>供货货物清单表格式</w:t>
      </w:r>
      <w:bookmarkEnd w:id="1335"/>
      <w:bookmarkEnd w:id="1336"/>
      <w:bookmarkEnd w:id="1337"/>
    </w:p>
    <w:p w14:paraId="2369D5B3">
      <w:pPr>
        <w:autoSpaceDE w:val="0"/>
        <w:autoSpaceDN w:val="0"/>
        <w:adjustRightInd w:val="0"/>
        <w:ind w:right="-23" w:rightChars="-11"/>
        <w:jc w:val="center"/>
        <w:rPr>
          <w:rFonts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p w14:paraId="34F0DCAE">
      <w:pPr>
        <w:autoSpaceDE w:val="0"/>
        <w:autoSpaceDN w:val="0"/>
        <w:adjustRightInd w:val="0"/>
        <w:snapToGrid w:val="0"/>
        <w:spacing w:line="360" w:lineRule="auto"/>
        <w:jc w:val="left"/>
        <w:rPr>
          <w:rFonts w:ascii="宋体" w:hAnsi="宋体" w:eastAsia="宋体" w:cs="宋体"/>
          <w:color w:val="auto"/>
          <w:kern w:val="0"/>
          <w:szCs w:val="21"/>
          <w:highlight w:val="none"/>
        </w:rPr>
      </w:pP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346"/>
        <w:gridCol w:w="982"/>
        <w:gridCol w:w="921"/>
        <w:gridCol w:w="1039"/>
        <w:gridCol w:w="980"/>
        <w:gridCol w:w="980"/>
        <w:gridCol w:w="980"/>
        <w:gridCol w:w="980"/>
        <w:gridCol w:w="427"/>
      </w:tblGrid>
      <w:tr w14:paraId="70408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7034EA12">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货物明细</w:t>
            </w:r>
          </w:p>
        </w:tc>
      </w:tr>
      <w:tr w14:paraId="6F6A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38" w:type="pct"/>
            <w:tcBorders>
              <w:top w:val="single" w:color="auto" w:sz="4" w:space="0"/>
              <w:left w:val="single" w:color="auto" w:sz="4" w:space="0"/>
              <w:bottom w:val="single" w:color="auto" w:sz="4" w:space="0"/>
              <w:right w:val="single" w:color="auto" w:sz="4" w:space="0"/>
            </w:tcBorders>
            <w:vAlign w:val="center"/>
          </w:tcPr>
          <w:p w14:paraId="2C86B454">
            <w:pPr>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730" w:type="pct"/>
            <w:tcBorders>
              <w:top w:val="single" w:color="auto" w:sz="4" w:space="0"/>
              <w:left w:val="single" w:color="auto" w:sz="4" w:space="0"/>
              <w:bottom w:val="single" w:color="auto" w:sz="4" w:space="0"/>
              <w:right w:val="single" w:color="auto" w:sz="4" w:space="0"/>
            </w:tcBorders>
            <w:vAlign w:val="center"/>
          </w:tcPr>
          <w:p w14:paraId="2A8D5D61">
            <w:pPr>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项目名称</w:t>
            </w:r>
          </w:p>
        </w:tc>
        <w:tc>
          <w:tcPr>
            <w:tcW w:w="533" w:type="pct"/>
            <w:tcBorders>
              <w:top w:val="single" w:color="auto" w:sz="4" w:space="0"/>
              <w:left w:val="single" w:color="auto" w:sz="4" w:space="0"/>
              <w:bottom w:val="single" w:color="auto" w:sz="4" w:space="0"/>
              <w:right w:val="single" w:color="auto" w:sz="4" w:space="0"/>
            </w:tcBorders>
            <w:vAlign w:val="center"/>
          </w:tcPr>
          <w:p w14:paraId="4AFF1CEB">
            <w:pPr>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品牌</w:t>
            </w:r>
          </w:p>
        </w:tc>
        <w:tc>
          <w:tcPr>
            <w:tcW w:w="500" w:type="pct"/>
            <w:tcBorders>
              <w:top w:val="single" w:color="auto" w:sz="4" w:space="0"/>
              <w:left w:val="single" w:color="auto" w:sz="4" w:space="0"/>
              <w:bottom w:val="single" w:color="auto" w:sz="4" w:space="0"/>
              <w:right w:val="single" w:color="auto" w:sz="4" w:space="0"/>
            </w:tcBorders>
            <w:vAlign w:val="center"/>
          </w:tcPr>
          <w:p w14:paraId="1F6B6C4A">
            <w:pPr>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产地</w:t>
            </w:r>
          </w:p>
        </w:tc>
        <w:tc>
          <w:tcPr>
            <w:tcW w:w="564" w:type="pct"/>
            <w:tcBorders>
              <w:top w:val="single" w:color="auto" w:sz="4" w:space="0"/>
              <w:left w:val="single" w:color="auto" w:sz="4" w:space="0"/>
              <w:bottom w:val="single" w:color="auto" w:sz="4" w:space="0"/>
              <w:right w:val="single" w:color="auto" w:sz="4" w:space="0"/>
            </w:tcBorders>
            <w:vAlign w:val="center"/>
          </w:tcPr>
          <w:p w14:paraId="6E879847">
            <w:pPr>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规格、型号</w:t>
            </w:r>
          </w:p>
        </w:tc>
        <w:tc>
          <w:tcPr>
            <w:tcW w:w="532" w:type="pct"/>
            <w:tcBorders>
              <w:top w:val="single" w:color="auto" w:sz="4" w:space="0"/>
              <w:left w:val="single" w:color="auto" w:sz="4" w:space="0"/>
              <w:bottom w:val="single" w:color="auto" w:sz="4" w:space="0"/>
              <w:right w:val="single" w:color="auto" w:sz="4" w:space="0"/>
            </w:tcBorders>
            <w:vAlign w:val="center"/>
          </w:tcPr>
          <w:p w14:paraId="4D66F368">
            <w:pPr>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单位</w:t>
            </w:r>
          </w:p>
        </w:tc>
        <w:tc>
          <w:tcPr>
            <w:tcW w:w="532" w:type="pct"/>
            <w:tcBorders>
              <w:top w:val="single" w:color="auto" w:sz="4" w:space="0"/>
              <w:left w:val="single" w:color="auto" w:sz="4" w:space="0"/>
              <w:bottom w:val="single" w:color="auto" w:sz="4" w:space="0"/>
              <w:right w:val="single" w:color="auto" w:sz="4" w:space="0"/>
            </w:tcBorders>
            <w:vAlign w:val="center"/>
          </w:tcPr>
          <w:p w14:paraId="2739AB3E">
            <w:pPr>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数量</w:t>
            </w:r>
          </w:p>
        </w:tc>
        <w:tc>
          <w:tcPr>
            <w:tcW w:w="532" w:type="pct"/>
            <w:tcBorders>
              <w:top w:val="single" w:color="auto" w:sz="4" w:space="0"/>
              <w:left w:val="single" w:color="auto" w:sz="4" w:space="0"/>
              <w:bottom w:val="single" w:color="auto" w:sz="4" w:space="0"/>
              <w:right w:val="single" w:color="auto" w:sz="4" w:space="0"/>
            </w:tcBorders>
            <w:vAlign w:val="center"/>
          </w:tcPr>
          <w:p w14:paraId="017D84D3">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生产厂家</w:t>
            </w:r>
          </w:p>
        </w:tc>
        <w:tc>
          <w:tcPr>
            <w:tcW w:w="532" w:type="pct"/>
            <w:tcBorders>
              <w:top w:val="single" w:color="auto" w:sz="4" w:space="0"/>
              <w:left w:val="single" w:color="auto" w:sz="4" w:space="0"/>
              <w:bottom w:val="single" w:color="auto" w:sz="4" w:space="0"/>
              <w:right w:val="single" w:color="auto" w:sz="4" w:space="0"/>
            </w:tcBorders>
            <w:vAlign w:val="center"/>
          </w:tcPr>
          <w:p w14:paraId="3720C4C9">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主要技术参数</w:t>
            </w:r>
          </w:p>
        </w:tc>
        <w:tc>
          <w:tcPr>
            <w:tcW w:w="206" w:type="pct"/>
            <w:tcBorders>
              <w:top w:val="single" w:color="auto" w:sz="4" w:space="0"/>
              <w:left w:val="single" w:color="auto" w:sz="4" w:space="0"/>
              <w:bottom w:val="single" w:color="auto" w:sz="4" w:space="0"/>
              <w:right w:val="single" w:color="auto" w:sz="4" w:space="0"/>
            </w:tcBorders>
            <w:vAlign w:val="center"/>
          </w:tcPr>
          <w:p w14:paraId="787CDEA5">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315F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38" w:type="pct"/>
            <w:tcBorders>
              <w:top w:val="single" w:color="auto" w:sz="4" w:space="0"/>
              <w:left w:val="single" w:color="auto" w:sz="4" w:space="0"/>
              <w:bottom w:val="single" w:color="auto" w:sz="4" w:space="0"/>
              <w:right w:val="single" w:color="auto" w:sz="4" w:space="0"/>
            </w:tcBorders>
            <w:vAlign w:val="center"/>
          </w:tcPr>
          <w:p w14:paraId="67662FB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730" w:type="pct"/>
            <w:tcBorders>
              <w:top w:val="single" w:color="auto" w:sz="4" w:space="0"/>
              <w:left w:val="single" w:color="auto" w:sz="4" w:space="0"/>
              <w:bottom w:val="single" w:color="auto" w:sz="4" w:space="0"/>
              <w:right w:val="single" w:color="auto" w:sz="4" w:space="0"/>
            </w:tcBorders>
          </w:tcPr>
          <w:p w14:paraId="55EDB300">
            <w:pPr>
              <w:autoSpaceDE w:val="0"/>
              <w:autoSpaceDN w:val="0"/>
              <w:adjustRightInd w:val="0"/>
              <w:spacing w:line="400" w:lineRule="exact"/>
              <w:jc w:val="center"/>
              <w:rPr>
                <w:rFonts w:ascii="宋体" w:hAnsi="宋体" w:eastAsia="宋体" w:cs="宋体"/>
                <w:color w:val="auto"/>
                <w:kern w:val="0"/>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4BA3D40C">
            <w:pPr>
              <w:spacing w:line="400" w:lineRule="exact"/>
              <w:jc w:val="center"/>
              <w:rPr>
                <w:rFonts w:ascii="宋体" w:hAnsi="宋体" w:eastAsia="宋体" w:cs="宋体"/>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554A22C5">
            <w:pPr>
              <w:spacing w:line="400" w:lineRule="exact"/>
              <w:jc w:val="center"/>
              <w:rPr>
                <w:rFonts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354E0E18">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3F28A4E7">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76ECB958">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6BEBDBF8">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20D65FF7">
            <w:pPr>
              <w:spacing w:line="400" w:lineRule="exact"/>
              <w:jc w:val="center"/>
              <w:rPr>
                <w:rFonts w:ascii="宋体" w:hAnsi="宋体" w:eastAsia="宋体" w:cs="宋体"/>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253CE797">
            <w:pPr>
              <w:spacing w:line="400" w:lineRule="exact"/>
              <w:jc w:val="center"/>
              <w:rPr>
                <w:rFonts w:ascii="宋体" w:hAnsi="宋体" w:eastAsia="宋体" w:cs="宋体"/>
                <w:color w:val="auto"/>
                <w:kern w:val="0"/>
                <w:szCs w:val="21"/>
                <w:highlight w:val="none"/>
              </w:rPr>
            </w:pPr>
          </w:p>
        </w:tc>
      </w:tr>
      <w:tr w14:paraId="0EF4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8" w:type="pct"/>
            <w:tcBorders>
              <w:top w:val="single" w:color="auto" w:sz="4" w:space="0"/>
              <w:left w:val="single" w:color="auto" w:sz="4" w:space="0"/>
              <w:bottom w:val="single" w:color="auto" w:sz="4" w:space="0"/>
              <w:right w:val="single" w:color="auto" w:sz="4" w:space="0"/>
            </w:tcBorders>
            <w:vAlign w:val="center"/>
          </w:tcPr>
          <w:p w14:paraId="563A917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730" w:type="pct"/>
            <w:tcBorders>
              <w:top w:val="single" w:color="auto" w:sz="4" w:space="0"/>
              <w:left w:val="single" w:color="auto" w:sz="4" w:space="0"/>
              <w:bottom w:val="single" w:color="auto" w:sz="4" w:space="0"/>
              <w:right w:val="single" w:color="auto" w:sz="4" w:space="0"/>
            </w:tcBorders>
          </w:tcPr>
          <w:p w14:paraId="0555894D">
            <w:pPr>
              <w:autoSpaceDE w:val="0"/>
              <w:autoSpaceDN w:val="0"/>
              <w:adjustRightInd w:val="0"/>
              <w:spacing w:line="400" w:lineRule="exact"/>
              <w:jc w:val="center"/>
              <w:rPr>
                <w:rFonts w:ascii="宋体" w:hAnsi="宋体" w:eastAsia="宋体" w:cs="宋体"/>
                <w:color w:val="auto"/>
                <w:kern w:val="0"/>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261F7A1F">
            <w:pPr>
              <w:spacing w:line="400" w:lineRule="exact"/>
              <w:jc w:val="center"/>
              <w:rPr>
                <w:rFonts w:ascii="宋体" w:hAnsi="宋体" w:eastAsia="宋体" w:cs="宋体"/>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3FBD548B">
            <w:pPr>
              <w:spacing w:line="400" w:lineRule="exact"/>
              <w:jc w:val="center"/>
              <w:rPr>
                <w:rFonts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1646B9D8">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0714E755">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4A40890A">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01DB1F55">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6341E69D">
            <w:pPr>
              <w:spacing w:line="400" w:lineRule="exact"/>
              <w:jc w:val="center"/>
              <w:rPr>
                <w:rFonts w:ascii="宋体" w:hAnsi="宋体" w:eastAsia="宋体" w:cs="宋体"/>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42276E43">
            <w:pPr>
              <w:spacing w:line="400" w:lineRule="exact"/>
              <w:jc w:val="center"/>
              <w:rPr>
                <w:rFonts w:ascii="宋体" w:hAnsi="宋体" w:eastAsia="宋体" w:cs="宋体"/>
                <w:color w:val="auto"/>
                <w:kern w:val="0"/>
                <w:szCs w:val="21"/>
                <w:highlight w:val="none"/>
              </w:rPr>
            </w:pPr>
          </w:p>
        </w:tc>
      </w:tr>
      <w:tr w14:paraId="70FA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8" w:type="pct"/>
            <w:tcBorders>
              <w:top w:val="single" w:color="auto" w:sz="4" w:space="0"/>
              <w:left w:val="single" w:color="auto" w:sz="4" w:space="0"/>
              <w:bottom w:val="single" w:color="auto" w:sz="4" w:space="0"/>
              <w:right w:val="single" w:color="auto" w:sz="4" w:space="0"/>
            </w:tcBorders>
            <w:vAlign w:val="center"/>
          </w:tcPr>
          <w:p w14:paraId="7DCB35F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730" w:type="pct"/>
            <w:tcBorders>
              <w:top w:val="single" w:color="auto" w:sz="4" w:space="0"/>
              <w:left w:val="single" w:color="auto" w:sz="4" w:space="0"/>
              <w:bottom w:val="single" w:color="auto" w:sz="4" w:space="0"/>
              <w:right w:val="single" w:color="auto" w:sz="4" w:space="0"/>
            </w:tcBorders>
          </w:tcPr>
          <w:p w14:paraId="7B8B9155">
            <w:pPr>
              <w:autoSpaceDE w:val="0"/>
              <w:autoSpaceDN w:val="0"/>
              <w:adjustRightInd w:val="0"/>
              <w:spacing w:line="400" w:lineRule="exact"/>
              <w:jc w:val="center"/>
              <w:rPr>
                <w:rFonts w:ascii="宋体" w:hAnsi="宋体" w:eastAsia="宋体" w:cs="宋体"/>
                <w:color w:val="auto"/>
                <w:kern w:val="0"/>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563CBF00">
            <w:pPr>
              <w:spacing w:line="400" w:lineRule="exact"/>
              <w:jc w:val="center"/>
              <w:rPr>
                <w:rFonts w:ascii="宋体" w:hAnsi="宋体" w:eastAsia="宋体" w:cs="宋体"/>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3B3D36EC">
            <w:pPr>
              <w:spacing w:line="400" w:lineRule="exact"/>
              <w:jc w:val="center"/>
              <w:rPr>
                <w:rFonts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3201BD0A">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22B63288">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64C321D3">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0B7312D4">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48D9B15B">
            <w:pPr>
              <w:spacing w:line="400" w:lineRule="exact"/>
              <w:jc w:val="center"/>
              <w:rPr>
                <w:rFonts w:ascii="宋体" w:hAnsi="宋体" w:eastAsia="宋体" w:cs="宋体"/>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1D4C3C45">
            <w:pPr>
              <w:spacing w:line="400" w:lineRule="exact"/>
              <w:jc w:val="center"/>
              <w:rPr>
                <w:rFonts w:ascii="宋体" w:hAnsi="宋体" w:eastAsia="宋体" w:cs="宋体"/>
                <w:color w:val="auto"/>
                <w:kern w:val="0"/>
                <w:szCs w:val="21"/>
                <w:highlight w:val="none"/>
              </w:rPr>
            </w:pPr>
          </w:p>
        </w:tc>
      </w:tr>
      <w:tr w14:paraId="1EE9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8" w:type="pct"/>
            <w:tcBorders>
              <w:top w:val="single" w:color="auto" w:sz="4" w:space="0"/>
              <w:left w:val="single" w:color="auto" w:sz="4" w:space="0"/>
              <w:bottom w:val="single" w:color="auto" w:sz="4" w:space="0"/>
              <w:right w:val="single" w:color="auto" w:sz="4" w:space="0"/>
            </w:tcBorders>
            <w:vAlign w:val="center"/>
          </w:tcPr>
          <w:p w14:paraId="1224A7C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730" w:type="pct"/>
            <w:tcBorders>
              <w:top w:val="single" w:color="auto" w:sz="4" w:space="0"/>
              <w:left w:val="single" w:color="auto" w:sz="4" w:space="0"/>
              <w:bottom w:val="single" w:color="auto" w:sz="4" w:space="0"/>
              <w:right w:val="single" w:color="auto" w:sz="4" w:space="0"/>
            </w:tcBorders>
          </w:tcPr>
          <w:p w14:paraId="272BBA6A">
            <w:pPr>
              <w:autoSpaceDE w:val="0"/>
              <w:autoSpaceDN w:val="0"/>
              <w:adjustRightInd w:val="0"/>
              <w:spacing w:line="400" w:lineRule="exact"/>
              <w:jc w:val="center"/>
              <w:rPr>
                <w:rFonts w:ascii="宋体" w:hAnsi="宋体" w:eastAsia="宋体" w:cs="宋体"/>
                <w:color w:val="auto"/>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15979A64">
            <w:pPr>
              <w:spacing w:line="400" w:lineRule="exact"/>
              <w:jc w:val="center"/>
              <w:rPr>
                <w:rFonts w:ascii="宋体" w:hAnsi="宋体" w:eastAsia="宋体" w:cs="宋体"/>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16FCD718">
            <w:pPr>
              <w:spacing w:line="400" w:lineRule="exact"/>
              <w:jc w:val="center"/>
              <w:rPr>
                <w:rFonts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16770A68">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0DFD148A">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563C60B1">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4F95B5BB">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12723E82">
            <w:pPr>
              <w:spacing w:line="400" w:lineRule="exact"/>
              <w:jc w:val="center"/>
              <w:rPr>
                <w:rFonts w:ascii="宋体" w:hAnsi="宋体" w:eastAsia="宋体" w:cs="宋体"/>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7DCC9CAD">
            <w:pPr>
              <w:spacing w:line="400" w:lineRule="exact"/>
              <w:jc w:val="center"/>
              <w:rPr>
                <w:rFonts w:ascii="宋体" w:hAnsi="宋体" w:eastAsia="宋体" w:cs="宋体"/>
                <w:color w:val="auto"/>
                <w:kern w:val="0"/>
                <w:szCs w:val="21"/>
                <w:highlight w:val="none"/>
              </w:rPr>
            </w:pPr>
          </w:p>
        </w:tc>
      </w:tr>
      <w:tr w14:paraId="56F00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8" w:type="pct"/>
            <w:tcBorders>
              <w:top w:val="single" w:color="auto" w:sz="4" w:space="0"/>
              <w:left w:val="single" w:color="auto" w:sz="4" w:space="0"/>
              <w:bottom w:val="single" w:color="auto" w:sz="4" w:space="0"/>
              <w:right w:val="single" w:color="auto" w:sz="4" w:space="0"/>
            </w:tcBorders>
            <w:vAlign w:val="center"/>
          </w:tcPr>
          <w:p w14:paraId="1802B21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730" w:type="pct"/>
            <w:tcBorders>
              <w:top w:val="single" w:color="auto" w:sz="4" w:space="0"/>
              <w:left w:val="single" w:color="auto" w:sz="4" w:space="0"/>
              <w:bottom w:val="single" w:color="auto" w:sz="4" w:space="0"/>
              <w:right w:val="single" w:color="auto" w:sz="4" w:space="0"/>
            </w:tcBorders>
          </w:tcPr>
          <w:p w14:paraId="149370CA">
            <w:pPr>
              <w:autoSpaceDE w:val="0"/>
              <w:autoSpaceDN w:val="0"/>
              <w:adjustRightInd w:val="0"/>
              <w:spacing w:line="400" w:lineRule="exact"/>
              <w:jc w:val="center"/>
              <w:rPr>
                <w:rFonts w:ascii="宋体" w:hAnsi="宋体" w:eastAsia="宋体" w:cs="宋体"/>
                <w:color w:val="auto"/>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2611B280">
            <w:pPr>
              <w:spacing w:line="400" w:lineRule="exact"/>
              <w:jc w:val="center"/>
              <w:rPr>
                <w:rFonts w:ascii="宋体" w:hAnsi="宋体" w:eastAsia="宋体" w:cs="宋体"/>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63E546E9">
            <w:pPr>
              <w:spacing w:line="400" w:lineRule="exact"/>
              <w:jc w:val="center"/>
              <w:rPr>
                <w:rFonts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1449A7F3">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4926C570">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3EF2D4A6">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3D91E9BF">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44600230">
            <w:pPr>
              <w:spacing w:line="400" w:lineRule="exact"/>
              <w:jc w:val="center"/>
              <w:rPr>
                <w:rFonts w:ascii="宋体" w:hAnsi="宋体" w:eastAsia="宋体" w:cs="宋体"/>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3EAE48D4">
            <w:pPr>
              <w:spacing w:line="400" w:lineRule="exact"/>
              <w:jc w:val="center"/>
              <w:rPr>
                <w:rFonts w:ascii="宋体" w:hAnsi="宋体" w:eastAsia="宋体" w:cs="宋体"/>
                <w:color w:val="auto"/>
                <w:kern w:val="0"/>
                <w:szCs w:val="21"/>
                <w:highlight w:val="none"/>
              </w:rPr>
            </w:pPr>
          </w:p>
        </w:tc>
      </w:tr>
      <w:tr w14:paraId="7EC6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8" w:type="pct"/>
            <w:tcBorders>
              <w:top w:val="single" w:color="auto" w:sz="4" w:space="0"/>
              <w:left w:val="single" w:color="auto" w:sz="4" w:space="0"/>
              <w:bottom w:val="single" w:color="auto" w:sz="4" w:space="0"/>
              <w:right w:val="single" w:color="auto" w:sz="4" w:space="0"/>
            </w:tcBorders>
            <w:vAlign w:val="center"/>
          </w:tcPr>
          <w:p w14:paraId="1F071D0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730" w:type="pct"/>
            <w:tcBorders>
              <w:top w:val="single" w:color="auto" w:sz="4" w:space="0"/>
              <w:left w:val="single" w:color="auto" w:sz="4" w:space="0"/>
              <w:bottom w:val="single" w:color="auto" w:sz="4" w:space="0"/>
              <w:right w:val="single" w:color="auto" w:sz="4" w:space="0"/>
            </w:tcBorders>
            <w:vAlign w:val="center"/>
          </w:tcPr>
          <w:p w14:paraId="0802A981">
            <w:pPr>
              <w:autoSpaceDE w:val="0"/>
              <w:autoSpaceDN w:val="0"/>
              <w:adjustRightInd w:val="0"/>
              <w:spacing w:line="400" w:lineRule="exact"/>
              <w:jc w:val="center"/>
              <w:rPr>
                <w:rFonts w:ascii="宋体" w:hAnsi="宋体" w:eastAsia="宋体" w:cs="宋体"/>
                <w:color w:val="auto"/>
                <w:kern w:val="0"/>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47104E5A">
            <w:pPr>
              <w:spacing w:line="400" w:lineRule="exact"/>
              <w:jc w:val="center"/>
              <w:rPr>
                <w:rFonts w:ascii="宋体" w:hAnsi="宋体" w:eastAsia="宋体" w:cs="宋体"/>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5FC3AEEA">
            <w:pPr>
              <w:spacing w:line="400" w:lineRule="exact"/>
              <w:jc w:val="center"/>
              <w:rPr>
                <w:rFonts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163FFAD6">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4F049A59">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7F104819">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190497DA">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2C06D92B">
            <w:pPr>
              <w:spacing w:line="400" w:lineRule="exact"/>
              <w:jc w:val="center"/>
              <w:rPr>
                <w:rFonts w:ascii="宋体" w:hAnsi="宋体" w:eastAsia="宋体" w:cs="宋体"/>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2A8F8AA9">
            <w:pPr>
              <w:spacing w:line="400" w:lineRule="exact"/>
              <w:jc w:val="center"/>
              <w:rPr>
                <w:rFonts w:ascii="宋体" w:hAnsi="宋体" w:eastAsia="宋体" w:cs="宋体"/>
                <w:color w:val="auto"/>
                <w:kern w:val="0"/>
                <w:szCs w:val="21"/>
                <w:highlight w:val="none"/>
              </w:rPr>
            </w:pPr>
          </w:p>
        </w:tc>
      </w:tr>
    </w:tbl>
    <w:p w14:paraId="7676E8A1">
      <w:pPr>
        <w:autoSpaceDE w:val="0"/>
        <w:autoSpaceDN w:val="0"/>
        <w:adjustRightInd w:val="0"/>
        <w:snapToGrid w:val="0"/>
        <w:spacing w:line="360" w:lineRule="auto"/>
        <w:ind w:firstLine="210" w:firstLineChars="100"/>
        <w:jc w:val="left"/>
        <w:rPr>
          <w:rFonts w:ascii="宋体" w:hAnsi="宋体" w:eastAsia="宋体" w:cs="宋体"/>
          <w:color w:val="auto"/>
          <w:kern w:val="0"/>
          <w:szCs w:val="21"/>
          <w:highlight w:val="none"/>
        </w:rPr>
      </w:pPr>
    </w:p>
    <w:p w14:paraId="1F0A15C6">
      <w:pPr>
        <w:autoSpaceDE w:val="0"/>
        <w:autoSpaceDN w:val="0"/>
        <w:adjustRightInd w:val="0"/>
        <w:snapToGrid w:val="0"/>
        <w:spacing w:line="360" w:lineRule="auto"/>
        <w:ind w:firstLine="210" w:firstLineChars="1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1B85DF5C">
      <w:pPr>
        <w:autoSpaceDE w:val="0"/>
        <w:autoSpaceDN w:val="0"/>
        <w:adjustRightInd w:val="0"/>
        <w:snapToGrid w:val="0"/>
        <w:spacing w:line="360" w:lineRule="auto"/>
        <w:ind w:left="976" w:leftChars="195"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（1）投标人应按用户需求书 附件1项目清单列明所要求的全部货物及其服务的明细清单；</w:t>
      </w:r>
    </w:p>
    <w:p w14:paraId="0DE8F856">
      <w:pPr>
        <w:autoSpaceDE w:val="0"/>
        <w:autoSpaceDN w:val="0"/>
        <w:adjustRightInd w:val="0"/>
        <w:snapToGrid w:val="0"/>
        <w:spacing w:line="360" w:lineRule="auto"/>
        <w:ind w:left="976" w:leftChars="195" w:hanging="567" w:hangingChars="270"/>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货物明细中的</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zh-CN"/>
        </w:rPr>
        <w:t>名称、</w:t>
      </w:r>
      <w:r>
        <w:rPr>
          <w:rFonts w:hint="eastAsia" w:ascii="宋体" w:hAnsi="宋体" w:eastAsia="宋体" w:cs="宋体"/>
          <w:color w:val="auto"/>
          <w:kern w:val="0"/>
          <w:szCs w:val="21"/>
          <w:highlight w:val="none"/>
        </w:rPr>
        <w:t>单位</w:t>
      </w:r>
      <w:r>
        <w:rPr>
          <w:rFonts w:hint="eastAsia" w:ascii="宋体" w:hAnsi="宋体" w:eastAsia="宋体" w:cs="宋体"/>
          <w:color w:val="auto"/>
          <w:kern w:val="0"/>
          <w:szCs w:val="21"/>
          <w:highlight w:val="none"/>
          <w:lang w:val="zh-CN"/>
        </w:rPr>
        <w:t>、数量等，应与用户需求书</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zh-CN"/>
        </w:rPr>
        <w:t>附件1项目清单一致，需包含光伏组件、逆变器、电缆、汇流箱、并网柜、计量设备、支架材料、监控设备等主材；</w:t>
      </w:r>
    </w:p>
    <w:p w14:paraId="69050450">
      <w:pPr>
        <w:autoSpaceDE w:val="0"/>
        <w:autoSpaceDN w:val="0"/>
        <w:adjustRightInd w:val="0"/>
        <w:snapToGrid w:val="0"/>
        <w:spacing w:line="360" w:lineRule="auto"/>
        <w:ind w:left="976" w:leftChars="195" w:hanging="567" w:hangingChars="270"/>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（3）表格可根据实际货物种类自行扩展。</w:t>
      </w:r>
    </w:p>
    <w:p w14:paraId="0E87FEA8">
      <w:pPr>
        <w:autoSpaceDE w:val="0"/>
        <w:autoSpaceDN w:val="0"/>
        <w:adjustRightInd w:val="0"/>
        <w:spacing w:line="360" w:lineRule="auto"/>
        <w:ind w:firstLine="4200" w:firstLineChars="2000"/>
        <w:jc w:val="left"/>
        <w:rPr>
          <w:rFonts w:ascii="宋体" w:hAnsi="宋体" w:eastAsia="宋体" w:cs="宋体"/>
          <w:color w:val="auto"/>
          <w:kern w:val="3"/>
          <w:szCs w:val="21"/>
          <w:highlight w:val="none"/>
        </w:rPr>
      </w:pPr>
    </w:p>
    <w:p w14:paraId="424AED32">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54B90B7">
      <w:pPr>
        <w:autoSpaceDE w:val="0"/>
        <w:autoSpaceDN w:val="0"/>
        <w:adjustRightInd w:val="0"/>
        <w:spacing w:line="360" w:lineRule="auto"/>
        <w:ind w:firstLine="3780" w:firstLineChars="1800"/>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6B607237">
      <w:pPr>
        <w:autoSpaceDE w:val="0"/>
        <w:autoSpaceDN w:val="0"/>
        <w:adjustRightInd w:val="0"/>
        <w:spacing w:line="360" w:lineRule="auto"/>
        <w:jc w:val="center"/>
        <w:rPr>
          <w:rFonts w:ascii="宋体" w:hAnsi="宋体" w:eastAsia="宋体" w:cs="宋体"/>
          <w:b/>
          <w:bCs/>
          <w:color w:val="auto"/>
          <w:szCs w:val="24"/>
          <w:highlight w:val="none"/>
          <w:lang w:val="zh-CN"/>
        </w:rPr>
      </w:pPr>
    </w:p>
    <w:p w14:paraId="4ABA7180">
      <w:pPr>
        <w:widowControl/>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b/>
          <w:bCs/>
          <w:color w:val="auto"/>
          <w:szCs w:val="24"/>
          <w:highlight w:val="none"/>
          <w:lang w:val="zh-CN"/>
        </w:rPr>
        <w:t>说明：由投标人使用投标人的企业数字证书电子签名。</w:t>
      </w:r>
    </w:p>
    <w:p w14:paraId="1D0B9A4E">
      <w:pPr>
        <w:jc w:val="left"/>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663D2E4C">
      <w:pPr>
        <w:tabs>
          <w:tab w:val="left" w:pos="567"/>
        </w:tabs>
        <w:autoSpaceDE w:val="0"/>
        <w:autoSpaceDN w:val="0"/>
        <w:adjustRightInd w:val="0"/>
        <w:spacing w:line="360" w:lineRule="auto"/>
        <w:jc w:val="left"/>
        <w:outlineLvl w:val="2"/>
        <w:rPr>
          <w:rFonts w:ascii="宋体" w:hAnsi="宋体" w:eastAsia="宋体" w:cs="宋体"/>
          <w:b/>
          <w:color w:val="auto"/>
          <w:szCs w:val="21"/>
          <w:highlight w:val="none"/>
        </w:rPr>
      </w:pPr>
      <w:bookmarkStart w:id="1338" w:name="_Toc6458"/>
      <w:bookmarkStart w:id="1339" w:name="_Toc21821"/>
      <w:bookmarkStart w:id="1340" w:name="_Toc18839"/>
      <w:bookmarkStart w:id="1341" w:name="_Toc195714408"/>
      <w:bookmarkStart w:id="1342" w:name="_Toc29450"/>
      <w:bookmarkStart w:id="1343" w:name="_Toc24563"/>
      <w:bookmarkStart w:id="1344" w:name="_Toc6066"/>
      <w:r>
        <w:rPr>
          <w:rFonts w:hint="eastAsia" w:ascii="宋体" w:hAnsi="宋体" w:eastAsia="宋体" w:cs="宋体"/>
          <w:b/>
          <w:color w:val="auto"/>
          <w:kern w:val="0"/>
          <w:sz w:val="30"/>
          <w:szCs w:val="30"/>
          <w:highlight w:val="none"/>
        </w:rPr>
        <w:t>三、光伏发电设施技术证明材料</w:t>
      </w:r>
    </w:p>
    <w:p w14:paraId="7FBEC9D1">
      <w:pPr>
        <w:tabs>
          <w:tab w:val="left" w:pos="567"/>
        </w:tabs>
        <w:autoSpaceDE w:val="0"/>
        <w:autoSpaceDN w:val="0"/>
        <w:adjustRightInd w:val="0"/>
        <w:spacing w:line="360" w:lineRule="auto"/>
        <w:jc w:val="left"/>
        <w:outlineLvl w:val="2"/>
        <w:rPr>
          <w:rFonts w:ascii="宋体" w:hAnsi="宋体" w:eastAsia="宋体" w:cs="宋体"/>
          <w:b/>
          <w:color w:val="auto"/>
          <w:szCs w:val="21"/>
          <w:highlight w:val="none"/>
        </w:rPr>
      </w:pPr>
      <w:r>
        <w:rPr>
          <w:rFonts w:hint="eastAsia" w:ascii="宋体" w:hAnsi="宋体" w:eastAsia="宋体" w:cs="宋体"/>
          <w:b/>
          <w:color w:val="auto"/>
          <w:szCs w:val="21"/>
          <w:highlight w:val="none"/>
        </w:rPr>
        <w:t>3.1 光伏项目建设使用的太阳能组件须为A级品质，提供其生产企业纳入国家工信部名录证明材料或产品通过TUV国际产品质量认证证书或CQC认证证书；</w:t>
      </w:r>
    </w:p>
    <w:p w14:paraId="0AE15A0D">
      <w:pPr>
        <w:tabs>
          <w:tab w:val="left" w:pos="567"/>
        </w:tabs>
        <w:autoSpaceDE w:val="0"/>
        <w:autoSpaceDN w:val="0"/>
        <w:adjustRightInd w:val="0"/>
        <w:spacing w:line="360" w:lineRule="auto"/>
        <w:jc w:val="left"/>
        <w:outlineLvl w:val="2"/>
        <w:rPr>
          <w:rFonts w:ascii="宋体" w:hAnsi="宋体" w:eastAsia="宋体" w:cs="宋体"/>
          <w:b/>
          <w:color w:val="auto"/>
          <w:szCs w:val="21"/>
          <w:highlight w:val="none"/>
        </w:rPr>
      </w:pPr>
    </w:p>
    <w:p w14:paraId="32DA88D1">
      <w:pPr>
        <w:tabs>
          <w:tab w:val="left" w:pos="567"/>
        </w:tabs>
        <w:autoSpaceDE w:val="0"/>
        <w:autoSpaceDN w:val="0"/>
        <w:adjustRightInd w:val="0"/>
        <w:spacing w:line="360" w:lineRule="auto"/>
        <w:jc w:val="left"/>
        <w:outlineLvl w:val="2"/>
        <w:rPr>
          <w:rFonts w:ascii="宋体" w:hAnsi="宋体" w:eastAsia="宋体" w:cs="宋体"/>
          <w:b/>
          <w:color w:val="auto"/>
          <w:szCs w:val="21"/>
          <w:highlight w:val="none"/>
          <w:u w:val="single"/>
        </w:rPr>
      </w:pPr>
      <w:r>
        <w:rPr>
          <w:rFonts w:hint="eastAsia" w:ascii="宋体" w:hAnsi="宋体" w:eastAsia="宋体" w:cs="宋体"/>
          <w:b/>
          <w:color w:val="auto"/>
          <w:szCs w:val="21"/>
          <w:highlight w:val="none"/>
        </w:rPr>
        <w:t>3.2 光伏组件防护等级不低于IP66，在雨、雾、露水的湿气的环境下能正常工作，耐火等级达到A级不燃。</w:t>
      </w:r>
      <w:r>
        <w:rPr>
          <w:rFonts w:hint="eastAsia" w:ascii="宋体" w:hAnsi="宋体" w:eastAsia="宋体" w:cs="宋体"/>
          <w:b/>
          <w:color w:val="auto"/>
          <w:highlight w:val="none"/>
        </w:rPr>
        <w:t>需</w:t>
      </w:r>
      <w:r>
        <w:rPr>
          <w:rFonts w:hint="eastAsia" w:ascii="宋体" w:hAnsi="宋体" w:eastAsia="宋体" w:cs="宋体"/>
          <w:b/>
          <w:color w:val="auto"/>
          <w:szCs w:val="21"/>
          <w:highlight w:val="none"/>
        </w:rPr>
        <w:t>提供具有相应资质机构出具的检测报告，若检测机构为英文版则需提供中文版检测报告</w:t>
      </w:r>
      <w:r>
        <w:rPr>
          <w:rFonts w:hint="eastAsia" w:ascii="宋体" w:hAnsi="宋体" w:eastAsia="宋体" w:cs="宋体"/>
          <w:b/>
          <w:color w:val="auto"/>
          <w:szCs w:val="21"/>
          <w:highlight w:val="none"/>
          <w:u w:val="single"/>
        </w:rPr>
        <w:t>；</w:t>
      </w:r>
    </w:p>
    <w:p w14:paraId="4E4A0CB4">
      <w:pPr>
        <w:numPr>
          <w:ilvl w:val="255"/>
          <w:numId w:val="0"/>
        </w:numPr>
        <w:spacing w:line="360" w:lineRule="auto"/>
        <w:rPr>
          <w:rFonts w:ascii="宋体" w:hAnsi="宋体" w:eastAsia="宋体" w:cs="宋体"/>
          <w:b/>
          <w:color w:val="auto"/>
          <w:szCs w:val="21"/>
          <w:highlight w:val="none"/>
          <w:u w:val="single"/>
        </w:rPr>
      </w:pPr>
    </w:p>
    <w:p w14:paraId="56DD29EF">
      <w:pPr>
        <w:numPr>
          <w:ilvl w:val="255"/>
          <w:numId w:val="0"/>
        </w:num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3.3所供电池组件需满足抗25mm冰雹的撞击要求，冰雹实验需满足IEC61215相关规定，并提供实验冰球质量、尺寸及试验速度，同时提供组件适应安装的气候条件，需对所供组件的抗冰雹能力加以说明并提供证明文件；</w:t>
      </w:r>
    </w:p>
    <w:p w14:paraId="38DAA37E">
      <w:pPr>
        <w:numPr>
          <w:ilvl w:val="255"/>
          <w:numId w:val="0"/>
        </w:numPr>
        <w:spacing w:line="360" w:lineRule="auto"/>
        <w:rPr>
          <w:rFonts w:ascii="宋体" w:hAnsi="宋体" w:eastAsia="宋体" w:cs="宋体"/>
          <w:b/>
          <w:color w:val="auto"/>
          <w:szCs w:val="21"/>
          <w:highlight w:val="none"/>
        </w:rPr>
      </w:pPr>
    </w:p>
    <w:p w14:paraId="627FD607">
      <w:pPr>
        <w:numPr>
          <w:ilvl w:val="255"/>
          <w:numId w:val="0"/>
        </w:num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3.4成套配电箱内开关的3C认证证书和出厂检验报告；</w:t>
      </w:r>
    </w:p>
    <w:p w14:paraId="6251D90D">
      <w:pPr>
        <w:numPr>
          <w:ilvl w:val="255"/>
          <w:numId w:val="0"/>
        </w:numPr>
        <w:spacing w:line="360" w:lineRule="auto"/>
        <w:rPr>
          <w:rFonts w:ascii="宋体" w:hAnsi="宋体" w:eastAsia="宋体" w:cs="宋体"/>
          <w:b/>
          <w:color w:val="auto"/>
          <w:szCs w:val="21"/>
          <w:highlight w:val="none"/>
        </w:rPr>
      </w:pPr>
    </w:p>
    <w:p w14:paraId="18279EEB">
      <w:pPr>
        <w:numPr>
          <w:ilvl w:val="255"/>
          <w:numId w:val="0"/>
        </w:num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3.5 并网柜与电气元件的3C认证证书。</w:t>
      </w:r>
    </w:p>
    <w:p w14:paraId="53B323DF">
      <w:pPr>
        <w:numPr>
          <w:ilvl w:val="255"/>
          <w:numId w:val="0"/>
        </w:numPr>
        <w:spacing w:line="360" w:lineRule="auto"/>
        <w:rPr>
          <w:rFonts w:ascii="宋体" w:hAnsi="宋体" w:eastAsia="宋体" w:cs="宋体"/>
          <w:color w:val="auto"/>
          <w:szCs w:val="21"/>
          <w:highlight w:val="none"/>
        </w:rPr>
      </w:pPr>
    </w:p>
    <w:p w14:paraId="05D6E72C">
      <w:pPr>
        <w:tabs>
          <w:tab w:val="left" w:pos="567"/>
        </w:tabs>
        <w:autoSpaceDE w:val="0"/>
        <w:autoSpaceDN w:val="0"/>
        <w:adjustRightInd w:val="0"/>
        <w:spacing w:line="360" w:lineRule="auto"/>
        <w:jc w:val="left"/>
        <w:outlineLvl w:val="2"/>
        <w:rPr>
          <w:rFonts w:ascii="宋体" w:hAnsi="宋体" w:eastAsia="宋体" w:cs="宋体"/>
          <w:b/>
          <w:bCs/>
          <w:color w:val="auto"/>
          <w:szCs w:val="21"/>
          <w:highlight w:val="none"/>
          <w:u w:val="single"/>
        </w:rPr>
      </w:pPr>
    </w:p>
    <w:p w14:paraId="3844395E">
      <w:pPr>
        <w:pageBreakBefore/>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四、光伏系统主要设备产品性能</w:t>
      </w:r>
      <w:bookmarkEnd w:id="1338"/>
      <w:bookmarkEnd w:id="1339"/>
      <w:bookmarkEnd w:id="1340"/>
    </w:p>
    <w:p w14:paraId="483F8C2F">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1345" w:name="_Toc12749"/>
      <w:bookmarkStart w:id="1346" w:name="_Toc4901"/>
      <w:bookmarkStart w:id="1347" w:name="_Toc26365"/>
      <w:r>
        <w:rPr>
          <w:rFonts w:hint="eastAsia" w:ascii="宋体" w:hAnsi="宋体" w:eastAsia="宋体" w:cs="宋体"/>
          <w:b/>
          <w:color w:val="auto"/>
          <w:kern w:val="0"/>
          <w:sz w:val="30"/>
          <w:szCs w:val="30"/>
          <w:highlight w:val="none"/>
        </w:rPr>
        <w:t>4.1 所投光伏组件产品综合性能</w:t>
      </w:r>
    </w:p>
    <w:p w14:paraId="35709A98">
      <w:pPr>
        <w:pStyle w:val="56"/>
        <w:ind w:firstLine="420"/>
        <w:rPr>
          <w:rFonts w:hint="default" w:hAnsi="宋体" w:cs="宋体"/>
          <w:color w:val="auto"/>
          <w:kern w:val="2"/>
          <w:szCs w:val="21"/>
          <w:highlight w:val="none"/>
        </w:rPr>
      </w:pPr>
      <w:r>
        <w:rPr>
          <w:rFonts w:hAnsi="宋体" w:cs="宋体"/>
          <w:color w:val="auto"/>
          <w:kern w:val="2"/>
          <w:sz w:val="21"/>
          <w:szCs w:val="21"/>
          <w:highlight w:val="none"/>
          <w:lang w:bidi="ar"/>
        </w:rPr>
        <w:t>说明：需提供具有CMA（或CNAS）检测能力的第三方检测机构出具的投标产品的试验报告等检测报告，或产品认证证书，或投标产品性能说明书，或其他能体现投标产品性能的证明材料</w:t>
      </w:r>
      <w:bookmarkEnd w:id="1345"/>
      <w:bookmarkEnd w:id="1346"/>
      <w:bookmarkEnd w:id="1347"/>
      <w:r>
        <w:rPr>
          <w:rFonts w:hAnsi="宋体" w:cs="宋体"/>
          <w:color w:val="auto"/>
          <w:kern w:val="2"/>
          <w:sz w:val="21"/>
          <w:szCs w:val="21"/>
          <w:highlight w:val="none"/>
          <w:lang w:bidi="ar"/>
        </w:rPr>
        <w:t>。</w:t>
      </w:r>
    </w:p>
    <w:p w14:paraId="6FAA03D6">
      <w:pPr>
        <w:numPr>
          <w:ilvl w:val="255"/>
          <w:numId w:val="0"/>
        </w:numPr>
        <w:jc w:val="left"/>
        <w:rPr>
          <w:rFonts w:ascii="宋体" w:hAnsi="宋体" w:eastAsia="宋体" w:cs="宋体"/>
          <w:color w:val="auto"/>
          <w:highlight w:val="none"/>
        </w:rPr>
      </w:pPr>
      <w:r>
        <w:rPr>
          <w:rFonts w:hint="eastAsia" w:ascii="宋体" w:hAnsi="宋体" w:eastAsia="宋体" w:cs="宋体"/>
          <w:color w:val="auto"/>
          <w:highlight w:val="none"/>
        </w:rPr>
        <w:br w:type="page"/>
      </w:r>
    </w:p>
    <w:p w14:paraId="4BBC70DA">
      <w:pPr>
        <w:pageBreakBefore/>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1348" w:name="_Toc4506"/>
      <w:bookmarkStart w:id="1349" w:name="_Toc13760"/>
      <w:bookmarkStart w:id="1350" w:name="_Toc22286"/>
      <w:r>
        <w:rPr>
          <w:rFonts w:hint="eastAsia" w:ascii="宋体" w:hAnsi="宋体" w:eastAsia="宋体" w:cs="宋体"/>
          <w:b/>
          <w:color w:val="auto"/>
          <w:kern w:val="0"/>
          <w:sz w:val="30"/>
          <w:szCs w:val="30"/>
          <w:highlight w:val="none"/>
        </w:rPr>
        <w:t>4.2 所投逆变器产品综合性能</w:t>
      </w:r>
    </w:p>
    <w:p w14:paraId="20C7BD29">
      <w:pPr>
        <w:pStyle w:val="56"/>
        <w:ind w:firstLine="420"/>
        <w:rPr>
          <w:rFonts w:hint="default" w:hAnsi="宋体" w:cs="宋体"/>
          <w:color w:val="auto"/>
          <w:kern w:val="2"/>
          <w:szCs w:val="21"/>
          <w:highlight w:val="none"/>
        </w:rPr>
      </w:pPr>
      <w:r>
        <w:rPr>
          <w:rFonts w:hAnsi="宋体" w:cs="宋体"/>
          <w:color w:val="auto"/>
          <w:kern w:val="2"/>
          <w:sz w:val="21"/>
          <w:szCs w:val="21"/>
          <w:highlight w:val="none"/>
          <w:lang w:bidi="ar"/>
        </w:rPr>
        <w:t>说明：需提供具有CMA（或CNAS）检测能力的第三方检测机构出具的投标产品的试验报告等检测报告，或产品认证证书，或投标产品性能说明书，或其他能体现投标产品性能的证明材料。</w:t>
      </w:r>
    </w:p>
    <w:p w14:paraId="2D80C39C">
      <w:pPr>
        <w:pageBreakBefore/>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4.3 其他产品性能（投标人自行提供书面说明和资料）</w:t>
      </w:r>
    </w:p>
    <w:p w14:paraId="1CB13FF4">
      <w:pPr>
        <w:pageBreakBefore/>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五、质保时间</w:t>
      </w:r>
      <w:bookmarkEnd w:id="1348"/>
      <w:bookmarkEnd w:id="1349"/>
      <w:bookmarkEnd w:id="1350"/>
    </w:p>
    <w:p w14:paraId="174842D4">
      <w:pPr>
        <w:autoSpaceDE w:val="0"/>
        <w:autoSpaceDN w:val="0"/>
        <w:adjustRightInd w:val="0"/>
        <w:spacing w:line="360" w:lineRule="auto"/>
        <w:jc w:val="center"/>
        <w:rPr>
          <w:rFonts w:ascii="宋体" w:hAnsi="宋体" w:eastAsia="宋体" w:cs="宋体"/>
          <w:b/>
          <w:bCs/>
          <w:color w:val="auto"/>
          <w:sz w:val="30"/>
          <w:szCs w:val="30"/>
          <w:highlight w:val="none"/>
          <w:lang w:bidi="ar"/>
        </w:rPr>
      </w:pPr>
      <w:bookmarkStart w:id="1351" w:name="OLE_LINK341"/>
    </w:p>
    <w:bookmarkEnd w:id="1351"/>
    <w:p w14:paraId="1245D6B0">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质保说明书</w:t>
      </w:r>
    </w:p>
    <w:tbl>
      <w:tblPr>
        <w:tblStyle w:val="45"/>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9"/>
        <w:gridCol w:w="3246"/>
      </w:tblGrid>
      <w:tr w14:paraId="3D5F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vAlign w:val="center"/>
          </w:tcPr>
          <w:p w14:paraId="60AFDD37">
            <w:pPr>
              <w:autoSpaceDE w:val="0"/>
              <w:autoSpaceDN w:val="0"/>
              <w:adjustRightInd w:val="0"/>
              <w:spacing w:line="360" w:lineRule="auto"/>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承诺事项</w:t>
            </w:r>
          </w:p>
        </w:tc>
        <w:tc>
          <w:tcPr>
            <w:tcW w:w="1860" w:type="pct"/>
            <w:tcBorders>
              <w:top w:val="single" w:color="auto" w:sz="4" w:space="0"/>
              <w:left w:val="single" w:color="auto" w:sz="4" w:space="0"/>
              <w:bottom w:val="single" w:color="auto" w:sz="4" w:space="0"/>
              <w:right w:val="single" w:color="auto" w:sz="4" w:space="0"/>
            </w:tcBorders>
            <w:vAlign w:val="center"/>
          </w:tcPr>
          <w:p w14:paraId="588F7981">
            <w:pPr>
              <w:autoSpaceDE w:val="0"/>
              <w:autoSpaceDN w:val="0"/>
              <w:adjustRightInd w:val="0"/>
              <w:spacing w:line="360" w:lineRule="auto"/>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承诺时间</w:t>
            </w:r>
          </w:p>
        </w:tc>
      </w:tr>
      <w:tr w14:paraId="0A28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3139" w:type="pct"/>
            <w:tcBorders>
              <w:top w:val="single" w:color="auto" w:sz="4" w:space="0"/>
              <w:left w:val="single" w:color="auto" w:sz="4" w:space="0"/>
              <w:bottom w:val="single" w:color="auto" w:sz="4" w:space="0"/>
              <w:right w:val="single" w:color="auto" w:sz="4" w:space="0"/>
            </w:tcBorders>
            <w:vAlign w:val="center"/>
          </w:tcPr>
          <w:p w14:paraId="065C2403">
            <w:pPr>
              <w:autoSpaceDE w:val="0"/>
              <w:autoSpaceDN w:val="0"/>
              <w:adjustRightInd w:val="0"/>
              <w:spacing w:line="360" w:lineRule="auto"/>
              <w:jc w:val="left"/>
              <w:rPr>
                <w:rFonts w:ascii="宋体" w:hAnsi="宋体" w:eastAsia="宋体" w:cs="宋体"/>
                <w:color w:val="auto"/>
                <w:szCs w:val="21"/>
                <w:highlight w:val="none"/>
                <w:shd w:val="clear" w:color="auto" w:fill="FFFFFF"/>
              </w:rPr>
            </w:pPr>
            <w:r>
              <w:rPr>
                <w:rFonts w:hint="eastAsia" w:ascii="宋体" w:hAnsi="宋体" w:eastAsia="宋体" w:cs="宋体"/>
                <w:color w:val="auto"/>
                <w:kern w:val="0"/>
                <w:szCs w:val="21"/>
                <w:highlight w:val="none"/>
                <w:lang w:bidi="ar"/>
              </w:rPr>
              <w:t>在满足本项目整体最终验收合格之日起二年质保时间的基础上，承诺</w:t>
            </w:r>
            <w:r>
              <w:rPr>
                <w:rFonts w:hint="eastAsia" w:ascii="宋体" w:hAnsi="宋体" w:eastAsia="宋体" w:cs="宋体"/>
                <w:b/>
                <w:bCs/>
                <w:color w:val="auto"/>
                <w:kern w:val="0"/>
                <w:szCs w:val="21"/>
                <w:highlight w:val="none"/>
                <w:lang w:bidi="ar"/>
              </w:rPr>
              <w:t>增加</w:t>
            </w:r>
            <w:r>
              <w:rPr>
                <w:rFonts w:hint="eastAsia" w:ascii="宋体" w:hAnsi="宋体" w:eastAsia="宋体" w:cs="宋体"/>
                <w:color w:val="auto"/>
                <w:kern w:val="0"/>
                <w:szCs w:val="21"/>
                <w:highlight w:val="none"/>
                <w:lang w:bidi="ar"/>
              </w:rPr>
              <w:t>的质保时间为</w:t>
            </w:r>
          </w:p>
        </w:tc>
        <w:tc>
          <w:tcPr>
            <w:tcW w:w="1860" w:type="pct"/>
            <w:tcBorders>
              <w:top w:val="single" w:color="auto" w:sz="4" w:space="0"/>
              <w:left w:val="single" w:color="auto" w:sz="4" w:space="0"/>
              <w:bottom w:val="single" w:color="auto" w:sz="4" w:space="0"/>
              <w:right w:val="single" w:color="auto" w:sz="4" w:space="0"/>
            </w:tcBorders>
            <w:vAlign w:val="center"/>
          </w:tcPr>
          <w:p w14:paraId="038145BB">
            <w:pPr>
              <w:autoSpaceDE w:val="0"/>
              <w:autoSpaceDN w:val="0"/>
              <w:adjustRightInd w:val="0"/>
              <w:spacing w:line="360" w:lineRule="auto"/>
              <w:jc w:val="center"/>
              <w:rPr>
                <w:rFonts w:ascii="宋体" w:hAnsi="宋体" w:eastAsia="宋体" w:cs="宋体"/>
                <w:color w:val="auto"/>
                <w:szCs w:val="21"/>
                <w:highlight w:val="none"/>
                <w:shd w:val="clear" w:color="auto" w:fill="FFFFFF"/>
              </w:rPr>
            </w:pPr>
            <w:r>
              <w:rPr>
                <w:rFonts w:hint="eastAsia" w:ascii="宋体" w:hAnsi="宋体" w:eastAsia="宋体" w:cs="宋体"/>
                <w:bCs/>
                <w:color w:val="auto"/>
                <w:szCs w:val="21"/>
                <w:highlight w:val="none"/>
                <w:u w:val="single"/>
                <w:lang w:bidi="ar"/>
              </w:rPr>
              <w:t xml:space="preserve">    </w:t>
            </w:r>
            <w:r>
              <w:rPr>
                <w:rFonts w:hint="eastAsia" w:ascii="宋体" w:hAnsi="宋体" w:eastAsia="宋体" w:cs="宋体"/>
                <w:bCs/>
                <w:color w:val="auto"/>
                <w:szCs w:val="21"/>
                <w:highlight w:val="none"/>
                <w:lang w:bidi="ar"/>
              </w:rPr>
              <w:t>年</w:t>
            </w:r>
          </w:p>
        </w:tc>
      </w:tr>
    </w:tbl>
    <w:p w14:paraId="22A4FA74">
      <w:pPr>
        <w:autoSpaceDE w:val="0"/>
        <w:autoSpaceDN w:val="0"/>
        <w:adjustRightInd w:val="0"/>
        <w:spacing w:line="360" w:lineRule="auto"/>
        <w:jc w:val="left"/>
        <w:rPr>
          <w:rFonts w:ascii="宋体" w:hAnsi="宋体" w:eastAsia="宋体" w:cs="宋体"/>
          <w:color w:val="auto"/>
          <w:szCs w:val="21"/>
          <w:highlight w:val="none"/>
        </w:rPr>
      </w:pPr>
    </w:p>
    <w:p w14:paraId="2950B31F">
      <w:pPr>
        <w:autoSpaceDE w:val="0"/>
        <w:autoSpaceDN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1F209ACE">
      <w:pPr>
        <w:autoSpaceDE w:val="0"/>
        <w:autoSpaceDN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1.本说明书若未填或漏填的，视为投标人按用户需求书响应。</w:t>
      </w:r>
    </w:p>
    <w:p w14:paraId="50AEDFEE">
      <w:pPr>
        <w:autoSpaceDE w:val="0"/>
        <w:autoSpaceDN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2.本说明书若与投标文件其他地方表述不一致的，以本承诺表为准。</w:t>
      </w:r>
    </w:p>
    <w:p w14:paraId="42DD9AFE">
      <w:pPr>
        <w:autoSpaceDE w:val="0"/>
        <w:autoSpaceDN w:val="0"/>
        <w:adjustRightInd w:val="0"/>
        <w:spacing w:line="360" w:lineRule="auto"/>
        <w:ind w:firstLine="4200" w:firstLineChars="2000"/>
        <w:jc w:val="left"/>
        <w:rPr>
          <w:rFonts w:ascii="宋体" w:hAnsi="宋体" w:eastAsia="宋体" w:cs="宋体"/>
          <w:color w:val="auto"/>
          <w:kern w:val="3"/>
          <w:szCs w:val="21"/>
          <w:highlight w:val="none"/>
        </w:rPr>
      </w:pPr>
    </w:p>
    <w:p w14:paraId="6ADB15E5">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A19BD9B">
      <w:pPr>
        <w:autoSpaceDE w:val="0"/>
        <w:autoSpaceDN w:val="0"/>
        <w:adjustRightInd w:val="0"/>
        <w:spacing w:line="360" w:lineRule="auto"/>
        <w:ind w:firstLine="3780" w:firstLineChars="1800"/>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4827A809">
      <w:pPr>
        <w:autoSpaceDE w:val="0"/>
        <w:autoSpaceDN w:val="0"/>
        <w:adjustRightInd w:val="0"/>
        <w:spacing w:line="360" w:lineRule="auto"/>
        <w:jc w:val="center"/>
        <w:rPr>
          <w:rFonts w:ascii="宋体" w:hAnsi="宋体" w:eastAsia="宋体" w:cs="宋体"/>
          <w:b/>
          <w:bCs/>
          <w:color w:val="auto"/>
          <w:szCs w:val="24"/>
          <w:highlight w:val="none"/>
          <w:lang w:val="zh-CN"/>
        </w:rPr>
      </w:pPr>
    </w:p>
    <w:p w14:paraId="65D119AC">
      <w:pPr>
        <w:widowControl/>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b/>
          <w:bCs/>
          <w:color w:val="auto"/>
          <w:szCs w:val="24"/>
          <w:highlight w:val="none"/>
          <w:lang w:val="zh-CN"/>
        </w:rPr>
        <w:t>说明：由投标人使用投标人的企业数字证书电子签名。</w:t>
      </w:r>
    </w:p>
    <w:p w14:paraId="5A819FC5">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p>
    <w:p w14:paraId="0D8EC5A7">
      <w:pPr>
        <w:pageBreakBefore/>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1352" w:name="_Toc13611"/>
      <w:bookmarkStart w:id="1353" w:name="_Toc29507"/>
      <w:bookmarkStart w:id="1354" w:name="_Toc12601"/>
      <w:bookmarkStart w:id="1355" w:name="_Toc29206"/>
      <w:r>
        <w:rPr>
          <w:rFonts w:hint="eastAsia" w:ascii="宋体" w:hAnsi="宋体" w:eastAsia="宋体" w:cs="宋体"/>
          <w:b/>
          <w:color w:val="auto"/>
          <w:kern w:val="0"/>
          <w:sz w:val="30"/>
          <w:szCs w:val="30"/>
          <w:highlight w:val="none"/>
        </w:rPr>
        <w:t>六、</w:t>
      </w:r>
      <w:bookmarkEnd w:id="1352"/>
      <w:r>
        <w:rPr>
          <w:rFonts w:hint="eastAsia" w:ascii="宋体" w:hAnsi="宋体" w:eastAsia="宋体" w:cs="宋体"/>
          <w:b/>
          <w:color w:val="auto"/>
          <w:kern w:val="0"/>
          <w:sz w:val="30"/>
          <w:szCs w:val="30"/>
          <w:highlight w:val="none"/>
        </w:rPr>
        <w:t>技术服务团队实力（投标人提供证明资料）</w:t>
      </w:r>
      <w:bookmarkEnd w:id="1353"/>
      <w:bookmarkEnd w:id="1354"/>
      <w:bookmarkEnd w:id="1355"/>
    </w:p>
    <w:p w14:paraId="6EA1594A">
      <w:pPr>
        <w:spacing w:line="360" w:lineRule="auto"/>
        <w:ind w:firstLine="643"/>
        <w:jc w:val="center"/>
        <w:rPr>
          <w:rFonts w:ascii="宋体" w:hAnsi="宋体" w:eastAsia="宋体" w:cs="宋体"/>
          <w:color w:val="auto"/>
          <w:highlight w:val="none"/>
        </w:rPr>
      </w:pPr>
      <w:r>
        <w:rPr>
          <w:rFonts w:hint="eastAsia" w:ascii="宋体" w:hAnsi="宋体" w:eastAsia="宋体" w:cs="宋体"/>
          <w:b/>
          <w:color w:val="auto"/>
          <w:sz w:val="32"/>
          <w:szCs w:val="32"/>
          <w:highlight w:val="none"/>
        </w:rPr>
        <w:t>拟投入本项目的团队人员清单表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204"/>
        <w:gridCol w:w="723"/>
        <w:gridCol w:w="828"/>
        <w:gridCol w:w="840"/>
        <w:gridCol w:w="1613"/>
        <w:gridCol w:w="1161"/>
        <w:gridCol w:w="1046"/>
        <w:gridCol w:w="1044"/>
      </w:tblGrid>
      <w:tr w14:paraId="2E62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876A295">
            <w:pPr>
              <w:pStyle w:val="56"/>
              <w:jc w:val="center"/>
              <w:rPr>
                <w:rFonts w:hint="default" w:hAnsi="宋体" w:cs="宋体"/>
                <w:color w:val="auto"/>
                <w:sz w:val="21"/>
                <w:szCs w:val="21"/>
                <w:highlight w:val="none"/>
              </w:rPr>
            </w:pPr>
            <w:r>
              <w:rPr>
                <w:rFonts w:hAnsi="宋体" w:cs="宋体"/>
                <w:color w:val="auto"/>
                <w:sz w:val="21"/>
                <w:szCs w:val="21"/>
                <w:highlight w:val="none"/>
              </w:rPr>
              <w:t>序号</w:t>
            </w:r>
          </w:p>
        </w:tc>
        <w:tc>
          <w:tcPr>
            <w:tcW w:w="1246" w:type="dxa"/>
            <w:vAlign w:val="center"/>
          </w:tcPr>
          <w:p w14:paraId="36BD2080">
            <w:pPr>
              <w:pStyle w:val="56"/>
              <w:jc w:val="center"/>
              <w:rPr>
                <w:rFonts w:hint="default" w:hAnsi="宋体" w:cs="宋体"/>
                <w:color w:val="auto"/>
                <w:sz w:val="21"/>
                <w:szCs w:val="21"/>
                <w:highlight w:val="none"/>
              </w:rPr>
            </w:pPr>
            <w:r>
              <w:rPr>
                <w:rFonts w:hAnsi="宋体" w:cs="宋体"/>
                <w:color w:val="auto"/>
                <w:sz w:val="21"/>
                <w:szCs w:val="21"/>
                <w:highlight w:val="none"/>
              </w:rPr>
              <w:t>姓名</w:t>
            </w:r>
          </w:p>
        </w:tc>
        <w:tc>
          <w:tcPr>
            <w:tcW w:w="739" w:type="dxa"/>
            <w:vAlign w:val="center"/>
          </w:tcPr>
          <w:p w14:paraId="764FA433">
            <w:pPr>
              <w:pStyle w:val="56"/>
              <w:jc w:val="center"/>
              <w:rPr>
                <w:rFonts w:hint="default" w:hAnsi="宋体" w:cs="宋体"/>
                <w:color w:val="auto"/>
                <w:sz w:val="21"/>
                <w:szCs w:val="21"/>
                <w:highlight w:val="none"/>
              </w:rPr>
            </w:pPr>
            <w:r>
              <w:rPr>
                <w:rFonts w:hAnsi="宋体" w:cs="宋体"/>
                <w:color w:val="auto"/>
                <w:sz w:val="21"/>
                <w:szCs w:val="21"/>
                <w:highlight w:val="none"/>
              </w:rPr>
              <w:t>性别</w:t>
            </w:r>
          </w:p>
        </w:tc>
        <w:tc>
          <w:tcPr>
            <w:tcW w:w="850" w:type="dxa"/>
            <w:vAlign w:val="center"/>
          </w:tcPr>
          <w:p w14:paraId="25D1A53A">
            <w:pPr>
              <w:pStyle w:val="56"/>
              <w:jc w:val="center"/>
              <w:rPr>
                <w:rFonts w:hint="default" w:hAnsi="宋体" w:cs="宋体"/>
                <w:color w:val="auto"/>
                <w:sz w:val="21"/>
                <w:szCs w:val="21"/>
                <w:highlight w:val="none"/>
              </w:rPr>
            </w:pPr>
            <w:r>
              <w:rPr>
                <w:rFonts w:hAnsi="宋体" w:cs="宋体"/>
                <w:color w:val="auto"/>
                <w:sz w:val="21"/>
                <w:szCs w:val="21"/>
                <w:highlight w:val="none"/>
              </w:rPr>
              <w:t>年龄</w:t>
            </w:r>
          </w:p>
        </w:tc>
        <w:tc>
          <w:tcPr>
            <w:tcW w:w="862" w:type="dxa"/>
            <w:vAlign w:val="center"/>
          </w:tcPr>
          <w:p w14:paraId="037CD344">
            <w:pPr>
              <w:pStyle w:val="56"/>
              <w:jc w:val="center"/>
              <w:rPr>
                <w:rFonts w:hint="default" w:hAnsi="宋体" w:cs="宋体"/>
                <w:color w:val="auto"/>
                <w:sz w:val="21"/>
                <w:szCs w:val="21"/>
                <w:highlight w:val="none"/>
              </w:rPr>
            </w:pPr>
            <w:r>
              <w:rPr>
                <w:rFonts w:hAnsi="宋体" w:cs="宋体"/>
                <w:color w:val="auto"/>
                <w:sz w:val="21"/>
                <w:szCs w:val="21"/>
                <w:highlight w:val="none"/>
              </w:rPr>
              <w:t>学历</w:t>
            </w:r>
          </w:p>
        </w:tc>
        <w:tc>
          <w:tcPr>
            <w:tcW w:w="1677" w:type="dxa"/>
            <w:vAlign w:val="center"/>
          </w:tcPr>
          <w:p w14:paraId="331C7213">
            <w:pPr>
              <w:pStyle w:val="56"/>
              <w:jc w:val="center"/>
              <w:rPr>
                <w:rFonts w:hint="default" w:hAnsi="宋体" w:cs="宋体"/>
                <w:color w:val="auto"/>
                <w:sz w:val="21"/>
                <w:szCs w:val="21"/>
                <w:highlight w:val="none"/>
              </w:rPr>
            </w:pPr>
            <w:r>
              <w:rPr>
                <w:rFonts w:hAnsi="宋体" w:cs="宋体"/>
                <w:color w:val="auto"/>
                <w:sz w:val="21"/>
                <w:szCs w:val="21"/>
                <w:highlight w:val="none"/>
              </w:rPr>
              <w:t>资格/职称证书</w:t>
            </w:r>
          </w:p>
        </w:tc>
        <w:tc>
          <w:tcPr>
            <w:tcW w:w="1201" w:type="dxa"/>
            <w:vAlign w:val="center"/>
          </w:tcPr>
          <w:p w14:paraId="5F5E7DAD">
            <w:pPr>
              <w:pStyle w:val="56"/>
              <w:jc w:val="center"/>
              <w:rPr>
                <w:rFonts w:hint="default" w:hAnsi="宋体" w:cs="宋体"/>
                <w:color w:val="auto"/>
                <w:sz w:val="21"/>
                <w:szCs w:val="21"/>
                <w:highlight w:val="none"/>
              </w:rPr>
            </w:pPr>
            <w:r>
              <w:rPr>
                <w:rFonts w:hAnsi="宋体" w:cs="宋体"/>
                <w:color w:val="auto"/>
                <w:sz w:val="21"/>
                <w:szCs w:val="21"/>
                <w:highlight w:val="none"/>
              </w:rPr>
              <w:t>拟任职务</w:t>
            </w:r>
          </w:p>
        </w:tc>
        <w:tc>
          <w:tcPr>
            <w:tcW w:w="1080" w:type="dxa"/>
            <w:vAlign w:val="center"/>
          </w:tcPr>
          <w:p w14:paraId="2F943DA5">
            <w:pPr>
              <w:pStyle w:val="56"/>
              <w:jc w:val="center"/>
              <w:rPr>
                <w:rFonts w:hint="default" w:hAnsi="宋体" w:cs="宋体"/>
                <w:color w:val="auto"/>
                <w:sz w:val="21"/>
                <w:szCs w:val="21"/>
                <w:highlight w:val="none"/>
              </w:rPr>
            </w:pPr>
            <w:r>
              <w:rPr>
                <w:rFonts w:hAnsi="宋体" w:cs="宋体"/>
                <w:color w:val="auto"/>
                <w:sz w:val="21"/>
                <w:szCs w:val="21"/>
                <w:highlight w:val="none"/>
              </w:rPr>
              <w:t>从事本行业年限</w:t>
            </w:r>
          </w:p>
        </w:tc>
        <w:tc>
          <w:tcPr>
            <w:tcW w:w="1078" w:type="dxa"/>
            <w:vAlign w:val="center"/>
          </w:tcPr>
          <w:p w14:paraId="4406D660">
            <w:pPr>
              <w:pStyle w:val="56"/>
              <w:jc w:val="center"/>
              <w:rPr>
                <w:rFonts w:hint="default" w:hAnsi="宋体" w:cs="宋体"/>
                <w:color w:val="auto"/>
                <w:sz w:val="21"/>
                <w:szCs w:val="21"/>
                <w:highlight w:val="none"/>
              </w:rPr>
            </w:pPr>
            <w:r>
              <w:rPr>
                <w:rFonts w:hAnsi="宋体" w:cs="宋体"/>
                <w:color w:val="auto"/>
                <w:sz w:val="21"/>
                <w:szCs w:val="21"/>
                <w:highlight w:val="none"/>
              </w:rPr>
              <w:t>备注</w:t>
            </w:r>
          </w:p>
        </w:tc>
      </w:tr>
      <w:tr w14:paraId="2CF89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74A1E3F1">
            <w:pPr>
              <w:pStyle w:val="56"/>
              <w:spacing w:line="480" w:lineRule="auto"/>
              <w:ind w:firstLine="420"/>
              <w:rPr>
                <w:rFonts w:hint="default" w:hAnsi="宋体" w:cs="宋体"/>
                <w:color w:val="auto"/>
                <w:sz w:val="21"/>
                <w:szCs w:val="21"/>
                <w:highlight w:val="none"/>
              </w:rPr>
            </w:pPr>
          </w:p>
        </w:tc>
        <w:tc>
          <w:tcPr>
            <w:tcW w:w="1246" w:type="dxa"/>
          </w:tcPr>
          <w:p w14:paraId="6B503942">
            <w:pPr>
              <w:pStyle w:val="56"/>
              <w:spacing w:line="480" w:lineRule="auto"/>
              <w:ind w:firstLine="420"/>
              <w:rPr>
                <w:rFonts w:hint="default" w:hAnsi="宋体" w:cs="宋体"/>
                <w:color w:val="auto"/>
                <w:sz w:val="21"/>
                <w:szCs w:val="21"/>
                <w:highlight w:val="none"/>
              </w:rPr>
            </w:pPr>
          </w:p>
        </w:tc>
        <w:tc>
          <w:tcPr>
            <w:tcW w:w="739" w:type="dxa"/>
          </w:tcPr>
          <w:p w14:paraId="1A0EC6F9">
            <w:pPr>
              <w:pStyle w:val="56"/>
              <w:spacing w:line="480" w:lineRule="auto"/>
              <w:ind w:firstLine="420"/>
              <w:rPr>
                <w:rFonts w:hint="default" w:hAnsi="宋体" w:cs="宋体"/>
                <w:color w:val="auto"/>
                <w:sz w:val="21"/>
                <w:szCs w:val="21"/>
                <w:highlight w:val="none"/>
              </w:rPr>
            </w:pPr>
          </w:p>
        </w:tc>
        <w:tc>
          <w:tcPr>
            <w:tcW w:w="850" w:type="dxa"/>
          </w:tcPr>
          <w:p w14:paraId="1F23857A">
            <w:pPr>
              <w:pStyle w:val="56"/>
              <w:spacing w:line="480" w:lineRule="auto"/>
              <w:ind w:firstLine="420"/>
              <w:rPr>
                <w:rFonts w:hint="default" w:hAnsi="宋体" w:cs="宋体"/>
                <w:color w:val="auto"/>
                <w:sz w:val="21"/>
                <w:szCs w:val="21"/>
                <w:highlight w:val="none"/>
              </w:rPr>
            </w:pPr>
          </w:p>
        </w:tc>
        <w:tc>
          <w:tcPr>
            <w:tcW w:w="862" w:type="dxa"/>
          </w:tcPr>
          <w:p w14:paraId="34C503A5">
            <w:pPr>
              <w:pStyle w:val="56"/>
              <w:spacing w:line="480" w:lineRule="auto"/>
              <w:ind w:firstLine="420"/>
              <w:rPr>
                <w:rFonts w:hint="default" w:hAnsi="宋体" w:cs="宋体"/>
                <w:color w:val="auto"/>
                <w:sz w:val="21"/>
                <w:szCs w:val="21"/>
                <w:highlight w:val="none"/>
              </w:rPr>
            </w:pPr>
          </w:p>
        </w:tc>
        <w:tc>
          <w:tcPr>
            <w:tcW w:w="1677" w:type="dxa"/>
          </w:tcPr>
          <w:p w14:paraId="2BFADA09">
            <w:pPr>
              <w:pStyle w:val="56"/>
              <w:spacing w:line="480" w:lineRule="auto"/>
              <w:ind w:firstLine="420"/>
              <w:rPr>
                <w:rFonts w:hint="default" w:hAnsi="宋体" w:cs="宋体"/>
                <w:color w:val="auto"/>
                <w:sz w:val="21"/>
                <w:szCs w:val="21"/>
                <w:highlight w:val="none"/>
              </w:rPr>
            </w:pPr>
          </w:p>
        </w:tc>
        <w:tc>
          <w:tcPr>
            <w:tcW w:w="1201" w:type="dxa"/>
          </w:tcPr>
          <w:p w14:paraId="7ED2315A">
            <w:pPr>
              <w:pStyle w:val="56"/>
              <w:spacing w:line="480" w:lineRule="auto"/>
              <w:ind w:firstLine="420"/>
              <w:rPr>
                <w:rFonts w:hint="default" w:hAnsi="宋体" w:cs="宋体"/>
                <w:color w:val="auto"/>
                <w:sz w:val="21"/>
                <w:szCs w:val="21"/>
                <w:highlight w:val="none"/>
              </w:rPr>
            </w:pPr>
          </w:p>
        </w:tc>
        <w:tc>
          <w:tcPr>
            <w:tcW w:w="1080" w:type="dxa"/>
          </w:tcPr>
          <w:p w14:paraId="08126148">
            <w:pPr>
              <w:pStyle w:val="56"/>
              <w:spacing w:line="480" w:lineRule="auto"/>
              <w:ind w:firstLine="420"/>
              <w:rPr>
                <w:rFonts w:hint="default" w:hAnsi="宋体" w:cs="宋体"/>
                <w:color w:val="auto"/>
                <w:sz w:val="21"/>
                <w:szCs w:val="21"/>
                <w:highlight w:val="none"/>
              </w:rPr>
            </w:pPr>
          </w:p>
        </w:tc>
        <w:tc>
          <w:tcPr>
            <w:tcW w:w="1078" w:type="dxa"/>
          </w:tcPr>
          <w:p w14:paraId="4CC37ED9">
            <w:pPr>
              <w:pStyle w:val="56"/>
              <w:spacing w:line="480" w:lineRule="auto"/>
              <w:ind w:firstLine="420"/>
              <w:rPr>
                <w:rFonts w:hint="default" w:hAnsi="宋体" w:cs="宋体"/>
                <w:color w:val="auto"/>
                <w:sz w:val="21"/>
                <w:szCs w:val="21"/>
                <w:highlight w:val="none"/>
              </w:rPr>
            </w:pPr>
          </w:p>
        </w:tc>
      </w:tr>
      <w:tr w14:paraId="4BB59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7B0EA141">
            <w:pPr>
              <w:pStyle w:val="56"/>
              <w:spacing w:line="480" w:lineRule="auto"/>
              <w:ind w:firstLine="420"/>
              <w:rPr>
                <w:rFonts w:hint="default" w:hAnsi="宋体" w:cs="宋体"/>
                <w:color w:val="auto"/>
                <w:sz w:val="21"/>
                <w:szCs w:val="21"/>
                <w:highlight w:val="none"/>
              </w:rPr>
            </w:pPr>
          </w:p>
        </w:tc>
        <w:tc>
          <w:tcPr>
            <w:tcW w:w="1246" w:type="dxa"/>
          </w:tcPr>
          <w:p w14:paraId="7EF48474">
            <w:pPr>
              <w:pStyle w:val="56"/>
              <w:spacing w:line="480" w:lineRule="auto"/>
              <w:ind w:firstLine="420"/>
              <w:rPr>
                <w:rFonts w:hint="default" w:hAnsi="宋体" w:cs="宋体"/>
                <w:color w:val="auto"/>
                <w:sz w:val="21"/>
                <w:szCs w:val="21"/>
                <w:highlight w:val="none"/>
              </w:rPr>
            </w:pPr>
          </w:p>
        </w:tc>
        <w:tc>
          <w:tcPr>
            <w:tcW w:w="739" w:type="dxa"/>
          </w:tcPr>
          <w:p w14:paraId="1D4F2B70">
            <w:pPr>
              <w:pStyle w:val="56"/>
              <w:spacing w:line="480" w:lineRule="auto"/>
              <w:ind w:firstLine="420"/>
              <w:rPr>
                <w:rFonts w:hint="default" w:hAnsi="宋体" w:cs="宋体"/>
                <w:color w:val="auto"/>
                <w:sz w:val="21"/>
                <w:szCs w:val="21"/>
                <w:highlight w:val="none"/>
              </w:rPr>
            </w:pPr>
          </w:p>
        </w:tc>
        <w:tc>
          <w:tcPr>
            <w:tcW w:w="850" w:type="dxa"/>
          </w:tcPr>
          <w:p w14:paraId="3D295792">
            <w:pPr>
              <w:pStyle w:val="56"/>
              <w:spacing w:line="480" w:lineRule="auto"/>
              <w:ind w:firstLine="420"/>
              <w:rPr>
                <w:rFonts w:hint="default" w:hAnsi="宋体" w:cs="宋体"/>
                <w:color w:val="auto"/>
                <w:sz w:val="21"/>
                <w:szCs w:val="21"/>
                <w:highlight w:val="none"/>
              </w:rPr>
            </w:pPr>
          </w:p>
        </w:tc>
        <w:tc>
          <w:tcPr>
            <w:tcW w:w="862" w:type="dxa"/>
          </w:tcPr>
          <w:p w14:paraId="4CC41499">
            <w:pPr>
              <w:pStyle w:val="56"/>
              <w:spacing w:line="480" w:lineRule="auto"/>
              <w:ind w:firstLine="420"/>
              <w:rPr>
                <w:rFonts w:hint="default" w:hAnsi="宋体" w:cs="宋体"/>
                <w:color w:val="auto"/>
                <w:sz w:val="21"/>
                <w:szCs w:val="21"/>
                <w:highlight w:val="none"/>
              </w:rPr>
            </w:pPr>
          </w:p>
        </w:tc>
        <w:tc>
          <w:tcPr>
            <w:tcW w:w="1677" w:type="dxa"/>
          </w:tcPr>
          <w:p w14:paraId="06C45334">
            <w:pPr>
              <w:pStyle w:val="56"/>
              <w:spacing w:line="480" w:lineRule="auto"/>
              <w:ind w:firstLine="420"/>
              <w:rPr>
                <w:rFonts w:hint="default" w:hAnsi="宋体" w:cs="宋体"/>
                <w:color w:val="auto"/>
                <w:sz w:val="21"/>
                <w:szCs w:val="21"/>
                <w:highlight w:val="none"/>
              </w:rPr>
            </w:pPr>
          </w:p>
        </w:tc>
        <w:tc>
          <w:tcPr>
            <w:tcW w:w="1201" w:type="dxa"/>
          </w:tcPr>
          <w:p w14:paraId="43978B5D">
            <w:pPr>
              <w:pStyle w:val="56"/>
              <w:spacing w:line="480" w:lineRule="auto"/>
              <w:ind w:firstLine="420"/>
              <w:rPr>
                <w:rFonts w:hint="default" w:hAnsi="宋体" w:cs="宋体"/>
                <w:color w:val="auto"/>
                <w:sz w:val="21"/>
                <w:szCs w:val="21"/>
                <w:highlight w:val="none"/>
              </w:rPr>
            </w:pPr>
          </w:p>
        </w:tc>
        <w:tc>
          <w:tcPr>
            <w:tcW w:w="1080" w:type="dxa"/>
          </w:tcPr>
          <w:p w14:paraId="44FAD730">
            <w:pPr>
              <w:pStyle w:val="56"/>
              <w:spacing w:line="480" w:lineRule="auto"/>
              <w:ind w:firstLine="420"/>
              <w:rPr>
                <w:rFonts w:hint="default" w:hAnsi="宋体" w:cs="宋体"/>
                <w:color w:val="auto"/>
                <w:sz w:val="21"/>
                <w:szCs w:val="21"/>
                <w:highlight w:val="none"/>
              </w:rPr>
            </w:pPr>
          </w:p>
        </w:tc>
        <w:tc>
          <w:tcPr>
            <w:tcW w:w="1078" w:type="dxa"/>
          </w:tcPr>
          <w:p w14:paraId="5579E837">
            <w:pPr>
              <w:pStyle w:val="56"/>
              <w:spacing w:line="480" w:lineRule="auto"/>
              <w:ind w:firstLine="420"/>
              <w:rPr>
                <w:rFonts w:hint="default" w:hAnsi="宋体" w:cs="宋体"/>
                <w:color w:val="auto"/>
                <w:sz w:val="21"/>
                <w:szCs w:val="21"/>
                <w:highlight w:val="none"/>
              </w:rPr>
            </w:pPr>
          </w:p>
        </w:tc>
      </w:tr>
      <w:tr w14:paraId="2BBBD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5BD5BC74">
            <w:pPr>
              <w:pStyle w:val="56"/>
              <w:spacing w:line="480" w:lineRule="auto"/>
              <w:ind w:firstLine="420"/>
              <w:rPr>
                <w:rFonts w:hint="default" w:hAnsi="宋体" w:cs="宋体"/>
                <w:color w:val="auto"/>
                <w:sz w:val="21"/>
                <w:szCs w:val="21"/>
                <w:highlight w:val="none"/>
              </w:rPr>
            </w:pPr>
          </w:p>
        </w:tc>
        <w:tc>
          <w:tcPr>
            <w:tcW w:w="1246" w:type="dxa"/>
          </w:tcPr>
          <w:p w14:paraId="2D7C2ED2">
            <w:pPr>
              <w:pStyle w:val="56"/>
              <w:spacing w:line="480" w:lineRule="auto"/>
              <w:ind w:firstLine="420"/>
              <w:rPr>
                <w:rFonts w:hint="default" w:hAnsi="宋体" w:cs="宋体"/>
                <w:color w:val="auto"/>
                <w:sz w:val="21"/>
                <w:szCs w:val="21"/>
                <w:highlight w:val="none"/>
              </w:rPr>
            </w:pPr>
          </w:p>
        </w:tc>
        <w:tc>
          <w:tcPr>
            <w:tcW w:w="739" w:type="dxa"/>
          </w:tcPr>
          <w:p w14:paraId="573E9861">
            <w:pPr>
              <w:pStyle w:val="56"/>
              <w:spacing w:line="480" w:lineRule="auto"/>
              <w:ind w:firstLine="420"/>
              <w:rPr>
                <w:rFonts w:hint="default" w:hAnsi="宋体" w:cs="宋体"/>
                <w:color w:val="auto"/>
                <w:sz w:val="21"/>
                <w:szCs w:val="21"/>
                <w:highlight w:val="none"/>
              </w:rPr>
            </w:pPr>
          </w:p>
        </w:tc>
        <w:tc>
          <w:tcPr>
            <w:tcW w:w="850" w:type="dxa"/>
          </w:tcPr>
          <w:p w14:paraId="49EA5BFF">
            <w:pPr>
              <w:pStyle w:val="56"/>
              <w:spacing w:line="480" w:lineRule="auto"/>
              <w:ind w:firstLine="420"/>
              <w:rPr>
                <w:rFonts w:hint="default" w:hAnsi="宋体" w:cs="宋体"/>
                <w:color w:val="auto"/>
                <w:sz w:val="21"/>
                <w:szCs w:val="21"/>
                <w:highlight w:val="none"/>
              </w:rPr>
            </w:pPr>
          </w:p>
        </w:tc>
        <w:tc>
          <w:tcPr>
            <w:tcW w:w="862" w:type="dxa"/>
          </w:tcPr>
          <w:p w14:paraId="3C8DAF16">
            <w:pPr>
              <w:pStyle w:val="56"/>
              <w:spacing w:line="480" w:lineRule="auto"/>
              <w:ind w:firstLine="420"/>
              <w:rPr>
                <w:rFonts w:hint="default" w:hAnsi="宋体" w:cs="宋体"/>
                <w:color w:val="auto"/>
                <w:sz w:val="21"/>
                <w:szCs w:val="21"/>
                <w:highlight w:val="none"/>
              </w:rPr>
            </w:pPr>
          </w:p>
        </w:tc>
        <w:tc>
          <w:tcPr>
            <w:tcW w:w="1677" w:type="dxa"/>
          </w:tcPr>
          <w:p w14:paraId="576AA5B7">
            <w:pPr>
              <w:pStyle w:val="56"/>
              <w:spacing w:line="480" w:lineRule="auto"/>
              <w:ind w:firstLine="420"/>
              <w:rPr>
                <w:rFonts w:hint="default" w:hAnsi="宋体" w:cs="宋体"/>
                <w:color w:val="auto"/>
                <w:sz w:val="21"/>
                <w:szCs w:val="21"/>
                <w:highlight w:val="none"/>
              </w:rPr>
            </w:pPr>
          </w:p>
        </w:tc>
        <w:tc>
          <w:tcPr>
            <w:tcW w:w="1201" w:type="dxa"/>
          </w:tcPr>
          <w:p w14:paraId="646DFD71">
            <w:pPr>
              <w:pStyle w:val="56"/>
              <w:spacing w:line="480" w:lineRule="auto"/>
              <w:ind w:firstLine="420"/>
              <w:rPr>
                <w:rFonts w:hint="default" w:hAnsi="宋体" w:cs="宋体"/>
                <w:color w:val="auto"/>
                <w:sz w:val="21"/>
                <w:szCs w:val="21"/>
                <w:highlight w:val="none"/>
              </w:rPr>
            </w:pPr>
          </w:p>
        </w:tc>
        <w:tc>
          <w:tcPr>
            <w:tcW w:w="1080" w:type="dxa"/>
          </w:tcPr>
          <w:p w14:paraId="7992826B">
            <w:pPr>
              <w:pStyle w:val="56"/>
              <w:spacing w:line="480" w:lineRule="auto"/>
              <w:ind w:firstLine="420"/>
              <w:rPr>
                <w:rFonts w:hint="default" w:hAnsi="宋体" w:cs="宋体"/>
                <w:color w:val="auto"/>
                <w:sz w:val="21"/>
                <w:szCs w:val="21"/>
                <w:highlight w:val="none"/>
              </w:rPr>
            </w:pPr>
          </w:p>
        </w:tc>
        <w:tc>
          <w:tcPr>
            <w:tcW w:w="1078" w:type="dxa"/>
          </w:tcPr>
          <w:p w14:paraId="6890FBBA">
            <w:pPr>
              <w:pStyle w:val="56"/>
              <w:spacing w:line="480" w:lineRule="auto"/>
              <w:ind w:firstLine="420"/>
              <w:rPr>
                <w:rFonts w:hint="default" w:hAnsi="宋体" w:cs="宋体"/>
                <w:color w:val="auto"/>
                <w:sz w:val="21"/>
                <w:szCs w:val="21"/>
                <w:highlight w:val="none"/>
              </w:rPr>
            </w:pPr>
          </w:p>
        </w:tc>
      </w:tr>
      <w:tr w14:paraId="1CF2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25710308">
            <w:pPr>
              <w:pStyle w:val="56"/>
              <w:spacing w:line="480" w:lineRule="auto"/>
              <w:ind w:firstLine="420"/>
              <w:rPr>
                <w:rFonts w:hint="default" w:hAnsi="宋体" w:cs="宋体"/>
                <w:color w:val="auto"/>
                <w:sz w:val="21"/>
                <w:szCs w:val="21"/>
                <w:highlight w:val="none"/>
              </w:rPr>
            </w:pPr>
          </w:p>
        </w:tc>
        <w:tc>
          <w:tcPr>
            <w:tcW w:w="1246" w:type="dxa"/>
          </w:tcPr>
          <w:p w14:paraId="7D9E87B3">
            <w:pPr>
              <w:pStyle w:val="56"/>
              <w:spacing w:line="480" w:lineRule="auto"/>
              <w:ind w:firstLine="420"/>
              <w:rPr>
                <w:rFonts w:hint="default" w:hAnsi="宋体" w:cs="宋体"/>
                <w:color w:val="auto"/>
                <w:sz w:val="21"/>
                <w:szCs w:val="21"/>
                <w:highlight w:val="none"/>
              </w:rPr>
            </w:pPr>
          </w:p>
        </w:tc>
        <w:tc>
          <w:tcPr>
            <w:tcW w:w="739" w:type="dxa"/>
          </w:tcPr>
          <w:p w14:paraId="3C00CDFB">
            <w:pPr>
              <w:pStyle w:val="56"/>
              <w:spacing w:line="480" w:lineRule="auto"/>
              <w:ind w:firstLine="420"/>
              <w:rPr>
                <w:rFonts w:hint="default" w:hAnsi="宋体" w:cs="宋体"/>
                <w:color w:val="auto"/>
                <w:sz w:val="21"/>
                <w:szCs w:val="21"/>
                <w:highlight w:val="none"/>
              </w:rPr>
            </w:pPr>
          </w:p>
        </w:tc>
        <w:tc>
          <w:tcPr>
            <w:tcW w:w="850" w:type="dxa"/>
          </w:tcPr>
          <w:p w14:paraId="26ABE1C9">
            <w:pPr>
              <w:pStyle w:val="56"/>
              <w:spacing w:line="480" w:lineRule="auto"/>
              <w:ind w:firstLine="420"/>
              <w:rPr>
                <w:rFonts w:hint="default" w:hAnsi="宋体" w:cs="宋体"/>
                <w:color w:val="auto"/>
                <w:sz w:val="21"/>
                <w:szCs w:val="21"/>
                <w:highlight w:val="none"/>
              </w:rPr>
            </w:pPr>
          </w:p>
        </w:tc>
        <w:tc>
          <w:tcPr>
            <w:tcW w:w="862" w:type="dxa"/>
          </w:tcPr>
          <w:p w14:paraId="5C1A81B5">
            <w:pPr>
              <w:pStyle w:val="56"/>
              <w:spacing w:line="480" w:lineRule="auto"/>
              <w:ind w:firstLine="420"/>
              <w:rPr>
                <w:rFonts w:hint="default" w:hAnsi="宋体" w:cs="宋体"/>
                <w:color w:val="auto"/>
                <w:sz w:val="21"/>
                <w:szCs w:val="21"/>
                <w:highlight w:val="none"/>
              </w:rPr>
            </w:pPr>
          </w:p>
        </w:tc>
        <w:tc>
          <w:tcPr>
            <w:tcW w:w="1677" w:type="dxa"/>
          </w:tcPr>
          <w:p w14:paraId="398B8B80">
            <w:pPr>
              <w:pStyle w:val="56"/>
              <w:spacing w:line="480" w:lineRule="auto"/>
              <w:ind w:firstLine="420"/>
              <w:rPr>
                <w:rFonts w:hint="default" w:hAnsi="宋体" w:cs="宋体"/>
                <w:color w:val="auto"/>
                <w:sz w:val="21"/>
                <w:szCs w:val="21"/>
                <w:highlight w:val="none"/>
              </w:rPr>
            </w:pPr>
          </w:p>
        </w:tc>
        <w:tc>
          <w:tcPr>
            <w:tcW w:w="1201" w:type="dxa"/>
          </w:tcPr>
          <w:p w14:paraId="6930BFD0">
            <w:pPr>
              <w:pStyle w:val="56"/>
              <w:spacing w:line="480" w:lineRule="auto"/>
              <w:ind w:firstLine="420"/>
              <w:rPr>
                <w:rFonts w:hint="default" w:hAnsi="宋体" w:cs="宋体"/>
                <w:color w:val="auto"/>
                <w:sz w:val="21"/>
                <w:szCs w:val="21"/>
                <w:highlight w:val="none"/>
              </w:rPr>
            </w:pPr>
          </w:p>
        </w:tc>
        <w:tc>
          <w:tcPr>
            <w:tcW w:w="1080" w:type="dxa"/>
          </w:tcPr>
          <w:p w14:paraId="2803FA40">
            <w:pPr>
              <w:pStyle w:val="56"/>
              <w:spacing w:line="480" w:lineRule="auto"/>
              <w:ind w:firstLine="420"/>
              <w:rPr>
                <w:rFonts w:hint="default" w:hAnsi="宋体" w:cs="宋体"/>
                <w:color w:val="auto"/>
                <w:sz w:val="21"/>
                <w:szCs w:val="21"/>
                <w:highlight w:val="none"/>
              </w:rPr>
            </w:pPr>
          </w:p>
        </w:tc>
        <w:tc>
          <w:tcPr>
            <w:tcW w:w="1078" w:type="dxa"/>
          </w:tcPr>
          <w:p w14:paraId="25D6D331">
            <w:pPr>
              <w:pStyle w:val="56"/>
              <w:spacing w:line="480" w:lineRule="auto"/>
              <w:ind w:firstLine="420"/>
              <w:rPr>
                <w:rFonts w:hint="default" w:hAnsi="宋体" w:cs="宋体"/>
                <w:color w:val="auto"/>
                <w:sz w:val="21"/>
                <w:szCs w:val="21"/>
                <w:highlight w:val="none"/>
              </w:rPr>
            </w:pPr>
          </w:p>
        </w:tc>
      </w:tr>
      <w:tr w14:paraId="7815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12EBB4B7">
            <w:pPr>
              <w:pStyle w:val="56"/>
              <w:spacing w:line="480" w:lineRule="auto"/>
              <w:ind w:firstLine="420"/>
              <w:rPr>
                <w:rFonts w:hint="default" w:hAnsi="宋体" w:cs="宋体"/>
                <w:color w:val="auto"/>
                <w:sz w:val="21"/>
                <w:szCs w:val="21"/>
                <w:highlight w:val="none"/>
              </w:rPr>
            </w:pPr>
          </w:p>
        </w:tc>
        <w:tc>
          <w:tcPr>
            <w:tcW w:w="1246" w:type="dxa"/>
          </w:tcPr>
          <w:p w14:paraId="2BFACDCB">
            <w:pPr>
              <w:pStyle w:val="56"/>
              <w:spacing w:line="480" w:lineRule="auto"/>
              <w:ind w:firstLine="420"/>
              <w:rPr>
                <w:rFonts w:hint="default" w:hAnsi="宋体" w:cs="宋体"/>
                <w:color w:val="auto"/>
                <w:sz w:val="21"/>
                <w:szCs w:val="21"/>
                <w:highlight w:val="none"/>
              </w:rPr>
            </w:pPr>
          </w:p>
        </w:tc>
        <w:tc>
          <w:tcPr>
            <w:tcW w:w="739" w:type="dxa"/>
          </w:tcPr>
          <w:p w14:paraId="3C14DBD1">
            <w:pPr>
              <w:pStyle w:val="56"/>
              <w:spacing w:line="480" w:lineRule="auto"/>
              <w:ind w:firstLine="420"/>
              <w:rPr>
                <w:rFonts w:hint="default" w:hAnsi="宋体" w:cs="宋体"/>
                <w:color w:val="auto"/>
                <w:sz w:val="21"/>
                <w:szCs w:val="21"/>
                <w:highlight w:val="none"/>
              </w:rPr>
            </w:pPr>
          </w:p>
        </w:tc>
        <w:tc>
          <w:tcPr>
            <w:tcW w:w="850" w:type="dxa"/>
          </w:tcPr>
          <w:p w14:paraId="756A912E">
            <w:pPr>
              <w:pStyle w:val="56"/>
              <w:spacing w:line="480" w:lineRule="auto"/>
              <w:ind w:firstLine="420"/>
              <w:rPr>
                <w:rFonts w:hint="default" w:hAnsi="宋体" w:cs="宋体"/>
                <w:color w:val="auto"/>
                <w:sz w:val="21"/>
                <w:szCs w:val="21"/>
                <w:highlight w:val="none"/>
              </w:rPr>
            </w:pPr>
          </w:p>
        </w:tc>
        <w:tc>
          <w:tcPr>
            <w:tcW w:w="862" w:type="dxa"/>
          </w:tcPr>
          <w:p w14:paraId="35EBA36A">
            <w:pPr>
              <w:pStyle w:val="56"/>
              <w:spacing w:line="480" w:lineRule="auto"/>
              <w:ind w:firstLine="420"/>
              <w:rPr>
                <w:rFonts w:hint="default" w:hAnsi="宋体" w:cs="宋体"/>
                <w:color w:val="auto"/>
                <w:sz w:val="21"/>
                <w:szCs w:val="21"/>
                <w:highlight w:val="none"/>
              </w:rPr>
            </w:pPr>
          </w:p>
        </w:tc>
        <w:tc>
          <w:tcPr>
            <w:tcW w:w="1677" w:type="dxa"/>
          </w:tcPr>
          <w:p w14:paraId="39C2E90F">
            <w:pPr>
              <w:pStyle w:val="56"/>
              <w:spacing w:line="480" w:lineRule="auto"/>
              <w:ind w:firstLine="420"/>
              <w:rPr>
                <w:rFonts w:hint="default" w:hAnsi="宋体" w:cs="宋体"/>
                <w:color w:val="auto"/>
                <w:sz w:val="21"/>
                <w:szCs w:val="21"/>
                <w:highlight w:val="none"/>
              </w:rPr>
            </w:pPr>
          </w:p>
        </w:tc>
        <w:tc>
          <w:tcPr>
            <w:tcW w:w="1201" w:type="dxa"/>
          </w:tcPr>
          <w:p w14:paraId="3B5D66B2">
            <w:pPr>
              <w:pStyle w:val="56"/>
              <w:spacing w:line="480" w:lineRule="auto"/>
              <w:ind w:firstLine="420"/>
              <w:rPr>
                <w:rFonts w:hint="default" w:hAnsi="宋体" w:cs="宋体"/>
                <w:color w:val="auto"/>
                <w:sz w:val="21"/>
                <w:szCs w:val="21"/>
                <w:highlight w:val="none"/>
              </w:rPr>
            </w:pPr>
          </w:p>
        </w:tc>
        <w:tc>
          <w:tcPr>
            <w:tcW w:w="1080" w:type="dxa"/>
          </w:tcPr>
          <w:p w14:paraId="52866350">
            <w:pPr>
              <w:pStyle w:val="56"/>
              <w:spacing w:line="480" w:lineRule="auto"/>
              <w:ind w:firstLine="420"/>
              <w:rPr>
                <w:rFonts w:hint="default" w:hAnsi="宋体" w:cs="宋体"/>
                <w:color w:val="auto"/>
                <w:sz w:val="21"/>
                <w:szCs w:val="21"/>
                <w:highlight w:val="none"/>
              </w:rPr>
            </w:pPr>
          </w:p>
        </w:tc>
        <w:tc>
          <w:tcPr>
            <w:tcW w:w="1078" w:type="dxa"/>
          </w:tcPr>
          <w:p w14:paraId="2157C364">
            <w:pPr>
              <w:pStyle w:val="56"/>
              <w:spacing w:line="480" w:lineRule="auto"/>
              <w:ind w:firstLine="420"/>
              <w:rPr>
                <w:rFonts w:hint="default" w:hAnsi="宋体" w:cs="宋体"/>
                <w:color w:val="auto"/>
                <w:sz w:val="21"/>
                <w:szCs w:val="21"/>
                <w:highlight w:val="none"/>
              </w:rPr>
            </w:pPr>
          </w:p>
        </w:tc>
      </w:tr>
      <w:tr w14:paraId="6DB0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46D0C3FF">
            <w:pPr>
              <w:pStyle w:val="56"/>
              <w:spacing w:line="480" w:lineRule="auto"/>
              <w:ind w:firstLine="420"/>
              <w:rPr>
                <w:rFonts w:hint="default" w:hAnsi="宋体" w:cs="宋体"/>
                <w:color w:val="auto"/>
                <w:sz w:val="21"/>
                <w:szCs w:val="21"/>
                <w:highlight w:val="none"/>
              </w:rPr>
            </w:pPr>
          </w:p>
        </w:tc>
        <w:tc>
          <w:tcPr>
            <w:tcW w:w="1246" w:type="dxa"/>
          </w:tcPr>
          <w:p w14:paraId="46A4BC45">
            <w:pPr>
              <w:pStyle w:val="56"/>
              <w:spacing w:line="480" w:lineRule="auto"/>
              <w:ind w:firstLine="420"/>
              <w:rPr>
                <w:rFonts w:hint="default" w:hAnsi="宋体" w:cs="宋体"/>
                <w:color w:val="auto"/>
                <w:sz w:val="21"/>
                <w:szCs w:val="21"/>
                <w:highlight w:val="none"/>
              </w:rPr>
            </w:pPr>
          </w:p>
        </w:tc>
        <w:tc>
          <w:tcPr>
            <w:tcW w:w="739" w:type="dxa"/>
          </w:tcPr>
          <w:p w14:paraId="3F57BC1F">
            <w:pPr>
              <w:pStyle w:val="56"/>
              <w:spacing w:line="480" w:lineRule="auto"/>
              <w:ind w:firstLine="420"/>
              <w:rPr>
                <w:rFonts w:hint="default" w:hAnsi="宋体" w:cs="宋体"/>
                <w:color w:val="auto"/>
                <w:sz w:val="21"/>
                <w:szCs w:val="21"/>
                <w:highlight w:val="none"/>
              </w:rPr>
            </w:pPr>
          </w:p>
        </w:tc>
        <w:tc>
          <w:tcPr>
            <w:tcW w:w="850" w:type="dxa"/>
          </w:tcPr>
          <w:p w14:paraId="2A8D58AD">
            <w:pPr>
              <w:pStyle w:val="56"/>
              <w:spacing w:line="480" w:lineRule="auto"/>
              <w:ind w:firstLine="420"/>
              <w:rPr>
                <w:rFonts w:hint="default" w:hAnsi="宋体" w:cs="宋体"/>
                <w:color w:val="auto"/>
                <w:sz w:val="21"/>
                <w:szCs w:val="21"/>
                <w:highlight w:val="none"/>
              </w:rPr>
            </w:pPr>
          </w:p>
        </w:tc>
        <w:tc>
          <w:tcPr>
            <w:tcW w:w="862" w:type="dxa"/>
          </w:tcPr>
          <w:p w14:paraId="793AE7E3">
            <w:pPr>
              <w:pStyle w:val="56"/>
              <w:spacing w:line="480" w:lineRule="auto"/>
              <w:ind w:firstLine="420"/>
              <w:rPr>
                <w:rFonts w:hint="default" w:hAnsi="宋体" w:cs="宋体"/>
                <w:color w:val="auto"/>
                <w:sz w:val="21"/>
                <w:szCs w:val="21"/>
                <w:highlight w:val="none"/>
              </w:rPr>
            </w:pPr>
          </w:p>
        </w:tc>
        <w:tc>
          <w:tcPr>
            <w:tcW w:w="1677" w:type="dxa"/>
          </w:tcPr>
          <w:p w14:paraId="5E152993">
            <w:pPr>
              <w:pStyle w:val="56"/>
              <w:spacing w:line="480" w:lineRule="auto"/>
              <w:ind w:firstLine="420"/>
              <w:rPr>
                <w:rFonts w:hint="default" w:hAnsi="宋体" w:cs="宋体"/>
                <w:color w:val="auto"/>
                <w:sz w:val="21"/>
                <w:szCs w:val="21"/>
                <w:highlight w:val="none"/>
              </w:rPr>
            </w:pPr>
          </w:p>
        </w:tc>
        <w:tc>
          <w:tcPr>
            <w:tcW w:w="1201" w:type="dxa"/>
          </w:tcPr>
          <w:p w14:paraId="05D824C8">
            <w:pPr>
              <w:pStyle w:val="56"/>
              <w:spacing w:line="480" w:lineRule="auto"/>
              <w:ind w:firstLine="420"/>
              <w:rPr>
                <w:rFonts w:hint="default" w:hAnsi="宋体" w:cs="宋体"/>
                <w:color w:val="auto"/>
                <w:sz w:val="21"/>
                <w:szCs w:val="21"/>
                <w:highlight w:val="none"/>
              </w:rPr>
            </w:pPr>
          </w:p>
        </w:tc>
        <w:tc>
          <w:tcPr>
            <w:tcW w:w="1080" w:type="dxa"/>
          </w:tcPr>
          <w:p w14:paraId="4F4A1288">
            <w:pPr>
              <w:pStyle w:val="56"/>
              <w:spacing w:line="480" w:lineRule="auto"/>
              <w:ind w:firstLine="420"/>
              <w:rPr>
                <w:rFonts w:hint="default" w:hAnsi="宋体" w:cs="宋体"/>
                <w:color w:val="auto"/>
                <w:sz w:val="21"/>
                <w:szCs w:val="21"/>
                <w:highlight w:val="none"/>
              </w:rPr>
            </w:pPr>
          </w:p>
        </w:tc>
        <w:tc>
          <w:tcPr>
            <w:tcW w:w="1078" w:type="dxa"/>
          </w:tcPr>
          <w:p w14:paraId="7659C919">
            <w:pPr>
              <w:pStyle w:val="56"/>
              <w:spacing w:line="480" w:lineRule="auto"/>
              <w:ind w:firstLine="420"/>
              <w:rPr>
                <w:rFonts w:hint="default" w:hAnsi="宋体" w:cs="宋体"/>
                <w:color w:val="auto"/>
                <w:sz w:val="21"/>
                <w:szCs w:val="21"/>
                <w:highlight w:val="none"/>
              </w:rPr>
            </w:pPr>
          </w:p>
        </w:tc>
      </w:tr>
      <w:tr w14:paraId="1439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4CD4C71C">
            <w:pPr>
              <w:pStyle w:val="56"/>
              <w:spacing w:line="480" w:lineRule="auto"/>
              <w:ind w:firstLine="420"/>
              <w:rPr>
                <w:rFonts w:hint="default" w:hAnsi="宋体" w:cs="宋体"/>
                <w:color w:val="auto"/>
                <w:sz w:val="21"/>
                <w:szCs w:val="21"/>
                <w:highlight w:val="none"/>
              </w:rPr>
            </w:pPr>
          </w:p>
        </w:tc>
        <w:tc>
          <w:tcPr>
            <w:tcW w:w="1246" w:type="dxa"/>
          </w:tcPr>
          <w:p w14:paraId="0C200AC7">
            <w:pPr>
              <w:pStyle w:val="56"/>
              <w:spacing w:line="480" w:lineRule="auto"/>
              <w:ind w:firstLine="420"/>
              <w:rPr>
                <w:rFonts w:hint="default" w:hAnsi="宋体" w:cs="宋体"/>
                <w:color w:val="auto"/>
                <w:sz w:val="21"/>
                <w:szCs w:val="21"/>
                <w:highlight w:val="none"/>
              </w:rPr>
            </w:pPr>
          </w:p>
        </w:tc>
        <w:tc>
          <w:tcPr>
            <w:tcW w:w="739" w:type="dxa"/>
          </w:tcPr>
          <w:p w14:paraId="057D7639">
            <w:pPr>
              <w:pStyle w:val="56"/>
              <w:spacing w:line="480" w:lineRule="auto"/>
              <w:ind w:firstLine="420"/>
              <w:rPr>
                <w:rFonts w:hint="default" w:hAnsi="宋体" w:cs="宋体"/>
                <w:color w:val="auto"/>
                <w:sz w:val="21"/>
                <w:szCs w:val="21"/>
                <w:highlight w:val="none"/>
              </w:rPr>
            </w:pPr>
          </w:p>
        </w:tc>
        <w:tc>
          <w:tcPr>
            <w:tcW w:w="850" w:type="dxa"/>
          </w:tcPr>
          <w:p w14:paraId="6E9ADF1A">
            <w:pPr>
              <w:pStyle w:val="56"/>
              <w:spacing w:line="480" w:lineRule="auto"/>
              <w:ind w:firstLine="420"/>
              <w:rPr>
                <w:rFonts w:hint="default" w:hAnsi="宋体" w:cs="宋体"/>
                <w:color w:val="auto"/>
                <w:sz w:val="21"/>
                <w:szCs w:val="21"/>
                <w:highlight w:val="none"/>
              </w:rPr>
            </w:pPr>
          </w:p>
        </w:tc>
        <w:tc>
          <w:tcPr>
            <w:tcW w:w="862" w:type="dxa"/>
          </w:tcPr>
          <w:p w14:paraId="1B03EAF8">
            <w:pPr>
              <w:pStyle w:val="56"/>
              <w:spacing w:line="480" w:lineRule="auto"/>
              <w:ind w:firstLine="420"/>
              <w:rPr>
                <w:rFonts w:hint="default" w:hAnsi="宋体" w:cs="宋体"/>
                <w:color w:val="auto"/>
                <w:sz w:val="21"/>
                <w:szCs w:val="21"/>
                <w:highlight w:val="none"/>
              </w:rPr>
            </w:pPr>
          </w:p>
        </w:tc>
        <w:tc>
          <w:tcPr>
            <w:tcW w:w="1677" w:type="dxa"/>
          </w:tcPr>
          <w:p w14:paraId="718F1046">
            <w:pPr>
              <w:pStyle w:val="56"/>
              <w:spacing w:line="480" w:lineRule="auto"/>
              <w:ind w:firstLine="420"/>
              <w:rPr>
                <w:rFonts w:hint="default" w:hAnsi="宋体" w:cs="宋体"/>
                <w:color w:val="auto"/>
                <w:sz w:val="21"/>
                <w:szCs w:val="21"/>
                <w:highlight w:val="none"/>
              </w:rPr>
            </w:pPr>
          </w:p>
        </w:tc>
        <w:tc>
          <w:tcPr>
            <w:tcW w:w="1201" w:type="dxa"/>
          </w:tcPr>
          <w:p w14:paraId="3EA49AC2">
            <w:pPr>
              <w:pStyle w:val="56"/>
              <w:spacing w:line="480" w:lineRule="auto"/>
              <w:ind w:firstLine="420"/>
              <w:rPr>
                <w:rFonts w:hint="default" w:hAnsi="宋体" w:cs="宋体"/>
                <w:color w:val="auto"/>
                <w:sz w:val="21"/>
                <w:szCs w:val="21"/>
                <w:highlight w:val="none"/>
              </w:rPr>
            </w:pPr>
          </w:p>
        </w:tc>
        <w:tc>
          <w:tcPr>
            <w:tcW w:w="1080" w:type="dxa"/>
          </w:tcPr>
          <w:p w14:paraId="4031A7C1">
            <w:pPr>
              <w:pStyle w:val="56"/>
              <w:spacing w:line="480" w:lineRule="auto"/>
              <w:ind w:firstLine="420"/>
              <w:rPr>
                <w:rFonts w:hint="default" w:hAnsi="宋体" w:cs="宋体"/>
                <w:color w:val="auto"/>
                <w:sz w:val="21"/>
                <w:szCs w:val="21"/>
                <w:highlight w:val="none"/>
              </w:rPr>
            </w:pPr>
          </w:p>
        </w:tc>
        <w:tc>
          <w:tcPr>
            <w:tcW w:w="1078" w:type="dxa"/>
          </w:tcPr>
          <w:p w14:paraId="389F402E">
            <w:pPr>
              <w:pStyle w:val="56"/>
              <w:spacing w:line="480" w:lineRule="auto"/>
              <w:ind w:firstLine="420"/>
              <w:rPr>
                <w:rFonts w:hint="default" w:hAnsi="宋体" w:cs="宋体"/>
                <w:color w:val="auto"/>
                <w:sz w:val="21"/>
                <w:szCs w:val="21"/>
                <w:highlight w:val="none"/>
              </w:rPr>
            </w:pPr>
          </w:p>
        </w:tc>
      </w:tr>
    </w:tbl>
    <w:p w14:paraId="4BB79AF8">
      <w:pPr>
        <w:pStyle w:val="56"/>
        <w:ind w:firstLine="420"/>
        <w:rPr>
          <w:rFonts w:hint="default" w:hAnsi="宋体" w:cs="宋体"/>
          <w:b/>
          <w:bCs w:val="0"/>
          <w:color w:val="auto"/>
          <w:sz w:val="21"/>
          <w:szCs w:val="21"/>
          <w:highlight w:val="none"/>
        </w:rPr>
      </w:pPr>
      <w:r>
        <w:rPr>
          <w:rFonts w:hAnsi="宋体" w:cs="宋体"/>
          <w:b/>
          <w:bCs w:val="0"/>
          <w:color w:val="auto"/>
          <w:sz w:val="21"/>
          <w:szCs w:val="21"/>
          <w:highlight w:val="none"/>
        </w:rPr>
        <w:t>备注：</w:t>
      </w:r>
    </w:p>
    <w:p w14:paraId="3D42A6B6">
      <w:pPr>
        <w:pStyle w:val="56"/>
        <w:ind w:firstLine="420"/>
        <w:rPr>
          <w:rFonts w:hint="default" w:hAnsi="宋体" w:cs="宋体"/>
          <w:b/>
          <w:bCs w:val="0"/>
          <w:color w:val="auto"/>
          <w:sz w:val="21"/>
          <w:szCs w:val="21"/>
          <w:highlight w:val="none"/>
        </w:rPr>
      </w:pPr>
      <w:bookmarkStart w:id="1356" w:name="OLE_LINK351"/>
      <w:r>
        <w:rPr>
          <w:rFonts w:hAnsi="宋体" w:cs="宋体"/>
          <w:b/>
          <w:bCs w:val="0"/>
          <w:color w:val="auto"/>
          <w:sz w:val="21"/>
          <w:szCs w:val="21"/>
          <w:highlight w:val="none"/>
        </w:rPr>
        <w:t>（1）此表格式供参照，投标人可以根据本表格式内容自行划表填写。</w:t>
      </w:r>
    </w:p>
    <w:bookmarkEnd w:id="1356"/>
    <w:p w14:paraId="6B3C7891">
      <w:pPr>
        <w:pStyle w:val="56"/>
        <w:ind w:firstLine="420"/>
        <w:rPr>
          <w:rFonts w:hint="default" w:hAnsi="宋体" w:cs="宋体"/>
          <w:b/>
          <w:bCs w:val="0"/>
          <w:color w:val="auto"/>
          <w:sz w:val="21"/>
          <w:szCs w:val="21"/>
          <w:highlight w:val="none"/>
        </w:rPr>
      </w:pPr>
      <w:r>
        <w:rPr>
          <w:rFonts w:hAnsi="宋体" w:cs="宋体"/>
          <w:b/>
          <w:bCs w:val="0"/>
          <w:color w:val="auto"/>
          <w:sz w:val="21"/>
          <w:szCs w:val="21"/>
          <w:highlight w:val="none"/>
        </w:rPr>
        <w:t>（2）须附有资格证书[学历证书/职称证/执业/职业资格证]的扫描件加盖投标人公章，并提供由人力资源和社会保障部门（或税务部门）出具的投标人2025年2月至2025年7月为其缴纳的社会保险凭证扫描件加盖投标人公章。</w:t>
      </w:r>
    </w:p>
    <w:p w14:paraId="10946037">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p>
    <w:p w14:paraId="6C6C65B5">
      <w:pPr>
        <w:widowControl/>
        <w:numPr>
          <w:ilvl w:val="255"/>
          <w:numId w:val="0"/>
        </w:numPr>
        <w:jc w:val="left"/>
        <w:rPr>
          <w:rFonts w:ascii="宋体" w:hAnsi="宋体" w:eastAsia="宋体" w:cs="宋体"/>
          <w:b/>
          <w:color w:val="auto"/>
          <w:kern w:val="0"/>
          <w:sz w:val="30"/>
          <w:szCs w:val="30"/>
          <w:highlight w:val="none"/>
        </w:rPr>
      </w:pPr>
      <w:bookmarkStart w:id="1357" w:name="_Toc3308"/>
      <w:bookmarkStart w:id="1358" w:name="_Toc14859"/>
      <w:bookmarkStart w:id="1359" w:name="_Toc17536"/>
      <w:r>
        <w:rPr>
          <w:rFonts w:hint="eastAsia" w:ascii="宋体" w:hAnsi="宋体" w:eastAsia="宋体" w:cs="宋体"/>
          <w:b/>
          <w:color w:val="auto"/>
          <w:kern w:val="0"/>
          <w:sz w:val="30"/>
          <w:szCs w:val="30"/>
          <w:highlight w:val="none"/>
        </w:rPr>
        <w:br w:type="page"/>
      </w:r>
    </w:p>
    <w:p w14:paraId="092A6AD0">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1360" w:name="_Toc3012"/>
      <w:r>
        <w:rPr>
          <w:rFonts w:hint="eastAsia" w:ascii="宋体" w:hAnsi="宋体" w:eastAsia="宋体" w:cs="宋体"/>
          <w:b/>
          <w:color w:val="auto"/>
          <w:kern w:val="0"/>
          <w:sz w:val="30"/>
          <w:szCs w:val="30"/>
          <w:highlight w:val="none"/>
        </w:rPr>
        <w:t>七、</w:t>
      </w:r>
      <w:bookmarkEnd w:id="1357"/>
      <w:r>
        <w:rPr>
          <w:rFonts w:hint="eastAsia" w:ascii="宋体" w:hAnsi="宋体" w:eastAsia="宋体" w:cs="宋体"/>
          <w:b/>
          <w:color w:val="auto"/>
          <w:kern w:val="0"/>
          <w:sz w:val="30"/>
          <w:szCs w:val="30"/>
          <w:highlight w:val="none"/>
        </w:rPr>
        <w:t>系统总体设计方案</w:t>
      </w:r>
      <w:bookmarkEnd w:id="1358"/>
      <w:bookmarkEnd w:id="1359"/>
      <w:bookmarkEnd w:id="1360"/>
    </w:p>
    <w:p w14:paraId="4164BFA8">
      <w:pPr>
        <w:pStyle w:val="56"/>
        <w:ind w:firstLine="420"/>
        <w:rPr>
          <w:rFonts w:hint="default" w:hAnsi="宋体" w:cs="宋体"/>
          <w:color w:val="auto"/>
          <w:kern w:val="2"/>
          <w:sz w:val="21"/>
          <w:szCs w:val="21"/>
          <w:highlight w:val="none"/>
        </w:rPr>
      </w:pPr>
      <w:r>
        <w:rPr>
          <w:rFonts w:hAnsi="宋体" w:cs="宋体"/>
          <w:color w:val="auto"/>
          <w:kern w:val="2"/>
          <w:sz w:val="21"/>
          <w:szCs w:val="21"/>
          <w:highlight w:val="none"/>
        </w:rPr>
        <w:t>说明：投标人应根据本项目采购内容和评标工作大纲技术评审细则的要求，自行编制，系统总体设计方案主要包括但不限于以下内容：对本项目重点难点分析、场地分析、整体规划布置、技术措施、设计服务承诺等内容。</w:t>
      </w:r>
    </w:p>
    <w:p w14:paraId="7A7DB15F">
      <w:pPr>
        <w:pageBreakBefore/>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1361" w:name="_Toc18994"/>
      <w:bookmarkStart w:id="1362" w:name="_Toc20404"/>
      <w:bookmarkStart w:id="1363" w:name="_Toc26071"/>
      <w:bookmarkStart w:id="1364" w:name="_Toc8905"/>
      <w:r>
        <w:rPr>
          <w:rFonts w:hint="eastAsia" w:ascii="宋体" w:hAnsi="宋体" w:eastAsia="宋体" w:cs="宋体"/>
          <w:b/>
          <w:color w:val="auto"/>
          <w:kern w:val="0"/>
          <w:sz w:val="30"/>
          <w:szCs w:val="30"/>
          <w:highlight w:val="none"/>
        </w:rPr>
        <w:t>八、</w:t>
      </w:r>
      <w:bookmarkEnd w:id="1361"/>
      <w:bookmarkEnd w:id="1362"/>
      <w:bookmarkEnd w:id="1363"/>
      <w:bookmarkStart w:id="1365" w:name="_Toc27659"/>
      <w:bookmarkStart w:id="1366" w:name="_Toc18621"/>
      <w:bookmarkStart w:id="1367" w:name="_Toc2251"/>
      <w:r>
        <w:rPr>
          <w:rFonts w:hint="eastAsia" w:ascii="宋体" w:hAnsi="宋体" w:eastAsia="宋体" w:cs="宋体"/>
          <w:b/>
          <w:color w:val="auto"/>
          <w:kern w:val="0"/>
          <w:sz w:val="30"/>
          <w:szCs w:val="30"/>
          <w:highlight w:val="none"/>
        </w:rPr>
        <w:t>项目实施方案</w:t>
      </w:r>
      <w:bookmarkEnd w:id="1365"/>
      <w:bookmarkEnd w:id="1366"/>
      <w:bookmarkEnd w:id="1367"/>
      <w:bookmarkStart w:id="1368" w:name="OLE_LINK342"/>
    </w:p>
    <w:p w14:paraId="32993C0D">
      <w:pPr>
        <w:widowControl/>
        <w:numPr>
          <w:ilvl w:val="255"/>
          <w:numId w:val="0"/>
        </w:numPr>
        <w:spacing w:line="36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说明：投标人应根据本项目采购内容和评标工作大纲技术评审细则的要求，自行编制，项目实施方案主要包括但不限于以下内容：项目进度计划、人员机械安排、供货计划、运输方案、安装技术方案、现场总平面布置、并网送电计划、质量保证方案、应急管理方案等内容。</w:t>
      </w:r>
    </w:p>
    <w:p w14:paraId="53E00220">
      <w:pPr>
        <w:pageBreakBefore/>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九、安全保证措施</w:t>
      </w:r>
    </w:p>
    <w:p w14:paraId="5B97CDE2">
      <w:pPr>
        <w:widowControl/>
        <w:numPr>
          <w:ilvl w:val="255"/>
          <w:numId w:val="0"/>
        </w:numPr>
        <w:spacing w:line="36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说明：投标人应根据本项目采购内容和评标工作大纲技术评审细则的要求，自行编制，项目实施方案主要包括但不限于以下内容：</w:t>
      </w:r>
      <w:r>
        <w:rPr>
          <w:rFonts w:hint="eastAsia" w:ascii="宋体" w:hAnsi="宋体" w:eastAsia="宋体" w:cs="宋体"/>
          <w:color w:val="auto"/>
          <w:szCs w:val="21"/>
          <w:highlight w:val="none"/>
        </w:rPr>
        <w:t>不停产情况下池面上空作业的安全措施、</w:t>
      </w:r>
      <w:r>
        <w:rPr>
          <w:rFonts w:hint="eastAsia" w:ascii="宋体" w:hAnsi="宋体" w:eastAsia="宋体" w:cs="宋体"/>
          <w:bCs/>
          <w:color w:val="auto"/>
          <w:szCs w:val="21"/>
          <w:highlight w:val="none"/>
        </w:rPr>
        <w:t>成品保护措施、用电专项方案、高处作业专项方案、吊装作业专项方案、动火作业专项方案等内容。</w:t>
      </w:r>
    </w:p>
    <w:p w14:paraId="5F5CD883">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p>
    <w:p w14:paraId="34B14C7B">
      <w:pPr>
        <w:pageBreakBefore/>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十、技术服务运维方案</w:t>
      </w:r>
    </w:p>
    <w:p w14:paraId="2701F803">
      <w:pPr>
        <w:widowControl/>
        <w:numPr>
          <w:ilvl w:val="255"/>
          <w:numId w:val="0"/>
        </w:numPr>
        <w:spacing w:line="36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说明：投标人应根据本项目采购内容和评标工作大纲技术评审细则的要求，自行编制，项目实施方案主要包括但不限于以下内容：服务承诺、技术支持、保修期、备品备件、维护保养时间安排(整体检查计划、故障通知响应时间、修复故障时间)等]、应急和安全保障措施、技术培训等内容。</w:t>
      </w:r>
    </w:p>
    <w:p w14:paraId="16A86398">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p>
    <w:p w14:paraId="0613C9FD">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p>
    <w:bookmarkEnd w:id="1368"/>
    <w:p w14:paraId="2E67ECA6">
      <w:pPr>
        <w:pageBreakBefore/>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1369" w:name="_Toc4101"/>
      <w:bookmarkStart w:id="1370" w:name="_Toc19170"/>
      <w:bookmarkStart w:id="1371" w:name="_Toc24213"/>
      <w:r>
        <w:rPr>
          <w:rFonts w:hint="eastAsia" w:ascii="宋体" w:hAnsi="宋体" w:eastAsia="宋体" w:cs="宋体"/>
          <w:b/>
          <w:color w:val="auto"/>
          <w:kern w:val="0"/>
          <w:sz w:val="30"/>
          <w:szCs w:val="30"/>
          <w:highlight w:val="none"/>
        </w:rPr>
        <w:t>十一、投标人认为有必要提供的其它材料（不做强制要求）</w:t>
      </w:r>
      <w:bookmarkEnd w:id="1364"/>
      <w:bookmarkEnd w:id="1369"/>
      <w:bookmarkEnd w:id="1370"/>
      <w:bookmarkEnd w:id="1371"/>
    </w:p>
    <w:bookmarkEnd w:id="1341"/>
    <w:bookmarkEnd w:id="1342"/>
    <w:bookmarkEnd w:id="1343"/>
    <w:bookmarkEnd w:id="1344"/>
    <w:p w14:paraId="0099DCEA">
      <w:pPr>
        <w:widowControl/>
        <w:autoSpaceDE w:val="0"/>
        <w:autoSpaceDN w:val="0"/>
        <w:adjustRightInd w:val="0"/>
        <w:spacing w:line="360" w:lineRule="auto"/>
        <w:jc w:val="center"/>
        <w:rPr>
          <w:rFonts w:ascii="宋体" w:hAnsi="宋体" w:eastAsia="宋体" w:cs="宋体"/>
          <w:color w:val="auto"/>
          <w:szCs w:val="21"/>
          <w:highlight w:val="none"/>
        </w:rPr>
      </w:pPr>
    </w:p>
    <w:p w14:paraId="7E655D2F">
      <w:pPr>
        <w:pStyle w:val="17"/>
        <w:rPr>
          <w:rFonts w:ascii="宋体" w:hAnsi="宋体" w:eastAsia="宋体" w:cs="宋体"/>
          <w:color w:val="auto"/>
          <w:highlight w:val="none"/>
        </w:rPr>
      </w:pPr>
    </w:p>
    <w:p w14:paraId="45BC0D67">
      <w:pPr>
        <w:tabs>
          <w:tab w:val="left" w:pos="567"/>
        </w:tabs>
        <w:autoSpaceDE w:val="0"/>
        <w:autoSpaceDN w:val="0"/>
        <w:adjustRightInd w:val="0"/>
        <w:spacing w:line="360" w:lineRule="auto"/>
        <w:jc w:val="left"/>
        <w:rPr>
          <w:rFonts w:ascii="宋体" w:hAnsi="宋体" w:eastAsia="宋体" w:cs="宋体"/>
          <w:b/>
          <w:color w:val="auto"/>
          <w:kern w:val="0"/>
          <w:sz w:val="30"/>
          <w:szCs w:val="30"/>
          <w:highlight w:val="none"/>
        </w:rPr>
      </w:pPr>
    </w:p>
    <w:p w14:paraId="2D0D9B30">
      <w:pPr>
        <w:tabs>
          <w:tab w:val="left" w:pos="567"/>
        </w:tabs>
        <w:autoSpaceDE w:val="0"/>
        <w:autoSpaceDN w:val="0"/>
        <w:adjustRightInd w:val="0"/>
        <w:spacing w:line="360" w:lineRule="auto"/>
        <w:jc w:val="left"/>
        <w:rPr>
          <w:rFonts w:ascii="宋体" w:hAnsi="宋体" w:eastAsia="宋体" w:cs="宋体"/>
          <w:b/>
          <w:color w:val="auto"/>
          <w:kern w:val="0"/>
          <w:sz w:val="30"/>
          <w:szCs w:val="30"/>
          <w:highlight w:val="none"/>
        </w:rPr>
      </w:pPr>
    </w:p>
    <w:bookmarkEnd w:id="1324"/>
    <w:bookmarkEnd w:id="1325"/>
    <w:bookmarkEnd w:id="1326"/>
    <w:bookmarkEnd w:id="1327"/>
    <w:bookmarkEnd w:id="1328"/>
    <w:p w14:paraId="02F8F726">
      <w:pPr>
        <w:autoSpaceDE w:val="0"/>
        <w:autoSpaceDN w:val="0"/>
        <w:adjustRightInd w:val="0"/>
        <w:jc w:val="left"/>
        <w:rPr>
          <w:rFonts w:ascii="宋体" w:hAnsi="宋体" w:eastAsia="宋体" w:cs="宋体"/>
          <w:color w:val="auto"/>
          <w:kern w:val="0"/>
          <w:sz w:val="24"/>
          <w:szCs w:val="24"/>
          <w:highlight w:val="none"/>
        </w:rPr>
      </w:pPr>
    </w:p>
    <w:p w14:paraId="1AEC4001">
      <w:pPr>
        <w:autoSpaceDE w:val="0"/>
        <w:autoSpaceDN w:val="0"/>
        <w:adjustRightInd w:val="0"/>
        <w:jc w:val="left"/>
        <w:rPr>
          <w:rFonts w:ascii="宋体" w:hAnsi="宋体" w:eastAsia="宋体" w:cs="宋体"/>
          <w:color w:val="auto"/>
          <w:kern w:val="0"/>
          <w:sz w:val="24"/>
          <w:szCs w:val="24"/>
          <w:highlight w:val="none"/>
        </w:rPr>
      </w:pPr>
    </w:p>
    <w:p w14:paraId="0C5D9D7A">
      <w:pPr>
        <w:autoSpaceDE w:val="0"/>
        <w:autoSpaceDN w:val="0"/>
        <w:adjustRightInd w:val="0"/>
        <w:jc w:val="left"/>
        <w:rPr>
          <w:rFonts w:ascii="宋体" w:hAnsi="宋体" w:eastAsia="宋体" w:cs="宋体"/>
          <w:color w:val="auto"/>
          <w:kern w:val="0"/>
          <w:sz w:val="24"/>
          <w:szCs w:val="24"/>
          <w:highlight w:val="none"/>
        </w:rPr>
      </w:pPr>
    </w:p>
    <w:p w14:paraId="46B97D2B">
      <w:pPr>
        <w:autoSpaceDE w:val="0"/>
        <w:autoSpaceDN w:val="0"/>
        <w:adjustRightInd w:val="0"/>
        <w:jc w:val="left"/>
        <w:rPr>
          <w:rFonts w:ascii="宋体" w:hAnsi="宋体" w:eastAsia="宋体" w:cs="宋体"/>
          <w:color w:val="auto"/>
          <w:kern w:val="0"/>
          <w:sz w:val="24"/>
          <w:szCs w:val="24"/>
          <w:highlight w:val="none"/>
        </w:rPr>
      </w:pPr>
    </w:p>
    <w:p w14:paraId="75F7E68C">
      <w:pPr>
        <w:jc w:val="left"/>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6930D7CF">
      <w:pPr>
        <w:jc w:val="center"/>
        <w:outlineLvl w:val="0"/>
        <w:rPr>
          <w:rFonts w:ascii="宋体" w:hAnsi="宋体" w:eastAsia="宋体" w:cs="宋体"/>
          <w:b/>
          <w:color w:val="auto"/>
          <w:kern w:val="0"/>
          <w:sz w:val="32"/>
          <w:szCs w:val="32"/>
          <w:highlight w:val="none"/>
        </w:rPr>
      </w:pPr>
      <w:bookmarkStart w:id="1372" w:name="_Toc18687"/>
      <w:bookmarkStart w:id="1373" w:name="_Toc195714410"/>
      <w:bookmarkStart w:id="1374" w:name="_Toc28725"/>
      <w:bookmarkStart w:id="1375" w:name="_Toc13597"/>
      <w:bookmarkStart w:id="1376" w:name="_Toc1298"/>
      <w:bookmarkStart w:id="1377" w:name="_Toc13980"/>
      <w:bookmarkStart w:id="1378" w:name="_Toc29896"/>
      <w:bookmarkStart w:id="1379" w:name="_Toc16585"/>
      <w:r>
        <w:rPr>
          <w:rFonts w:hint="eastAsia" w:ascii="宋体" w:hAnsi="宋体" w:eastAsia="宋体" w:cs="宋体"/>
          <w:b/>
          <w:color w:val="auto"/>
          <w:kern w:val="0"/>
          <w:sz w:val="32"/>
          <w:szCs w:val="32"/>
          <w:highlight w:val="none"/>
        </w:rPr>
        <w:t>三  投标文件报价信封格式</w:t>
      </w:r>
      <w:bookmarkEnd w:id="1372"/>
      <w:bookmarkEnd w:id="1373"/>
      <w:bookmarkEnd w:id="1374"/>
      <w:bookmarkEnd w:id="1375"/>
      <w:bookmarkEnd w:id="1376"/>
      <w:bookmarkEnd w:id="1377"/>
      <w:bookmarkEnd w:id="1378"/>
      <w:bookmarkEnd w:id="1379"/>
    </w:p>
    <w:p w14:paraId="74B108B2">
      <w:pPr>
        <w:jc w:val="center"/>
        <w:rPr>
          <w:rFonts w:ascii="宋体" w:hAnsi="宋体" w:eastAsia="宋体" w:cs="宋体"/>
          <w:b/>
          <w:color w:val="auto"/>
          <w:kern w:val="0"/>
          <w:sz w:val="32"/>
          <w:szCs w:val="32"/>
          <w:highlight w:val="none"/>
        </w:rPr>
      </w:pPr>
    </w:p>
    <w:p w14:paraId="5C804813">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本部分由投标人使用电子标书制作软件编制并生成报价信封。报价信封的编制要求详见第二篇投标人须知第17.6.3项。由投标人按格式要求进行电子签名。</w:t>
      </w:r>
    </w:p>
    <w:p w14:paraId="3A154A4B">
      <w:pPr>
        <w:autoSpaceDE w:val="0"/>
        <w:autoSpaceDN w:val="0"/>
        <w:adjustRightInd w:val="0"/>
        <w:jc w:val="left"/>
        <w:rPr>
          <w:rFonts w:ascii="宋体" w:hAnsi="宋体" w:eastAsia="宋体" w:cs="宋体"/>
          <w:color w:val="auto"/>
          <w:kern w:val="0"/>
          <w:sz w:val="24"/>
          <w:szCs w:val="24"/>
          <w:highlight w:val="none"/>
        </w:rPr>
      </w:pPr>
    </w:p>
    <w:p w14:paraId="4453690D">
      <w:pPr>
        <w:autoSpaceDE w:val="0"/>
        <w:autoSpaceDN w:val="0"/>
        <w:adjustRightInd w:val="0"/>
        <w:jc w:val="left"/>
        <w:rPr>
          <w:rFonts w:ascii="宋体" w:hAnsi="宋体" w:eastAsia="宋体" w:cs="宋体"/>
          <w:color w:val="auto"/>
          <w:kern w:val="0"/>
          <w:sz w:val="24"/>
          <w:szCs w:val="24"/>
          <w:highlight w:val="none"/>
        </w:rPr>
      </w:pPr>
    </w:p>
    <w:p w14:paraId="2F4DF206">
      <w:pPr>
        <w:autoSpaceDE w:val="0"/>
        <w:autoSpaceDN w:val="0"/>
        <w:adjustRightInd w:val="0"/>
        <w:jc w:val="left"/>
        <w:rPr>
          <w:rFonts w:ascii="宋体" w:hAnsi="宋体" w:eastAsia="宋体" w:cs="宋体"/>
          <w:color w:val="auto"/>
          <w:kern w:val="0"/>
          <w:sz w:val="24"/>
          <w:szCs w:val="24"/>
          <w:highlight w:val="none"/>
        </w:rPr>
      </w:pPr>
    </w:p>
    <w:p w14:paraId="19FE8BAC">
      <w:pPr>
        <w:autoSpaceDE w:val="0"/>
        <w:autoSpaceDN w:val="0"/>
        <w:adjustRightInd w:val="0"/>
        <w:jc w:val="left"/>
        <w:rPr>
          <w:rFonts w:ascii="宋体" w:hAnsi="宋体" w:eastAsia="宋体" w:cs="宋体"/>
          <w:color w:val="auto"/>
          <w:kern w:val="0"/>
          <w:sz w:val="24"/>
          <w:szCs w:val="24"/>
          <w:highlight w:val="none"/>
        </w:rPr>
      </w:pPr>
    </w:p>
    <w:p w14:paraId="5E2EE0A6">
      <w:pPr>
        <w:autoSpaceDE w:val="0"/>
        <w:autoSpaceDN w:val="0"/>
        <w:adjustRightInd w:val="0"/>
        <w:jc w:val="left"/>
        <w:rPr>
          <w:rFonts w:ascii="宋体" w:hAnsi="宋体" w:eastAsia="宋体" w:cs="宋体"/>
          <w:color w:val="auto"/>
          <w:kern w:val="0"/>
          <w:sz w:val="24"/>
          <w:szCs w:val="24"/>
          <w:highlight w:val="none"/>
        </w:rPr>
      </w:pPr>
    </w:p>
    <w:p w14:paraId="3C4C9F03">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7C15F50C">
      <w:pPr>
        <w:autoSpaceDE w:val="0"/>
        <w:autoSpaceDN w:val="0"/>
        <w:adjustRightInd w:val="0"/>
        <w:jc w:val="left"/>
        <w:rPr>
          <w:rFonts w:ascii="宋体" w:hAnsi="宋体" w:eastAsia="宋体" w:cs="宋体"/>
          <w:color w:val="auto"/>
          <w:kern w:val="0"/>
          <w:sz w:val="24"/>
          <w:szCs w:val="24"/>
          <w:highlight w:val="none"/>
        </w:rPr>
      </w:pPr>
    </w:p>
    <w:p w14:paraId="5EE696D6">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1380" w:name="_Toc9943"/>
      <w:bookmarkStart w:id="1381" w:name="_Toc14977"/>
      <w:bookmarkStart w:id="1382" w:name="_Toc195714411"/>
      <w:bookmarkStart w:id="1383" w:name="_Toc17208"/>
      <w:bookmarkStart w:id="1384" w:name="_Toc21901"/>
      <w:bookmarkStart w:id="1385" w:name="_Toc21059"/>
      <w:bookmarkStart w:id="1386" w:name="_Toc142508390"/>
      <w:bookmarkStart w:id="1387" w:name="_Toc338"/>
      <w:bookmarkStart w:id="1388" w:name="_Toc22601_WPSOffice_Level1"/>
      <w:bookmarkStart w:id="1389" w:name="_Toc521918141"/>
      <w:bookmarkStart w:id="1390" w:name="_Toc522047402"/>
      <w:r>
        <w:rPr>
          <w:rFonts w:hint="eastAsia" w:ascii="宋体" w:hAnsi="宋体" w:eastAsia="宋体" w:cs="宋体"/>
          <w:b/>
          <w:bCs/>
          <w:color w:val="auto"/>
          <w:kern w:val="44"/>
          <w:sz w:val="32"/>
          <w:szCs w:val="32"/>
          <w:highlight w:val="none"/>
          <w:lang w:val="zh-CN"/>
        </w:rPr>
        <w:t>附件一：评标工作大纲</w:t>
      </w:r>
      <w:bookmarkEnd w:id="1380"/>
      <w:bookmarkEnd w:id="1381"/>
      <w:bookmarkEnd w:id="1382"/>
      <w:bookmarkEnd w:id="1383"/>
      <w:bookmarkEnd w:id="1384"/>
      <w:bookmarkEnd w:id="1385"/>
      <w:bookmarkEnd w:id="1386"/>
      <w:bookmarkEnd w:id="1387"/>
    </w:p>
    <w:p w14:paraId="1612F8D5">
      <w:pPr>
        <w:autoSpaceDE w:val="0"/>
        <w:autoSpaceDN w:val="0"/>
        <w:adjustRightInd w:val="0"/>
        <w:spacing w:line="400" w:lineRule="atLeast"/>
        <w:jc w:val="center"/>
        <w:rPr>
          <w:rFonts w:ascii="宋体" w:hAnsi="宋体" w:eastAsia="宋体" w:cs="宋体"/>
          <w:b/>
          <w:bCs/>
          <w:color w:val="auto"/>
          <w:szCs w:val="21"/>
          <w:highlight w:val="none"/>
        </w:rPr>
      </w:pPr>
    </w:p>
    <w:p w14:paraId="54981E4C">
      <w:pPr>
        <w:autoSpaceDE w:val="0"/>
        <w:autoSpaceDN w:val="0"/>
        <w:adjustRightInd w:val="0"/>
        <w:spacing w:line="400" w:lineRule="atLeast"/>
        <w:jc w:val="center"/>
        <w:rPr>
          <w:rFonts w:ascii="宋体" w:hAnsi="宋体" w:eastAsia="宋体" w:cs="宋体"/>
          <w:b/>
          <w:bCs/>
          <w:color w:val="auto"/>
          <w:szCs w:val="21"/>
          <w:highlight w:val="none"/>
        </w:rPr>
      </w:pPr>
    </w:p>
    <w:p w14:paraId="4A9F8187">
      <w:pPr>
        <w:autoSpaceDE w:val="0"/>
        <w:autoSpaceDN w:val="0"/>
        <w:adjustRightInd w:val="0"/>
        <w:spacing w:line="400" w:lineRule="atLeast"/>
        <w:jc w:val="center"/>
        <w:rPr>
          <w:rFonts w:ascii="宋体" w:hAnsi="宋体" w:eastAsia="宋体" w:cs="宋体"/>
          <w:b/>
          <w:bCs/>
          <w:color w:val="auto"/>
          <w:szCs w:val="21"/>
          <w:highlight w:val="none"/>
        </w:rPr>
      </w:pPr>
    </w:p>
    <w:p w14:paraId="4E16626D">
      <w:pPr>
        <w:autoSpaceDE w:val="0"/>
        <w:autoSpaceDN w:val="0"/>
        <w:adjustRightInd w:val="0"/>
        <w:spacing w:line="400" w:lineRule="atLeast"/>
        <w:jc w:val="center"/>
        <w:rPr>
          <w:rFonts w:ascii="宋体" w:hAnsi="宋体" w:eastAsia="宋体" w:cs="宋体"/>
          <w:b/>
          <w:bCs/>
          <w:color w:val="auto"/>
          <w:szCs w:val="21"/>
          <w:highlight w:val="none"/>
        </w:rPr>
      </w:pPr>
    </w:p>
    <w:p w14:paraId="47FEE78A">
      <w:pPr>
        <w:autoSpaceDE w:val="0"/>
        <w:autoSpaceDN w:val="0"/>
        <w:adjustRightInd w:val="0"/>
        <w:spacing w:line="360" w:lineRule="auto"/>
        <w:jc w:val="center"/>
        <w:rPr>
          <w:rFonts w:hint="eastAsia" w:ascii="宋体" w:hAnsi="宋体" w:eastAsia="宋体" w:cs="宋体"/>
          <w:b/>
          <w:bCs/>
          <w:color w:val="auto"/>
          <w:sz w:val="44"/>
          <w:szCs w:val="52"/>
          <w:highlight w:val="none"/>
          <w:lang w:eastAsia="zh-CN"/>
        </w:rPr>
      </w:pPr>
      <w:r>
        <w:rPr>
          <w:rFonts w:hint="eastAsia" w:ascii="宋体" w:hAnsi="宋体" w:eastAsia="宋体" w:cs="宋体"/>
          <w:b/>
          <w:bCs/>
          <w:color w:val="auto"/>
          <w:sz w:val="48"/>
          <w:szCs w:val="44"/>
          <w:highlight w:val="none"/>
          <w:lang w:eastAsia="zh-CN"/>
        </w:rPr>
        <w:t>东莞市水务环境投资控股集团分布式光伏发电项目（第一批）供水厂项目</w:t>
      </w:r>
    </w:p>
    <w:p w14:paraId="1B66ED43">
      <w:pPr>
        <w:autoSpaceDE w:val="0"/>
        <w:autoSpaceDN w:val="0"/>
        <w:adjustRightInd w:val="0"/>
        <w:spacing w:line="360" w:lineRule="auto"/>
        <w:jc w:val="center"/>
        <w:rPr>
          <w:rFonts w:ascii="宋体" w:hAnsi="宋体" w:eastAsia="宋体" w:cs="宋体"/>
          <w:b/>
          <w:bCs/>
          <w:color w:val="auto"/>
          <w:sz w:val="36"/>
          <w:szCs w:val="36"/>
          <w:highlight w:val="none"/>
        </w:rPr>
      </w:pPr>
      <w:bookmarkStart w:id="1391" w:name="_Toc14752_WPSOffice_Level1"/>
      <w:r>
        <w:rPr>
          <w:rFonts w:hint="eastAsia" w:ascii="宋体" w:hAnsi="宋体" w:eastAsia="宋体" w:cs="宋体"/>
          <w:b/>
          <w:bCs/>
          <w:color w:val="auto"/>
          <w:sz w:val="36"/>
          <w:szCs w:val="36"/>
          <w:highlight w:val="none"/>
          <w:lang w:val="zh-CN"/>
        </w:rPr>
        <w:t>（招标编号：SSZSSE12501912）</w:t>
      </w:r>
      <w:bookmarkEnd w:id="1391"/>
    </w:p>
    <w:p w14:paraId="22638A6B">
      <w:pPr>
        <w:autoSpaceDE w:val="0"/>
        <w:autoSpaceDN w:val="0"/>
        <w:adjustRightInd w:val="0"/>
        <w:spacing w:line="400" w:lineRule="atLeast"/>
        <w:jc w:val="center"/>
        <w:rPr>
          <w:rFonts w:ascii="宋体" w:hAnsi="宋体" w:eastAsia="宋体" w:cs="宋体"/>
          <w:b/>
          <w:bCs/>
          <w:color w:val="auto"/>
          <w:sz w:val="36"/>
          <w:szCs w:val="36"/>
          <w:highlight w:val="none"/>
        </w:rPr>
      </w:pPr>
    </w:p>
    <w:p w14:paraId="18E1C78D">
      <w:pPr>
        <w:autoSpaceDE w:val="0"/>
        <w:autoSpaceDN w:val="0"/>
        <w:adjustRightInd w:val="0"/>
        <w:spacing w:line="400" w:lineRule="atLeast"/>
        <w:jc w:val="center"/>
        <w:rPr>
          <w:rFonts w:ascii="宋体" w:hAnsi="宋体" w:eastAsia="宋体" w:cs="宋体"/>
          <w:b/>
          <w:bCs/>
          <w:color w:val="auto"/>
          <w:sz w:val="36"/>
          <w:szCs w:val="36"/>
          <w:highlight w:val="none"/>
        </w:rPr>
      </w:pPr>
    </w:p>
    <w:p w14:paraId="4E44D971">
      <w:pPr>
        <w:autoSpaceDE w:val="0"/>
        <w:autoSpaceDN w:val="0"/>
        <w:adjustRightInd w:val="0"/>
        <w:spacing w:line="400" w:lineRule="atLeast"/>
        <w:jc w:val="center"/>
        <w:rPr>
          <w:rFonts w:ascii="宋体" w:hAnsi="宋体" w:eastAsia="宋体" w:cs="宋体"/>
          <w:b/>
          <w:bCs/>
          <w:color w:val="auto"/>
          <w:sz w:val="36"/>
          <w:szCs w:val="36"/>
          <w:highlight w:val="none"/>
        </w:rPr>
      </w:pPr>
    </w:p>
    <w:p w14:paraId="3F2DD234">
      <w:pPr>
        <w:autoSpaceDE w:val="0"/>
        <w:autoSpaceDN w:val="0"/>
        <w:adjustRightInd w:val="0"/>
        <w:spacing w:line="400" w:lineRule="atLeast"/>
        <w:jc w:val="center"/>
        <w:rPr>
          <w:rFonts w:ascii="宋体" w:hAnsi="宋体" w:eastAsia="宋体" w:cs="宋体"/>
          <w:b/>
          <w:bCs/>
          <w:color w:val="auto"/>
          <w:sz w:val="36"/>
          <w:szCs w:val="36"/>
          <w:highlight w:val="none"/>
        </w:rPr>
      </w:pPr>
    </w:p>
    <w:p w14:paraId="1A7A3FC4">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1392" w:name="_Toc18947_WPSOffice_Level2"/>
      <w:r>
        <w:rPr>
          <w:rFonts w:hint="eastAsia" w:ascii="宋体" w:hAnsi="宋体" w:eastAsia="宋体" w:cs="宋体"/>
          <w:b/>
          <w:bCs/>
          <w:color w:val="auto"/>
          <w:sz w:val="72"/>
          <w:szCs w:val="72"/>
          <w:highlight w:val="none"/>
          <w:lang w:val="zh-CN"/>
        </w:rPr>
        <w:t>评标工作大纲</w:t>
      </w:r>
      <w:bookmarkEnd w:id="1392"/>
    </w:p>
    <w:p w14:paraId="58F63D6E">
      <w:pPr>
        <w:autoSpaceDE w:val="0"/>
        <w:autoSpaceDN w:val="0"/>
        <w:adjustRightInd w:val="0"/>
        <w:spacing w:line="400" w:lineRule="atLeast"/>
        <w:jc w:val="center"/>
        <w:rPr>
          <w:rFonts w:ascii="宋体" w:hAnsi="宋体" w:eastAsia="宋体" w:cs="宋体"/>
          <w:b/>
          <w:bCs/>
          <w:color w:val="auto"/>
          <w:sz w:val="36"/>
          <w:szCs w:val="36"/>
          <w:highlight w:val="none"/>
        </w:rPr>
      </w:pPr>
    </w:p>
    <w:p w14:paraId="53799A99">
      <w:pPr>
        <w:autoSpaceDE w:val="0"/>
        <w:autoSpaceDN w:val="0"/>
        <w:adjustRightInd w:val="0"/>
        <w:spacing w:line="400" w:lineRule="atLeast"/>
        <w:rPr>
          <w:rFonts w:ascii="宋体" w:hAnsi="宋体" w:eastAsia="宋体" w:cs="宋体"/>
          <w:b/>
          <w:bCs/>
          <w:color w:val="auto"/>
          <w:sz w:val="36"/>
          <w:szCs w:val="36"/>
          <w:highlight w:val="none"/>
        </w:rPr>
      </w:pPr>
    </w:p>
    <w:p w14:paraId="134E33BF">
      <w:pPr>
        <w:autoSpaceDE w:val="0"/>
        <w:autoSpaceDN w:val="0"/>
        <w:adjustRightInd w:val="0"/>
        <w:spacing w:line="400" w:lineRule="atLeast"/>
        <w:jc w:val="center"/>
        <w:rPr>
          <w:rFonts w:ascii="宋体" w:hAnsi="宋体" w:eastAsia="宋体" w:cs="宋体"/>
          <w:b/>
          <w:bCs/>
          <w:color w:val="auto"/>
          <w:sz w:val="36"/>
          <w:szCs w:val="36"/>
          <w:highlight w:val="none"/>
        </w:rPr>
      </w:pPr>
    </w:p>
    <w:p w14:paraId="14649B0B">
      <w:pPr>
        <w:autoSpaceDE w:val="0"/>
        <w:autoSpaceDN w:val="0"/>
        <w:adjustRightInd w:val="0"/>
        <w:spacing w:line="400" w:lineRule="atLeast"/>
        <w:jc w:val="center"/>
        <w:rPr>
          <w:rFonts w:ascii="宋体" w:hAnsi="宋体" w:eastAsia="宋体" w:cs="宋体"/>
          <w:b/>
          <w:bCs/>
          <w:color w:val="auto"/>
          <w:sz w:val="36"/>
          <w:szCs w:val="36"/>
          <w:highlight w:val="none"/>
        </w:rPr>
      </w:pPr>
    </w:p>
    <w:p w14:paraId="6E8FC926">
      <w:pPr>
        <w:autoSpaceDE w:val="0"/>
        <w:autoSpaceDN w:val="0"/>
        <w:adjustRightInd w:val="0"/>
        <w:spacing w:line="400" w:lineRule="atLeast"/>
        <w:jc w:val="center"/>
        <w:rPr>
          <w:rFonts w:ascii="宋体" w:hAnsi="宋体" w:eastAsia="宋体" w:cs="宋体"/>
          <w:b/>
          <w:bCs/>
          <w:color w:val="auto"/>
          <w:sz w:val="36"/>
          <w:szCs w:val="36"/>
          <w:highlight w:val="none"/>
        </w:rPr>
      </w:pPr>
    </w:p>
    <w:p w14:paraId="66AD35ED">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广东有德招标采购有限公司</w:t>
      </w:r>
    </w:p>
    <w:p w14:paraId="27A72478">
      <w:pPr>
        <w:autoSpaceDE w:val="0"/>
        <w:autoSpaceDN w:val="0"/>
        <w:adjustRightInd w:val="0"/>
        <w:spacing w:line="400" w:lineRule="atLeast"/>
        <w:jc w:val="center"/>
        <w:rPr>
          <w:rFonts w:ascii="宋体" w:hAnsi="宋体" w:eastAsia="宋体" w:cs="宋体"/>
          <w:b/>
          <w:bCs/>
          <w:color w:val="auto"/>
          <w:sz w:val="36"/>
          <w:szCs w:val="36"/>
          <w:highlight w:val="none"/>
        </w:rPr>
      </w:pPr>
    </w:p>
    <w:p w14:paraId="5C929772">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1393" w:name="_Toc32395_WPSOffice_Level1"/>
      <w:r>
        <w:rPr>
          <w:rFonts w:hint="eastAsia" w:ascii="宋体" w:hAnsi="宋体" w:eastAsia="宋体" w:cs="宋体"/>
          <w:b/>
          <w:bCs/>
          <w:color w:val="auto"/>
          <w:sz w:val="36"/>
          <w:szCs w:val="36"/>
          <w:highlight w:val="none"/>
          <w:lang w:val="zh-CN"/>
        </w:rPr>
        <w:t>目录</w:t>
      </w:r>
      <w:bookmarkEnd w:id="1393"/>
    </w:p>
    <w:p w14:paraId="62412768">
      <w:pPr>
        <w:autoSpaceDE w:val="0"/>
        <w:autoSpaceDN w:val="0"/>
        <w:adjustRightInd w:val="0"/>
        <w:spacing w:line="400" w:lineRule="atLeast"/>
        <w:jc w:val="center"/>
        <w:rPr>
          <w:rFonts w:ascii="宋体" w:hAnsi="宋体" w:eastAsia="宋体" w:cs="宋体"/>
          <w:color w:val="auto"/>
          <w:sz w:val="44"/>
          <w:szCs w:val="44"/>
          <w:highlight w:val="none"/>
        </w:rPr>
      </w:pPr>
    </w:p>
    <w:p w14:paraId="36B2FFF5">
      <w:pPr>
        <w:autoSpaceDE w:val="0"/>
        <w:autoSpaceDN w:val="0"/>
        <w:adjustRightInd w:val="0"/>
        <w:spacing w:line="360" w:lineRule="auto"/>
        <w:ind w:left="567" w:hanging="567"/>
        <w:rPr>
          <w:rFonts w:ascii="宋体" w:hAnsi="宋体" w:eastAsia="宋体" w:cs="宋体"/>
          <w:color w:val="auto"/>
          <w:szCs w:val="30"/>
          <w:highlight w:val="none"/>
        </w:rPr>
      </w:pPr>
      <w:bookmarkStart w:id="1394"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1394"/>
    </w:p>
    <w:p w14:paraId="63B8335A">
      <w:pPr>
        <w:autoSpaceDE w:val="0"/>
        <w:autoSpaceDN w:val="0"/>
        <w:adjustRightInd w:val="0"/>
        <w:spacing w:line="360" w:lineRule="auto"/>
        <w:ind w:left="567" w:hanging="567"/>
        <w:rPr>
          <w:rFonts w:ascii="宋体" w:hAnsi="宋体" w:eastAsia="宋体" w:cs="宋体"/>
          <w:color w:val="auto"/>
          <w:szCs w:val="30"/>
          <w:highlight w:val="none"/>
        </w:rPr>
      </w:pPr>
      <w:bookmarkStart w:id="1395"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1395"/>
    </w:p>
    <w:p w14:paraId="5E51915C">
      <w:pPr>
        <w:autoSpaceDE w:val="0"/>
        <w:autoSpaceDN w:val="0"/>
        <w:adjustRightInd w:val="0"/>
        <w:spacing w:line="360" w:lineRule="auto"/>
        <w:ind w:left="567" w:hanging="567"/>
        <w:rPr>
          <w:rFonts w:ascii="宋体" w:hAnsi="宋体" w:eastAsia="宋体" w:cs="宋体"/>
          <w:color w:val="auto"/>
          <w:szCs w:val="30"/>
          <w:highlight w:val="none"/>
        </w:rPr>
      </w:pPr>
      <w:bookmarkStart w:id="1396"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1396"/>
    </w:p>
    <w:p w14:paraId="64FE938A">
      <w:pPr>
        <w:autoSpaceDE w:val="0"/>
        <w:autoSpaceDN w:val="0"/>
        <w:adjustRightInd w:val="0"/>
        <w:spacing w:line="360" w:lineRule="auto"/>
        <w:ind w:left="567" w:hanging="567"/>
        <w:rPr>
          <w:rFonts w:ascii="宋体" w:hAnsi="宋体" w:eastAsia="宋体" w:cs="宋体"/>
          <w:color w:val="auto"/>
          <w:szCs w:val="30"/>
          <w:highlight w:val="none"/>
        </w:rPr>
      </w:pPr>
      <w:bookmarkStart w:id="1397" w:name="_Toc1206_WPSOffice_Level1"/>
      <w:r>
        <w:rPr>
          <w:rFonts w:hint="eastAsia" w:ascii="宋体" w:hAnsi="宋体" w:eastAsia="宋体" w:cs="宋体"/>
          <w:color w:val="auto"/>
          <w:szCs w:val="30"/>
          <w:highlight w:val="none"/>
        </w:rPr>
        <w:t>四、 比较和评价</w:t>
      </w:r>
      <w:bookmarkEnd w:id="1397"/>
    </w:p>
    <w:p w14:paraId="3B84190B">
      <w:pPr>
        <w:autoSpaceDE w:val="0"/>
        <w:autoSpaceDN w:val="0"/>
        <w:adjustRightInd w:val="0"/>
        <w:spacing w:line="360" w:lineRule="auto"/>
        <w:ind w:left="567" w:hanging="567"/>
        <w:rPr>
          <w:rFonts w:ascii="宋体" w:hAnsi="宋体" w:eastAsia="宋体" w:cs="宋体"/>
          <w:color w:val="auto"/>
          <w:szCs w:val="30"/>
          <w:highlight w:val="none"/>
        </w:rPr>
      </w:pPr>
      <w:bookmarkStart w:id="1398"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1398"/>
    </w:p>
    <w:p w14:paraId="5CB22352">
      <w:pPr>
        <w:autoSpaceDE w:val="0"/>
        <w:autoSpaceDN w:val="0"/>
        <w:adjustRightInd w:val="0"/>
        <w:spacing w:line="360" w:lineRule="auto"/>
        <w:ind w:left="567" w:hanging="567"/>
        <w:rPr>
          <w:rFonts w:ascii="宋体" w:hAnsi="宋体" w:eastAsia="宋体" w:cs="宋体"/>
          <w:color w:val="auto"/>
          <w:szCs w:val="30"/>
          <w:highlight w:val="none"/>
        </w:rPr>
      </w:pPr>
      <w:bookmarkStart w:id="1399"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1399"/>
    </w:p>
    <w:p w14:paraId="2BC1D64F">
      <w:pPr>
        <w:autoSpaceDE w:val="0"/>
        <w:autoSpaceDN w:val="0"/>
        <w:adjustRightInd w:val="0"/>
        <w:spacing w:line="360" w:lineRule="auto"/>
        <w:ind w:left="567" w:hanging="567"/>
        <w:rPr>
          <w:rFonts w:ascii="宋体" w:hAnsi="宋体" w:eastAsia="宋体" w:cs="宋体"/>
          <w:color w:val="auto"/>
          <w:szCs w:val="30"/>
          <w:highlight w:val="none"/>
        </w:rPr>
      </w:pPr>
      <w:bookmarkStart w:id="1400"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1400"/>
    </w:p>
    <w:p w14:paraId="024CE6D0">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6D3607E8">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3298CF5E">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0CFE4B0D">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1401"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1401"/>
    </w:p>
    <w:p w14:paraId="451F850A">
      <w:pPr>
        <w:tabs>
          <w:tab w:val="left" w:pos="567"/>
          <w:tab w:val="left" w:pos="600"/>
        </w:tabs>
        <w:autoSpaceDE w:val="0"/>
        <w:autoSpaceDN w:val="0"/>
        <w:adjustRightInd w:val="0"/>
        <w:spacing w:line="360" w:lineRule="auto"/>
        <w:ind w:left="600" w:hanging="600"/>
        <w:outlineLvl w:val="0"/>
        <w:rPr>
          <w:rFonts w:ascii="宋体" w:hAnsi="宋体" w:eastAsia="宋体" w:cs="宋体"/>
          <w:b/>
          <w:bCs/>
          <w:color w:val="auto"/>
          <w:szCs w:val="24"/>
          <w:highlight w:val="none"/>
          <w:lang w:val="zh-CN"/>
        </w:rPr>
      </w:pPr>
      <w:bookmarkStart w:id="1402" w:name="_Toc23036"/>
      <w:bookmarkStart w:id="1403" w:name="_Toc5385"/>
      <w:bookmarkStart w:id="1404" w:name="_Toc5291"/>
      <w:r>
        <w:rPr>
          <w:rFonts w:hint="eastAsia" w:ascii="宋体" w:hAnsi="宋体" w:eastAsia="宋体" w:cs="宋体"/>
          <w:b/>
          <w:bCs/>
          <w:color w:val="auto"/>
          <w:szCs w:val="24"/>
          <w:highlight w:val="none"/>
          <w:lang w:val="zh-CN"/>
        </w:rPr>
        <w:t>1、一般规定</w:t>
      </w:r>
      <w:bookmarkEnd w:id="1402"/>
      <w:bookmarkEnd w:id="1403"/>
      <w:bookmarkEnd w:id="1404"/>
    </w:p>
    <w:p w14:paraId="348F73AA">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东莞市水务环境投资控股集团分布式光伏发电项目（第一批）供水厂项目</w:t>
      </w:r>
      <w:r>
        <w:rPr>
          <w:rFonts w:hint="eastAsia" w:ascii="宋体" w:hAnsi="宋体" w:eastAsia="宋体" w:cs="宋体"/>
          <w:color w:val="auto"/>
          <w:szCs w:val="21"/>
          <w:highlight w:val="none"/>
          <w:lang w:val="zh-CN"/>
        </w:rPr>
        <w:t>(招标编号：SSZSSE12501912</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633D6C6F">
      <w:pPr>
        <w:autoSpaceDE w:val="0"/>
        <w:autoSpaceDN w:val="0"/>
        <w:adjustRightInd w:val="0"/>
        <w:spacing w:line="360" w:lineRule="auto"/>
        <w:ind w:left="567" w:hanging="567"/>
        <w:outlineLvl w:val="1"/>
        <w:rPr>
          <w:rFonts w:ascii="宋体" w:hAnsi="宋体" w:eastAsia="宋体" w:cs="宋体"/>
          <w:color w:val="auto"/>
          <w:szCs w:val="24"/>
          <w:highlight w:val="none"/>
          <w:lang w:val="zh-CN"/>
        </w:rPr>
      </w:pPr>
      <w:bookmarkStart w:id="1405" w:name="_Toc6878"/>
      <w:bookmarkStart w:id="1406" w:name="_Toc13177"/>
      <w:bookmarkStart w:id="1407" w:name="_Toc3452"/>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bookmarkEnd w:id="1405"/>
      <w:bookmarkEnd w:id="1406"/>
      <w:bookmarkEnd w:id="1407"/>
      <w:bookmarkStart w:id="1522" w:name="_GoBack"/>
      <w:bookmarkEnd w:id="1522"/>
    </w:p>
    <w:p w14:paraId="6445F320">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(广东有德招标采购有限公司）组</w:t>
      </w:r>
      <w:r>
        <w:rPr>
          <w:rFonts w:hint="eastAsia" w:ascii="宋体" w:hAnsi="宋体" w:eastAsia="宋体" w:cs="宋体"/>
          <w:color w:val="auto"/>
          <w:szCs w:val="24"/>
          <w:highlight w:val="none"/>
          <w:lang w:val="zh-CN"/>
        </w:rPr>
        <w:t>织评标工作，全过程接受招标人及相关部门的监督、管理和指导。</w:t>
      </w:r>
    </w:p>
    <w:p w14:paraId="6A4BFA40">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41A173F5">
      <w:pPr>
        <w:numPr>
          <w:ilvl w:val="1"/>
          <w:numId w:val="7"/>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7F30362C">
      <w:pPr>
        <w:autoSpaceDE w:val="0"/>
        <w:autoSpaceDN w:val="0"/>
        <w:adjustRightInd w:val="0"/>
        <w:spacing w:line="360" w:lineRule="auto"/>
        <w:rPr>
          <w:rFonts w:ascii="宋体" w:hAnsi="宋体" w:eastAsia="宋体" w:cs="宋体"/>
          <w:color w:val="auto"/>
          <w:sz w:val="24"/>
          <w:szCs w:val="24"/>
          <w:highlight w:val="none"/>
          <w:lang w:val="zh-CN"/>
        </w:rPr>
      </w:pPr>
    </w:p>
    <w:p w14:paraId="3F64F285">
      <w:pPr>
        <w:tabs>
          <w:tab w:val="left" w:pos="360"/>
          <w:tab w:val="left" w:pos="600"/>
        </w:tabs>
        <w:autoSpaceDE w:val="0"/>
        <w:autoSpaceDN w:val="0"/>
        <w:adjustRightInd w:val="0"/>
        <w:spacing w:line="360" w:lineRule="auto"/>
        <w:ind w:left="600" w:hanging="600"/>
        <w:outlineLvl w:val="0"/>
        <w:rPr>
          <w:rFonts w:ascii="宋体" w:hAnsi="宋体" w:eastAsia="宋体" w:cs="宋体"/>
          <w:b/>
          <w:bCs/>
          <w:color w:val="auto"/>
          <w:szCs w:val="24"/>
          <w:highlight w:val="none"/>
          <w:lang w:val="zh-CN"/>
        </w:rPr>
      </w:pPr>
      <w:bookmarkStart w:id="1408" w:name="_Toc1394"/>
      <w:bookmarkStart w:id="1409" w:name="_Toc862"/>
      <w:bookmarkStart w:id="1410" w:name="_Toc12059"/>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bookmarkEnd w:id="1408"/>
      <w:bookmarkEnd w:id="1409"/>
      <w:bookmarkEnd w:id="1410"/>
    </w:p>
    <w:p w14:paraId="682C6988">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rPr>
        <w:t>7人以上（含7人）单数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3D95F408">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21714124">
      <w:pPr>
        <w:autoSpaceDE w:val="0"/>
        <w:autoSpaceDN w:val="0"/>
        <w:adjustRightInd w:val="0"/>
        <w:spacing w:line="360" w:lineRule="auto"/>
        <w:ind w:left="600" w:hanging="600"/>
        <w:outlineLvl w:val="1"/>
        <w:rPr>
          <w:rFonts w:ascii="宋体" w:hAnsi="宋体" w:eastAsia="宋体" w:cs="宋体"/>
          <w:color w:val="auto"/>
          <w:szCs w:val="24"/>
          <w:highlight w:val="none"/>
          <w:lang w:val="zh-CN"/>
        </w:rPr>
      </w:pPr>
      <w:bookmarkStart w:id="1411" w:name="_Toc703"/>
      <w:bookmarkStart w:id="1412" w:name="_Toc23113"/>
      <w:bookmarkStart w:id="1413" w:name="_Toc6541"/>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bookmarkEnd w:id="1411"/>
      <w:bookmarkEnd w:id="1412"/>
      <w:bookmarkEnd w:id="1413"/>
    </w:p>
    <w:p w14:paraId="02E63494">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41BB4E1C">
      <w:pPr>
        <w:autoSpaceDE w:val="0"/>
        <w:autoSpaceDN w:val="0"/>
        <w:adjustRightInd w:val="0"/>
        <w:spacing w:line="360" w:lineRule="auto"/>
        <w:rPr>
          <w:rFonts w:ascii="宋体" w:hAnsi="宋体" w:eastAsia="宋体" w:cs="宋体"/>
          <w:color w:val="auto"/>
          <w:sz w:val="24"/>
          <w:szCs w:val="24"/>
          <w:highlight w:val="none"/>
          <w:lang w:val="zh-CN"/>
        </w:rPr>
      </w:pPr>
    </w:p>
    <w:p w14:paraId="25805977">
      <w:pPr>
        <w:autoSpaceDE w:val="0"/>
        <w:autoSpaceDN w:val="0"/>
        <w:adjustRightInd w:val="0"/>
        <w:spacing w:line="360" w:lineRule="auto"/>
        <w:outlineLvl w:val="0"/>
        <w:rPr>
          <w:rFonts w:ascii="宋体" w:hAnsi="宋体" w:eastAsia="宋体" w:cs="宋体"/>
          <w:color w:val="auto"/>
          <w:sz w:val="24"/>
          <w:szCs w:val="24"/>
          <w:highlight w:val="none"/>
          <w:lang w:val="zh-CN"/>
        </w:rPr>
      </w:pPr>
      <w:bookmarkStart w:id="1414" w:name="_Toc16283"/>
      <w:bookmarkStart w:id="1415" w:name="_Toc17106"/>
      <w:bookmarkStart w:id="1416" w:name="_Toc21970"/>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bookmarkEnd w:id="1414"/>
      <w:bookmarkEnd w:id="1415"/>
      <w:bookmarkEnd w:id="1416"/>
    </w:p>
    <w:p w14:paraId="2437129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7EE1BDE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0F84825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0B84765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06FD2B92">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46B1652B">
      <w:pPr>
        <w:tabs>
          <w:tab w:val="left" w:pos="720"/>
        </w:tabs>
        <w:autoSpaceDE w:val="0"/>
        <w:autoSpaceDN w:val="0"/>
        <w:adjustRightInd w:val="0"/>
        <w:spacing w:line="360" w:lineRule="auto"/>
        <w:outlineLvl w:val="0"/>
        <w:rPr>
          <w:rFonts w:ascii="宋体" w:hAnsi="宋体" w:eastAsia="宋体" w:cs="宋体"/>
          <w:b/>
          <w:bCs/>
          <w:color w:val="auto"/>
          <w:szCs w:val="21"/>
          <w:highlight w:val="none"/>
          <w:lang w:val="zh-CN"/>
        </w:rPr>
      </w:pPr>
      <w:bookmarkStart w:id="1417" w:name="_Toc10211"/>
      <w:bookmarkStart w:id="1418" w:name="_Toc9325"/>
      <w:bookmarkStart w:id="1419" w:name="_Toc25858"/>
      <w:r>
        <w:rPr>
          <w:rFonts w:hint="eastAsia" w:ascii="宋体" w:hAnsi="宋体" w:eastAsia="宋体" w:cs="宋体"/>
          <w:b/>
          <w:bCs/>
          <w:color w:val="auto"/>
          <w:szCs w:val="21"/>
          <w:highlight w:val="none"/>
          <w:lang w:val="zh-CN"/>
        </w:rPr>
        <w:t>4、评标委员会义务</w:t>
      </w:r>
      <w:bookmarkEnd w:id="1417"/>
      <w:bookmarkEnd w:id="1418"/>
      <w:bookmarkEnd w:id="1419"/>
    </w:p>
    <w:p w14:paraId="3FB84358">
      <w:pPr>
        <w:autoSpaceDE w:val="0"/>
        <w:autoSpaceDN w:val="0"/>
        <w:adjustRightInd w:val="0"/>
        <w:spacing w:line="360" w:lineRule="auto"/>
        <w:jc w:val="left"/>
        <w:outlineLvl w:val="1"/>
        <w:rPr>
          <w:rFonts w:ascii="宋体" w:hAnsi="宋体" w:eastAsia="宋体" w:cs="宋体"/>
          <w:color w:val="auto"/>
          <w:kern w:val="0"/>
          <w:szCs w:val="24"/>
          <w:highlight w:val="none"/>
          <w:lang w:val="zh-CN"/>
        </w:rPr>
      </w:pPr>
      <w:bookmarkStart w:id="1420" w:name="_Toc10499"/>
      <w:bookmarkStart w:id="1421" w:name="_Toc2987"/>
      <w:bookmarkStart w:id="1422" w:name="_Toc12812"/>
      <w:r>
        <w:rPr>
          <w:rFonts w:hint="eastAsia" w:ascii="宋体" w:hAnsi="宋体" w:eastAsia="宋体" w:cs="宋体"/>
          <w:color w:val="auto"/>
          <w:kern w:val="0"/>
          <w:szCs w:val="24"/>
          <w:highlight w:val="none"/>
          <w:lang w:val="zh-CN"/>
        </w:rPr>
        <w:t>4.1  遵纪守法，客观、公正、廉洁地履行职责；</w:t>
      </w:r>
      <w:bookmarkEnd w:id="1420"/>
      <w:bookmarkEnd w:id="1421"/>
      <w:bookmarkEnd w:id="1422"/>
    </w:p>
    <w:p w14:paraId="117BAAA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7C26B58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71E41B1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21B81D3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7BFACD0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02243CFB">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07536F01">
      <w:pPr>
        <w:tabs>
          <w:tab w:val="left" w:pos="1547"/>
        </w:tabs>
        <w:autoSpaceDE w:val="0"/>
        <w:autoSpaceDN w:val="0"/>
        <w:adjustRightInd w:val="0"/>
        <w:spacing w:line="360" w:lineRule="auto"/>
        <w:outlineLvl w:val="0"/>
        <w:rPr>
          <w:rFonts w:ascii="宋体" w:hAnsi="宋体" w:eastAsia="宋体" w:cs="宋体"/>
          <w:b/>
          <w:color w:val="auto"/>
          <w:szCs w:val="24"/>
          <w:highlight w:val="none"/>
          <w:lang w:val="zh-CN"/>
        </w:rPr>
      </w:pPr>
      <w:bookmarkStart w:id="1423" w:name="_Toc22709"/>
      <w:bookmarkStart w:id="1424" w:name="_Toc18270"/>
      <w:bookmarkStart w:id="1425" w:name="_Toc29727"/>
      <w:r>
        <w:rPr>
          <w:rFonts w:hint="eastAsia" w:ascii="宋体" w:hAnsi="宋体" w:eastAsia="宋体" w:cs="宋体"/>
          <w:b/>
          <w:bCs/>
          <w:color w:val="auto"/>
          <w:szCs w:val="21"/>
          <w:highlight w:val="none"/>
          <w:lang w:val="zh-CN"/>
        </w:rPr>
        <w:t>5、评审程序</w:t>
      </w:r>
      <w:bookmarkEnd w:id="1423"/>
      <w:bookmarkEnd w:id="1424"/>
      <w:bookmarkEnd w:id="1425"/>
    </w:p>
    <w:p w14:paraId="0505948D">
      <w:pPr>
        <w:autoSpaceDE w:val="0"/>
        <w:autoSpaceDN w:val="0"/>
        <w:adjustRightInd w:val="0"/>
        <w:spacing w:line="360" w:lineRule="auto"/>
        <w:ind w:left="567" w:hanging="567"/>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公开招标：</w:t>
      </w:r>
    </w:p>
    <w:p w14:paraId="2BBB3AF4">
      <w:pPr>
        <w:autoSpaceDE w:val="0"/>
        <w:autoSpaceDN w:val="0"/>
        <w:adjustRightInd w:val="0"/>
        <w:spacing w:line="360" w:lineRule="auto"/>
        <w:ind w:left="567" w:hanging="567"/>
        <w:rPr>
          <w:rFonts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14:paraId="3B66FD89">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14:paraId="7C1C171F">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5.3  依据评分标准以及各项权重，各位评标委员会成员单独就每个投标人的商务状况、技术状况进行比较和评价，分别评出其商务得分和技术得分。</w:t>
      </w:r>
    </w:p>
    <w:p w14:paraId="1EDBD09F">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对有效投标人的投标报价进行审查和价格评分。</w:t>
      </w:r>
    </w:p>
    <w:p w14:paraId="22012735">
      <w:pPr>
        <w:autoSpaceDE w:val="0"/>
        <w:autoSpaceDN w:val="0"/>
        <w:adjustRightInd w:val="0"/>
        <w:spacing w:line="360" w:lineRule="auto"/>
        <w:ind w:left="567" w:hanging="567"/>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5.5  将各</w:t>
      </w:r>
      <w:r>
        <w:rPr>
          <w:rFonts w:hint="eastAsia" w:ascii="宋体" w:hAnsi="宋体" w:eastAsia="宋体" w:cs="宋体"/>
          <w:color w:val="auto"/>
          <w:szCs w:val="24"/>
          <w:highlight w:val="none"/>
          <w:lang w:val="zh-CN"/>
        </w:rPr>
        <w:t>评委对</w:t>
      </w:r>
      <w:r>
        <w:rPr>
          <w:rFonts w:hint="eastAsia" w:ascii="宋体" w:hAnsi="宋体" w:eastAsia="宋体" w:cs="宋体"/>
          <w:color w:val="auto"/>
          <w:kern w:val="0"/>
          <w:szCs w:val="24"/>
          <w:highlight w:val="none"/>
          <w:lang w:val="zh-CN"/>
        </w:rPr>
        <w:t>投标人的技术打分的最终综合得分、商务打分的算术平均值和价格得分相加得出投标人的总分。</w:t>
      </w:r>
    </w:p>
    <w:p w14:paraId="3CB788D0">
      <w:pPr>
        <w:autoSpaceDE w:val="0"/>
        <w:autoSpaceDN w:val="0"/>
        <w:adjustRightInd w:val="0"/>
        <w:spacing w:line="360" w:lineRule="auto"/>
        <w:ind w:left="567" w:hanging="567"/>
        <w:rPr>
          <w:rFonts w:ascii="宋体" w:hAnsi="宋体" w:eastAsia="宋体" w:cs="宋体"/>
          <w:color w:val="auto"/>
          <w:kern w:val="0"/>
          <w:szCs w:val="21"/>
          <w:highlight w:val="none"/>
        </w:rPr>
      </w:pPr>
      <w:r>
        <w:rPr>
          <w:rFonts w:hint="eastAsia" w:ascii="宋体" w:hAnsi="宋体" w:eastAsia="宋体" w:cs="宋体"/>
          <w:bCs/>
          <w:color w:val="auto"/>
          <w:kern w:val="0"/>
          <w:szCs w:val="24"/>
          <w:highlight w:val="none"/>
        </w:rPr>
        <w:t xml:space="preserve">5.6  </w:t>
      </w:r>
      <w:r>
        <w:rPr>
          <w:rFonts w:hint="eastAsia" w:ascii="宋体" w:hAnsi="宋体" w:eastAsia="宋体" w:cs="宋体"/>
          <w:color w:val="auto"/>
          <w:kern w:val="0"/>
          <w:szCs w:val="21"/>
          <w:highlight w:val="none"/>
        </w:rPr>
        <w:t>评标委员会将向招标人推荐评标最后综合得分最高的前二名投标人为中标候选人，并标明排列顺序。</w:t>
      </w:r>
    </w:p>
    <w:p w14:paraId="10293660">
      <w:pPr>
        <w:autoSpaceDE w:val="0"/>
        <w:autoSpaceDN w:val="0"/>
        <w:adjustRightInd w:val="0"/>
        <w:spacing w:line="360" w:lineRule="auto"/>
        <w:ind w:left="525" w:hanging="525" w:hangingChars="250"/>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zh-CN"/>
        </w:rPr>
        <w:t>7</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14:paraId="2D843537">
      <w:pPr>
        <w:autoSpaceDE w:val="0"/>
        <w:autoSpaceDN w:val="0"/>
        <w:adjustRightInd w:val="0"/>
        <w:spacing w:line="360" w:lineRule="auto"/>
        <w:ind w:left="525" w:hanging="525" w:hangingChars="250"/>
        <w:jc w:val="left"/>
        <w:rPr>
          <w:rFonts w:ascii="宋体" w:hAnsi="宋体" w:eastAsia="宋体" w:cs="宋体"/>
          <w:color w:val="auto"/>
          <w:szCs w:val="24"/>
          <w:highlight w:val="none"/>
          <w:lang w:val="zh-CN"/>
        </w:rPr>
      </w:pPr>
    </w:p>
    <w:p w14:paraId="28356760">
      <w:pPr>
        <w:tabs>
          <w:tab w:val="left" w:pos="1140"/>
        </w:tabs>
        <w:autoSpaceDE w:val="0"/>
        <w:autoSpaceDN w:val="0"/>
        <w:adjustRightInd w:val="0"/>
        <w:spacing w:line="360" w:lineRule="auto"/>
        <w:jc w:val="center"/>
        <w:outlineLvl w:val="2"/>
        <w:rPr>
          <w:rFonts w:ascii="宋体" w:hAnsi="宋体" w:eastAsia="宋体" w:cs="宋体"/>
          <w:b/>
          <w:bCs/>
          <w:color w:val="auto"/>
          <w:sz w:val="28"/>
          <w:szCs w:val="28"/>
          <w:highlight w:val="none"/>
        </w:rPr>
      </w:pPr>
      <w:bookmarkStart w:id="1426" w:name="_Toc13699"/>
      <w:bookmarkStart w:id="1427" w:name="_Toc18693"/>
      <w:bookmarkStart w:id="1428" w:name="_Toc13687"/>
      <w:bookmarkStart w:id="1429" w:name="_Toc19435_WPSOffice_Level1"/>
      <w:r>
        <w:rPr>
          <w:rFonts w:hint="eastAsia" w:ascii="宋体" w:hAnsi="宋体" w:eastAsia="宋体" w:cs="宋体"/>
          <w:b/>
          <w:bCs/>
          <w:color w:val="auto"/>
          <w:sz w:val="28"/>
          <w:szCs w:val="28"/>
          <w:highlight w:val="none"/>
          <w:lang w:val="zh-CN"/>
        </w:rPr>
        <w:t>二、投标文件的初审</w:t>
      </w:r>
      <w:bookmarkEnd w:id="1426"/>
      <w:bookmarkEnd w:id="1427"/>
      <w:bookmarkEnd w:id="1428"/>
      <w:bookmarkEnd w:id="1429"/>
    </w:p>
    <w:p w14:paraId="29246910">
      <w:pPr>
        <w:autoSpaceDE w:val="0"/>
        <w:autoSpaceDN w:val="0"/>
        <w:adjustRightInd w:val="0"/>
        <w:spacing w:line="360" w:lineRule="auto"/>
        <w:outlineLvl w:val="0"/>
        <w:rPr>
          <w:rFonts w:ascii="宋体" w:hAnsi="宋体" w:eastAsia="宋体" w:cs="宋体"/>
          <w:b/>
          <w:color w:val="auto"/>
          <w:szCs w:val="24"/>
          <w:highlight w:val="none"/>
          <w:lang w:val="zh-CN"/>
        </w:rPr>
      </w:pPr>
      <w:bookmarkStart w:id="1430" w:name="_Toc660"/>
      <w:bookmarkStart w:id="1431" w:name="_Toc12032"/>
      <w:bookmarkStart w:id="1432" w:name="_Toc13943"/>
      <w:r>
        <w:rPr>
          <w:rFonts w:hint="eastAsia" w:ascii="宋体" w:hAnsi="宋体" w:eastAsia="宋体" w:cs="宋体"/>
          <w:b/>
          <w:color w:val="auto"/>
          <w:szCs w:val="24"/>
          <w:highlight w:val="none"/>
          <w:lang w:val="zh-CN"/>
        </w:rPr>
        <w:t>6、投标文件的初审分为资格性检查和符合性检查。</w:t>
      </w:r>
      <w:bookmarkEnd w:id="1430"/>
      <w:bookmarkEnd w:id="1431"/>
      <w:bookmarkEnd w:id="1432"/>
    </w:p>
    <w:p w14:paraId="02B42DAF">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1123904F">
      <w:pPr>
        <w:autoSpaceDE w:val="0"/>
        <w:autoSpaceDN w:val="0"/>
        <w:adjustRightInd w:val="0"/>
        <w:spacing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58D19073">
      <w:pPr>
        <w:spacing w:line="360" w:lineRule="auto"/>
        <w:ind w:firstLine="527" w:firstLineChars="25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643D76A9">
      <w:pPr>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2D872A1B">
      <w:pPr>
        <w:spacing w:line="360" w:lineRule="auto"/>
        <w:ind w:firstLine="42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对是否符合实质性响应招标文件有争议的投标文件,评标委员会成员将以记名方式表决,根据少数服从多数的原则，获多数表决通过的投标人才有资格进入下一阶段的评审,否则将被认定为无效投标文件。</w:t>
      </w:r>
    </w:p>
    <w:p w14:paraId="66741AFA">
      <w:pPr>
        <w:pStyle w:val="17"/>
        <w:outlineLvl w:val="0"/>
        <w:rPr>
          <w:rFonts w:ascii="宋体" w:hAnsi="宋体" w:eastAsia="宋体" w:cs="宋体"/>
          <w:b/>
          <w:snapToGrid/>
          <w:color w:val="auto"/>
          <w:kern w:val="2"/>
          <w:szCs w:val="21"/>
          <w:highlight w:val="none"/>
          <w:lang w:val="zh-CN"/>
        </w:rPr>
      </w:pPr>
      <w:bookmarkStart w:id="1433" w:name="_Toc23632"/>
      <w:bookmarkStart w:id="1434" w:name="_Toc4195"/>
      <w:bookmarkStart w:id="1435" w:name="_Toc16552"/>
      <w:r>
        <w:rPr>
          <w:rFonts w:hint="eastAsia" w:ascii="宋体" w:hAnsi="宋体" w:eastAsia="宋体" w:cs="宋体"/>
          <w:b/>
          <w:snapToGrid/>
          <w:color w:val="auto"/>
          <w:kern w:val="2"/>
          <w:szCs w:val="21"/>
          <w:highlight w:val="none"/>
          <w:lang w:val="zh-CN"/>
        </w:rPr>
        <w:t>7、投标文件出现下列情况之一的，被认定为无效投标:</w:t>
      </w:r>
      <w:bookmarkEnd w:id="1433"/>
      <w:bookmarkEnd w:id="1434"/>
      <w:bookmarkEnd w:id="1435"/>
    </w:p>
    <w:p w14:paraId="6374471F">
      <w:pPr>
        <w:autoSpaceDE w:val="0"/>
        <w:autoSpaceDN w:val="0"/>
        <w:adjustRightInd w:val="0"/>
        <w:spacing w:line="360" w:lineRule="auto"/>
        <w:outlineLvl w:val="1"/>
        <w:rPr>
          <w:rFonts w:ascii="宋体" w:hAnsi="宋体" w:eastAsia="宋体" w:cs="宋体"/>
          <w:b/>
          <w:color w:val="auto"/>
          <w:szCs w:val="21"/>
          <w:highlight w:val="none"/>
          <w:lang w:val="zh-CN"/>
        </w:rPr>
      </w:pPr>
      <w:bookmarkStart w:id="1436" w:name="_Toc18396"/>
      <w:bookmarkStart w:id="1437" w:name="_Toc28240"/>
      <w:bookmarkStart w:id="1438" w:name="_Toc28537"/>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 上传的投标文件损坏或无法读取的；</w:t>
      </w:r>
      <w:bookmarkEnd w:id="1436"/>
      <w:bookmarkEnd w:id="1437"/>
      <w:bookmarkEnd w:id="1438"/>
    </w:p>
    <w:p w14:paraId="6AD6C591">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.2 经招标人确认，投标人在公共资源交易企业库填报的与本项目密切相关的信息与事实不相符的；</w:t>
      </w:r>
    </w:p>
    <w:p w14:paraId="17197C32">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.3 投标文件中使用的本项目招标文件版本，与交易系统上发布的本项目招标文件的最新版本不一致的；</w:t>
      </w:r>
    </w:p>
    <w:p w14:paraId="0FCEB266">
      <w:pPr>
        <w:autoSpaceDE w:val="0"/>
        <w:autoSpaceDN w:val="0"/>
        <w:adjustRightIn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7.4 投标文件未使用企业数字证书签名的；</w:t>
      </w:r>
    </w:p>
    <w:p w14:paraId="4B0AE7E7">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5</w:t>
      </w:r>
      <w:r>
        <w:rPr>
          <w:rFonts w:hint="eastAsia" w:ascii="宋体" w:hAnsi="宋体" w:eastAsia="宋体" w:cs="宋体"/>
          <w:b/>
          <w:color w:val="auto"/>
          <w:szCs w:val="21"/>
          <w:highlight w:val="none"/>
          <w:lang w:val="zh-CN"/>
        </w:rPr>
        <w:t xml:space="preserve"> 投标文件签名使用的数字证书与签到的投标人名称不一致的；</w:t>
      </w:r>
    </w:p>
    <w:p w14:paraId="5E3456A3">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6</w:t>
      </w:r>
      <w:r>
        <w:rPr>
          <w:rFonts w:hint="eastAsia" w:ascii="宋体" w:hAnsi="宋体" w:eastAsia="宋体" w:cs="宋体"/>
          <w:b/>
          <w:color w:val="auto"/>
          <w:szCs w:val="21"/>
          <w:highlight w:val="none"/>
          <w:lang w:val="zh-CN"/>
        </w:rPr>
        <w:t xml:space="preserve"> 投标人的投标编制MAC信息、投标编制CPU序列号、投标编制硬盘序列号均与其他投标人相同的；</w:t>
      </w:r>
    </w:p>
    <w:p w14:paraId="2904974C">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 xml:space="preserve"> 投标文件附有招标人不能接受的条件的；</w:t>
      </w:r>
    </w:p>
    <w:p w14:paraId="41D6D958">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8</w:t>
      </w:r>
      <w:r>
        <w:rPr>
          <w:rFonts w:hint="eastAsia" w:ascii="宋体" w:hAnsi="宋体" w:eastAsia="宋体" w:cs="宋体"/>
          <w:b/>
          <w:color w:val="auto"/>
          <w:szCs w:val="21"/>
          <w:highlight w:val="none"/>
          <w:lang w:val="zh-CN"/>
        </w:rPr>
        <w:t xml:space="preserve"> 投标人资格不满足第二篇投标人须知第2</w:t>
      </w:r>
      <w:r>
        <w:rPr>
          <w:rFonts w:hint="eastAsia" w:ascii="宋体" w:hAnsi="宋体" w:eastAsia="宋体" w:cs="宋体"/>
          <w:b/>
          <w:color w:val="auto"/>
          <w:szCs w:val="21"/>
          <w:highlight w:val="none"/>
        </w:rPr>
        <w:t>条</w:t>
      </w:r>
      <w:r>
        <w:rPr>
          <w:rFonts w:hint="eastAsia" w:ascii="宋体" w:hAnsi="宋体" w:eastAsia="宋体" w:cs="宋体"/>
          <w:b/>
          <w:color w:val="auto"/>
          <w:szCs w:val="21"/>
          <w:highlight w:val="none"/>
          <w:lang w:val="zh-CN"/>
        </w:rPr>
        <w:t>的要求；</w:t>
      </w:r>
    </w:p>
    <w:p w14:paraId="32472EAA">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9</w:t>
      </w:r>
      <w:r>
        <w:rPr>
          <w:rFonts w:hint="eastAsia" w:ascii="宋体" w:hAnsi="宋体" w:eastAsia="宋体" w:cs="宋体"/>
          <w:b/>
          <w:color w:val="auto"/>
          <w:szCs w:val="21"/>
          <w:highlight w:val="none"/>
          <w:lang w:val="zh-CN"/>
        </w:rPr>
        <w:t xml:space="preserve"> 投标人未按招标文件要求交纳投标保证金的；</w:t>
      </w:r>
    </w:p>
    <w:p w14:paraId="122ACC0A">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10</w:t>
      </w:r>
      <w:r>
        <w:rPr>
          <w:rFonts w:hint="eastAsia" w:ascii="宋体" w:hAnsi="宋体" w:eastAsia="宋体" w:cs="宋体"/>
          <w:b/>
          <w:color w:val="auto"/>
          <w:szCs w:val="21"/>
          <w:highlight w:val="none"/>
          <w:lang w:val="zh-CN"/>
        </w:rPr>
        <w:t xml:space="preserve"> 投标文件报价信封中填报的投标报价高于本项目投标最高限价的；</w:t>
      </w:r>
    </w:p>
    <w:p w14:paraId="2A5E2525">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 xml:space="preserve"> 投标人以低于企业成本价报价，且投标人不能合理说明或不能提供相关证明材料；</w:t>
      </w:r>
    </w:p>
    <w:p w14:paraId="2C9E7D3C">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zh-CN"/>
        </w:rPr>
        <w:t xml:space="preserve"> 投标人递交两份或多份内容不同的投标文件，或在一份投标文件中报有两个或多个报价，且未书面声明哪一个有效；</w:t>
      </w:r>
    </w:p>
    <w:p w14:paraId="10F58645">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rPr>
        <w:t>3</w:t>
      </w:r>
      <w:r>
        <w:rPr>
          <w:rFonts w:hint="eastAsia" w:ascii="宋体" w:hAnsi="宋体" w:eastAsia="宋体" w:cs="宋体"/>
          <w:b/>
          <w:color w:val="auto"/>
          <w:szCs w:val="21"/>
          <w:highlight w:val="none"/>
          <w:lang w:val="zh-CN"/>
        </w:rPr>
        <w:t xml:space="preserve"> 投标文件未按第二篇投标人须知第17</w:t>
      </w:r>
      <w:r>
        <w:rPr>
          <w:rFonts w:hint="eastAsia" w:ascii="宋体" w:hAnsi="宋体" w:eastAsia="宋体" w:cs="宋体"/>
          <w:b/>
          <w:color w:val="auto"/>
          <w:szCs w:val="21"/>
          <w:highlight w:val="none"/>
        </w:rPr>
        <w:t>条</w:t>
      </w:r>
      <w:r>
        <w:rPr>
          <w:rFonts w:hint="eastAsia" w:ascii="宋体" w:hAnsi="宋体" w:eastAsia="宋体" w:cs="宋体"/>
          <w:b/>
          <w:color w:val="auto"/>
          <w:szCs w:val="21"/>
          <w:highlight w:val="none"/>
          <w:lang w:val="zh-CN"/>
        </w:rPr>
        <w:t xml:space="preserve">的要求编制、使用企业数字证书或个人数字证书电子签名的； </w:t>
      </w:r>
    </w:p>
    <w:p w14:paraId="6873AD47">
      <w:pPr>
        <w:autoSpaceDE w:val="0"/>
        <w:autoSpaceDN w:val="0"/>
        <w:adjustRightInd w:val="0"/>
        <w:spacing w:line="360" w:lineRule="auto"/>
        <w:outlineLvl w:val="1"/>
        <w:rPr>
          <w:rFonts w:ascii="宋体" w:hAnsi="宋体" w:eastAsia="宋体" w:cs="宋体"/>
          <w:b/>
          <w:color w:val="auto"/>
          <w:szCs w:val="21"/>
          <w:highlight w:val="none"/>
          <w:lang w:val="zh-CN"/>
        </w:rPr>
      </w:pPr>
      <w:bookmarkStart w:id="1439" w:name="_Toc872"/>
      <w:bookmarkStart w:id="1440" w:name="_Toc16919"/>
      <w:bookmarkStart w:id="1441" w:name="_Toc6376"/>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rPr>
        <w:t>4</w:t>
      </w:r>
      <w:r>
        <w:rPr>
          <w:rFonts w:hint="eastAsia" w:ascii="宋体" w:hAnsi="宋体" w:eastAsia="宋体" w:cs="宋体"/>
          <w:b/>
          <w:color w:val="auto"/>
          <w:szCs w:val="21"/>
          <w:highlight w:val="none"/>
          <w:lang w:val="zh-CN"/>
        </w:rPr>
        <w:t xml:space="preserve"> 投标有效期限不符合要求；</w:t>
      </w:r>
      <w:bookmarkEnd w:id="1439"/>
      <w:bookmarkEnd w:id="1440"/>
      <w:bookmarkEnd w:id="1441"/>
    </w:p>
    <w:p w14:paraId="0922EF58">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rPr>
        <w:t>5</w:t>
      </w:r>
      <w:r>
        <w:rPr>
          <w:rFonts w:hint="eastAsia" w:ascii="宋体" w:hAnsi="宋体" w:eastAsia="宋体" w:cs="宋体"/>
          <w:b/>
          <w:color w:val="auto"/>
          <w:szCs w:val="21"/>
          <w:highlight w:val="none"/>
          <w:lang w:val="zh-CN"/>
        </w:rPr>
        <w:t xml:space="preserve"> 投标文件未对招标范围内的全部内容进行投标报价或投标方案不是唯一；</w:t>
      </w:r>
    </w:p>
    <w:p w14:paraId="395BBD13">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rPr>
        <w:t>6</w:t>
      </w:r>
      <w:r>
        <w:rPr>
          <w:rFonts w:hint="eastAsia" w:ascii="宋体" w:hAnsi="宋体" w:eastAsia="宋体" w:cs="宋体"/>
          <w:b/>
          <w:color w:val="auto"/>
          <w:szCs w:val="21"/>
          <w:highlight w:val="none"/>
          <w:lang w:val="zh-CN"/>
        </w:rPr>
        <w:t xml:space="preserve"> 未提供或虚假填写《合同条款偏离表》，或对《合同条款偏离表》有负偏离的；</w:t>
      </w:r>
    </w:p>
    <w:p w14:paraId="0B77CACD">
      <w:pPr>
        <w:autoSpaceDE w:val="0"/>
        <w:autoSpaceDN w:val="0"/>
        <w:adjustRightInd w:val="0"/>
        <w:spacing w:line="360" w:lineRule="auto"/>
        <w:outlineLvl w:val="1"/>
        <w:rPr>
          <w:rFonts w:ascii="宋体" w:hAnsi="宋体" w:eastAsia="宋体" w:cs="宋体"/>
          <w:b/>
          <w:color w:val="auto"/>
          <w:szCs w:val="21"/>
          <w:highlight w:val="none"/>
          <w:lang w:val="zh-CN"/>
        </w:rPr>
      </w:pPr>
      <w:bookmarkStart w:id="1442" w:name="_Toc24635"/>
      <w:bookmarkStart w:id="1443" w:name="_Toc5966"/>
      <w:bookmarkStart w:id="1444" w:name="_Toc10437"/>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 xml:space="preserve"> 未填写或虚假填写《用户需求偏离表》的；</w:t>
      </w:r>
      <w:bookmarkEnd w:id="1442"/>
      <w:bookmarkEnd w:id="1443"/>
      <w:bookmarkEnd w:id="1444"/>
    </w:p>
    <w:p w14:paraId="5730DF80">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rPr>
        <w:t>8</w:t>
      </w:r>
      <w:r>
        <w:rPr>
          <w:rFonts w:hint="eastAsia" w:ascii="宋体" w:hAnsi="宋体" w:eastAsia="宋体" w:cs="宋体"/>
          <w:b/>
          <w:color w:val="auto"/>
          <w:szCs w:val="21"/>
          <w:highlight w:val="none"/>
          <w:lang w:val="zh-CN"/>
        </w:rPr>
        <w:t xml:space="preserve"> 未响应招标文件提出的实质性要求和条件（标注★的条款）；</w:t>
      </w:r>
    </w:p>
    <w:p w14:paraId="6FCB1019">
      <w:pPr>
        <w:autoSpaceDE w:val="0"/>
        <w:autoSpaceDN w:val="0"/>
        <w:adjustRightInd w:val="0"/>
        <w:spacing w:line="360" w:lineRule="auto"/>
        <w:ind w:left="316" w:hanging="316" w:hangingChars="1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rPr>
        <w:t>9</w:t>
      </w:r>
      <w:r>
        <w:rPr>
          <w:rFonts w:hint="eastAsia" w:ascii="宋体" w:hAnsi="宋体" w:eastAsia="宋体" w:cs="宋体"/>
          <w:b/>
          <w:color w:val="auto"/>
          <w:szCs w:val="21"/>
          <w:highlight w:val="none"/>
          <w:lang w:val="zh-CN"/>
        </w:rPr>
        <w:t xml:space="preserve"> 属于招标文件中规定为无效标的；属于法律、法规、规章规定的应作无效投标文件处理的。</w:t>
      </w:r>
    </w:p>
    <w:p w14:paraId="2BC3C5C7">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4D45B9C3">
      <w:pPr>
        <w:spacing w:line="360" w:lineRule="auto"/>
        <w:ind w:left="480"/>
        <w:rPr>
          <w:rFonts w:ascii="宋体" w:hAnsi="宋体" w:eastAsia="宋体" w:cs="宋体"/>
          <w:b/>
          <w:color w:val="auto"/>
          <w:kern w:val="0"/>
          <w:szCs w:val="21"/>
          <w:highlight w:val="none"/>
        </w:rPr>
      </w:pPr>
    </w:p>
    <w:p w14:paraId="6FF5BB93">
      <w:pPr>
        <w:tabs>
          <w:tab w:val="left" w:pos="1140"/>
        </w:tabs>
        <w:autoSpaceDE w:val="0"/>
        <w:autoSpaceDN w:val="0"/>
        <w:adjustRightInd w:val="0"/>
        <w:spacing w:line="360" w:lineRule="auto"/>
        <w:ind w:firstLine="3528" w:firstLineChars="1255"/>
        <w:jc w:val="left"/>
        <w:outlineLvl w:val="2"/>
        <w:rPr>
          <w:rFonts w:ascii="宋体" w:hAnsi="宋体" w:eastAsia="宋体" w:cs="宋体"/>
          <w:b/>
          <w:bCs/>
          <w:color w:val="auto"/>
          <w:sz w:val="28"/>
          <w:szCs w:val="28"/>
          <w:highlight w:val="none"/>
        </w:rPr>
      </w:pPr>
      <w:bookmarkStart w:id="1445" w:name="_Toc20369"/>
      <w:bookmarkStart w:id="1446" w:name="_Toc4109_WPSOffice_Level1"/>
      <w:bookmarkStart w:id="1447" w:name="_Toc6756"/>
      <w:bookmarkStart w:id="1448" w:name="_Toc30958"/>
      <w:r>
        <w:rPr>
          <w:rFonts w:hint="eastAsia" w:ascii="宋体" w:hAnsi="宋体" w:eastAsia="宋体" w:cs="宋体"/>
          <w:b/>
          <w:bCs/>
          <w:color w:val="auto"/>
          <w:sz w:val="28"/>
          <w:szCs w:val="28"/>
          <w:highlight w:val="none"/>
          <w:lang w:val="zh-CN"/>
        </w:rPr>
        <w:t>三、澄清有关问题</w:t>
      </w:r>
      <w:bookmarkEnd w:id="1445"/>
      <w:bookmarkEnd w:id="1446"/>
      <w:bookmarkEnd w:id="1447"/>
      <w:bookmarkEnd w:id="1448"/>
    </w:p>
    <w:p w14:paraId="27E06DF0">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2FCC4118">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65A74319">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623FBC74">
      <w:pPr>
        <w:autoSpaceDE w:val="0"/>
        <w:autoSpaceDN w:val="0"/>
        <w:adjustRightInd w:val="0"/>
        <w:spacing w:line="360" w:lineRule="auto"/>
        <w:ind w:left="529" w:right="18" w:hanging="529" w:hangingChars="252"/>
        <w:rPr>
          <w:rFonts w:ascii="宋体" w:hAnsi="宋体" w:eastAsia="宋体" w:cs="宋体"/>
          <w:color w:val="auto"/>
          <w:highlight w:val="none"/>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76EEC973">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79D5CED5">
      <w:pPr>
        <w:spacing w:line="360" w:lineRule="auto"/>
        <w:ind w:left="567" w:hanging="567" w:hangingChars="270"/>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r>
        <w:rPr>
          <w:rFonts w:hint="eastAsia" w:ascii="宋体" w:hAnsi="宋体" w:eastAsia="宋体" w:cs="宋体"/>
          <w:color w:val="auto"/>
          <w:szCs w:val="21"/>
          <w:highlight w:val="none"/>
          <w:lang w:val="zh-CN"/>
        </w:rPr>
        <w:t>当以数字表示的报价系数与以文字表示的报价系数不一致时，以文字表示的报价系数为准。</w:t>
      </w:r>
      <w:r>
        <w:rPr>
          <w:rFonts w:hint="eastAsia" w:ascii="宋体" w:hAnsi="宋体" w:eastAsia="宋体" w:cs="宋体"/>
          <w:color w:val="auto"/>
          <w:kern w:val="0"/>
          <w:szCs w:val="21"/>
          <w:highlight w:val="none"/>
          <w:lang w:val="zh-CN"/>
        </w:rPr>
        <w:t>按前述修正原则进行修正至唯一值后的报价表经双方确认后，作为合同文件的组成部分。</w:t>
      </w:r>
    </w:p>
    <w:p w14:paraId="39CD2BDB">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4F943B8E">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w:t>
      </w:r>
      <w:r>
        <w:rPr>
          <w:rFonts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zh-CN"/>
        </w:rPr>
        <w:t xml:space="preserve">  若投标人出现超低报价，有可能影响服务质量和不能诚信履约的，</w:t>
      </w:r>
      <w:r>
        <w:rPr>
          <w:rFonts w:hint="eastAsia" w:ascii="宋体" w:hAnsi="宋体" w:eastAsia="宋体" w:cs="宋体"/>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6138F82D">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1449" w:name="_Toc8518_WPSOffice_Level1"/>
    </w:p>
    <w:p w14:paraId="3C1C93E3">
      <w:pPr>
        <w:autoSpaceDE w:val="0"/>
        <w:autoSpaceDN w:val="0"/>
        <w:adjustRightInd w:val="0"/>
        <w:spacing w:line="360" w:lineRule="auto"/>
        <w:jc w:val="center"/>
        <w:outlineLvl w:val="2"/>
        <w:rPr>
          <w:rFonts w:ascii="宋体" w:hAnsi="宋体" w:eastAsia="宋体" w:cs="宋体"/>
          <w:b/>
          <w:bCs/>
          <w:color w:val="auto"/>
          <w:sz w:val="28"/>
          <w:szCs w:val="28"/>
          <w:highlight w:val="none"/>
        </w:rPr>
      </w:pPr>
      <w:bookmarkStart w:id="1450" w:name="_Toc5008"/>
      <w:bookmarkStart w:id="1451" w:name="_Toc15654"/>
      <w:bookmarkStart w:id="1452" w:name="_Toc2850"/>
      <w:r>
        <w:rPr>
          <w:rFonts w:hint="eastAsia" w:ascii="宋体" w:hAnsi="宋体" w:eastAsia="宋体" w:cs="宋体"/>
          <w:b/>
          <w:bCs/>
          <w:color w:val="auto"/>
          <w:sz w:val="28"/>
          <w:szCs w:val="28"/>
          <w:highlight w:val="none"/>
          <w:lang w:val="zh-CN"/>
        </w:rPr>
        <w:t>四、比较和评价</w:t>
      </w:r>
      <w:bookmarkEnd w:id="1449"/>
      <w:bookmarkEnd w:id="1450"/>
      <w:bookmarkEnd w:id="1451"/>
      <w:bookmarkEnd w:id="1452"/>
    </w:p>
    <w:p w14:paraId="027AA82E">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等内容进行打分。</w:t>
      </w:r>
    </w:p>
    <w:p w14:paraId="2A9A3148">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19AB268A">
      <w:pPr>
        <w:tabs>
          <w:tab w:val="left" w:pos="1701"/>
        </w:tabs>
        <w:autoSpaceDE w:val="0"/>
        <w:autoSpaceDN w:val="0"/>
        <w:adjustRightInd w:val="0"/>
        <w:spacing w:line="360" w:lineRule="auto"/>
        <w:outlineLvl w:val="0"/>
        <w:rPr>
          <w:rFonts w:ascii="宋体" w:hAnsi="宋体" w:eastAsia="宋体" w:cs="宋体"/>
          <w:b/>
          <w:color w:val="auto"/>
          <w:szCs w:val="24"/>
          <w:highlight w:val="none"/>
          <w:lang w:val="zh-CN"/>
        </w:rPr>
      </w:pPr>
      <w:bookmarkStart w:id="1453" w:name="_Toc1113"/>
      <w:bookmarkStart w:id="1454" w:name="_Toc11201"/>
      <w:bookmarkStart w:id="1455" w:name="_Toc12818"/>
      <w:r>
        <w:rPr>
          <w:rFonts w:hint="eastAsia" w:ascii="宋体" w:hAnsi="宋体" w:eastAsia="宋体" w:cs="宋体"/>
          <w:b/>
          <w:color w:val="auto"/>
          <w:szCs w:val="24"/>
          <w:highlight w:val="none"/>
          <w:lang w:val="zh-CN"/>
        </w:rPr>
        <w:t>11、评委打分办法</w:t>
      </w:r>
      <w:bookmarkEnd w:id="1453"/>
      <w:bookmarkEnd w:id="1454"/>
      <w:bookmarkEnd w:id="1455"/>
    </w:p>
    <w:p w14:paraId="6F98C9C2">
      <w:pPr>
        <w:autoSpaceDE w:val="0"/>
        <w:autoSpaceDN w:val="0"/>
        <w:adjustRightInd w:val="0"/>
        <w:spacing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11.1 参加评分的评委应尽力体现客观、实事求是，避免学派偏见和个人偏好。</w:t>
      </w:r>
    </w:p>
    <w:p w14:paraId="1A88F37D">
      <w:pPr>
        <w:autoSpaceDE w:val="0"/>
        <w:autoSpaceDN w:val="0"/>
        <w:adjustRightInd w:val="0"/>
        <w:spacing w:line="360" w:lineRule="auto"/>
        <w:ind w:left="565" w:leftChars="-1" w:hanging="567" w:hangingChars="27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11.2 衡量、对比的依据，应以招标文件、投标文件、提供的正式试验数据、开标澄清中的文字为准，口头回答和收集的资料只作为参考。</w:t>
      </w:r>
    </w:p>
    <w:p w14:paraId="0CEAA39F">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hint="eastAsia" w:ascii="宋体" w:hAnsi="宋体" w:eastAsia="宋体" w:cs="宋体"/>
          <w:color w:val="auto"/>
          <w:szCs w:val="24"/>
          <w:highlight w:val="none"/>
          <w:lang w:val="zh-CN"/>
        </w:rPr>
        <w:t>11.3 评分主要是为比较各投标人的商务、技术</w:t>
      </w:r>
      <w:r>
        <w:rPr>
          <w:rFonts w:hint="eastAsia" w:ascii="宋体" w:hAnsi="宋体" w:eastAsia="宋体" w:cs="宋体"/>
          <w:color w:val="auto"/>
          <w:szCs w:val="24"/>
          <w:highlight w:val="none"/>
        </w:rPr>
        <w:t>和</w:t>
      </w:r>
      <w:r>
        <w:rPr>
          <w:rFonts w:hint="eastAsia" w:ascii="宋体" w:hAnsi="宋体" w:eastAsia="宋体" w:cs="宋体"/>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0D46FEC2">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（1）评标委员会首先对商务标进行评审，按评标标准打分后，取所有评委评分的平均值得出该投标人的商务评分；</w:t>
      </w:r>
    </w:p>
    <w:p w14:paraId="777D5537">
      <w:pPr>
        <w:autoSpaceDE w:val="0"/>
        <w:autoSpaceDN w:val="0"/>
        <w:adjustRightInd w:val="0"/>
        <w:spacing w:line="360" w:lineRule="auto"/>
        <w:ind w:left="565" w:leftChars="-1" w:hanging="567" w:hangingChars="270"/>
        <w:rPr>
          <w:rFonts w:ascii="宋体" w:hAnsi="宋体" w:eastAsia="宋体" w:cs="宋体"/>
          <w:color w:val="auto"/>
          <w:szCs w:val="21"/>
          <w:highlight w:val="none"/>
        </w:rPr>
      </w:pPr>
      <w:r>
        <w:rPr>
          <w:rFonts w:hint="eastAsia" w:ascii="宋体" w:hAnsi="宋体" w:eastAsia="宋体" w:cs="宋体"/>
          <w:color w:val="auto"/>
          <w:kern w:val="0"/>
          <w:szCs w:val="21"/>
          <w:highlight w:val="none"/>
        </w:rPr>
        <w:t>（2）然后评标委员会对技术标进行评审，按评标标准打分后，</w:t>
      </w:r>
      <w:r>
        <w:rPr>
          <w:rFonts w:hint="eastAsia" w:ascii="宋体" w:hAnsi="宋体" w:eastAsia="宋体" w:cs="宋体"/>
          <w:color w:val="auto"/>
          <w:szCs w:val="21"/>
          <w:highlight w:val="none"/>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14:paraId="6461173B">
      <w:pPr>
        <w:autoSpaceDE w:val="0"/>
        <w:autoSpaceDN w:val="0"/>
        <w:adjustRightInd w:val="0"/>
        <w:spacing w:line="360" w:lineRule="auto"/>
        <w:ind w:left="565" w:leftChars="-1" w:hanging="567" w:hangingChars="270"/>
        <w:rPr>
          <w:rFonts w:ascii="宋体" w:hAnsi="宋体" w:eastAsia="宋体" w:cs="宋体"/>
          <w:color w:val="auto"/>
          <w:szCs w:val="24"/>
          <w:highlight w:val="none"/>
          <w:lang w:val="zh-CN"/>
        </w:rPr>
      </w:pPr>
      <w:r>
        <w:rPr>
          <w:rFonts w:hint="eastAsia" w:ascii="宋体" w:hAnsi="宋体" w:eastAsia="宋体" w:cs="宋体"/>
          <w:color w:val="auto"/>
          <w:kern w:val="0"/>
          <w:szCs w:val="21"/>
          <w:highlight w:val="none"/>
        </w:rPr>
        <w:t>（3）最后评标委员会对报价进行评审，按评标标准计算得出该投标人的报价评分。</w:t>
      </w:r>
    </w:p>
    <w:p w14:paraId="1E8E13B4">
      <w:pPr>
        <w:tabs>
          <w:tab w:val="left" w:pos="600"/>
        </w:tabs>
        <w:autoSpaceDE w:val="0"/>
        <w:autoSpaceDN w:val="0"/>
        <w:adjustRightInd w:val="0"/>
        <w:spacing w:line="360" w:lineRule="auto"/>
        <w:outlineLvl w:val="1"/>
        <w:rPr>
          <w:rFonts w:ascii="宋体" w:hAnsi="宋体" w:eastAsia="宋体" w:cs="宋体"/>
          <w:color w:val="auto"/>
          <w:szCs w:val="24"/>
          <w:highlight w:val="none"/>
          <w:lang w:val="zh-CN"/>
        </w:rPr>
      </w:pPr>
      <w:bookmarkStart w:id="1456" w:name="_Toc12165"/>
      <w:bookmarkStart w:id="1457" w:name="_Toc18960"/>
      <w:bookmarkStart w:id="1458" w:name="_Toc10259"/>
      <w:r>
        <w:rPr>
          <w:rFonts w:hint="eastAsia" w:ascii="宋体" w:hAnsi="宋体" w:eastAsia="宋体" w:cs="宋体"/>
          <w:color w:val="auto"/>
          <w:szCs w:val="24"/>
          <w:highlight w:val="none"/>
          <w:lang w:val="zh-CN"/>
        </w:rPr>
        <w:t>11.4 评标委员会打分采取记名形式。</w:t>
      </w:r>
      <w:bookmarkEnd w:id="1456"/>
      <w:bookmarkEnd w:id="1457"/>
      <w:bookmarkEnd w:id="1458"/>
    </w:p>
    <w:p w14:paraId="0EB76914">
      <w:pPr>
        <w:autoSpaceDE w:val="0"/>
        <w:autoSpaceDN w:val="0"/>
        <w:adjustRightInd w:val="0"/>
        <w:spacing w:line="360" w:lineRule="auto"/>
        <w:ind w:left="565" w:leftChars="-1" w:hanging="567" w:hangingChars="27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11.5 各评委根据秘书组提供的打分表严格按照评标大纲内的评分标准独立自主打分，任何人不得要求评委统一打分或统一确定等次顺序。</w:t>
      </w:r>
    </w:p>
    <w:p w14:paraId="7531E3B4">
      <w:pPr>
        <w:autoSpaceDE w:val="0"/>
        <w:autoSpaceDN w:val="0"/>
        <w:adjustRightInd w:val="0"/>
        <w:spacing w:line="360" w:lineRule="auto"/>
        <w:ind w:left="426" w:hanging="426"/>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11.6 对打分表中的每项条款，各评委应根据投标文件、澄清材料、招标文件要求，按满足的程度给投标人打分。</w:t>
      </w:r>
    </w:p>
    <w:p w14:paraId="640FCC40">
      <w:pPr>
        <w:tabs>
          <w:tab w:val="left" w:pos="600"/>
        </w:tabs>
        <w:autoSpaceDE w:val="0"/>
        <w:autoSpaceDN w:val="0"/>
        <w:adjustRightInd w:val="0"/>
        <w:spacing w:line="360" w:lineRule="auto"/>
        <w:outlineLvl w:val="1"/>
        <w:rPr>
          <w:rFonts w:ascii="宋体" w:hAnsi="宋体" w:eastAsia="宋体" w:cs="宋体"/>
          <w:color w:val="auto"/>
          <w:szCs w:val="24"/>
          <w:highlight w:val="none"/>
          <w:lang w:val="zh-CN"/>
        </w:rPr>
      </w:pPr>
      <w:bookmarkStart w:id="1459" w:name="_Toc27079"/>
      <w:bookmarkStart w:id="1460" w:name="_Toc20505"/>
      <w:bookmarkStart w:id="1461" w:name="_Toc32700"/>
      <w:r>
        <w:rPr>
          <w:rFonts w:hint="eastAsia" w:ascii="宋体" w:hAnsi="宋体" w:eastAsia="宋体" w:cs="宋体"/>
          <w:color w:val="auto"/>
          <w:szCs w:val="24"/>
          <w:highlight w:val="none"/>
          <w:lang w:val="zh-CN"/>
        </w:rPr>
        <w:t>11.7 评分程序</w:t>
      </w:r>
      <w:bookmarkEnd w:id="1459"/>
      <w:bookmarkEnd w:id="1460"/>
      <w:bookmarkEnd w:id="1461"/>
    </w:p>
    <w:p w14:paraId="78CD5E27">
      <w:pPr>
        <w:tabs>
          <w:tab w:val="left" w:pos="1134"/>
        </w:tabs>
        <w:autoSpaceDE w:val="0"/>
        <w:autoSpaceDN w:val="0"/>
        <w:adjustRightInd w:val="0"/>
        <w:spacing w:line="360" w:lineRule="auto"/>
        <w:ind w:left="565" w:leftChars="-1" w:hanging="567" w:hangingChars="27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（1）就投标人的投标文件对照整理出商务、技术评标因素对比表、偏差表，并在经过校核的基础上逐项打分。</w:t>
      </w:r>
    </w:p>
    <w:p w14:paraId="0C968F68">
      <w:pPr>
        <w:tabs>
          <w:tab w:val="left" w:pos="1134"/>
        </w:tabs>
        <w:autoSpaceDE w:val="0"/>
        <w:autoSpaceDN w:val="0"/>
        <w:adjustRightInd w:val="0"/>
        <w:spacing w:line="360" w:lineRule="auto"/>
        <w:ind w:left="565" w:leftChars="-1" w:hanging="567" w:hangingChars="27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（2）各评委独立完成打分后，将统计好的评分表交给招标代理机构秘书组复核。</w:t>
      </w:r>
    </w:p>
    <w:p w14:paraId="6AA68B7B">
      <w:pPr>
        <w:tabs>
          <w:tab w:val="left" w:pos="1134"/>
        </w:tabs>
        <w:autoSpaceDE w:val="0"/>
        <w:autoSpaceDN w:val="0"/>
        <w:adjustRightInd w:val="0"/>
        <w:spacing w:line="360" w:lineRule="auto"/>
        <w:ind w:left="565" w:leftChars="-1" w:hanging="567" w:hangingChars="27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（3）评分统计表中各投标人技术得分应为最终综合得分，商务和价格得分应为评委打分的算术平均值。</w:t>
      </w:r>
    </w:p>
    <w:p w14:paraId="4AD92E91">
      <w:pPr>
        <w:autoSpaceDE w:val="0"/>
        <w:autoSpaceDN w:val="0"/>
        <w:adjustRightInd w:val="0"/>
        <w:spacing w:line="360" w:lineRule="auto"/>
        <w:rPr>
          <w:rFonts w:ascii="宋体" w:hAnsi="宋体" w:eastAsia="宋体" w:cs="宋体"/>
          <w:color w:val="auto"/>
          <w:szCs w:val="24"/>
          <w:highlight w:val="none"/>
          <w:lang w:val="zh-CN"/>
        </w:rPr>
      </w:pPr>
    </w:p>
    <w:p w14:paraId="3C127C65">
      <w:pPr>
        <w:tabs>
          <w:tab w:val="left" w:pos="1701"/>
        </w:tabs>
        <w:autoSpaceDE w:val="0"/>
        <w:autoSpaceDN w:val="0"/>
        <w:adjustRightInd w:val="0"/>
        <w:spacing w:line="360" w:lineRule="auto"/>
        <w:outlineLvl w:val="0"/>
        <w:rPr>
          <w:rFonts w:ascii="宋体" w:hAnsi="宋体" w:eastAsia="宋体" w:cs="宋体"/>
          <w:b/>
          <w:color w:val="auto"/>
          <w:szCs w:val="24"/>
          <w:highlight w:val="none"/>
          <w:lang w:val="zh-CN"/>
        </w:rPr>
      </w:pPr>
      <w:bookmarkStart w:id="1462" w:name="_Toc32264"/>
      <w:bookmarkStart w:id="1463" w:name="_Toc26946"/>
      <w:bookmarkStart w:id="1464" w:name="_Toc24024"/>
      <w:r>
        <w:rPr>
          <w:rFonts w:hint="eastAsia" w:ascii="宋体" w:hAnsi="宋体" w:eastAsia="宋体" w:cs="宋体"/>
          <w:b/>
          <w:color w:val="auto"/>
          <w:szCs w:val="24"/>
          <w:highlight w:val="none"/>
          <w:lang w:val="zh-CN"/>
        </w:rPr>
        <w:t>12、评分因素及分值</w:t>
      </w:r>
      <w:bookmarkEnd w:id="1462"/>
      <w:bookmarkEnd w:id="1463"/>
      <w:bookmarkEnd w:id="1464"/>
    </w:p>
    <w:tbl>
      <w:tblPr>
        <w:tblStyle w:val="4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638"/>
        <w:gridCol w:w="4618"/>
      </w:tblGrid>
      <w:tr w14:paraId="09F1E9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516F89E5">
            <w:pPr>
              <w:spacing w:line="400" w:lineRule="exact"/>
              <w:jc w:val="center"/>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1ABF6E35">
            <w:pPr>
              <w:spacing w:line="400" w:lineRule="exact"/>
              <w:jc w:val="center"/>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分值</w:t>
            </w:r>
          </w:p>
        </w:tc>
      </w:tr>
      <w:tr w14:paraId="73765D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22475EE4">
            <w:pPr>
              <w:spacing w:line="400" w:lineRule="exact"/>
              <w:jc w:val="center"/>
              <w:rPr>
                <w:rFonts w:ascii="宋体" w:hAnsi="宋体" w:eastAsia="宋体" w:cs="宋体"/>
                <w:bCs/>
                <w:color w:val="auto"/>
                <w:kern w:val="0"/>
                <w:szCs w:val="21"/>
                <w:highlight w:val="none"/>
                <w:lang w:val="zh-CN"/>
              </w:rPr>
            </w:pPr>
            <w:bookmarkStart w:id="1465" w:name="OLE_LINK243" w:colFirst="1" w:colLast="1"/>
            <w:r>
              <w:rPr>
                <w:rFonts w:hint="eastAsia" w:ascii="宋体" w:hAnsi="宋体" w:eastAsia="宋体" w:cs="宋体"/>
                <w:bCs/>
                <w:color w:val="auto"/>
                <w:kern w:val="0"/>
                <w:szCs w:val="21"/>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76087646">
            <w:pPr>
              <w:autoSpaceDE w:val="0"/>
              <w:autoSpaceDN w:val="0"/>
              <w:adjustRightInd w:val="0"/>
              <w:spacing w:line="400" w:lineRule="exact"/>
              <w:jc w:val="center"/>
              <w:rPr>
                <w:rFonts w:ascii="宋体" w:hAnsi="宋体" w:eastAsia="宋体" w:cs="宋体"/>
                <w:bCs/>
                <w:color w:val="auto"/>
                <w:kern w:val="0"/>
                <w:szCs w:val="21"/>
                <w:highlight w:val="none"/>
                <w:lang w:val="zh-CN"/>
              </w:rPr>
            </w:pPr>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分</w:t>
            </w:r>
          </w:p>
        </w:tc>
      </w:tr>
      <w:tr w14:paraId="32EC6C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21FCBCE3">
            <w:pPr>
              <w:spacing w:line="400" w:lineRule="exact"/>
              <w:jc w:val="center"/>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33D2637D">
            <w:pPr>
              <w:autoSpaceDE w:val="0"/>
              <w:autoSpaceDN w:val="0"/>
              <w:adjustRightInd w:val="0"/>
              <w:spacing w:line="400" w:lineRule="exact"/>
              <w:jc w:val="center"/>
              <w:rPr>
                <w:rFonts w:ascii="宋体" w:hAnsi="宋体" w:eastAsia="宋体" w:cs="宋体"/>
                <w:bCs/>
                <w:color w:val="auto"/>
                <w:kern w:val="0"/>
                <w:szCs w:val="21"/>
                <w:highlight w:val="none"/>
                <w:lang w:val="zh-CN"/>
              </w:rPr>
            </w:pPr>
            <w:r>
              <w:rPr>
                <w:rFonts w:hint="eastAsia" w:ascii="宋体" w:hAnsi="宋体" w:eastAsia="宋体" w:cs="宋体"/>
                <w:b/>
                <w:color w:val="auto"/>
                <w:szCs w:val="21"/>
                <w:highlight w:val="none"/>
              </w:rPr>
              <w:t>40</w:t>
            </w:r>
            <w:r>
              <w:rPr>
                <w:rFonts w:hint="eastAsia" w:ascii="宋体" w:hAnsi="宋体" w:eastAsia="宋体" w:cs="宋体"/>
                <w:b/>
                <w:color w:val="auto"/>
                <w:szCs w:val="21"/>
                <w:highlight w:val="none"/>
                <w:lang w:val="zh-CN"/>
              </w:rPr>
              <w:t>分</w:t>
            </w:r>
          </w:p>
        </w:tc>
      </w:tr>
      <w:tr w14:paraId="58CE4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73C68E51">
            <w:pPr>
              <w:spacing w:line="400" w:lineRule="exact"/>
              <w:jc w:val="center"/>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6502EDEE">
            <w:pPr>
              <w:autoSpaceDE w:val="0"/>
              <w:autoSpaceDN w:val="0"/>
              <w:adjustRightInd w:val="0"/>
              <w:spacing w:line="400" w:lineRule="exact"/>
              <w:jc w:val="center"/>
              <w:rPr>
                <w:rFonts w:ascii="宋体" w:hAnsi="宋体" w:eastAsia="宋体" w:cs="宋体"/>
                <w:bCs/>
                <w:color w:val="auto"/>
                <w:kern w:val="0"/>
                <w:szCs w:val="21"/>
                <w:highlight w:val="none"/>
                <w:lang w:val="zh-CN"/>
              </w:rPr>
            </w:pPr>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分</w:t>
            </w:r>
          </w:p>
        </w:tc>
      </w:tr>
      <w:bookmarkEnd w:id="1465"/>
    </w:tbl>
    <w:p w14:paraId="04727278">
      <w:pPr>
        <w:widowControl/>
        <w:jc w:val="left"/>
        <w:rPr>
          <w:rFonts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br w:type="page"/>
      </w:r>
    </w:p>
    <w:p w14:paraId="6510E9FD">
      <w:pPr>
        <w:tabs>
          <w:tab w:val="left" w:pos="585"/>
        </w:tabs>
        <w:autoSpaceDE w:val="0"/>
        <w:autoSpaceDN w:val="0"/>
        <w:adjustRightIn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（1）商务：</w:t>
      </w:r>
      <w:r>
        <w:rPr>
          <w:rFonts w:hint="eastAsia" w:ascii="宋体" w:hAnsi="宋体" w:eastAsia="宋体" w:cs="宋体"/>
          <w:b/>
          <w:color w:val="auto"/>
          <w:szCs w:val="21"/>
          <w:highlight w:val="none"/>
        </w:rPr>
        <w:t>总分30分</w:t>
      </w:r>
    </w:p>
    <w:tbl>
      <w:tblPr>
        <w:tblStyle w:val="45"/>
        <w:tblpPr w:leftFromText="180" w:rightFromText="180" w:vertAnchor="text" w:horzAnchor="page" w:tblpX="1016" w:tblpY="406"/>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1011"/>
        <w:gridCol w:w="6836"/>
        <w:gridCol w:w="809"/>
      </w:tblGrid>
      <w:tr w14:paraId="5AE8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4" w:type="pct"/>
            <w:tcBorders>
              <w:top w:val="single" w:color="auto" w:sz="4" w:space="0"/>
              <w:left w:val="single" w:color="auto" w:sz="4" w:space="0"/>
              <w:bottom w:val="single" w:color="auto" w:sz="4" w:space="0"/>
              <w:right w:val="single" w:color="auto" w:sz="4" w:space="0"/>
            </w:tcBorders>
            <w:vAlign w:val="bottom"/>
          </w:tcPr>
          <w:p w14:paraId="445D862E">
            <w:pPr>
              <w:autoSpaceDE w:val="0"/>
              <w:autoSpaceDN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63C216F5">
            <w:pPr>
              <w:autoSpaceDE w:val="0"/>
              <w:autoSpaceDN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2" w:type="pct"/>
            <w:tcBorders>
              <w:top w:val="single" w:color="auto" w:sz="4" w:space="0"/>
              <w:left w:val="single" w:color="auto" w:sz="4" w:space="0"/>
              <w:bottom w:val="single" w:color="auto" w:sz="4" w:space="0"/>
              <w:right w:val="single" w:color="auto" w:sz="4" w:space="0"/>
            </w:tcBorders>
            <w:vAlign w:val="bottom"/>
          </w:tcPr>
          <w:p w14:paraId="5873680C">
            <w:pPr>
              <w:autoSpaceDE w:val="0"/>
              <w:autoSpaceDN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49CB59B6">
            <w:pPr>
              <w:autoSpaceDE w:val="0"/>
              <w:autoSpaceDN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4F8B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4" w:type="pct"/>
            <w:tcBorders>
              <w:top w:val="single" w:color="auto" w:sz="4" w:space="0"/>
              <w:left w:val="single" w:color="auto" w:sz="4" w:space="0"/>
              <w:bottom w:val="single" w:color="auto" w:sz="4" w:space="0"/>
              <w:right w:val="single" w:color="auto" w:sz="4" w:space="0"/>
            </w:tcBorders>
            <w:vAlign w:val="center"/>
          </w:tcPr>
          <w:p w14:paraId="63AC540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14:paraId="39D4A9E8">
            <w:pPr>
              <w:autoSpaceDE w:val="0"/>
              <w:autoSpaceDN w:val="0"/>
              <w:spacing w:line="360" w:lineRule="auto"/>
              <w:jc w:val="center"/>
              <w:rPr>
                <w:rFonts w:ascii="宋体" w:hAnsi="宋体" w:eastAsia="宋体" w:cs="宋体"/>
                <w:bCs/>
                <w:color w:val="auto"/>
                <w:kern w:val="0"/>
                <w:sz w:val="24"/>
                <w:szCs w:val="21"/>
                <w:highlight w:val="none"/>
              </w:rPr>
            </w:pPr>
            <w:r>
              <w:rPr>
                <w:rFonts w:hint="eastAsia" w:ascii="宋体" w:hAnsi="宋体" w:eastAsia="宋体" w:cs="宋体"/>
                <w:bCs/>
                <w:color w:val="auto"/>
                <w:kern w:val="0"/>
                <w:szCs w:val="21"/>
                <w:highlight w:val="none"/>
              </w:rPr>
              <w:t>财务状况</w:t>
            </w:r>
          </w:p>
        </w:tc>
        <w:tc>
          <w:tcPr>
            <w:tcW w:w="3692" w:type="pct"/>
            <w:tcBorders>
              <w:top w:val="single" w:color="auto" w:sz="4" w:space="0"/>
              <w:left w:val="single" w:color="auto" w:sz="4" w:space="0"/>
              <w:bottom w:val="single" w:color="auto" w:sz="4" w:space="0"/>
              <w:right w:val="single" w:color="auto" w:sz="4" w:space="0"/>
            </w:tcBorders>
            <w:vAlign w:val="center"/>
          </w:tcPr>
          <w:p w14:paraId="21B302AC">
            <w:pPr>
              <w:autoSpaceDE w:val="0"/>
              <w:autoSpaceDN w:val="0"/>
              <w:spacing w:line="360" w:lineRule="auto"/>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投标人202</w:t>
            </w:r>
            <w:r>
              <w:rPr>
                <w:rFonts w:hint="eastAsia" w:ascii="宋体" w:hAnsi="宋体" w:eastAsia="宋体" w:cs="宋体"/>
                <w:bCs/>
                <w:color w:val="auto"/>
                <w:kern w:val="0"/>
                <w:szCs w:val="21"/>
                <w:highlight w:val="none"/>
              </w:rPr>
              <w:t>2</w:t>
            </w:r>
            <w:r>
              <w:rPr>
                <w:rFonts w:hint="eastAsia" w:ascii="宋体" w:hAnsi="宋体" w:eastAsia="宋体" w:cs="宋体"/>
                <w:bCs/>
                <w:color w:val="auto"/>
                <w:kern w:val="0"/>
                <w:szCs w:val="21"/>
                <w:highlight w:val="none"/>
                <w:lang w:val="zh-CN"/>
              </w:rPr>
              <w:t>年-202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val="zh-CN"/>
              </w:rPr>
              <w:t>年三个年度，每具有1个年度盈利的得</w:t>
            </w:r>
            <w:r>
              <w:rPr>
                <w:rFonts w:hint="eastAsia" w:ascii="宋体" w:hAnsi="宋体" w:eastAsia="宋体" w:cs="宋体"/>
                <w:bCs/>
                <w:color w:val="auto"/>
                <w:kern w:val="0"/>
                <w:szCs w:val="21"/>
                <w:highlight w:val="none"/>
              </w:rPr>
              <w:t>1</w:t>
            </w:r>
            <w:r>
              <w:rPr>
                <w:rFonts w:hint="eastAsia" w:ascii="宋体" w:hAnsi="宋体" w:eastAsia="宋体" w:cs="宋体"/>
                <w:bCs/>
                <w:color w:val="auto"/>
                <w:kern w:val="0"/>
                <w:szCs w:val="21"/>
                <w:highlight w:val="none"/>
                <w:lang w:val="zh-CN"/>
              </w:rPr>
              <w:t>分，满分</w:t>
            </w: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zh-CN"/>
              </w:rPr>
              <w:t>分。</w:t>
            </w:r>
          </w:p>
          <w:p w14:paraId="7312CD29">
            <w:pPr>
              <w:autoSpaceDE w:val="0"/>
              <w:autoSpaceDN w:val="0"/>
              <w:spacing w:line="360" w:lineRule="auto"/>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zh-CN"/>
              </w:rPr>
              <w:t>备注：</w:t>
            </w:r>
            <w:r>
              <w:rPr>
                <w:rFonts w:hint="eastAsia" w:ascii="宋体" w:hAnsi="宋体" w:eastAsia="宋体" w:cs="宋体"/>
                <w:b/>
                <w:color w:val="auto"/>
                <w:kern w:val="0"/>
                <w:szCs w:val="21"/>
                <w:highlight w:val="none"/>
              </w:rPr>
              <w:t>①</w:t>
            </w:r>
            <w:r>
              <w:rPr>
                <w:rFonts w:hint="eastAsia" w:ascii="宋体" w:hAnsi="宋体" w:eastAsia="宋体" w:cs="宋体"/>
                <w:b/>
                <w:color w:val="auto"/>
                <w:kern w:val="0"/>
                <w:szCs w:val="21"/>
                <w:highlight w:val="none"/>
                <w:lang w:val="zh-CN"/>
              </w:rPr>
              <w:t>盈利指净利润为正数（非零、非负数），投标人应提供202</w:t>
            </w:r>
            <w:r>
              <w:rPr>
                <w:rFonts w:hint="eastAsia" w:ascii="宋体" w:hAnsi="宋体" w:eastAsia="宋体" w:cs="宋体"/>
                <w:b/>
                <w:color w:val="auto"/>
                <w:kern w:val="0"/>
                <w:szCs w:val="21"/>
                <w:highlight w:val="none"/>
              </w:rPr>
              <w:t>2</w:t>
            </w:r>
            <w:r>
              <w:rPr>
                <w:rFonts w:hint="eastAsia" w:ascii="宋体" w:hAnsi="宋体" w:eastAsia="宋体" w:cs="宋体"/>
                <w:b/>
                <w:color w:val="auto"/>
                <w:kern w:val="0"/>
                <w:szCs w:val="21"/>
                <w:highlight w:val="none"/>
                <w:lang w:val="zh-CN"/>
              </w:rPr>
              <w:t>年、202</w:t>
            </w:r>
            <w:r>
              <w:rPr>
                <w:rFonts w:hint="eastAsia" w:ascii="宋体" w:hAnsi="宋体" w:eastAsia="宋体" w:cs="宋体"/>
                <w:b/>
                <w:color w:val="auto"/>
                <w:kern w:val="0"/>
                <w:szCs w:val="21"/>
                <w:highlight w:val="none"/>
              </w:rPr>
              <w:t>3</w:t>
            </w:r>
            <w:r>
              <w:rPr>
                <w:rFonts w:hint="eastAsia" w:ascii="宋体" w:hAnsi="宋体" w:eastAsia="宋体" w:cs="宋体"/>
                <w:b/>
                <w:color w:val="auto"/>
                <w:kern w:val="0"/>
                <w:szCs w:val="21"/>
                <w:highlight w:val="none"/>
                <w:lang w:val="zh-CN"/>
              </w:rPr>
              <w:t>年、202</w:t>
            </w:r>
            <w:r>
              <w:rPr>
                <w:rFonts w:hint="eastAsia" w:ascii="宋体" w:hAnsi="宋体" w:eastAsia="宋体" w:cs="宋体"/>
                <w:b/>
                <w:color w:val="auto"/>
                <w:kern w:val="0"/>
                <w:szCs w:val="21"/>
                <w:highlight w:val="none"/>
              </w:rPr>
              <w:t>4</w:t>
            </w:r>
            <w:r>
              <w:rPr>
                <w:rFonts w:hint="eastAsia" w:ascii="宋体" w:hAnsi="宋体" w:eastAsia="宋体" w:cs="宋体"/>
                <w:b/>
                <w:color w:val="auto"/>
                <w:kern w:val="0"/>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bookmarkStart w:id="1466" w:name="OLE_LINK206"/>
            <w:r>
              <w:rPr>
                <w:rFonts w:hint="eastAsia" w:ascii="宋体" w:hAnsi="宋体" w:eastAsia="宋体" w:cs="宋体"/>
                <w:b/>
                <w:color w:val="auto"/>
                <w:kern w:val="0"/>
                <w:szCs w:val="21"/>
                <w:highlight w:val="none"/>
              </w:rPr>
              <w:t>②若为联合体投标的，</w:t>
            </w:r>
            <w:bookmarkStart w:id="1467" w:name="OLE_LINK230"/>
            <w:bookmarkStart w:id="1468" w:name="OLE_LINK256"/>
            <w:r>
              <w:rPr>
                <w:rFonts w:hint="eastAsia" w:ascii="宋体" w:hAnsi="宋体" w:eastAsia="宋体" w:cs="宋体"/>
                <w:b/>
                <w:color w:val="auto"/>
                <w:kern w:val="0"/>
                <w:szCs w:val="21"/>
                <w:highlight w:val="none"/>
              </w:rPr>
              <w:t>以联合体牵头单位提供的财务报表为准</w:t>
            </w:r>
            <w:bookmarkEnd w:id="1467"/>
            <w:r>
              <w:rPr>
                <w:rFonts w:hint="eastAsia" w:ascii="宋体" w:hAnsi="宋体" w:eastAsia="宋体" w:cs="宋体"/>
                <w:b/>
                <w:color w:val="auto"/>
                <w:kern w:val="0"/>
                <w:szCs w:val="21"/>
                <w:highlight w:val="none"/>
              </w:rPr>
              <w:t>。</w:t>
            </w:r>
            <w:bookmarkEnd w:id="1466"/>
            <w:bookmarkEnd w:id="1468"/>
          </w:p>
        </w:tc>
        <w:tc>
          <w:tcPr>
            <w:tcW w:w="437" w:type="pct"/>
            <w:tcBorders>
              <w:top w:val="single" w:color="auto" w:sz="4" w:space="0"/>
              <w:left w:val="single" w:color="auto" w:sz="4" w:space="0"/>
              <w:bottom w:val="single" w:color="auto" w:sz="4" w:space="0"/>
              <w:right w:val="single" w:color="auto" w:sz="4" w:space="0"/>
            </w:tcBorders>
            <w:vAlign w:val="center"/>
          </w:tcPr>
          <w:p w14:paraId="5BCCA4B2">
            <w:pPr>
              <w:spacing w:line="360" w:lineRule="auto"/>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3分</w:t>
            </w:r>
          </w:p>
        </w:tc>
      </w:tr>
      <w:tr w14:paraId="14CE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4" w:type="pct"/>
            <w:tcBorders>
              <w:top w:val="single" w:color="auto" w:sz="4" w:space="0"/>
              <w:left w:val="single" w:color="auto" w:sz="4" w:space="0"/>
              <w:bottom w:val="single" w:color="auto" w:sz="4" w:space="0"/>
              <w:right w:val="single" w:color="auto" w:sz="4" w:space="0"/>
            </w:tcBorders>
            <w:vAlign w:val="center"/>
          </w:tcPr>
          <w:p w14:paraId="07C9C811">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546" w:type="pct"/>
            <w:tcBorders>
              <w:top w:val="single" w:color="auto" w:sz="4" w:space="0"/>
              <w:left w:val="single" w:color="auto" w:sz="4" w:space="0"/>
              <w:bottom w:val="single" w:color="auto" w:sz="4" w:space="0"/>
              <w:right w:val="single" w:color="auto" w:sz="4" w:space="0"/>
            </w:tcBorders>
            <w:vAlign w:val="center"/>
          </w:tcPr>
          <w:p w14:paraId="4DD1089A">
            <w:pPr>
              <w:autoSpaceDE w:val="0"/>
              <w:autoSpaceDN w:val="0"/>
              <w:spacing w:line="360" w:lineRule="auto"/>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标准化程度</w:t>
            </w:r>
          </w:p>
        </w:tc>
        <w:tc>
          <w:tcPr>
            <w:tcW w:w="3692" w:type="pct"/>
            <w:tcBorders>
              <w:top w:val="single" w:color="auto" w:sz="4" w:space="0"/>
              <w:left w:val="single" w:color="auto" w:sz="4" w:space="0"/>
              <w:bottom w:val="single" w:color="auto" w:sz="4" w:space="0"/>
              <w:right w:val="single" w:color="auto" w:sz="4" w:space="0"/>
            </w:tcBorders>
            <w:vAlign w:val="center"/>
          </w:tcPr>
          <w:p w14:paraId="3F3FFA16">
            <w:pPr>
              <w:autoSpaceDE w:val="0"/>
              <w:autoSpaceDN w:val="0"/>
              <w:adjustRightInd w:val="0"/>
              <w:snapToGrid w:val="0"/>
              <w:spacing w:line="360" w:lineRule="auto"/>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（1）投标人具有有效期内的ISO9001质量管理体系认证证书，</w:t>
            </w:r>
            <w:r>
              <w:rPr>
                <w:rFonts w:hint="eastAsia" w:ascii="宋体" w:hAnsi="宋体" w:eastAsia="宋体" w:cs="宋体"/>
                <w:bCs/>
                <w:color w:val="auto"/>
                <w:kern w:val="0"/>
                <w:szCs w:val="21"/>
                <w:highlight w:val="none"/>
                <w:lang w:val="zh-CN"/>
              </w:rPr>
              <w:t>得</w:t>
            </w:r>
            <w:r>
              <w:rPr>
                <w:rFonts w:hint="eastAsia" w:ascii="宋体" w:hAnsi="宋体" w:eastAsia="宋体" w:cs="宋体"/>
                <w:bCs/>
                <w:color w:val="auto"/>
                <w:kern w:val="0"/>
                <w:szCs w:val="21"/>
                <w:highlight w:val="none"/>
              </w:rPr>
              <w:t>1</w:t>
            </w:r>
            <w:r>
              <w:rPr>
                <w:rFonts w:hint="eastAsia" w:ascii="宋体" w:hAnsi="宋体" w:eastAsia="宋体" w:cs="宋体"/>
                <w:bCs/>
                <w:color w:val="auto"/>
                <w:kern w:val="0"/>
                <w:szCs w:val="21"/>
                <w:highlight w:val="none"/>
                <w:lang w:val="zh-CN"/>
              </w:rPr>
              <w:t>分。</w:t>
            </w:r>
          </w:p>
          <w:p w14:paraId="79031CA5">
            <w:pPr>
              <w:autoSpaceDE w:val="0"/>
              <w:autoSpaceDN w:val="0"/>
              <w:adjustRightInd w:val="0"/>
              <w:snapToGrid w:val="0"/>
              <w:spacing w:line="360" w:lineRule="auto"/>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（2）投标人具有有效期内的ISO14001环境管理体系认证证书，</w:t>
            </w:r>
            <w:r>
              <w:rPr>
                <w:rFonts w:hint="eastAsia" w:ascii="宋体" w:hAnsi="宋体" w:eastAsia="宋体" w:cs="宋体"/>
                <w:bCs/>
                <w:color w:val="auto"/>
                <w:kern w:val="0"/>
                <w:szCs w:val="21"/>
                <w:highlight w:val="none"/>
                <w:lang w:val="zh-CN"/>
              </w:rPr>
              <w:t>得</w:t>
            </w:r>
            <w:r>
              <w:rPr>
                <w:rFonts w:hint="eastAsia" w:ascii="宋体" w:hAnsi="宋体" w:eastAsia="宋体" w:cs="宋体"/>
                <w:bCs/>
                <w:color w:val="auto"/>
                <w:kern w:val="0"/>
                <w:szCs w:val="21"/>
                <w:highlight w:val="none"/>
              </w:rPr>
              <w:t>1</w:t>
            </w:r>
            <w:r>
              <w:rPr>
                <w:rFonts w:hint="eastAsia" w:ascii="宋体" w:hAnsi="宋体" w:eastAsia="宋体" w:cs="宋体"/>
                <w:bCs/>
                <w:color w:val="auto"/>
                <w:kern w:val="0"/>
                <w:szCs w:val="21"/>
                <w:highlight w:val="none"/>
                <w:lang w:val="zh-CN"/>
              </w:rPr>
              <w:t>分。</w:t>
            </w:r>
          </w:p>
          <w:p w14:paraId="21EA0AA9">
            <w:pPr>
              <w:autoSpaceDE w:val="0"/>
              <w:autoSpaceDN w:val="0"/>
              <w:adjustRightInd w:val="0"/>
              <w:snapToGrid w:val="0"/>
              <w:spacing w:line="360" w:lineRule="auto"/>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（3）投标人具有有效期内的OHSAS18001（或GB/T45001-2020，或ISO45001）职业健康安全管理体系认证证书，</w:t>
            </w:r>
            <w:r>
              <w:rPr>
                <w:rFonts w:hint="eastAsia" w:ascii="宋体" w:hAnsi="宋体" w:eastAsia="宋体" w:cs="宋体"/>
                <w:bCs/>
                <w:color w:val="auto"/>
                <w:kern w:val="0"/>
                <w:szCs w:val="21"/>
                <w:highlight w:val="none"/>
                <w:lang w:val="zh-CN"/>
              </w:rPr>
              <w:t>得</w:t>
            </w:r>
            <w:r>
              <w:rPr>
                <w:rFonts w:hint="eastAsia" w:ascii="宋体" w:hAnsi="宋体" w:eastAsia="宋体" w:cs="宋体"/>
                <w:bCs/>
                <w:color w:val="auto"/>
                <w:kern w:val="0"/>
                <w:szCs w:val="21"/>
                <w:highlight w:val="none"/>
              </w:rPr>
              <w:t>1</w:t>
            </w:r>
            <w:r>
              <w:rPr>
                <w:rFonts w:hint="eastAsia" w:ascii="宋体" w:hAnsi="宋体" w:eastAsia="宋体" w:cs="宋体"/>
                <w:bCs/>
                <w:color w:val="auto"/>
                <w:kern w:val="0"/>
                <w:szCs w:val="21"/>
                <w:highlight w:val="none"/>
                <w:lang w:val="zh-CN"/>
              </w:rPr>
              <w:t>分。</w:t>
            </w:r>
          </w:p>
          <w:p w14:paraId="6A6FD6AD">
            <w:pPr>
              <w:autoSpaceDE w:val="0"/>
              <w:autoSpaceDN w:val="0"/>
              <w:adjustRightInd w:val="0"/>
              <w:snapToGrid w:val="0"/>
              <w:spacing w:line="360" w:lineRule="auto"/>
              <w:jc w:val="left"/>
              <w:rPr>
                <w:rFonts w:ascii="宋体" w:hAnsi="宋体" w:eastAsia="宋体" w:cs="宋体"/>
                <w:b/>
                <w:color w:val="auto"/>
                <w:kern w:val="0"/>
                <w:sz w:val="24"/>
                <w:szCs w:val="24"/>
                <w:highlight w:val="none"/>
              </w:rPr>
            </w:pPr>
            <w:bookmarkStart w:id="1469" w:name="OLE_LINK365"/>
            <w:r>
              <w:rPr>
                <w:rFonts w:hint="eastAsia" w:ascii="宋体" w:hAnsi="宋体" w:eastAsia="宋体" w:cs="宋体"/>
                <w:b/>
                <w:color w:val="auto"/>
                <w:kern w:val="0"/>
                <w:szCs w:val="21"/>
                <w:highlight w:val="none"/>
              </w:rPr>
              <w:t>备注：①投标人应提供上述有效证书复印件及能显示证书有效状态的全国认证认可信息公共服务平台（http://cx.cnca.cn/)查询结果凭证{凭证界面需显示有“全国认证认可信息公共服务平台”或“认证证书（需显示网址cx.cnca.cn）”}，否则不得分。</w:t>
            </w:r>
            <w:bookmarkEnd w:id="1469"/>
            <w:r>
              <w:rPr>
                <w:rFonts w:hint="eastAsia" w:ascii="宋体" w:hAnsi="宋体" w:eastAsia="宋体" w:cs="宋体"/>
                <w:b/>
                <w:color w:val="auto"/>
                <w:kern w:val="0"/>
                <w:szCs w:val="21"/>
                <w:highlight w:val="none"/>
              </w:rPr>
              <w:t>②若为联合体投标的，</w:t>
            </w:r>
            <w:bookmarkStart w:id="1470" w:name="OLE_LINK370"/>
            <w:r>
              <w:rPr>
                <w:rFonts w:hint="eastAsia" w:ascii="宋体" w:hAnsi="宋体" w:eastAsia="宋体" w:cs="宋体"/>
                <w:b/>
                <w:color w:val="auto"/>
                <w:kern w:val="0"/>
                <w:szCs w:val="21"/>
                <w:highlight w:val="none"/>
              </w:rPr>
              <w:t>以联合体牵头单位提供的认证证书为准</w:t>
            </w:r>
            <w:bookmarkEnd w:id="1470"/>
            <w:r>
              <w:rPr>
                <w:rFonts w:hint="eastAsia" w:ascii="宋体" w:hAnsi="宋体" w:eastAsia="宋体" w:cs="宋体"/>
                <w:b/>
                <w:color w:val="auto"/>
                <w:kern w:val="0"/>
                <w:szCs w:val="21"/>
                <w:highlight w:val="none"/>
              </w:rPr>
              <w:t>。</w:t>
            </w:r>
          </w:p>
        </w:tc>
        <w:tc>
          <w:tcPr>
            <w:tcW w:w="437" w:type="pct"/>
            <w:tcBorders>
              <w:top w:val="single" w:color="auto" w:sz="4" w:space="0"/>
              <w:left w:val="single" w:color="auto" w:sz="4" w:space="0"/>
              <w:bottom w:val="single" w:color="auto" w:sz="4" w:space="0"/>
              <w:right w:val="single" w:color="auto" w:sz="4" w:space="0"/>
            </w:tcBorders>
            <w:vAlign w:val="center"/>
          </w:tcPr>
          <w:p w14:paraId="202F6ED5">
            <w:pPr>
              <w:spacing w:line="360" w:lineRule="auto"/>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3分</w:t>
            </w:r>
          </w:p>
        </w:tc>
      </w:tr>
      <w:tr w14:paraId="2876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4" w:type="pct"/>
            <w:tcBorders>
              <w:top w:val="single" w:color="auto" w:sz="4" w:space="0"/>
              <w:left w:val="single" w:color="auto" w:sz="4" w:space="0"/>
              <w:bottom w:val="single" w:color="auto" w:sz="4" w:space="0"/>
              <w:right w:val="single" w:color="auto" w:sz="4" w:space="0"/>
            </w:tcBorders>
            <w:vAlign w:val="center"/>
          </w:tcPr>
          <w:p w14:paraId="23678DC6">
            <w:pPr>
              <w:autoSpaceDE w:val="0"/>
              <w:autoSpaceDN w:val="0"/>
              <w:adjustRightInd w:val="0"/>
              <w:spacing w:line="360" w:lineRule="auto"/>
              <w:jc w:val="center"/>
              <w:rPr>
                <w:rFonts w:ascii="宋体" w:hAnsi="宋体" w:eastAsia="宋体" w:cs="宋体"/>
                <w:color w:val="auto"/>
                <w:kern w:val="0"/>
                <w:szCs w:val="21"/>
                <w:highlight w:val="none"/>
              </w:rPr>
            </w:pPr>
            <w:bookmarkStart w:id="1471" w:name="_Hlk104987354"/>
            <w:r>
              <w:rPr>
                <w:rFonts w:hint="eastAsia" w:ascii="宋体" w:hAnsi="宋体" w:eastAsia="宋体" w:cs="宋体"/>
                <w:color w:val="auto"/>
                <w:kern w:val="0"/>
                <w:szCs w:val="21"/>
                <w:highlight w:val="none"/>
              </w:rPr>
              <w:t>3</w:t>
            </w:r>
          </w:p>
        </w:tc>
        <w:tc>
          <w:tcPr>
            <w:tcW w:w="546" w:type="pct"/>
            <w:tcBorders>
              <w:top w:val="single" w:color="auto" w:sz="4" w:space="0"/>
              <w:left w:val="single" w:color="auto" w:sz="4" w:space="0"/>
              <w:bottom w:val="single" w:color="auto" w:sz="4" w:space="0"/>
              <w:right w:val="single" w:color="auto" w:sz="4" w:space="0"/>
            </w:tcBorders>
            <w:vAlign w:val="center"/>
          </w:tcPr>
          <w:p w14:paraId="5E12802C">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业绩</w:t>
            </w:r>
          </w:p>
        </w:tc>
        <w:tc>
          <w:tcPr>
            <w:tcW w:w="3692" w:type="pct"/>
            <w:tcBorders>
              <w:top w:val="single" w:color="auto" w:sz="4" w:space="0"/>
              <w:left w:val="single" w:color="auto" w:sz="4" w:space="0"/>
              <w:bottom w:val="single" w:color="auto" w:sz="4" w:space="0"/>
              <w:right w:val="single" w:color="auto" w:sz="4" w:space="0"/>
            </w:tcBorders>
            <w:vAlign w:val="center"/>
          </w:tcPr>
          <w:p w14:paraId="56C4564A">
            <w:pPr>
              <w:spacing w:line="360" w:lineRule="auto"/>
              <w:rPr>
                <w:rFonts w:ascii="宋体" w:hAnsi="宋体" w:eastAsia="宋体" w:cs="Times New Roman"/>
                <w:bCs/>
                <w:color w:val="auto"/>
                <w:kern w:val="0"/>
                <w:szCs w:val="21"/>
                <w:highlight w:val="none"/>
              </w:rPr>
            </w:pPr>
            <w:r>
              <w:rPr>
                <w:rFonts w:hint="eastAsia" w:ascii="宋体" w:hAnsi="宋体" w:eastAsia="宋体" w:cs="宋体"/>
                <w:bCs/>
                <w:color w:val="auto"/>
                <w:kern w:val="0"/>
                <w:szCs w:val="21"/>
                <w:highlight w:val="none"/>
              </w:rPr>
              <w:t>投标人2022年1月1日以来（合同签订日期为2022年1月1日或以后）完成的</w:t>
            </w:r>
            <w:bookmarkStart w:id="1472" w:name="OLE_LINK162"/>
            <w:bookmarkStart w:id="1473" w:name="OLE_LINK26"/>
            <w:r>
              <w:rPr>
                <w:rFonts w:hint="eastAsia" w:ascii="宋体" w:hAnsi="宋体" w:eastAsia="宋体" w:cs="宋体"/>
                <w:bCs/>
                <w:color w:val="auto"/>
                <w:kern w:val="0"/>
                <w:szCs w:val="21"/>
                <w:highlight w:val="none"/>
              </w:rPr>
              <w:t>分布式光伏发电</w:t>
            </w:r>
            <w:bookmarkEnd w:id="1472"/>
            <w:r>
              <w:rPr>
                <w:rFonts w:hint="eastAsia" w:ascii="宋体" w:hAnsi="宋体" w:eastAsia="宋体" w:cs="宋体"/>
                <w:bCs/>
                <w:color w:val="auto"/>
                <w:kern w:val="0"/>
                <w:szCs w:val="21"/>
                <w:highlight w:val="none"/>
              </w:rPr>
              <w:t>的</w:t>
            </w:r>
            <w:bookmarkEnd w:id="1473"/>
            <w:r>
              <w:rPr>
                <w:rFonts w:hint="eastAsia" w:ascii="宋体" w:hAnsi="宋体" w:eastAsia="宋体" w:cs="宋体"/>
                <w:bCs/>
                <w:color w:val="auto"/>
                <w:kern w:val="0"/>
                <w:szCs w:val="21"/>
                <w:highlight w:val="none"/>
              </w:rPr>
              <w:t>业绩，按下列情况评分：</w:t>
            </w:r>
          </w:p>
          <w:p w14:paraId="68122FE1">
            <w:pPr>
              <w:spacing w:line="360" w:lineRule="auto"/>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（1）单项合同总装机容量≥6MW（或6MWp）的前述业绩，每项得3分。</w:t>
            </w:r>
          </w:p>
          <w:p w14:paraId="5BEC9DC3">
            <w:pPr>
              <w:spacing w:line="360" w:lineRule="auto"/>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（2）单项合同总装机容量≥3MW（或3MWp）的前述业绩（但已在其他类型业绩评分中获得了得分的业绩除外），每项得2分。</w:t>
            </w:r>
          </w:p>
          <w:p w14:paraId="6ED9DE5B">
            <w:pPr>
              <w:spacing w:line="360" w:lineRule="auto"/>
              <w:rPr>
                <w:rFonts w:ascii="宋体" w:hAnsi="宋体" w:eastAsia="宋体" w:cs="宋体"/>
                <w:bCs/>
                <w:color w:val="auto"/>
                <w:kern w:val="0"/>
                <w:szCs w:val="21"/>
                <w:highlight w:val="none"/>
              </w:rPr>
            </w:pPr>
            <w:r>
              <w:rPr>
                <w:rFonts w:hint="eastAsia" w:ascii="宋体" w:hAnsi="宋体" w:eastAsia="宋体" w:cs="Times New Roman"/>
                <w:bCs/>
                <w:color w:val="auto"/>
                <w:kern w:val="0"/>
                <w:szCs w:val="21"/>
                <w:highlight w:val="none"/>
              </w:rPr>
              <w:t>（3）单项合同总装机容量≥1MW（或1MWp）的前述业绩（但已在其他类型业绩评分中获得了得分的业绩除外），每项得1分，本子项最高得6分。</w:t>
            </w:r>
          </w:p>
          <w:p w14:paraId="768446AC">
            <w:pPr>
              <w:spacing w:line="360" w:lineRule="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p w14:paraId="479E3684">
            <w:pPr>
              <w:spacing w:line="360" w:lineRule="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①业绩须同时附合同原件扫描件、并网验收证明原件扫描件，和合同下对应任意1份已供货或实施的发票扫描件（发票销售方应为投标人/联合体的牵头单位，非合同能源管理模式下以电费回收成本的项目的发票购买方应为合同买方，合同能源管理模式下以电费回收成本的项目的发票购买方可为合同买方或为能源使用方），否则不得分；</w:t>
            </w:r>
          </w:p>
          <w:p w14:paraId="39812663">
            <w:pPr>
              <w:spacing w:line="360" w:lineRule="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②单项合同总装机容量以并网验收证明上标明的装机容量为准，单项合同内多份并网验收证明的，以累计量作为评分依据；</w:t>
            </w:r>
            <w:r>
              <w:rPr>
                <w:rFonts w:hint="eastAsia" w:ascii="宋体" w:hAnsi="宋体" w:eastAsia="宋体" w:cs="Times New Roman"/>
                <w:b/>
                <w:color w:val="auto"/>
                <w:kern w:val="0"/>
                <w:szCs w:val="21"/>
                <w:highlight w:val="none"/>
              </w:rPr>
              <w:t>当业绩证明材料内装机容量单位非MW、MWp时，评审时按对应单位换算后打分，即1000kW=</w:t>
            </w:r>
            <w:r>
              <w:rPr>
                <w:rFonts w:hint="eastAsia" w:ascii="宋体" w:hAnsi="宋体" w:eastAsia="宋体" w:cs="宋体"/>
                <w:b/>
                <w:color w:val="auto"/>
                <w:kern w:val="0"/>
                <w:szCs w:val="21"/>
                <w:highlight w:val="none"/>
              </w:rPr>
              <w:t>1</w:t>
            </w:r>
            <w:r>
              <w:rPr>
                <w:rFonts w:hint="eastAsia" w:ascii="宋体" w:hAnsi="宋体" w:eastAsia="宋体" w:cs="Times New Roman"/>
                <w:b/>
                <w:color w:val="auto"/>
                <w:kern w:val="0"/>
                <w:szCs w:val="21"/>
                <w:highlight w:val="none"/>
              </w:rPr>
              <w:t>MW，1000kWp=1MWp</w:t>
            </w:r>
            <w:r>
              <w:rPr>
                <w:rFonts w:hint="eastAsia" w:ascii="宋体" w:hAnsi="宋体" w:eastAsia="宋体" w:cs="Times New Roman"/>
                <w:bCs/>
                <w:color w:val="auto"/>
                <w:kern w:val="0"/>
                <w:szCs w:val="21"/>
                <w:highlight w:val="none"/>
              </w:rPr>
              <w:t>；</w:t>
            </w:r>
          </w:p>
          <w:p w14:paraId="6185F869">
            <w:pPr>
              <w:spacing w:line="360" w:lineRule="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③分布式光伏发电项目业绩合同范围/合同服务内容仅为设计、接入方案编制、维修维护类服务的，该类项目业绩不得分；业绩合同必须包含反映合同名称、签约双方信息、合同标的/合同范围/合同服务内容、加盖合同各方印章的落款等信息的关键页，并网验收证明必须有项目属地电力管理部门（如供电局、供电公司、供电管理/服务中心、电网公司、供电所等）的印章，否则该类业绩不得分；</w:t>
            </w:r>
          </w:p>
          <w:p w14:paraId="61248A70">
            <w:pPr>
              <w:spacing w:line="360" w:lineRule="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④若合同和并网验收证明无法反映评分条件[1.合同签订日期为2022年1月1日或以后；2.合同标的必须为分布式光伏发电的业绩（若合同文本和并网验收证明反映的光伏发电类别不一致时，以并网验收证明上反映的光伏发电类别为准）；3.单项合同装机容量；4.合同范围/合同服务内容。]，还需提供合同甲方出具的书面补充说明文件原件扫描件作为辅助证明（补充说明文件原件扫描件能显示合同甲方公章）；</w:t>
            </w:r>
          </w:p>
          <w:p w14:paraId="5CBBFFA9">
            <w:pPr>
              <w:spacing w:line="360" w:lineRule="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⑤框架协议下未签订单项合同的，该框架协议整体视为一份单项合同；</w:t>
            </w:r>
          </w:p>
          <w:p w14:paraId="2DA4AE00">
            <w:pPr>
              <w:spacing w:line="360" w:lineRule="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⑥若为联合体投标的，以联合体牵头单位提供的业绩为准，非牵头单位的业绩不予认可；</w:t>
            </w:r>
          </w:p>
          <w:p w14:paraId="16DC3D9F">
            <w:pPr>
              <w:spacing w:line="360" w:lineRule="auto"/>
              <w:rPr>
                <w:rFonts w:ascii="宋体" w:hAnsi="宋体" w:eastAsia="宋体" w:cs="宋体"/>
                <w:b/>
                <w:color w:val="auto"/>
                <w:kern w:val="0"/>
                <w:szCs w:val="21"/>
                <w:highlight w:val="none"/>
              </w:rPr>
            </w:pPr>
            <w:r>
              <w:rPr>
                <w:rFonts w:hint="eastAsia" w:ascii="宋体" w:hAnsi="宋体" w:eastAsia="宋体" w:cs="宋体"/>
                <w:b/>
                <w:bCs/>
                <w:color w:val="auto"/>
                <w:szCs w:val="21"/>
                <w:highlight w:val="none"/>
                <w:shd w:val="clear" w:color="auto" w:fill="FFFFFF"/>
              </w:rPr>
              <w:t>⑦</w:t>
            </w:r>
            <w:r>
              <w:rPr>
                <w:rFonts w:hint="eastAsia" w:ascii="宋体" w:hAnsi="宋体" w:eastAsia="宋体" w:cs="宋体"/>
                <w:b/>
                <w:color w:val="auto"/>
                <w:kern w:val="0"/>
                <w:szCs w:val="21"/>
                <w:highlight w:val="none"/>
              </w:rPr>
              <w:t>未按上述要求提供证明材料的业绩，或所附材料无法证明填报项目符合本项评分要求的业绩，在评标时将不予考虑。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6E0067F3">
            <w:pPr>
              <w:autoSpaceDE w:val="0"/>
              <w:autoSpaceDN w:val="0"/>
              <w:adjustRightInd w:val="0"/>
              <w:spacing w:line="360" w:lineRule="auto"/>
              <w:jc w:val="center"/>
              <w:rPr>
                <w:rFonts w:ascii="宋体" w:hAnsi="宋体" w:eastAsia="宋体" w:cs="宋体"/>
                <w:color w:val="auto"/>
                <w:szCs w:val="24"/>
                <w:highlight w:val="none"/>
              </w:rPr>
            </w:pPr>
            <w:r>
              <w:rPr>
                <w:rFonts w:ascii="宋体" w:hAnsi="宋体" w:eastAsia="宋体" w:cs="宋体"/>
                <w:bCs/>
                <w:color w:val="auto"/>
                <w:kern w:val="0"/>
                <w:szCs w:val="21"/>
                <w:highlight w:val="none"/>
              </w:rPr>
              <w:t>24</w:t>
            </w:r>
            <w:r>
              <w:rPr>
                <w:rFonts w:hint="eastAsia" w:ascii="宋体" w:hAnsi="宋体" w:eastAsia="宋体" w:cs="宋体"/>
                <w:bCs/>
                <w:color w:val="auto"/>
                <w:kern w:val="0"/>
                <w:szCs w:val="21"/>
                <w:highlight w:val="none"/>
              </w:rPr>
              <w:t>分</w:t>
            </w:r>
          </w:p>
        </w:tc>
      </w:tr>
      <w:bookmarkEnd w:id="1471"/>
    </w:tbl>
    <w:p w14:paraId="7FBB6677">
      <w:pPr>
        <w:autoSpaceDE w:val="0"/>
        <w:autoSpaceDN w:val="0"/>
        <w:adjustRightInd w:val="0"/>
        <w:ind w:right="-26" w:firstLine="480"/>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 xml:space="preserve"> </w:t>
      </w:r>
    </w:p>
    <w:p w14:paraId="5DF69698">
      <w:pPr>
        <w:tabs>
          <w:tab w:val="left" w:pos="585"/>
        </w:tabs>
        <w:autoSpaceDE w:val="0"/>
        <w:autoSpaceDN w:val="0"/>
        <w:adjustRightIn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（2）技术：总分40分</w:t>
      </w:r>
    </w:p>
    <w:tbl>
      <w:tblPr>
        <w:tblStyle w:val="45"/>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1155"/>
        <w:gridCol w:w="6623"/>
        <w:gridCol w:w="854"/>
      </w:tblGrid>
      <w:tr w14:paraId="2274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58EDD036">
            <w:pPr>
              <w:autoSpaceDE w:val="0"/>
              <w:autoSpaceDN w:val="0"/>
              <w:adjustRightInd w:val="0"/>
              <w:spacing w:line="360" w:lineRule="auto"/>
              <w:jc w:val="center"/>
              <w:rPr>
                <w:rFonts w:ascii="宋体" w:hAnsi="宋体" w:eastAsia="宋体" w:cs="宋体"/>
                <w:b/>
                <w:color w:val="auto"/>
                <w:kern w:val="0"/>
                <w:szCs w:val="21"/>
                <w:highlight w:val="none"/>
              </w:rPr>
            </w:pPr>
            <w:bookmarkStart w:id="1474" w:name="_Hlk104987779"/>
            <w:r>
              <w:rPr>
                <w:rFonts w:hint="eastAsia" w:ascii="宋体" w:hAnsi="宋体" w:eastAsia="宋体" w:cs="宋体"/>
                <w:b/>
                <w:color w:val="auto"/>
                <w:kern w:val="0"/>
                <w:szCs w:val="21"/>
                <w:highlight w:val="none"/>
              </w:rPr>
              <w:t>序号</w:t>
            </w:r>
          </w:p>
        </w:tc>
        <w:tc>
          <w:tcPr>
            <w:tcW w:w="625" w:type="pct"/>
            <w:tcBorders>
              <w:top w:val="single" w:color="auto" w:sz="4" w:space="0"/>
              <w:left w:val="single" w:color="auto" w:sz="4" w:space="0"/>
              <w:bottom w:val="single" w:color="auto" w:sz="4" w:space="0"/>
              <w:right w:val="single" w:color="auto" w:sz="4" w:space="0"/>
            </w:tcBorders>
            <w:vAlign w:val="center"/>
          </w:tcPr>
          <w:p w14:paraId="2404A2DC">
            <w:pPr>
              <w:autoSpaceDE w:val="0"/>
              <w:autoSpaceDN w:val="0"/>
              <w:adjustRightIn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评审内容</w:t>
            </w:r>
          </w:p>
        </w:tc>
        <w:tc>
          <w:tcPr>
            <w:tcW w:w="3584" w:type="pct"/>
            <w:tcBorders>
              <w:top w:val="single" w:color="auto" w:sz="4" w:space="0"/>
              <w:left w:val="single" w:color="auto" w:sz="4" w:space="0"/>
              <w:bottom w:val="single" w:color="auto" w:sz="4" w:space="0"/>
              <w:right w:val="single" w:color="auto" w:sz="4" w:space="0"/>
            </w:tcBorders>
            <w:vAlign w:val="center"/>
          </w:tcPr>
          <w:p w14:paraId="3D432F89">
            <w:pPr>
              <w:autoSpaceDE w:val="0"/>
              <w:autoSpaceDN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62" w:type="pct"/>
            <w:tcBorders>
              <w:top w:val="single" w:color="auto" w:sz="4" w:space="0"/>
              <w:left w:val="single" w:color="auto" w:sz="4" w:space="0"/>
              <w:bottom w:val="single" w:color="auto" w:sz="4" w:space="0"/>
              <w:right w:val="single" w:color="auto" w:sz="4" w:space="0"/>
            </w:tcBorders>
            <w:vAlign w:val="center"/>
          </w:tcPr>
          <w:p w14:paraId="015BF837">
            <w:pPr>
              <w:autoSpaceDE w:val="0"/>
              <w:autoSpaceDN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553A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16E78F43">
            <w:pPr>
              <w:autoSpaceDE w:val="0"/>
              <w:autoSpaceDN w:val="0"/>
              <w:adjustRightInd w:val="0"/>
              <w:spacing w:line="360" w:lineRule="auto"/>
              <w:jc w:val="center"/>
              <w:rPr>
                <w:rFonts w:ascii="宋体" w:hAnsi="宋体" w:eastAsia="宋体" w:cs="宋体"/>
                <w:b/>
                <w:color w:val="auto"/>
                <w:kern w:val="0"/>
                <w:szCs w:val="21"/>
                <w:highlight w:val="none"/>
              </w:rPr>
            </w:pPr>
            <w:bookmarkStart w:id="1475" w:name="OLE_LINK190" w:colFirst="1" w:colLast="1"/>
            <w:bookmarkStart w:id="1476" w:name="OLE_LINK191" w:colFirst="0" w:colLast="0"/>
            <w:r>
              <w:rPr>
                <w:rFonts w:hint="eastAsia" w:ascii="宋体" w:hAnsi="宋体" w:eastAsia="宋体" w:cs="宋体"/>
                <w:bCs/>
                <w:color w:val="auto"/>
                <w:kern w:val="0"/>
                <w:szCs w:val="21"/>
                <w:highlight w:val="none"/>
              </w:rPr>
              <w:t>1</w:t>
            </w:r>
          </w:p>
        </w:tc>
        <w:tc>
          <w:tcPr>
            <w:tcW w:w="625" w:type="pct"/>
            <w:tcBorders>
              <w:top w:val="single" w:color="auto" w:sz="4" w:space="0"/>
              <w:left w:val="single" w:color="auto" w:sz="4" w:space="0"/>
              <w:bottom w:val="single" w:color="auto" w:sz="4" w:space="0"/>
              <w:right w:val="single" w:color="auto" w:sz="4" w:space="0"/>
            </w:tcBorders>
            <w:vAlign w:val="center"/>
          </w:tcPr>
          <w:p w14:paraId="2838819B">
            <w:pPr>
              <w:autoSpaceDE w:val="0"/>
              <w:autoSpaceDN w:val="0"/>
              <w:adjustRightInd w:val="0"/>
              <w:spacing w:line="360" w:lineRule="auto"/>
              <w:jc w:val="center"/>
              <w:rPr>
                <w:rFonts w:ascii="宋体" w:hAnsi="宋体" w:eastAsia="宋体" w:cs="宋体"/>
                <w:b/>
                <w:color w:val="auto"/>
                <w:szCs w:val="21"/>
                <w:highlight w:val="none"/>
              </w:rPr>
            </w:pPr>
            <w:r>
              <w:rPr>
                <w:rFonts w:hint="eastAsia" w:ascii="宋体" w:hAnsi="宋体" w:eastAsia="宋体" w:cs="宋体"/>
                <w:color w:val="auto"/>
                <w:szCs w:val="21"/>
                <w:highlight w:val="none"/>
                <w:lang w:bidi="ar"/>
              </w:rPr>
              <w:t>用户需求响应程度</w:t>
            </w:r>
          </w:p>
        </w:tc>
        <w:tc>
          <w:tcPr>
            <w:tcW w:w="3584" w:type="pct"/>
            <w:tcBorders>
              <w:top w:val="single" w:color="auto" w:sz="4" w:space="0"/>
              <w:left w:val="single" w:color="auto" w:sz="4" w:space="0"/>
              <w:bottom w:val="single" w:color="auto" w:sz="4" w:space="0"/>
              <w:right w:val="single" w:color="auto" w:sz="4" w:space="0"/>
            </w:tcBorders>
            <w:vAlign w:val="center"/>
          </w:tcPr>
          <w:p w14:paraId="1B0DB787">
            <w:pPr>
              <w:autoSpaceDE w:val="0"/>
              <w:autoSpaceDN w:val="0"/>
              <w:adjustRightInd w:val="0"/>
              <w:spacing w:line="360" w:lineRule="auto"/>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根据用户需求偏离表的偏离情况进行评审计分，完全</w:t>
            </w:r>
            <w:r>
              <w:rPr>
                <w:rFonts w:hint="eastAsia" w:ascii="宋体" w:hAnsi="宋体" w:eastAsia="宋体" w:cs="宋体"/>
                <w:color w:val="auto"/>
                <w:kern w:val="0"/>
                <w:szCs w:val="21"/>
                <w:highlight w:val="none"/>
              </w:rPr>
              <w:t>实质性</w:t>
            </w:r>
            <w:r>
              <w:rPr>
                <w:rFonts w:hint="eastAsia" w:ascii="宋体" w:hAnsi="宋体" w:eastAsia="宋体" w:cs="宋体"/>
                <w:color w:val="auto"/>
                <w:szCs w:val="21"/>
                <w:highlight w:val="none"/>
                <w:lang w:bidi="ar"/>
              </w:rPr>
              <w:t>满足用户需求的要求得满分；每一处负偏离（设备/货物的每一个技术参数，设备/货物每一项功能，每一项商务要求，均视为一处），扣2分；同时参照其投标文件中技术资料的内容进行对比，每发现一处投标人填写为无偏离或正偏离，但评标委员会评审认定其为负偏离的，每处扣6分；本项最低分为0分。</w:t>
            </w:r>
          </w:p>
        </w:tc>
        <w:tc>
          <w:tcPr>
            <w:tcW w:w="462" w:type="pct"/>
            <w:tcBorders>
              <w:top w:val="single" w:color="auto" w:sz="4" w:space="0"/>
              <w:left w:val="single" w:color="auto" w:sz="4" w:space="0"/>
              <w:bottom w:val="single" w:color="auto" w:sz="4" w:space="0"/>
              <w:right w:val="single" w:color="auto" w:sz="4" w:space="0"/>
            </w:tcBorders>
            <w:vAlign w:val="center"/>
          </w:tcPr>
          <w:p w14:paraId="7B6AE2CD">
            <w:pPr>
              <w:autoSpaceDE w:val="0"/>
              <w:autoSpaceDN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rPr>
              <w:t>12分</w:t>
            </w:r>
          </w:p>
        </w:tc>
      </w:tr>
      <w:tr w14:paraId="101BC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24A4C4DD">
            <w:pPr>
              <w:autoSpaceDE w:val="0"/>
              <w:autoSpaceDN w:val="0"/>
              <w:adjustRightInd w:val="0"/>
              <w:spacing w:line="360" w:lineRule="auto"/>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w:t>
            </w:r>
          </w:p>
        </w:tc>
        <w:tc>
          <w:tcPr>
            <w:tcW w:w="625" w:type="pct"/>
            <w:tcBorders>
              <w:top w:val="single" w:color="auto" w:sz="4" w:space="0"/>
              <w:left w:val="single" w:color="auto" w:sz="4" w:space="0"/>
              <w:bottom w:val="single" w:color="auto" w:sz="4" w:space="0"/>
              <w:right w:val="single" w:color="auto" w:sz="4" w:space="0"/>
            </w:tcBorders>
            <w:vAlign w:val="center"/>
          </w:tcPr>
          <w:p w14:paraId="6F210023">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所投光伏组件产品综合</w:t>
            </w:r>
            <w:r>
              <w:rPr>
                <w:rFonts w:hint="eastAsia" w:ascii="宋体" w:hAnsi="宋体" w:eastAsia="宋体" w:cs="宋体"/>
                <w:color w:val="auto"/>
                <w:szCs w:val="21"/>
                <w:highlight w:val="none"/>
                <w:lang w:val="zh-CN" w:bidi="ar"/>
              </w:rPr>
              <w:t>性能</w:t>
            </w:r>
          </w:p>
        </w:tc>
        <w:tc>
          <w:tcPr>
            <w:tcW w:w="3584" w:type="pct"/>
            <w:tcBorders>
              <w:top w:val="single" w:color="auto" w:sz="4" w:space="0"/>
              <w:left w:val="single" w:color="auto" w:sz="4" w:space="0"/>
              <w:bottom w:val="single" w:color="auto" w:sz="4" w:space="0"/>
              <w:right w:val="single" w:color="auto" w:sz="4" w:space="0"/>
            </w:tcBorders>
            <w:vAlign w:val="center"/>
          </w:tcPr>
          <w:p w14:paraId="3CE2EDC2">
            <w:pPr>
              <w:spacing w:line="360" w:lineRule="auto"/>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根据各投标人所投光伏组件的光电转换效率、功率衰减率、冰雹试验结果、安全防护等级等技术参数，对所投光伏组件的综合性能进行评审：</w:t>
            </w:r>
          </w:p>
          <w:p w14:paraId="6479E854">
            <w:pPr>
              <w:spacing w:line="360" w:lineRule="auto"/>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优</w:t>
            </w:r>
            <w:r>
              <w:rPr>
                <w:rFonts w:hint="eastAsia" w:ascii="宋体" w:hAnsi="宋体" w:eastAsia="宋体" w:cs="宋体"/>
                <w:color w:val="auto"/>
                <w:szCs w:val="21"/>
                <w:highlight w:val="none"/>
                <w:lang w:bidi="ar"/>
              </w:rPr>
              <w:t>：产品技术参数符合行业标准，能够完全满足或优于采购需求，性能</w:t>
            </w:r>
            <w:r>
              <w:rPr>
                <w:rFonts w:hint="eastAsia" w:ascii="宋体" w:hAnsi="宋体" w:eastAsia="宋体" w:cs="宋体"/>
                <w:color w:val="auto"/>
                <w:szCs w:val="21"/>
                <w:highlight w:val="none"/>
              </w:rPr>
              <w:t>卓越</w:t>
            </w:r>
            <w:r>
              <w:rPr>
                <w:rFonts w:hint="eastAsia" w:ascii="宋体" w:hAnsi="宋体" w:eastAsia="宋体" w:cs="宋体"/>
                <w:color w:val="auto"/>
                <w:szCs w:val="21"/>
                <w:highlight w:val="none"/>
                <w:lang w:bidi="ar"/>
              </w:rPr>
              <w:t>、结构设计合理性强、稳定可靠，得[</w:t>
            </w:r>
            <w:bookmarkStart w:id="1477" w:name="OLE_LINK517"/>
            <w:r>
              <w:rPr>
                <w:rFonts w:ascii="宋体" w:hAnsi="宋体" w:eastAsia="宋体" w:cs="宋体"/>
                <w:color w:val="auto"/>
                <w:szCs w:val="21"/>
                <w:highlight w:val="none"/>
                <w:lang w:bidi="ar"/>
              </w:rPr>
              <w:t>6-</w:t>
            </w:r>
            <w:bookmarkEnd w:id="1477"/>
            <w:r>
              <w:rPr>
                <w:rFonts w:hint="eastAsia" w:ascii="宋体" w:hAnsi="宋体" w:eastAsia="宋体" w:cs="宋体"/>
                <w:color w:val="auto"/>
                <w:szCs w:val="21"/>
                <w:highlight w:val="none"/>
                <w:lang w:bidi="ar"/>
              </w:rPr>
              <w:t>5.4]分；</w:t>
            </w:r>
          </w:p>
          <w:p w14:paraId="65D02D8C">
            <w:pPr>
              <w:spacing w:line="360" w:lineRule="auto"/>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良</w:t>
            </w:r>
            <w:r>
              <w:rPr>
                <w:rFonts w:hint="eastAsia" w:ascii="宋体" w:hAnsi="宋体" w:eastAsia="宋体" w:cs="宋体"/>
                <w:color w:val="auto"/>
                <w:szCs w:val="21"/>
                <w:highlight w:val="none"/>
                <w:lang w:bidi="ar"/>
              </w:rPr>
              <w:t>：产品</w:t>
            </w:r>
            <w:r>
              <w:rPr>
                <w:rFonts w:hint="eastAsia" w:ascii="宋体" w:hAnsi="宋体" w:eastAsia="宋体" w:cs="宋体"/>
                <w:color w:val="auto"/>
                <w:szCs w:val="21"/>
                <w:highlight w:val="none"/>
              </w:rPr>
              <w:t>技术参数符合行业标准，能够满足</w:t>
            </w:r>
            <w:r>
              <w:rPr>
                <w:rFonts w:hint="eastAsia" w:ascii="宋体" w:hAnsi="宋体" w:eastAsia="宋体" w:cs="宋体"/>
                <w:color w:val="auto"/>
                <w:szCs w:val="21"/>
                <w:highlight w:val="none"/>
                <w:lang w:bidi="ar"/>
              </w:rPr>
              <w:t>采购</w:t>
            </w:r>
            <w:r>
              <w:rPr>
                <w:rFonts w:hint="eastAsia" w:ascii="宋体" w:hAnsi="宋体" w:eastAsia="宋体" w:cs="宋体"/>
                <w:color w:val="auto"/>
                <w:szCs w:val="21"/>
                <w:highlight w:val="none"/>
              </w:rPr>
              <w:t>需求，</w:t>
            </w:r>
            <w:r>
              <w:rPr>
                <w:rFonts w:hint="eastAsia" w:ascii="宋体" w:hAnsi="宋体" w:eastAsia="宋体" w:cs="宋体"/>
                <w:color w:val="auto"/>
                <w:szCs w:val="21"/>
                <w:highlight w:val="none"/>
                <w:lang w:bidi="ar"/>
              </w:rPr>
              <w:t>性能良好、结构设计较合理、稳定可靠，得（5.4</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4.2]分；</w:t>
            </w:r>
          </w:p>
          <w:p w14:paraId="17EBE06E">
            <w:pPr>
              <w:spacing w:line="360" w:lineRule="auto"/>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中</w:t>
            </w:r>
            <w:r>
              <w:rPr>
                <w:rFonts w:hint="eastAsia" w:ascii="宋体" w:hAnsi="宋体" w:eastAsia="宋体" w:cs="宋体"/>
                <w:color w:val="auto"/>
                <w:szCs w:val="21"/>
                <w:highlight w:val="none"/>
                <w:lang w:bidi="ar"/>
              </w:rPr>
              <w:t>：产品</w:t>
            </w:r>
            <w:r>
              <w:rPr>
                <w:rFonts w:hint="eastAsia" w:ascii="宋体" w:hAnsi="宋体" w:eastAsia="宋体" w:cs="宋体"/>
                <w:color w:val="auto"/>
                <w:szCs w:val="21"/>
                <w:highlight w:val="none"/>
              </w:rPr>
              <w:t>技术参数符合行业标准，基本能满足</w:t>
            </w:r>
            <w:r>
              <w:rPr>
                <w:rFonts w:hint="eastAsia" w:ascii="宋体" w:hAnsi="宋体" w:eastAsia="宋体" w:cs="宋体"/>
                <w:color w:val="auto"/>
                <w:szCs w:val="21"/>
                <w:highlight w:val="none"/>
                <w:lang w:bidi="ar"/>
              </w:rPr>
              <w:t>采购</w:t>
            </w:r>
            <w:r>
              <w:rPr>
                <w:rFonts w:hint="eastAsia" w:ascii="宋体" w:hAnsi="宋体" w:eastAsia="宋体" w:cs="宋体"/>
                <w:color w:val="auto"/>
                <w:szCs w:val="21"/>
                <w:highlight w:val="none"/>
              </w:rPr>
              <w:t>需求，</w:t>
            </w:r>
            <w:r>
              <w:rPr>
                <w:rFonts w:hint="eastAsia" w:ascii="宋体" w:hAnsi="宋体" w:eastAsia="宋体" w:cs="宋体"/>
                <w:color w:val="auto"/>
                <w:szCs w:val="21"/>
                <w:highlight w:val="none"/>
                <w:lang w:bidi="ar"/>
              </w:rPr>
              <w:t>性能一般、结构设计基本合理、较稳定可靠，得（4.2</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3]分；</w:t>
            </w:r>
          </w:p>
          <w:p w14:paraId="14367EEB">
            <w:pPr>
              <w:spacing w:line="360" w:lineRule="auto"/>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差</w:t>
            </w:r>
            <w:r>
              <w:rPr>
                <w:rFonts w:hint="eastAsia" w:ascii="宋体" w:hAnsi="宋体" w:eastAsia="宋体" w:cs="宋体"/>
                <w:color w:val="auto"/>
                <w:szCs w:val="21"/>
                <w:highlight w:val="none"/>
                <w:lang w:bidi="ar"/>
              </w:rPr>
              <w:t>：产品</w:t>
            </w:r>
            <w:r>
              <w:rPr>
                <w:rFonts w:hint="eastAsia" w:ascii="宋体" w:hAnsi="宋体" w:eastAsia="宋体" w:cs="宋体"/>
                <w:color w:val="auto"/>
                <w:szCs w:val="21"/>
                <w:highlight w:val="none"/>
              </w:rPr>
              <w:t>技术参数不能满足</w:t>
            </w:r>
            <w:r>
              <w:rPr>
                <w:rFonts w:hint="eastAsia" w:ascii="宋体" w:hAnsi="宋体" w:eastAsia="宋体" w:cs="宋体"/>
                <w:color w:val="auto"/>
                <w:szCs w:val="21"/>
                <w:highlight w:val="none"/>
                <w:lang w:bidi="ar"/>
              </w:rPr>
              <w:t>采购</w:t>
            </w:r>
            <w:r>
              <w:rPr>
                <w:rFonts w:hint="eastAsia" w:ascii="宋体" w:hAnsi="宋体" w:eastAsia="宋体" w:cs="宋体"/>
                <w:color w:val="auto"/>
                <w:szCs w:val="21"/>
                <w:highlight w:val="none"/>
              </w:rPr>
              <w:t>需求，</w:t>
            </w:r>
            <w:r>
              <w:rPr>
                <w:rFonts w:hint="eastAsia" w:ascii="宋体" w:hAnsi="宋体" w:eastAsia="宋体" w:cs="宋体"/>
                <w:color w:val="auto"/>
                <w:szCs w:val="21"/>
                <w:highlight w:val="none"/>
                <w:lang w:bidi="ar"/>
              </w:rPr>
              <w:t>性能不佳、结构设计合理性差、不稳定可靠，得（3</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0]分。</w:t>
            </w:r>
          </w:p>
          <w:p w14:paraId="098AF1B3">
            <w:pPr>
              <w:spacing w:line="360" w:lineRule="auto"/>
              <w:jc w:val="left"/>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备注：</w:t>
            </w:r>
          </w:p>
          <w:p w14:paraId="5735272B">
            <w:pPr>
              <w:spacing w:line="360" w:lineRule="auto"/>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投标产品的性能参数，以具有CMA（或CNAS）检测能力的第三方检测机构出具的投标产品的试验报告等检测报告数据，或产品认证证书，或投标产品性能说明书，或其他能体现投标产品性能的证明材料作为评审依据，未提供的则本项不得分。</w:t>
            </w:r>
          </w:p>
        </w:tc>
        <w:tc>
          <w:tcPr>
            <w:tcW w:w="462" w:type="pct"/>
            <w:tcBorders>
              <w:top w:val="single" w:color="auto" w:sz="4" w:space="0"/>
              <w:left w:val="single" w:color="auto" w:sz="4" w:space="0"/>
              <w:bottom w:val="single" w:color="auto" w:sz="4" w:space="0"/>
              <w:right w:val="single" w:color="auto" w:sz="4" w:space="0"/>
            </w:tcBorders>
            <w:vAlign w:val="center"/>
          </w:tcPr>
          <w:p w14:paraId="3A882F72">
            <w:pPr>
              <w:autoSpaceDE w:val="0"/>
              <w:autoSpaceDN w:val="0"/>
              <w:adjustRightInd w:val="0"/>
              <w:spacing w:line="360" w:lineRule="auto"/>
              <w:jc w:val="center"/>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rPr>
              <w:t>6分</w:t>
            </w:r>
          </w:p>
        </w:tc>
      </w:tr>
      <w:tr w14:paraId="36CE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5C70EDFD">
            <w:pPr>
              <w:autoSpaceDE w:val="0"/>
              <w:autoSpaceDN w:val="0"/>
              <w:adjustRightInd w:val="0"/>
              <w:spacing w:line="360" w:lineRule="auto"/>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p>
        </w:tc>
        <w:tc>
          <w:tcPr>
            <w:tcW w:w="625" w:type="pct"/>
            <w:tcBorders>
              <w:top w:val="single" w:color="auto" w:sz="4" w:space="0"/>
              <w:left w:val="single" w:color="auto" w:sz="4" w:space="0"/>
              <w:bottom w:val="single" w:color="auto" w:sz="4" w:space="0"/>
              <w:right w:val="single" w:color="auto" w:sz="4" w:space="0"/>
            </w:tcBorders>
            <w:vAlign w:val="center"/>
          </w:tcPr>
          <w:p w14:paraId="1FA1E56F">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所投</w:t>
            </w:r>
            <w:r>
              <w:rPr>
                <w:rFonts w:hint="eastAsia" w:ascii="宋体" w:hAnsi="宋体" w:eastAsia="宋体" w:cs="宋体"/>
                <w:color w:val="auto"/>
                <w:szCs w:val="21"/>
                <w:highlight w:val="none"/>
                <w:lang w:val="zh-CN" w:bidi="ar"/>
              </w:rPr>
              <w:t>逆变器</w:t>
            </w:r>
            <w:r>
              <w:rPr>
                <w:rFonts w:hint="eastAsia" w:ascii="宋体" w:hAnsi="宋体" w:eastAsia="宋体" w:cs="宋体"/>
                <w:color w:val="auto"/>
                <w:szCs w:val="21"/>
                <w:highlight w:val="none"/>
                <w:lang w:bidi="ar"/>
              </w:rPr>
              <w:t>产品综合</w:t>
            </w:r>
            <w:r>
              <w:rPr>
                <w:rFonts w:hint="eastAsia" w:ascii="宋体" w:hAnsi="宋体" w:eastAsia="宋体" w:cs="宋体"/>
                <w:color w:val="auto"/>
                <w:szCs w:val="21"/>
                <w:highlight w:val="none"/>
                <w:lang w:val="zh-CN" w:bidi="ar"/>
              </w:rPr>
              <w:t>性能</w:t>
            </w:r>
          </w:p>
        </w:tc>
        <w:tc>
          <w:tcPr>
            <w:tcW w:w="3584" w:type="pct"/>
            <w:tcBorders>
              <w:top w:val="single" w:color="auto" w:sz="4" w:space="0"/>
              <w:left w:val="single" w:color="auto" w:sz="4" w:space="0"/>
              <w:bottom w:val="single" w:color="auto" w:sz="4" w:space="0"/>
              <w:right w:val="single" w:color="auto" w:sz="4" w:space="0"/>
            </w:tcBorders>
            <w:vAlign w:val="center"/>
          </w:tcPr>
          <w:p w14:paraId="4E23E734">
            <w:pPr>
              <w:spacing w:line="360" w:lineRule="auto"/>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根据各投标人所投逆变器产品的中国效率、最大逆变效率、电流总谐波畸变率、防护等级等技术参数，对所投逆变器产品的综合性能进行评审：</w:t>
            </w:r>
          </w:p>
          <w:p w14:paraId="4DCAAC39">
            <w:pPr>
              <w:spacing w:line="360" w:lineRule="auto"/>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优</w:t>
            </w:r>
            <w:r>
              <w:rPr>
                <w:rFonts w:hint="eastAsia" w:ascii="宋体" w:hAnsi="宋体" w:eastAsia="宋体" w:cs="宋体"/>
                <w:color w:val="auto"/>
                <w:szCs w:val="21"/>
                <w:highlight w:val="none"/>
                <w:lang w:bidi="ar"/>
              </w:rPr>
              <w:t>：产品技术参数符合行业标准，能够完全满足或优于采购需求，性能</w:t>
            </w:r>
            <w:r>
              <w:rPr>
                <w:rFonts w:hint="eastAsia" w:ascii="宋体" w:hAnsi="宋体" w:eastAsia="宋体" w:cs="宋体"/>
                <w:color w:val="auto"/>
                <w:szCs w:val="21"/>
                <w:highlight w:val="none"/>
              </w:rPr>
              <w:t>卓越</w:t>
            </w:r>
            <w:r>
              <w:rPr>
                <w:rFonts w:hint="eastAsia" w:ascii="宋体" w:hAnsi="宋体" w:eastAsia="宋体" w:cs="宋体"/>
                <w:color w:val="auto"/>
                <w:szCs w:val="21"/>
                <w:highlight w:val="none"/>
                <w:lang w:bidi="ar"/>
              </w:rPr>
              <w:t>、结构设计合理性强、稳定可靠，得[2</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1.8]分；</w:t>
            </w:r>
          </w:p>
          <w:p w14:paraId="4283B929">
            <w:pPr>
              <w:spacing w:line="360" w:lineRule="auto"/>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良</w:t>
            </w:r>
            <w:r>
              <w:rPr>
                <w:rFonts w:hint="eastAsia" w:ascii="宋体" w:hAnsi="宋体" w:eastAsia="宋体" w:cs="宋体"/>
                <w:color w:val="auto"/>
                <w:szCs w:val="21"/>
                <w:highlight w:val="none"/>
                <w:lang w:bidi="ar"/>
              </w:rPr>
              <w:t>：产品</w:t>
            </w:r>
            <w:r>
              <w:rPr>
                <w:rFonts w:hint="eastAsia" w:ascii="宋体" w:hAnsi="宋体" w:eastAsia="宋体" w:cs="宋体"/>
                <w:color w:val="auto"/>
                <w:szCs w:val="21"/>
                <w:highlight w:val="none"/>
              </w:rPr>
              <w:t>技术参数符合行业标准，能够满足</w:t>
            </w:r>
            <w:r>
              <w:rPr>
                <w:rFonts w:hint="eastAsia" w:ascii="宋体" w:hAnsi="宋体" w:eastAsia="宋体" w:cs="宋体"/>
                <w:color w:val="auto"/>
                <w:szCs w:val="21"/>
                <w:highlight w:val="none"/>
                <w:lang w:bidi="ar"/>
              </w:rPr>
              <w:t>采购</w:t>
            </w:r>
            <w:r>
              <w:rPr>
                <w:rFonts w:hint="eastAsia" w:ascii="宋体" w:hAnsi="宋体" w:eastAsia="宋体" w:cs="宋体"/>
                <w:color w:val="auto"/>
                <w:szCs w:val="21"/>
                <w:highlight w:val="none"/>
              </w:rPr>
              <w:t>需求，</w:t>
            </w:r>
            <w:r>
              <w:rPr>
                <w:rFonts w:hint="eastAsia" w:ascii="宋体" w:hAnsi="宋体" w:eastAsia="宋体" w:cs="宋体"/>
                <w:color w:val="auto"/>
                <w:szCs w:val="21"/>
                <w:highlight w:val="none"/>
                <w:lang w:bidi="ar"/>
              </w:rPr>
              <w:t>性能良好、结构设计较合理、稳定可靠，得（1.8</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1.4]分；</w:t>
            </w:r>
          </w:p>
          <w:p w14:paraId="2FFB0451">
            <w:pPr>
              <w:spacing w:line="360" w:lineRule="auto"/>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中</w:t>
            </w:r>
            <w:r>
              <w:rPr>
                <w:rFonts w:hint="eastAsia" w:ascii="宋体" w:hAnsi="宋体" w:eastAsia="宋体" w:cs="宋体"/>
                <w:color w:val="auto"/>
                <w:szCs w:val="21"/>
                <w:highlight w:val="none"/>
                <w:lang w:bidi="ar"/>
              </w:rPr>
              <w:t>：产品</w:t>
            </w:r>
            <w:r>
              <w:rPr>
                <w:rFonts w:hint="eastAsia" w:ascii="宋体" w:hAnsi="宋体" w:eastAsia="宋体" w:cs="宋体"/>
                <w:color w:val="auto"/>
                <w:szCs w:val="21"/>
                <w:highlight w:val="none"/>
              </w:rPr>
              <w:t>技术参数符合行业标准，基本能满足</w:t>
            </w:r>
            <w:r>
              <w:rPr>
                <w:rFonts w:hint="eastAsia" w:ascii="宋体" w:hAnsi="宋体" w:eastAsia="宋体" w:cs="宋体"/>
                <w:color w:val="auto"/>
                <w:szCs w:val="21"/>
                <w:highlight w:val="none"/>
                <w:lang w:bidi="ar"/>
              </w:rPr>
              <w:t>采购</w:t>
            </w:r>
            <w:r>
              <w:rPr>
                <w:rFonts w:hint="eastAsia" w:ascii="宋体" w:hAnsi="宋体" w:eastAsia="宋体" w:cs="宋体"/>
                <w:color w:val="auto"/>
                <w:szCs w:val="21"/>
                <w:highlight w:val="none"/>
              </w:rPr>
              <w:t>需求，</w:t>
            </w:r>
            <w:r>
              <w:rPr>
                <w:rFonts w:hint="eastAsia" w:ascii="宋体" w:hAnsi="宋体" w:eastAsia="宋体" w:cs="宋体"/>
                <w:color w:val="auto"/>
                <w:szCs w:val="21"/>
                <w:highlight w:val="none"/>
                <w:lang w:bidi="ar"/>
              </w:rPr>
              <w:t>性能一般、结构设计基本合理、较稳定可靠，得（1.4</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1]分；</w:t>
            </w:r>
          </w:p>
          <w:p w14:paraId="2EB61835">
            <w:pPr>
              <w:spacing w:line="360" w:lineRule="auto"/>
              <w:jc w:val="left"/>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差</w:t>
            </w:r>
            <w:r>
              <w:rPr>
                <w:rFonts w:hint="eastAsia" w:ascii="宋体" w:hAnsi="宋体" w:eastAsia="宋体" w:cs="宋体"/>
                <w:color w:val="auto"/>
                <w:szCs w:val="21"/>
                <w:highlight w:val="none"/>
                <w:lang w:bidi="ar"/>
              </w:rPr>
              <w:t>：产品</w:t>
            </w:r>
            <w:r>
              <w:rPr>
                <w:rFonts w:hint="eastAsia" w:ascii="宋体" w:hAnsi="宋体" w:eastAsia="宋体" w:cs="宋体"/>
                <w:color w:val="auto"/>
                <w:szCs w:val="21"/>
                <w:highlight w:val="none"/>
              </w:rPr>
              <w:t>技术参数不能满足</w:t>
            </w:r>
            <w:r>
              <w:rPr>
                <w:rFonts w:hint="eastAsia" w:ascii="宋体" w:hAnsi="宋体" w:eastAsia="宋体" w:cs="宋体"/>
                <w:color w:val="auto"/>
                <w:szCs w:val="21"/>
                <w:highlight w:val="none"/>
                <w:lang w:bidi="ar"/>
              </w:rPr>
              <w:t>采购</w:t>
            </w:r>
            <w:r>
              <w:rPr>
                <w:rFonts w:hint="eastAsia" w:ascii="宋体" w:hAnsi="宋体" w:eastAsia="宋体" w:cs="宋体"/>
                <w:color w:val="auto"/>
                <w:szCs w:val="21"/>
                <w:highlight w:val="none"/>
              </w:rPr>
              <w:t>需求，</w:t>
            </w:r>
            <w:r>
              <w:rPr>
                <w:rFonts w:hint="eastAsia" w:ascii="宋体" w:hAnsi="宋体" w:eastAsia="宋体" w:cs="宋体"/>
                <w:color w:val="auto"/>
                <w:szCs w:val="21"/>
                <w:highlight w:val="none"/>
                <w:lang w:bidi="ar"/>
              </w:rPr>
              <w:t>性能不佳、结构设计合理性差、不稳定可靠，得（1</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0]分。</w:t>
            </w:r>
          </w:p>
          <w:p w14:paraId="0CA36AF2">
            <w:pPr>
              <w:spacing w:line="360" w:lineRule="auto"/>
              <w:jc w:val="left"/>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备注：</w:t>
            </w:r>
          </w:p>
          <w:p w14:paraId="4E268651">
            <w:pPr>
              <w:spacing w:line="360" w:lineRule="auto"/>
              <w:jc w:val="left"/>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①投标产品的性能参数，以具有CMA（或CNAS）检测能力的第三方检测机构出具的投标产品的试验报告等检测报告数据，或产品认证证书，或投标产品性能说明书，或其他能体现投标产品性能的证明材料作为评审依据，未提供的则本项不得分。</w:t>
            </w:r>
          </w:p>
          <w:p w14:paraId="1430228C">
            <w:pPr>
              <w:spacing w:line="360" w:lineRule="auto"/>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②当本次投标逆变器包含多个数值时，以所有型号中最低的值作为评审依据；不论所投产品为单一型号还是多个型号，均取全部投标型号中的最低值作为评审参数</w:t>
            </w:r>
            <w:r>
              <w:rPr>
                <w:rFonts w:hint="eastAsia" w:ascii="宋体" w:hAnsi="宋体" w:eastAsia="宋体" w:cs="宋体"/>
                <w:color w:val="auto"/>
                <w:szCs w:val="21"/>
                <w:highlight w:val="none"/>
                <w:lang w:bidi="ar"/>
              </w:rPr>
              <w:t>。</w:t>
            </w:r>
          </w:p>
        </w:tc>
        <w:tc>
          <w:tcPr>
            <w:tcW w:w="462" w:type="pct"/>
            <w:tcBorders>
              <w:top w:val="single" w:color="auto" w:sz="4" w:space="0"/>
              <w:left w:val="single" w:color="auto" w:sz="4" w:space="0"/>
              <w:bottom w:val="single" w:color="auto" w:sz="4" w:space="0"/>
              <w:right w:val="single" w:color="auto" w:sz="4" w:space="0"/>
            </w:tcBorders>
            <w:vAlign w:val="center"/>
          </w:tcPr>
          <w:p w14:paraId="63D95384">
            <w:pPr>
              <w:autoSpaceDE w:val="0"/>
              <w:autoSpaceDN w:val="0"/>
              <w:adjustRightInd w:val="0"/>
              <w:spacing w:line="360" w:lineRule="auto"/>
              <w:jc w:val="center"/>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rPr>
              <w:t>2分</w:t>
            </w:r>
          </w:p>
        </w:tc>
      </w:tr>
      <w:tr w14:paraId="0827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47018BCD">
            <w:pPr>
              <w:autoSpaceDE w:val="0"/>
              <w:autoSpaceDN w:val="0"/>
              <w:adjustRightInd w:val="0"/>
              <w:spacing w:line="360" w:lineRule="auto"/>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w:t>
            </w:r>
          </w:p>
        </w:tc>
        <w:tc>
          <w:tcPr>
            <w:tcW w:w="625" w:type="pct"/>
            <w:tcBorders>
              <w:top w:val="single" w:color="auto" w:sz="4" w:space="0"/>
              <w:left w:val="single" w:color="auto" w:sz="4" w:space="0"/>
              <w:bottom w:val="single" w:color="auto" w:sz="4" w:space="0"/>
              <w:right w:val="single" w:color="auto" w:sz="4" w:space="0"/>
            </w:tcBorders>
            <w:vAlign w:val="center"/>
          </w:tcPr>
          <w:p w14:paraId="30264DC6">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质保时间</w:t>
            </w:r>
          </w:p>
        </w:tc>
        <w:tc>
          <w:tcPr>
            <w:tcW w:w="3584" w:type="pct"/>
            <w:tcBorders>
              <w:top w:val="single" w:color="auto" w:sz="4" w:space="0"/>
              <w:left w:val="single" w:color="auto" w:sz="4" w:space="0"/>
              <w:bottom w:val="single" w:color="auto" w:sz="4" w:space="0"/>
              <w:right w:val="single" w:color="auto" w:sz="4" w:space="0"/>
            </w:tcBorders>
            <w:vAlign w:val="center"/>
          </w:tcPr>
          <w:p w14:paraId="06683741">
            <w:pPr>
              <w:spacing w:line="360" w:lineRule="auto"/>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根据各投标人对本项目整体质保时间进行评审：在满足本项目整体最终验收合格之日起二年质保时间的基础上，每增加1年得1分，本项最高得2分。</w:t>
            </w:r>
          </w:p>
          <w:p w14:paraId="4A4A3790">
            <w:pPr>
              <w:autoSpaceDE w:val="0"/>
              <w:autoSpaceDN w:val="0"/>
              <w:adjustRightInd w:val="0"/>
              <w:spacing w:line="360" w:lineRule="auto"/>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备注：须提供质保说明书加盖投标人公章。</w:t>
            </w:r>
          </w:p>
        </w:tc>
        <w:tc>
          <w:tcPr>
            <w:tcW w:w="462" w:type="pct"/>
            <w:tcBorders>
              <w:top w:val="single" w:color="auto" w:sz="4" w:space="0"/>
              <w:left w:val="single" w:color="auto" w:sz="4" w:space="0"/>
              <w:bottom w:val="single" w:color="auto" w:sz="4" w:space="0"/>
              <w:right w:val="single" w:color="auto" w:sz="4" w:space="0"/>
            </w:tcBorders>
            <w:vAlign w:val="center"/>
          </w:tcPr>
          <w:p w14:paraId="0CC6C370">
            <w:pPr>
              <w:autoSpaceDE w:val="0"/>
              <w:autoSpaceDN w:val="0"/>
              <w:adjustRightInd w:val="0"/>
              <w:spacing w:line="360" w:lineRule="auto"/>
              <w:jc w:val="center"/>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rPr>
              <w:t>2分</w:t>
            </w:r>
          </w:p>
        </w:tc>
      </w:tr>
      <w:tr w14:paraId="3FAB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4F3C2D03">
            <w:pPr>
              <w:autoSpaceDE w:val="0"/>
              <w:autoSpaceDN w:val="0"/>
              <w:adjustRightInd w:val="0"/>
              <w:spacing w:line="360" w:lineRule="auto"/>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w:t>
            </w:r>
          </w:p>
        </w:tc>
        <w:tc>
          <w:tcPr>
            <w:tcW w:w="625" w:type="pct"/>
            <w:tcBorders>
              <w:top w:val="single" w:color="auto" w:sz="4" w:space="0"/>
              <w:left w:val="single" w:color="auto" w:sz="4" w:space="0"/>
              <w:bottom w:val="single" w:color="auto" w:sz="4" w:space="0"/>
              <w:right w:val="single" w:color="auto" w:sz="4" w:space="0"/>
            </w:tcBorders>
            <w:vAlign w:val="center"/>
          </w:tcPr>
          <w:p w14:paraId="3201C389">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kern w:val="0"/>
                <w:szCs w:val="21"/>
                <w:highlight w:val="none"/>
              </w:rPr>
              <w:t>项目负责人</w:t>
            </w:r>
          </w:p>
        </w:tc>
        <w:tc>
          <w:tcPr>
            <w:tcW w:w="3584" w:type="pct"/>
            <w:tcBorders>
              <w:top w:val="single" w:color="auto" w:sz="4" w:space="0"/>
              <w:left w:val="single" w:color="auto" w:sz="4" w:space="0"/>
              <w:bottom w:val="single" w:color="auto" w:sz="4" w:space="0"/>
              <w:right w:val="single" w:color="auto" w:sz="4" w:space="0"/>
            </w:tcBorders>
            <w:vAlign w:val="center"/>
          </w:tcPr>
          <w:p w14:paraId="2750B3D5">
            <w:pPr>
              <w:autoSpaceDE w:val="0"/>
              <w:autoSpaceDN w:val="0"/>
              <w:adjustRightInd w:val="0"/>
              <w:spacing w:line="360" w:lineRule="auto"/>
              <w:jc w:val="left"/>
              <w:rPr>
                <w:rFonts w:ascii="宋体" w:hAnsi="宋体" w:eastAsia="宋体" w:cs="宋体"/>
                <w:b/>
                <w:bCs/>
                <w:color w:val="auto"/>
                <w:szCs w:val="21"/>
                <w:highlight w:val="none"/>
                <w:lang w:bidi="ar"/>
              </w:rPr>
            </w:pPr>
            <w:bookmarkStart w:id="1478" w:name="OLE_LINK199"/>
            <w:r>
              <w:rPr>
                <w:rFonts w:hint="eastAsia" w:ascii="宋体" w:hAnsi="宋体" w:eastAsia="宋体" w:cs="宋体"/>
                <w:b/>
                <w:bCs/>
                <w:color w:val="auto"/>
                <w:szCs w:val="21"/>
                <w:highlight w:val="none"/>
                <w:lang w:bidi="ar"/>
              </w:rPr>
              <w:t>根据各投标人拟投</w:t>
            </w:r>
            <w:bookmarkStart w:id="1479" w:name="OLE_LINK213"/>
            <w:r>
              <w:rPr>
                <w:rFonts w:hint="eastAsia" w:ascii="宋体" w:hAnsi="宋体" w:eastAsia="宋体" w:cs="宋体"/>
                <w:b/>
                <w:bCs/>
                <w:color w:val="auto"/>
                <w:szCs w:val="21"/>
                <w:highlight w:val="none"/>
                <w:lang w:bidi="ar"/>
              </w:rPr>
              <w:t>入本项目</w:t>
            </w:r>
            <w:bookmarkEnd w:id="1479"/>
            <w:r>
              <w:rPr>
                <w:rFonts w:hint="eastAsia" w:ascii="宋体" w:hAnsi="宋体" w:eastAsia="宋体" w:cs="宋体"/>
                <w:b/>
                <w:bCs/>
                <w:color w:val="auto"/>
                <w:szCs w:val="21"/>
                <w:highlight w:val="none"/>
                <w:lang w:bidi="ar"/>
              </w:rPr>
              <w:t>的</w:t>
            </w:r>
            <w:bookmarkEnd w:id="1478"/>
            <w:r>
              <w:rPr>
                <w:rFonts w:hint="eastAsia" w:ascii="宋体" w:hAnsi="宋体" w:eastAsia="宋体" w:cs="宋体"/>
                <w:b/>
                <w:bCs/>
                <w:color w:val="auto"/>
                <w:szCs w:val="21"/>
                <w:highlight w:val="none"/>
                <w:lang w:bidi="ar"/>
              </w:rPr>
              <w:t>项目负责人</w:t>
            </w:r>
            <w:bookmarkStart w:id="1480" w:name="OLE_LINK209"/>
            <w:r>
              <w:rPr>
                <w:rFonts w:hint="eastAsia" w:ascii="宋体" w:hAnsi="宋体" w:eastAsia="宋体" w:cs="宋体"/>
                <w:b/>
                <w:bCs/>
                <w:color w:val="auto"/>
                <w:szCs w:val="21"/>
                <w:highlight w:val="none"/>
                <w:lang w:bidi="ar"/>
              </w:rPr>
              <w:t>（仅一人）</w:t>
            </w:r>
            <w:bookmarkEnd w:id="1480"/>
            <w:bookmarkStart w:id="1481" w:name="OLE_LINK200"/>
            <w:r>
              <w:rPr>
                <w:rFonts w:hint="eastAsia" w:ascii="宋体" w:hAnsi="宋体" w:eastAsia="宋体" w:cs="宋体"/>
                <w:b/>
                <w:bCs/>
                <w:color w:val="auto"/>
                <w:szCs w:val="21"/>
                <w:highlight w:val="none"/>
                <w:lang w:bidi="ar"/>
              </w:rPr>
              <w:t>进行评审</w:t>
            </w:r>
            <w:bookmarkEnd w:id="1481"/>
            <w:r>
              <w:rPr>
                <w:rFonts w:hint="eastAsia" w:ascii="宋体" w:hAnsi="宋体" w:eastAsia="宋体" w:cs="宋体"/>
                <w:b/>
                <w:bCs/>
                <w:color w:val="auto"/>
                <w:szCs w:val="21"/>
                <w:highlight w:val="none"/>
                <w:lang w:bidi="ar"/>
              </w:rPr>
              <w:t>：</w:t>
            </w:r>
          </w:p>
          <w:p w14:paraId="1CAE1695">
            <w:pPr>
              <w:autoSpaceDE w:val="0"/>
              <w:autoSpaceDN w:val="0"/>
              <w:adjustRightInd w:val="0"/>
              <w:spacing w:line="360" w:lineRule="auto"/>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具备电气工程（或机电工程）专业中级工程师职称，得</w:t>
            </w:r>
            <w:r>
              <w:rPr>
                <w:rFonts w:hint="eastAsia" w:ascii="宋体" w:hAnsi="宋体" w:eastAsia="宋体" w:cs="宋体"/>
                <w:color w:val="auto"/>
                <w:szCs w:val="21"/>
                <w:highlight w:val="none"/>
                <w:lang w:val="en-US" w:eastAsia="zh-CN" w:bidi="ar"/>
              </w:rPr>
              <w:t>1</w:t>
            </w:r>
            <w:r>
              <w:rPr>
                <w:rFonts w:hint="eastAsia" w:ascii="宋体" w:hAnsi="宋体" w:eastAsia="宋体" w:cs="宋体"/>
                <w:color w:val="auto"/>
                <w:szCs w:val="21"/>
                <w:highlight w:val="none"/>
                <w:lang w:bidi="ar"/>
              </w:rPr>
              <w:t>分；具备电气工程（或机电工程）专业副高级（或以上）工程师职称，得2分。</w:t>
            </w:r>
          </w:p>
          <w:p w14:paraId="3070441B">
            <w:pPr>
              <w:autoSpaceDE w:val="0"/>
              <w:autoSpaceDN w:val="0"/>
              <w:adjustRightInd w:val="0"/>
              <w:spacing w:line="360" w:lineRule="auto"/>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本项最高得2分。</w:t>
            </w:r>
          </w:p>
          <w:p w14:paraId="32D38B0B">
            <w:pPr>
              <w:autoSpaceDE w:val="0"/>
              <w:autoSpaceDN w:val="0"/>
              <w:adjustRightInd w:val="0"/>
              <w:spacing w:line="360" w:lineRule="auto"/>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备注：①若为联合体投标的，</w:t>
            </w:r>
            <w:r>
              <w:rPr>
                <w:rFonts w:hint="eastAsia" w:ascii="宋体" w:hAnsi="宋体" w:eastAsia="宋体" w:cs="宋体"/>
                <w:b/>
                <w:color w:val="auto"/>
                <w:kern w:val="0"/>
                <w:szCs w:val="21"/>
                <w:highlight w:val="none"/>
              </w:rPr>
              <w:t>以联合体牵头单位提供的人员为准，联合体成员单位提供的人员不予认可</w:t>
            </w:r>
            <w:r>
              <w:rPr>
                <w:rFonts w:hint="eastAsia" w:ascii="宋体" w:hAnsi="宋体" w:eastAsia="宋体" w:cs="宋体"/>
                <w:b/>
                <w:bCs/>
                <w:color w:val="auto"/>
                <w:szCs w:val="21"/>
                <w:highlight w:val="none"/>
                <w:lang w:bidi="ar"/>
              </w:rPr>
              <w:t>；②须提供</w:t>
            </w:r>
            <w:r>
              <w:rPr>
                <w:rFonts w:hint="eastAsia" w:ascii="宋体" w:hAnsi="宋体" w:eastAsia="宋体" w:cs="宋体"/>
                <w:b/>
                <w:bCs/>
                <w:color w:val="auto"/>
                <w:szCs w:val="21"/>
                <w:highlight w:val="none"/>
                <w:lang w:val="en-US" w:eastAsia="zh-CN" w:bidi="ar"/>
              </w:rPr>
              <w:t>上述职称</w:t>
            </w:r>
            <w:r>
              <w:rPr>
                <w:rFonts w:hint="eastAsia" w:ascii="宋体" w:hAnsi="宋体" w:eastAsia="宋体" w:cs="宋体"/>
                <w:b/>
                <w:bCs/>
                <w:color w:val="auto"/>
                <w:szCs w:val="21"/>
                <w:highlight w:val="none"/>
                <w:lang w:bidi="ar"/>
              </w:rPr>
              <w:t>证书扫描件加盖投标人公章，并提供</w:t>
            </w:r>
            <w:bookmarkStart w:id="1482" w:name="OLE_LINK286"/>
            <w:r>
              <w:rPr>
                <w:rFonts w:hint="eastAsia" w:ascii="宋体" w:hAnsi="宋体" w:eastAsia="宋体" w:cs="宋体"/>
                <w:b/>
                <w:bCs/>
                <w:color w:val="auto"/>
                <w:szCs w:val="21"/>
                <w:highlight w:val="none"/>
                <w:lang w:bidi="ar"/>
              </w:rPr>
              <w:t>由人力资源和社会保障部门（或税务部门）出具的</w:t>
            </w:r>
            <w:bookmarkEnd w:id="1482"/>
            <w:r>
              <w:rPr>
                <w:rFonts w:hint="eastAsia" w:ascii="宋体" w:hAnsi="宋体" w:eastAsia="宋体" w:cs="宋体"/>
                <w:b/>
                <w:bCs/>
                <w:color w:val="auto"/>
                <w:szCs w:val="21"/>
                <w:highlight w:val="none"/>
                <w:lang w:bidi="ar"/>
              </w:rPr>
              <w:t>投标人2025年2月至2025年7月为其缴纳的</w:t>
            </w:r>
            <w:bookmarkStart w:id="1483" w:name="OLE_LINK197"/>
            <w:r>
              <w:rPr>
                <w:rFonts w:hint="eastAsia" w:ascii="宋体" w:hAnsi="宋体" w:eastAsia="宋体" w:cs="宋体"/>
                <w:b/>
                <w:bCs/>
                <w:color w:val="auto"/>
                <w:szCs w:val="21"/>
                <w:highlight w:val="none"/>
                <w:lang w:bidi="ar"/>
              </w:rPr>
              <w:t>社会保险凭证</w:t>
            </w:r>
            <w:bookmarkEnd w:id="1483"/>
            <w:r>
              <w:rPr>
                <w:rFonts w:hint="eastAsia" w:ascii="宋体" w:hAnsi="宋体" w:eastAsia="宋体" w:cs="宋体"/>
                <w:b/>
                <w:bCs/>
                <w:color w:val="auto"/>
                <w:szCs w:val="21"/>
                <w:highlight w:val="none"/>
                <w:lang w:bidi="ar"/>
              </w:rPr>
              <w:t>扫描件加盖投标人公章。</w:t>
            </w:r>
          </w:p>
        </w:tc>
        <w:tc>
          <w:tcPr>
            <w:tcW w:w="462" w:type="pct"/>
            <w:tcBorders>
              <w:top w:val="single" w:color="auto" w:sz="4" w:space="0"/>
              <w:left w:val="single" w:color="auto" w:sz="4" w:space="0"/>
              <w:bottom w:val="single" w:color="auto" w:sz="4" w:space="0"/>
              <w:right w:val="single" w:color="auto" w:sz="4" w:space="0"/>
            </w:tcBorders>
            <w:vAlign w:val="center"/>
          </w:tcPr>
          <w:p w14:paraId="04FC5C83">
            <w:pPr>
              <w:autoSpaceDE w:val="0"/>
              <w:autoSpaceDN w:val="0"/>
              <w:adjustRightInd w:val="0"/>
              <w:spacing w:line="360" w:lineRule="auto"/>
              <w:jc w:val="center"/>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rPr>
              <w:t>2分</w:t>
            </w:r>
          </w:p>
        </w:tc>
      </w:tr>
      <w:tr w14:paraId="130DC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51B7CED6">
            <w:pPr>
              <w:autoSpaceDE w:val="0"/>
              <w:autoSpaceDN w:val="0"/>
              <w:adjustRightInd w:val="0"/>
              <w:spacing w:line="360" w:lineRule="auto"/>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w:t>
            </w:r>
          </w:p>
        </w:tc>
        <w:tc>
          <w:tcPr>
            <w:tcW w:w="625" w:type="pct"/>
            <w:tcBorders>
              <w:top w:val="single" w:color="auto" w:sz="4" w:space="0"/>
              <w:left w:val="single" w:color="auto" w:sz="4" w:space="0"/>
              <w:bottom w:val="single" w:color="auto" w:sz="4" w:space="0"/>
              <w:right w:val="single" w:color="auto" w:sz="4" w:space="0"/>
            </w:tcBorders>
            <w:vAlign w:val="center"/>
          </w:tcPr>
          <w:p w14:paraId="162BC28F">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kern w:val="0"/>
                <w:szCs w:val="21"/>
                <w:highlight w:val="none"/>
              </w:rPr>
              <w:t>技术服务</w:t>
            </w:r>
            <w:r>
              <w:rPr>
                <w:rFonts w:hint="eastAsia" w:ascii="宋体" w:hAnsi="宋体" w:eastAsia="宋体" w:cs="宋体"/>
                <w:color w:val="auto"/>
                <w:szCs w:val="21"/>
                <w:highlight w:val="none"/>
                <w:lang w:bidi="ar"/>
              </w:rPr>
              <w:t>团队人员（除项目负责人外）</w:t>
            </w:r>
          </w:p>
        </w:tc>
        <w:tc>
          <w:tcPr>
            <w:tcW w:w="3584" w:type="pct"/>
            <w:tcBorders>
              <w:top w:val="single" w:color="auto" w:sz="4" w:space="0"/>
              <w:left w:val="single" w:color="auto" w:sz="4" w:space="0"/>
              <w:bottom w:val="single" w:color="auto" w:sz="4" w:space="0"/>
              <w:right w:val="single" w:color="auto" w:sz="4" w:space="0"/>
            </w:tcBorders>
            <w:vAlign w:val="center"/>
          </w:tcPr>
          <w:p w14:paraId="580D92FE">
            <w:pPr>
              <w:spacing w:line="360" w:lineRule="auto"/>
              <w:jc w:val="left"/>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根据各投标人拟投入本项目的团队人员（除项目负责人外）进行评审：</w:t>
            </w:r>
          </w:p>
          <w:p w14:paraId="1DBC5485">
            <w:pPr>
              <w:spacing w:line="360" w:lineRule="auto"/>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①具备工程类专业中级（或以上）工程师职称，每提供一人得1分，本</w:t>
            </w:r>
            <w:bookmarkStart w:id="1484" w:name="OLE_LINK207"/>
            <w:r>
              <w:rPr>
                <w:rFonts w:hint="eastAsia" w:ascii="宋体" w:hAnsi="宋体" w:eastAsia="宋体" w:cs="宋体"/>
                <w:color w:val="auto"/>
                <w:szCs w:val="21"/>
                <w:highlight w:val="none"/>
                <w:lang w:bidi="ar"/>
              </w:rPr>
              <w:t>子</w:t>
            </w:r>
            <w:bookmarkEnd w:id="1484"/>
            <w:r>
              <w:rPr>
                <w:rFonts w:hint="eastAsia" w:ascii="宋体" w:hAnsi="宋体" w:eastAsia="宋体" w:cs="宋体"/>
                <w:color w:val="auto"/>
                <w:szCs w:val="21"/>
                <w:highlight w:val="none"/>
                <w:lang w:bidi="ar"/>
              </w:rPr>
              <w:t>项最高得分2分；</w:t>
            </w:r>
          </w:p>
          <w:p w14:paraId="0EEDCF32">
            <w:pPr>
              <w:spacing w:line="360" w:lineRule="auto"/>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②具备在有效期内的《特种作业操作证》(作业类别为电工作业，操作项目为高压电工作业或低压电工作业)，每提供一人得</w:t>
            </w:r>
            <w:r>
              <w:rPr>
                <w:rFonts w:hint="eastAsia" w:ascii="宋体" w:hAnsi="宋体" w:eastAsia="宋体" w:cs="宋体"/>
                <w:color w:val="auto"/>
                <w:szCs w:val="21"/>
                <w:highlight w:val="none"/>
                <w:lang w:val="en-US" w:eastAsia="zh-CN" w:bidi="ar"/>
              </w:rPr>
              <w:t>1</w:t>
            </w:r>
            <w:r>
              <w:rPr>
                <w:rFonts w:hint="eastAsia" w:ascii="宋体" w:hAnsi="宋体" w:eastAsia="宋体" w:cs="宋体"/>
                <w:color w:val="auto"/>
                <w:szCs w:val="21"/>
                <w:highlight w:val="none"/>
                <w:lang w:bidi="ar"/>
              </w:rPr>
              <w:t>分，本子项最高得2分；</w:t>
            </w:r>
          </w:p>
          <w:p w14:paraId="06C9117A">
            <w:pPr>
              <w:spacing w:line="360" w:lineRule="auto"/>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③具备在有效期内的《特种作业操作证》(作业类别为高处作业，操作项目为高处安装、维护、拆除作业)，每提供一人得</w:t>
            </w:r>
            <w:r>
              <w:rPr>
                <w:rFonts w:hint="eastAsia" w:ascii="宋体" w:hAnsi="宋体" w:eastAsia="宋体" w:cs="宋体"/>
                <w:color w:val="auto"/>
                <w:szCs w:val="21"/>
                <w:highlight w:val="none"/>
                <w:lang w:val="en-US" w:eastAsia="zh-CN" w:bidi="ar"/>
              </w:rPr>
              <w:t>1</w:t>
            </w:r>
            <w:r>
              <w:rPr>
                <w:rFonts w:hint="eastAsia" w:ascii="宋体" w:hAnsi="宋体" w:eastAsia="宋体" w:cs="宋体"/>
                <w:color w:val="auto"/>
                <w:szCs w:val="21"/>
                <w:highlight w:val="none"/>
                <w:lang w:bidi="ar"/>
              </w:rPr>
              <w:t>分，</w:t>
            </w:r>
            <w:bookmarkStart w:id="1485" w:name="OLE_LINK210"/>
            <w:r>
              <w:rPr>
                <w:rFonts w:hint="eastAsia" w:ascii="宋体" w:hAnsi="宋体" w:eastAsia="宋体" w:cs="宋体"/>
                <w:color w:val="auto"/>
                <w:szCs w:val="21"/>
                <w:highlight w:val="none"/>
                <w:lang w:bidi="ar"/>
              </w:rPr>
              <w:t>本子项</w:t>
            </w:r>
            <w:bookmarkEnd w:id="1485"/>
            <w:r>
              <w:rPr>
                <w:rFonts w:hint="eastAsia" w:ascii="宋体" w:hAnsi="宋体" w:eastAsia="宋体" w:cs="宋体"/>
                <w:color w:val="auto"/>
                <w:szCs w:val="21"/>
                <w:highlight w:val="none"/>
                <w:lang w:bidi="ar"/>
              </w:rPr>
              <w:t>最高得2分；</w:t>
            </w:r>
          </w:p>
          <w:p w14:paraId="7496A2A1">
            <w:pPr>
              <w:spacing w:line="360" w:lineRule="auto"/>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④具备在有效期内的《特种作业操作证》(作业类别为焊接与热切割作业，操作项目为熔化焊接与热切割作业)，每提供人得</w:t>
            </w:r>
            <w:r>
              <w:rPr>
                <w:rFonts w:hint="eastAsia" w:ascii="宋体" w:hAnsi="宋体" w:eastAsia="宋体" w:cs="宋体"/>
                <w:color w:val="auto"/>
                <w:szCs w:val="21"/>
                <w:highlight w:val="none"/>
                <w:lang w:val="en-US" w:eastAsia="zh-CN" w:bidi="ar"/>
              </w:rPr>
              <w:t>1</w:t>
            </w:r>
            <w:r>
              <w:rPr>
                <w:rFonts w:hint="eastAsia" w:ascii="宋体" w:hAnsi="宋体" w:eastAsia="宋体" w:cs="宋体"/>
                <w:color w:val="auto"/>
                <w:szCs w:val="21"/>
                <w:highlight w:val="none"/>
                <w:lang w:bidi="ar"/>
              </w:rPr>
              <w:t>分，本子项最高得2分；</w:t>
            </w:r>
          </w:p>
          <w:p w14:paraId="6154B7DE">
            <w:pPr>
              <w:spacing w:line="360" w:lineRule="auto"/>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本项最高得8分。</w:t>
            </w:r>
          </w:p>
          <w:p w14:paraId="29D051FA">
            <w:pPr>
              <w:autoSpaceDE w:val="0"/>
              <w:autoSpaceDN w:val="0"/>
              <w:adjustRightInd w:val="0"/>
              <w:spacing w:line="360" w:lineRule="auto"/>
              <w:jc w:val="left"/>
              <w:rPr>
                <w:rFonts w:ascii="宋体" w:hAnsi="宋体" w:eastAsia="宋体" w:cs="宋体"/>
                <w:color w:val="auto"/>
                <w:szCs w:val="21"/>
                <w:highlight w:val="none"/>
                <w:lang w:bidi="ar"/>
              </w:rPr>
            </w:pPr>
            <w:bookmarkStart w:id="1486" w:name="OLE_LINK202"/>
            <w:r>
              <w:rPr>
                <w:rFonts w:hint="eastAsia" w:ascii="宋体" w:hAnsi="宋体" w:eastAsia="宋体" w:cs="宋体"/>
                <w:b/>
                <w:bCs/>
                <w:color w:val="auto"/>
                <w:szCs w:val="21"/>
                <w:highlight w:val="none"/>
                <w:lang w:bidi="ar"/>
              </w:rPr>
              <w:t>备注：①若为联合体投标的，联合体任意一方提供的人员满足要求均予以认可；②以上人员不得重复得分，若同一人员同时具有上述证书的，按最高分值计算一次得分，不重复计分；③须提供有效的相关证书</w:t>
            </w:r>
            <w:bookmarkStart w:id="1487" w:name="OLE_LINK352"/>
            <w:r>
              <w:rPr>
                <w:rFonts w:hint="eastAsia" w:ascii="宋体" w:hAnsi="宋体" w:eastAsia="宋体" w:cs="宋体"/>
                <w:b/>
                <w:bCs/>
                <w:color w:val="auto"/>
                <w:szCs w:val="21"/>
                <w:highlight w:val="none"/>
                <w:lang w:bidi="ar"/>
              </w:rPr>
              <w:t>扫描件加盖投标人公章，并提供由人力资源和社会保障部门（或税务部门）出具的投标人</w:t>
            </w:r>
            <w:bookmarkStart w:id="1488" w:name="OLE_LINK211"/>
            <w:r>
              <w:rPr>
                <w:rFonts w:hint="eastAsia" w:ascii="宋体" w:hAnsi="宋体" w:eastAsia="宋体" w:cs="宋体"/>
                <w:b/>
                <w:bCs/>
                <w:color w:val="auto"/>
                <w:szCs w:val="21"/>
                <w:highlight w:val="none"/>
                <w:lang w:bidi="ar"/>
              </w:rPr>
              <w:t>2025年2月至2025年7月</w:t>
            </w:r>
            <w:bookmarkEnd w:id="1488"/>
            <w:r>
              <w:rPr>
                <w:rFonts w:hint="eastAsia" w:ascii="宋体" w:hAnsi="宋体" w:eastAsia="宋体" w:cs="宋体"/>
                <w:b/>
                <w:bCs/>
                <w:color w:val="auto"/>
                <w:szCs w:val="21"/>
                <w:highlight w:val="none"/>
                <w:lang w:bidi="ar"/>
              </w:rPr>
              <w:t>为其缴纳的社会保险凭证扫描件加盖投标人公章</w:t>
            </w:r>
            <w:bookmarkEnd w:id="1487"/>
            <w:r>
              <w:rPr>
                <w:rFonts w:hint="eastAsia" w:ascii="宋体" w:hAnsi="宋体" w:eastAsia="宋体" w:cs="宋体"/>
                <w:b/>
                <w:bCs/>
                <w:color w:val="auto"/>
                <w:szCs w:val="21"/>
                <w:highlight w:val="none"/>
                <w:lang w:bidi="ar"/>
              </w:rPr>
              <w:t>。</w:t>
            </w:r>
            <w:bookmarkEnd w:id="1486"/>
          </w:p>
        </w:tc>
        <w:tc>
          <w:tcPr>
            <w:tcW w:w="462" w:type="pct"/>
            <w:tcBorders>
              <w:top w:val="single" w:color="auto" w:sz="4" w:space="0"/>
              <w:left w:val="single" w:color="auto" w:sz="4" w:space="0"/>
              <w:bottom w:val="single" w:color="auto" w:sz="4" w:space="0"/>
              <w:right w:val="single" w:color="auto" w:sz="4" w:space="0"/>
            </w:tcBorders>
            <w:vAlign w:val="center"/>
          </w:tcPr>
          <w:p w14:paraId="11D1A0D5">
            <w:pPr>
              <w:autoSpaceDE w:val="0"/>
              <w:autoSpaceDN w:val="0"/>
              <w:adjustRightInd w:val="0"/>
              <w:spacing w:line="360" w:lineRule="auto"/>
              <w:jc w:val="center"/>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rPr>
              <w:t>8分</w:t>
            </w:r>
          </w:p>
        </w:tc>
      </w:tr>
      <w:tr w14:paraId="7D77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74C19FA9">
            <w:pPr>
              <w:autoSpaceDE w:val="0"/>
              <w:autoSpaceDN w:val="0"/>
              <w:adjustRightInd w:val="0"/>
              <w:spacing w:line="360" w:lineRule="auto"/>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7</w:t>
            </w:r>
          </w:p>
        </w:tc>
        <w:tc>
          <w:tcPr>
            <w:tcW w:w="625" w:type="pct"/>
            <w:tcBorders>
              <w:top w:val="single" w:color="auto" w:sz="4" w:space="0"/>
              <w:left w:val="single" w:color="auto" w:sz="4" w:space="0"/>
              <w:bottom w:val="single" w:color="auto" w:sz="4" w:space="0"/>
              <w:right w:val="single" w:color="auto" w:sz="4" w:space="0"/>
            </w:tcBorders>
            <w:vAlign w:val="center"/>
          </w:tcPr>
          <w:p w14:paraId="4F255B64">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系统总体设计方案</w:t>
            </w:r>
          </w:p>
        </w:tc>
        <w:tc>
          <w:tcPr>
            <w:tcW w:w="3584" w:type="pct"/>
            <w:tcBorders>
              <w:top w:val="single" w:color="auto" w:sz="4" w:space="0"/>
              <w:left w:val="single" w:color="auto" w:sz="4" w:space="0"/>
              <w:bottom w:val="single" w:color="auto" w:sz="4" w:space="0"/>
              <w:right w:val="single" w:color="auto" w:sz="4" w:space="0"/>
            </w:tcBorders>
            <w:vAlign w:val="center"/>
          </w:tcPr>
          <w:p w14:paraId="3C0BC817">
            <w:pPr>
              <w:spacing w:line="360" w:lineRule="auto"/>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根据各投标人针对本项目提供的系统总体设计方案，包括但不限于对本项目重点难点分析、场地分析、整体规划布置、技术措施、设计服务承诺等进行评审：</w:t>
            </w:r>
            <w:r>
              <w:rPr>
                <w:rFonts w:hint="eastAsia" w:ascii="宋体" w:hAnsi="宋体" w:eastAsia="宋体" w:cs="宋体"/>
                <w:color w:val="auto"/>
                <w:szCs w:val="21"/>
                <w:highlight w:val="none"/>
                <w:lang w:bidi="ar"/>
              </w:rPr>
              <w:t xml:space="preserve"> </w:t>
            </w:r>
          </w:p>
          <w:p w14:paraId="749FD9CA">
            <w:pPr>
              <w:spacing w:line="360" w:lineRule="auto"/>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优</w:t>
            </w:r>
            <w:r>
              <w:rPr>
                <w:rFonts w:hint="eastAsia" w:ascii="宋体" w:hAnsi="宋体" w:eastAsia="宋体" w:cs="宋体"/>
                <w:color w:val="auto"/>
                <w:szCs w:val="21"/>
                <w:highlight w:val="none"/>
                <w:lang w:bidi="ar"/>
              </w:rPr>
              <w:t>：精准把握项目需求，充分考虑光照条件、土地（可安装空间）资源、电网接入等关键因素，设计方案高度契合项目目标，光伏阵列布局科学，逆变器选型合理，电气系统设计高效，并网方案优化完善，采用高效组件、智能运维等先进技术，系统效率、发电量预测等关键指标计算严谨，得[2</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1.8]分；</w:t>
            </w:r>
          </w:p>
          <w:p w14:paraId="624CE142">
            <w:pPr>
              <w:spacing w:line="360" w:lineRule="auto"/>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良</w:t>
            </w:r>
            <w:r>
              <w:rPr>
                <w:rFonts w:hint="eastAsia" w:ascii="宋体" w:hAnsi="宋体" w:eastAsia="宋体" w:cs="宋体"/>
                <w:color w:val="auto"/>
                <w:szCs w:val="21"/>
                <w:highlight w:val="none"/>
                <w:lang w:bidi="ar"/>
              </w:rPr>
              <w:t>：</w:t>
            </w:r>
            <w:bookmarkStart w:id="1489" w:name="OLE_LINK189"/>
            <w:r>
              <w:rPr>
                <w:rFonts w:hint="eastAsia" w:ascii="宋体" w:hAnsi="宋体" w:eastAsia="宋体" w:cs="宋体"/>
                <w:color w:val="auto"/>
                <w:szCs w:val="21"/>
                <w:highlight w:val="none"/>
                <w:lang w:bidi="ar"/>
              </w:rPr>
              <w:t>基本符合项目需求，但部分细节考虑不够深入，光伏阵列、逆变器及电气系统设计合理，但部分环节可进一步优化，采用常规设计方案，发电量计算基本准确，但未充分体现效率提升措施，</w:t>
            </w:r>
            <w:bookmarkEnd w:id="1489"/>
            <w:r>
              <w:rPr>
                <w:rFonts w:hint="eastAsia" w:ascii="宋体" w:hAnsi="宋体" w:eastAsia="宋体" w:cs="宋体"/>
                <w:color w:val="auto"/>
                <w:szCs w:val="21"/>
                <w:highlight w:val="none"/>
                <w:lang w:bidi="ar"/>
              </w:rPr>
              <w:t>得（1.8</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1.4]分；</w:t>
            </w:r>
          </w:p>
          <w:p w14:paraId="7DDD7185">
            <w:pPr>
              <w:spacing w:line="360" w:lineRule="auto"/>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中</w:t>
            </w:r>
            <w:r>
              <w:rPr>
                <w:rFonts w:hint="eastAsia" w:ascii="宋体" w:hAnsi="宋体" w:eastAsia="宋体" w:cs="宋体"/>
                <w:color w:val="auto"/>
                <w:szCs w:val="21"/>
                <w:highlight w:val="none"/>
                <w:lang w:bidi="ar"/>
              </w:rPr>
              <w:t>：</w:t>
            </w:r>
            <w:bookmarkStart w:id="1490" w:name="OLE_LINK192"/>
            <w:r>
              <w:rPr>
                <w:rFonts w:hint="eastAsia" w:ascii="宋体" w:hAnsi="宋体" w:eastAsia="宋体" w:cs="宋体"/>
                <w:color w:val="auto"/>
                <w:szCs w:val="21"/>
                <w:highlight w:val="none"/>
                <w:lang w:bidi="ar"/>
              </w:rPr>
              <w:t>仅满足基本发电需求，对土地（可安装空间）利用率、长期运维等考虑不足，光伏阵列布局和电气设计基本可行，但存在局部不合理，设计方案常规，发电量预测较粗略，未充分考虑组件衰减、系统损耗等因素，</w:t>
            </w:r>
            <w:bookmarkEnd w:id="1490"/>
            <w:r>
              <w:rPr>
                <w:rFonts w:hint="eastAsia" w:ascii="宋体" w:hAnsi="宋体" w:eastAsia="宋体" w:cs="宋体"/>
                <w:color w:val="auto"/>
                <w:szCs w:val="21"/>
                <w:highlight w:val="none"/>
                <w:lang w:bidi="ar"/>
              </w:rPr>
              <w:t>得（1.4</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1]分；</w:t>
            </w:r>
          </w:p>
          <w:p w14:paraId="200FC343">
            <w:pPr>
              <w:spacing w:line="360" w:lineRule="auto"/>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差</w:t>
            </w:r>
            <w:r>
              <w:rPr>
                <w:rFonts w:hint="eastAsia" w:ascii="宋体" w:hAnsi="宋体" w:eastAsia="宋体" w:cs="宋体"/>
                <w:color w:val="auto"/>
                <w:szCs w:val="21"/>
                <w:highlight w:val="none"/>
                <w:lang w:bidi="ar"/>
              </w:rPr>
              <w:t>：脱离实际需求，未考虑当地辐照数据、土地（可安装空间）限制或电网要求，阵列排布、电气设计或设备选型存在严重缺陷，影响系统效率或安全性，设计方案落后，关键指标未合理测算，得（1</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0]分；</w:t>
            </w:r>
          </w:p>
          <w:p w14:paraId="2E6D8419">
            <w:pPr>
              <w:autoSpaceDE w:val="0"/>
              <w:autoSpaceDN w:val="0"/>
              <w:adjustRightInd w:val="0"/>
              <w:spacing w:line="360" w:lineRule="auto"/>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备注：未提供对应方案不得分。</w:t>
            </w:r>
          </w:p>
        </w:tc>
        <w:tc>
          <w:tcPr>
            <w:tcW w:w="462" w:type="pct"/>
            <w:tcBorders>
              <w:top w:val="single" w:color="auto" w:sz="4" w:space="0"/>
              <w:left w:val="single" w:color="auto" w:sz="4" w:space="0"/>
              <w:bottom w:val="single" w:color="auto" w:sz="4" w:space="0"/>
              <w:right w:val="single" w:color="auto" w:sz="4" w:space="0"/>
            </w:tcBorders>
            <w:vAlign w:val="center"/>
          </w:tcPr>
          <w:p w14:paraId="0A8D0D8F">
            <w:pPr>
              <w:autoSpaceDE w:val="0"/>
              <w:autoSpaceDN w:val="0"/>
              <w:adjustRightInd w:val="0"/>
              <w:spacing w:line="360" w:lineRule="auto"/>
              <w:jc w:val="center"/>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rPr>
              <w:t>2分</w:t>
            </w:r>
          </w:p>
        </w:tc>
      </w:tr>
      <w:tr w14:paraId="5A83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7" w:type="pct"/>
            <w:tcBorders>
              <w:left w:val="single" w:color="auto" w:sz="4" w:space="0"/>
              <w:bottom w:val="single" w:color="auto" w:sz="4" w:space="0"/>
              <w:right w:val="single" w:color="auto" w:sz="4" w:space="0"/>
            </w:tcBorders>
            <w:vAlign w:val="center"/>
          </w:tcPr>
          <w:p w14:paraId="13502E27">
            <w:pPr>
              <w:autoSpaceDE w:val="0"/>
              <w:autoSpaceDN w:val="0"/>
              <w:adjustRightInd w:val="0"/>
              <w:spacing w:line="360" w:lineRule="auto"/>
              <w:jc w:val="center"/>
              <w:rPr>
                <w:rFonts w:ascii="宋体" w:hAnsi="宋体" w:eastAsia="宋体" w:cs="宋体"/>
                <w:color w:val="auto"/>
                <w:kern w:val="0"/>
                <w:szCs w:val="21"/>
                <w:highlight w:val="none"/>
              </w:rPr>
            </w:pPr>
            <w:bookmarkStart w:id="1491" w:name="OLE_LINK410" w:colFirst="2" w:colLast="4"/>
            <w:bookmarkStart w:id="1492" w:name="OLE_LINK203" w:colFirst="1" w:colLast="1"/>
            <w:bookmarkStart w:id="1493" w:name="OLE_LINK204" w:colFirst="2" w:colLast="2"/>
            <w:bookmarkStart w:id="1494" w:name="OLE_LINK524" w:colFirst="0" w:colLast="0"/>
            <w:r>
              <w:rPr>
                <w:rFonts w:hint="eastAsia" w:ascii="宋体" w:hAnsi="宋体" w:eastAsia="宋体" w:cs="宋体"/>
                <w:color w:val="auto"/>
                <w:kern w:val="0"/>
                <w:szCs w:val="21"/>
                <w:highlight w:val="none"/>
              </w:rPr>
              <w:t>8</w:t>
            </w:r>
          </w:p>
        </w:tc>
        <w:tc>
          <w:tcPr>
            <w:tcW w:w="625" w:type="pct"/>
            <w:tcBorders>
              <w:left w:val="single" w:color="auto" w:sz="4" w:space="0"/>
              <w:bottom w:val="single" w:color="auto" w:sz="4" w:space="0"/>
              <w:right w:val="single" w:color="auto" w:sz="4" w:space="0"/>
            </w:tcBorders>
            <w:vAlign w:val="center"/>
          </w:tcPr>
          <w:p w14:paraId="4EB8D800">
            <w:pPr>
              <w:spacing w:line="360" w:lineRule="auto"/>
              <w:jc w:val="center"/>
              <w:rPr>
                <w:rFonts w:ascii="宋体" w:hAnsi="宋体" w:eastAsia="宋体" w:cs="宋体"/>
                <w:color w:val="auto"/>
                <w:szCs w:val="21"/>
                <w:highlight w:val="none"/>
                <w:lang w:val="zh-CN" w:bidi="ar"/>
              </w:rPr>
            </w:pPr>
            <w:bookmarkStart w:id="1495" w:name="OLE_LINK183"/>
            <w:r>
              <w:rPr>
                <w:rFonts w:hint="eastAsia" w:ascii="宋体" w:hAnsi="宋体" w:eastAsia="宋体" w:cs="宋体"/>
                <w:color w:val="auto"/>
                <w:szCs w:val="21"/>
                <w:highlight w:val="none"/>
                <w:lang w:bidi="ar"/>
              </w:rPr>
              <w:t>项目实施方案</w:t>
            </w:r>
            <w:bookmarkEnd w:id="1495"/>
          </w:p>
        </w:tc>
        <w:tc>
          <w:tcPr>
            <w:tcW w:w="3584" w:type="pct"/>
            <w:tcBorders>
              <w:top w:val="single" w:color="auto" w:sz="4" w:space="0"/>
              <w:left w:val="single" w:color="auto" w:sz="4" w:space="0"/>
              <w:bottom w:val="single" w:color="auto" w:sz="4" w:space="0"/>
              <w:right w:val="single" w:color="auto" w:sz="4" w:space="0"/>
            </w:tcBorders>
            <w:vAlign w:val="center"/>
          </w:tcPr>
          <w:p w14:paraId="2B167AB8">
            <w:pPr>
              <w:spacing w:line="360" w:lineRule="auto"/>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根据各投标人提供的项目实施方案，包括但不限于项目进度计划、人员机械安排、供货计划、运输方案、安装技术方案、现场总平面布置、并网送电计划、质量保证方案、应急管理方案进行评审：</w:t>
            </w:r>
          </w:p>
          <w:p w14:paraId="3372D238">
            <w:pPr>
              <w:spacing w:line="360" w:lineRule="auto"/>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优</w:t>
            </w:r>
            <w:r>
              <w:rPr>
                <w:rFonts w:hint="eastAsia" w:ascii="宋体" w:hAnsi="宋体" w:eastAsia="宋体" w:cs="宋体"/>
                <w:color w:val="auto"/>
                <w:szCs w:val="21"/>
                <w:highlight w:val="none"/>
                <w:lang w:bidi="ar"/>
              </w:rPr>
              <w:t>：涵盖项目全周期实施方案，包括进度、人员、设备、运输、安装、并网等各环节，无关键内容缺失，进度计划合理（含关键路径分析），资源配置优化，技术方案先进，质量与安全管理体系完善，充分结合本项目特点（如地形、气候、电网条件等），制定专项应对措施，实施步骤明确，责任分工清晰，应急预案完备，各环节衔接顺畅，得[2</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1.8]分；</w:t>
            </w:r>
          </w:p>
          <w:p w14:paraId="3328A88E">
            <w:pPr>
              <w:spacing w:line="360" w:lineRule="auto"/>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良</w:t>
            </w:r>
            <w:r>
              <w:rPr>
                <w:rFonts w:hint="eastAsia" w:ascii="宋体" w:hAnsi="宋体" w:eastAsia="宋体" w:cs="宋体"/>
                <w:color w:val="auto"/>
                <w:szCs w:val="21"/>
                <w:highlight w:val="none"/>
                <w:lang w:bidi="ar"/>
              </w:rPr>
              <w:t>：主要实施方案完整，但部分辅助环节描述不够详细，进度安排基本合理，资源配置和技术方案可行，但部分环节可优化，考虑了项目基本特点，但特殊工况应对措施不足，实施流程总体可行，但部分节点需进一步细化，得（1.8</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1.4]分；</w:t>
            </w:r>
          </w:p>
          <w:p w14:paraId="094A8837">
            <w:pPr>
              <w:spacing w:line="360" w:lineRule="auto"/>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中</w:t>
            </w:r>
            <w:r>
              <w:rPr>
                <w:rFonts w:hint="eastAsia" w:ascii="宋体" w:hAnsi="宋体" w:eastAsia="宋体" w:cs="宋体"/>
                <w:color w:val="auto"/>
                <w:szCs w:val="21"/>
                <w:highlight w:val="none"/>
                <w:lang w:bidi="ar"/>
              </w:rPr>
              <w:t>：缺少部分重要内容，进度计划较粗放，资源配置存在不合理，仅满足通用性要求，未体现本项目特殊需求，基础实施路径可行，但关键环节存在实施风险，得（1.4</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1]分；</w:t>
            </w:r>
          </w:p>
          <w:p w14:paraId="2DFB657D">
            <w:pPr>
              <w:spacing w:line="360" w:lineRule="auto"/>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差</w:t>
            </w:r>
            <w:r>
              <w:rPr>
                <w:rFonts w:hint="eastAsia" w:ascii="宋体" w:hAnsi="宋体" w:eastAsia="宋体" w:cs="宋体"/>
                <w:color w:val="auto"/>
                <w:szCs w:val="21"/>
                <w:highlight w:val="none"/>
                <w:lang w:bidi="ar"/>
              </w:rPr>
              <w:t>：严重缺失核心内容，进度安排矛盾，资源配置错误，完全脱离项目实际需求，方案难以落地，缺乏基本实施保障，得（1</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0]分；</w:t>
            </w:r>
          </w:p>
          <w:p w14:paraId="728595C6">
            <w:pPr>
              <w:spacing w:line="360" w:lineRule="auto"/>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备注：未提供对应方案不得分。</w:t>
            </w:r>
          </w:p>
        </w:tc>
        <w:tc>
          <w:tcPr>
            <w:tcW w:w="462" w:type="pct"/>
            <w:tcBorders>
              <w:top w:val="single" w:color="auto" w:sz="4" w:space="0"/>
              <w:left w:val="single" w:color="auto" w:sz="4" w:space="0"/>
              <w:bottom w:val="single" w:color="auto" w:sz="4" w:space="0"/>
              <w:right w:val="single" w:color="auto" w:sz="4" w:space="0"/>
            </w:tcBorders>
            <w:vAlign w:val="center"/>
          </w:tcPr>
          <w:p w14:paraId="3D28D78C">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2分</w:t>
            </w:r>
          </w:p>
        </w:tc>
      </w:tr>
      <w:tr w14:paraId="217A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7" w:type="pct"/>
            <w:tcBorders>
              <w:left w:val="single" w:color="auto" w:sz="4" w:space="0"/>
              <w:bottom w:val="single" w:color="auto" w:sz="4" w:space="0"/>
              <w:right w:val="single" w:color="auto" w:sz="4" w:space="0"/>
            </w:tcBorders>
            <w:vAlign w:val="center"/>
          </w:tcPr>
          <w:p w14:paraId="47182977">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625" w:type="pct"/>
            <w:tcBorders>
              <w:left w:val="single" w:color="auto" w:sz="4" w:space="0"/>
              <w:bottom w:val="single" w:color="auto" w:sz="4" w:space="0"/>
              <w:right w:val="single" w:color="auto" w:sz="4" w:space="0"/>
            </w:tcBorders>
            <w:vAlign w:val="center"/>
          </w:tcPr>
          <w:p w14:paraId="6C4821E3">
            <w:pPr>
              <w:spacing w:line="360" w:lineRule="auto"/>
              <w:jc w:val="center"/>
              <w:rPr>
                <w:rFonts w:ascii="宋体" w:hAnsi="宋体" w:eastAsia="宋体" w:cs="宋体"/>
                <w:color w:val="auto"/>
                <w:szCs w:val="21"/>
                <w:highlight w:val="none"/>
                <w:lang w:val="zh-CN" w:bidi="ar"/>
              </w:rPr>
            </w:pPr>
            <w:r>
              <w:rPr>
                <w:rFonts w:hint="eastAsia" w:ascii="宋体" w:hAnsi="宋体" w:eastAsia="宋体" w:cs="宋体"/>
                <w:color w:val="auto"/>
                <w:szCs w:val="21"/>
                <w:highlight w:val="none"/>
                <w:lang w:bidi="ar"/>
              </w:rPr>
              <w:t>安全保证措施</w:t>
            </w:r>
          </w:p>
        </w:tc>
        <w:tc>
          <w:tcPr>
            <w:tcW w:w="3584" w:type="pct"/>
            <w:tcBorders>
              <w:top w:val="single" w:color="auto" w:sz="4" w:space="0"/>
              <w:left w:val="single" w:color="auto" w:sz="4" w:space="0"/>
              <w:bottom w:val="single" w:color="auto" w:sz="4" w:space="0"/>
              <w:right w:val="single" w:color="auto" w:sz="4" w:space="0"/>
            </w:tcBorders>
            <w:vAlign w:val="center"/>
          </w:tcPr>
          <w:p w14:paraId="1EBD7C5C">
            <w:pPr>
              <w:spacing w:line="360" w:lineRule="auto"/>
              <w:jc w:val="left"/>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根据各投标人提供的安全保证措施，包括但不限于不停产池面上空作业的安全措施、成品保护措施、用电</w:t>
            </w:r>
            <w:bookmarkStart w:id="1496" w:name="OLE_LINK216"/>
            <w:r>
              <w:rPr>
                <w:rFonts w:hint="eastAsia" w:ascii="宋体" w:hAnsi="宋体" w:eastAsia="宋体" w:cs="宋体"/>
                <w:b/>
                <w:bCs/>
                <w:color w:val="auto"/>
                <w:szCs w:val="21"/>
                <w:highlight w:val="none"/>
                <w:lang w:bidi="ar"/>
              </w:rPr>
              <w:t>专项方案</w:t>
            </w:r>
            <w:bookmarkEnd w:id="1496"/>
            <w:r>
              <w:rPr>
                <w:rFonts w:hint="eastAsia" w:ascii="宋体" w:hAnsi="宋体" w:eastAsia="宋体" w:cs="宋体"/>
                <w:b/>
                <w:bCs/>
                <w:color w:val="auto"/>
                <w:szCs w:val="21"/>
                <w:highlight w:val="none"/>
                <w:lang w:bidi="ar"/>
              </w:rPr>
              <w:t>、高处作业专项方案、吊装作业专项方案、动火作业专项方案进行评审：</w:t>
            </w:r>
          </w:p>
          <w:p w14:paraId="3C510F18">
            <w:pPr>
              <w:spacing w:line="360" w:lineRule="auto"/>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优</w:t>
            </w:r>
            <w:r>
              <w:rPr>
                <w:rFonts w:hint="eastAsia" w:ascii="宋体" w:hAnsi="宋体" w:eastAsia="宋体" w:cs="宋体"/>
                <w:color w:val="auto"/>
                <w:szCs w:val="21"/>
                <w:highlight w:val="none"/>
                <w:lang w:bidi="ar"/>
              </w:rPr>
              <w:t>：完整涵盖不停产情况下作业的安全措施、成品保护措施、用电安全、高处作业、吊装作业、动火作业等全部关键环节，紧密结合本项目特点制定专项安全方案，采用先进的安全管理方法，防护措施设置合理，安全技术交底明确，应急预案完善，资源配置充足，可操作性强，得[2</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1.8]分；</w:t>
            </w:r>
          </w:p>
          <w:p w14:paraId="3E4769F3">
            <w:pPr>
              <w:spacing w:line="360" w:lineRule="auto"/>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良</w:t>
            </w:r>
            <w:r>
              <w:rPr>
                <w:rFonts w:hint="eastAsia" w:ascii="宋体" w:hAnsi="宋体" w:eastAsia="宋体" w:cs="宋体"/>
                <w:color w:val="auto"/>
                <w:szCs w:val="21"/>
                <w:highlight w:val="none"/>
                <w:lang w:bidi="ar"/>
              </w:rPr>
              <w:t>：</w:t>
            </w:r>
            <w:bookmarkStart w:id="1497" w:name="OLE_LINK220"/>
            <w:r>
              <w:rPr>
                <w:rFonts w:hint="eastAsia" w:ascii="宋体" w:hAnsi="宋体" w:eastAsia="宋体" w:cs="宋体"/>
                <w:color w:val="auto"/>
                <w:szCs w:val="21"/>
                <w:highlight w:val="none"/>
                <w:lang w:bidi="ar"/>
              </w:rPr>
              <w:t>覆盖主要安全环节，但部分细节描述不够详尽，考虑了项目基本特点，采用常规安全管理措施，防护方案基本合理，安全措施总体可行，得</w:t>
            </w:r>
            <w:bookmarkEnd w:id="1497"/>
            <w:r>
              <w:rPr>
                <w:rFonts w:hint="eastAsia" w:ascii="宋体" w:hAnsi="宋体" w:eastAsia="宋体" w:cs="宋体"/>
                <w:color w:val="auto"/>
                <w:szCs w:val="21"/>
                <w:highlight w:val="none"/>
                <w:lang w:bidi="ar"/>
              </w:rPr>
              <w:t>（1.8</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1.4]分；</w:t>
            </w:r>
          </w:p>
          <w:p w14:paraId="579FB184">
            <w:pPr>
              <w:spacing w:line="360" w:lineRule="auto"/>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中</w:t>
            </w:r>
            <w:r>
              <w:rPr>
                <w:rFonts w:hint="eastAsia" w:ascii="宋体" w:hAnsi="宋体" w:eastAsia="宋体" w:cs="宋体"/>
                <w:color w:val="auto"/>
                <w:szCs w:val="21"/>
                <w:highlight w:val="none"/>
                <w:lang w:bidi="ar"/>
              </w:rPr>
              <w:t>：缺少部分重要内容，仅满足通用安全要求，但对特殊工况（如台风天气作业）应对不足，安全措施设置基本合理，但存在缺陷，基础安全方案可行，但关键环节存在安全隐患，得（1.4</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1]分；</w:t>
            </w:r>
          </w:p>
          <w:p w14:paraId="7F3FE37F">
            <w:pPr>
              <w:spacing w:line="360" w:lineRule="auto"/>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差</w:t>
            </w:r>
            <w:r>
              <w:rPr>
                <w:rFonts w:hint="eastAsia" w:ascii="宋体" w:hAnsi="宋体" w:eastAsia="宋体" w:cs="宋体"/>
                <w:color w:val="auto"/>
                <w:szCs w:val="21"/>
                <w:highlight w:val="none"/>
                <w:lang w:bidi="ar"/>
              </w:rPr>
              <w:t>：严重缺失核心内容，完全脱离项目实际需求，安全措施设置不合理，方案难以实施，缺乏基本安全保障，得（1</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0]分；</w:t>
            </w:r>
          </w:p>
          <w:p w14:paraId="60E7AA33">
            <w:pPr>
              <w:spacing w:line="360" w:lineRule="auto"/>
              <w:jc w:val="left"/>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备注：未提供对应措施及方案不得分。</w:t>
            </w:r>
          </w:p>
        </w:tc>
        <w:tc>
          <w:tcPr>
            <w:tcW w:w="462" w:type="pct"/>
            <w:tcBorders>
              <w:top w:val="single" w:color="auto" w:sz="4" w:space="0"/>
              <w:left w:val="single" w:color="auto" w:sz="4" w:space="0"/>
              <w:bottom w:val="single" w:color="auto" w:sz="4" w:space="0"/>
              <w:right w:val="single" w:color="auto" w:sz="4" w:space="0"/>
            </w:tcBorders>
            <w:vAlign w:val="center"/>
          </w:tcPr>
          <w:p w14:paraId="37B2B21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2分</w:t>
            </w:r>
          </w:p>
        </w:tc>
      </w:tr>
      <w:tr w14:paraId="7156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7" w:type="pct"/>
            <w:tcBorders>
              <w:left w:val="single" w:color="auto" w:sz="4" w:space="0"/>
              <w:bottom w:val="single" w:color="auto" w:sz="4" w:space="0"/>
              <w:right w:val="single" w:color="auto" w:sz="4" w:space="0"/>
            </w:tcBorders>
            <w:vAlign w:val="center"/>
          </w:tcPr>
          <w:p w14:paraId="44CB69F2">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625" w:type="pct"/>
            <w:tcBorders>
              <w:left w:val="single" w:color="auto" w:sz="4" w:space="0"/>
              <w:bottom w:val="single" w:color="auto" w:sz="4" w:space="0"/>
              <w:right w:val="single" w:color="auto" w:sz="4" w:space="0"/>
            </w:tcBorders>
            <w:vAlign w:val="center"/>
          </w:tcPr>
          <w:p w14:paraId="2DD34A29">
            <w:pPr>
              <w:spacing w:line="360" w:lineRule="auto"/>
              <w:jc w:val="center"/>
              <w:rPr>
                <w:rFonts w:ascii="宋体" w:hAnsi="宋体" w:eastAsia="宋体" w:cs="宋体"/>
                <w:color w:val="auto"/>
                <w:szCs w:val="21"/>
                <w:highlight w:val="none"/>
                <w:lang w:val="zh-CN" w:bidi="ar"/>
              </w:rPr>
            </w:pPr>
            <w:r>
              <w:rPr>
                <w:rFonts w:hint="eastAsia" w:ascii="宋体" w:hAnsi="宋体" w:eastAsia="宋体" w:cs="宋体"/>
                <w:color w:val="auto"/>
                <w:szCs w:val="21"/>
                <w:highlight w:val="none"/>
                <w:lang w:bidi="ar"/>
              </w:rPr>
              <w:t>技术服务运维方案</w:t>
            </w:r>
          </w:p>
        </w:tc>
        <w:tc>
          <w:tcPr>
            <w:tcW w:w="3584" w:type="pct"/>
            <w:tcBorders>
              <w:top w:val="single" w:color="auto" w:sz="4" w:space="0"/>
              <w:left w:val="single" w:color="auto" w:sz="4" w:space="0"/>
              <w:bottom w:val="single" w:color="auto" w:sz="4" w:space="0"/>
              <w:right w:val="single" w:color="auto" w:sz="4" w:space="0"/>
            </w:tcBorders>
            <w:vAlign w:val="center"/>
          </w:tcPr>
          <w:p w14:paraId="067C207E">
            <w:pPr>
              <w:spacing w:line="360" w:lineRule="auto"/>
              <w:jc w:val="left"/>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 xml:space="preserve">根据各投标人提供的技术服务运维方案，包括但不限于运维服务团队、运维服务[包括但不限于服务承诺、技术支持、保修期、备品备件、维护保养时间安排(整体检查计划、故障通知响应时间、修复故障时间)等]、应急和安全保障措施、技术培训进行评审： </w:t>
            </w:r>
          </w:p>
          <w:p w14:paraId="2F7A0668">
            <w:pPr>
              <w:spacing w:line="360" w:lineRule="auto"/>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优</w:t>
            </w:r>
            <w:r>
              <w:rPr>
                <w:rFonts w:hint="eastAsia" w:ascii="宋体" w:hAnsi="宋体" w:eastAsia="宋体" w:cs="宋体"/>
                <w:color w:val="auto"/>
                <w:szCs w:val="21"/>
                <w:highlight w:val="none"/>
                <w:lang w:bidi="ar"/>
              </w:rPr>
              <w:t>：建立全生命周期运维体系，涵盖日常巡检、预防性维护、故障处理、性能优化等全流程，配备专业运维团队，提供7×24小时技术支持，明确各岗位职责，制定量化服务标准，备件储备充足，针对各类故障（如光伏组件破损、逆变器故障等）制定分级应急预案，得[2</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1.8]分；</w:t>
            </w:r>
          </w:p>
          <w:p w14:paraId="4C5CC6BF">
            <w:pPr>
              <w:spacing w:line="360" w:lineRule="auto"/>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良</w:t>
            </w:r>
            <w:r>
              <w:rPr>
                <w:rFonts w:hint="eastAsia" w:ascii="宋体" w:hAnsi="宋体" w:eastAsia="宋体" w:cs="宋体"/>
                <w:color w:val="auto"/>
                <w:szCs w:val="21"/>
                <w:highlight w:val="none"/>
                <w:lang w:bidi="ar"/>
              </w:rPr>
              <w:t>：覆盖主要运维环节，但智能化应用或深度维护方案有所欠缺，配置基本运维力量，但专业技术资质或应急支援能力待加强，提供基础服务承诺，但关键备件需临时调配，制定主要故障应急预案，但预案完整性待提升，得（1.8</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1.4]分；</w:t>
            </w:r>
          </w:p>
          <w:p w14:paraId="3FCAB6A5">
            <w:pPr>
              <w:spacing w:line="360" w:lineRule="auto"/>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中</w:t>
            </w:r>
            <w:r>
              <w:rPr>
                <w:rFonts w:hint="eastAsia" w:ascii="宋体" w:hAnsi="宋体" w:eastAsia="宋体" w:cs="宋体"/>
                <w:color w:val="auto"/>
                <w:szCs w:val="21"/>
                <w:highlight w:val="none"/>
                <w:lang w:bidi="ar"/>
              </w:rPr>
              <w:t>：仅包含基础巡检和故障处理，缺乏系统性维护计划，运维人员配置勉强达标，响应时间较长，无明确备件保障方案，仅有简单应急流程，未建立分级响应机制，得（1.4</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1]分；</w:t>
            </w:r>
          </w:p>
          <w:p w14:paraId="5EB6397B">
            <w:pPr>
              <w:spacing w:line="360" w:lineRule="auto"/>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差</w:t>
            </w:r>
            <w:r>
              <w:rPr>
                <w:rFonts w:hint="eastAsia" w:ascii="宋体" w:hAnsi="宋体" w:eastAsia="宋体" w:cs="宋体"/>
                <w:color w:val="auto"/>
                <w:szCs w:val="21"/>
                <w:highlight w:val="none"/>
                <w:lang w:bidi="ar"/>
              </w:rPr>
              <w:t>：严重缺失核心内容，运维力量明显不足，无明确服务承诺，备件供应无保障，无有效应急预案，安全隐患突出，得（1</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0]分；</w:t>
            </w:r>
          </w:p>
          <w:p w14:paraId="30BFAEA0">
            <w:pPr>
              <w:spacing w:line="360" w:lineRule="auto"/>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备注：未提供对应方案不得分。</w:t>
            </w:r>
          </w:p>
        </w:tc>
        <w:tc>
          <w:tcPr>
            <w:tcW w:w="462" w:type="pct"/>
            <w:tcBorders>
              <w:top w:val="single" w:color="auto" w:sz="4" w:space="0"/>
              <w:left w:val="single" w:color="auto" w:sz="4" w:space="0"/>
              <w:bottom w:val="single" w:color="auto" w:sz="4" w:space="0"/>
              <w:right w:val="single" w:color="auto" w:sz="4" w:space="0"/>
            </w:tcBorders>
            <w:vAlign w:val="center"/>
          </w:tcPr>
          <w:p w14:paraId="6B6EC9E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2分</w:t>
            </w:r>
          </w:p>
        </w:tc>
      </w:tr>
      <w:bookmarkEnd w:id="1474"/>
      <w:bookmarkEnd w:id="1475"/>
      <w:bookmarkEnd w:id="1476"/>
      <w:bookmarkEnd w:id="1491"/>
      <w:bookmarkEnd w:id="1492"/>
      <w:bookmarkEnd w:id="1493"/>
      <w:bookmarkEnd w:id="1494"/>
    </w:tbl>
    <w:p w14:paraId="09038E11">
      <w:pPr>
        <w:autoSpaceDE w:val="0"/>
        <w:autoSpaceDN w:val="0"/>
        <w:adjustRightInd w:val="0"/>
        <w:spacing w:line="360" w:lineRule="auto"/>
        <w:ind w:left="420" w:leftChars="20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备注：</w:t>
      </w:r>
    </w:p>
    <w:p w14:paraId="1FBF6A5C">
      <w:pPr>
        <w:autoSpaceDE w:val="0"/>
        <w:autoSpaceDN w:val="0"/>
        <w:adjustRightInd w:val="0"/>
        <w:spacing w:line="360" w:lineRule="auto"/>
        <w:ind w:left="420" w:leftChars="20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①分数出现小数点，保留小数点后2位，从小数点后第3位四舍五入。</w:t>
      </w:r>
    </w:p>
    <w:p w14:paraId="7BE346CC">
      <w:pPr>
        <w:autoSpaceDE w:val="0"/>
        <w:autoSpaceDN w:val="0"/>
        <w:adjustRightInd w:val="0"/>
        <w:spacing w:line="360" w:lineRule="auto"/>
        <w:ind w:left="420" w:leftChars="200"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②上述“评分项目”中按“优、良、中、差”区间评审的，若低于该项满分分值60%时，评标专家需详细填写该项低分的充分理由，例如：该项目内容存在违反国家有关标准和规范或与项目实际不符等原则性问题。</w:t>
      </w:r>
    </w:p>
    <w:p w14:paraId="75A8DB29">
      <w:pPr>
        <w:autoSpaceDE w:val="0"/>
        <w:autoSpaceDN w:val="0"/>
        <w:adjustRightInd w:val="0"/>
        <w:spacing w:line="360" w:lineRule="auto"/>
        <w:ind w:left="420" w:leftChars="200" w:firstLine="422" w:firstLineChars="200"/>
        <w:rPr>
          <w:rFonts w:ascii="宋体" w:hAnsi="宋体" w:eastAsia="宋体" w:cs="宋体"/>
          <w:b/>
          <w:bCs/>
          <w:color w:val="auto"/>
          <w:kern w:val="0"/>
          <w:szCs w:val="21"/>
          <w:highlight w:val="none"/>
        </w:rPr>
      </w:pPr>
      <w:r>
        <w:rPr>
          <w:rFonts w:hint="eastAsia" w:ascii="宋体" w:hAnsi="宋体" w:eastAsia="宋体" w:cs="宋体"/>
          <w:b/>
          <w:bCs/>
          <w:color w:val="auto"/>
          <w:szCs w:val="21"/>
          <w:highlight w:val="none"/>
          <w:lang w:bidi="ar"/>
        </w:rPr>
        <w:t>③</w:t>
      </w:r>
      <w:r>
        <w:rPr>
          <w:rFonts w:hint="eastAsia" w:ascii="宋体" w:hAnsi="宋体" w:eastAsia="宋体" w:cs="宋体"/>
          <w:b/>
          <w:bCs/>
          <w:color w:val="auto"/>
          <w:kern w:val="0"/>
          <w:szCs w:val="21"/>
          <w:highlight w:val="none"/>
          <w:lang w:bidi="ar"/>
        </w:rPr>
        <w:t>对于各评标委员会成员存在客观分打分不一致时,根据少数服从多数的原则，以记名方式表决确定该项的评分。</w:t>
      </w:r>
    </w:p>
    <w:p w14:paraId="784C395F">
      <w:pPr>
        <w:tabs>
          <w:tab w:val="left" w:pos="1701"/>
        </w:tabs>
        <w:autoSpaceDE w:val="0"/>
        <w:autoSpaceDN w:val="0"/>
        <w:adjustRightInd w:val="0"/>
        <w:spacing w:line="360" w:lineRule="auto"/>
        <w:rPr>
          <w:rFonts w:ascii="宋体" w:hAnsi="宋体" w:eastAsia="宋体" w:cs="宋体"/>
          <w:b/>
          <w:color w:val="auto"/>
          <w:szCs w:val="24"/>
          <w:highlight w:val="none"/>
          <w:lang w:val="zh-CN"/>
        </w:rPr>
      </w:pPr>
      <w:bookmarkStart w:id="1498" w:name="_Toc19726"/>
      <w:r>
        <w:rPr>
          <w:rFonts w:hint="eastAsia" w:ascii="宋体" w:hAnsi="宋体" w:eastAsia="宋体" w:cs="宋体"/>
          <w:b/>
          <w:color w:val="auto"/>
          <w:szCs w:val="24"/>
          <w:highlight w:val="none"/>
          <w:lang w:val="zh-CN"/>
        </w:rPr>
        <w:t>（3）价格评分方法</w:t>
      </w:r>
    </w:p>
    <w:p w14:paraId="600BB2FB">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6BBADB74">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7A650014">
      <w:pPr>
        <w:autoSpaceDE w:val="0"/>
        <w:autoSpaceDN w:val="0"/>
        <w:adjustRightInd w:val="0"/>
        <w:spacing w:line="360" w:lineRule="auto"/>
        <w:ind w:left="420" w:leftChars="200" w:firstLine="420" w:firstLineChars="200"/>
        <w:rPr>
          <w:rFonts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bookmarkStart w:id="1499" w:name="OLE_LINK354"/>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bookmarkEnd w:id="1499"/>
    </w:p>
    <w:p w14:paraId="117DC2E3">
      <w:pPr>
        <w:spacing w:line="360" w:lineRule="auto"/>
        <w:ind w:left="480" w:firstLine="211" w:firstLineChars="100"/>
        <w:rPr>
          <w:rFonts w:ascii="宋体" w:hAnsi="宋体" w:eastAsia="宋体" w:cs="宋体"/>
          <w:b/>
          <w:color w:val="auto"/>
          <w:kern w:val="0"/>
          <w:szCs w:val="21"/>
          <w:highlight w:val="none"/>
          <w:lang w:val="zh-CN"/>
        </w:rPr>
      </w:pPr>
      <w:bookmarkStart w:id="1500" w:name="OLE_LINK353"/>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1D24D053">
      <w:pPr>
        <w:spacing w:line="360" w:lineRule="auto"/>
        <w:ind w:left="480" w:firstLine="211" w:firstLineChars="1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rPr>
        <w:t>30</w:t>
      </w:r>
      <w:r>
        <w:rPr>
          <w:rFonts w:hint="eastAsia" w:ascii="宋体" w:hAnsi="宋体" w:eastAsia="宋体" w:cs="宋体"/>
          <w:b/>
          <w:bCs/>
          <w:color w:val="auto"/>
          <w:kern w:val="0"/>
          <w:szCs w:val="21"/>
          <w:highlight w:val="none"/>
          <w:lang w:val="zh-CN"/>
        </w:rPr>
        <w:t>分</w:t>
      </w:r>
    </w:p>
    <w:p w14:paraId="688F8BC1">
      <w:pPr>
        <w:autoSpaceDN w:val="0"/>
        <w:adjustRightInd w:val="0"/>
        <w:snapToGrid w:val="0"/>
        <w:spacing w:line="360" w:lineRule="auto"/>
        <w:ind w:left="420" w:leftChars="100" w:hanging="210" w:hanging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A、根据有效投标人的投标报价（总价），最低价作为基准价（Y）。投标人报价（X）等于基准价的得满分30分，其他投标人的价格得分统一按照下列公式计算：</w:t>
      </w:r>
    </w:p>
    <w:p w14:paraId="3357FE2E">
      <w:pPr>
        <w:autoSpaceDN w:val="0"/>
        <w:adjustRightInd w:val="0"/>
        <w:snapToGrid w:val="0"/>
        <w:spacing w:line="360" w:lineRule="auto"/>
        <w:ind w:left="420" w:leftChars="100" w:hanging="210" w:hanging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价格得分=(基准价／投标报价)×30</w:t>
      </w:r>
    </w:p>
    <w:p w14:paraId="58D24D0E">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bookmarkEnd w:id="1500"/>
    <w:p w14:paraId="1968FA88">
      <w:pPr>
        <w:tabs>
          <w:tab w:val="left" w:pos="585"/>
        </w:tabs>
        <w:autoSpaceDE w:val="0"/>
        <w:autoSpaceDN w:val="0"/>
        <w:adjustRightInd w:val="0"/>
        <w:spacing w:line="400" w:lineRule="exact"/>
        <w:outlineLvl w:val="1"/>
        <w:rPr>
          <w:rFonts w:ascii="宋体" w:hAnsi="宋体" w:eastAsia="宋体" w:cs="宋体"/>
          <w:b/>
          <w:color w:val="auto"/>
          <w:szCs w:val="21"/>
          <w:highlight w:val="none"/>
        </w:rPr>
      </w:pPr>
      <w:bookmarkStart w:id="1501" w:name="_Toc31583"/>
      <w:bookmarkStart w:id="1502" w:name="_Toc7660"/>
      <w:bookmarkStart w:id="1503" w:name="_Toc19303"/>
      <w:r>
        <w:rPr>
          <w:rFonts w:hint="eastAsia" w:ascii="宋体" w:hAnsi="宋体" w:eastAsia="宋体" w:cs="宋体"/>
          <w:b/>
          <w:color w:val="auto"/>
          <w:szCs w:val="21"/>
          <w:highlight w:val="none"/>
          <w:lang w:bidi="ar"/>
        </w:rPr>
        <w:t>（4）综合得分</w:t>
      </w:r>
      <w:bookmarkEnd w:id="1498"/>
      <w:bookmarkEnd w:id="1501"/>
      <w:bookmarkEnd w:id="1502"/>
      <w:bookmarkEnd w:id="1503"/>
    </w:p>
    <w:p w14:paraId="7483A283">
      <w:pPr>
        <w:spacing w:line="400" w:lineRule="exact"/>
        <w:ind w:firstLine="848" w:firstLineChars="40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评标总得分=F1＋F2＋……+Fn</w:t>
      </w:r>
    </w:p>
    <w:p w14:paraId="2B82BF10">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F1、F2、……Fn分别为各项评分因素的得分。</w:t>
      </w:r>
    </w:p>
    <w:p w14:paraId="41D7CA5F">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42038BBD">
      <w:pPr>
        <w:autoSpaceDE w:val="0"/>
        <w:autoSpaceDN w:val="0"/>
        <w:adjustRightInd w:val="0"/>
        <w:spacing w:line="360" w:lineRule="auto"/>
        <w:jc w:val="center"/>
        <w:outlineLvl w:val="2"/>
        <w:rPr>
          <w:rFonts w:ascii="宋体" w:hAnsi="宋体" w:eastAsia="宋体" w:cs="宋体"/>
          <w:b/>
          <w:bCs/>
          <w:color w:val="auto"/>
          <w:sz w:val="28"/>
          <w:szCs w:val="28"/>
          <w:highlight w:val="none"/>
        </w:rPr>
      </w:pPr>
      <w:bookmarkStart w:id="1504" w:name="_Toc19978"/>
      <w:bookmarkStart w:id="1505" w:name="_Toc518_WPSOffice_Level1"/>
      <w:bookmarkStart w:id="1506" w:name="_Toc14946"/>
      <w:bookmarkStart w:id="1507" w:name="_Toc16944"/>
      <w:r>
        <w:rPr>
          <w:rFonts w:hint="eastAsia" w:ascii="宋体" w:hAnsi="宋体" w:eastAsia="宋体" w:cs="宋体"/>
          <w:b/>
          <w:bCs/>
          <w:color w:val="auto"/>
          <w:sz w:val="28"/>
          <w:szCs w:val="28"/>
          <w:highlight w:val="none"/>
          <w:lang w:val="zh-CN"/>
        </w:rPr>
        <w:t>五、推荐中标人</w:t>
      </w:r>
      <w:bookmarkEnd w:id="1504"/>
      <w:bookmarkEnd w:id="1505"/>
      <w:bookmarkEnd w:id="1506"/>
      <w:bookmarkEnd w:id="1507"/>
    </w:p>
    <w:p w14:paraId="7E5DB2E8">
      <w:pPr>
        <w:autoSpaceDE w:val="0"/>
        <w:autoSpaceDN w:val="0"/>
        <w:adjustRightInd w:val="0"/>
        <w:spacing w:line="360" w:lineRule="auto"/>
        <w:ind w:left="420" w:hanging="420" w:hanging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r>
        <w:rPr>
          <w:rFonts w:hint="eastAsia" w:ascii="宋体" w:hAnsi="宋体" w:eastAsia="宋体" w:cs="宋体"/>
          <w:color w:val="auto"/>
          <w:kern w:val="0"/>
          <w:szCs w:val="21"/>
          <w:highlight w:val="none"/>
          <w:lang w:val="zh-CN"/>
        </w:rPr>
        <w:t>评标委员会按评审后得分由高到低顺序排列</w:t>
      </w:r>
      <w:r>
        <w:rPr>
          <w:rFonts w:hint="eastAsia" w:ascii="宋体" w:hAnsi="宋体" w:eastAsia="宋体" w:cs="宋体"/>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0FE6833F">
      <w:pPr>
        <w:autoSpaceDE w:val="0"/>
        <w:autoSpaceDN w:val="0"/>
        <w:adjustRightInd w:val="0"/>
        <w:spacing w:line="360" w:lineRule="auto"/>
        <w:ind w:left="420" w:leftChars="200"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如果有两个或以上的投标人的最后综合得分相同，则在最后综合得分相同的投标人中按投标报价由低到高顺序排出次序，报价低的排前，报价高的排后。如果出现投标人的最后综合得分及投标报价均相同时，则按技术标的评标得分高低排出次序，得分高的排前，得分低的排后。如果出现投标人的最后综合得分、投标报价及技术标得分均相同时，由评标委员会进行投票（各评委须分别书面说明各自投票该投标人排名在先的理由），得票多的排名在先。当第一轮投票结果为投标人得票数相同时，再次进行投票，如此类推，直到能确定排序次序为止</w:t>
      </w:r>
      <w:r>
        <w:rPr>
          <w:rFonts w:hint="eastAsia" w:ascii="宋体" w:hAnsi="宋体" w:eastAsia="宋体" w:cs="宋体"/>
          <w:color w:val="auto"/>
          <w:kern w:val="0"/>
          <w:szCs w:val="21"/>
          <w:highlight w:val="none"/>
        </w:rPr>
        <w:t>。</w:t>
      </w:r>
    </w:p>
    <w:p w14:paraId="2EABD1F1">
      <w:pPr>
        <w:autoSpaceDE w:val="0"/>
        <w:autoSpaceDN w:val="0"/>
        <w:adjustRightInd w:val="0"/>
        <w:spacing w:line="360" w:lineRule="auto"/>
        <w:ind w:left="420" w:leftChars="200" w:firstLine="422" w:firstLine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u w:val="single"/>
          <w:lang w:val="zh-CN"/>
        </w:rPr>
        <w:t>投标人</w:t>
      </w:r>
      <w:r>
        <w:rPr>
          <w:rFonts w:hint="eastAsia" w:ascii="宋体" w:hAnsi="宋体" w:eastAsia="宋体" w:cs="宋体"/>
          <w:b/>
          <w:bCs/>
          <w:color w:val="auto"/>
          <w:highlight w:val="none"/>
          <w:u w:val="single"/>
        </w:rPr>
        <w:t>（或联合体投标时的任一成员）</w:t>
      </w:r>
      <w:r>
        <w:rPr>
          <w:rFonts w:hint="eastAsia" w:ascii="宋体" w:hAnsi="宋体" w:eastAsia="宋体" w:cs="宋体"/>
          <w:b/>
          <w:bCs/>
          <w:color w:val="auto"/>
          <w:kern w:val="0"/>
          <w:szCs w:val="21"/>
          <w:highlight w:val="none"/>
          <w:u w:val="single"/>
          <w:lang w:val="zh-CN"/>
        </w:rPr>
        <w:t>可参加东莞市水务环境投资控股集团分布式光伏发电项目（第一批）供水厂项目和东莞市水务环境投资控股集团分布式光伏发电项目（第一批）净水厂项目的投标，但仅可承</w:t>
      </w:r>
      <w:r>
        <w:rPr>
          <w:rFonts w:hint="eastAsia" w:ascii="宋体" w:hAnsi="宋体" w:eastAsia="宋体" w:cs="宋体"/>
          <w:b/>
          <w:color w:val="auto"/>
          <w:szCs w:val="21"/>
          <w:highlight w:val="none"/>
          <w:u w:val="single"/>
        </w:rPr>
        <w:t>接</w:t>
      </w:r>
      <w:r>
        <w:rPr>
          <w:rFonts w:hint="eastAsia" w:ascii="宋体" w:hAnsi="宋体" w:eastAsia="宋体" w:cs="宋体"/>
          <w:b/>
          <w:bCs/>
          <w:color w:val="auto"/>
          <w:kern w:val="0"/>
          <w:szCs w:val="21"/>
          <w:highlight w:val="none"/>
          <w:u w:val="single"/>
          <w:lang w:val="zh-CN"/>
        </w:rPr>
        <w:t>其中一个光伏发电项目。若投标人</w:t>
      </w:r>
      <w:r>
        <w:rPr>
          <w:rFonts w:hint="eastAsia" w:ascii="宋体" w:hAnsi="宋体" w:eastAsia="宋体" w:cs="宋体"/>
          <w:b/>
          <w:bCs/>
          <w:color w:val="auto"/>
          <w:highlight w:val="none"/>
          <w:u w:val="single"/>
        </w:rPr>
        <w:t>（或联合体投标时的任一成员）</w:t>
      </w:r>
      <w:r>
        <w:rPr>
          <w:rFonts w:hint="eastAsia" w:ascii="宋体" w:hAnsi="宋体" w:eastAsia="宋体" w:cs="宋体"/>
          <w:b/>
          <w:bCs/>
          <w:color w:val="auto"/>
          <w:kern w:val="0"/>
          <w:szCs w:val="21"/>
          <w:highlight w:val="none"/>
          <w:u w:val="single"/>
          <w:lang w:val="zh-CN"/>
        </w:rPr>
        <w:t>已在前述任意一个项目的评审中被推荐为第一中标候选人，则在另一个项目的评审时，该投标人</w:t>
      </w:r>
      <w:r>
        <w:rPr>
          <w:rFonts w:hint="eastAsia" w:ascii="宋体" w:hAnsi="宋体" w:eastAsia="宋体" w:cs="宋体"/>
          <w:b/>
          <w:bCs/>
          <w:color w:val="auto"/>
          <w:highlight w:val="none"/>
          <w:u w:val="single"/>
        </w:rPr>
        <w:t>（或联合体投标时的任一成员，以及有该成员组成的新联合体）</w:t>
      </w:r>
      <w:r>
        <w:rPr>
          <w:rFonts w:hint="eastAsia" w:ascii="宋体" w:hAnsi="宋体" w:eastAsia="宋体" w:cs="宋体"/>
          <w:b/>
          <w:bCs/>
          <w:color w:val="auto"/>
          <w:kern w:val="0"/>
          <w:szCs w:val="21"/>
          <w:highlight w:val="none"/>
          <w:u w:val="single"/>
          <w:lang w:val="zh-CN"/>
        </w:rPr>
        <w:t>不可被推荐为中标候选人，由其他得分次高的投标人替代</w:t>
      </w:r>
      <w:r>
        <w:rPr>
          <w:rFonts w:hint="eastAsia" w:ascii="宋体" w:hAnsi="宋体" w:eastAsia="宋体" w:cs="宋体"/>
          <w:b/>
          <w:bCs/>
          <w:color w:val="auto"/>
          <w:kern w:val="0"/>
          <w:szCs w:val="21"/>
          <w:highlight w:val="none"/>
          <w:lang w:val="zh-CN"/>
        </w:rPr>
        <w:t>。</w:t>
      </w:r>
    </w:p>
    <w:p w14:paraId="084EA398">
      <w:pPr>
        <w:autoSpaceDE w:val="0"/>
        <w:autoSpaceDN w:val="0"/>
        <w:adjustRightInd w:val="0"/>
        <w:spacing w:line="360" w:lineRule="auto"/>
        <w:ind w:left="185" w:leftChars="88" w:firstLine="3443" w:firstLineChars="1225"/>
        <w:outlineLvl w:val="2"/>
        <w:rPr>
          <w:rFonts w:ascii="宋体" w:hAnsi="宋体" w:eastAsia="宋体" w:cs="宋体"/>
          <w:b/>
          <w:bCs/>
          <w:color w:val="auto"/>
          <w:sz w:val="28"/>
          <w:szCs w:val="28"/>
          <w:highlight w:val="none"/>
          <w:lang w:val="zh-CN"/>
        </w:rPr>
      </w:pPr>
      <w:bookmarkStart w:id="1508" w:name="_Toc19185"/>
      <w:bookmarkStart w:id="1509" w:name="_Toc17614"/>
      <w:bookmarkStart w:id="1510" w:name="_Toc22724_WPSOffice_Level1"/>
      <w:bookmarkStart w:id="1511" w:name="_Toc19230"/>
      <w:r>
        <w:rPr>
          <w:rFonts w:hint="eastAsia" w:ascii="宋体" w:hAnsi="宋体" w:eastAsia="宋体" w:cs="宋体"/>
          <w:b/>
          <w:bCs/>
          <w:color w:val="auto"/>
          <w:sz w:val="28"/>
          <w:szCs w:val="28"/>
          <w:highlight w:val="none"/>
          <w:lang w:val="zh-CN"/>
        </w:rPr>
        <w:t>六、编写评标报告</w:t>
      </w:r>
      <w:bookmarkEnd w:id="1508"/>
      <w:bookmarkEnd w:id="1509"/>
      <w:bookmarkEnd w:id="1510"/>
      <w:bookmarkEnd w:id="1511"/>
    </w:p>
    <w:p w14:paraId="25408F4A">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14、评标委员会根据评审结果撰写评标报告。评标报告是评标委员会根据全体评标委员会成员签字的原始评审记录和评审结果编写的报告，其主要内容包括：</w:t>
      </w:r>
    </w:p>
    <w:p w14:paraId="6A32F71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5336D40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13CCB45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726712D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41B2ABB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1EAE23C0">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43F53955">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4A253949">
      <w:pPr>
        <w:autoSpaceDE w:val="0"/>
        <w:autoSpaceDN w:val="0"/>
        <w:adjustRightInd w:val="0"/>
        <w:spacing w:line="360" w:lineRule="auto"/>
        <w:jc w:val="center"/>
        <w:outlineLvl w:val="2"/>
        <w:rPr>
          <w:rFonts w:ascii="宋体" w:hAnsi="宋体" w:eastAsia="宋体" w:cs="宋体"/>
          <w:b/>
          <w:bCs/>
          <w:color w:val="auto"/>
          <w:sz w:val="30"/>
          <w:szCs w:val="30"/>
          <w:highlight w:val="none"/>
          <w:lang w:val="zh-CN"/>
        </w:rPr>
      </w:pPr>
      <w:bookmarkStart w:id="1512" w:name="_Toc23773_WPSOffice_Level1"/>
      <w:bookmarkStart w:id="1513" w:name="_Toc1466"/>
      <w:bookmarkStart w:id="1514" w:name="_Toc12805"/>
      <w:bookmarkStart w:id="1515" w:name="_Toc10324"/>
      <w:r>
        <w:rPr>
          <w:rFonts w:hint="eastAsia" w:ascii="宋体" w:hAnsi="宋体" w:eastAsia="宋体" w:cs="宋体"/>
          <w:b/>
          <w:bCs/>
          <w:color w:val="auto"/>
          <w:sz w:val="28"/>
          <w:szCs w:val="28"/>
          <w:highlight w:val="none"/>
          <w:lang w:val="zh-CN"/>
        </w:rPr>
        <w:t>七、注意事项</w:t>
      </w:r>
      <w:bookmarkEnd w:id="1512"/>
      <w:bookmarkEnd w:id="1513"/>
      <w:bookmarkEnd w:id="1514"/>
      <w:bookmarkEnd w:id="1515"/>
    </w:p>
    <w:p w14:paraId="75197160">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15、为确保评审工作的顺利进行，防止因泄密或其它意外而造成的不良后果及影响，凡参加评审工作的人员都必须认真执行本规定：</w:t>
      </w:r>
    </w:p>
    <w:p w14:paraId="1F70C393">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48559ABD">
      <w:pPr>
        <w:autoSpaceDE w:val="0"/>
        <w:autoSpaceDN w:val="0"/>
        <w:adjustRightInd w:val="0"/>
        <w:spacing w:line="360" w:lineRule="auto"/>
        <w:ind w:left="436" w:leftChars="-59" w:hanging="560" w:hangingChars="267"/>
        <w:outlineLvl w:val="1"/>
        <w:rPr>
          <w:rFonts w:ascii="宋体" w:hAnsi="宋体" w:eastAsia="宋体" w:cs="宋体"/>
          <w:color w:val="auto"/>
          <w:szCs w:val="24"/>
          <w:highlight w:val="none"/>
          <w:lang w:val="zh-CN"/>
        </w:rPr>
      </w:pPr>
      <w:bookmarkStart w:id="1516" w:name="_Toc4014"/>
      <w:bookmarkStart w:id="1517" w:name="_Toc8689"/>
      <w:bookmarkStart w:id="1518" w:name="_Toc20567"/>
      <w:r>
        <w:rPr>
          <w:rFonts w:hint="eastAsia" w:ascii="宋体" w:hAnsi="宋体" w:eastAsia="宋体" w:cs="宋体"/>
          <w:color w:val="auto"/>
          <w:szCs w:val="24"/>
          <w:highlight w:val="none"/>
          <w:lang w:val="zh-CN"/>
        </w:rPr>
        <w:t>（2）评审人员及工作人员不得在公共场合谈论有关评审内容；</w:t>
      </w:r>
      <w:bookmarkEnd w:id="1516"/>
      <w:bookmarkEnd w:id="1517"/>
      <w:bookmarkEnd w:id="1518"/>
    </w:p>
    <w:p w14:paraId="232F1609">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31F0986F">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26DCF1EC">
      <w:pPr>
        <w:widowControl/>
        <w:jc w:val="left"/>
        <w:outlineLvl w:val="1"/>
        <w:rPr>
          <w:rFonts w:ascii="宋体" w:hAnsi="宋体" w:eastAsia="宋体" w:cs="宋体"/>
          <w:color w:val="auto"/>
          <w:szCs w:val="24"/>
          <w:highlight w:val="none"/>
          <w:lang w:val="zh-CN"/>
        </w:rPr>
      </w:pPr>
      <w:bookmarkStart w:id="1519" w:name="_Toc12863"/>
      <w:bookmarkStart w:id="1520" w:name="_Toc4422"/>
      <w:bookmarkStart w:id="1521" w:name="_Toc26251"/>
      <w:r>
        <w:rPr>
          <w:rFonts w:hint="eastAsia" w:ascii="宋体" w:hAnsi="宋体" w:eastAsia="宋体" w:cs="宋体"/>
          <w:color w:val="auto"/>
          <w:szCs w:val="24"/>
          <w:highlight w:val="none"/>
          <w:lang w:val="zh-CN"/>
        </w:rPr>
        <w:t>（5）任何评审人员和工作人员不得对外公布评审的一切内容。</w:t>
      </w:r>
      <w:bookmarkEnd w:id="1329"/>
      <w:bookmarkEnd w:id="1388"/>
      <w:bookmarkEnd w:id="1389"/>
      <w:bookmarkEnd w:id="1390"/>
      <w:bookmarkEnd w:id="1519"/>
      <w:bookmarkEnd w:id="1520"/>
      <w:bookmarkEnd w:id="1521"/>
    </w:p>
    <w:sectPr>
      <w:pgSz w:w="12240" w:h="15840"/>
      <w:pgMar w:top="1191" w:right="1737" w:bottom="1191" w:left="1463"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Source Han Sans C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6F6FB">
    <w:pPr>
      <w:pStyle w:val="2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2DB590">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592DB590">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3661E">
    <w:pPr>
      <w:pStyle w:val="2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81424">
                          <w:pPr>
                            <w:pStyle w:val="2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C781424">
                    <w:pPr>
                      <w:pStyle w:val="2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B94C9">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2E385">
    <w:pPr>
      <w:pStyle w:val="2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D331FD">
                          <w:pPr>
                            <w:pStyle w:val="25"/>
                          </w:pPr>
                          <w:r>
                            <w:t xml:space="preserve">第 </w:t>
                          </w:r>
                          <w:r>
                            <w:fldChar w:fldCharType="begin"/>
                          </w:r>
                          <w:r>
                            <w:instrText xml:space="preserve"> PAGE  \* MERGEFORMAT </w:instrText>
                          </w:r>
                          <w:r>
                            <w:fldChar w:fldCharType="separate"/>
                          </w:r>
                          <w:r>
                            <w:t>89</w:t>
                          </w:r>
                          <w:r>
                            <w:fldChar w:fldCharType="end"/>
                          </w:r>
                          <w:r>
                            <w:t xml:space="preserve"> 页 共 </w:t>
                          </w:r>
                          <w:r>
                            <w:fldChar w:fldCharType="begin"/>
                          </w:r>
                          <w:r>
                            <w:instrText xml:space="preserve"> NUMPAGES  \* MERGEFORMAT </w:instrText>
                          </w:r>
                          <w:r>
                            <w:fldChar w:fldCharType="separate"/>
                          </w:r>
                          <w:r>
                            <w:t>153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2D331FD">
                    <w:pPr>
                      <w:pStyle w:val="25"/>
                    </w:pPr>
                    <w:r>
                      <w:t xml:space="preserve">第 </w:t>
                    </w:r>
                    <w:r>
                      <w:fldChar w:fldCharType="begin"/>
                    </w:r>
                    <w:r>
                      <w:instrText xml:space="preserve"> PAGE  \* MERGEFORMAT </w:instrText>
                    </w:r>
                    <w:r>
                      <w:fldChar w:fldCharType="separate"/>
                    </w:r>
                    <w:r>
                      <w:t>89</w:t>
                    </w:r>
                    <w:r>
                      <w:fldChar w:fldCharType="end"/>
                    </w:r>
                    <w:r>
                      <w:t xml:space="preserve"> 页 共 </w:t>
                    </w:r>
                    <w:r>
                      <w:fldChar w:fldCharType="begin"/>
                    </w:r>
                    <w:r>
                      <w:instrText xml:space="preserve"> NUMPAGES  \* MERGEFORMAT </w:instrText>
                    </w:r>
                    <w:r>
                      <w:fldChar w:fldCharType="separate"/>
                    </w:r>
                    <w:r>
                      <w:t>153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9D7F8">
    <w:pPr>
      <w:pStyle w:val="25"/>
      <w:jc w:val="center"/>
    </w:pPr>
    <w:r>
      <w:rPr>
        <w:rFonts w:hint="eastAsia"/>
      </w:rPr>
      <w:t>第</w:t>
    </w:r>
    <w:r>
      <w:rPr>
        <w:bCs/>
      </w:rPr>
      <w:fldChar w:fldCharType="begin"/>
    </w:r>
    <w:r>
      <w:rPr>
        <w:bCs/>
      </w:rPr>
      <w:instrText xml:space="preserve">PAGE</w:instrText>
    </w:r>
    <w:r>
      <w:rPr>
        <w:bCs/>
      </w:rPr>
      <w:fldChar w:fldCharType="separate"/>
    </w:r>
    <w:r>
      <w:rPr>
        <w:bCs/>
      </w:rPr>
      <w:t>175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153</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779D8">
    <w:pPr>
      <w:pStyle w:val="2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D81D1">
                          <w:pPr>
                            <w:pStyle w:val="25"/>
                          </w:pPr>
                          <w:r>
                            <w:t xml:space="preserve">第 </w:t>
                          </w:r>
                          <w:r>
                            <w:fldChar w:fldCharType="begin"/>
                          </w:r>
                          <w:r>
                            <w:instrText xml:space="preserve"> PAGE  \* MERGEFORMAT </w:instrText>
                          </w:r>
                          <w:r>
                            <w:fldChar w:fldCharType="separate"/>
                          </w:r>
                          <w:r>
                            <w:t>153</w:t>
                          </w:r>
                          <w:r>
                            <w:fldChar w:fldCharType="end"/>
                          </w:r>
                          <w:r>
                            <w:t xml:space="preserve"> 页 共 </w:t>
                          </w:r>
                          <w:r>
                            <w:fldChar w:fldCharType="begin"/>
                          </w:r>
                          <w:r>
                            <w:instrText xml:space="preserve"> NUMPAGES  \* MERGEFORMAT </w:instrText>
                          </w:r>
                          <w:r>
                            <w:fldChar w:fldCharType="separate"/>
                          </w:r>
                          <w:r>
                            <w:t>153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532D81D1">
                    <w:pPr>
                      <w:pStyle w:val="25"/>
                    </w:pPr>
                    <w:r>
                      <w:t xml:space="preserve">第 </w:t>
                    </w:r>
                    <w:r>
                      <w:fldChar w:fldCharType="begin"/>
                    </w:r>
                    <w:r>
                      <w:instrText xml:space="preserve"> PAGE  \* MERGEFORMAT </w:instrText>
                    </w:r>
                    <w:r>
                      <w:fldChar w:fldCharType="separate"/>
                    </w:r>
                    <w:r>
                      <w:t>153</w:t>
                    </w:r>
                    <w:r>
                      <w:fldChar w:fldCharType="end"/>
                    </w:r>
                    <w:r>
                      <w:t xml:space="preserve"> 页 共 </w:t>
                    </w:r>
                    <w:r>
                      <w:fldChar w:fldCharType="begin"/>
                    </w:r>
                    <w:r>
                      <w:instrText xml:space="preserve"> NUMPAGES  \* MERGEFORMAT </w:instrText>
                    </w:r>
                    <w:r>
                      <w:fldChar w:fldCharType="separate"/>
                    </w:r>
                    <w:r>
                      <w:t>153</w:t>
                    </w:r>
                    <w:r>
                      <w:fldChar w:fldCharType="end"/>
                    </w:r>
                    <w:r>
                      <w:t xml:space="preserve"> 页</w:t>
                    </w:r>
                  </w:p>
                </w:txbxContent>
              </v:textbox>
            </v:shape>
          </w:pict>
        </mc:Fallback>
      </mc:AlternateContent>
    </w:r>
  </w:p>
  <w:p w14:paraId="237E6E4F">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8EA91">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C30414"/>
    <w:multiLevelType w:val="multilevel"/>
    <w:tmpl w:val="D1C30414"/>
    <w:lvl w:ilvl="0" w:tentative="0">
      <w:start w:val="3"/>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D72B505D"/>
    <w:multiLevelType w:val="singleLevel"/>
    <w:tmpl w:val="D72B505D"/>
    <w:lvl w:ilvl="0" w:tentative="0">
      <w:start w:val="1"/>
      <w:numFmt w:val="decimal"/>
      <w:suff w:val="nothing"/>
      <w:lvlText w:val="%1、"/>
      <w:lvlJc w:val="left"/>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3C01546A"/>
    <w:multiLevelType w:val="singleLevel"/>
    <w:tmpl w:val="3C01546A"/>
    <w:lvl w:ilvl="0" w:tentative="0">
      <w:start w:val="1"/>
      <w:numFmt w:val="decimal"/>
      <w:suff w:val="nothing"/>
      <w:lvlText w:val="（%1）"/>
      <w:lvlJc w:val="left"/>
      <w:pPr>
        <w:ind w:left="0" w:firstLine="420"/>
      </w:pPr>
      <w:rPr>
        <w:rFonts w:hint="default"/>
      </w:rPr>
    </w:lvl>
  </w:abstractNum>
  <w:abstractNum w:abstractNumId="4">
    <w:nsid w:val="442A3BA7"/>
    <w:multiLevelType w:val="multilevel"/>
    <w:tmpl w:val="442A3BA7"/>
    <w:lvl w:ilvl="0" w:tentative="0">
      <w:start w:val="1"/>
      <w:numFmt w:val="decimal"/>
      <w:lvlText w:val="%1"/>
      <w:lvlJc w:val="left"/>
      <w:pPr>
        <w:ind w:left="360" w:hanging="360"/>
      </w:pPr>
      <w:rPr>
        <w:rFonts w:hint="default" w:ascii="宋体" w:hAnsi="宋体" w:eastAsia="宋体"/>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B9470EB"/>
    <w:multiLevelType w:val="singleLevel"/>
    <w:tmpl w:val="5B9470EB"/>
    <w:lvl w:ilvl="0" w:tentative="0">
      <w:start w:val="1"/>
      <w:numFmt w:val="decimal"/>
      <w:suff w:val="nothing"/>
      <w:lvlText w:val="%1、"/>
      <w:lvlJc w:val="left"/>
    </w:lvl>
  </w:abstractNum>
  <w:abstractNum w:abstractNumId="6">
    <w:nsid w:val="6CC490B3"/>
    <w:multiLevelType w:val="singleLevel"/>
    <w:tmpl w:val="6CC490B3"/>
    <w:lvl w:ilvl="0" w:tentative="0">
      <w:start w:val="1"/>
      <w:numFmt w:val="decimal"/>
      <w:suff w:val="nothing"/>
      <w:lvlText w:val="%1、"/>
      <w:lvlJc w:val="left"/>
    </w:lvl>
  </w:abstractNum>
  <w:num w:numId="1">
    <w:abstractNumId w:val="4"/>
  </w:num>
  <w:num w:numId="2">
    <w:abstractNumId w:val="0"/>
  </w:num>
  <w:num w:numId="3">
    <w:abstractNumId w:val="3"/>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wNDkxMmViMjVmYjIzNGNkYTQ0YWQ0MzA3YWYzZWMifQ=="/>
  </w:docVars>
  <w:rsids>
    <w:rsidRoot w:val="00172A27"/>
    <w:rsid w:val="000011AE"/>
    <w:rsid w:val="00004430"/>
    <w:rsid w:val="00006AEC"/>
    <w:rsid w:val="00015A2E"/>
    <w:rsid w:val="00017907"/>
    <w:rsid w:val="0002312D"/>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1FF9"/>
    <w:rsid w:val="000C5D06"/>
    <w:rsid w:val="000C6A11"/>
    <w:rsid w:val="000D0B5D"/>
    <w:rsid w:val="000D5537"/>
    <w:rsid w:val="000D64DB"/>
    <w:rsid w:val="000D75D3"/>
    <w:rsid w:val="000E1DB9"/>
    <w:rsid w:val="000E3ECA"/>
    <w:rsid w:val="000E4A4F"/>
    <w:rsid w:val="000E4D54"/>
    <w:rsid w:val="000E661C"/>
    <w:rsid w:val="000F0A84"/>
    <w:rsid w:val="000F3174"/>
    <w:rsid w:val="000F6D48"/>
    <w:rsid w:val="001059DC"/>
    <w:rsid w:val="0010738F"/>
    <w:rsid w:val="0011440A"/>
    <w:rsid w:val="00114519"/>
    <w:rsid w:val="001233ED"/>
    <w:rsid w:val="00125763"/>
    <w:rsid w:val="00127946"/>
    <w:rsid w:val="00131E91"/>
    <w:rsid w:val="001450A8"/>
    <w:rsid w:val="001523C0"/>
    <w:rsid w:val="00152F07"/>
    <w:rsid w:val="0015711A"/>
    <w:rsid w:val="001644BA"/>
    <w:rsid w:val="001647C7"/>
    <w:rsid w:val="00165203"/>
    <w:rsid w:val="00166309"/>
    <w:rsid w:val="00170004"/>
    <w:rsid w:val="00172A27"/>
    <w:rsid w:val="00174AE6"/>
    <w:rsid w:val="001758D3"/>
    <w:rsid w:val="0017627F"/>
    <w:rsid w:val="00177B51"/>
    <w:rsid w:val="0018078B"/>
    <w:rsid w:val="00181B20"/>
    <w:rsid w:val="00183284"/>
    <w:rsid w:val="00183344"/>
    <w:rsid w:val="001868BE"/>
    <w:rsid w:val="00195BDB"/>
    <w:rsid w:val="0019682B"/>
    <w:rsid w:val="001A1FCB"/>
    <w:rsid w:val="001A4716"/>
    <w:rsid w:val="001B74B3"/>
    <w:rsid w:val="001C2086"/>
    <w:rsid w:val="001C4AC2"/>
    <w:rsid w:val="001C6FAA"/>
    <w:rsid w:val="001D00B3"/>
    <w:rsid w:val="001D5A65"/>
    <w:rsid w:val="001D6B15"/>
    <w:rsid w:val="001E048F"/>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27F0"/>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518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A6B09"/>
    <w:rsid w:val="003B077B"/>
    <w:rsid w:val="003B3342"/>
    <w:rsid w:val="003B5C9C"/>
    <w:rsid w:val="003C0BD0"/>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45773"/>
    <w:rsid w:val="004551D1"/>
    <w:rsid w:val="0045753C"/>
    <w:rsid w:val="004577C3"/>
    <w:rsid w:val="0046038A"/>
    <w:rsid w:val="00460F3E"/>
    <w:rsid w:val="00464570"/>
    <w:rsid w:val="004761B2"/>
    <w:rsid w:val="00481AFA"/>
    <w:rsid w:val="0049337D"/>
    <w:rsid w:val="004B093D"/>
    <w:rsid w:val="004B14B8"/>
    <w:rsid w:val="004B604C"/>
    <w:rsid w:val="004E0360"/>
    <w:rsid w:val="004E4ADE"/>
    <w:rsid w:val="004E5028"/>
    <w:rsid w:val="004E5F4E"/>
    <w:rsid w:val="004F2802"/>
    <w:rsid w:val="00500B9E"/>
    <w:rsid w:val="00503499"/>
    <w:rsid w:val="00506501"/>
    <w:rsid w:val="00507BC4"/>
    <w:rsid w:val="00513DB6"/>
    <w:rsid w:val="00515250"/>
    <w:rsid w:val="00524E92"/>
    <w:rsid w:val="00531E28"/>
    <w:rsid w:val="005344B1"/>
    <w:rsid w:val="005423E7"/>
    <w:rsid w:val="0055574E"/>
    <w:rsid w:val="005572B4"/>
    <w:rsid w:val="005574FC"/>
    <w:rsid w:val="0056010A"/>
    <w:rsid w:val="00563302"/>
    <w:rsid w:val="00571307"/>
    <w:rsid w:val="005743EA"/>
    <w:rsid w:val="00576F2E"/>
    <w:rsid w:val="00581210"/>
    <w:rsid w:val="00581FC3"/>
    <w:rsid w:val="005832B2"/>
    <w:rsid w:val="005841B3"/>
    <w:rsid w:val="005851F1"/>
    <w:rsid w:val="005910B4"/>
    <w:rsid w:val="00596A23"/>
    <w:rsid w:val="005B735D"/>
    <w:rsid w:val="005C4A71"/>
    <w:rsid w:val="005C6F40"/>
    <w:rsid w:val="005D4119"/>
    <w:rsid w:val="005D4603"/>
    <w:rsid w:val="005D66C2"/>
    <w:rsid w:val="005E11D6"/>
    <w:rsid w:val="005E2AC9"/>
    <w:rsid w:val="005E4D67"/>
    <w:rsid w:val="005F3D7C"/>
    <w:rsid w:val="00602D7E"/>
    <w:rsid w:val="00603BD0"/>
    <w:rsid w:val="00604142"/>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65BAD"/>
    <w:rsid w:val="00681997"/>
    <w:rsid w:val="0068405C"/>
    <w:rsid w:val="00691017"/>
    <w:rsid w:val="0069152C"/>
    <w:rsid w:val="006948CE"/>
    <w:rsid w:val="00695AA7"/>
    <w:rsid w:val="006A29A5"/>
    <w:rsid w:val="006A2BD9"/>
    <w:rsid w:val="006A3C57"/>
    <w:rsid w:val="006A4F83"/>
    <w:rsid w:val="006A5072"/>
    <w:rsid w:val="006B5151"/>
    <w:rsid w:val="006C2D84"/>
    <w:rsid w:val="006C2F7D"/>
    <w:rsid w:val="006C3580"/>
    <w:rsid w:val="006C3F4D"/>
    <w:rsid w:val="006C6349"/>
    <w:rsid w:val="006D479F"/>
    <w:rsid w:val="006E2E51"/>
    <w:rsid w:val="006F4BBB"/>
    <w:rsid w:val="006F6DB2"/>
    <w:rsid w:val="00704B3A"/>
    <w:rsid w:val="00710CF8"/>
    <w:rsid w:val="00711E08"/>
    <w:rsid w:val="007138FD"/>
    <w:rsid w:val="00716BB1"/>
    <w:rsid w:val="007172FD"/>
    <w:rsid w:val="007200C8"/>
    <w:rsid w:val="007215F6"/>
    <w:rsid w:val="00721BAA"/>
    <w:rsid w:val="00737401"/>
    <w:rsid w:val="00745968"/>
    <w:rsid w:val="00747A3E"/>
    <w:rsid w:val="00761AF0"/>
    <w:rsid w:val="007730C9"/>
    <w:rsid w:val="00775150"/>
    <w:rsid w:val="00776B48"/>
    <w:rsid w:val="0078099D"/>
    <w:rsid w:val="00787DE8"/>
    <w:rsid w:val="00790929"/>
    <w:rsid w:val="007942D8"/>
    <w:rsid w:val="00794983"/>
    <w:rsid w:val="00796ED7"/>
    <w:rsid w:val="007A7740"/>
    <w:rsid w:val="007B00BF"/>
    <w:rsid w:val="007B4F1D"/>
    <w:rsid w:val="007C002A"/>
    <w:rsid w:val="007C024B"/>
    <w:rsid w:val="007C0F2D"/>
    <w:rsid w:val="007C4664"/>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47A71"/>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0F88"/>
    <w:rsid w:val="009077A0"/>
    <w:rsid w:val="009113DE"/>
    <w:rsid w:val="00913121"/>
    <w:rsid w:val="009171D5"/>
    <w:rsid w:val="00917709"/>
    <w:rsid w:val="00917C84"/>
    <w:rsid w:val="009213AE"/>
    <w:rsid w:val="009220F2"/>
    <w:rsid w:val="009227C1"/>
    <w:rsid w:val="00923EDB"/>
    <w:rsid w:val="00925D9A"/>
    <w:rsid w:val="00926978"/>
    <w:rsid w:val="00932BD9"/>
    <w:rsid w:val="00943742"/>
    <w:rsid w:val="0094670F"/>
    <w:rsid w:val="009479D0"/>
    <w:rsid w:val="009611A2"/>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2C49"/>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3458"/>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1B7"/>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1991"/>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3EAF"/>
    <w:rsid w:val="00CC4C46"/>
    <w:rsid w:val="00CC6AAB"/>
    <w:rsid w:val="00CC77FF"/>
    <w:rsid w:val="00CC7CF5"/>
    <w:rsid w:val="00CE3C5A"/>
    <w:rsid w:val="00CE59C6"/>
    <w:rsid w:val="00CE7586"/>
    <w:rsid w:val="00D03659"/>
    <w:rsid w:val="00D03EDF"/>
    <w:rsid w:val="00D10DC0"/>
    <w:rsid w:val="00D11555"/>
    <w:rsid w:val="00D1318C"/>
    <w:rsid w:val="00D13D6D"/>
    <w:rsid w:val="00D1591C"/>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5838"/>
    <w:rsid w:val="00D97162"/>
    <w:rsid w:val="00D97CE9"/>
    <w:rsid w:val="00DA36E7"/>
    <w:rsid w:val="00DA3EA5"/>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81CCA"/>
    <w:rsid w:val="00E905E8"/>
    <w:rsid w:val="00E93F56"/>
    <w:rsid w:val="00E952D9"/>
    <w:rsid w:val="00E96773"/>
    <w:rsid w:val="00E97CB9"/>
    <w:rsid w:val="00EB27E9"/>
    <w:rsid w:val="00EB37C9"/>
    <w:rsid w:val="00EB7E60"/>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57C4"/>
    <w:rsid w:val="00FD6927"/>
    <w:rsid w:val="00FE02D9"/>
    <w:rsid w:val="00FE14F9"/>
    <w:rsid w:val="00FF2EFF"/>
    <w:rsid w:val="00FF4843"/>
    <w:rsid w:val="00FF5EEA"/>
    <w:rsid w:val="0105462D"/>
    <w:rsid w:val="010B405F"/>
    <w:rsid w:val="01103915"/>
    <w:rsid w:val="01115B19"/>
    <w:rsid w:val="011D2710"/>
    <w:rsid w:val="012375FA"/>
    <w:rsid w:val="013874D7"/>
    <w:rsid w:val="014D28C9"/>
    <w:rsid w:val="015059EE"/>
    <w:rsid w:val="015130DB"/>
    <w:rsid w:val="01710365"/>
    <w:rsid w:val="01722D3B"/>
    <w:rsid w:val="01814204"/>
    <w:rsid w:val="01872B2E"/>
    <w:rsid w:val="01874D15"/>
    <w:rsid w:val="01970CE9"/>
    <w:rsid w:val="01BD616A"/>
    <w:rsid w:val="01D63A04"/>
    <w:rsid w:val="02022B86"/>
    <w:rsid w:val="02033D66"/>
    <w:rsid w:val="020B6834"/>
    <w:rsid w:val="02373207"/>
    <w:rsid w:val="02785C6C"/>
    <w:rsid w:val="027A76EE"/>
    <w:rsid w:val="029702A0"/>
    <w:rsid w:val="02975DA2"/>
    <w:rsid w:val="029E162E"/>
    <w:rsid w:val="02AD5A20"/>
    <w:rsid w:val="02C646E1"/>
    <w:rsid w:val="02CE17E8"/>
    <w:rsid w:val="02D20623"/>
    <w:rsid w:val="02D34569"/>
    <w:rsid w:val="02EE031E"/>
    <w:rsid w:val="02F70D3E"/>
    <w:rsid w:val="030B27C9"/>
    <w:rsid w:val="03211F11"/>
    <w:rsid w:val="03217B69"/>
    <w:rsid w:val="0334789D"/>
    <w:rsid w:val="035622D5"/>
    <w:rsid w:val="036208AE"/>
    <w:rsid w:val="03724869"/>
    <w:rsid w:val="03842CD6"/>
    <w:rsid w:val="03A76597"/>
    <w:rsid w:val="03C30D6E"/>
    <w:rsid w:val="03C84489"/>
    <w:rsid w:val="03CD1A9F"/>
    <w:rsid w:val="03E0798B"/>
    <w:rsid w:val="03EA2651"/>
    <w:rsid w:val="03EC461B"/>
    <w:rsid w:val="04051F7A"/>
    <w:rsid w:val="04131648"/>
    <w:rsid w:val="0414350D"/>
    <w:rsid w:val="04274CAC"/>
    <w:rsid w:val="0435036D"/>
    <w:rsid w:val="04403A48"/>
    <w:rsid w:val="044A0592"/>
    <w:rsid w:val="044E498E"/>
    <w:rsid w:val="04554F55"/>
    <w:rsid w:val="0455554A"/>
    <w:rsid w:val="04785EAF"/>
    <w:rsid w:val="04787C5D"/>
    <w:rsid w:val="04863463"/>
    <w:rsid w:val="04D055E9"/>
    <w:rsid w:val="04DC1281"/>
    <w:rsid w:val="04DF1A8A"/>
    <w:rsid w:val="051D626B"/>
    <w:rsid w:val="05225564"/>
    <w:rsid w:val="05282AA4"/>
    <w:rsid w:val="053F69CD"/>
    <w:rsid w:val="056903FC"/>
    <w:rsid w:val="056D0012"/>
    <w:rsid w:val="057A17B3"/>
    <w:rsid w:val="058F7720"/>
    <w:rsid w:val="0592587A"/>
    <w:rsid w:val="05935C94"/>
    <w:rsid w:val="05940D53"/>
    <w:rsid w:val="05B64EE1"/>
    <w:rsid w:val="06103544"/>
    <w:rsid w:val="062005AC"/>
    <w:rsid w:val="06277B8D"/>
    <w:rsid w:val="062C5DC4"/>
    <w:rsid w:val="065055F6"/>
    <w:rsid w:val="065B15E4"/>
    <w:rsid w:val="065D1949"/>
    <w:rsid w:val="068428E9"/>
    <w:rsid w:val="06874187"/>
    <w:rsid w:val="06875753"/>
    <w:rsid w:val="069F4F54"/>
    <w:rsid w:val="06A0349B"/>
    <w:rsid w:val="06A75D00"/>
    <w:rsid w:val="06AE2959"/>
    <w:rsid w:val="06B0774A"/>
    <w:rsid w:val="06C6744C"/>
    <w:rsid w:val="06D05CDA"/>
    <w:rsid w:val="06E710CA"/>
    <w:rsid w:val="07047ECE"/>
    <w:rsid w:val="070659F4"/>
    <w:rsid w:val="070D455F"/>
    <w:rsid w:val="071426B7"/>
    <w:rsid w:val="071C5217"/>
    <w:rsid w:val="0721282E"/>
    <w:rsid w:val="072639A0"/>
    <w:rsid w:val="07380910"/>
    <w:rsid w:val="073836D3"/>
    <w:rsid w:val="073F5974"/>
    <w:rsid w:val="07442078"/>
    <w:rsid w:val="07462FD2"/>
    <w:rsid w:val="07996868"/>
    <w:rsid w:val="07A174CB"/>
    <w:rsid w:val="07B37D72"/>
    <w:rsid w:val="07B40FAC"/>
    <w:rsid w:val="07B70A9C"/>
    <w:rsid w:val="07CD6512"/>
    <w:rsid w:val="07DD0853"/>
    <w:rsid w:val="07DD6F06"/>
    <w:rsid w:val="07E13D6B"/>
    <w:rsid w:val="07E37E3E"/>
    <w:rsid w:val="07F2313E"/>
    <w:rsid w:val="080A2794"/>
    <w:rsid w:val="080C703A"/>
    <w:rsid w:val="0848795D"/>
    <w:rsid w:val="0854278F"/>
    <w:rsid w:val="08607386"/>
    <w:rsid w:val="08612B75"/>
    <w:rsid w:val="08797942"/>
    <w:rsid w:val="087D1CE6"/>
    <w:rsid w:val="088B3C51"/>
    <w:rsid w:val="08996728"/>
    <w:rsid w:val="08A605FD"/>
    <w:rsid w:val="08AB7738"/>
    <w:rsid w:val="08AF05F8"/>
    <w:rsid w:val="08DA0EE6"/>
    <w:rsid w:val="08E00F81"/>
    <w:rsid w:val="08E87A5E"/>
    <w:rsid w:val="08F33D56"/>
    <w:rsid w:val="092C7268"/>
    <w:rsid w:val="092E20F4"/>
    <w:rsid w:val="093A4324"/>
    <w:rsid w:val="09403496"/>
    <w:rsid w:val="09420839"/>
    <w:rsid w:val="0946657C"/>
    <w:rsid w:val="094E3682"/>
    <w:rsid w:val="09664528"/>
    <w:rsid w:val="096D2A05"/>
    <w:rsid w:val="098C5461"/>
    <w:rsid w:val="09970113"/>
    <w:rsid w:val="099E3CC2"/>
    <w:rsid w:val="09A137B2"/>
    <w:rsid w:val="09BD08D7"/>
    <w:rsid w:val="09C37BCC"/>
    <w:rsid w:val="09DE0562"/>
    <w:rsid w:val="09F47C4B"/>
    <w:rsid w:val="09FE6E56"/>
    <w:rsid w:val="0A097F22"/>
    <w:rsid w:val="0A0D22B5"/>
    <w:rsid w:val="0A171CC6"/>
    <w:rsid w:val="0A301B17"/>
    <w:rsid w:val="0A320E0D"/>
    <w:rsid w:val="0A387DA7"/>
    <w:rsid w:val="0A397E8E"/>
    <w:rsid w:val="0A3B7FD7"/>
    <w:rsid w:val="0A3E36F7"/>
    <w:rsid w:val="0A4A6AD9"/>
    <w:rsid w:val="0A51342A"/>
    <w:rsid w:val="0A5D3B7D"/>
    <w:rsid w:val="0A8B68D1"/>
    <w:rsid w:val="0A911A78"/>
    <w:rsid w:val="0AB55CF1"/>
    <w:rsid w:val="0AD61B81"/>
    <w:rsid w:val="0AEE0402"/>
    <w:rsid w:val="0AF54A38"/>
    <w:rsid w:val="0AF85654"/>
    <w:rsid w:val="0AFF69E2"/>
    <w:rsid w:val="0B0C2138"/>
    <w:rsid w:val="0B100BEF"/>
    <w:rsid w:val="0B1B11F1"/>
    <w:rsid w:val="0B3C2236"/>
    <w:rsid w:val="0B564F45"/>
    <w:rsid w:val="0B612451"/>
    <w:rsid w:val="0B656AA9"/>
    <w:rsid w:val="0B705096"/>
    <w:rsid w:val="0B714EEE"/>
    <w:rsid w:val="0B835865"/>
    <w:rsid w:val="0BBE42F6"/>
    <w:rsid w:val="0BF25721"/>
    <w:rsid w:val="0BFA7A81"/>
    <w:rsid w:val="0C201306"/>
    <w:rsid w:val="0C2A7A8F"/>
    <w:rsid w:val="0C3952B8"/>
    <w:rsid w:val="0C3F46FB"/>
    <w:rsid w:val="0C590374"/>
    <w:rsid w:val="0C5C4C86"/>
    <w:rsid w:val="0C6D51C7"/>
    <w:rsid w:val="0C8E144B"/>
    <w:rsid w:val="0C925189"/>
    <w:rsid w:val="0C942007"/>
    <w:rsid w:val="0CB75678"/>
    <w:rsid w:val="0CCE0066"/>
    <w:rsid w:val="0CD67C16"/>
    <w:rsid w:val="0CDA54FD"/>
    <w:rsid w:val="0CEA0AED"/>
    <w:rsid w:val="0CF167FE"/>
    <w:rsid w:val="0D0522AA"/>
    <w:rsid w:val="0D074274"/>
    <w:rsid w:val="0D0D77CD"/>
    <w:rsid w:val="0D1E3491"/>
    <w:rsid w:val="0D1F336B"/>
    <w:rsid w:val="0D2D3018"/>
    <w:rsid w:val="0D482DB6"/>
    <w:rsid w:val="0D5455A3"/>
    <w:rsid w:val="0D5F19BA"/>
    <w:rsid w:val="0D621E90"/>
    <w:rsid w:val="0D662E37"/>
    <w:rsid w:val="0D9A3CE3"/>
    <w:rsid w:val="0D9D1BAE"/>
    <w:rsid w:val="0DBC6E0C"/>
    <w:rsid w:val="0DC34EBD"/>
    <w:rsid w:val="0DCB6F7B"/>
    <w:rsid w:val="0DD20E9B"/>
    <w:rsid w:val="0DD423A8"/>
    <w:rsid w:val="0DDA12AC"/>
    <w:rsid w:val="0DF748F5"/>
    <w:rsid w:val="0E10228D"/>
    <w:rsid w:val="0E39220B"/>
    <w:rsid w:val="0E685654"/>
    <w:rsid w:val="0E774FF5"/>
    <w:rsid w:val="0E880F66"/>
    <w:rsid w:val="0E947D89"/>
    <w:rsid w:val="0E9B2EC6"/>
    <w:rsid w:val="0E9C0126"/>
    <w:rsid w:val="0EA70987"/>
    <w:rsid w:val="0EB126E9"/>
    <w:rsid w:val="0EC408C4"/>
    <w:rsid w:val="0ED02786"/>
    <w:rsid w:val="0ED71A24"/>
    <w:rsid w:val="0ED828FD"/>
    <w:rsid w:val="0EF56A7A"/>
    <w:rsid w:val="0EF645A0"/>
    <w:rsid w:val="0F037F40"/>
    <w:rsid w:val="0F161C69"/>
    <w:rsid w:val="0F241091"/>
    <w:rsid w:val="0F2561EC"/>
    <w:rsid w:val="0F370844"/>
    <w:rsid w:val="0F482829"/>
    <w:rsid w:val="0F4B669A"/>
    <w:rsid w:val="0F4E1CE6"/>
    <w:rsid w:val="0F602F0B"/>
    <w:rsid w:val="0F697A75"/>
    <w:rsid w:val="0F6E2388"/>
    <w:rsid w:val="0F875660"/>
    <w:rsid w:val="0F8D6756"/>
    <w:rsid w:val="0F9230D3"/>
    <w:rsid w:val="0FA77648"/>
    <w:rsid w:val="0FAB0EE6"/>
    <w:rsid w:val="0FC63F72"/>
    <w:rsid w:val="0FC91CB4"/>
    <w:rsid w:val="0FCC70AF"/>
    <w:rsid w:val="0FD54570"/>
    <w:rsid w:val="0FE102BB"/>
    <w:rsid w:val="1017657C"/>
    <w:rsid w:val="101C3B92"/>
    <w:rsid w:val="10230FB4"/>
    <w:rsid w:val="10354C54"/>
    <w:rsid w:val="103B628C"/>
    <w:rsid w:val="103D33B1"/>
    <w:rsid w:val="10433815"/>
    <w:rsid w:val="104D3E92"/>
    <w:rsid w:val="105575BF"/>
    <w:rsid w:val="10615BA6"/>
    <w:rsid w:val="106B2BF6"/>
    <w:rsid w:val="106F0166"/>
    <w:rsid w:val="108C58F8"/>
    <w:rsid w:val="10AD1C02"/>
    <w:rsid w:val="10AF73ED"/>
    <w:rsid w:val="10B72B6A"/>
    <w:rsid w:val="10BC03C7"/>
    <w:rsid w:val="10CD1330"/>
    <w:rsid w:val="10D23DAC"/>
    <w:rsid w:val="10D25E46"/>
    <w:rsid w:val="10FD2541"/>
    <w:rsid w:val="11094EF4"/>
    <w:rsid w:val="110C3C07"/>
    <w:rsid w:val="112635E0"/>
    <w:rsid w:val="11320B66"/>
    <w:rsid w:val="11461B10"/>
    <w:rsid w:val="11551A52"/>
    <w:rsid w:val="11574FD2"/>
    <w:rsid w:val="11842296"/>
    <w:rsid w:val="11851182"/>
    <w:rsid w:val="118B7221"/>
    <w:rsid w:val="118D5137"/>
    <w:rsid w:val="11CF7AC1"/>
    <w:rsid w:val="11E20E0C"/>
    <w:rsid w:val="11FB2FCF"/>
    <w:rsid w:val="11FD0257"/>
    <w:rsid w:val="120314AE"/>
    <w:rsid w:val="12045226"/>
    <w:rsid w:val="1208099D"/>
    <w:rsid w:val="120E7E53"/>
    <w:rsid w:val="1246139A"/>
    <w:rsid w:val="126E551A"/>
    <w:rsid w:val="127203E1"/>
    <w:rsid w:val="12837EF9"/>
    <w:rsid w:val="129640D0"/>
    <w:rsid w:val="12990027"/>
    <w:rsid w:val="12A14823"/>
    <w:rsid w:val="12B44EAB"/>
    <w:rsid w:val="12B46E52"/>
    <w:rsid w:val="12BB0D06"/>
    <w:rsid w:val="12C22B33"/>
    <w:rsid w:val="12C50511"/>
    <w:rsid w:val="12D616CB"/>
    <w:rsid w:val="12E32EDE"/>
    <w:rsid w:val="12F9465F"/>
    <w:rsid w:val="12FE1C75"/>
    <w:rsid w:val="130F4A87"/>
    <w:rsid w:val="131E6243"/>
    <w:rsid w:val="131F316F"/>
    <w:rsid w:val="13323776"/>
    <w:rsid w:val="134055F9"/>
    <w:rsid w:val="1359436E"/>
    <w:rsid w:val="13737F6D"/>
    <w:rsid w:val="13741F37"/>
    <w:rsid w:val="137912FC"/>
    <w:rsid w:val="137F082C"/>
    <w:rsid w:val="1399374C"/>
    <w:rsid w:val="13A90240"/>
    <w:rsid w:val="13B60216"/>
    <w:rsid w:val="13D44784"/>
    <w:rsid w:val="13DC7D34"/>
    <w:rsid w:val="13EE7251"/>
    <w:rsid w:val="14193629"/>
    <w:rsid w:val="141C0B09"/>
    <w:rsid w:val="14237C67"/>
    <w:rsid w:val="143C0BC9"/>
    <w:rsid w:val="144933C4"/>
    <w:rsid w:val="14747DD8"/>
    <w:rsid w:val="148B52EC"/>
    <w:rsid w:val="148B7D18"/>
    <w:rsid w:val="148D32B1"/>
    <w:rsid w:val="1491525B"/>
    <w:rsid w:val="14964ACF"/>
    <w:rsid w:val="14B60A59"/>
    <w:rsid w:val="14E46C49"/>
    <w:rsid w:val="14F275B8"/>
    <w:rsid w:val="14FC1E68"/>
    <w:rsid w:val="150572EB"/>
    <w:rsid w:val="150F3DBE"/>
    <w:rsid w:val="15105045"/>
    <w:rsid w:val="151B7310"/>
    <w:rsid w:val="15282FD9"/>
    <w:rsid w:val="15294DBB"/>
    <w:rsid w:val="152B20F2"/>
    <w:rsid w:val="153732D2"/>
    <w:rsid w:val="155E5D4B"/>
    <w:rsid w:val="15820CF9"/>
    <w:rsid w:val="15836793"/>
    <w:rsid w:val="158A77F0"/>
    <w:rsid w:val="15916DD0"/>
    <w:rsid w:val="15966551"/>
    <w:rsid w:val="15A13C38"/>
    <w:rsid w:val="15C00183"/>
    <w:rsid w:val="15C2088D"/>
    <w:rsid w:val="15D942D4"/>
    <w:rsid w:val="15E909BB"/>
    <w:rsid w:val="16047038"/>
    <w:rsid w:val="16047251"/>
    <w:rsid w:val="160550C9"/>
    <w:rsid w:val="16082FC8"/>
    <w:rsid w:val="16161084"/>
    <w:rsid w:val="161E3E86"/>
    <w:rsid w:val="16225C7A"/>
    <w:rsid w:val="162E65C0"/>
    <w:rsid w:val="16300397"/>
    <w:rsid w:val="163D0D06"/>
    <w:rsid w:val="163D1C9C"/>
    <w:rsid w:val="164B3423"/>
    <w:rsid w:val="16527416"/>
    <w:rsid w:val="16527EE1"/>
    <w:rsid w:val="16530BCE"/>
    <w:rsid w:val="16614AD9"/>
    <w:rsid w:val="16687017"/>
    <w:rsid w:val="16832BBD"/>
    <w:rsid w:val="1695644C"/>
    <w:rsid w:val="16A835F4"/>
    <w:rsid w:val="16AB3EC2"/>
    <w:rsid w:val="16AD19E8"/>
    <w:rsid w:val="16B60189"/>
    <w:rsid w:val="16BF171B"/>
    <w:rsid w:val="16C115CB"/>
    <w:rsid w:val="16C805D0"/>
    <w:rsid w:val="16CB6312"/>
    <w:rsid w:val="16CF5E02"/>
    <w:rsid w:val="16E6367E"/>
    <w:rsid w:val="16F271C0"/>
    <w:rsid w:val="16FE7A33"/>
    <w:rsid w:val="17045380"/>
    <w:rsid w:val="1706559C"/>
    <w:rsid w:val="171A2056"/>
    <w:rsid w:val="173043C7"/>
    <w:rsid w:val="17321A57"/>
    <w:rsid w:val="173E6AE4"/>
    <w:rsid w:val="174A48BA"/>
    <w:rsid w:val="176C0D57"/>
    <w:rsid w:val="176C18A3"/>
    <w:rsid w:val="177E4989"/>
    <w:rsid w:val="17A27073"/>
    <w:rsid w:val="17B8095E"/>
    <w:rsid w:val="17BD5C5B"/>
    <w:rsid w:val="17C05342"/>
    <w:rsid w:val="17C4006F"/>
    <w:rsid w:val="17D32949"/>
    <w:rsid w:val="17DF2075"/>
    <w:rsid w:val="17E01765"/>
    <w:rsid w:val="181C3FB0"/>
    <w:rsid w:val="182745FA"/>
    <w:rsid w:val="182A5D88"/>
    <w:rsid w:val="18450EF1"/>
    <w:rsid w:val="18475E6C"/>
    <w:rsid w:val="18910E95"/>
    <w:rsid w:val="18A961DF"/>
    <w:rsid w:val="18AB1F57"/>
    <w:rsid w:val="18B0756E"/>
    <w:rsid w:val="18B8657F"/>
    <w:rsid w:val="18C474BD"/>
    <w:rsid w:val="18C64FE3"/>
    <w:rsid w:val="18CE5C46"/>
    <w:rsid w:val="18FB54DF"/>
    <w:rsid w:val="19293D73"/>
    <w:rsid w:val="192A37C4"/>
    <w:rsid w:val="192F4936"/>
    <w:rsid w:val="193544CD"/>
    <w:rsid w:val="193957B5"/>
    <w:rsid w:val="19501DB6"/>
    <w:rsid w:val="19605520"/>
    <w:rsid w:val="19643BF1"/>
    <w:rsid w:val="19687E48"/>
    <w:rsid w:val="196C2483"/>
    <w:rsid w:val="197B13AA"/>
    <w:rsid w:val="19874772"/>
    <w:rsid w:val="19A5109C"/>
    <w:rsid w:val="19A76BC3"/>
    <w:rsid w:val="19B117EF"/>
    <w:rsid w:val="19B66E06"/>
    <w:rsid w:val="19C808E7"/>
    <w:rsid w:val="19C810D2"/>
    <w:rsid w:val="19D76D7C"/>
    <w:rsid w:val="1A010EDF"/>
    <w:rsid w:val="1A261FD6"/>
    <w:rsid w:val="1A3B1C2A"/>
    <w:rsid w:val="1A424B3D"/>
    <w:rsid w:val="1A52682B"/>
    <w:rsid w:val="1A5B6086"/>
    <w:rsid w:val="1A6920CA"/>
    <w:rsid w:val="1AA650CC"/>
    <w:rsid w:val="1AAC1FB7"/>
    <w:rsid w:val="1AC63078"/>
    <w:rsid w:val="1ACE6851"/>
    <w:rsid w:val="1AD559B1"/>
    <w:rsid w:val="1ADC2320"/>
    <w:rsid w:val="1ADD7A62"/>
    <w:rsid w:val="1ADF05DE"/>
    <w:rsid w:val="1AE300CE"/>
    <w:rsid w:val="1AE34571"/>
    <w:rsid w:val="1AF46169"/>
    <w:rsid w:val="1B0940FF"/>
    <w:rsid w:val="1B3E70B3"/>
    <w:rsid w:val="1B5A13DD"/>
    <w:rsid w:val="1B61112C"/>
    <w:rsid w:val="1B66485B"/>
    <w:rsid w:val="1B667448"/>
    <w:rsid w:val="1B6D1746"/>
    <w:rsid w:val="1B7303F3"/>
    <w:rsid w:val="1B747AF5"/>
    <w:rsid w:val="1B754588"/>
    <w:rsid w:val="1B7C7BDB"/>
    <w:rsid w:val="1B8A22F8"/>
    <w:rsid w:val="1B8D2C3F"/>
    <w:rsid w:val="1B9E5DA3"/>
    <w:rsid w:val="1BA50EE0"/>
    <w:rsid w:val="1BB76E65"/>
    <w:rsid w:val="1BB84D32"/>
    <w:rsid w:val="1BC27D0F"/>
    <w:rsid w:val="1BEA7AFB"/>
    <w:rsid w:val="1BEE10DD"/>
    <w:rsid w:val="1BF26033"/>
    <w:rsid w:val="1C0C5403"/>
    <w:rsid w:val="1C0D49BD"/>
    <w:rsid w:val="1C0F0A4F"/>
    <w:rsid w:val="1C171F30"/>
    <w:rsid w:val="1C1B5646"/>
    <w:rsid w:val="1C2756DA"/>
    <w:rsid w:val="1C314E69"/>
    <w:rsid w:val="1C3B7A96"/>
    <w:rsid w:val="1C427076"/>
    <w:rsid w:val="1C450915"/>
    <w:rsid w:val="1C4526C3"/>
    <w:rsid w:val="1C56042C"/>
    <w:rsid w:val="1C5D507D"/>
    <w:rsid w:val="1C6C7C4F"/>
    <w:rsid w:val="1C7A0F4E"/>
    <w:rsid w:val="1C7C1ACE"/>
    <w:rsid w:val="1CA8168E"/>
    <w:rsid w:val="1CBA2D9A"/>
    <w:rsid w:val="1CCC6940"/>
    <w:rsid w:val="1CDD0B4D"/>
    <w:rsid w:val="1CE011DA"/>
    <w:rsid w:val="1CED5B5F"/>
    <w:rsid w:val="1CF3227E"/>
    <w:rsid w:val="1CF814E3"/>
    <w:rsid w:val="1D16347D"/>
    <w:rsid w:val="1D1E3640"/>
    <w:rsid w:val="1D23426F"/>
    <w:rsid w:val="1D4A4B12"/>
    <w:rsid w:val="1D50131F"/>
    <w:rsid w:val="1D5801D4"/>
    <w:rsid w:val="1D631052"/>
    <w:rsid w:val="1D6372A4"/>
    <w:rsid w:val="1D7D0B06"/>
    <w:rsid w:val="1D85248B"/>
    <w:rsid w:val="1DAF4298"/>
    <w:rsid w:val="1DB62E2E"/>
    <w:rsid w:val="1DBA2C3C"/>
    <w:rsid w:val="1DCF4D42"/>
    <w:rsid w:val="1DDB508D"/>
    <w:rsid w:val="1DE303E5"/>
    <w:rsid w:val="1DE63870"/>
    <w:rsid w:val="1DF61399"/>
    <w:rsid w:val="1E05035C"/>
    <w:rsid w:val="1E0D0FBE"/>
    <w:rsid w:val="1E1332F5"/>
    <w:rsid w:val="1E193146"/>
    <w:rsid w:val="1E291F1C"/>
    <w:rsid w:val="1E5729ED"/>
    <w:rsid w:val="1E5B47A1"/>
    <w:rsid w:val="1E5B7F7C"/>
    <w:rsid w:val="1E62755C"/>
    <w:rsid w:val="1E7219FD"/>
    <w:rsid w:val="1E731769"/>
    <w:rsid w:val="1E753AFD"/>
    <w:rsid w:val="1E9760CA"/>
    <w:rsid w:val="1EA01E32"/>
    <w:rsid w:val="1EB27864"/>
    <w:rsid w:val="1EB73994"/>
    <w:rsid w:val="1ED55963"/>
    <w:rsid w:val="1EF04B68"/>
    <w:rsid w:val="1F30765A"/>
    <w:rsid w:val="1F382A7E"/>
    <w:rsid w:val="1F3A4035"/>
    <w:rsid w:val="1F551115"/>
    <w:rsid w:val="1F5C3FAB"/>
    <w:rsid w:val="1F5F3A9B"/>
    <w:rsid w:val="1F6D1F48"/>
    <w:rsid w:val="1F6F787D"/>
    <w:rsid w:val="1F7161E7"/>
    <w:rsid w:val="1F871844"/>
    <w:rsid w:val="1F90634B"/>
    <w:rsid w:val="1FA30D6D"/>
    <w:rsid w:val="1FA92F69"/>
    <w:rsid w:val="1FDE62CD"/>
    <w:rsid w:val="1FEA5A5B"/>
    <w:rsid w:val="1FFD6179"/>
    <w:rsid w:val="200D5E79"/>
    <w:rsid w:val="20141E2D"/>
    <w:rsid w:val="20191E9C"/>
    <w:rsid w:val="20337402"/>
    <w:rsid w:val="2035390D"/>
    <w:rsid w:val="20592BE1"/>
    <w:rsid w:val="206B1AB6"/>
    <w:rsid w:val="207A1985"/>
    <w:rsid w:val="209314D4"/>
    <w:rsid w:val="209452FF"/>
    <w:rsid w:val="20A41B57"/>
    <w:rsid w:val="20A756FA"/>
    <w:rsid w:val="20B75F78"/>
    <w:rsid w:val="20C37CF5"/>
    <w:rsid w:val="2125070E"/>
    <w:rsid w:val="21286D75"/>
    <w:rsid w:val="212B00D9"/>
    <w:rsid w:val="212D6B7C"/>
    <w:rsid w:val="214971C4"/>
    <w:rsid w:val="216E39A4"/>
    <w:rsid w:val="2191002B"/>
    <w:rsid w:val="21A734D8"/>
    <w:rsid w:val="21C45E15"/>
    <w:rsid w:val="21F42BC1"/>
    <w:rsid w:val="21F479D3"/>
    <w:rsid w:val="22055633"/>
    <w:rsid w:val="22082022"/>
    <w:rsid w:val="222907BE"/>
    <w:rsid w:val="223B07F0"/>
    <w:rsid w:val="223E0DB0"/>
    <w:rsid w:val="2241392C"/>
    <w:rsid w:val="22564243"/>
    <w:rsid w:val="225B3A08"/>
    <w:rsid w:val="22602008"/>
    <w:rsid w:val="226C59F1"/>
    <w:rsid w:val="227036B8"/>
    <w:rsid w:val="228B2608"/>
    <w:rsid w:val="22AD273C"/>
    <w:rsid w:val="22B92A36"/>
    <w:rsid w:val="22C24A6D"/>
    <w:rsid w:val="22C62CF4"/>
    <w:rsid w:val="22E05479"/>
    <w:rsid w:val="22EC0E48"/>
    <w:rsid w:val="22FA4207"/>
    <w:rsid w:val="22FB3ADB"/>
    <w:rsid w:val="2304536E"/>
    <w:rsid w:val="230673B1"/>
    <w:rsid w:val="231C1015"/>
    <w:rsid w:val="23353491"/>
    <w:rsid w:val="234B3597"/>
    <w:rsid w:val="237572DD"/>
    <w:rsid w:val="23863CED"/>
    <w:rsid w:val="238C6E29"/>
    <w:rsid w:val="23A06120"/>
    <w:rsid w:val="23AC3ABD"/>
    <w:rsid w:val="23CC6781"/>
    <w:rsid w:val="23CE7442"/>
    <w:rsid w:val="23D1648D"/>
    <w:rsid w:val="23D268BB"/>
    <w:rsid w:val="23D902C0"/>
    <w:rsid w:val="23E020B3"/>
    <w:rsid w:val="23FE14D4"/>
    <w:rsid w:val="24390D5F"/>
    <w:rsid w:val="244311F5"/>
    <w:rsid w:val="24466FD8"/>
    <w:rsid w:val="24560EF4"/>
    <w:rsid w:val="245636BF"/>
    <w:rsid w:val="246B437F"/>
    <w:rsid w:val="24741D97"/>
    <w:rsid w:val="248875F1"/>
    <w:rsid w:val="248A7617"/>
    <w:rsid w:val="248D5FC1"/>
    <w:rsid w:val="24AA6654"/>
    <w:rsid w:val="24C06D8A"/>
    <w:rsid w:val="24DF5507"/>
    <w:rsid w:val="25070D37"/>
    <w:rsid w:val="250A3135"/>
    <w:rsid w:val="25127EC9"/>
    <w:rsid w:val="25257535"/>
    <w:rsid w:val="25594873"/>
    <w:rsid w:val="255F0F4C"/>
    <w:rsid w:val="25616AB8"/>
    <w:rsid w:val="25666BD9"/>
    <w:rsid w:val="25873916"/>
    <w:rsid w:val="25941224"/>
    <w:rsid w:val="25955DAF"/>
    <w:rsid w:val="259D531E"/>
    <w:rsid w:val="25A95A70"/>
    <w:rsid w:val="25C968C9"/>
    <w:rsid w:val="25FC2044"/>
    <w:rsid w:val="2604543D"/>
    <w:rsid w:val="262E764D"/>
    <w:rsid w:val="26404C6A"/>
    <w:rsid w:val="265577FD"/>
    <w:rsid w:val="265C2AE3"/>
    <w:rsid w:val="2666525D"/>
    <w:rsid w:val="266940F0"/>
    <w:rsid w:val="266F6D64"/>
    <w:rsid w:val="2676247B"/>
    <w:rsid w:val="267937B6"/>
    <w:rsid w:val="269009DE"/>
    <w:rsid w:val="26AC014D"/>
    <w:rsid w:val="26AD27CC"/>
    <w:rsid w:val="26BE72FA"/>
    <w:rsid w:val="26CE1144"/>
    <w:rsid w:val="26D22DA5"/>
    <w:rsid w:val="26F46ABF"/>
    <w:rsid w:val="26F54D5E"/>
    <w:rsid w:val="270311B0"/>
    <w:rsid w:val="270A22BB"/>
    <w:rsid w:val="27167136"/>
    <w:rsid w:val="27223D2C"/>
    <w:rsid w:val="272730F1"/>
    <w:rsid w:val="272B5C1B"/>
    <w:rsid w:val="276C4FA7"/>
    <w:rsid w:val="278E3170"/>
    <w:rsid w:val="27934C2A"/>
    <w:rsid w:val="27A46F86"/>
    <w:rsid w:val="27C2106B"/>
    <w:rsid w:val="27D33279"/>
    <w:rsid w:val="27D74B17"/>
    <w:rsid w:val="27D86AE1"/>
    <w:rsid w:val="27E40FE2"/>
    <w:rsid w:val="28093668"/>
    <w:rsid w:val="284B0D66"/>
    <w:rsid w:val="284E28FF"/>
    <w:rsid w:val="285257C6"/>
    <w:rsid w:val="28560664"/>
    <w:rsid w:val="285D1532"/>
    <w:rsid w:val="286C22B8"/>
    <w:rsid w:val="286D408E"/>
    <w:rsid w:val="286E02B3"/>
    <w:rsid w:val="28814A83"/>
    <w:rsid w:val="289018A6"/>
    <w:rsid w:val="28921B83"/>
    <w:rsid w:val="28993B45"/>
    <w:rsid w:val="28AC24C6"/>
    <w:rsid w:val="28CD7B64"/>
    <w:rsid w:val="28DA73F5"/>
    <w:rsid w:val="28DA791D"/>
    <w:rsid w:val="291429E5"/>
    <w:rsid w:val="29197CBA"/>
    <w:rsid w:val="292813A2"/>
    <w:rsid w:val="29315A30"/>
    <w:rsid w:val="293D6BFB"/>
    <w:rsid w:val="29471828"/>
    <w:rsid w:val="29586DF0"/>
    <w:rsid w:val="295E3016"/>
    <w:rsid w:val="296202D9"/>
    <w:rsid w:val="296D0E7B"/>
    <w:rsid w:val="297B3849"/>
    <w:rsid w:val="298001BF"/>
    <w:rsid w:val="2986224F"/>
    <w:rsid w:val="29A749BD"/>
    <w:rsid w:val="29AE6B2F"/>
    <w:rsid w:val="29B92FC4"/>
    <w:rsid w:val="29BD1AEA"/>
    <w:rsid w:val="29CC61D1"/>
    <w:rsid w:val="29E67293"/>
    <w:rsid w:val="29F870BA"/>
    <w:rsid w:val="29FA6504"/>
    <w:rsid w:val="2A092F82"/>
    <w:rsid w:val="2A0970F5"/>
    <w:rsid w:val="2A1738F0"/>
    <w:rsid w:val="2A1D6A2D"/>
    <w:rsid w:val="2A213E13"/>
    <w:rsid w:val="2A3D2C2B"/>
    <w:rsid w:val="2A4276AF"/>
    <w:rsid w:val="2A503E30"/>
    <w:rsid w:val="2A585AD1"/>
    <w:rsid w:val="2A7B69A9"/>
    <w:rsid w:val="2A8D5961"/>
    <w:rsid w:val="2A947DE8"/>
    <w:rsid w:val="2A9C0D3B"/>
    <w:rsid w:val="2A9E4307"/>
    <w:rsid w:val="2AEA2DB3"/>
    <w:rsid w:val="2AFA0B1C"/>
    <w:rsid w:val="2B075B92"/>
    <w:rsid w:val="2B163BA8"/>
    <w:rsid w:val="2B1760A1"/>
    <w:rsid w:val="2B2168FA"/>
    <w:rsid w:val="2B382728"/>
    <w:rsid w:val="2B3D7387"/>
    <w:rsid w:val="2B3E4EAD"/>
    <w:rsid w:val="2B450433"/>
    <w:rsid w:val="2B4900C1"/>
    <w:rsid w:val="2B585F6F"/>
    <w:rsid w:val="2B5A24B8"/>
    <w:rsid w:val="2B5E4C51"/>
    <w:rsid w:val="2B7129F4"/>
    <w:rsid w:val="2B815717"/>
    <w:rsid w:val="2BB511B5"/>
    <w:rsid w:val="2BB70F0A"/>
    <w:rsid w:val="2BBD2276"/>
    <w:rsid w:val="2BC17139"/>
    <w:rsid w:val="2BE47802"/>
    <w:rsid w:val="2BFE33E2"/>
    <w:rsid w:val="2C210A56"/>
    <w:rsid w:val="2C2A71DF"/>
    <w:rsid w:val="2C3E6177"/>
    <w:rsid w:val="2C437642"/>
    <w:rsid w:val="2C4955AF"/>
    <w:rsid w:val="2C7E2617"/>
    <w:rsid w:val="2C892158"/>
    <w:rsid w:val="2C97233F"/>
    <w:rsid w:val="2CA174A1"/>
    <w:rsid w:val="2CA23B9D"/>
    <w:rsid w:val="2CA86A82"/>
    <w:rsid w:val="2CAF6062"/>
    <w:rsid w:val="2CD45AC9"/>
    <w:rsid w:val="2CFC2BFE"/>
    <w:rsid w:val="2D0A773C"/>
    <w:rsid w:val="2D0F08AF"/>
    <w:rsid w:val="2D1C74DF"/>
    <w:rsid w:val="2D2A56E9"/>
    <w:rsid w:val="2D3A552B"/>
    <w:rsid w:val="2D4F50B7"/>
    <w:rsid w:val="2D7E57F5"/>
    <w:rsid w:val="2D81695F"/>
    <w:rsid w:val="2D89631C"/>
    <w:rsid w:val="2DB149E8"/>
    <w:rsid w:val="2DDB1DA3"/>
    <w:rsid w:val="2DF46565"/>
    <w:rsid w:val="2DFD4A36"/>
    <w:rsid w:val="2E057F04"/>
    <w:rsid w:val="2E100D83"/>
    <w:rsid w:val="2E2C723F"/>
    <w:rsid w:val="2E2D46E9"/>
    <w:rsid w:val="2E2F6C9B"/>
    <w:rsid w:val="2E312AA7"/>
    <w:rsid w:val="2E367B29"/>
    <w:rsid w:val="2E381733"/>
    <w:rsid w:val="2E521A2D"/>
    <w:rsid w:val="2E5A3DAC"/>
    <w:rsid w:val="2E625356"/>
    <w:rsid w:val="2E6764C9"/>
    <w:rsid w:val="2E7519BB"/>
    <w:rsid w:val="2EA67690"/>
    <w:rsid w:val="2EBD59CF"/>
    <w:rsid w:val="2EDA071F"/>
    <w:rsid w:val="2EDA4EED"/>
    <w:rsid w:val="2EE20A9E"/>
    <w:rsid w:val="2EFE2E54"/>
    <w:rsid w:val="2F071B18"/>
    <w:rsid w:val="2F097580"/>
    <w:rsid w:val="2F5A49A3"/>
    <w:rsid w:val="2F646705"/>
    <w:rsid w:val="2F740E9D"/>
    <w:rsid w:val="2F7858EF"/>
    <w:rsid w:val="2F7964B4"/>
    <w:rsid w:val="2F950300"/>
    <w:rsid w:val="2FBB4D1E"/>
    <w:rsid w:val="2FC2465B"/>
    <w:rsid w:val="2FCC6EC6"/>
    <w:rsid w:val="2FEC6FE9"/>
    <w:rsid w:val="30085A89"/>
    <w:rsid w:val="301164E2"/>
    <w:rsid w:val="30252044"/>
    <w:rsid w:val="30275F10"/>
    <w:rsid w:val="3029612C"/>
    <w:rsid w:val="302F41F6"/>
    <w:rsid w:val="3038274A"/>
    <w:rsid w:val="307F5D4C"/>
    <w:rsid w:val="30A0531A"/>
    <w:rsid w:val="30AB47A7"/>
    <w:rsid w:val="30B71989"/>
    <w:rsid w:val="30B755D1"/>
    <w:rsid w:val="30BF083E"/>
    <w:rsid w:val="30C220DC"/>
    <w:rsid w:val="30D00355"/>
    <w:rsid w:val="30D36097"/>
    <w:rsid w:val="30FB5744"/>
    <w:rsid w:val="30FD40AA"/>
    <w:rsid w:val="30FD4EC2"/>
    <w:rsid w:val="310426F5"/>
    <w:rsid w:val="31046251"/>
    <w:rsid w:val="31126BC0"/>
    <w:rsid w:val="31153E87"/>
    <w:rsid w:val="31267AAE"/>
    <w:rsid w:val="313407C3"/>
    <w:rsid w:val="31444881"/>
    <w:rsid w:val="3148438F"/>
    <w:rsid w:val="314D028A"/>
    <w:rsid w:val="315F3B56"/>
    <w:rsid w:val="316B60EC"/>
    <w:rsid w:val="31A35D8D"/>
    <w:rsid w:val="31AD68E8"/>
    <w:rsid w:val="31CA749A"/>
    <w:rsid w:val="31E367AE"/>
    <w:rsid w:val="31E676C8"/>
    <w:rsid w:val="31E755E9"/>
    <w:rsid w:val="31ED3189"/>
    <w:rsid w:val="3202189B"/>
    <w:rsid w:val="320A66A5"/>
    <w:rsid w:val="32142156"/>
    <w:rsid w:val="322B6D17"/>
    <w:rsid w:val="322F554F"/>
    <w:rsid w:val="323A4620"/>
    <w:rsid w:val="3244724D"/>
    <w:rsid w:val="3251196A"/>
    <w:rsid w:val="32541F02"/>
    <w:rsid w:val="32560D2E"/>
    <w:rsid w:val="32990C1B"/>
    <w:rsid w:val="32C91500"/>
    <w:rsid w:val="32D27B67"/>
    <w:rsid w:val="32D560F7"/>
    <w:rsid w:val="32EA1597"/>
    <w:rsid w:val="32F25532"/>
    <w:rsid w:val="3316226B"/>
    <w:rsid w:val="33301130"/>
    <w:rsid w:val="33356B95"/>
    <w:rsid w:val="33485A44"/>
    <w:rsid w:val="334C1F0A"/>
    <w:rsid w:val="336851BD"/>
    <w:rsid w:val="33727DEA"/>
    <w:rsid w:val="339935C8"/>
    <w:rsid w:val="33B915C6"/>
    <w:rsid w:val="33D91C17"/>
    <w:rsid w:val="33FC76B3"/>
    <w:rsid w:val="34237336"/>
    <w:rsid w:val="34266DEB"/>
    <w:rsid w:val="34565015"/>
    <w:rsid w:val="347831DE"/>
    <w:rsid w:val="34853F76"/>
    <w:rsid w:val="3491604D"/>
    <w:rsid w:val="34A46A8E"/>
    <w:rsid w:val="34A57D4B"/>
    <w:rsid w:val="34AC627E"/>
    <w:rsid w:val="34C46423"/>
    <w:rsid w:val="34D523DE"/>
    <w:rsid w:val="34DE113B"/>
    <w:rsid w:val="34E55781"/>
    <w:rsid w:val="34E95E89"/>
    <w:rsid w:val="34F14D3E"/>
    <w:rsid w:val="34F605A6"/>
    <w:rsid w:val="350607E9"/>
    <w:rsid w:val="35064C8D"/>
    <w:rsid w:val="35075681"/>
    <w:rsid w:val="351522EC"/>
    <w:rsid w:val="352805DA"/>
    <w:rsid w:val="35335357"/>
    <w:rsid w:val="35496928"/>
    <w:rsid w:val="354C30B8"/>
    <w:rsid w:val="355530AA"/>
    <w:rsid w:val="355D42FC"/>
    <w:rsid w:val="355E7835"/>
    <w:rsid w:val="35646712"/>
    <w:rsid w:val="356E108A"/>
    <w:rsid w:val="359027A9"/>
    <w:rsid w:val="359A7184"/>
    <w:rsid w:val="35A149B6"/>
    <w:rsid w:val="35A40002"/>
    <w:rsid w:val="35C004D7"/>
    <w:rsid w:val="35D13A3C"/>
    <w:rsid w:val="35D2691D"/>
    <w:rsid w:val="35D501BC"/>
    <w:rsid w:val="35F5085E"/>
    <w:rsid w:val="360016DD"/>
    <w:rsid w:val="361000EE"/>
    <w:rsid w:val="3623361D"/>
    <w:rsid w:val="362D1DA6"/>
    <w:rsid w:val="362D74EB"/>
    <w:rsid w:val="363024ED"/>
    <w:rsid w:val="36317AE8"/>
    <w:rsid w:val="364631D7"/>
    <w:rsid w:val="36517215"/>
    <w:rsid w:val="365B179F"/>
    <w:rsid w:val="36672943"/>
    <w:rsid w:val="366C2586"/>
    <w:rsid w:val="367960FB"/>
    <w:rsid w:val="367D0F7F"/>
    <w:rsid w:val="367F3A2E"/>
    <w:rsid w:val="3688292B"/>
    <w:rsid w:val="36890EF7"/>
    <w:rsid w:val="368928C2"/>
    <w:rsid w:val="36BF4619"/>
    <w:rsid w:val="36C86BF9"/>
    <w:rsid w:val="36DB257F"/>
    <w:rsid w:val="36E03CD3"/>
    <w:rsid w:val="36E0506A"/>
    <w:rsid w:val="36E55870"/>
    <w:rsid w:val="36F154C9"/>
    <w:rsid w:val="36F34D9D"/>
    <w:rsid w:val="36FA3F13"/>
    <w:rsid w:val="370944C7"/>
    <w:rsid w:val="371F2036"/>
    <w:rsid w:val="37240AF6"/>
    <w:rsid w:val="374D1701"/>
    <w:rsid w:val="375B6DF0"/>
    <w:rsid w:val="3760434E"/>
    <w:rsid w:val="37623CD1"/>
    <w:rsid w:val="37677539"/>
    <w:rsid w:val="37850378"/>
    <w:rsid w:val="37A261F6"/>
    <w:rsid w:val="37A97B52"/>
    <w:rsid w:val="37B07EDB"/>
    <w:rsid w:val="37CE30E0"/>
    <w:rsid w:val="37D07D4D"/>
    <w:rsid w:val="37D51F88"/>
    <w:rsid w:val="37DA6457"/>
    <w:rsid w:val="3803406C"/>
    <w:rsid w:val="38065969"/>
    <w:rsid w:val="380A05F1"/>
    <w:rsid w:val="380E11B5"/>
    <w:rsid w:val="38131527"/>
    <w:rsid w:val="38224438"/>
    <w:rsid w:val="384C6E5B"/>
    <w:rsid w:val="384E1BB7"/>
    <w:rsid w:val="385009BF"/>
    <w:rsid w:val="385578DD"/>
    <w:rsid w:val="38635F53"/>
    <w:rsid w:val="38685317"/>
    <w:rsid w:val="38710DDD"/>
    <w:rsid w:val="387232C9"/>
    <w:rsid w:val="387A727B"/>
    <w:rsid w:val="389E4A58"/>
    <w:rsid w:val="389E7958"/>
    <w:rsid w:val="38BD6747"/>
    <w:rsid w:val="38CA6DC7"/>
    <w:rsid w:val="38DD767B"/>
    <w:rsid w:val="38F00B77"/>
    <w:rsid w:val="38F41355"/>
    <w:rsid w:val="38FC59FE"/>
    <w:rsid w:val="38FD10FD"/>
    <w:rsid w:val="39094D4C"/>
    <w:rsid w:val="390B0C5E"/>
    <w:rsid w:val="392845DC"/>
    <w:rsid w:val="393037E1"/>
    <w:rsid w:val="39363667"/>
    <w:rsid w:val="39684950"/>
    <w:rsid w:val="397877DC"/>
    <w:rsid w:val="399C796E"/>
    <w:rsid w:val="39A34800"/>
    <w:rsid w:val="39A700C1"/>
    <w:rsid w:val="39B27192"/>
    <w:rsid w:val="39B57C6A"/>
    <w:rsid w:val="39D4535A"/>
    <w:rsid w:val="39DF350D"/>
    <w:rsid w:val="3A025137"/>
    <w:rsid w:val="3A0A0D7C"/>
    <w:rsid w:val="3A0D3672"/>
    <w:rsid w:val="3A1A0893"/>
    <w:rsid w:val="3A233BEC"/>
    <w:rsid w:val="3A296D28"/>
    <w:rsid w:val="3A2F02C2"/>
    <w:rsid w:val="3A331955"/>
    <w:rsid w:val="3A424747"/>
    <w:rsid w:val="3A6074E2"/>
    <w:rsid w:val="3A663052"/>
    <w:rsid w:val="3A8A55B7"/>
    <w:rsid w:val="3A940645"/>
    <w:rsid w:val="3A993EAE"/>
    <w:rsid w:val="3A9A3BB8"/>
    <w:rsid w:val="3AA7586D"/>
    <w:rsid w:val="3AA77E3B"/>
    <w:rsid w:val="3AB03A41"/>
    <w:rsid w:val="3AC86541"/>
    <w:rsid w:val="3AEC222F"/>
    <w:rsid w:val="3AED5FA8"/>
    <w:rsid w:val="3AFB06C4"/>
    <w:rsid w:val="3B170A8B"/>
    <w:rsid w:val="3B1F29B6"/>
    <w:rsid w:val="3B21295E"/>
    <w:rsid w:val="3B21356E"/>
    <w:rsid w:val="3B26412F"/>
    <w:rsid w:val="3B29771E"/>
    <w:rsid w:val="3B443718"/>
    <w:rsid w:val="3B514D07"/>
    <w:rsid w:val="3B66707F"/>
    <w:rsid w:val="3B675D5A"/>
    <w:rsid w:val="3B6E70E8"/>
    <w:rsid w:val="3B82462F"/>
    <w:rsid w:val="3B8C30C5"/>
    <w:rsid w:val="3B9D7195"/>
    <w:rsid w:val="3BA71F2B"/>
    <w:rsid w:val="3BAA795C"/>
    <w:rsid w:val="3BBA0580"/>
    <w:rsid w:val="3BE5633B"/>
    <w:rsid w:val="3C234450"/>
    <w:rsid w:val="3C2B322B"/>
    <w:rsid w:val="3C35566D"/>
    <w:rsid w:val="3C371BD0"/>
    <w:rsid w:val="3C3E4D0D"/>
    <w:rsid w:val="3C4C52AA"/>
    <w:rsid w:val="3C5A766D"/>
    <w:rsid w:val="3C633344"/>
    <w:rsid w:val="3C850B8E"/>
    <w:rsid w:val="3C8666B4"/>
    <w:rsid w:val="3C9C5660"/>
    <w:rsid w:val="3CA52FDE"/>
    <w:rsid w:val="3CB054DF"/>
    <w:rsid w:val="3CB66F99"/>
    <w:rsid w:val="3CC32C7B"/>
    <w:rsid w:val="3CE13509"/>
    <w:rsid w:val="3CE80633"/>
    <w:rsid w:val="3CF4186F"/>
    <w:rsid w:val="3D060D95"/>
    <w:rsid w:val="3D070B02"/>
    <w:rsid w:val="3D0A4BEF"/>
    <w:rsid w:val="3D246484"/>
    <w:rsid w:val="3D284769"/>
    <w:rsid w:val="3D604F23"/>
    <w:rsid w:val="3D830197"/>
    <w:rsid w:val="3D9E13E7"/>
    <w:rsid w:val="3DBA6D6D"/>
    <w:rsid w:val="3DE80316"/>
    <w:rsid w:val="3DE87025"/>
    <w:rsid w:val="3E157CEF"/>
    <w:rsid w:val="3E1B3350"/>
    <w:rsid w:val="3E1F4F63"/>
    <w:rsid w:val="3E375EB7"/>
    <w:rsid w:val="3E40308D"/>
    <w:rsid w:val="3E4E3201"/>
    <w:rsid w:val="3E521C7E"/>
    <w:rsid w:val="3E6440D8"/>
    <w:rsid w:val="3E6842C3"/>
    <w:rsid w:val="3E6C3B87"/>
    <w:rsid w:val="3E70009E"/>
    <w:rsid w:val="3E9B4320"/>
    <w:rsid w:val="3EAD7D52"/>
    <w:rsid w:val="3EBA2645"/>
    <w:rsid w:val="3EC23235"/>
    <w:rsid w:val="3EDA6843"/>
    <w:rsid w:val="3EE002FD"/>
    <w:rsid w:val="3EE576C2"/>
    <w:rsid w:val="3EF83BC6"/>
    <w:rsid w:val="3F0A65FB"/>
    <w:rsid w:val="3F19380F"/>
    <w:rsid w:val="3F367F1D"/>
    <w:rsid w:val="3F42102A"/>
    <w:rsid w:val="3F44707B"/>
    <w:rsid w:val="3F466A04"/>
    <w:rsid w:val="3F583226"/>
    <w:rsid w:val="3F5B255F"/>
    <w:rsid w:val="3F6F020C"/>
    <w:rsid w:val="3F6F1E30"/>
    <w:rsid w:val="3F8213B4"/>
    <w:rsid w:val="3FA26904"/>
    <w:rsid w:val="3FB72902"/>
    <w:rsid w:val="3FBD07BB"/>
    <w:rsid w:val="3FBF1963"/>
    <w:rsid w:val="3FC73481"/>
    <w:rsid w:val="3FCD6D20"/>
    <w:rsid w:val="3FD140EA"/>
    <w:rsid w:val="3FDD7AC9"/>
    <w:rsid w:val="3FE2338C"/>
    <w:rsid w:val="3FEA0D08"/>
    <w:rsid w:val="40016D12"/>
    <w:rsid w:val="40041DC9"/>
    <w:rsid w:val="401F4E55"/>
    <w:rsid w:val="402204A1"/>
    <w:rsid w:val="4024246B"/>
    <w:rsid w:val="40257ADD"/>
    <w:rsid w:val="40295CD4"/>
    <w:rsid w:val="402A7AD7"/>
    <w:rsid w:val="402E6E46"/>
    <w:rsid w:val="40385F17"/>
    <w:rsid w:val="404843AC"/>
    <w:rsid w:val="404B17A6"/>
    <w:rsid w:val="404C06D0"/>
    <w:rsid w:val="40550877"/>
    <w:rsid w:val="406D56B1"/>
    <w:rsid w:val="407B298D"/>
    <w:rsid w:val="407D392A"/>
    <w:rsid w:val="408E5B37"/>
    <w:rsid w:val="409273D5"/>
    <w:rsid w:val="40B07FE2"/>
    <w:rsid w:val="40C33A32"/>
    <w:rsid w:val="40D7072F"/>
    <w:rsid w:val="40D85DC6"/>
    <w:rsid w:val="40DC5A18"/>
    <w:rsid w:val="40E13183"/>
    <w:rsid w:val="40EB41E2"/>
    <w:rsid w:val="4107163F"/>
    <w:rsid w:val="41287EB0"/>
    <w:rsid w:val="4130523C"/>
    <w:rsid w:val="41410D52"/>
    <w:rsid w:val="415305A0"/>
    <w:rsid w:val="415D0B63"/>
    <w:rsid w:val="416B795B"/>
    <w:rsid w:val="4183060E"/>
    <w:rsid w:val="41863429"/>
    <w:rsid w:val="419C01AC"/>
    <w:rsid w:val="41B63F37"/>
    <w:rsid w:val="41CA0DF1"/>
    <w:rsid w:val="41D41C6F"/>
    <w:rsid w:val="41E466BF"/>
    <w:rsid w:val="41F4275B"/>
    <w:rsid w:val="41F83BB0"/>
    <w:rsid w:val="42083B1B"/>
    <w:rsid w:val="42135E48"/>
    <w:rsid w:val="4219676F"/>
    <w:rsid w:val="422F6C35"/>
    <w:rsid w:val="424B0015"/>
    <w:rsid w:val="424B1F31"/>
    <w:rsid w:val="424E37D0"/>
    <w:rsid w:val="424F13FD"/>
    <w:rsid w:val="426C2E0F"/>
    <w:rsid w:val="427E1C03"/>
    <w:rsid w:val="428503E1"/>
    <w:rsid w:val="42883D00"/>
    <w:rsid w:val="42905120"/>
    <w:rsid w:val="42905B96"/>
    <w:rsid w:val="429B4B3C"/>
    <w:rsid w:val="42A31D6D"/>
    <w:rsid w:val="42A63FA8"/>
    <w:rsid w:val="42AE0712"/>
    <w:rsid w:val="42BC0B52"/>
    <w:rsid w:val="42D261AF"/>
    <w:rsid w:val="42D40179"/>
    <w:rsid w:val="42D45F3F"/>
    <w:rsid w:val="42DF6B1E"/>
    <w:rsid w:val="42E6560B"/>
    <w:rsid w:val="431B7F62"/>
    <w:rsid w:val="431C1370"/>
    <w:rsid w:val="43246A63"/>
    <w:rsid w:val="432A5FEB"/>
    <w:rsid w:val="43466114"/>
    <w:rsid w:val="436759F6"/>
    <w:rsid w:val="43B50E83"/>
    <w:rsid w:val="43E91A02"/>
    <w:rsid w:val="43E92C79"/>
    <w:rsid w:val="43EA39CC"/>
    <w:rsid w:val="43FF1225"/>
    <w:rsid w:val="440A2ECD"/>
    <w:rsid w:val="440C56F0"/>
    <w:rsid w:val="44110F59"/>
    <w:rsid w:val="44250560"/>
    <w:rsid w:val="444956C4"/>
    <w:rsid w:val="444B0684"/>
    <w:rsid w:val="44646CF6"/>
    <w:rsid w:val="447A6AFE"/>
    <w:rsid w:val="4482063F"/>
    <w:rsid w:val="448D4A83"/>
    <w:rsid w:val="449A4DBA"/>
    <w:rsid w:val="44A27BED"/>
    <w:rsid w:val="44A82F18"/>
    <w:rsid w:val="44B54C41"/>
    <w:rsid w:val="44C2250C"/>
    <w:rsid w:val="44C45FCB"/>
    <w:rsid w:val="44C77AAC"/>
    <w:rsid w:val="44E25B90"/>
    <w:rsid w:val="4508235C"/>
    <w:rsid w:val="451B66C7"/>
    <w:rsid w:val="45336CAD"/>
    <w:rsid w:val="456C22D6"/>
    <w:rsid w:val="456D5D7B"/>
    <w:rsid w:val="459D251C"/>
    <w:rsid w:val="459E4C18"/>
    <w:rsid w:val="45A81449"/>
    <w:rsid w:val="45AB2395"/>
    <w:rsid w:val="45B147A1"/>
    <w:rsid w:val="45BD1D0A"/>
    <w:rsid w:val="45DA7613"/>
    <w:rsid w:val="45EC0586"/>
    <w:rsid w:val="45EF0E26"/>
    <w:rsid w:val="45F75F2C"/>
    <w:rsid w:val="460320FD"/>
    <w:rsid w:val="461B495A"/>
    <w:rsid w:val="462C5106"/>
    <w:rsid w:val="465667F3"/>
    <w:rsid w:val="4687710A"/>
    <w:rsid w:val="46902609"/>
    <w:rsid w:val="46925971"/>
    <w:rsid w:val="46A63BDA"/>
    <w:rsid w:val="46B435BF"/>
    <w:rsid w:val="46C71DA3"/>
    <w:rsid w:val="46CA0388"/>
    <w:rsid w:val="46CE3131"/>
    <w:rsid w:val="46E22723"/>
    <w:rsid w:val="46F661E4"/>
    <w:rsid w:val="472B0583"/>
    <w:rsid w:val="474965C8"/>
    <w:rsid w:val="475573AE"/>
    <w:rsid w:val="475612F0"/>
    <w:rsid w:val="47655843"/>
    <w:rsid w:val="476F0470"/>
    <w:rsid w:val="478101A3"/>
    <w:rsid w:val="47B656EC"/>
    <w:rsid w:val="47BE6D02"/>
    <w:rsid w:val="47C167F2"/>
    <w:rsid w:val="47D13163"/>
    <w:rsid w:val="48096DEF"/>
    <w:rsid w:val="482A4397"/>
    <w:rsid w:val="483671E0"/>
    <w:rsid w:val="488F68F0"/>
    <w:rsid w:val="48AB4846"/>
    <w:rsid w:val="48C742DC"/>
    <w:rsid w:val="48E21116"/>
    <w:rsid w:val="48EC035B"/>
    <w:rsid w:val="490715C7"/>
    <w:rsid w:val="49172B6D"/>
    <w:rsid w:val="491A4CCA"/>
    <w:rsid w:val="492E0DFE"/>
    <w:rsid w:val="49313AF9"/>
    <w:rsid w:val="4931445C"/>
    <w:rsid w:val="4933371F"/>
    <w:rsid w:val="493354CD"/>
    <w:rsid w:val="494F6F18"/>
    <w:rsid w:val="49514A8C"/>
    <w:rsid w:val="49804BB7"/>
    <w:rsid w:val="49900B72"/>
    <w:rsid w:val="49A11F60"/>
    <w:rsid w:val="49C64593"/>
    <w:rsid w:val="49C93183"/>
    <w:rsid w:val="49CF10C9"/>
    <w:rsid w:val="49D131AD"/>
    <w:rsid w:val="49E3752F"/>
    <w:rsid w:val="49E60792"/>
    <w:rsid w:val="49EB5888"/>
    <w:rsid w:val="49ED1B20"/>
    <w:rsid w:val="49F904C5"/>
    <w:rsid w:val="4A010F2E"/>
    <w:rsid w:val="4A070C69"/>
    <w:rsid w:val="4A070E34"/>
    <w:rsid w:val="4A1A5044"/>
    <w:rsid w:val="4A1F290D"/>
    <w:rsid w:val="4A224AAB"/>
    <w:rsid w:val="4A3E05CE"/>
    <w:rsid w:val="4A4143F0"/>
    <w:rsid w:val="4A49663C"/>
    <w:rsid w:val="4A564413"/>
    <w:rsid w:val="4A6242BC"/>
    <w:rsid w:val="4A6E6B4C"/>
    <w:rsid w:val="4A746C3D"/>
    <w:rsid w:val="4A977611"/>
    <w:rsid w:val="4A9F72BE"/>
    <w:rsid w:val="4AC578F8"/>
    <w:rsid w:val="4ACF1226"/>
    <w:rsid w:val="4AE922E8"/>
    <w:rsid w:val="4AF95B02"/>
    <w:rsid w:val="4B032ED2"/>
    <w:rsid w:val="4B0B4954"/>
    <w:rsid w:val="4B0F6EBE"/>
    <w:rsid w:val="4B1058C4"/>
    <w:rsid w:val="4B1E3B2B"/>
    <w:rsid w:val="4B340C5B"/>
    <w:rsid w:val="4B3762FD"/>
    <w:rsid w:val="4B3E33A3"/>
    <w:rsid w:val="4B481704"/>
    <w:rsid w:val="4B4E2A92"/>
    <w:rsid w:val="4B641F01"/>
    <w:rsid w:val="4B8D5369"/>
    <w:rsid w:val="4B920BD1"/>
    <w:rsid w:val="4BB01057"/>
    <w:rsid w:val="4BBB3648"/>
    <w:rsid w:val="4BC8467F"/>
    <w:rsid w:val="4BDB53AB"/>
    <w:rsid w:val="4BDD7A8B"/>
    <w:rsid w:val="4BE42812"/>
    <w:rsid w:val="4BF47196"/>
    <w:rsid w:val="4C0513A3"/>
    <w:rsid w:val="4C0D2006"/>
    <w:rsid w:val="4C2D3F8D"/>
    <w:rsid w:val="4C7402D7"/>
    <w:rsid w:val="4C8853A9"/>
    <w:rsid w:val="4C8D3147"/>
    <w:rsid w:val="4C9D62BC"/>
    <w:rsid w:val="4CA74208"/>
    <w:rsid w:val="4CB86415"/>
    <w:rsid w:val="4CCE2A6C"/>
    <w:rsid w:val="4CCF375F"/>
    <w:rsid w:val="4CDD69E7"/>
    <w:rsid w:val="4CE54D31"/>
    <w:rsid w:val="4CFB049C"/>
    <w:rsid w:val="4CFE53E3"/>
    <w:rsid w:val="4D001B6A"/>
    <w:rsid w:val="4D0244BA"/>
    <w:rsid w:val="4D06388C"/>
    <w:rsid w:val="4D1203EE"/>
    <w:rsid w:val="4D141C91"/>
    <w:rsid w:val="4D267823"/>
    <w:rsid w:val="4D332584"/>
    <w:rsid w:val="4D447CA9"/>
    <w:rsid w:val="4D587BF8"/>
    <w:rsid w:val="4D5B431E"/>
    <w:rsid w:val="4D605A13"/>
    <w:rsid w:val="4D706CF0"/>
    <w:rsid w:val="4D823625"/>
    <w:rsid w:val="4D9D6E87"/>
    <w:rsid w:val="4DA44BEC"/>
    <w:rsid w:val="4DA92F44"/>
    <w:rsid w:val="4DB43081"/>
    <w:rsid w:val="4DBB7F53"/>
    <w:rsid w:val="4DC27D1D"/>
    <w:rsid w:val="4DF36B3A"/>
    <w:rsid w:val="4DFD4457"/>
    <w:rsid w:val="4DFF0074"/>
    <w:rsid w:val="4E1378BD"/>
    <w:rsid w:val="4E1F24C4"/>
    <w:rsid w:val="4E217FEA"/>
    <w:rsid w:val="4E26606D"/>
    <w:rsid w:val="4E3E59EC"/>
    <w:rsid w:val="4E4D7031"/>
    <w:rsid w:val="4E6468FC"/>
    <w:rsid w:val="4E6B5986"/>
    <w:rsid w:val="4E74636C"/>
    <w:rsid w:val="4E7D41AC"/>
    <w:rsid w:val="4E8924B7"/>
    <w:rsid w:val="4ED82D9F"/>
    <w:rsid w:val="4EE06A9C"/>
    <w:rsid w:val="4F0A4599"/>
    <w:rsid w:val="4F0E056F"/>
    <w:rsid w:val="4F10078B"/>
    <w:rsid w:val="4F177B13"/>
    <w:rsid w:val="4F1B4F8F"/>
    <w:rsid w:val="4F3C03F9"/>
    <w:rsid w:val="4F581B68"/>
    <w:rsid w:val="4F5F72FE"/>
    <w:rsid w:val="4F881248"/>
    <w:rsid w:val="4F9662AF"/>
    <w:rsid w:val="4FA233AD"/>
    <w:rsid w:val="4FA56173"/>
    <w:rsid w:val="4FAC487A"/>
    <w:rsid w:val="4FB81003"/>
    <w:rsid w:val="4FC0333B"/>
    <w:rsid w:val="4FCB2904"/>
    <w:rsid w:val="4FD35314"/>
    <w:rsid w:val="4FE17411"/>
    <w:rsid w:val="4FE63648"/>
    <w:rsid w:val="4FF954B0"/>
    <w:rsid w:val="500D043B"/>
    <w:rsid w:val="501036E9"/>
    <w:rsid w:val="503B1837"/>
    <w:rsid w:val="503B1D58"/>
    <w:rsid w:val="504F7091"/>
    <w:rsid w:val="505E7C6E"/>
    <w:rsid w:val="50650662"/>
    <w:rsid w:val="506F14E1"/>
    <w:rsid w:val="50854860"/>
    <w:rsid w:val="50C730CB"/>
    <w:rsid w:val="5105515C"/>
    <w:rsid w:val="512A47D7"/>
    <w:rsid w:val="513C0C59"/>
    <w:rsid w:val="51477D68"/>
    <w:rsid w:val="514C7451"/>
    <w:rsid w:val="514E1E53"/>
    <w:rsid w:val="51585D51"/>
    <w:rsid w:val="515D7E0E"/>
    <w:rsid w:val="51622DF4"/>
    <w:rsid w:val="51964EBE"/>
    <w:rsid w:val="51A60F32"/>
    <w:rsid w:val="51AE2032"/>
    <w:rsid w:val="51B64EEE"/>
    <w:rsid w:val="51BD002A"/>
    <w:rsid w:val="51C07B1A"/>
    <w:rsid w:val="51D1067B"/>
    <w:rsid w:val="51D265D1"/>
    <w:rsid w:val="51D57A6A"/>
    <w:rsid w:val="51DD7ACF"/>
    <w:rsid w:val="51E33768"/>
    <w:rsid w:val="520E4B0A"/>
    <w:rsid w:val="5219190D"/>
    <w:rsid w:val="52302EF2"/>
    <w:rsid w:val="524D7600"/>
    <w:rsid w:val="525C1421"/>
    <w:rsid w:val="52733D14"/>
    <w:rsid w:val="528B5F99"/>
    <w:rsid w:val="52997135"/>
    <w:rsid w:val="52D90E94"/>
    <w:rsid w:val="52F368EA"/>
    <w:rsid w:val="530A48A5"/>
    <w:rsid w:val="530E1E69"/>
    <w:rsid w:val="5314221C"/>
    <w:rsid w:val="532B485B"/>
    <w:rsid w:val="533F3B89"/>
    <w:rsid w:val="53624CAE"/>
    <w:rsid w:val="5372356F"/>
    <w:rsid w:val="538F59F6"/>
    <w:rsid w:val="539D6365"/>
    <w:rsid w:val="53A7107A"/>
    <w:rsid w:val="53B92582"/>
    <w:rsid w:val="53CE7CE3"/>
    <w:rsid w:val="53DF5D8C"/>
    <w:rsid w:val="54106B37"/>
    <w:rsid w:val="54196C13"/>
    <w:rsid w:val="54244390"/>
    <w:rsid w:val="542C6808"/>
    <w:rsid w:val="544764A8"/>
    <w:rsid w:val="54615848"/>
    <w:rsid w:val="546926EB"/>
    <w:rsid w:val="54770964"/>
    <w:rsid w:val="547C41CC"/>
    <w:rsid w:val="5490291E"/>
    <w:rsid w:val="54945034"/>
    <w:rsid w:val="54981C61"/>
    <w:rsid w:val="54A82CD7"/>
    <w:rsid w:val="54BD29C9"/>
    <w:rsid w:val="54D47C10"/>
    <w:rsid w:val="54E5699F"/>
    <w:rsid w:val="54F06565"/>
    <w:rsid w:val="550D751A"/>
    <w:rsid w:val="552A3C28"/>
    <w:rsid w:val="55461CD0"/>
    <w:rsid w:val="55562C6F"/>
    <w:rsid w:val="55656CD1"/>
    <w:rsid w:val="55805F3E"/>
    <w:rsid w:val="5596730D"/>
    <w:rsid w:val="559A0800"/>
    <w:rsid w:val="55A55828"/>
    <w:rsid w:val="55A559A5"/>
    <w:rsid w:val="55B67B46"/>
    <w:rsid w:val="55BD2CEE"/>
    <w:rsid w:val="55EA414B"/>
    <w:rsid w:val="55EF09CE"/>
    <w:rsid w:val="56085CD7"/>
    <w:rsid w:val="56163164"/>
    <w:rsid w:val="562C4293"/>
    <w:rsid w:val="56347676"/>
    <w:rsid w:val="56417A96"/>
    <w:rsid w:val="564C37BA"/>
    <w:rsid w:val="56574EF1"/>
    <w:rsid w:val="5661367A"/>
    <w:rsid w:val="5667544F"/>
    <w:rsid w:val="56693587"/>
    <w:rsid w:val="567012E7"/>
    <w:rsid w:val="567E25C8"/>
    <w:rsid w:val="56876E58"/>
    <w:rsid w:val="56B37004"/>
    <w:rsid w:val="56B91ADC"/>
    <w:rsid w:val="56C65BD3"/>
    <w:rsid w:val="56C836F9"/>
    <w:rsid w:val="56DB339B"/>
    <w:rsid w:val="56DF0DD5"/>
    <w:rsid w:val="56E6127C"/>
    <w:rsid w:val="56F72230"/>
    <w:rsid w:val="571B04AD"/>
    <w:rsid w:val="571C1C97"/>
    <w:rsid w:val="572C012C"/>
    <w:rsid w:val="57392849"/>
    <w:rsid w:val="576A47B0"/>
    <w:rsid w:val="576E2B19"/>
    <w:rsid w:val="57712738"/>
    <w:rsid w:val="578E3178"/>
    <w:rsid w:val="579217C2"/>
    <w:rsid w:val="579B34A4"/>
    <w:rsid w:val="57A44166"/>
    <w:rsid w:val="57AF2B0B"/>
    <w:rsid w:val="57B8376D"/>
    <w:rsid w:val="57C53838"/>
    <w:rsid w:val="57C739B1"/>
    <w:rsid w:val="57D67B69"/>
    <w:rsid w:val="57F75816"/>
    <w:rsid w:val="580659AE"/>
    <w:rsid w:val="580764A3"/>
    <w:rsid w:val="58160494"/>
    <w:rsid w:val="582818A8"/>
    <w:rsid w:val="5836719B"/>
    <w:rsid w:val="58690EEA"/>
    <w:rsid w:val="586D09FC"/>
    <w:rsid w:val="5881047F"/>
    <w:rsid w:val="589477E8"/>
    <w:rsid w:val="589C308F"/>
    <w:rsid w:val="58A36F2D"/>
    <w:rsid w:val="58A42951"/>
    <w:rsid w:val="58BC0970"/>
    <w:rsid w:val="58E32A6C"/>
    <w:rsid w:val="592B73FA"/>
    <w:rsid w:val="59367EC7"/>
    <w:rsid w:val="59396B30"/>
    <w:rsid w:val="59633BAD"/>
    <w:rsid w:val="59914276"/>
    <w:rsid w:val="59AB5CE2"/>
    <w:rsid w:val="59CC52AE"/>
    <w:rsid w:val="59F42A57"/>
    <w:rsid w:val="59FB128F"/>
    <w:rsid w:val="5A046F00"/>
    <w:rsid w:val="5A0B7CD0"/>
    <w:rsid w:val="5A1257F8"/>
    <w:rsid w:val="5A137381"/>
    <w:rsid w:val="5A146C55"/>
    <w:rsid w:val="5A160C1F"/>
    <w:rsid w:val="5A1D0200"/>
    <w:rsid w:val="5A266FC0"/>
    <w:rsid w:val="5A455D9B"/>
    <w:rsid w:val="5A517EA9"/>
    <w:rsid w:val="5A5F25C6"/>
    <w:rsid w:val="5A6A0275"/>
    <w:rsid w:val="5A7F0572"/>
    <w:rsid w:val="5A8E6A07"/>
    <w:rsid w:val="5AA63D51"/>
    <w:rsid w:val="5AA72721"/>
    <w:rsid w:val="5AB91E1C"/>
    <w:rsid w:val="5ABD684B"/>
    <w:rsid w:val="5AE60011"/>
    <w:rsid w:val="5B00588A"/>
    <w:rsid w:val="5B1E422F"/>
    <w:rsid w:val="5B37709F"/>
    <w:rsid w:val="5B4E737A"/>
    <w:rsid w:val="5B57329D"/>
    <w:rsid w:val="5BA109BC"/>
    <w:rsid w:val="5BA65FD3"/>
    <w:rsid w:val="5BB0235D"/>
    <w:rsid w:val="5BCC3C8B"/>
    <w:rsid w:val="5BD112A2"/>
    <w:rsid w:val="5BE12FA3"/>
    <w:rsid w:val="5BE37C7D"/>
    <w:rsid w:val="5BF46D3E"/>
    <w:rsid w:val="5BFE5D5C"/>
    <w:rsid w:val="5C021642"/>
    <w:rsid w:val="5C07081F"/>
    <w:rsid w:val="5C142F3C"/>
    <w:rsid w:val="5C2F1804"/>
    <w:rsid w:val="5C494943"/>
    <w:rsid w:val="5C4952DC"/>
    <w:rsid w:val="5C4D6613"/>
    <w:rsid w:val="5C5703D7"/>
    <w:rsid w:val="5C5869C6"/>
    <w:rsid w:val="5C7560D1"/>
    <w:rsid w:val="5C917C8F"/>
    <w:rsid w:val="5C936557"/>
    <w:rsid w:val="5C961BA3"/>
    <w:rsid w:val="5CA97B29"/>
    <w:rsid w:val="5CB12E81"/>
    <w:rsid w:val="5CD03307"/>
    <w:rsid w:val="5CE4114B"/>
    <w:rsid w:val="5CFD63D8"/>
    <w:rsid w:val="5D123920"/>
    <w:rsid w:val="5D4B5084"/>
    <w:rsid w:val="5D52369F"/>
    <w:rsid w:val="5D656145"/>
    <w:rsid w:val="5D6A0E6B"/>
    <w:rsid w:val="5D7E0FB5"/>
    <w:rsid w:val="5D8866EC"/>
    <w:rsid w:val="5D8B3BCC"/>
    <w:rsid w:val="5D967CCA"/>
    <w:rsid w:val="5D9B2DBB"/>
    <w:rsid w:val="5D9F631C"/>
    <w:rsid w:val="5DA455F8"/>
    <w:rsid w:val="5DAD3649"/>
    <w:rsid w:val="5DAE1741"/>
    <w:rsid w:val="5DAF116F"/>
    <w:rsid w:val="5DBE3E9B"/>
    <w:rsid w:val="5DC50992"/>
    <w:rsid w:val="5DD706C5"/>
    <w:rsid w:val="5DF41CCC"/>
    <w:rsid w:val="5DF82DA6"/>
    <w:rsid w:val="5DFF0180"/>
    <w:rsid w:val="5E027CB9"/>
    <w:rsid w:val="5E36363E"/>
    <w:rsid w:val="5E3E0B9A"/>
    <w:rsid w:val="5E3E24F3"/>
    <w:rsid w:val="5E766130"/>
    <w:rsid w:val="5E7F4FE5"/>
    <w:rsid w:val="5EA42C9D"/>
    <w:rsid w:val="5EA61D2A"/>
    <w:rsid w:val="5EB149B2"/>
    <w:rsid w:val="5EB629D1"/>
    <w:rsid w:val="5EBF421E"/>
    <w:rsid w:val="5EE17A4E"/>
    <w:rsid w:val="5F117C07"/>
    <w:rsid w:val="5F28567D"/>
    <w:rsid w:val="5F296CFF"/>
    <w:rsid w:val="5F5F0BA2"/>
    <w:rsid w:val="5F801B64"/>
    <w:rsid w:val="5F932D18"/>
    <w:rsid w:val="5F9C3975"/>
    <w:rsid w:val="5FA75E4E"/>
    <w:rsid w:val="5FC15189"/>
    <w:rsid w:val="5FD749AD"/>
    <w:rsid w:val="5FE73417"/>
    <w:rsid w:val="5FF46C74"/>
    <w:rsid w:val="5FF612D7"/>
    <w:rsid w:val="60011A2A"/>
    <w:rsid w:val="60053354"/>
    <w:rsid w:val="6005776C"/>
    <w:rsid w:val="600A6B30"/>
    <w:rsid w:val="600E5712"/>
    <w:rsid w:val="600F2399"/>
    <w:rsid w:val="6014175D"/>
    <w:rsid w:val="60177E49"/>
    <w:rsid w:val="60206354"/>
    <w:rsid w:val="603363B5"/>
    <w:rsid w:val="603B4AC8"/>
    <w:rsid w:val="60557B42"/>
    <w:rsid w:val="605B6755"/>
    <w:rsid w:val="6084125B"/>
    <w:rsid w:val="608F64D8"/>
    <w:rsid w:val="60905708"/>
    <w:rsid w:val="60974DF7"/>
    <w:rsid w:val="609A6F80"/>
    <w:rsid w:val="609D5E6D"/>
    <w:rsid w:val="609F3CFC"/>
    <w:rsid w:val="60B07765"/>
    <w:rsid w:val="60C31F53"/>
    <w:rsid w:val="60E07EDA"/>
    <w:rsid w:val="60F4333C"/>
    <w:rsid w:val="60F8107F"/>
    <w:rsid w:val="610C4B2A"/>
    <w:rsid w:val="612C0D28"/>
    <w:rsid w:val="613100ED"/>
    <w:rsid w:val="61483DB4"/>
    <w:rsid w:val="61720E31"/>
    <w:rsid w:val="61761FA3"/>
    <w:rsid w:val="6183303E"/>
    <w:rsid w:val="61891CD7"/>
    <w:rsid w:val="618D7A19"/>
    <w:rsid w:val="61A92846"/>
    <w:rsid w:val="61AB4343"/>
    <w:rsid w:val="61B76844"/>
    <w:rsid w:val="61C3168D"/>
    <w:rsid w:val="61FE0AD0"/>
    <w:rsid w:val="621A4CCD"/>
    <w:rsid w:val="622652BB"/>
    <w:rsid w:val="62297FF7"/>
    <w:rsid w:val="62534BEB"/>
    <w:rsid w:val="626562A0"/>
    <w:rsid w:val="626A1B08"/>
    <w:rsid w:val="62716746"/>
    <w:rsid w:val="62761B04"/>
    <w:rsid w:val="62837F66"/>
    <w:rsid w:val="62881996"/>
    <w:rsid w:val="628A03FC"/>
    <w:rsid w:val="628D6B15"/>
    <w:rsid w:val="62922E0D"/>
    <w:rsid w:val="62B13874"/>
    <w:rsid w:val="62B77369"/>
    <w:rsid w:val="62C57A58"/>
    <w:rsid w:val="62CF7BBD"/>
    <w:rsid w:val="62D943E0"/>
    <w:rsid w:val="62F647CF"/>
    <w:rsid w:val="632D50C6"/>
    <w:rsid w:val="63424833"/>
    <w:rsid w:val="63593E39"/>
    <w:rsid w:val="635A1B7D"/>
    <w:rsid w:val="63641ACC"/>
    <w:rsid w:val="63672753"/>
    <w:rsid w:val="636E73D6"/>
    <w:rsid w:val="636F17F4"/>
    <w:rsid w:val="6372336A"/>
    <w:rsid w:val="637706CF"/>
    <w:rsid w:val="637C5F97"/>
    <w:rsid w:val="638C3D00"/>
    <w:rsid w:val="638E0D2F"/>
    <w:rsid w:val="639B3C1A"/>
    <w:rsid w:val="63A16BF8"/>
    <w:rsid w:val="63A728E8"/>
    <w:rsid w:val="63AD0583"/>
    <w:rsid w:val="63D63F7C"/>
    <w:rsid w:val="63EA23E4"/>
    <w:rsid w:val="6410048D"/>
    <w:rsid w:val="642F125B"/>
    <w:rsid w:val="643C74D4"/>
    <w:rsid w:val="64524F4A"/>
    <w:rsid w:val="64632CB3"/>
    <w:rsid w:val="646527C6"/>
    <w:rsid w:val="64682077"/>
    <w:rsid w:val="64786EB7"/>
    <w:rsid w:val="64A010A4"/>
    <w:rsid w:val="64B41760"/>
    <w:rsid w:val="64CB1C0A"/>
    <w:rsid w:val="64CC6DC6"/>
    <w:rsid w:val="64D651F4"/>
    <w:rsid w:val="650A312E"/>
    <w:rsid w:val="650C334B"/>
    <w:rsid w:val="652C12F7"/>
    <w:rsid w:val="653B5B23"/>
    <w:rsid w:val="654D23C7"/>
    <w:rsid w:val="656C331A"/>
    <w:rsid w:val="657F58CB"/>
    <w:rsid w:val="65940840"/>
    <w:rsid w:val="659C513F"/>
    <w:rsid w:val="65A215B9"/>
    <w:rsid w:val="65AF2B5F"/>
    <w:rsid w:val="65B141D8"/>
    <w:rsid w:val="65B5753E"/>
    <w:rsid w:val="65D95CF7"/>
    <w:rsid w:val="65E62E7A"/>
    <w:rsid w:val="65F66A45"/>
    <w:rsid w:val="66432D9C"/>
    <w:rsid w:val="6651045E"/>
    <w:rsid w:val="66581B5A"/>
    <w:rsid w:val="665E3732"/>
    <w:rsid w:val="66602206"/>
    <w:rsid w:val="66684A71"/>
    <w:rsid w:val="666D4F12"/>
    <w:rsid w:val="66827F9D"/>
    <w:rsid w:val="66925960"/>
    <w:rsid w:val="6692787F"/>
    <w:rsid w:val="669D6A02"/>
    <w:rsid w:val="66AD290B"/>
    <w:rsid w:val="66EC7F6C"/>
    <w:rsid w:val="66F2338B"/>
    <w:rsid w:val="67000C8D"/>
    <w:rsid w:val="670F0739"/>
    <w:rsid w:val="67191D4F"/>
    <w:rsid w:val="67204E8B"/>
    <w:rsid w:val="67402739"/>
    <w:rsid w:val="67BB5990"/>
    <w:rsid w:val="67BC2052"/>
    <w:rsid w:val="67CC0761"/>
    <w:rsid w:val="67DA7730"/>
    <w:rsid w:val="67E91721"/>
    <w:rsid w:val="67F105D6"/>
    <w:rsid w:val="680841F1"/>
    <w:rsid w:val="680E5192"/>
    <w:rsid w:val="680E73DA"/>
    <w:rsid w:val="68131929"/>
    <w:rsid w:val="681A3036"/>
    <w:rsid w:val="68294213"/>
    <w:rsid w:val="683E7CBF"/>
    <w:rsid w:val="68434F6E"/>
    <w:rsid w:val="689F1E59"/>
    <w:rsid w:val="68B50EF2"/>
    <w:rsid w:val="68BC318F"/>
    <w:rsid w:val="68C1269E"/>
    <w:rsid w:val="68DB72BC"/>
    <w:rsid w:val="68EC14C9"/>
    <w:rsid w:val="68F13272"/>
    <w:rsid w:val="69006D22"/>
    <w:rsid w:val="69012A9A"/>
    <w:rsid w:val="690A5DF3"/>
    <w:rsid w:val="690F6F65"/>
    <w:rsid w:val="691E27F7"/>
    <w:rsid w:val="693E407F"/>
    <w:rsid w:val="69513A22"/>
    <w:rsid w:val="6954706E"/>
    <w:rsid w:val="69683870"/>
    <w:rsid w:val="699110D7"/>
    <w:rsid w:val="69923778"/>
    <w:rsid w:val="69966E23"/>
    <w:rsid w:val="69A51678"/>
    <w:rsid w:val="69C631FE"/>
    <w:rsid w:val="69E228CC"/>
    <w:rsid w:val="69EC5DE8"/>
    <w:rsid w:val="69F452BC"/>
    <w:rsid w:val="69F85BB3"/>
    <w:rsid w:val="69FE067A"/>
    <w:rsid w:val="6A1C7FE3"/>
    <w:rsid w:val="6A210462"/>
    <w:rsid w:val="6A212469"/>
    <w:rsid w:val="6A241D9D"/>
    <w:rsid w:val="6A5E2055"/>
    <w:rsid w:val="6A7259FE"/>
    <w:rsid w:val="6A8832BB"/>
    <w:rsid w:val="6A941E18"/>
    <w:rsid w:val="6A942593"/>
    <w:rsid w:val="6A9A6D03"/>
    <w:rsid w:val="6AAD178D"/>
    <w:rsid w:val="6AAE28D6"/>
    <w:rsid w:val="6AB73874"/>
    <w:rsid w:val="6AD23B02"/>
    <w:rsid w:val="6B036F9E"/>
    <w:rsid w:val="6B07083C"/>
    <w:rsid w:val="6B0D5727"/>
    <w:rsid w:val="6B1E7934"/>
    <w:rsid w:val="6B4006E1"/>
    <w:rsid w:val="6B4E4875"/>
    <w:rsid w:val="6B4F76E8"/>
    <w:rsid w:val="6B533A81"/>
    <w:rsid w:val="6B60764E"/>
    <w:rsid w:val="6B6C069F"/>
    <w:rsid w:val="6B7439F8"/>
    <w:rsid w:val="6B797260"/>
    <w:rsid w:val="6B7F02D9"/>
    <w:rsid w:val="6B863082"/>
    <w:rsid w:val="6BA14108"/>
    <w:rsid w:val="6BA9132D"/>
    <w:rsid w:val="6BD77E7F"/>
    <w:rsid w:val="6BEF307E"/>
    <w:rsid w:val="6BFF7765"/>
    <w:rsid w:val="6C031B05"/>
    <w:rsid w:val="6C0B610A"/>
    <w:rsid w:val="6C0E1756"/>
    <w:rsid w:val="6C12075B"/>
    <w:rsid w:val="6C1568CB"/>
    <w:rsid w:val="6C1A559E"/>
    <w:rsid w:val="6C1F6219"/>
    <w:rsid w:val="6C33653A"/>
    <w:rsid w:val="6C353187"/>
    <w:rsid w:val="6C3D64DF"/>
    <w:rsid w:val="6C543D02"/>
    <w:rsid w:val="6C567ACE"/>
    <w:rsid w:val="6C5F620F"/>
    <w:rsid w:val="6C762F3B"/>
    <w:rsid w:val="6C7F7E49"/>
    <w:rsid w:val="6CB70F1F"/>
    <w:rsid w:val="6CBA4774"/>
    <w:rsid w:val="6CC649E7"/>
    <w:rsid w:val="6CE96FD8"/>
    <w:rsid w:val="6CF04AB8"/>
    <w:rsid w:val="6D045452"/>
    <w:rsid w:val="6D27431E"/>
    <w:rsid w:val="6D390A55"/>
    <w:rsid w:val="6D4D62AE"/>
    <w:rsid w:val="6D593B65"/>
    <w:rsid w:val="6D68758C"/>
    <w:rsid w:val="6D714693"/>
    <w:rsid w:val="6D997745"/>
    <w:rsid w:val="6D9B26DD"/>
    <w:rsid w:val="6DA76E11"/>
    <w:rsid w:val="6DB85010"/>
    <w:rsid w:val="6DBD3434"/>
    <w:rsid w:val="6DC2298A"/>
    <w:rsid w:val="6DC722FA"/>
    <w:rsid w:val="6DCB7A19"/>
    <w:rsid w:val="6DD63018"/>
    <w:rsid w:val="6DDA5CDD"/>
    <w:rsid w:val="6DDE7080"/>
    <w:rsid w:val="6DEF55B7"/>
    <w:rsid w:val="6DF57333"/>
    <w:rsid w:val="6E284141"/>
    <w:rsid w:val="6E36739E"/>
    <w:rsid w:val="6E3A0F28"/>
    <w:rsid w:val="6E4C7CFD"/>
    <w:rsid w:val="6E533D98"/>
    <w:rsid w:val="6E595A09"/>
    <w:rsid w:val="6E661C4B"/>
    <w:rsid w:val="6E661D1D"/>
    <w:rsid w:val="6E7206C2"/>
    <w:rsid w:val="6E735ACE"/>
    <w:rsid w:val="6E737F96"/>
    <w:rsid w:val="6E880160"/>
    <w:rsid w:val="6EA34522"/>
    <w:rsid w:val="6EAB7D8A"/>
    <w:rsid w:val="6EB55190"/>
    <w:rsid w:val="6EB570F1"/>
    <w:rsid w:val="6EB74327"/>
    <w:rsid w:val="6EB83BFB"/>
    <w:rsid w:val="6EC35962"/>
    <w:rsid w:val="6ED547AD"/>
    <w:rsid w:val="6ED77E7B"/>
    <w:rsid w:val="6EED534E"/>
    <w:rsid w:val="6EF02839"/>
    <w:rsid w:val="6EF54E4F"/>
    <w:rsid w:val="6EF72E9F"/>
    <w:rsid w:val="6F2362C6"/>
    <w:rsid w:val="6F5F71DE"/>
    <w:rsid w:val="6F752D2D"/>
    <w:rsid w:val="6F77163A"/>
    <w:rsid w:val="6F9B59F7"/>
    <w:rsid w:val="6F9F1350"/>
    <w:rsid w:val="6FC37F56"/>
    <w:rsid w:val="6FC4095F"/>
    <w:rsid w:val="6FEC6FCE"/>
    <w:rsid w:val="6FFB1112"/>
    <w:rsid w:val="6FFD4727"/>
    <w:rsid w:val="70014F35"/>
    <w:rsid w:val="70082960"/>
    <w:rsid w:val="7016507D"/>
    <w:rsid w:val="701D48A4"/>
    <w:rsid w:val="70436E4A"/>
    <w:rsid w:val="704C4CCD"/>
    <w:rsid w:val="70553DF8"/>
    <w:rsid w:val="7056191E"/>
    <w:rsid w:val="70691651"/>
    <w:rsid w:val="707D1C40"/>
    <w:rsid w:val="7086127D"/>
    <w:rsid w:val="70B34FC2"/>
    <w:rsid w:val="70C943AC"/>
    <w:rsid w:val="70CA7ABA"/>
    <w:rsid w:val="70CD1CC2"/>
    <w:rsid w:val="70D3508E"/>
    <w:rsid w:val="70E37655"/>
    <w:rsid w:val="70F45895"/>
    <w:rsid w:val="711D41EA"/>
    <w:rsid w:val="713B2DF3"/>
    <w:rsid w:val="7140159C"/>
    <w:rsid w:val="71456464"/>
    <w:rsid w:val="717958C4"/>
    <w:rsid w:val="71C0203C"/>
    <w:rsid w:val="71C31235"/>
    <w:rsid w:val="71DE58E6"/>
    <w:rsid w:val="71E91A3A"/>
    <w:rsid w:val="71EF23D9"/>
    <w:rsid w:val="721E646B"/>
    <w:rsid w:val="72284FDE"/>
    <w:rsid w:val="724A45D8"/>
    <w:rsid w:val="725F2166"/>
    <w:rsid w:val="72603664"/>
    <w:rsid w:val="72734A09"/>
    <w:rsid w:val="728313C6"/>
    <w:rsid w:val="72871FD2"/>
    <w:rsid w:val="72AA0928"/>
    <w:rsid w:val="72AE77EF"/>
    <w:rsid w:val="72BE604A"/>
    <w:rsid w:val="72E476B5"/>
    <w:rsid w:val="72F77CB0"/>
    <w:rsid w:val="73216213"/>
    <w:rsid w:val="732B0E40"/>
    <w:rsid w:val="732B52E4"/>
    <w:rsid w:val="732B7092"/>
    <w:rsid w:val="73597B32"/>
    <w:rsid w:val="7362231C"/>
    <w:rsid w:val="737A6252"/>
    <w:rsid w:val="73A409FB"/>
    <w:rsid w:val="73A66718"/>
    <w:rsid w:val="73B452D9"/>
    <w:rsid w:val="73B726D3"/>
    <w:rsid w:val="73CB43D1"/>
    <w:rsid w:val="73CF3EC1"/>
    <w:rsid w:val="73D239B1"/>
    <w:rsid w:val="73F04040"/>
    <w:rsid w:val="7417659F"/>
    <w:rsid w:val="74177616"/>
    <w:rsid w:val="742F670E"/>
    <w:rsid w:val="7441037B"/>
    <w:rsid w:val="744228E5"/>
    <w:rsid w:val="745028BB"/>
    <w:rsid w:val="745B2947"/>
    <w:rsid w:val="74696205"/>
    <w:rsid w:val="746A5D06"/>
    <w:rsid w:val="74730CF0"/>
    <w:rsid w:val="748051BB"/>
    <w:rsid w:val="74825555"/>
    <w:rsid w:val="74890514"/>
    <w:rsid w:val="749D288D"/>
    <w:rsid w:val="74D3178F"/>
    <w:rsid w:val="74E63EFB"/>
    <w:rsid w:val="74E95458"/>
    <w:rsid w:val="750453A7"/>
    <w:rsid w:val="750648B2"/>
    <w:rsid w:val="75181898"/>
    <w:rsid w:val="751D3132"/>
    <w:rsid w:val="754461E9"/>
    <w:rsid w:val="755F3023"/>
    <w:rsid w:val="757E138A"/>
    <w:rsid w:val="757E2243"/>
    <w:rsid w:val="7585111F"/>
    <w:rsid w:val="75B6546C"/>
    <w:rsid w:val="75CF1E94"/>
    <w:rsid w:val="75F221B0"/>
    <w:rsid w:val="76070349"/>
    <w:rsid w:val="76422F21"/>
    <w:rsid w:val="764A0D7B"/>
    <w:rsid w:val="764E578E"/>
    <w:rsid w:val="765471DB"/>
    <w:rsid w:val="76684159"/>
    <w:rsid w:val="766975F4"/>
    <w:rsid w:val="766B5D21"/>
    <w:rsid w:val="76724BEE"/>
    <w:rsid w:val="76724FD8"/>
    <w:rsid w:val="7678238A"/>
    <w:rsid w:val="767A1145"/>
    <w:rsid w:val="767F5D82"/>
    <w:rsid w:val="76AE7BE8"/>
    <w:rsid w:val="76B146A9"/>
    <w:rsid w:val="76B37127"/>
    <w:rsid w:val="76B54895"/>
    <w:rsid w:val="76D14890"/>
    <w:rsid w:val="76DA096B"/>
    <w:rsid w:val="76EC4369"/>
    <w:rsid w:val="76F27A7F"/>
    <w:rsid w:val="77126131"/>
    <w:rsid w:val="771F0CBB"/>
    <w:rsid w:val="77281627"/>
    <w:rsid w:val="773C1CB6"/>
    <w:rsid w:val="775748F9"/>
    <w:rsid w:val="77585F7B"/>
    <w:rsid w:val="776112D4"/>
    <w:rsid w:val="778154D2"/>
    <w:rsid w:val="77A2369A"/>
    <w:rsid w:val="77A411C1"/>
    <w:rsid w:val="77A94A29"/>
    <w:rsid w:val="77BD2282"/>
    <w:rsid w:val="77CB2BF1"/>
    <w:rsid w:val="77E67A2B"/>
    <w:rsid w:val="77FB6742"/>
    <w:rsid w:val="780F6F82"/>
    <w:rsid w:val="782D0F2A"/>
    <w:rsid w:val="782F2653"/>
    <w:rsid w:val="783B7DD5"/>
    <w:rsid w:val="784F604F"/>
    <w:rsid w:val="7851759A"/>
    <w:rsid w:val="78520C1D"/>
    <w:rsid w:val="78680440"/>
    <w:rsid w:val="786C7F30"/>
    <w:rsid w:val="788F5620"/>
    <w:rsid w:val="78930E2C"/>
    <w:rsid w:val="78AB64A5"/>
    <w:rsid w:val="78C22246"/>
    <w:rsid w:val="78C76A47"/>
    <w:rsid w:val="78D36201"/>
    <w:rsid w:val="78E3020E"/>
    <w:rsid w:val="78E53565"/>
    <w:rsid w:val="78EF290F"/>
    <w:rsid w:val="78FD1E3E"/>
    <w:rsid w:val="790D22C6"/>
    <w:rsid w:val="791D56CF"/>
    <w:rsid w:val="792C5912"/>
    <w:rsid w:val="79517126"/>
    <w:rsid w:val="795257AB"/>
    <w:rsid w:val="795D3D1D"/>
    <w:rsid w:val="796542CB"/>
    <w:rsid w:val="796C6890"/>
    <w:rsid w:val="79704E38"/>
    <w:rsid w:val="7993773F"/>
    <w:rsid w:val="79A04FF4"/>
    <w:rsid w:val="79A63C5D"/>
    <w:rsid w:val="79A74F98"/>
    <w:rsid w:val="79D94D0C"/>
    <w:rsid w:val="79F24465"/>
    <w:rsid w:val="79F44E2E"/>
    <w:rsid w:val="79F71A7C"/>
    <w:rsid w:val="79FE1940"/>
    <w:rsid w:val="7A087E4F"/>
    <w:rsid w:val="7A1D28A6"/>
    <w:rsid w:val="7A287E87"/>
    <w:rsid w:val="7A2F68BA"/>
    <w:rsid w:val="7A4822D7"/>
    <w:rsid w:val="7A4831E2"/>
    <w:rsid w:val="7A583B2A"/>
    <w:rsid w:val="7A5E1AFB"/>
    <w:rsid w:val="7A5E1F84"/>
    <w:rsid w:val="7A652E89"/>
    <w:rsid w:val="7A666C01"/>
    <w:rsid w:val="7A6D7F90"/>
    <w:rsid w:val="7AAF0708"/>
    <w:rsid w:val="7AB83901"/>
    <w:rsid w:val="7AC17246"/>
    <w:rsid w:val="7AC676A0"/>
    <w:rsid w:val="7ACC115A"/>
    <w:rsid w:val="7ACF5E3E"/>
    <w:rsid w:val="7ADD216B"/>
    <w:rsid w:val="7ADD5115"/>
    <w:rsid w:val="7AE40AEA"/>
    <w:rsid w:val="7AEC35AA"/>
    <w:rsid w:val="7AEE7323"/>
    <w:rsid w:val="7AF15870"/>
    <w:rsid w:val="7B046B46"/>
    <w:rsid w:val="7B0C77A9"/>
    <w:rsid w:val="7B217C65"/>
    <w:rsid w:val="7B705F89"/>
    <w:rsid w:val="7B76497D"/>
    <w:rsid w:val="7B7A0BB6"/>
    <w:rsid w:val="7B871525"/>
    <w:rsid w:val="7B8F3F36"/>
    <w:rsid w:val="7B96103C"/>
    <w:rsid w:val="7BA4016E"/>
    <w:rsid w:val="7BBA49A3"/>
    <w:rsid w:val="7BC2430B"/>
    <w:rsid w:val="7BD008BB"/>
    <w:rsid w:val="7BDC53CD"/>
    <w:rsid w:val="7BFA1AE8"/>
    <w:rsid w:val="7C093CE8"/>
    <w:rsid w:val="7C2B1EB0"/>
    <w:rsid w:val="7C2F1C26"/>
    <w:rsid w:val="7C39281F"/>
    <w:rsid w:val="7C3A1E14"/>
    <w:rsid w:val="7C466D2D"/>
    <w:rsid w:val="7C69271F"/>
    <w:rsid w:val="7C773348"/>
    <w:rsid w:val="7C7F6AF7"/>
    <w:rsid w:val="7C9931A2"/>
    <w:rsid w:val="7CAE4C51"/>
    <w:rsid w:val="7CAF2AE1"/>
    <w:rsid w:val="7CCE1986"/>
    <w:rsid w:val="7CD10CAA"/>
    <w:rsid w:val="7CE7709B"/>
    <w:rsid w:val="7CF05083"/>
    <w:rsid w:val="7D052D9F"/>
    <w:rsid w:val="7D11554A"/>
    <w:rsid w:val="7D1961AD"/>
    <w:rsid w:val="7D284839"/>
    <w:rsid w:val="7D4E0F4E"/>
    <w:rsid w:val="7D503A90"/>
    <w:rsid w:val="7D567401"/>
    <w:rsid w:val="7D580A83"/>
    <w:rsid w:val="7D5E1E12"/>
    <w:rsid w:val="7D630A43"/>
    <w:rsid w:val="7D6457E7"/>
    <w:rsid w:val="7D8201F6"/>
    <w:rsid w:val="7D8B1D9A"/>
    <w:rsid w:val="7D8D2964"/>
    <w:rsid w:val="7D951CD7"/>
    <w:rsid w:val="7D990506"/>
    <w:rsid w:val="7DB76175"/>
    <w:rsid w:val="7DD65E4C"/>
    <w:rsid w:val="7E0048C7"/>
    <w:rsid w:val="7E1664EC"/>
    <w:rsid w:val="7E1C7143"/>
    <w:rsid w:val="7E3808B5"/>
    <w:rsid w:val="7E413C0D"/>
    <w:rsid w:val="7E4C0643"/>
    <w:rsid w:val="7E4D4360"/>
    <w:rsid w:val="7E8906AF"/>
    <w:rsid w:val="7E9D07A7"/>
    <w:rsid w:val="7EA146AC"/>
    <w:rsid w:val="7EB97339"/>
    <w:rsid w:val="7EC1023D"/>
    <w:rsid w:val="7EF36664"/>
    <w:rsid w:val="7EFB200E"/>
    <w:rsid w:val="7F030EC3"/>
    <w:rsid w:val="7F032C71"/>
    <w:rsid w:val="7F052E8D"/>
    <w:rsid w:val="7F1B5BE6"/>
    <w:rsid w:val="7F315A30"/>
    <w:rsid w:val="7F3379FA"/>
    <w:rsid w:val="7F370B6C"/>
    <w:rsid w:val="7F392B36"/>
    <w:rsid w:val="7F4E65E2"/>
    <w:rsid w:val="7F5F6799"/>
    <w:rsid w:val="7F6C4CBA"/>
    <w:rsid w:val="7F6E0A32"/>
    <w:rsid w:val="7F7E4B5A"/>
    <w:rsid w:val="7F82348A"/>
    <w:rsid w:val="7F946A12"/>
    <w:rsid w:val="7F965CAA"/>
    <w:rsid w:val="7FA25D00"/>
    <w:rsid w:val="7FAC4D7B"/>
    <w:rsid w:val="7FBD5515"/>
    <w:rsid w:val="7FCA00A4"/>
    <w:rsid w:val="7FDF3591"/>
    <w:rsid w:val="7FEA3B24"/>
    <w:rsid w:val="7FEE56CF"/>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1"/>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59"/>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55"/>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61"/>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43"/>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53"/>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64"/>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65"/>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66"/>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105"/>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toc 7"/>
    <w:basedOn w:val="1"/>
    <w:next w:val="1"/>
    <w:autoRedefine/>
    <w:unhideWhenUsed/>
    <w:qFormat/>
    <w:uiPriority w:val="39"/>
    <w:pPr>
      <w:ind w:left="2520" w:leftChars="1200"/>
    </w:pPr>
  </w:style>
  <w:style w:type="paragraph" w:styleId="13">
    <w:name w:val="Normal Indent"/>
    <w:basedOn w:val="1"/>
    <w:next w:val="14"/>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customStyle="1" w:styleId="14">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15">
    <w:name w:val="caption"/>
    <w:basedOn w:val="1"/>
    <w:next w:val="1"/>
    <w:link w:val="94"/>
    <w:autoRedefine/>
    <w:qFormat/>
    <w:uiPriority w:val="0"/>
    <w:pPr>
      <w:autoSpaceDE w:val="0"/>
      <w:autoSpaceDN w:val="0"/>
      <w:adjustRightInd w:val="0"/>
      <w:spacing w:before="152" w:after="160"/>
      <w:jc w:val="left"/>
    </w:pPr>
    <w:rPr>
      <w:rFonts w:ascii="Arial" w:hAnsi="Arial" w:eastAsia="黑体" w:cs="Arial"/>
    </w:rPr>
  </w:style>
  <w:style w:type="paragraph" w:styleId="16">
    <w:name w:val="Document Map"/>
    <w:basedOn w:val="1"/>
    <w:link w:val="127"/>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7">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8">
    <w:name w:val="annotation text"/>
    <w:basedOn w:val="1"/>
    <w:link w:val="174"/>
    <w:autoRedefine/>
    <w:unhideWhenUsed/>
    <w:qFormat/>
    <w:uiPriority w:val="99"/>
    <w:pPr>
      <w:jc w:val="left"/>
    </w:pPr>
    <w:rPr>
      <w:rFonts w:hint="eastAsia" w:ascii="等线" w:hAnsi="等线" w:eastAsia="等线" w:cs="Times New Roman"/>
    </w:rPr>
  </w:style>
  <w:style w:type="paragraph" w:styleId="19">
    <w:name w:val="Body Text 3"/>
    <w:basedOn w:val="1"/>
    <w:link w:val="167"/>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0">
    <w:name w:val="Body Text"/>
    <w:basedOn w:val="1"/>
    <w:next w:val="1"/>
    <w:link w:val="129"/>
    <w:autoRedefine/>
    <w:qFormat/>
    <w:uiPriority w:val="99"/>
    <w:pPr>
      <w:autoSpaceDE w:val="0"/>
      <w:autoSpaceDN w:val="0"/>
      <w:adjustRightInd w:val="0"/>
      <w:ind w:right="-26"/>
      <w:jc w:val="center"/>
    </w:pPr>
    <w:rPr>
      <w:rFonts w:ascii="宋体" w:eastAsia="宋体"/>
      <w:b/>
      <w:bCs/>
      <w:sz w:val="84"/>
      <w:szCs w:val="84"/>
      <w:lang w:val="zh-CN"/>
    </w:rPr>
  </w:style>
  <w:style w:type="paragraph" w:styleId="21">
    <w:name w:val="Body Text Indent"/>
    <w:basedOn w:val="1"/>
    <w:link w:val="103"/>
    <w:autoRedefine/>
    <w:qFormat/>
    <w:uiPriority w:val="0"/>
    <w:pPr>
      <w:ind w:left="567" w:leftChars="270"/>
    </w:pPr>
    <w:rPr>
      <w:rFonts w:ascii="Times New Roman" w:hAnsi="Times New Roman" w:eastAsia="宋体" w:cs="Times New Roman"/>
      <w:szCs w:val="20"/>
    </w:rPr>
  </w:style>
  <w:style w:type="paragraph" w:styleId="22">
    <w:name w:val="toc 5"/>
    <w:basedOn w:val="1"/>
    <w:next w:val="1"/>
    <w:autoRedefine/>
    <w:unhideWhenUsed/>
    <w:qFormat/>
    <w:uiPriority w:val="39"/>
    <w:pPr>
      <w:ind w:left="1680" w:leftChars="800"/>
    </w:pPr>
  </w:style>
  <w:style w:type="paragraph" w:styleId="23">
    <w:name w:val="toc 3"/>
    <w:basedOn w:val="1"/>
    <w:next w:val="1"/>
    <w:autoRedefine/>
    <w:unhideWhenUsed/>
    <w:qFormat/>
    <w:uiPriority w:val="39"/>
    <w:pPr>
      <w:tabs>
        <w:tab w:val="right" w:leader="dot" w:pos="10144"/>
      </w:tabs>
      <w:ind w:left="840" w:leftChars="400"/>
    </w:pPr>
  </w:style>
  <w:style w:type="paragraph" w:styleId="24">
    <w:name w:val="Plain Text"/>
    <w:basedOn w:val="1"/>
    <w:next w:val="25"/>
    <w:link w:val="111"/>
    <w:autoRedefine/>
    <w:qFormat/>
    <w:uiPriority w:val="0"/>
    <w:rPr>
      <w:rFonts w:ascii="宋体" w:hAnsi="Courier New" w:eastAsia="宋体"/>
    </w:rPr>
  </w:style>
  <w:style w:type="paragraph" w:styleId="25">
    <w:name w:val="footer"/>
    <w:basedOn w:val="1"/>
    <w:link w:val="213"/>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toc 8"/>
    <w:basedOn w:val="1"/>
    <w:next w:val="1"/>
    <w:autoRedefine/>
    <w:unhideWhenUsed/>
    <w:qFormat/>
    <w:uiPriority w:val="39"/>
    <w:pPr>
      <w:ind w:left="2940" w:leftChars="1400"/>
    </w:pPr>
  </w:style>
  <w:style w:type="paragraph" w:styleId="27">
    <w:name w:val="Date"/>
    <w:basedOn w:val="1"/>
    <w:next w:val="1"/>
    <w:link w:val="119"/>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8">
    <w:name w:val="Body Text Indent 2"/>
    <w:basedOn w:val="1"/>
    <w:link w:val="112"/>
    <w:autoRedefine/>
    <w:qFormat/>
    <w:uiPriority w:val="0"/>
    <w:pPr>
      <w:tabs>
        <w:tab w:val="left" w:pos="8640"/>
      </w:tabs>
      <w:ind w:left="1260"/>
    </w:pPr>
    <w:rPr>
      <w:rFonts w:ascii="宋体" w:hAnsi="Times New Roman" w:eastAsia="宋体" w:cs="Times New Roman"/>
      <w:szCs w:val="20"/>
    </w:rPr>
  </w:style>
  <w:style w:type="paragraph" w:styleId="29">
    <w:name w:val="Balloon Text"/>
    <w:basedOn w:val="1"/>
    <w:link w:val="85"/>
    <w:autoRedefine/>
    <w:qFormat/>
    <w:uiPriority w:val="0"/>
    <w:rPr>
      <w:rFonts w:ascii="Times New Roman" w:hAnsi="Times New Roman" w:eastAsia="宋体" w:cs="Times New Roman"/>
      <w:sz w:val="18"/>
      <w:szCs w:val="18"/>
    </w:rPr>
  </w:style>
  <w:style w:type="paragraph" w:styleId="30">
    <w:name w:val="header"/>
    <w:basedOn w:val="1"/>
    <w:link w:val="131"/>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31">
    <w:name w:val="toc 1"/>
    <w:basedOn w:val="1"/>
    <w:next w:val="1"/>
    <w:autoRedefine/>
    <w:unhideWhenUsed/>
    <w:qFormat/>
    <w:uiPriority w:val="39"/>
  </w:style>
  <w:style w:type="paragraph" w:styleId="32">
    <w:name w:val="toc 4"/>
    <w:basedOn w:val="1"/>
    <w:next w:val="1"/>
    <w:autoRedefine/>
    <w:unhideWhenUsed/>
    <w:qFormat/>
    <w:uiPriority w:val="39"/>
    <w:pPr>
      <w:ind w:left="1260" w:leftChars="600"/>
    </w:pPr>
  </w:style>
  <w:style w:type="paragraph" w:styleId="33">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4">
    <w:name w:val="toc 6"/>
    <w:basedOn w:val="1"/>
    <w:next w:val="1"/>
    <w:autoRedefine/>
    <w:unhideWhenUsed/>
    <w:qFormat/>
    <w:uiPriority w:val="39"/>
    <w:pPr>
      <w:ind w:left="2100" w:leftChars="1000"/>
    </w:pPr>
  </w:style>
  <w:style w:type="paragraph" w:styleId="35">
    <w:name w:val="Body Text Indent 3"/>
    <w:basedOn w:val="1"/>
    <w:link w:val="165"/>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6">
    <w:name w:val="toc 2"/>
    <w:basedOn w:val="1"/>
    <w:next w:val="1"/>
    <w:autoRedefine/>
    <w:unhideWhenUsed/>
    <w:qFormat/>
    <w:uiPriority w:val="39"/>
    <w:pPr>
      <w:ind w:left="420" w:leftChars="200"/>
    </w:pPr>
  </w:style>
  <w:style w:type="paragraph" w:styleId="37">
    <w:name w:val="toc 9"/>
    <w:basedOn w:val="1"/>
    <w:next w:val="1"/>
    <w:autoRedefine/>
    <w:unhideWhenUsed/>
    <w:qFormat/>
    <w:uiPriority w:val="39"/>
    <w:pPr>
      <w:ind w:left="3360" w:leftChars="1600"/>
    </w:pPr>
  </w:style>
  <w:style w:type="paragraph" w:styleId="38">
    <w:name w:val="Body Text 2"/>
    <w:basedOn w:val="1"/>
    <w:link w:val="154"/>
    <w:autoRedefine/>
    <w:qFormat/>
    <w:uiPriority w:val="0"/>
    <w:pPr>
      <w:tabs>
        <w:tab w:val="left" w:pos="0"/>
      </w:tabs>
      <w:spacing w:line="400" w:lineRule="atLeast"/>
    </w:pPr>
    <w:rPr>
      <w:rFonts w:ascii="Arial" w:hAnsi="Arial" w:eastAsia="宋体" w:cs="Times New Roman"/>
      <w:color w:val="000000"/>
      <w:szCs w:val="24"/>
    </w:rPr>
  </w:style>
  <w:style w:type="paragraph" w:styleId="39">
    <w:name w:val="HTML Preformatted"/>
    <w:basedOn w:val="1"/>
    <w:link w:val="97"/>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40">
    <w:name w:val="Normal (Web)"/>
    <w:basedOn w:val="1"/>
    <w:link w:val="104"/>
    <w:autoRedefine/>
    <w:qFormat/>
    <w:uiPriority w:val="0"/>
    <w:pPr>
      <w:widowControl/>
      <w:spacing w:before="100" w:beforeAutospacing="1" w:after="100" w:afterAutospacing="1"/>
      <w:jc w:val="left"/>
    </w:pPr>
    <w:rPr>
      <w:rFonts w:ascii="宋体" w:hAnsi="宋体"/>
      <w:sz w:val="15"/>
      <w:szCs w:val="15"/>
    </w:rPr>
  </w:style>
  <w:style w:type="paragraph" w:styleId="41">
    <w:name w:val="Title"/>
    <w:basedOn w:val="1"/>
    <w:next w:val="1"/>
    <w:link w:val="69"/>
    <w:autoRedefine/>
    <w:qFormat/>
    <w:uiPriority w:val="10"/>
    <w:pPr>
      <w:spacing w:before="120" w:after="60" w:line="300" w:lineRule="auto"/>
      <w:jc w:val="left"/>
      <w:outlineLvl w:val="0"/>
    </w:pPr>
    <w:rPr>
      <w:rFonts w:ascii="等线 Light" w:hAnsi="等线 Light" w:eastAsia="仿宋"/>
      <w:b/>
      <w:bCs/>
      <w:sz w:val="28"/>
      <w:szCs w:val="32"/>
    </w:rPr>
  </w:style>
  <w:style w:type="paragraph" w:styleId="42">
    <w:name w:val="annotation subject"/>
    <w:basedOn w:val="18"/>
    <w:next w:val="18"/>
    <w:link w:val="121"/>
    <w:autoRedefine/>
    <w:qFormat/>
    <w:uiPriority w:val="99"/>
    <w:pPr>
      <w:autoSpaceDE w:val="0"/>
      <w:autoSpaceDN w:val="0"/>
      <w:adjustRightInd w:val="0"/>
    </w:pPr>
    <w:rPr>
      <w:rFonts w:ascii="宋体" w:hAnsi="Times New Roman" w:eastAsia="宋体"/>
      <w:b/>
      <w:bCs/>
      <w:kern w:val="0"/>
      <w:sz w:val="24"/>
      <w:szCs w:val="24"/>
    </w:rPr>
  </w:style>
  <w:style w:type="paragraph" w:styleId="43">
    <w:name w:val="Body Text First Indent"/>
    <w:basedOn w:val="20"/>
    <w:link w:val="211"/>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44">
    <w:name w:val="Body Text First Indent 2"/>
    <w:autoRedefine/>
    <w:qFormat/>
    <w:uiPriority w:val="0"/>
    <w:pPr>
      <w:widowControl w:val="0"/>
      <w:tabs>
        <w:tab w:val="left" w:pos="1218"/>
        <w:tab w:val="left" w:pos="3544"/>
      </w:tabs>
      <w:adjustRightInd w:val="0"/>
      <w:snapToGrid w:val="0"/>
      <w:spacing w:line="300" w:lineRule="auto"/>
      <w:ind w:left="567" w:leftChars="270" w:firstLine="420"/>
      <w:jc w:val="both"/>
    </w:pPr>
    <w:rPr>
      <w:rFonts w:ascii="Times New Roman" w:hAnsi="Times New Roman" w:eastAsia="宋体" w:cs="Times New Roman"/>
      <w:kern w:val="2"/>
      <w:sz w:val="21"/>
      <w:szCs w:val="28"/>
      <w:lang w:val="en-US" w:eastAsia="zh-CN" w:bidi="ar-SA"/>
    </w:rPr>
  </w:style>
  <w:style w:type="table" w:styleId="46">
    <w:name w:val="Table Grid"/>
    <w:basedOn w:val="45"/>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autoRedefine/>
    <w:qFormat/>
    <w:uiPriority w:val="0"/>
    <w:rPr>
      <w:b/>
      <w:bCs/>
    </w:rPr>
  </w:style>
  <w:style w:type="character" w:styleId="49">
    <w:name w:val="page number"/>
    <w:basedOn w:val="47"/>
    <w:autoRedefine/>
    <w:qFormat/>
    <w:uiPriority w:val="0"/>
  </w:style>
  <w:style w:type="character" w:styleId="50">
    <w:name w:val="FollowedHyperlink"/>
    <w:autoRedefine/>
    <w:unhideWhenUsed/>
    <w:qFormat/>
    <w:uiPriority w:val="99"/>
    <w:rPr>
      <w:color w:val="954F72"/>
      <w:u w:val="single"/>
    </w:rPr>
  </w:style>
  <w:style w:type="character" w:styleId="51">
    <w:name w:val="Emphasis"/>
    <w:autoRedefine/>
    <w:qFormat/>
    <w:uiPriority w:val="0"/>
    <w:rPr>
      <w:i/>
      <w:iCs/>
    </w:rPr>
  </w:style>
  <w:style w:type="character" w:styleId="52">
    <w:name w:val="Hyperlink"/>
    <w:autoRedefine/>
    <w:qFormat/>
    <w:uiPriority w:val="99"/>
    <w:rPr>
      <w:rFonts w:hint="default" w:ascii="Arial" w:hAnsi="Arial" w:cs="Arial"/>
      <w:color w:val="000000"/>
      <w:sz w:val="20"/>
      <w:szCs w:val="20"/>
      <w:u w:val="none"/>
    </w:rPr>
  </w:style>
  <w:style w:type="character" w:styleId="53">
    <w:name w:val="HTML Code"/>
    <w:basedOn w:val="47"/>
    <w:autoRedefine/>
    <w:semiHidden/>
    <w:unhideWhenUsed/>
    <w:qFormat/>
    <w:uiPriority w:val="99"/>
    <w:rPr>
      <w:rFonts w:ascii="Courier New" w:hAnsi="Courier New"/>
      <w:sz w:val="20"/>
    </w:rPr>
  </w:style>
  <w:style w:type="character" w:styleId="54">
    <w:name w:val="annotation reference"/>
    <w:basedOn w:val="47"/>
    <w:autoRedefine/>
    <w:qFormat/>
    <w:uiPriority w:val="99"/>
    <w:rPr>
      <w:sz w:val="21"/>
      <w:szCs w:val="21"/>
    </w:rPr>
  </w:style>
  <w:style w:type="paragraph" w:customStyle="1" w:styleId="55">
    <w:name w:val="样式 宋体 行距: 1.5 倍行距"/>
    <w:basedOn w:val="1"/>
    <w:qFormat/>
    <w:uiPriority w:val="0"/>
    <w:pPr>
      <w:jc w:val="center"/>
    </w:pPr>
    <w:rPr>
      <w:rFonts w:ascii="Times New Roman" w:hAnsi="Times New Roman"/>
      <w:b/>
    </w:rPr>
  </w:style>
  <w:style w:type="paragraph" w:customStyle="1" w:styleId="56">
    <w:name w:val="文档正文"/>
    <w:basedOn w:val="1"/>
    <w:autoRedefine/>
    <w:qFormat/>
    <w:uiPriority w:val="0"/>
    <w:pPr>
      <w:autoSpaceDE w:val="0"/>
      <w:autoSpaceDN w:val="0"/>
      <w:adjustRightInd w:val="0"/>
      <w:spacing w:line="360" w:lineRule="auto"/>
      <w:jc w:val="left"/>
    </w:pPr>
    <w:rPr>
      <w:rFonts w:hint="eastAsia" w:ascii="宋体" w:hAnsi="Times New Roman" w:eastAsia="宋体" w:cs="Times New Roman"/>
      <w:bCs/>
      <w:kern w:val="0"/>
      <w:sz w:val="24"/>
      <w:szCs w:val="24"/>
    </w:rPr>
  </w:style>
  <w:style w:type="paragraph" w:customStyle="1" w:styleId="57">
    <w:name w:val="首行缩进"/>
    <w:basedOn w:val="1"/>
    <w:autoRedefine/>
    <w:qFormat/>
    <w:uiPriority w:val="0"/>
    <w:pPr>
      <w:ind w:firstLine="480" w:firstLineChars="200"/>
    </w:pPr>
    <w:rPr>
      <w:lang w:val="zh-CN"/>
    </w:rPr>
  </w:style>
  <w:style w:type="character" w:customStyle="1" w:styleId="58">
    <w:name w:val="标题 1 字符"/>
    <w:basedOn w:val="47"/>
    <w:autoRedefine/>
    <w:qFormat/>
    <w:uiPriority w:val="0"/>
    <w:rPr>
      <w:b/>
      <w:bCs/>
      <w:kern w:val="44"/>
      <w:sz w:val="44"/>
      <w:szCs w:val="44"/>
    </w:rPr>
  </w:style>
  <w:style w:type="character" w:customStyle="1" w:styleId="59">
    <w:name w:val="标题 2 字符"/>
    <w:basedOn w:val="47"/>
    <w:link w:val="3"/>
    <w:autoRedefine/>
    <w:qFormat/>
    <w:uiPriority w:val="0"/>
    <w:rPr>
      <w:rFonts w:ascii="宋体" w:hAnsi="Calibri" w:eastAsia="宋体" w:cs="Times New Roman"/>
      <w:kern w:val="0"/>
      <w:sz w:val="24"/>
      <w:szCs w:val="24"/>
    </w:rPr>
  </w:style>
  <w:style w:type="character" w:customStyle="1" w:styleId="60">
    <w:name w:val="标题 3 字符"/>
    <w:basedOn w:val="47"/>
    <w:autoRedefine/>
    <w:qFormat/>
    <w:uiPriority w:val="0"/>
    <w:rPr>
      <w:b/>
      <w:bCs/>
      <w:sz w:val="32"/>
      <w:szCs w:val="32"/>
    </w:rPr>
  </w:style>
  <w:style w:type="character" w:customStyle="1" w:styleId="61">
    <w:name w:val="标题 4 字符"/>
    <w:basedOn w:val="47"/>
    <w:link w:val="5"/>
    <w:autoRedefine/>
    <w:qFormat/>
    <w:uiPriority w:val="9"/>
    <w:rPr>
      <w:rFonts w:ascii="Arial" w:hAnsi="Arial" w:eastAsia="黑体" w:cs="Times New Roman"/>
      <w:b/>
      <w:bCs/>
      <w:kern w:val="0"/>
      <w:sz w:val="28"/>
      <w:szCs w:val="28"/>
    </w:rPr>
  </w:style>
  <w:style w:type="character" w:customStyle="1" w:styleId="62">
    <w:name w:val="标题 5 字符"/>
    <w:basedOn w:val="47"/>
    <w:autoRedefine/>
    <w:qFormat/>
    <w:uiPriority w:val="9"/>
    <w:rPr>
      <w:b/>
      <w:bCs/>
      <w:sz w:val="28"/>
      <w:szCs w:val="28"/>
    </w:rPr>
  </w:style>
  <w:style w:type="character" w:customStyle="1" w:styleId="63">
    <w:name w:val="标题 6 字符"/>
    <w:basedOn w:val="47"/>
    <w:autoRedefine/>
    <w:qFormat/>
    <w:uiPriority w:val="0"/>
    <w:rPr>
      <w:rFonts w:asciiTheme="majorHAnsi" w:hAnsiTheme="majorHAnsi" w:eastAsiaTheme="majorEastAsia" w:cstheme="majorBidi"/>
      <w:b/>
      <w:bCs/>
      <w:sz w:val="24"/>
      <w:szCs w:val="24"/>
    </w:rPr>
  </w:style>
  <w:style w:type="character" w:customStyle="1" w:styleId="64">
    <w:name w:val="标题 7 字符"/>
    <w:basedOn w:val="47"/>
    <w:link w:val="9"/>
    <w:autoRedefine/>
    <w:qFormat/>
    <w:uiPriority w:val="9"/>
    <w:rPr>
      <w:rFonts w:ascii="Times New Roman" w:hAnsi="Calibri" w:eastAsia="黑体" w:cs="Times New Roman"/>
      <w:b/>
      <w:bCs/>
      <w:kern w:val="0"/>
      <w:sz w:val="28"/>
      <w:szCs w:val="24"/>
    </w:rPr>
  </w:style>
  <w:style w:type="character" w:customStyle="1" w:styleId="65">
    <w:name w:val="标题 8 字符"/>
    <w:basedOn w:val="47"/>
    <w:link w:val="10"/>
    <w:autoRedefine/>
    <w:qFormat/>
    <w:uiPriority w:val="9"/>
    <w:rPr>
      <w:rFonts w:ascii="Times New Roman" w:hAnsi="Calibri" w:eastAsia="黑体" w:cs="Times New Roman"/>
      <w:b/>
      <w:kern w:val="0"/>
      <w:sz w:val="28"/>
      <w:szCs w:val="24"/>
    </w:rPr>
  </w:style>
  <w:style w:type="character" w:customStyle="1" w:styleId="66">
    <w:name w:val="标题 9 字符"/>
    <w:basedOn w:val="47"/>
    <w:link w:val="11"/>
    <w:autoRedefine/>
    <w:qFormat/>
    <w:uiPriority w:val="9"/>
    <w:rPr>
      <w:rFonts w:ascii="Times New Roman" w:hAnsi="Calibri" w:eastAsia="黑体" w:cs="Times New Roman"/>
      <w:b/>
      <w:kern w:val="0"/>
      <w:sz w:val="28"/>
      <w:szCs w:val="24"/>
    </w:rPr>
  </w:style>
  <w:style w:type="character" w:customStyle="1" w:styleId="67">
    <w:name w:val="正文文本缩进 字符"/>
    <w:autoRedefine/>
    <w:qFormat/>
    <w:uiPriority w:val="0"/>
    <w:rPr>
      <w:rFonts w:ascii="Times New Roman" w:hAnsi="Times New Roman" w:eastAsia="宋体" w:cs="Times New Roman"/>
      <w:szCs w:val="20"/>
    </w:rPr>
  </w:style>
  <w:style w:type="character" w:customStyle="1" w:styleId="68">
    <w:name w:val="普通(网站) Char"/>
    <w:autoRedefine/>
    <w:qFormat/>
    <w:locked/>
    <w:uiPriority w:val="0"/>
    <w:rPr>
      <w:rFonts w:ascii="宋体" w:hAnsi="宋体"/>
      <w:sz w:val="15"/>
      <w:szCs w:val="15"/>
    </w:rPr>
  </w:style>
  <w:style w:type="character" w:customStyle="1" w:styleId="69">
    <w:name w:val="标题 字符1"/>
    <w:link w:val="41"/>
    <w:autoRedefine/>
    <w:qFormat/>
    <w:uiPriority w:val="10"/>
    <w:rPr>
      <w:rFonts w:ascii="等线 Light" w:hAnsi="等线 Light" w:eastAsia="仿宋"/>
      <w:b/>
      <w:bCs/>
      <w:sz w:val="28"/>
      <w:szCs w:val="32"/>
    </w:rPr>
  </w:style>
  <w:style w:type="character" w:customStyle="1" w:styleId="70">
    <w:name w:val="日期 Char"/>
    <w:autoRedefine/>
    <w:semiHidden/>
    <w:qFormat/>
    <w:uiPriority w:val="99"/>
    <w:rPr>
      <w:kern w:val="2"/>
      <w:sz w:val="21"/>
    </w:rPr>
  </w:style>
  <w:style w:type="character" w:customStyle="1" w:styleId="71">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72">
    <w:name w:val="批注文字 Char"/>
    <w:autoRedefine/>
    <w:semiHidden/>
    <w:qFormat/>
    <w:uiPriority w:val="99"/>
    <w:rPr>
      <w:kern w:val="2"/>
      <w:sz w:val="21"/>
    </w:rPr>
  </w:style>
  <w:style w:type="character" w:customStyle="1" w:styleId="73">
    <w:name w:val="正文缩进2格 Char"/>
    <w:link w:val="74"/>
    <w:autoRedefine/>
    <w:qFormat/>
    <w:uiPriority w:val="0"/>
    <w:rPr>
      <w:rFonts w:ascii="仿宋_GB2312" w:hAnsi="宋体" w:eastAsia="仿宋_GB2312"/>
      <w:sz w:val="31"/>
      <w:szCs w:val="28"/>
    </w:rPr>
  </w:style>
  <w:style w:type="paragraph" w:customStyle="1" w:styleId="74">
    <w:name w:val="正文缩进2格"/>
    <w:basedOn w:val="1"/>
    <w:link w:val="73"/>
    <w:autoRedefine/>
    <w:qFormat/>
    <w:uiPriority w:val="0"/>
    <w:pPr>
      <w:spacing w:line="600" w:lineRule="exact"/>
      <w:ind w:firstLine="639" w:firstLineChars="206"/>
    </w:pPr>
    <w:rPr>
      <w:rFonts w:ascii="仿宋_GB2312" w:hAnsi="宋体" w:eastAsia="仿宋_GB2312"/>
      <w:sz w:val="31"/>
      <w:szCs w:val="28"/>
    </w:rPr>
  </w:style>
  <w:style w:type="character" w:customStyle="1" w:styleId="75">
    <w:name w:val="批注文字 字符"/>
    <w:autoRedefine/>
    <w:semiHidden/>
    <w:qFormat/>
    <w:uiPriority w:val="99"/>
    <w:rPr>
      <w:rFonts w:ascii="Times New Roman" w:hAnsi="Times New Roman"/>
      <w:kern w:val="2"/>
      <w:sz w:val="24"/>
      <w:szCs w:val="24"/>
    </w:rPr>
  </w:style>
  <w:style w:type="character" w:customStyle="1" w:styleId="76">
    <w:name w:val="正文文本缩进 Char"/>
    <w:autoRedefine/>
    <w:qFormat/>
    <w:uiPriority w:val="0"/>
    <w:rPr>
      <w:rFonts w:ascii="Times New Roman" w:hAnsi="Times New Roman" w:eastAsia="宋体" w:cs="Times New Roman"/>
      <w:szCs w:val="20"/>
      <w:lang w:val="en-US" w:eastAsia="zh-CN"/>
    </w:rPr>
  </w:style>
  <w:style w:type="character" w:customStyle="1" w:styleId="77">
    <w:name w:val="批注框文本 字符1"/>
    <w:autoRedefine/>
    <w:semiHidden/>
    <w:qFormat/>
    <w:uiPriority w:val="99"/>
    <w:rPr>
      <w:rFonts w:ascii="宋体" w:hAnsi="Calibri" w:eastAsia="宋体" w:cs="Times New Roman"/>
      <w:kern w:val="0"/>
      <w:sz w:val="18"/>
      <w:szCs w:val="18"/>
    </w:rPr>
  </w:style>
  <w:style w:type="character" w:customStyle="1" w:styleId="78">
    <w:name w:val="List Paragraph Char"/>
    <w:link w:val="79"/>
    <w:autoRedefine/>
    <w:qFormat/>
    <w:uiPriority w:val="34"/>
    <w:rPr>
      <w:rFonts w:ascii="Calibri" w:hAnsi="Calibri"/>
    </w:rPr>
  </w:style>
  <w:style w:type="paragraph" w:customStyle="1" w:styleId="79">
    <w:name w:val="列出段落1"/>
    <w:basedOn w:val="1"/>
    <w:link w:val="78"/>
    <w:autoRedefine/>
    <w:qFormat/>
    <w:uiPriority w:val="34"/>
    <w:pPr>
      <w:ind w:firstLine="420" w:firstLineChars="200"/>
    </w:pPr>
    <w:rPr>
      <w:rFonts w:ascii="Calibri" w:hAnsi="Calibri"/>
    </w:rPr>
  </w:style>
  <w:style w:type="character" w:customStyle="1" w:styleId="80">
    <w:name w:val="标书正文 字符"/>
    <w:link w:val="81"/>
    <w:autoRedefine/>
    <w:qFormat/>
    <w:uiPriority w:val="0"/>
    <w:rPr>
      <w:rFonts w:ascii="Calibri" w:hAnsi="Calibri" w:eastAsia="仿宋"/>
      <w:sz w:val="24"/>
      <w:szCs w:val="21"/>
    </w:rPr>
  </w:style>
  <w:style w:type="paragraph" w:customStyle="1" w:styleId="81">
    <w:name w:val="标书正文"/>
    <w:basedOn w:val="1"/>
    <w:link w:val="80"/>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82">
    <w:name w:val="正文文本 字符"/>
    <w:autoRedefine/>
    <w:semiHidden/>
    <w:qFormat/>
    <w:uiPriority w:val="99"/>
    <w:rPr>
      <w:rFonts w:ascii="Times New Roman" w:hAnsi="Times New Roman"/>
      <w:kern w:val="2"/>
      <w:sz w:val="24"/>
      <w:szCs w:val="24"/>
    </w:rPr>
  </w:style>
  <w:style w:type="character" w:customStyle="1" w:styleId="83">
    <w:name w:val="页脚 Char"/>
    <w:autoRedefine/>
    <w:qFormat/>
    <w:uiPriority w:val="0"/>
    <w:rPr>
      <w:kern w:val="2"/>
      <w:sz w:val="18"/>
      <w:szCs w:val="18"/>
    </w:rPr>
  </w:style>
  <w:style w:type="character" w:customStyle="1" w:styleId="84">
    <w:name w:val="neir1"/>
    <w:autoRedefine/>
    <w:qFormat/>
    <w:uiPriority w:val="0"/>
    <w:rPr>
      <w:rFonts w:hint="default" w:ascii="ˎ̥" w:hAnsi="ˎ̥"/>
      <w:color w:val="333333"/>
      <w:sz w:val="21"/>
      <w:szCs w:val="21"/>
      <w:u w:val="none"/>
    </w:rPr>
  </w:style>
  <w:style w:type="character" w:customStyle="1" w:styleId="85">
    <w:name w:val="批注框文本 字符"/>
    <w:link w:val="29"/>
    <w:autoRedefine/>
    <w:qFormat/>
    <w:uiPriority w:val="0"/>
    <w:rPr>
      <w:rFonts w:ascii="Times New Roman" w:hAnsi="Times New Roman" w:eastAsia="宋体" w:cs="Times New Roman"/>
      <w:sz w:val="18"/>
      <w:szCs w:val="18"/>
    </w:rPr>
  </w:style>
  <w:style w:type="character" w:customStyle="1" w:styleId="86">
    <w:name w:val="正文文本 3 字符1"/>
    <w:autoRedefine/>
    <w:semiHidden/>
    <w:qFormat/>
    <w:uiPriority w:val="99"/>
    <w:rPr>
      <w:rFonts w:ascii="宋体" w:hAnsi="Calibri" w:eastAsia="宋体" w:cs="Times New Roman"/>
      <w:kern w:val="0"/>
      <w:sz w:val="16"/>
      <w:szCs w:val="16"/>
    </w:rPr>
  </w:style>
  <w:style w:type="character" w:customStyle="1" w:styleId="87">
    <w:name w:val="正文文本 字符3"/>
    <w:autoRedefine/>
    <w:semiHidden/>
    <w:qFormat/>
    <w:uiPriority w:val="99"/>
    <w:rPr>
      <w:rFonts w:ascii="宋体" w:hAnsi="Calibri" w:eastAsia="宋体" w:cs="Times New Roman"/>
      <w:kern w:val="0"/>
      <w:sz w:val="24"/>
      <w:szCs w:val="24"/>
    </w:rPr>
  </w:style>
  <w:style w:type="character" w:customStyle="1" w:styleId="88">
    <w:name w:val="日期 字符1"/>
    <w:autoRedefine/>
    <w:semiHidden/>
    <w:qFormat/>
    <w:uiPriority w:val="99"/>
    <w:rPr>
      <w:rFonts w:ascii="宋体" w:hAnsi="Calibri" w:eastAsia="宋体" w:cs="Times New Roman"/>
      <w:kern w:val="0"/>
      <w:sz w:val="24"/>
      <w:szCs w:val="24"/>
    </w:rPr>
  </w:style>
  <w:style w:type="character" w:customStyle="1" w:styleId="89">
    <w:name w:val="页脚 Char2"/>
    <w:autoRedefine/>
    <w:qFormat/>
    <w:uiPriority w:val="99"/>
    <w:rPr>
      <w:rFonts w:ascii="宋体" w:eastAsia="宋体"/>
      <w:sz w:val="18"/>
      <w:szCs w:val="18"/>
    </w:rPr>
  </w:style>
  <w:style w:type="character" w:customStyle="1" w:styleId="90">
    <w:name w:val="吉奥正文 Char"/>
    <w:link w:val="91"/>
    <w:autoRedefine/>
    <w:qFormat/>
    <w:locked/>
    <w:uiPriority w:val="0"/>
    <w:rPr>
      <w:rFonts w:eastAsia="仿宋_GB2312"/>
      <w:sz w:val="28"/>
    </w:rPr>
  </w:style>
  <w:style w:type="paragraph" w:customStyle="1" w:styleId="91">
    <w:name w:val="吉奥正文"/>
    <w:basedOn w:val="1"/>
    <w:link w:val="90"/>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92">
    <w:name w:val="页脚 Char1"/>
    <w:autoRedefine/>
    <w:qFormat/>
    <w:uiPriority w:val="99"/>
    <w:rPr>
      <w:rFonts w:ascii="宋体" w:hAnsi="Times New Roman" w:eastAsia="宋体" w:cs="Times New Roman"/>
      <w:kern w:val="0"/>
      <w:sz w:val="18"/>
      <w:szCs w:val="18"/>
    </w:rPr>
  </w:style>
  <w:style w:type="character" w:customStyle="1" w:styleId="93">
    <w:name w:val="标题 字符"/>
    <w:autoRedefine/>
    <w:qFormat/>
    <w:uiPriority w:val="10"/>
    <w:rPr>
      <w:rFonts w:ascii="Cambria" w:hAnsi="Cambria" w:eastAsia="宋体" w:cs="Times New Roman"/>
      <w:b/>
      <w:bCs/>
      <w:kern w:val="0"/>
      <w:sz w:val="32"/>
      <w:szCs w:val="32"/>
      <w:lang w:val="en-US" w:eastAsia="zh-CN"/>
    </w:rPr>
  </w:style>
  <w:style w:type="character" w:customStyle="1" w:styleId="94">
    <w:name w:val="题注 字符1"/>
    <w:link w:val="15"/>
    <w:autoRedefine/>
    <w:qFormat/>
    <w:uiPriority w:val="0"/>
    <w:rPr>
      <w:rFonts w:ascii="Arial" w:hAnsi="Arial" w:eastAsia="黑体" w:cs="Arial"/>
    </w:rPr>
  </w:style>
  <w:style w:type="character" w:customStyle="1" w:styleId="95">
    <w:name w:val="批注文字 字符2"/>
    <w:autoRedefine/>
    <w:qFormat/>
    <w:uiPriority w:val="99"/>
    <w:rPr>
      <w:rFonts w:ascii="宋体" w:hAnsi="Times New Roman" w:eastAsia="宋体" w:cs="Times New Roman"/>
      <w:kern w:val="0"/>
      <w:sz w:val="24"/>
      <w:szCs w:val="24"/>
    </w:rPr>
  </w:style>
  <w:style w:type="character" w:customStyle="1" w:styleId="96">
    <w:name w:val="批注主题 字符1"/>
    <w:autoRedefine/>
    <w:semiHidden/>
    <w:qFormat/>
    <w:uiPriority w:val="99"/>
    <w:rPr>
      <w:rFonts w:ascii="宋体" w:hAnsi="Calibri" w:eastAsia="宋体" w:cs="Times New Roman"/>
      <w:b/>
      <w:bCs/>
      <w:kern w:val="0"/>
      <w:sz w:val="24"/>
      <w:szCs w:val="24"/>
    </w:rPr>
  </w:style>
  <w:style w:type="character" w:customStyle="1" w:styleId="97">
    <w:name w:val="HTML 预设格式 字符"/>
    <w:link w:val="39"/>
    <w:autoRedefine/>
    <w:qFormat/>
    <w:uiPriority w:val="99"/>
    <w:rPr>
      <w:rFonts w:ascii="Arial" w:hAnsi="Arial" w:eastAsia="宋体" w:cs="Arial"/>
      <w:szCs w:val="21"/>
    </w:rPr>
  </w:style>
  <w:style w:type="character" w:customStyle="1" w:styleId="98">
    <w:name w:val="标题 3.1 Char"/>
    <w:link w:val="99"/>
    <w:autoRedefine/>
    <w:qFormat/>
    <w:uiPriority w:val="0"/>
    <w:rPr>
      <w:rFonts w:ascii="宋体" w:hAnsi="宋体"/>
      <w:b/>
      <w:bCs/>
      <w:sz w:val="32"/>
      <w:szCs w:val="32"/>
    </w:rPr>
  </w:style>
  <w:style w:type="paragraph" w:customStyle="1" w:styleId="99">
    <w:name w:val="标题 3.1"/>
    <w:basedOn w:val="4"/>
    <w:link w:val="98"/>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100">
    <w:name w:val="HTML 预设格式 Char1"/>
    <w:autoRedefine/>
    <w:semiHidden/>
    <w:qFormat/>
    <w:uiPriority w:val="99"/>
    <w:rPr>
      <w:rFonts w:ascii="Courier New" w:hAnsi="Courier New" w:eastAsia="宋体" w:cs="Courier New"/>
      <w:kern w:val="0"/>
      <w:sz w:val="20"/>
      <w:szCs w:val="20"/>
    </w:rPr>
  </w:style>
  <w:style w:type="character" w:customStyle="1" w:styleId="101">
    <w:name w:val="批注文字 字符1"/>
    <w:autoRedefine/>
    <w:qFormat/>
    <w:uiPriority w:val="0"/>
    <w:rPr>
      <w:rFonts w:eastAsia="宋体"/>
      <w:kern w:val="2"/>
      <w:sz w:val="24"/>
      <w:szCs w:val="24"/>
      <w:lang w:val="en-US" w:eastAsia="zh-CN" w:bidi="ar-SA"/>
    </w:rPr>
  </w:style>
  <w:style w:type="character" w:customStyle="1" w:styleId="102">
    <w:name w:val="正文文本缩进 字符2"/>
    <w:autoRedefine/>
    <w:semiHidden/>
    <w:qFormat/>
    <w:uiPriority w:val="99"/>
    <w:rPr>
      <w:rFonts w:ascii="宋体" w:hAnsi="Calibri" w:eastAsia="宋体" w:cs="Times New Roman"/>
      <w:kern w:val="0"/>
      <w:sz w:val="24"/>
      <w:szCs w:val="24"/>
    </w:rPr>
  </w:style>
  <w:style w:type="character" w:customStyle="1" w:styleId="103">
    <w:name w:val="正文文本缩进 字符1"/>
    <w:link w:val="21"/>
    <w:autoRedefine/>
    <w:qFormat/>
    <w:uiPriority w:val="0"/>
    <w:rPr>
      <w:rFonts w:ascii="Times New Roman" w:hAnsi="Times New Roman" w:eastAsia="宋体" w:cs="Times New Roman"/>
      <w:szCs w:val="20"/>
    </w:rPr>
  </w:style>
  <w:style w:type="character" w:customStyle="1" w:styleId="104">
    <w:name w:val="普通(网站) 字符2"/>
    <w:link w:val="40"/>
    <w:autoRedefine/>
    <w:qFormat/>
    <w:locked/>
    <w:uiPriority w:val="0"/>
    <w:rPr>
      <w:rFonts w:ascii="宋体" w:hAnsi="宋体"/>
      <w:sz w:val="15"/>
      <w:szCs w:val="15"/>
    </w:rPr>
  </w:style>
  <w:style w:type="character" w:customStyle="1" w:styleId="105">
    <w:name w:val="模板正文 Char"/>
    <w:link w:val="8"/>
    <w:autoRedefine/>
    <w:qFormat/>
    <w:uiPriority w:val="0"/>
    <w:rPr>
      <w:rFonts w:ascii="宋体" w:eastAsia="仿宋"/>
      <w:sz w:val="24"/>
      <w:szCs w:val="21"/>
    </w:rPr>
  </w:style>
  <w:style w:type="character" w:customStyle="1" w:styleId="106">
    <w:name w:val="批注主题 Char"/>
    <w:autoRedefine/>
    <w:semiHidden/>
    <w:qFormat/>
    <w:uiPriority w:val="99"/>
    <w:rPr>
      <w:b/>
      <w:bCs/>
      <w:kern w:val="2"/>
      <w:sz w:val="21"/>
    </w:rPr>
  </w:style>
  <w:style w:type="character" w:customStyle="1" w:styleId="107">
    <w:name w:val="正文文本 Char1"/>
    <w:autoRedefine/>
    <w:qFormat/>
    <w:uiPriority w:val="0"/>
    <w:rPr>
      <w:rFonts w:ascii="宋体" w:hAnsi="Times New Roman" w:eastAsia="宋体" w:cs="Times New Roman"/>
      <w:kern w:val="0"/>
      <w:sz w:val="24"/>
      <w:szCs w:val="24"/>
    </w:rPr>
  </w:style>
  <w:style w:type="character" w:customStyle="1" w:styleId="108">
    <w:name w:val="正文文本 字符1"/>
    <w:autoRedefine/>
    <w:qFormat/>
    <w:uiPriority w:val="99"/>
    <w:rPr>
      <w:rFonts w:ascii="宋体" w:eastAsia="宋体"/>
      <w:b/>
      <w:bCs/>
      <w:sz w:val="84"/>
      <w:szCs w:val="84"/>
      <w:lang w:val="zh-CN"/>
    </w:rPr>
  </w:style>
  <w:style w:type="character" w:customStyle="1" w:styleId="109">
    <w:name w:val="标题 1 Char"/>
    <w:autoRedefine/>
    <w:qFormat/>
    <w:uiPriority w:val="9"/>
    <w:rPr>
      <w:rFonts w:ascii="宋体" w:hAnsi="Times New Roman" w:eastAsia="宋体" w:cs="Times New Roman"/>
      <w:kern w:val="0"/>
      <w:sz w:val="24"/>
      <w:szCs w:val="24"/>
    </w:rPr>
  </w:style>
  <w:style w:type="character" w:customStyle="1" w:styleId="110">
    <w:name w:val="正文文本 Char2"/>
    <w:autoRedefine/>
    <w:qFormat/>
    <w:uiPriority w:val="99"/>
    <w:rPr>
      <w:rFonts w:ascii="宋体" w:eastAsia="宋体"/>
      <w:b/>
      <w:bCs/>
      <w:sz w:val="84"/>
      <w:szCs w:val="84"/>
      <w:lang w:val="zh-CN"/>
    </w:rPr>
  </w:style>
  <w:style w:type="character" w:customStyle="1" w:styleId="111">
    <w:name w:val="纯文本 字符2"/>
    <w:link w:val="24"/>
    <w:autoRedefine/>
    <w:qFormat/>
    <w:uiPriority w:val="0"/>
    <w:rPr>
      <w:rFonts w:ascii="宋体" w:hAnsi="Courier New" w:eastAsia="宋体"/>
    </w:rPr>
  </w:style>
  <w:style w:type="character" w:customStyle="1" w:styleId="112">
    <w:name w:val="正文文本缩进 2 字符"/>
    <w:link w:val="28"/>
    <w:autoRedefine/>
    <w:qFormat/>
    <w:uiPriority w:val="0"/>
    <w:rPr>
      <w:rFonts w:ascii="宋体" w:hAnsi="Times New Roman" w:eastAsia="宋体" w:cs="Times New Roman"/>
      <w:szCs w:val="20"/>
    </w:rPr>
  </w:style>
  <w:style w:type="character" w:customStyle="1" w:styleId="113">
    <w:name w:val="HTML Markup"/>
    <w:autoRedefine/>
    <w:qFormat/>
    <w:uiPriority w:val="0"/>
    <w:rPr>
      <w:vanish/>
      <w:color w:val="FF0000"/>
    </w:rPr>
  </w:style>
  <w:style w:type="character" w:customStyle="1" w:styleId="114">
    <w:name w:val="页眉 Char1"/>
    <w:autoRedefine/>
    <w:qFormat/>
    <w:uiPriority w:val="0"/>
    <w:rPr>
      <w:rFonts w:ascii="宋体" w:hAnsi="Times New Roman" w:eastAsia="宋体" w:cs="Times New Roman"/>
      <w:kern w:val="0"/>
      <w:sz w:val="18"/>
      <w:szCs w:val="18"/>
    </w:rPr>
  </w:style>
  <w:style w:type="character" w:customStyle="1" w:styleId="115">
    <w:name w:val="font11"/>
    <w:autoRedefine/>
    <w:qFormat/>
    <w:uiPriority w:val="0"/>
    <w:rPr>
      <w:rFonts w:hint="eastAsia" w:ascii="宋体" w:hAnsi="宋体" w:eastAsia="宋体" w:cs="宋体"/>
      <w:color w:val="FF0000"/>
      <w:sz w:val="22"/>
      <w:szCs w:val="22"/>
      <w:u w:val="none"/>
    </w:rPr>
  </w:style>
  <w:style w:type="character" w:customStyle="1" w:styleId="116">
    <w:name w:val="style61"/>
    <w:autoRedefine/>
    <w:qFormat/>
    <w:uiPriority w:val="0"/>
    <w:rPr>
      <w:b/>
      <w:bCs/>
    </w:rPr>
  </w:style>
  <w:style w:type="character" w:customStyle="1" w:styleId="117">
    <w:name w:val="表头文字 Char"/>
    <w:link w:val="118"/>
    <w:autoRedefine/>
    <w:qFormat/>
    <w:uiPriority w:val="0"/>
    <w:rPr>
      <w:rFonts w:eastAsia="仿宋_GB2312"/>
      <w:b/>
      <w:sz w:val="28"/>
      <w:szCs w:val="21"/>
    </w:rPr>
  </w:style>
  <w:style w:type="paragraph" w:customStyle="1" w:styleId="118">
    <w:name w:val="表头文字"/>
    <w:basedOn w:val="1"/>
    <w:link w:val="117"/>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19">
    <w:name w:val="日期 字符"/>
    <w:link w:val="27"/>
    <w:autoRedefine/>
    <w:qFormat/>
    <w:uiPriority w:val="99"/>
    <w:rPr>
      <w:rFonts w:ascii="宋体" w:hAnsi="Times New Roman" w:eastAsia="宋体" w:cs="Times New Roman"/>
      <w:b/>
      <w:bCs/>
      <w:szCs w:val="21"/>
      <w:lang w:val="zh-CN"/>
    </w:rPr>
  </w:style>
  <w:style w:type="character" w:customStyle="1" w:styleId="120">
    <w:name w:val="纯文本 Char1"/>
    <w:autoRedefine/>
    <w:qFormat/>
    <w:uiPriority w:val="0"/>
    <w:rPr>
      <w:rFonts w:ascii="宋体" w:hAnsi="Courier New" w:eastAsia="宋体" w:cs="Courier New"/>
      <w:kern w:val="0"/>
      <w:szCs w:val="21"/>
    </w:rPr>
  </w:style>
  <w:style w:type="character" w:customStyle="1" w:styleId="121">
    <w:name w:val="批注主题 字符"/>
    <w:link w:val="42"/>
    <w:autoRedefine/>
    <w:qFormat/>
    <w:uiPriority w:val="99"/>
    <w:rPr>
      <w:rFonts w:ascii="宋体" w:hAnsi="Times New Roman" w:eastAsia="宋体" w:cs="Times New Roman"/>
      <w:b/>
      <w:bCs/>
      <w:kern w:val="0"/>
      <w:sz w:val="24"/>
      <w:szCs w:val="24"/>
    </w:rPr>
  </w:style>
  <w:style w:type="character" w:customStyle="1" w:styleId="122">
    <w:name w:val="纯文本 字符"/>
    <w:autoRedefine/>
    <w:qFormat/>
    <w:uiPriority w:val="99"/>
    <w:rPr>
      <w:rFonts w:ascii="宋体" w:hAnsi="Courier New" w:eastAsia="宋体" w:cs="Times New Roman"/>
      <w:szCs w:val="20"/>
      <w:lang w:val="en-US" w:eastAsia="zh-CN"/>
    </w:rPr>
  </w:style>
  <w:style w:type="character" w:customStyle="1" w:styleId="123">
    <w:name w:val="font71"/>
    <w:autoRedefine/>
    <w:qFormat/>
    <w:uiPriority w:val="0"/>
    <w:rPr>
      <w:rFonts w:hint="eastAsia" w:ascii="宋体" w:hAnsi="宋体" w:eastAsia="宋体" w:cs="宋体"/>
      <w:color w:val="FF0000"/>
      <w:sz w:val="18"/>
      <w:szCs w:val="18"/>
      <w:u w:val="none"/>
    </w:rPr>
  </w:style>
  <w:style w:type="character" w:customStyle="1" w:styleId="124">
    <w:name w:val="font21"/>
    <w:basedOn w:val="47"/>
    <w:autoRedefine/>
    <w:qFormat/>
    <w:uiPriority w:val="0"/>
    <w:rPr>
      <w:rFonts w:hint="eastAsia" w:ascii="宋体" w:hAnsi="宋体" w:eastAsia="宋体" w:cs="宋体"/>
      <w:b/>
      <w:color w:val="000000"/>
      <w:sz w:val="21"/>
      <w:szCs w:val="21"/>
      <w:u w:val="none"/>
    </w:rPr>
  </w:style>
  <w:style w:type="character" w:customStyle="1" w:styleId="125">
    <w:name w:val="纯文本 字符3"/>
    <w:autoRedefine/>
    <w:semiHidden/>
    <w:qFormat/>
    <w:uiPriority w:val="99"/>
    <w:rPr>
      <w:rFonts w:ascii="等线" w:hAnsi="Courier New" w:cs="Courier New"/>
      <w:kern w:val="0"/>
      <w:sz w:val="24"/>
      <w:szCs w:val="24"/>
    </w:rPr>
  </w:style>
  <w:style w:type="character" w:customStyle="1" w:styleId="126">
    <w:name w:val="font31"/>
    <w:autoRedefine/>
    <w:qFormat/>
    <w:uiPriority w:val="0"/>
    <w:rPr>
      <w:rFonts w:hint="eastAsia" w:ascii="宋体" w:hAnsi="宋体" w:eastAsia="宋体" w:cs="宋体"/>
      <w:color w:val="000000"/>
      <w:sz w:val="18"/>
      <w:szCs w:val="18"/>
      <w:u w:val="none"/>
    </w:rPr>
  </w:style>
  <w:style w:type="character" w:customStyle="1" w:styleId="127">
    <w:name w:val="文档结构图 字符"/>
    <w:link w:val="16"/>
    <w:autoRedefine/>
    <w:semiHidden/>
    <w:qFormat/>
    <w:uiPriority w:val="99"/>
    <w:rPr>
      <w:rFonts w:ascii="宋体" w:hAnsi="Times New Roman" w:eastAsia="宋体" w:cs="Times New Roman"/>
      <w:kern w:val="0"/>
      <w:sz w:val="24"/>
      <w:szCs w:val="24"/>
      <w:shd w:val="clear" w:color="auto" w:fill="000080"/>
    </w:rPr>
  </w:style>
  <w:style w:type="character" w:customStyle="1" w:styleId="128">
    <w:name w:val="普通(网站) 字符1"/>
    <w:autoRedefine/>
    <w:qFormat/>
    <w:locked/>
    <w:uiPriority w:val="0"/>
    <w:rPr>
      <w:rFonts w:ascii="宋体" w:hAnsi="宋体"/>
      <w:sz w:val="15"/>
      <w:szCs w:val="15"/>
    </w:rPr>
  </w:style>
  <w:style w:type="character" w:customStyle="1" w:styleId="129">
    <w:name w:val="正文文本 字符2"/>
    <w:link w:val="20"/>
    <w:autoRedefine/>
    <w:qFormat/>
    <w:uiPriority w:val="99"/>
    <w:rPr>
      <w:rFonts w:ascii="宋体" w:eastAsia="宋体"/>
      <w:b/>
      <w:bCs/>
      <w:sz w:val="84"/>
      <w:szCs w:val="84"/>
      <w:lang w:val="zh-CN"/>
    </w:rPr>
  </w:style>
  <w:style w:type="character" w:customStyle="1" w:styleId="130">
    <w:name w:val="标题 5 Char"/>
    <w:autoRedefine/>
    <w:semiHidden/>
    <w:qFormat/>
    <w:uiPriority w:val="9"/>
    <w:rPr>
      <w:b/>
      <w:bCs/>
      <w:kern w:val="2"/>
      <w:sz w:val="28"/>
      <w:szCs w:val="28"/>
    </w:rPr>
  </w:style>
  <w:style w:type="character" w:customStyle="1" w:styleId="131">
    <w:name w:val="页眉 字符"/>
    <w:link w:val="30"/>
    <w:autoRedefine/>
    <w:qFormat/>
    <w:uiPriority w:val="99"/>
    <w:rPr>
      <w:rFonts w:ascii="宋体" w:eastAsia="宋体"/>
      <w:sz w:val="18"/>
      <w:szCs w:val="18"/>
    </w:rPr>
  </w:style>
  <w:style w:type="character" w:customStyle="1" w:styleId="132">
    <w:name w:val="表格文字 Char"/>
    <w:link w:val="133"/>
    <w:autoRedefine/>
    <w:qFormat/>
    <w:uiPriority w:val="0"/>
    <w:rPr>
      <w:rFonts w:eastAsia="仿宋_GB2312"/>
      <w:sz w:val="28"/>
      <w:szCs w:val="24"/>
    </w:rPr>
  </w:style>
  <w:style w:type="paragraph" w:customStyle="1" w:styleId="133">
    <w:name w:val="表格文字"/>
    <w:basedOn w:val="1"/>
    <w:link w:val="132"/>
    <w:autoRedefine/>
    <w:qFormat/>
    <w:uiPriority w:val="0"/>
    <w:rPr>
      <w:rFonts w:eastAsia="仿宋_GB2312"/>
      <w:sz w:val="28"/>
      <w:szCs w:val="24"/>
    </w:rPr>
  </w:style>
  <w:style w:type="character" w:customStyle="1" w:styleId="134">
    <w:name w:val="标题 字符2"/>
    <w:autoRedefine/>
    <w:qFormat/>
    <w:uiPriority w:val="10"/>
    <w:rPr>
      <w:rFonts w:ascii="等线 Light" w:hAnsi="等线 Light" w:eastAsia="等线 Light" w:cs="Times New Roman"/>
      <w:b/>
      <w:bCs/>
      <w:kern w:val="0"/>
      <w:sz w:val="32"/>
      <w:szCs w:val="32"/>
    </w:rPr>
  </w:style>
  <w:style w:type="character" w:customStyle="1" w:styleId="135">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36">
    <w:name w:val="小 Char"/>
    <w:autoRedefine/>
    <w:qFormat/>
    <w:uiPriority w:val="0"/>
    <w:rPr>
      <w:rFonts w:ascii="宋体" w:hAnsi="Courier New" w:eastAsia="宋体"/>
      <w:kern w:val="2"/>
      <w:sz w:val="21"/>
      <w:lang w:val="en-US" w:eastAsia="zh-CN" w:bidi="ar-SA"/>
    </w:rPr>
  </w:style>
  <w:style w:type="character" w:customStyle="1" w:styleId="137">
    <w:name w:val="themebody1"/>
    <w:autoRedefine/>
    <w:qFormat/>
    <w:uiPriority w:val="0"/>
    <w:rPr>
      <w:color w:val="FFFFFF"/>
    </w:rPr>
  </w:style>
  <w:style w:type="character" w:customStyle="1" w:styleId="138">
    <w:name w:val="页脚 字符1"/>
    <w:autoRedefine/>
    <w:semiHidden/>
    <w:qFormat/>
    <w:uiPriority w:val="99"/>
    <w:rPr>
      <w:rFonts w:ascii="宋体" w:hAnsi="Calibri" w:eastAsia="宋体" w:cs="Times New Roman"/>
      <w:kern w:val="0"/>
      <w:sz w:val="18"/>
      <w:szCs w:val="18"/>
    </w:rPr>
  </w:style>
  <w:style w:type="character" w:customStyle="1" w:styleId="139">
    <w:name w:val="列出段落 字符"/>
    <w:link w:val="140"/>
    <w:autoRedefine/>
    <w:qFormat/>
    <w:uiPriority w:val="34"/>
    <w:rPr>
      <w:kern w:val="2"/>
      <w:sz w:val="21"/>
      <w:szCs w:val="22"/>
    </w:rPr>
  </w:style>
  <w:style w:type="paragraph" w:styleId="140">
    <w:name w:val="List Paragraph"/>
    <w:basedOn w:val="1"/>
    <w:link w:val="139"/>
    <w:autoRedefine/>
    <w:qFormat/>
    <w:uiPriority w:val="34"/>
    <w:pPr>
      <w:ind w:firstLine="420" w:firstLineChars="200"/>
    </w:pPr>
  </w:style>
  <w:style w:type="character" w:customStyle="1" w:styleId="141">
    <w:name w:val="正文文本 Char"/>
    <w:autoRedefine/>
    <w:qFormat/>
    <w:uiPriority w:val="99"/>
    <w:rPr>
      <w:rFonts w:ascii="宋体" w:eastAsia="宋体"/>
      <w:b/>
      <w:bCs/>
      <w:sz w:val="84"/>
      <w:szCs w:val="84"/>
      <w:lang w:val="zh-CN"/>
    </w:rPr>
  </w:style>
  <w:style w:type="character" w:customStyle="1" w:styleId="142">
    <w:name w:val="页眉 字符1"/>
    <w:autoRedefine/>
    <w:semiHidden/>
    <w:qFormat/>
    <w:uiPriority w:val="99"/>
    <w:rPr>
      <w:rFonts w:ascii="宋体" w:hAnsi="Calibri" w:eastAsia="宋体" w:cs="Times New Roman"/>
      <w:kern w:val="0"/>
      <w:sz w:val="18"/>
      <w:szCs w:val="18"/>
    </w:rPr>
  </w:style>
  <w:style w:type="character" w:customStyle="1" w:styleId="143">
    <w:name w:val="标题 5 字符1"/>
    <w:link w:val="6"/>
    <w:autoRedefine/>
    <w:qFormat/>
    <w:uiPriority w:val="9"/>
    <w:rPr>
      <w:rFonts w:ascii="宋体" w:hAnsi="Calibri" w:eastAsia="宋体" w:cs="Times New Roman"/>
      <w:b/>
      <w:bCs/>
      <w:kern w:val="0"/>
      <w:sz w:val="28"/>
      <w:szCs w:val="28"/>
    </w:rPr>
  </w:style>
  <w:style w:type="character" w:customStyle="1" w:styleId="144">
    <w:name w:val="keyfeatures1"/>
    <w:autoRedefine/>
    <w:qFormat/>
    <w:uiPriority w:val="0"/>
    <w:rPr>
      <w:rFonts w:hint="default" w:ascii="Arial" w:hAnsi="Arial" w:cs="Arial"/>
      <w:color w:val="003366"/>
      <w:sz w:val="17"/>
      <w:szCs w:val="17"/>
      <w:u w:val="none"/>
    </w:rPr>
  </w:style>
  <w:style w:type="character" w:customStyle="1" w:styleId="145">
    <w:name w:val="题注 字符"/>
    <w:autoRedefine/>
    <w:qFormat/>
    <w:uiPriority w:val="0"/>
    <w:rPr>
      <w:rFonts w:ascii="宋体" w:hAnsi="宋体" w:eastAsia="黑体" w:cs="Times New Roman"/>
      <w:b/>
      <w:szCs w:val="21"/>
    </w:rPr>
  </w:style>
  <w:style w:type="character" w:customStyle="1" w:styleId="146">
    <w:name w:val="标题 4 Char"/>
    <w:autoRedefine/>
    <w:qFormat/>
    <w:uiPriority w:val="0"/>
    <w:rPr>
      <w:rFonts w:ascii="宋体" w:hAnsi="宋体" w:eastAsia="宋体"/>
      <w:b/>
      <w:kern w:val="2"/>
      <w:sz w:val="21"/>
      <w:szCs w:val="24"/>
      <w:lang w:val="en-US" w:eastAsia="zh-CN" w:bidi="ar-SA"/>
    </w:rPr>
  </w:style>
  <w:style w:type="character" w:customStyle="1" w:styleId="147">
    <w:name w:val="批注文字 字符3"/>
    <w:autoRedefine/>
    <w:semiHidden/>
    <w:qFormat/>
    <w:uiPriority w:val="99"/>
    <w:rPr>
      <w:rFonts w:ascii="宋体" w:hAnsi="Calibri" w:eastAsia="宋体" w:cs="Times New Roman"/>
      <w:kern w:val="0"/>
      <w:sz w:val="24"/>
      <w:szCs w:val="24"/>
    </w:rPr>
  </w:style>
  <w:style w:type="character" w:customStyle="1" w:styleId="148">
    <w:name w:val="纯文本 字符1"/>
    <w:autoRedefine/>
    <w:qFormat/>
    <w:uiPriority w:val="0"/>
    <w:rPr>
      <w:rFonts w:ascii="宋体" w:hAnsi="Courier New" w:eastAsia="宋体"/>
      <w:kern w:val="2"/>
      <w:sz w:val="21"/>
      <w:szCs w:val="24"/>
      <w:lang w:val="en-US" w:eastAsia="zh-CN" w:bidi="ar-SA"/>
    </w:rPr>
  </w:style>
  <w:style w:type="character" w:customStyle="1" w:styleId="149">
    <w:name w:val="列出段落 Char1"/>
    <w:autoRedefine/>
    <w:qFormat/>
    <w:uiPriority w:val="34"/>
    <w:rPr>
      <w:rFonts w:ascii="宋体"/>
      <w:sz w:val="24"/>
      <w:szCs w:val="24"/>
    </w:rPr>
  </w:style>
  <w:style w:type="character" w:customStyle="1" w:styleId="150">
    <w:name w:val="彩色列表 - 着色 1 字符"/>
    <w:link w:val="151"/>
    <w:autoRedefine/>
    <w:qFormat/>
    <w:uiPriority w:val="0"/>
    <w:rPr>
      <w:rFonts w:ascii="Calibri" w:hAnsi="Calibri"/>
    </w:rPr>
  </w:style>
  <w:style w:type="paragraph" w:customStyle="1" w:styleId="151">
    <w:name w:val="彩色列表 - 着色 11"/>
    <w:basedOn w:val="1"/>
    <w:link w:val="150"/>
    <w:autoRedefine/>
    <w:qFormat/>
    <w:uiPriority w:val="0"/>
    <w:pPr>
      <w:ind w:firstLine="420" w:firstLineChars="200"/>
    </w:pPr>
    <w:rPr>
      <w:rFonts w:ascii="Calibri" w:hAnsi="Calibri"/>
    </w:rPr>
  </w:style>
  <w:style w:type="character" w:customStyle="1" w:styleId="152">
    <w:name w:val="纯文本 Char"/>
    <w:autoRedefine/>
    <w:qFormat/>
    <w:uiPriority w:val="0"/>
    <w:rPr>
      <w:rFonts w:ascii="宋体" w:hAnsi="Courier New" w:eastAsia="宋体" w:cs="Times New Roman"/>
      <w:szCs w:val="20"/>
    </w:rPr>
  </w:style>
  <w:style w:type="character" w:customStyle="1" w:styleId="153">
    <w:name w:val="标题 6 字符1"/>
    <w:link w:val="7"/>
    <w:autoRedefine/>
    <w:qFormat/>
    <w:uiPriority w:val="9"/>
    <w:rPr>
      <w:rFonts w:ascii="Times New Roman" w:hAnsi="Calibri" w:eastAsia="黑体" w:cs="Times New Roman"/>
      <w:b/>
      <w:bCs/>
      <w:kern w:val="0"/>
      <w:sz w:val="28"/>
      <w:szCs w:val="24"/>
    </w:rPr>
  </w:style>
  <w:style w:type="character" w:customStyle="1" w:styleId="154">
    <w:name w:val="正文文本 2 字符"/>
    <w:link w:val="38"/>
    <w:autoRedefine/>
    <w:qFormat/>
    <w:uiPriority w:val="0"/>
    <w:rPr>
      <w:rFonts w:ascii="Arial" w:hAnsi="Arial" w:eastAsia="宋体" w:cs="Times New Roman"/>
      <w:color w:val="000000"/>
      <w:szCs w:val="24"/>
    </w:rPr>
  </w:style>
  <w:style w:type="character" w:customStyle="1" w:styleId="155">
    <w:name w:val="标题 3 字符1"/>
    <w:link w:val="4"/>
    <w:autoRedefine/>
    <w:qFormat/>
    <w:uiPriority w:val="0"/>
    <w:rPr>
      <w:rFonts w:ascii="宋体" w:hAnsi="Calibri" w:eastAsia="宋体" w:cs="Times New Roman"/>
      <w:kern w:val="0"/>
      <w:sz w:val="24"/>
      <w:szCs w:val="24"/>
    </w:rPr>
  </w:style>
  <w:style w:type="character" w:customStyle="1" w:styleId="156">
    <w:name w:val="正文文本缩进 2 字符1"/>
    <w:autoRedefine/>
    <w:semiHidden/>
    <w:qFormat/>
    <w:uiPriority w:val="99"/>
    <w:rPr>
      <w:rFonts w:ascii="宋体" w:hAnsi="Calibri" w:eastAsia="宋体" w:cs="Times New Roman"/>
      <w:kern w:val="0"/>
      <w:sz w:val="24"/>
      <w:szCs w:val="24"/>
    </w:rPr>
  </w:style>
  <w:style w:type="character" w:customStyle="1" w:styleId="157">
    <w:name w:val="正文文本缩进 3 字符1"/>
    <w:autoRedefine/>
    <w:semiHidden/>
    <w:qFormat/>
    <w:uiPriority w:val="99"/>
    <w:rPr>
      <w:rFonts w:ascii="宋体" w:hAnsi="Calibri" w:eastAsia="宋体" w:cs="Times New Roman"/>
      <w:kern w:val="0"/>
      <w:sz w:val="16"/>
      <w:szCs w:val="16"/>
    </w:rPr>
  </w:style>
  <w:style w:type="character" w:customStyle="1" w:styleId="158">
    <w:name w:val="正文文本 2 字符1"/>
    <w:autoRedefine/>
    <w:semiHidden/>
    <w:qFormat/>
    <w:uiPriority w:val="99"/>
    <w:rPr>
      <w:rFonts w:ascii="宋体" w:hAnsi="Calibri" w:eastAsia="宋体" w:cs="Times New Roman"/>
      <w:kern w:val="0"/>
      <w:sz w:val="24"/>
      <w:szCs w:val="24"/>
    </w:rPr>
  </w:style>
  <w:style w:type="character" w:customStyle="1" w:styleId="159">
    <w:name w:val="eschoolnr"/>
    <w:autoRedefine/>
    <w:qFormat/>
    <w:uiPriority w:val="0"/>
    <w:rPr>
      <w:sz w:val="23"/>
      <w:szCs w:val="23"/>
    </w:rPr>
  </w:style>
  <w:style w:type="character" w:customStyle="1" w:styleId="160">
    <w:name w:val="访问过的超链接1"/>
    <w:autoRedefine/>
    <w:qFormat/>
    <w:uiPriority w:val="0"/>
    <w:rPr>
      <w:rFonts w:ascii="Arial" w:hAnsi="Arial" w:cs="Arial"/>
      <w:color w:val="000000"/>
      <w:sz w:val="20"/>
      <w:szCs w:val="20"/>
      <w:u w:val="none"/>
    </w:rPr>
  </w:style>
  <w:style w:type="character" w:customStyle="1" w:styleId="161">
    <w:name w:val="标题 1 字符1"/>
    <w:link w:val="2"/>
    <w:autoRedefine/>
    <w:qFormat/>
    <w:uiPriority w:val="0"/>
    <w:rPr>
      <w:rFonts w:ascii="宋体" w:hAnsi="Calibri" w:eastAsia="宋体" w:cs="Times New Roman"/>
      <w:kern w:val="0"/>
      <w:sz w:val="24"/>
      <w:szCs w:val="24"/>
    </w:rPr>
  </w:style>
  <w:style w:type="character" w:customStyle="1" w:styleId="162">
    <w:name w:val="批注文字 Char1"/>
    <w:autoRedefine/>
    <w:qFormat/>
    <w:uiPriority w:val="0"/>
    <w:rPr>
      <w:kern w:val="2"/>
      <w:sz w:val="21"/>
      <w:szCs w:val="24"/>
    </w:rPr>
  </w:style>
  <w:style w:type="character" w:customStyle="1" w:styleId="163">
    <w:name w:val="批注框文本 Char"/>
    <w:autoRedefine/>
    <w:semiHidden/>
    <w:qFormat/>
    <w:uiPriority w:val="99"/>
    <w:rPr>
      <w:kern w:val="2"/>
      <w:sz w:val="18"/>
      <w:szCs w:val="18"/>
    </w:rPr>
  </w:style>
  <w:style w:type="character" w:customStyle="1" w:styleId="164">
    <w:name w:val="DAS正文 Char"/>
    <w:autoRedefine/>
    <w:qFormat/>
    <w:uiPriority w:val="0"/>
    <w:rPr>
      <w:rFonts w:ascii="Verdana" w:hAnsi="Verdana" w:eastAsia="宋体"/>
      <w:kern w:val="2"/>
      <w:sz w:val="21"/>
      <w:szCs w:val="21"/>
      <w:lang w:val="en-US" w:eastAsia="zh-CN" w:bidi="ar-SA"/>
    </w:rPr>
  </w:style>
  <w:style w:type="character" w:customStyle="1" w:styleId="165">
    <w:name w:val="正文文本缩进 3 字符"/>
    <w:link w:val="35"/>
    <w:autoRedefine/>
    <w:qFormat/>
    <w:uiPriority w:val="0"/>
    <w:rPr>
      <w:rFonts w:ascii="宋体" w:hAnsi="Times New Roman" w:eastAsia="宋体" w:cs="Times New Roman"/>
      <w:kern w:val="0"/>
      <w:sz w:val="24"/>
      <w:szCs w:val="24"/>
    </w:rPr>
  </w:style>
  <w:style w:type="character" w:customStyle="1" w:styleId="166">
    <w:name w:val="页眉 Char"/>
    <w:autoRedefine/>
    <w:qFormat/>
    <w:uiPriority w:val="99"/>
    <w:rPr>
      <w:kern w:val="2"/>
      <w:sz w:val="18"/>
      <w:szCs w:val="18"/>
    </w:rPr>
  </w:style>
  <w:style w:type="character" w:customStyle="1" w:styleId="167">
    <w:name w:val="正文文本 3 字符"/>
    <w:link w:val="19"/>
    <w:autoRedefine/>
    <w:qFormat/>
    <w:uiPriority w:val="0"/>
    <w:rPr>
      <w:rFonts w:ascii="宋体" w:hAnsi="Times New Roman" w:eastAsia="宋体" w:cs="Times New Roman"/>
      <w:b/>
      <w:bCs/>
      <w:color w:val="3366FF"/>
      <w:sz w:val="52"/>
      <w:szCs w:val="52"/>
      <w:lang w:val="zh-CN"/>
    </w:rPr>
  </w:style>
  <w:style w:type="character" w:customStyle="1" w:styleId="168">
    <w:name w:val="HTML 预设格式 字符1"/>
    <w:autoRedefine/>
    <w:semiHidden/>
    <w:qFormat/>
    <w:uiPriority w:val="99"/>
    <w:rPr>
      <w:rFonts w:ascii="Courier New" w:hAnsi="Courier New" w:eastAsia="宋体" w:cs="Courier New"/>
      <w:kern w:val="0"/>
      <w:sz w:val="20"/>
      <w:szCs w:val="20"/>
    </w:rPr>
  </w:style>
  <w:style w:type="character" w:customStyle="1" w:styleId="169">
    <w:name w:val="彩色列表 - 强调文字颜色 1 Char"/>
    <w:link w:val="170"/>
    <w:autoRedefine/>
    <w:qFormat/>
    <w:uiPriority w:val="0"/>
    <w:rPr>
      <w:rFonts w:ascii="宋体"/>
      <w:sz w:val="24"/>
      <w:szCs w:val="24"/>
    </w:rPr>
  </w:style>
  <w:style w:type="paragraph" w:customStyle="1" w:styleId="170">
    <w:name w:val="彩色列表 - 强调文字颜色 11"/>
    <w:basedOn w:val="1"/>
    <w:link w:val="169"/>
    <w:autoRedefine/>
    <w:qFormat/>
    <w:uiPriority w:val="0"/>
    <w:pPr>
      <w:autoSpaceDE w:val="0"/>
      <w:autoSpaceDN w:val="0"/>
      <w:adjustRightInd w:val="0"/>
      <w:ind w:firstLine="420" w:firstLineChars="200"/>
      <w:jc w:val="left"/>
    </w:pPr>
    <w:rPr>
      <w:rFonts w:ascii="宋体"/>
      <w:sz w:val="24"/>
      <w:szCs w:val="24"/>
    </w:rPr>
  </w:style>
  <w:style w:type="character" w:customStyle="1" w:styleId="171">
    <w:name w:val="普通(网站) 字符"/>
    <w:autoRedefine/>
    <w:qFormat/>
    <w:locked/>
    <w:uiPriority w:val="99"/>
    <w:rPr>
      <w:rFonts w:ascii="宋体" w:hAnsi="宋体" w:eastAsia="宋体" w:cs="Times New Roman"/>
      <w:kern w:val="0"/>
      <w:sz w:val="15"/>
      <w:szCs w:val="15"/>
      <w:lang w:val="en-US" w:eastAsia="zh-CN"/>
    </w:rPr>
  </w:style>
  <w:style w:type="paragraph" w:customStyle="1" w:styleId="172">
    <w:name w:val="_Style 123"/>
    <w:basedOn w:val="1"/>
    <w:next w:val="140"/>
    <w:autoRedefine/>
    <w:qFormat/>
    <w:uiPriority w:val="34"/>
    <w:pPr>
      <w:spacing w:line="360" w:lineRule="auto"/>
      <w:ind w:firstLine="420" w:firstLineChars="200"/>
    </w:pPr>
    <w:rPr>
      <w:rFonts w:ascii="Calibri" w:hAnsi="Calibri" w:eastAsia="宋体" w:cs="Times New Roman"/>
    </w:rPr>
  </w:style>
  <w:style w:type="character" w:customStyle="1" w:styleId="173">
    <w:name w:val="纯文本 字符4"/>
    <w:basedOn w:val="47"/>
    <w:autoRedefine/>
    <w:semiHidden/>
    <w:qFormat/>
    <w:uiPriority w:val="99"/>
    <w:rPr>
      <w:rFonts w:hAnsi="Courier New" w:cs="Courier New" w:asciiTheme="minorEastAsia"/>
    </w:rPr>
  </w:style>
  <w:style w:type="character" w:customStyle="1" w:styleId="174">
    <w:name w:val="批注文字 字符4"/>
    <w:basedOn w:val="47"/>
    <w:link w:val="18"/>
    <w:autoRedefine/>
    <w:semiHidden/>
    <w:qFormat/>
    <w:uiPriority w:val="99"/>
  </w:style>
  <w:style w:type="character" w:customStyle="1" w:styleId="175">
    <w:name w:val="批注主题 字符2"/>
    <w:basedOn w:val="174"/>
    <w:autoRedefine/>
    <w:semiHidden/>
    <w:qFormat/>
    <w:uiPriority w:val="99"/>
    <w:rPr>
      <w:b/>
      <w:bCs/>
    </w:rPr>
  </w:style>
  <w:style w:type="character" w:customStyle="1" w:styleId="176">
    <w:name w:val="标题 字符3"/>
    <w:basedOn w:val="47"/>
    <w:autoRedefine/>
    <w:qFormat/>
    <w:uiPriority w:val="10"/>
    <w:rPr>
      <w:rFonts w:asciiTheme="majorHAnsi" w:hAnsiTheme="majorHAnsi" w:eastAsiaTheme="majorEastAsia" w:cstheme="majorBidi"/>
      <w:b/>
      <w:bCs/>
      <w:sz w:val="32"/>
      <w:szCs w:val="32"/>
    </w:rPr>
  </w:style>
  <w:style w:type="character" w:customStyle="1" w:styleId="177">
    <w:name w:val="正文文本缩进 字符3"/>
    <w:basedOn w:val="47"/>
    <w:autoRedefine/>
    <w:semiHidden/>
    <w:qFormat/>
    <w:uiPriority w:val="99"/>
  </w:style>
  <w:style w:type="character" w:customStyle="1" w:styleId="178">
    <w:name w:val="正文文本 字符4"/>
    <w:basedOn w:val="47"/>
    <w:autoRedefine/>
    <w:semiHidden/>
    <w:qFormat/>
    <w:uiPriority w:val="99"/>
  </w:style>
  <w:style w:type="character" w:customStyle="1" w:styleId="179">
    <w:name w:val="正文文本缩进 3 字符2"/>
    <w:basedOn w:val="47"/>
    <w:autoRedefine/>
    <w:semiHidden/>
    <w:qFormat/>
    <w:uiPriority w:val="99"/>
    <w:rPr>
      <w:sz w:val="16"/>
      <w:szCs w:val="16"/>
    </w:rPr>
  </w:style>
  <w:style w:type="character" w:customStyle="1" w:styleId="180">
    <w:name w:val="页眉 字符2"/>
    <w:basedOn w:val="47"/>
    <w:autoRedefine/>
    <w:semiHidden/>
    <w:qFormat/>
    <w:uiPriority w:val="99"/>
    <w:rPr>
      <w:sz w:val="18"/>
      <w:szCs w:val="18"/>
    </w:rPr>
  </w:style>
  <w:style w:type="character" w:customStyle="1" w:styleId="181">
    <w:name w:val="批注框文本 字符2"/>
    <w:basedOn w:val="47"/>
    <w:autoRedefine/>
    <w:semiHidden/>
    <w:qFormat/>
    <w:uiPriority w:val="99"/>
    <w:rPr>
      <w:sz w:val="18"/>
      <w:szCs w:val="18"/>
    </w:rPr>
  </w:style>
  <w:style w:type="character" w:customStyle="1" w:styleId="182">
    <w:name w:val="HTML 预设格式 字符2"/>
    <w:basedOn w:val="47"/>
    <w:autoRedefine/>
    <w:semiHidden/>
    <w:qFormat/>
    <w:uiPriority w:val="99"/>
    <w:rPr>
      <w:rFonts w:ascii="Courier New" w:hAnsi="Courier New" w:cs="Courier New"/>
      <w:sz w:val="20"/>
      <w:szCs w:val="20"/>
    </w:rPr>
  </w:style>
  <w:style w:type="character" w:customStyle="1" w:styleId="183">
    <w:name w:val="页脚 字符2"/>
    <w:basedOn w:val="47"/>
    <w:autoRedefine/>
    <w:semiHidden/>
    <w:qFormat/>
    <w:uiPriority w:val="99"/>
    <w:rPr>
      <w:sz w:val="18"/>
      <w:szCs w:val="18"/>
    </w:rPr>
  </w:style>
  <w:style w:type="character" w:customStyle="1" w:styleId="184">
    <w:name w:val="正文文本缩进 2 字符2"/>
    <w:basedOn w:val="47"/>
    <w:autoRedefine/>
    <w:semiHidden/>
    <w:qFormat/>
    <w:uiPriority w:val="99"/>
  </w:style>
  <w:style w:type="character" w:customStyle="1" w:styleId="185">
    <w:name w:val="正文文本 3 字符2"/>
    <w:basedOn w:val="47"/>
    <w:autoRedefine/>
    <w:semiHidden/>
    <w:qFormat/>
    <w:uiPriority w:val="99"/>
    <w:rPr>
      <w:sz w:val="16"/>
      <w:szCs w:val="16"/>
    </w:rPr>
  </w:style>
  <w:style w:type="character" w:customStyle="1" w:styleId="186">
    <w:name w:val="正文文本 2 字符2"/>
    <w:basedOn w:val="47"/>
    <w:autoRedefine/>
    <w:semiHidden/>
    <w:qFormat/>
    <w:uiPriority w:val="99"/>
  </w:style>
  <w:style w:type="paragraph" w:customStyle="1" w:styleId="187">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88">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89">
    <w:name w:val="文档结构图 字符2"/>
    <w:basedOn w:val="47"/>
    <w:autoRedefine/>
    <w:semiHidden/>
    <w:qFormat/>
    <w:uiPriority w:val="99"/>
    <w:rPr>
      <w:rFonts w:ascii="Microsoft YaHei UI" w:eastAsia="Microsoft YaHei UI"/>
      <w:sz w:val="18"/>
      <w:szCs w:val="18"/>
    </w:rPr>
  </w:style>
  <w:style w:type="character" w:customStyle="1" w:styleId="190">
    <w:name w:val="日期 字符2"/>
    <w:basedOn w:val="47"/>
    <w:autoRedefine/>
    <w:semiHidden/>
    <w:qFormat/>
    <w:uiPriority w:val="99"/>
  </w:style>
  <w:style w:type="paragraph" w:customStyle="1" w:styleId="191">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92">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93">
    <w:name w:val="修订1"/>
    <w:autoRedefine/>
    <w:semiHidden/>
    <w:qFormat/>
    <w:uiPriority w:val="99"/>
    <w:rPr>
      <w:rFonts w:ascii="宋体" w:hAnsi="Calibri" w:eastAsia="宋体" w:cs="Times New Roman"/>
      <w:sz w:val="24"/>
      <w:szCs w:val="24"/>
      <w:lang w:val="en-US" w:eastAsia="zh-CN" w:bidi="ar-SA"/>
    </w:rPr>
  </w:style>
  <w:style w:type="paragraph" w:customStyle="1" w:styleId="194">
    <w:name w:val="图/图注"/>
    <w:basedOn w:val="8"/>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95">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96">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97">
    <w:name w:val="p0"/>
    <w:basedOn w:val="1"/>
    <w:autoRedefine/>
    <w:qFormat/>
    <w:uiPriority w:val="0"/>
    <w:pPr>
      <w:widowControl/>
    </w:pPr>
    <w:rPr>
      <w:rFonts w:ascii="Times New Roman" w:hAnsi="Calibri" w:eastAsia="宋体" w:cs="Times New Roman"/>
      <w:kern w:val="0"/>
      <w:szCs w:val="20"/>
    </w:rPr>
  </w:style>
  <w:style w:type="paragraph" w:customStyle="1" w:styleId="198">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9">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200">
    <w:name w:val="网格表 32"/>
    <w:basedOn w:val="2"/>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1">
    <w:name w:val="WPSOffice手动目录 1"/>
    <w:autoRedefine/>
    <w:qFormat/>
    <w:uiPriority w:val="0"/>
    <w:rPr>
      <w:rFonts w:ascii="Calibri" w:hAnsi="Calibri" w:eastAsia="宋体" w:cs="Times New Roman"/>
      <w:lang w:val="en-US" w:eastAsia="zh-CN" w:bidi="ar-SA"/>
    </w:rPr>
  </w:style>
  <w:style w:type="paragraph" w:customStyle="1" w:styleId="202">
    <w:name w:val="_Style 69"/>
    <w:basedOn w:val="1"/>
    <w:next w:val="140"/>
    <w:autoRedefine/>
    <w:qFormat/>
    <w:uiPriority w:val="34"/>
    <w:pPr>
      <w:spacing w:line="360" w:lineRule="auto"/>
      <w:ind w:firstLine="420" w:firstLineChars="200"/>
    </w:pPr>
    <w:rPr>
      <w:rFonts w:ascii="Calibri" w:hAnsi="Calibri" w:eastAsia="宋体" w:cs="Times New Roman"/>
    </w:rPr>
  </w:style>
  <w:style w:type="paragraph" w:customStyle="1" w:styleId="203">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4">
    <w:name w:val="保留正文"/>
    <w:basedOn w:val="20"/>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205">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206">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207">
    <w:name w:val="网格表 31"/>
    <w:basedOn w:val="2"/>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8">
    <w:name w:val="表格文字居中"/>
    <w:basedOn w:val="133"/>
    <w:autoRedefine/>
    <w:qFormat/>
    <w:uiPriority w:val="0"/>
    <w:pPr>
      <w:jc w:val="center"/>
    </w:pPr>
    <w:rPr>
      <w:rFonts w:cs="宋体"/>
      <w:szCs w:val="20"/>
    </w:rPr>
  </w:style>
  <w:style w:type="paragraph" w:customStyle="1" w:styleId="209">
    <w:name w:val="正文缩进4格"/>
    <w:basedOn w:val="74"/>
    <w:autoRedefine/>
    <w:qFormat/>
    <w:uiPriority w:val="0"/>
    <w:pPr>
      <w:spacing w:line="360" w:lineRule="auto"/>
      <w:ind w:left="964" w:leftChars="314" w:hanging="210" w:hangingChars="100"/>
    </w:pPr>
    <w:rPr>
      <w:rFonts w:ascii="宋体" w:eastAsia="宋体"/>
      <w:sz w:val="21"/>
      <w:szCs w:val="21"/>
      <w:lang w:val="zh-CN"/>
    </w:rPr>
  </w:style>
  <w:style w:type="paragraph" w:customStyle="1" w:styleId="210">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11">
    <w:name w:val="正文首行缩进 字符"/>
    <w:basedOn w:val="129"/>
    <w:link w:val="43"/>
    <w:autoRedefine/>
    <w:semiHidden/>
    <w:qFormat/>
    <w:uiPriority w:val="99"/>
    <w:rPr>
      <w:rFonts w:ascii="宋体" w:eastAsia="宋体"/>
      <w:b w:val="0"/>
      <w:bCs w:val="0"/>
      <w:sz w:val="84"/>
      <w:szCs w:val="84"/>
      <w:lang w:val="zh-CN"/>
    </w:rPr>
  </w:style>
  <w:style w:type="paragraph" w:customStyle="1" w:styleId="212">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3">
    <w:name w:val="页脚 字符"/>
    <w:basedOn w:val="47"/>
    <w:link w:val="25"/>
    <w:autoRedefine/>
    <w:qFormat/>
    <w:uiPriority w:val="0"/>
    <w:rPr>
      <w:kern w:val="2"/>
      <w:sz w:val="18"/>
    </w:rPr>
  </w:style>
  <w:style w:type="paragraph" w:customStyle="1" w:styleId="214">
    <w:name w:val="Table Text"/>
    <w:basedOn w:val="1"/>
    <w:link w:val="215"/>
    <w:autoRedefine/>
    <w:qFormat/>
    <w:uiPriority w:val="0"/>
    <w:pPr>
      <w:topLinePunct/>
      <w:adjustRightInd w:val="0"/>
      <w:snapToGrid w:val="0"/>
      <w:spacing w:before="80" w:after="80" w:line="240" w:lineRule="atLeast"/>
      <w:jc w:val="left"/>
    </w:pPr>
    <w:rPr>
      <w:rFonts w:ascii="Times New Roman" w:hAnsi="Times New Roman" w:eastAsia="宋体" w:cs="Times New Roman"/>
      <w:kern w:val="0"/>
      <w:szCs w:val="21"/>
    </w:rPr>
  </w:style>
  <w:style w:type="character" w:customStyle="1" w:styleId="215">
    <w:name w:val="Table Text Char1"/>
    <w:basedOn w:val="47"/>
    <w:link w:val="214"/>
    <w:autoRedefine/>
    <w:qFormat/>
    <w:uiPriority w:val="0"/>
    <w:rPr>
      <w:rFonts w:hint="default" w:ascii="Arial" w:hAnsi="Arial" w:cs="Arial"/>
      <w:snapToGrid/>
      <w:sz w:val="21"/>
      <w:szCs w:val="21"/>
    </w:rPr>
  </w:style>
  <w:style w:type="table" w:customStyle="1" w:styleId="216">
    <w:name w:val="Table Normal"/>
    <w:basedOn w:val="45"/>
    <w:autoRedefine/>
    <w:semiHidden/>
    <w:qFormat/>
    <w:uiPriority w:val="0"/>
    <w:pPr>
      <w:widowControl w:val="0"/>
      <w:autoSpaceDE w:val="0"/>
      <w:autoSpaceDN w:val="0"/>
    </w:pPr>
    <w:rPr>
      <w:rFonts w:ascii="Calibri" w:hAnsi="Calibri" w:cs="Calibri"/>
      <w:sz w:val="22"/>
      <w:szCs w:val="22"/>
      <w:lang w:eastAsia="en-US"/>
    </w:rPr>
    <w:tblPr>
      <w:tblCellMar>
        <w:left w:w="0" w:type="dxa"/>
        <w:right w:w="0" w:type="dxa"/>
      </w:tblCellMar>
    </w:tblPr>
  </w:style>
  <w:style w:type="paragraph" w:customStyle="1" w:styleId="217">
    <w:name w:val="！正文"/>
    <w:basedOn w:val="1"/>
    <w:autoRedefine/>
    <w:qFormat/>
    <w:uiPriority w:val="0"/>
    <w:pPr>
      <w:spacing w:line="360" w:lineRule="auto"/>
      <w:ind w:firstLine="624" w:firstLineChars="200"/>
    </w:pPr>
    <w:rPr>
      <w:rFonts w:ascii="Times New Roman" w:hAnsi="Times New Roman" w:eastAsia="仿宋_GB2312" w:cs="Times New Roman"/>
      <w:bCs/>
      <w:color w:val="000000"/>
      <w:sz w:val="28"/>
      <w:szCs w:val="28"/>
    </w:rPr>
  </w:style>
  <w:style w:type="paragraph" w:customStyle="1" w:styleId="218">
    <w:name w:val="列出段落2"/>
    <w:basedOn w:val="1"/>
    <w:autoRedefine/>
    <w:qFormat/>
    <w:uiPriority w:val="99"/>
    <w:pPr>
      <w:ind w:firstLine="420" w:firstLineChars="200"/>
    </w:pPr>
  </w:style>
  <w:style w:type="character" w:customStyle="1" w:styleId="219">
    <w:name w:val="10"/>
    <w:basedOn w:val="47"/>
    <w:autoRedefine/>
    <w:qFormat/>
    <w:uiPriority w:val="0"/>
    <w:rPr>
      <w:rFonts w:hint="default" w:ascii="Times New Roman" w:hAnsi="Times New Roman" w:cs="Times New Roman"/>
    </w:rPr>
  </w:style>
  <w:style w:type="character" w:customStyle="1" w:styleId="220">
    <w:name w:val="15"/>
    <w:basedOn w:val="47"/>
    <w:autoRedefine/>
    <w:qFormat/>
    <w:uiPriority w:val="0"/>
    <w:rPr>
      <w:rFonts w:hint="default" w:ascii="Times New Roman" w:hAnsi="Times New Roman" w:cs="Times New Roman"/>
    </w:rPr>
  </w:style>
  <w:style w:type="paragraph" w:customStyle="1" w:styleId="221">
    <w:name w:val="null3"/>
    <w:autoRedefine/>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155</Pages>
  <Words>108299</Words>
  <Characters>113719</Characters>
  <Lines>860</Lines>
  <Paragraphs>242</Paragraphs>
  <TotalTime>0</TotalTime>
  <ScaleCrop>false</ScaleCrop>
  <LinksUpToDate>false</LinksUpToDate>
  <CharactersWithSpaces>117676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2025-09-05T09:01:00Z</dcterms:created>
  <dc:creator>HS</dc:creator>
  <cp:lastModifiedBy>YD-ho</cp:lastModifiedBy>
  <cp:lastPrinted>2025-09-27T02:48:00Z</cp:lastPrinted>
  <dcterms:modified xsi:type="dcterms:W3CDTF">2025-09-30T02:42:45Z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542E2AF1A04A49C5A63F4DB962623EBD_13</vt:lpwstr>
  </property>
  <property fmtid="{D5CDD505-2E9C-101B-9397-08002B2CF9AE}" pid="4" name="KSOTemplateDocerSaveRecord">
    <vt:lpwstr>eyJoZGlkIjoiZGIwNDZhMTMxM2EyYzUxY2RmNGE4YzgzZTdiOWQwYWQiLCJ1c2VySWQiOiI0MTQ1MDg4MDkifQ==</vt:lpwstr>
  </property>
</Properties>
</file>