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东莞市长安新区污水处理厂原位技术升级设备采购及安装项目</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u w:val="single"/>
          <w:lang w:val="en-US" w:eastAsia="zh-CN"/>
        </w:rPr>
        <w:t xml:space="preserve"> SSWSSZ12502393 </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w:t>
      </w:r>
      <w:r>
        <w:rPr>
          <w:rFonts w:hint="eastAsia" w:ascii="宋体" w:hAnsi="宋体" w:eastAsia="宋体" w:cs="Times New Roman"/>
          <w:b/>
          <w:bCs/>
          <w:color w:val="auto"/>
          <w:sz w:val="32"/>
          <w:szCs w:val="32"/>
          <w:highlight w:val="none"/>
          <w:u w:val="single"/>
          <w:lang w:val="zh-CN"/>
        </w:rPr>
        <w:t>东莞市石鼓净水有限公司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Times New Roman"/>
          <w:b/>
          <w:bCs/>
          <w:color w:val="auto"/>
          <w:sz w:val="32"/>
          <w:szCs w:val="32"/>
          <w:highlight w:val="none"/>
          <w:u w:val="single"/>
          <w:lang w:val="zh-CN"/>
        </w:rPr>
        <w:t>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2025 </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25 </w:t>
      </w:r>
      <w:r>
        <w:rPr>
          <w:rFonts w:hint="eastAsia" w:ascii="宋体" w:hAnsi="宋体" w:eastAsia="宋体" w:cs="宋体"/>
          <w:b/>
          <w:bCs/>
          <w:color w:val="auto"/>
          <w:sz w:val="32"/>
          <w:szCs w:val="32"/>
          <w:highlight w:val="none"/>
          <w:lang w:val="zh-CN"/>
        </w:rPr>
        <w:t>日</w:t>
      </w:r>
    </w:p>
    <w:p>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pPr>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重要提示</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1. 本次招标项目采用电子标书。</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3. 除特别说明外，招标文件相关条款中提及的以及第六篇“投标文件格式”中包括但不限于“企业数字证书电子签名”及“电子签名”等要求</w:t>
      </w:r>
      <w:r>
        <w:rPr>
          <w:rFonts w:hint="eastAsia" w:eastAsia="宋体" w:cs="宋体"/>
          <w:color w:val="auto"/>
          <w:sz w:val="24"/>
          <w:szCs w:val="24"/>
          <w:highlight w:val="none"/>
          <w:lang w:val="en-US" w:eastAsia="zh-CN" w:bidi="ar"/>
        </w:rPr>
        <w:t>签名</w:t>
      </w:r>
      <w:r>
        <w:rPr>
          <w:rFonts w:hint="eastAsia" w:eastAsia="宋体" w:cs="宋体"/>
          <w:color w:val="auto"/>
          <w:sz w:val="24"/>
          <w:szCs w:val="24"/>
          <w:highlight w:val="none"/>
          <w:lang w:bidi="ar"/>
        </w:rPr>
        <w:t>的均指由数字证书电子</w:t>
      </w:r>
      <w:r>
        <w:rPr>
          <w:rFonts w:hint="eastAsia" w:eastAsia="宋体" w:cs="宋体"/>
          <w:color w:val="auto"/>
          <w:sz w:val="24"/>
          <w:szCs w:val="24"/>
          <w:highlight w:val="none"/>
          <w:lang w:val="en-US" w:eastAsia="zh-CN" w:bidi="ar"/>
        </w:rPr>
        <w:t>签章或电子签名。</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5. 投标人在交易系统中对投标文件进行解密的电子</w:t>
      </w:r>
      <w:r>
        <w:rPr>
          <w:rFonts w:hint="default" w:eastAsia="宋体" w:cs="宋体"/>
          <w:color w:val="auto"/>
          <w:sz w:val="24"/>
          <w:szCs w:val="24"/>
          <w:highlight w:val="none"/>
          <w:lang w:val="en-US" w:bidi="ar"/>
        </w:rPr>
        <w:t>签名</w:t>
      </w:r>
      <w:r>
        <w:rPr>
          <w:rFonts w:hint="eastAsia" w:eastAsia="宋体" w:cs="宋体"/>
          <w:color w:val="auto"/>
          <w:sz w:val="24"/>
          <w:szCs w:val="24"/>
          <w:highlight w:val="none"/>
          <w:lang w:bidi="ar"/>
        </w:rPr>
        <w:t>认证证书必须为机构证书或制作本项目投标文件的业务证书。</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6. 投标人应及时提交投标文件，如在投标文件截止时间前因网络等任何原因未能成功上传投标文件，相关后果由投标人自行承担。</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8.如未在投标文件递交截止时间前匹配对应的投标文件，视为投标人未提交。本招标文件中签到、投标文件匹配、投标保证金</w:t>
      </w:r>
      <w:r>
        <w:rPr>
          <w:rFonts w:hint="eastAsia" w:eastAsia="宋体" w:cs="宋体"/>
          <w:color w:val="auto"/>
          <w:sz w:val="24"/>
          <w:szCs w:val="24"/>
          <w:highlight w:val="none"/>
          <w:lang w:val="en-US" w:eastAsia="zh-CN" w:bidi="ar"/>
        </w:rPr>
        <w:t>关联</w:t>
      </w:r>
      <w:r>
        <w:rPr>
          <w:rFonts w:hint="eastAsia" w:eastAsia="宋体" w:cs="宋体"/>
          <w:color w:val="auto"/>
          <w:sz w:val="24"/>
          <w:szCs w:val="24"/>
          <w:highlight w:val="none"/>
          <w:lang w:bidi="ar"/>
        </w:rPr>
        <w:t>等时间均以东莞市公共资源交易E网通管理平台时间为准。</w:t>
      </w:r>
    </w:p>
    <w:p>
      <w:pPr>
        <w:pStyle w:val="39"/>
        <w:widowControl w:val="0"/>
        <w:spacing w:before="0" w:beforeAutospacing="0" w:after="0" w:afterAutospacing="0" w:line="360" w:lineRule="auto"/>
        <w:ind w:firstLine="480" w:firstLineChars="200"/>
        <w:jc w:val="both"/>
        <w:rPr>
          <w:rFonts w:eastAsia="宋体" w:cs="宋体"/>
          <w:color w:val="auto"/>
          <w:sz w:val="24"/>
          <w:szCs w:val="24"/>
          <w:highlight w:val="none"/>
          <w:lang w:bidi="ar"/>
        </w:rPr>
      </w:pPr>
      <w:r>
        <w:rPr>
          <w:rFonts w:hint="eastAsia" w:eastAsia="宋体" w:cs="宋体"/>
          <w:color w:val="auto"/>
          <w:sz w:val="24"/>
          <w:szCs w:val="24"/>
          <w:highlight w:val="none"/>
          <w:lang w:bidi="ar"/>
        </w:rPr>
        <w:t>9.本招标项目在全国公共资源交易平台（广东省·东莞市）（https</w:t>
      </w:r>
      <w:r>
        <w:rPr>
          <w:rFonts w:hint="eastAsia" w:eastAsia="宋体" w:cs="宋体"/>
          <w:color w:val="auto"/>
          <w:sz w:val="24"/>
          <w:szCs w:val="24"/>
          <w:highlight w:val="none"/>
          <w:lang w:eastAsia="zh-CN" w:bidi="ar"/>
        </w:rPr>
        <w:t>：</w:t>
      </w:r>
      <w:r>
        <w:rPr>
          <w:rFonts w:hint="eastAsia" w:eastAsia="宋体" w:cs="宋体"/>
          <w:color w:val="auto"/>
          <w:sz w:val="24"/>
          <w:szCs w:val="24"/>
          <w:highlight w:val="none"/>
          <w:lang w:bidi="ar"/>
        </w:rPr>
        <w:t>//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pPr>
        <w:pStyle w:val="2"/>
        <w:rPr>
          <w:color w:val="auto"/>
          <w:highlight w:val="none"/>
        </w:rPr>
      </w:pPr>
    </w:p>
    <w:p>
      <w:pPr>
        <w:pStyle w:val="2"/>
        <w:rPr>
          <w:rFonts w:hint="eastAsia" w:ascii="宋体" w:hAnsi="宋体" w:eastAsia="宋体" w:cs="宋体"/>
          <w:b/>
          <w:bCs/>
          <w:color w:val="auto"/>
          <w:kern w:val="44"/>
          <w:sz w:val="32"/>
          <w:szCs w:val="32"/>
          <w:highlight w:val="none"/>
          <w:lang w:val="zh-CN"/>
        </w:rPr>
      </w:pPr>
      <w:bookmarkStart w:id="0" w:name="_Toc18212"/>
      <w:bookmarkStart w:id="1" w:name="_Toc21384"/>
      <w:bookmarkStart w:id="2" w:name="_Toc450662847"/>
      <w:bookmarkStart w:id="3" w:name="_Toc486167661"/>
      <w:bookmarkStart w:id="4" w:name="_Toc31764_WPSOffice_Level1"/>
      <w:bookmarkStart w:id="5" w:name="_Toc142508311"/>
      <w:bookmarkStart w:id="6" w:name="_Toc195714215"/>
      <w:bookmarkStart w:id="7" w:name="_Toc15111"/>
    </w:p>
    <w:p>
      <w:pPr>
        <w:rPr>
          <w:rFonts w:hint="eastAsia"/>
          <w:color w:val="auto"/>
          <w:highlight w:val="none"/>
          <w:lang w:val="zh-CN"/>
        </w:rPr>
      </w:pPr>
      <w:r>
        <w:rPr>
          <w:rFonts w:hint="eastAsia"/>
          <w:color w:val="auto"/>
          <w:highlight w:val="none"/>
          <w:lang w:val="zh-CN"/>
        </w:rPr>
        <w:br w:type="page"/>
      </w:r>
    </w:p>
    <w:p>
      <w:pPr>
        <w:pStyle w:val="2"/>
        <w:jc w:val="center"/>
        <w:rPr>
          <w:rFonts w:hint="eastAsia"/>
          <w:b/>
          <w:bCs/>
          <w:color w:val="auto"/>
          <w:sz w:val="36"/>
          <w:szCs w:val="36"/>
          <w:highlight w:val="none"/>
          <w:lang w:val="en-US" w:eastAsia="zh-CN"/>
        </w:rPr>
      </w:pPr>
      <w:bookmarkStart w:id="8" w:name="_Toc16048"/>
      <w:r>
        <w:rPr>
          <w:rFonts w:hint="eastAsia"/>
          <w:b/>
          <w:bCs/>
          <w:color w:val="auto"/>
          <w:sz w:val="36"/>
          <w:szCs w:val="36"/>
          <w:highlight w:val="none"/>
          <w:lang w:val="en-US" w:eastAsia="zh-CN"/>
        </w:rPr>
        <w:t>目  录</w:t>
      </w:r>
      <w:bookmarkEnd w:id="8"/>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TOC \o "1-3" \h \u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_Toc19797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en-US" w:eastAsia="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_Toc11562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_Toc19280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_Toc21789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_Toc29543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_Toc27685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_Toc13067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_Toc1829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_Toc7140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_Toc18484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_Toc27276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_Toc6361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_Toc27749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_Toc15131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_Toc1239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_Toc4155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_Toc21940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_Toc10767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_Toc27546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_Toc9298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_Toc5772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_Toc28013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17 投标文件的编制和签署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_Toc6160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四、投标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_Toc8830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18 投标文件的</w:t>
      </w:r>
      <w:r>
        <w:rPr>
          <w:rStyle w:val="51"/>
          <w:rFonts w:hint="eastAsia" w:ascii="宋体" w:hAnsi="宋体" w:eastAsia="宋体" w:cs="宋体"/>
          <w:color w:val="auto"/>
          <w:sz w:val="21"/>
          <w:szCs w:val="21"/>
          <w:highlight w:val="none"/>
          <w:lang w:val="zh-CN"/>
        </w:rPr>
        <w:t>加密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_Toc8830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_Toc23455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 xml:space="preserve">19 </w:t>
      </w:r>
      <w:r>
        <w:rPr>
          <w:rFonts w:hint="eastAsia" w:ascii="宋体" w:hAnsi="宋体" w:eastAsia="宋体" w:cs="宋体"/>
          <w:color w:val="auto"/>
          <w:sz w:val="21"/>
          <w:szCs w:val="21"/>
          <w:highlight w:val="none"/>
          <w:lang w:val="zh-CN"/>
        </w:rPr>
        <w:t>投标文件的提交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_Toc172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 xml:space="preserve">20 </w:t>
      </w:r>
      <w:r>
        <w:rPr>
          <w:rFonts w:hint="eastAsia" w:ascii="宋体" w:hAnsi="宋体" w:eastAsia="宋体" w:cs="宋体"/>
          <w:color w:val="auto"/>
          <w:sz w:val="21"/>
          <w:szCs w:val="21"/>
          <w:highlight w:val="none"/>
          <w:lang w:val="zh-CN"/>
        </w:rPr>
        <w:t>投标会时间、地点及投标文件提交的截止时间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_Toc21285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val="zh-CN"/>
        </w:rPr>
        <w:t>投标文件的拒绝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_Toc15882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zh-CN"/>
        </w:rPr>
        <w:t>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_Toc15882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_Toc8413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_Toc8413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_Toc28305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zh-CN"/>
        </w:rPr>
        <w:t>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_Toc16603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_Toc32256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zh-CN"/>
        </w:rPr>
        <w:t xml:space="preserve">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_Toc14324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投标文件的有效性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_Toc19873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zh-CN"/>
        </w:rPr>
        <w:t xml:space="preserve">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_Toc19873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_Toc15084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zh-CN"/>
        </w:rPr>
        <w:t xml:space="preserve">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_Toc15681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zh-CN"/>
        </w:rPr>
        <w:t xml:space="preserve">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_Toc6163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_Toc24796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_Toc16049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_Toc28884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_Toc23284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_Toc23284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_Toc12456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_Toc29250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val="zh-CN"/>
        </w:rPr>
        <w:t xml:space="preserve">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_Toc10367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_Toc10367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_Toc2841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_Toc12300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_Toc1247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_Toc32148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_Toc10070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41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_Toc16926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color w:val="auto"/>
          <w:sz w:val="21"/>
          <w:szCs w:val="21"/>
          <w:highlight w:val="none"/>
        </w:rPr>
        <w:t>42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_Toc28303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_Toc28303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_Toc19692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bCs w:val="0"/>
          <w:color w:val="auto"/>
          <w:sz w:val="21"/>
          <w:szCs w:val="21"/>
          <w:highlight w:val="none"/>
          <w:lang w:val="en-US" w:eastAsia="zh-CN"/>
        </w:rPr>
        <w:fldChar w:fldCharType="end"/>
      </w:r>
      <w:r>
        <w:rPr>
          <w:rFonts w:hint="eastAsia" w:ascii="宋体" w:hAnsi="宋体" w:eastAsia="宋体" w:cs="宋体"/>
          <w:bCs w:val="0"/>
          <w:color w:val="auto"/>
          <w:sz w:val="21"/>
          <w:szCs w:val="21"/>
          <w:highlight w:val="none"/>
          <w:lang w:val="en-US" w:eastAsia="zh-CN"/>
        </w:rPr>
        <w:t>131</w:t>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_Toc29322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bCs w:val="0"/>
          <w:color w:val="auto"/>
          <w:sz w:val="21"/>
          <w:szCs w:val="21"/>
          <w:highlight w:val="none"/>
          <w:lang w:val="en-US" w:eastAsia="zh-CN"/>
        </w:rPr>
        <w:fldChar w:fldCharType="end"/>
      </w:r>
      <w:r>
        <w:rPr>
          <w:rFonts w:hint="eastAsia" w:ascii="宋体" w:hAnsi="宋体" w:eastAsia="宋体" w:cs="宋体"/>
          <w:bCs w:val="0"/>
          <w:color w:val="auto"/>
          <w:sz w:val="21"/>
          <w:szCs w:val="21"/>
          <w:highlight w:val="none"/>
          <w:lang w:val="en-US" w:eastAsia="zh-CN"/>
        </w:rPr>
        <w:t>158</w:t>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_Toc24799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fldChar w:fldCharType="begin"/>
      </w:r>
      <w:r>
        <w:rPr>
          <w:rFonts w:hint="eastAsia" w:ascii="宋体" w:hAnsi="宋体" w:eastAsia="宋体" w:cs="宋体"/>
          <w:bCs w:val="0"/>
          <w:color w:val="auto"/>
          <w:sz w:val="21"/>
          <w:szCs w:val="21"/>
          <w:highlight w:val="none"/>
          <w:lang w:val="en-US" w:eastAsia="zh-CN"/>
        </w:rPr>
        <w:instrText xml:space="preserve"> HYPERLINK \l _Toc5891 </w:instrText>
      </w:r>
      <w:r>
        <w:rPr>
          <w:rFonts w:hint="eastAsia" w:ascii="宋体" w:hAnsi="宋体" w:eastAsia="宋体" w:cs="宋体"/>
          <w:bCs w:val="0"/>
          <w:color w:val="auto"/>
          <w:sz w:val="21"/>
          <w:szCs w:val="21"/>
          <w:highlight w:val="none"/>
          <w:lang w:val="en-US" w:eastAsia="zh-CN"/>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rPr>
        <w:fldChar w:fldCharType="end"/>
      </w:r>
      <w:r>
        <w:rPr>
          <w:rFonts w:hint="eastAsia" w:ascii="宋体" w:hAnsi="宋体" w:eastAsia="宋体" w:cs="宋体"/>
          <w:bCs w:val="0"/>
          <w:color w:val="auto"/>
          <w:sz w:val="21"/>
          <w:szCs w:val="21"/>
          <w:highlight w:val="none"/>
          <w:lang w:val="en-US" w:eastAsia="zh-CN"/>
        </w:rPr>
        <w:fldChar w:fldCharType="end"/>
      </w:r>
    </w:p>
    <w:p>
      <w:pPr>
        <w:rPr>
          <w:rFonts w:hint="eastAsia"/>
          <w:b w:val="0"/>
          <w:bCs w:val="0"/>
          <w:color w:val="auto"/>
          <w:sz w:val="36"/>
          <w:szCs w:val="36"/>
          <w:highlight w:val="none"/>
          <w:lang w:val="en-US" w:eastAsia="zh-CN"/>
        </w:rPr>
      </w:pPr>
      <w:r>
        <w:rPr>
          <w:rFonts w:hint="eastAsia" w:ascii="宋体" w:hAnsi="宋体" w:eastAsia="宋体" w:cs="宋体"/>
          <w:bCs w:val="0"/>
          <w:color w:val="auto"/>
          <w:sz w:val="21"/>
          <w:szCs w:val="21"/>
          <w:highlight w:val="none"/>
          <w:lang w:val="en-US" w:eastAsia="zh-CN"/>
        </w:rPr>
        <w:fldChar w:fldCharType="end"/>
      </w:r>
    </w:p>
    <w:p>
      <w:pPr>
        <w:pStyle w:val="2"/>
        <w:rPr>
          <w:rFonts w:hint="eastAsia"/>
          <w:color w:val="auto"/>
          <w:highlight w:val="none"/>
          <w:lang w:val="en-US" w:eastAsia="zh-CN"/>
        </w:rPr>
      </w:pPr>
    </w:p>
    <w:p>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9" w:name="_Toc19797"/>
      <w:r>
        <w:rPr>
          <w:rFonts w:hint="eastAsia" w:ascii="宋体" w:hAnsi="宋体" w:eastAsia="宋体" w:cs="宋体"/>
          <w:b/>
          <w:bCs/>
          <w:color w:val="auto"/>
          <w:kern w:val="44"/>
          <w:sz w:val="32"/>
          <w:szCs w:val="32"/>
          <w:highlight w:val="none"/>
          <w:lang w:val="en-US" w:eastAsia="zh-CN"/>
        </w:rPr>
        <w:t>第一篇 招标公告</w:t>
      </w:r>
      <w:bookmarkEnd w:id="9"/>
    </w:p>
    <w:p>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lang w:eastAsia="zh-CN"/>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东莞市石鼓净水有限公司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lang w:eastAsia="zh-CN"/>
        </w:rPr>
        <w:t>东莞市长安新区污水处理厂原位技术升级设备采购及安装项目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  SSWSSZ12502393  </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 xml:space="preserve">1  </w:t>
      </w: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 w:val="21"/>
          <w:szCs w:val="21"/>
          <w:highlight w:val="none"/>
          <w:lang w:val="en-US" w:eastAsia="zh-CN"/>
        </w:rPr>
        <w:t>东莞市长安新区污水处理厂原位技术升级设备采购及安装，包括现状老旧设备更换和原位技术成套设备的投加系统、筛分回收系统、控制系统、电气系统、精确加药系统、过程仪表及其他辅助系统的设计、制造、采购、供货、运输及储存、安装（含安全防护、文明改造措施）、调试、消缺、</w:t>
      </w:r>
      <w:r>
        <w:rPr>
          <w:rFonts w:hint="default" w:ascii="Times New Roman" w:hAnsi="Times New Roman" w:eastAsia="宋体" w:cs="Times New Roman"/>
          <w:color w:val="auto"/>
          <w:highlight w:val="none"/>
          <w:lang w:val="zh-CN"/>
        </w:rPr>
        <w:t>培训</w:t>
      </w:r>
      <w:r>
        <w:rPr>
          <w:rFonts w:hint="default" w:ascii="Times New Roman" w:hAnsi="Times New Roman" w:eastAsia="宋体" w:cs="Times New Roman"/>
          <w:color w:val="auto"/>
          <w:highlight w:val="none"/>
          <w:lang w:val="en-US" w:eastAsia="zh-CN"/>
        </w:rPr>
        <w:t>、</w:t>
      </w:r>
      <w:r>
        <w:rPr>
          <w:rFonts w:hint="eastAsia" w:ascii="宋体" w:hAnsi="宋体" w:eastAsia="宋体" w:cs="宋体"/>
          <w:color w:val="auto"/>
          <w:sz w:val="21"/>
          <w:szCs w:val="21"/>
          <w:highlight w:val="none"/>
          <w:lang w:val="en-US" w:eastAsia="zh-CN"/>
        </w:rPr>
        <w:t>试运行、性能考核和最终交付等所有工作，以及培训、运营指导、统筹组织全厂联动调试、试运行及性能考核，并负责统筹全厂更换设备的安装及验收工作等技术服务，备品备件等一切为满足本项目技术性能要求所必需的设备、材料、服务及工作内容。</w:t>
      </w:r>
      <w:r>
        <w:rPr>
          <w:rFonts w:hint="eastAsia" w:ascii="宋体" w:hAnsi="宋体" w:eastAsia="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b/>
          <w:color w:val="auto"/>
          <w:szCs w:val="21"/>
          <w:highlight w:val="none"/>
          <w:lang w:val="zh-CN"/>
        </w:rPr>
      </w:pPr>
      <w:r>
        <w:rPr>
          <w:rFonts w:hint="eastAsia" w:ascii="宋体" w:hAnsi="宋体" w:eastAsia="宋体" w:cs="Times New Roman"/>
          <w:b/>
          <w:color w:val="auto"/>
          <w:kern w:val="2"/>
          <w:sz w:val="21"/>
          <w:szCs w:val="21"/>
          <w:highlight w:val="none"/>
          <w:lang w:val="en-US" w:eastAsia="zh-CN" w:bidi="ar-SA"/>
        </w:rPr>
        <w:t xml:space="preserve">2  </w:t>
      </w: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66"/>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66"/>
        <w:spacing w:line="360" w:lineRule="auto"/>
        <w:ind w:left="422" w:right="-29" w:rightChars="-14" w:hanging="422" w:hangingChars="200"/>
        <w:jc w:val="both"/>
        <w:rPr>
          <w:rFonts w:hint="eastAsia" w:hAnsi="宋体" w:eastAsia="宋体"/>
          <w:b/>
          <w:color w:val="auto"/>
          <w:sz w:val="21"/>
          <w:szCs w:val="21"/>
          <w:highlight w:val="none"/>
        </w:rPr>
      </w:pPr>
      <w:bookmarkStart w:id="11"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2022年1月1日</w:t>
      </w:r>
      <w:r>
        <w:rPr>
          <w:rFonts w:hint="eastAsia" w:hAnsi="宋体" w:eastAsia="宋体"/>
          <w:b/>
          <w:color w:val="auto"/>
          <w:sz w:val="21"/>
          <w:szCs w:val="21"/>
          <w:highlight w:val="none"/>
          <w:lang w:val="zh-CN"/>
        </w:rPr>
        <w:t>以来</w:t>
      </w:r>
      <w:r>
        <w:rPr>
          <w:rFonts w:hAnsi="宋体" w:eastAsia="宋体"/>
          <w:b/>
          <w:color w:val="auto"/>
          <w:sz w:val="21"/>
          <w:szCs w:val="21"/>
          <w:highlight w:val="none"/>
        </w:rPr>
        <w:t>具有</w:t>
      </w:r>
      <w:r>
        <w:rPr>
          <w:rFonts w:hint="eastAsia" w:hAnsi="宋体" w:eastAsia="宋体"/>
          <w:b/>
          <w:color w:val="auto"/>
          <w:sz w:val="21"/>
          <w:szCs w:val="21"/>
          <w:highlight w:val="none"/>
          <w:lang w:val="zh-CN"/>
        </w:rPr>
        <w:t>一份用于污水处理扩容的技术改造及其成套设备在国内的供货业绩（</w:t>
      </w:r>
      <w:r>
        <w:rPr>
          <w:rFonts w:hint="eastAsia" w:ascii="宋体" w:hAnsi="宋体" w:eastAsia="宋体" w:cs="宋体"/>
          <w:b/>
          <w:bCs/>
          <w:color w:val="auto"/>
          <w:kern w:val="2"/>
          <w:sz w:val="21"/>
          <w:szCs w:val="21"/>
          <w:highlight w:val="none"/>
          <w:lang w:val="en-US" w:eastAsia="zh-CN" w:bidi="ar"/>
        </w:rPr>
        <w:t>合同签订日期为2022年1月1日或以后</w:t>
      </w:r>
      <w:r>
        <w:rPr>
          <w:rFonts w:hint="eastAsia" w:hAnsi="宋体" w:eastAsia="宋体"/>
          <w:b/>
          <w:color w:val="auto"/>
          <w:sz w:val="21"/>
          <w:szCs w:val="21"/>
          <w:highlight w:val="none"/>
          <w:lang w:val="zh-CN"/>
        </w:rPr>
        <w:t>）；</w:t>
      </w:r>
    </w:p>
    <w:p>
      <w:pPr>
        <w:pStyle w:val="166"/>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11"/>
      <w:r>
        <w:rPr>
          <w:rFonts w:hint="eastAsia" w:hAnsi="宋体" w:eastAsia="宋体"/>
          <w:b/>
          <w:color w:val="auto"/>
          <w:sz w:val="21"/>
          <w:szCs w:val="21"/>
          <w:highlight w:val="none"/>
          <w:lang w:val="zh-CN"/>
        </w:rPr>
        <w:t>；</w:t>
      </w:r>
    </w:p>
    <w:p>
      <w:pPr>
        <w:pStyle w:val="166"/>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其他要求：</w:t>
      </w:r>
    </w:p>
    <w:p>
      <w:pPr>
        <w:pStyle w:val="166"/>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（1）投标人应在东莞市公共资源交易企业库建档；</w:t>
      </w:r>
    </w:p>
    <w:p>
      <w:pPr>
        <w:pStyle w:val="166"/>
        <w:autoSpaceDE/>
        <w:autoSpaceDN/>
        <w:spacing w:line="360" w:lineRule="auto"/>
        <w:ind w:left="420" w:leftChars="200"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84"/>
        <w:numPr>
          <w:ilvl w:val="0"/>
          <w:numId w:val="0"/>
        </w:numPr>
        <w:spacing w:line="360" w:lineRule="auto"/>
        <w:ind w:left="426" w:leftChars="0" w:right="-34" w:rightChars="0" w:hanging="426" w:firstLineChars="0"/>
        <w:rPr>
          <w:rFonts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 xml:space="preserve">3   </w:t>
      </w: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4   </w:t>
      </w: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5   </w:t>
      </w:r>
      <w:r>
        <w:rPr>
          <w:rFonts w:hint="eastAsia" w:ascii="宋体" w:hAnsi="宋体" w:eastAsia="宋体" w:cs="Times New Roman"/>
          <w:color w:val="auto"/>
          <w:szCs w:val="21"/>
          <w:highlight w:val="none"/>
          <w:lang w:val="zh-CN"/>
        </w:rPr>
        <w:t>投标会时间、地点及投标文件提交截止时间</w:t>
      </w:r>
      <w:r>
        <w:rPr>
          <w:rFonts w:ascii="宋体" w:hAnsi="宋体" w:eastAsia="宋体" w:cs="Times New Roman"/>
          <w:color w:val="auto"/>
          <w:szCs w:val="21"/>
          <w:highlight w:val="none"/>
          <w:lang w:val="zh-CN"/>
        </w:rPr>
        <w:t>：</w:t>
      </w:r>
    </w:p>
    <w:p>
      <w:pPr>
        <w:pStyle w:val="166"/>
        <w:spacing w:line="360" w:lineRule="auto"/>
        <w:ind w:left="420" w:hanging="420" w:hangingChars="200"/>
        <w:jc w:val="both"/>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en-US" w:eastAsia="zh-CN"/>
        </w:rPr>
        <w:t xml:space="preserve">5.1 </w:t>
      </w:r>
      <w:r>
        <w:rPr>
          <w:rFonts w:hint="eastAsia" w:hAnsi="宋体" w:eastAsia="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 xml:space="preserve">2025 </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12 </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16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hAnsi="宋体" w:eastAsia="宋体"/>
          <w:bCs/>
          <w:color w:val="auto"/>
          <w:sz w:val="21"/>
          <w:szCs w:val="21"/>
          <w:highlight w:val="none"/>
          <w:lang w:val="zh-CN"/>
        </w:rPr>
        <w:t>，投标会召开地点：东莞市南城街道西平社区宏伟三路45号东莞市公共资源交易中心</w:t>
      </w:r>
      <w:r>
        <w:rPr>
          <w:rFonts w:hint="eastAsia" w:ascii="宋体" w:hAnsi="宋体" w:eastAsia="宋体" w:cs="宋体"/>
          <w:bCs/>
          <w:color w:val="auto"/>
          <w:sz w:val="21"/>
          <w:szCs w:val="21"/>
          <w:highlight w:val="none"/>
          <w:lang w:val="zh-CN"/>
        </w:rPr>
        <w:t>开标室（</w:t>
      </w:r>
      <w:r>
        <w:rPr>
          <w:rFonts w:hint="eastAsia"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w:t>
      </w:r>
      <w:r>
        <w:rPr>
          <w:rFonts w:hint="eastAsia" w:hAnsi="宋体" w:eastAsia="宋体"/>
          <w:bCs/>
          <w:color w:val="auto"/>
          <w:sz w:val="21"/>
          <w:szCs w:val="21"/>
          <w:highlight w:val="none"/>
          <w:lang w:val="zh-CN"/>
        </w:rPr>
        <w:t>；</w:t>
      </w:r>
    </w:p>
    <w:p>
      <w:pPr>
        <w:pStyle w:val="166"/>
        <w:spacing w:line="360" w:lineRule="auto"/>
        <w:ind w:left="420" w:hanging="420" w:hangingChars="200"/>
        <w:jc w:val="both"/>
        <w:rPr>
          <w:rFonts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2</w:t>
      </w:r>
      <w:r>
        <w:rPr>
          <w:rFonts w:hint="eastAsia" w:hAnsi="宋体" w:eastAsia="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 xml:space="preserve">2025 </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 xml:space="preserve"> 12 </w:t>
      </w:r>
      <w:bookmarkStart w:id="776" w:name="_GoBack"/>
      <w:bookmarkEnd w:id="776"/>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 xml:space="preserve"> 16 </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 xml:space="preserve"> 9 </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 xml:space="preserve"> 30 </w:t>
      </w:r>
      <w:r>
        <w:rPr>
          <w:rFonts w:hint="eastAsia" w:ascii="宋体" w:hAnsi="宋体" w:eastAsia="宋体" w:cs="宋体"/>
          <w:bCs/>
          <w:color w:val="auto"/>
          <w:sz w:val="21"/>
          <w:szCs w:val="21"/>
          <w:highlight w:val="none"/>
          <w:u w:val="single"/>
          <w:lang w:val="zh-CN"/>
        </w:rPr>
        <w:t>分</w:t>
      </w:r>
      <w:r>
        <w:rPr>
          <w:rFonts w:hint="eastAsia" w:hAnsi="宋体" w:eastAsia="宋体"/>
          <w:bCs/>
          <w:color w:val="auto"/>
          <w:sz w:val="21"/>
          <w:szCs w:val="21"/>
          <w:highlight w:val="none"/>
          <w:u w:val="single"/>
          <w:lang w:val="zh-CN"/>
        </w:rPr>
        <w:t>，</w:t>
      </w:r>
      <w:r>
        <w:rPr>
          <w:rFonts w:hint="eastAsia" w:hAnsi="宋体" w:eastAsia="宋体"/>
          <w:bCs/>
          <w:color w:val="auto"/>
          <w:sz w:val="21"/>
          <w:szCs w:val="21"/>
          <w:highlight w:val="none"/>
          <w:lang w:val="zh-CN"/>
        </w:rPr>
        <w:t>地点：通过东莞市公共资源交易E网通管理平台建设工程交易系统网上提交；</w:t>
      </w:r>
    </w:p>
    <w:p>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rPr>
        <w:t>5.</w:t>
      </w:r>
      <w:r>
        <w:rPr>
          <w:rFonts w:hint="eastAsia" w:hAnsi="宋体" w:eastAsia="宋体"/>
          <w:bCs/>
          <w:color w:val="auto"/>
          <w:sz w:val="21"/>
          <w:szCs w:val="21"/>
          <w:highlight w:val="none"/>
          <w:lang w:val="en-US" w:eastAsia="zh-CN"/>
        </w:rPr>
        <w:t>3</w:t>
      </w:r>
      <w:r>
        <w:rPr>
          <w:rFonts w:hint="eastAsia" w:hAnsi="宋体" w:eastAsia="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pPr>
        <w:pStyle w:val="166"/>
        <w:spacing w:line="360" w:lineRule="auto"/>
        <w:ind w:left="420" w:hanging="420" w:hangingChars="200"/>
        <w:rPr>
          <w:rFonts w:hint="eastAsia" w:hAnsi="宋体" w:eastAsia="宋体"/>
          <w:bCs/>
          <w:color w:val="auto"/>
          <w:sz w:val="21"/>
          <w:szCs w:val="21"/>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63" w:leftChars="0" w:right="-34" w:rightChars="0" w:hanging="363" w:firstLineChars="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6   </w:t>
      </w:r>
      <w:r>
        <w:rPr>
          <w:rFonts w:hint="eastAsia" w:ascii="宋体" w:hAnsi="宋体" w:eastAsia="宋体" w:cs="宋体"/>
          <w:bCs/>
          <w:color w:val="auto"/>
          <w:sz w:val="21"/>
          <w:szCs w:val="21"/>
          <w:highlight w:val="none"/>
          <w:lang w:val="zh-CN"/>
        </w:rPr>
        <w:t>开标时间和地点：</w:t>
      </w:r>
    </w:p>
    <w:p>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6.1 </w:t>
      </w:r>
      <w:r>
        <w:rPr>
          <w:rFonts w:hint="eastAsia" w:hAnsi="宋体" w:eastAsia="宋体"/>
          <w:bCs/>
          <w:color w:val="auto"/>
          <w:sz w:val="21"/>
          <w:szCs w:val="21"/>
          <w:highlight w:val="none"/>
          <w:lang w:val="zh-CN"/>
        </w:rPr>
        <w:t>开标时间：同投标截止时间；</w:t>
      </w:r>
    </w:p>
    <w:p>
      <w:pPr>
        <w:pStyle w:val="166"/>
        <w:spacing w:line="360" w:lineRule="auto"/>
        <w:ind w:left="420" w:hanging="420" w:hangingChars="200"/>
        <w:rPr>
          <w:rFonts w:hint="eastAsia" w:hAnsi="宋体" w:eastAsia="宋体"/>
          <w:bCs/>
          <w:color w:val="auto"/>
          <w:sz w:val="21"/>
          <w:szCs w:val="21"/>
          <w:highlight w:val="none"/>
          <w:lang w:val="zh-CN"/>
        </w:rPr>
      </w:pPr>
      <w:r>
        <w:rPr>
          <w:rFonts w:hint="eastAsia" w:hAnsi="宋体" w:eastAsia="宋体"/>
          <w:bCs/>
          <w:color w:val="auto"/>
          <w:sz w:val="21"/>
          <w:szCs w:val="21"/>
          <w:highlight w:val="none"/>
          <w:lang w:val="zh-CN" w:eastAsia="zh-CN"/>
        </w:rPr>
        <w:t xml:space="preserve">6.2 </w:t>
      </w:r>
      <w:r>
        <w:rPr>
          <w:rFonts w:hint="eastAsia" w:hAnsi="宋体" w:eastAsia="宋体"/>
          <w:bCs/>
          <w:color w:val="auto"/>
          <w:sz w:val="21"/>
          <w:szCs w:val="21"/>
          <w:highlight w:val="none"/>
          <w:lang w:val="zh-CN"/>
        </w:rPr>
        <w:t>开标地点：东莞市南城街道西平社区宏伟三路45号东莞市公共资源交易中心</w:t>
      </w:r>
      <w:r>
        <w:rPr>
          <w:rFonts w:hint="eastAsia" w:ascii="宋体" w:hAnsi="宋体" w:eastAsia="宋体" w:cs="宋体"/>
          <w:bCs/>
          <w:color w:val="auto"/>
          <w:sz w:val="21"/>
          <w:szCs w:val="21"/>
          <w:highlight w:val="none"/>
          <w:lang w:val="zh-CN"/>
        </w:rPr>
        <w:t>开标室（</w:t>
      </w:r>
      <w:r>
        <w:rPr>
          <w:rFonts w:hint="eastAsia" w:hAnsi="宋体" w:eastAsia="宋体" w:cs="宋体"/>
          <w:bCs/>
          <w:color w:val="auto"/>
          <w:sz w:val="21"/>
          <w:szCs w:val="21"/>
          <w:highlight w:val="none"/>
          <w:lang w:val="en-US" w:eastAsia="zh-CN"/>
        </w:rPr>
        <w:t xml:space="preserve">10 </w:t>
      </w:r>
      <w:r>
        <w:rPr>
          <w:rFonts w:hint="eastAsia" w:ascii="宋体" w:hAnsi="宋体" w:eastAsia="宋体" w:cs="宋体"/>
          <w:bCs/>
          <w:color w:val="auto"/>
          <w:sz w:val="21"/>
          <w:szCs w:val="21"/>
          <w:highlight w:val="none"/>
          <w:lang w:val="zh-CN"/>
        </w:rPr>
        <w:t>）</w:t>
      </w:r>
      <w:r>
        <w:rPr>
          <w:rFonts w:hint="eastAsia" w:hAnsi="宋体" w:eastAsia="宋体"/>
          <w:bCs/>
          <w:color w:val="auto"/>
          <w:sz w:val="21"/>
          <w:szCs w:val="21"/>
          <w:highlight w:val="none"/>
          <w:lang w:val="zh-CN"/>
        </w:rPr>
        <w:t>。</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0"/>
        </w:numPr>
        <w:wordWrap w:val="0"/>
        <w:autoSpaceDE w:val="0"/>
        <w:autoSpaceDN w:val="0"/>
        <w:adjustRightInd w:val="0"/>
        <w:snapToGrid w:val="0"/>
        <w:spacing w:line="360" w:lineRule="auto"/>
        <w:ind w:left="363" w:leftChars="0" w:right="-34" w:rightChars="0" w:hanging="363" w:firstLineChars="0"/>
        <w:jc w:val="left"/>
        <w:rPr>
          <w:rFonts w:ascii="宋体" w:hAnsi="宋体" w:eastAsia="宋体" w:cs="Times New Roman"/>
          <w:bCs/>
          <w:color w:val="auto"/>
          <w:szCs w:val="21"/>
          <w:highlight w:val="none"/>
        </w:rPr>
      </w:pPr>
      <w:r>
        <w:rPr>
          <w:rFonts w:hint="eastAsia" w:ascii="宋体" w:hAnsi="宋体" w:eastAsia="宋体" w:cs="Times New Roman"/>
          <w:bCs/>
          <w:color w:val="auto"/>
          <w:kern w:val="2"/>
          <w:sz w:val="21"/>
          <w:szCs w:val="21"/>
          <w:highlight w:val="none"/>
          <w:lang w:val="en-US" w:eastAsia="zh-CN" w:bidi="ar-SA"/>
        </w:rPr>
        <w:t xml:space="preserve">7   </w:t>
      </w:r>
      <w:r>
        <w:rPr>
          <w:rFonts w:hint="eastAsia" w:ascii="宋体" w:hAnsi="宋体" w:eastAsia="宋体" w:cs="Times New Roman"/>
          <w:bCs/>
          <w:color w:val="auto"/>
          <w:szCs w:val="21"/>
          <w:highlight w:val="none"/>
        </w:rPr>
        <w:t>本项目相关公告在以下媒介发布：全国公共资源交易平台（广东省·东莞市）（https</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//ygp.gdzwfw.gov.cn/#/441900/index）、中国招标投标公共服务平台（www.cebpubservice.com）、</w:t>
      </w:r>
      <w:r>
        <w:rPr>
          <w:rFonts w:hint="eastAsia" w:ascii="宋体" w:hAnsi="宋体" w:eastAsia="宋体" w:cs="Times New Roman"/>
          <w:bCs/>
          <w:color w:val="auto"/>
          <w:szCs w:val="21"/>
          <w:highlight w:val="none"/>
          <w:lang w:eastAsia="zh-CN"/>
        </w:rPr>
        <w:t>东莞市水务环境投资控股集团有限公司</w:t>
      </w:r>
      <w:r>
        <w:rPr>
          <w:rFonts w:hint="eastAsia" w:ascii="宋体" w:hAnsi="宋体" w:eastAsia="宋体" w:cs="Times New Roman"/>
          <w:bCs/>
          <w:color w:val="auto"/>
          <w:szCs w:val="21"/>
          <w:highlight w:val="none"/>
        </w:rPr>
        <w:t>网（www.dgswjt.cn）、</w:t>
      </w:r>
      <w:r>
        <w:rPr>
          <w:rFonts w:hint="eastAsia" w:ascii="宋体" w:hAnsi="宋体" w:eastAsia="宋体" w:cs="Times New Roman"/>
          <w:bCs/>
          <w:color w:val="auto"/>
          <w:szCs w:val="21"/>
          <w:highlight w:val="none"/>
          <w:u w:val="none"/>
        </w:rPr>
        <w:t>招标代理机构网站（</w:t>
      </w:r>
      <w:r>
        <w:rPr>
          <w:rFonts w:hint="eastAsia" w:ascii="宋体" w:hAnsi="宋体" w:eastAsia="宋体" w:cs="Times New Roman"/>
          <w:bCs/>
          <w:color w:val="auto"/>
          <w:szCs w:val="21"/>
          <w:highlight w:val="none"/>
          <w:u w:val="none"/>
          <w:lang w:eastAsia="zh-CN"/>
        </w:rPr>
        <w:t>www.sfcx.cn</w:t>
      </w:r>
      <w:r>
        <w:rPr>
          <w:rFonts w:ascii="宋体" w:hAnsi="宋体" w:eastAsia="宋体" w:cs="Times New Roman"/>
          <w:bCs/>
          <w:color w:val="auto"/>
          <w:szCs w:val="21"/>
          <w:highlight w:val="none"/>
          <w:u w:val="none"/>
        </w:rPr>
        <w:t>）</w:t>
      </w:r>
      <w:r>
        <w:rPr>
          <w:rFonts w:ascii="宋体" w:hAnsi="宋体" w:eastAsia="宋体" w:cs="Times New Roman"/>
          <w:color w:val="auto"/>
          <w:szCs w:val="21"/>
          <w:highlight w:val="none"/>
          <w:lang w:val="zh-CN"/>
        </w:rPr>
        <w:t>。</w:t>
      </w:r>
    </w:p>
    <w:p>
      <w:pPr>
        <w:autoSpaceDE w:val="0"/>
        <w:autoSpaceDN w:val="0"/>
        <w:adjustRightInd w:val="0"/>
        <w:snapToGrid w:val="0"/>
        <w:spacing w:line="360" w:lineRule="auto"/>
        <w:ind w:right="-34"/>
        <w:jc w:val="left"/>
        <w:rPr>
          <w:rFonts w:hint="default" w:ascii="宋体" w:hAnsi="宋体" w:eastAsia="宋体" w:cs="Times New Roman"/>
          <w:bCs/>
          <w:color w:val="auto"/>
          <w:szCs w:val="21"/>
          <w:highlight w:val="none"/>
          <w:lang w:val="en-US" w:eastAsia="zh-CN"/>
        </w:rPr>
      </w:pPr>
    </w:p>
    <w:p>
      <w:p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default"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rPr>
        <w:t>投标保证金</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lang w:val="zh-CN"/>
        </w:rPr>
        <w:t>.1 本次招标投标人须提交投标保证金金额：</w:t>
      </w:r>
      <w:r>
        <w:rPr>
          <w:rFonts w:hint="eastAsia" w:ascii="宋体" w:hAnsi="宋体" w:eastAsia="宋体" w:cs="宋体"/>
          <w:bCs/>
          <w:color w:val="auto"/>
          <w:kern w:val="2"/>
          <w:sz w:val="21"/>
          <w:szCs w:val="21"/>
          <w:highlight w:val="none"/>
          <w:u w:val="single"/>
          <w:lang w:val="en-US" w:eastAsia="zh-CN" w:bidi="ar-SA"/>
        </w:rPr>
        <w:t>500,000.00</w:t>
      </w:r>
      <w:r>
        <w:rPr>
          <w:rFonts w:hint="eastAsia" w:ascii="宋体" w:hAnsi="宋体" w:eastAsia="宋体" w:cs="宋体"/>
          <w:bCs/>
          <w:color w:val="auto"/>
          <w:sz w:val="21"/>
          <w:szCs w:val="21"/>
          <w:highlight w:val="none"/>
          <w:lang w:val="zh-CN"/>
        </w:rPr>
        <w:t>元</w:t>
      </w:r>
      <w:r>
        <w:rPr>
          <w:rFonts w:hint="eastAsia" w:ascii="宋体" w:hAnsi="宋体" w:eastAsia="宋体" w:cs="Times New Roman"/>
          <w:bCs/>
          <w:color w:val="auto"/>
          <w:szCs w:val="21"/>
          <w:highlight w:val="none"/>
          <w:lang w:val="zh-CN"/>
        </w:rPr>
        <w:t>。</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lang w:val="zh-CN"/>
        </w:rPr>
        <w:t>.2</w:t>
      </w:r>
      <w:r>
        <w:rPr>
          <w:rFonts w:hint="eastAsia" w:ascii="宋体" w:hAnsi="宋体" w:eastAsia="宋体" w:cs="Times New Roman"/>
          <w:bCs/>
          <w:color w:val="auto"/>
          <w:szCs w:val="21"/>
          <w:highlight w:val="none"/>
          <w:lang w:val="en-US" w:eastAsia="zh-CN"/>
        </w:rPr>
        <w:t xml:space="preserve"> </w:t>
      </w:r>
      <w:r>
        <w:rPr>
          <w:rFonts w:hint="eastAsia" w:ascii="宋体" w:hAnsi="宋体" w:eastAsia="宋体" w:cs="Times New Roman"/>
          <w:bCs/>
          <w:color w:val="auto"/>
          <w:szCs w:val="21"/>
          <w:highlight w:val="none"/>
          <w:lang w:val="zh-CN"/>
        </w:rPr>
        <w:t>投标保证金形式：单项投标保证金；银行电子保函；保险电子保单；</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Times New Roman"/>
          <w:bCs/>
          <w:color w:val="auto"/>
          <w:szCs w:val="21"/>
          <w:highlight w:val="none"/>
          <w:lang w:val="zh-CN"/>
        </w:rPr>
        <w:t>。</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8</w:t>
      </w:r>
      <w:r>
        <w:rPr>
          <w:rFonts w:hint="eastAsia"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 xml:space="preserve">3 </w:t>
      </w:r>
      <w:r>
        <w:rPr>
          <w:rFonts w:hint="eastAsia" w:ascii="宋体" w:hAnsi="宋体" w:eastAsia="宋体" w:cs="Times New Roman"/>
          <w:bCs/>
          <w:color w:val="auto"/>
          <w:szCs w:val="21"/>
          <w:highlight w:val="none"/>
          <w:lang w:val="zh-CN"/>
        </w:rPr>
        <w:t>投标保证金形式注意事项：</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（1）投标保证金到账时间应为投标保证金的关联时间。</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（2）投标保证金数据超过投标截止时间后到达交易系统的，无法关联。</w:t>
      </w:r>
    </w:p>
    <w:p>
      <w:pPr>
        <w:autoSpaceDE w:val="0"/>
        <w:autoSpaceDN w:val="0"/>
        <w:adjustRightInd w:val="0"/>
        <w:snapToGrid w:val="0"/>
        <w:spacing w:line="360" w:lineRule="auto"/>
        <w:ind w:right="-34"/>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zh-CN"/>
        </w:rPr>
        <w:t>（3）投标人应提前办理投标保证金手续，自行承担数据延误风险。</w:t>
      </w:r>
    </w:p>
    <w:p>
      <w:pPr>
        <w:pStyle w:val="2"/>
        <w:rPr>
          <w:color w:val="auto"/>
          <w:highlight w:val="none"/>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9   </w:t>
      </w: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东莞市石鼓净水有限公司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万淑婷</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w:t>
      </w:r>
      <w:r>
        <w:rPr>
          <w:rFonts w:hint="eastAsia" w:ascii="宋体" w:hAnsi="宋体" w:eastAsia="宋体" w:cs="Times New Roman"/>
          <w:color w:val="auto"/>
          <w:kern w:val="0"/>
          <w:szCs w:val="21"/>
          <w:highlight w:val="none"/>
          <w:lang w:val="en-US" w:eastAsia="zh-CN"/>
        </w:rPr>
        <w:t>23286160</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rPr>
      </w:pPr>
      <w:r>
        <w:rPr>
          <w:rFonts w:hint="eastAsia" w:ascii="宋体" w:hAnsi="宋体" w:eastAsia="宋体" w:cs="Times New Roman"/>
          <w:color w:val="auto"/>
          <w:kern w:val="2"/>
          <w:sz w:val="21"/>
          <w:szCs w:val="21"/>
          <w:highlight w:val="none"/>
          <w:lang w:val="en-US" w:eastAsia="zh-CN" w:bidi="ar-SA"/>
        </w:rPr>
        <w:t xml:space="preserve">10  </w:t>
      </w: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lang w:eastAsia="zh-CN"/>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卢静娴、陈树辉</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pPr>
        <w:rPr>
          <w:rFonts w:hint="eastAsia"/>
          <w:color w:val="auto"/>
          <w:highlight w:val="none"/>
          <w:lang w:val="zh-CN"/>
        </w:rPr>
      </w:pPr>
    </w:p>
    <w:p>
      <w:pPr>
        <w:rPr>
          <w:rFonts w:hint="eastAsia"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br w:type="page"/>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2" w:name="_Toc1156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0"/>
      <w:bookmarkEnd w:id="1"/>
      <w:bookmarkEnd w:id="2"/>
      <w:bookmarkEnd w:id="3"/>
      <w:bookmarkEnd w:id="4"/>
      <w:bookmarkEnd w:id="5"/>
      <w:bookmarkEnd w:id="6"/>
      <w:bookmarkEnd w:id="7"/>
      <w:bookmarkEnd w:id="12"/>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3" w:name="_Toc19280"/>
      <w:bookmarkStart w:id="14" w:name="_Toc9555"/>
      <w:bookmarkStart w:id="15" w:name="_Toc142508312"/>
      <w:bookmarkStart w:id="16" w:name="_Toc195714216"/>
      <w:bookmarkStart w:id="17" w:name="_Toc24479"/>
      <w:bookmarkStart w:id="18" w:name="_Toc450662848"/>
      <w:bookmarkStart w:id="19" w:name="_Toc140596871"/>
      <w:bookmarkStart w:id="20" w:name="_Toc26584"/>
      <w:bookmarkStart w:id="21" w:name="_Toc15366_WPSOffice_Level2"/>
      <w:bookmarkStart w:id="22" w:name="_Toc486167662"/>
      <w:r>
        <w:rPr>
          <w:rFonts w:hint="eastAsia" w:ascii="宋体" w:hAnsi="宋体" w:eastAsia="宋体" w:cs="宋体"/>
          <w:b/>
          <w:bCs/>
          <w:color w:val="auto"/>
          <w:kern w:val="44"/>
          <w:szCs w:val="21"/>
          <w:highlight w:val="none"/>
          <w:lang w:val="zh-CN"/>
        </w:rPr>
        <w:t>一、总则</w:t>
      </w:r>
      <w:bookmarkEnd w:id="13"/>
      <w:bookmarkEnd w:id="14"/>
      <w:bookmarkEnd w:id="15"/>
      <w:bookmarkEnd w:id="16"/>
      <w:bookmarkEnd w:id="17"/>
      <w:bookmarkEnd w:id="18"/>
      <w:bookmarkEnd w:id="19"/>
      <w:bookmarkEnd w:id="20"/>
      <w:bookmarkEnd w:id="21"/>
      <w:bookmarkEnd w:id="22"/>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 w:name="_Toc21789"/>
      <w:bookmarkStart w:id="24" w:name="_Toc142508313"/>
      <w:bookmarkStart w:id="25" w:name="_Toc486167663"/>
      <w:bookmarkStart w:id="26" w:name="_Toc20001"/>
      <w:bookmarkStart w:id="27" w:name="_Toc21710_WPSOffice_Level3"/>
      <w:bookmarkStart w:id="28" w:name="_Toc9608"/>
      <w:bookmarkStart w:id="29" w:name="_Toc195714217"/>
      <w:bookmarkStart w:id="30" w:name="_Toc450662849"/>
      <w:bookmarkStart w:id="31" w:name="_Toc2333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3"/>
      <w:bookmarkEnd w:id="24"/>
      <w:bookmarkEnd w:id="25"/>
      <w:bookmarkEnd w:id="26"/>
      <w:bookmarkEnd w:id="27"/>
      <w:bookmarkEnd w:id="28"/>
      <w:bookmarkEnd w:id="29"/>
      <w:bookmarkEnd w:id="30"/>
      <w:bookmarkEnd w:id="31"/>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9543"/>
      <w:bookmarkStart w:id="33" w:name="_Toc80_WPSOffice_Level3"/>
      <w:bookmarkStart w:id="34" w:name="_Toc450662850"/>
      <w:bookmarkStart w:id="35" w:name="_Toc486167664"/>
      <w:bookmarkStart w:id="36" w:name="_Toc9225"/>
      <w:bookmarkStart w:id="37" w:name="_Toc195714218"/>
      <w:bookmarkStart w:id="38" w:name="_Toc18557"/>
      <w:bookmarkStart w:id="39" w:name="_Toc32244"/>
      <w:bookmarkStart w:id="40"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bookmarkEnd w:id="39"/>
      <w:bookmarkEnd w:id="40"/>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1" w:name="_Toc8199"/>
      <w:bookmarkStart w:id="42" w:name="_Toc4066"/>
      <w:bookmarkStart w:id="43" w:name="_Toc195714219"/>
      <w:bookmarkStart w:id="44" w:name="_Toc27685"/>
      <w:bookmarkStart w:id="45" w:name="_Toc28856"/>
      <w:bookmarkStart w:id="46" w:name="_Toc19774"/>
      <w:bookmarkStart w:id="47" w:name="_Toc23847_WPSOffice_Level3"/>
      <w:bookmarkStart w:id="48" w:name="_Toc142508315"/>
      <w:bookmarkStart w:id="49" w:name="_Toc11689"/>
      <w:bookmarkStart w:id="50" w:name="_Toc450662851"/>
      <w:bookmarkStart w:id="51"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1"/>
      <w:bookmarkEnd w:id="42"/>
      <w:r>
        <w:rPr>
          <w:rFonts w:hint="eastAsia" w:ascii="宋体" w:hAnsi="宋体" w:eastAsia="宋体" w:cs="宋体"/>
          <w:b/>
          <w:color w:val="auto"/>
          <w:szCs w:val="21"/>
          <w:highlight w:val="none"/>
          <w:lang w:val="zh-CN"/>
        </w:rPr>
        <w:t>货物</w:t>
      </w:r>
      <w:bookmarkEnd w:id="43"/>
      <w:bookmarkEnd w:id="44"/>
      <w:bookmarkEnd w:id="4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4"/>
      <w:bookmarkStart w:id="53" w:name="_Toc1977664"/>
      <w:r>
        <w:rPr>
          <w:rFonts w:hint="eastAsia" w:ascii="宋体" w:hAnsi="宋体" w:eastAsia="宋体" w:cs="宋体"/>
          <w:color w:val="auto"/>
          <w:szCs w:val="21"/>
          <w:highlight w:val="none"/>
          <w:lang w:val="zh-CN"/>
        </w:rPr>
        <w:t>3.</w:t>
      </w:r>
      <w:bookmarkEnd w:id="52"/>
      <w:bookmarkEnd w:id="53"/>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bookmarkEnd w:id="46"/>
    <w:bookmarkEnd w:id="47"/>
    <w:bookmarkEnd w:id="48"/>
    <w:bookmarkEnd w:id="49"/>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4" w:name="_Toc195714220"/>
      <w:bookmarkStart w:id="55" w:name="_Toc142508316"/>
      <w:bookmarkStart w:id="56" w:name="_Toc13067"/>
      <w:bookmarkStart w:id="57" w:name="_Toc9658_WPSOffice_Level3"/>
      <w:bookmarkStart w:id="58" w:name="_Toc11533"/>
      <w:bookmarkStart w:id="59" w:name="_Toc9570"/>
      <w:bookmarkStart w:id="60"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4"/>
      <w:bookmarkEnd w:id="55"/>
      <w:bookmarkEnd w:id="56"/>
      <w:bookmarkEnd w:id="57"/>
      <w:bookmarkEnd w:id="58"/>
      <w:bookmarkEnd w:id="59"/>
      <w:bookmarkEnd w:id="60"/>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70"/>
      <w:bookmarkStart w:id="62" w:name="_Toc533708070"/>
      <w:r>
        <w:rPr>
          <w:rFonts w:hint="eastAsia" w:ascii="宋体" w:hAnsi="宋体" w:eastAsia="宋体" w:cs="宋体"/>
          <w:color w:val="auto"/>
          <w:szCs w:val="21"/>
          <w:highlight w:val="none"/>
          <w:lang w:val="zh-CN"/>
        </w:rPr>
        <w:t>4.1  投标费用</w:t>
      </w:r>
      <w:bookmarkEnd w:id="61"/>
      <w:bookmarkEnd w:id="62"/>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3" w:name="_Toc1977672"/>
      <w:bookmarkStart w:id="64"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3"/>
      <w:bookmarkEnd w:id="64"/>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5" w:name="_Toc533708073"/>
      <w:bookmarkStart w:id="66" w:name="_Toc1977673"/>
      <w:r>
        <w:rPr>
          <w:rFonts w:hint="eastAsia" w:ascii="宋体" w:hAnsi="宋体" w:eastAsia="宋体" w:cs="宋体"/>
          <w:color w:val="auto"/>
          <w:szCs w:val="21"/>
          <w:highlight w:val="none"/>
          <w:lang w:val="zh-CN"/>
        </w:rPr>
        <w:t>4.2  踏勘现场</w:t>
      </w:r>
      <w:bookmarkEnd w:id="65"/>
      <w:bookmarkEnd w:id="66"/>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7" w:name="_Toc1977676"/>
      <w:bookmarkStart w:id="68"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67"/>
      <w:bookmarkEnd w:id="68"/>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9" w:name="_Toc140596876"/>
      <w:bookmarkStart w:id="70" w:name="_Toc142508317"/>
      <w:bookmarkStart w:id="71" w:name="_Toc25972"/>
      <w:bookmarkStart w:id="72" w:name="_Toc486167667"/>
      <w:bookmarkStart w:id="73" w:name="_Toc30507_WPSOffice_Level2"/>
      <w:bookmarkStart w:id="74" w:name="_Toc450662853"/>
      <w:bookmarkStart w:id="75" w:name="_Toc195714221"/>
      <w:bookmarkStart w:id="76" w:name="_Toc5395"/>
      <w:bookmarkStart w:id="77" w:name="_Toc1565"/>
      <w:bookmarkStart w:id="78" w:name="_Toc1829"/>
      <w:r>
        <w:rPr>
          <w:rFonts w:hint="eastAsia" w:ascii="宋体" w:hAnsi="宋体" w:eastAsia="宋体" w:cs="宋体"/>
          <w:b/>
          <w:bCs/>
          <w:color w:val="auto"/>
          <w:kern w:val="44"/>
          <w:szCs w:val="21"/>
          <w:highlight w:val="none"/>
          <w:lang w:val="zh-CN"/>
        </w:rPr>
        <w:t>二、招标文件</w:t>
      </w:r>
      <w:bookmarkEnd w:id="69"/>
      <w:bookmarkEnd w:id="70"/>
      <w:bookmarkEnd w:id="71"/>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195714222"/>
      <w:bookmarkStart w:id="80" w:name="_Toc2406"/>
      <w:bookmarkStart w:id="81" w:name="_Toc28893"/>
      <w:bookmarkStart w:id="82" w:name="_Toc450662854"/>
      <w:bookmarkStart w:id="83" w:name="_Toc142508318"/>
      <w:bookmarkStart w:id="84" w:name="_Toc26635_WPSOffice_Level3"/>
      <w:bookmarkStart w:id="85" w:name="_Toc486167668"/>
      <w:bookmarkStart w:id="86" w:name="_Toc7140"/>
      <w:bookmarkStart w:id="87" w:name="_Toc1651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bookmarkEnd w:id="86"/>
      <w:bookmarkEnd w:id="8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（1）“招标人”指东莞市石鼓净水有限公司；</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东莞市长安新区污水处理厂原位技术升级设备采购及安装项目</w:t>
      </w:r>
      <w:r>
        <w:rPr>
          <w:rFonts w:hint="eastAsia" w:ascii="宋体" w:hAnsi="宋体" w:eastAsia="宋体" w:cs="Times New Roman"/>
          <w:color w:val="auto"/>
          <w:kern w:val="0"/>
          <w:szCs w:val="21"/>
          <w:highlight w:val="none"/>
        </w:rPr>
        <w:t>所需的货物及有关服务的投标，并向</w:t>
      </w:r>
      <w:r>
        <w:rPr>
          <w:rFonts w:hint="eastAsia" w:ascii="宋体" w:hAnsi="宋体" w:eastAsia="宋体" w:cs="宋体"/>
          <w:color w:val="auto"/>
          <w:szCs w:val="21"/>
          <w:highlight w:val="none"/>
          <w:lang w:val="zh-CN"/>
        </w:rPr>
        <w:t>交易系统在线上传</w:t>
      </w:r>
      <w:r>
        <w:rPr>
          <w:rFonts w:hint="eastAsia" w:ascii="宋体" w:hAnsi="宋体" w:eastAsia="宋体" w:cs="Times New Roman"/>
          <w:color w:val="auto"/>
          <w:kern w:val="0"/>
          <w:szCs w:val="21"/>
          <w:highlight w:val="none"/>
        </w:rPr>
        <w:t>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）“甲方”指在合同条款中指明的购买货物及有关服务的单位，即东莞市石鼓净水有限公司；</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w:t>
      </w:r>
      <w:r>
        <w:rPr>
          <w:rFonts w:hint="eastAsia" w:ascii="宋体" w:hAnsi="宋体" w:eastAsia="宋体" w:cs="宋体"/>
          <w:color w:val="auto"/>
          <w:szCs w:val="21"/>
          <w:highlight w:val="none"/>
          <w:lang w:val="zh-CN"/>
        </w:rPr>
        <w:t>交易系统在线上传</w:t>
      </w:r>
      <w:r>
        <w:rPr>
          <w:rFonts w:hint="eastAsia" w:ascii="宋体" w:hAnsi="宋体" w:eastAsia="宋体" w:cs="Times New Roman"/>
          <w:color w:val="auto"/>
          <w:kern w:val="0"/>
          <w:szCs w:val="21"/>
          <w:highlight w:val="none"/>
        </w:rPr>
        <w:t>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8" w:name="_Toc450662855"/>
      <w:bookmarkStart w:id="89" w:name="_Toc195714223"/>
      <w:bookmarkStart w:id="90" w:name="_Toc32057"/>
      <w:bookmarkStart w:id="91" w:name="_Toc142508319"/>
      <w:bookmarkStart w:id="92" w:name="_Toc18484"/>
      <w:bookmarkStart w:id="93" w:name="_Toc11346"/>
      <w:bookmarkStart w:id="94" w:name="_Toc3727"/>
      <w:bookmarkStart w:id="95" w:name="_Toc486167669"/>
      <w:bookmarkStart w:id="96" w:name="_Toc29125_WPSOffice_Level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bookmarkEnd w:id="94"/>
      <w:bookmarkEnd w:id="95"/>
      <w:bookmarkEnd w:id="96"/>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投标人或者其他利害关系人对招标文件有异议的，应当在投标截止时间10日前以书面形式</w:t>
      </w:r>
      <w:r>
        <w:rPr>
          <w:rFonts w:ascii="宋体" w:hAnsi="宋体" w:eastAsia="宋体" w:cs="Times New Roman"/>
          <w:color w:val="auto"/>
          <w:szCs w:val="21"/>
          <w:highlight w:val="none"/>
          <w:lang w:val="zh-CN"/>
        </w:rPr>
        <w:t>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hint="eastAsia" w:ascii="宋体" w:hAnsi="宋体" w:eastAsia="宋体" w:cs="Times New Roman"/>
          <w:b w:val="0"/>
          <w:bCs w:val="0"/>
          <w:color w:val="auto"/>
          <w:szCs w:val="21"/>
          <w:highlight w:val="none"/>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7" w:name="_Toc17145"/>
      <w:bookmarkStart w:id="98" w:name="_Toc195714224"/>
      <w:bookmarkStart w:id="99" w:name="_Toc29864"/>
      <w:bookmarkStart w:id="100" w:name="_Toc450662856"/>
      <w:bookmarkStart w:id="101" w:name="_Toc486167670"/>
      <w:bookmarkStart w:id="102" w:name="_Toc142508320"/>
      <w:bookmarkStart w:id="103" w:name="_Toc27276"/>
      <w:bookmarkStart w:id="104" w:name="_Toc23483_WPSOffice_Level3"/>
      <w:bookmarkStart w:id="105" w:name="_Toc15962"/>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7"/>
      <w:bookmarkEnd w:id="98"/>
      <w:bookmarkEnd w:id="99"/>
      <w:bookmarkEnd w:id="100"/>
      <w:bookmarkEnd w:id="101"/>
      <w:bookmarkEnd w:id="102"/>
      <w:bookmarkEnd w:id="103"/>
      <w:bookmarkEnd w:id="104"/>
      <w:bookmarkEnd w:id="10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//ygp.gdzwfw.gov.cn/#/441900/index）、</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51"/>
          <w:rFonts w:ascii="宋体" w:hAnsi="宋体" w:eastAsia="宋体" w:cs="Times New Roman"/>
          <w:color w:val="auto"/>
          <w:sz w:val="21"/>
          <w:szCs w:val="21"/>
          <w:highlight w:val="none"/>
        </w:rPr>
        <w:t>www.dgswjt.cn）</w:t>
      </w:r>
      <w:r>
        <w:rPr>
          <w:rStyle w:val="51"/>
          <w:rFonts w:ascii="宋体" w:hAnsi="宋体" w:eastAsia="宋体" w:cs="Times New Roman"/>
          <w:color w:val="auto"/>
          <w:sz w:val="21"/>
          <w:szCs w:val="21"/>
          <w:highlight w:val="none"/>
          <w:lang w:val="zh-CN"/>
        </w:rPr>
        <w:t>、</w:t>
      </w:r>
      <w:r>
        <w:rPr>
          <w:rStyle w:val="51"/>
          <w:rFonts w:hint="eastAsia" w:ascii="宋体" w:hAnsi="宋体" w:eastAsia="宋体" w:cs="Times New Roman"/>
          <w:bCs/>
          <w:color w:val="auto"/>
          <w:kern w:val="0"/>
          <w:sz w:val="21"/>
          <w:szCs w:val="21"/>
          <w:highlight w:val="none"/>
        </w:rPr>
        <w:t>招标代理机构网站（</w:t>
      </w:r>
      <w:r>
        <w:rPr>
          <w:rStyle w:val="51"/>
          <w:rFonts w:hint="eastAsia" w:ascii="宋体" w:hAnsi="宋体" w:eastAsia="宋体" w:cs="Times New Roman"/>
          <w:bCs/>
          <w:color w:val="auto"/>
          <w:kern w:val="0"/>
          <w:sz w:val="21"/>
          <w:szCs w:val="21"/>
          <w:highlight w:val="none"/>
          <w:u w:val="none"/>
          <w:lang w:eastAsia="zh-CN"/>
        </w:rPr>
        <w:t>www.sfcx.cn</w:t>
      </w:r>
      <w:r>
        <w:rPr>
          <w:rStyle w:val="51"/>
          <w:rFonts w:ascii="宋体" w:hAnsi="宋体" w:eastAsia="宋体" w:cs="Times New Roman"/>
          <w:bCs/>
          <w:color w:val="auto"/>
          <w:kern w:val="0"/>
          <w:sz w:val="21"/>
          <w:szCs w:val="21"/>
          <w:highlight w:val="none"/>
        </w:rPr>
        <w:t>）</w:t>
      </w:r>
      <w:r>
        <w:rPr>
          <w:rStyle w:val="51"/>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6" w:name="_Toc142508321"/>
      <w:bookmarkStart w:id="107" w:name="_Toc29659_WPSOffice_Level2"/>
      <w:bookmarkStart w:id="108" w:name="_Toc450662857"/>
      <w:bookmarkStart w:id="109" w:name="_Toc23342"/>
      <w:bookmarkStart w:id="110" w:name="_Toc12888"/>
      <w:bookmarkStart w:id="111" w:name="_Toc140596880"/>
      <w:bookmarkStart w:id="112" w:name="_Toc195714225"/>
      <w:bookmarkStart w:id="113" w:name="_Toc486167671"/>
      <w:bookmarkStart w:id="114" w:name="_Toc8711"/>
      <w:bookmarkStart w:id="115" w:name="_Toc6361"/>
      <w:r>
        <w:rPr>
          <w:rFonts w:hint="eastAsia" w:ascii="宋体" w:hAnsi="宋体" w:eastAsia="宋体" w:cs="宋体"/>
          <w:b/>
          <w:bCs/>
          <w:color w:val="auto"/>
          <w:kern w:val="44"/>
          <w:szCs w:val="21"/>
          <w:highlight w:val="none"/>
          <w:lang w:val="zh-CN"/>
        </w:rPr>
        <w:t>三、投标文件的编制</w:t>
      </w:r>
      <w:bookmarkEnd w:id="106"/>
      <w:bookmarkEnd w:id="107"/>
      <w:bookmarkEnd w:id="108"/>
      <w:bookmarkEnd w:id="109"/>
      <w:bookmarkEnd w:id="110"/>
      <w:bookmarkEnd w:id="111"/>
      <w:bookmarkEnd w:id="112"/>
      <w:bookmarkEnd w:id="113"/>
      <w:bookmarkEnd w:id="114"/>
      <w:bookmarkEnd w:id="115"/>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6" w:name="_Toc6318"/>
      <w:bookmarkStart w:id="117" w:name="_Toc10015_WPSOffice_Level3"/>
      <w:bookmarkStart w:id="118" w:name="_Toc6244"/>
      <w:bookmarkStart w:id="119" w:name="_Toc195714226"/>
      <w:bookmarkStart w:id="120" w:name="_Toc486167672"/>
      <w:bookmarkStart w:id="121" w:name="_Toc27749"/>
      <w:bookmarkStart w:id="122" w:name="_Toc142508322"/>
      <w:bookmarkStart w:id="123" w:name="_Toc450662858"/>
      <w:bookmarkStart w:id="124" w:name="_Toc3116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6"/>
      <w:bookmarkEnd w:id="117"/>
      <w:bookmarkEnd w:id="118"/>
      <w:bookmarkEnd w:id="119"/>
      <w:bookmarkEnd w:id="120"/>
      <w:bookmarkEnd w:id="121"/>
      <w:bookmarkEnd w:id="122"/>
      <w:bookmarkEnd w:id="123"/>
      <w:bookmarkEnd w:id="12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5" w:name="_Toc24916_WPSOffice_Level3"/>
      <w:bookmarkStart w:id="126" w:name="_Toc9575"/>
      <w:bookmarkStart w:id="127" w:name="_Toc15131"/>
      <w:bookmarkStart w:id="128" w:name="_Toc195714227"/>
      <w:bookmarkStart w:id="129" w:name="_Toc7348"/>
      <w:bookmarkStart w:id="130" w:name="_Toc14943"/>
      <w:bookmarkStart w:id="131" w:name="_Toc142508323"/>
      <w:bookmarkStart w:id="132" w:name="_Toc450662859"/>
      <w:bookmarkStart w:id="133"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5"/>
      <w:bookmarkEnd w:id="126"/>
      <w:bookmarkEnd w:id="127"/>
      <w:bookmarkEnd w:id="128"/>
      <w:bookmarkEnd w:id="129"/>
      <w:bookmarkEnd w:id="130"/>
      <w:bookmarkEnd w:id="131"/>
      <w:bookmarkEnd w:id="132"/>
      <w:bookmarkEnd w:id="133"/>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商务标、技术标、报价信封三部分组成。</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商务标：</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w:t>
      </w:r>
      <w:r>
        <w:rPr>
          <w:rFonts w:hint="eastAsia" w:ascii="宋体" w:hAnsi="宋体" w:eastAsia="宋体" w:cs="Times New Roman"/>
          <w:color w:val="auto"/>
          <w:szCs w:val="21"/>
          <w:highlight w:val="none"/>
          <w:lang w:val="zh-CN"/>
        </w:rPr>
        <w:t>原件扫描件</w:t>
      </w:r>
      <w:r>
        <w:rPr>
          <w:rFonts w:ascii="宋体" w:hAnsi="宋体" w:eastAsia="宋体" w:cs="Times New Roman"/>
          <w:color w:val="auto"/>
          <w:szCs w:val="21"/>
          <w:highlight w:val="none"/>
          <w:lang w:val="zh-CN"/>
        </w:rPr>
        <w:t>（基本存款账户）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w:t>
      </w:r>
      <w:r>
        <w:rPr>
          <w:rFonts w:hint="eastAsia" w:ascii="宋体" w:hAnsi="宋体" w:eastAsia="宋体" w:cs="Times New Roman"/>
          <w:color w:val="auto"/>
          <w:szCs w:val="21"/>
          <w:highlight w:val="none"/>
          <w:lang w:val="zh-CN"/>
        </w:rPr>
        <w:t>或签署投标文件时需</w:t>
      </w:r>
      <w:r>
        <w:rPr>
          <w:rFonts w:ascii="宋体" w:hAnsi="宋体" w:eastAsia="宋体" w:cs="Times New Roman"/>
          <w:color w:val="auto"/>
          <w:szCs w:val="21"/>
          <w:highlight w:val="none"/>
          <w:lang w:val="zh-CN"/>
        </w:rPr>
        <w:t>同时提供法定代表人授权书）；</w:t>
      </w:r>
    </w:p>
    <w:p>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2022年1月1日以来</w:t>
      </w:r>
      <w:r>
        <w:rPr>
          <w:rFonts w:hint="eastAsia" w:ascii="宋体" w:hAnsi="宋体" w:eastAsia="宋体"/>
          <w:color w:val="auto"/>
          <w:szCs w:val="21"/>
          <w:highlight w:val="none"/>
        </w:rPr>
        <w:t>提供一份</w:t>
      </w:r>
      <w:r>
        <w:rPr>
          <w:rFonts w:hint="eastAsia" w:ascii="宋体" w:hAnsi="宋体" w:eastAsia="宋体"/>
          <w:color w:val="auto"/>
          <w:szCs w:val="21"/>
          <w:highlight w:val="none"/>
          <w:lang w:eastAsia="zh-CN"/>
        </w:rPr>
        <w:t>用于污水处理扩容的技术改造及其成套设备</w:t>
      </w:r>
      <w:r>
        <w:rPr>
          <w:rFonts w:hint="eastAsia" w:ascii="宋体" w:hAnsi="宋体" w:eastAsia="宋体"/>
          <w:color w:val="auto"/>
          <w:szCs w:val="21"/>
          <w:highlight w:val="none"/>
        </w:rPr>
        <w:t>在国内的供货业绩（</w:t>
      </w:r>
      <w:r>
        <w:rPr>
          <w:rFonts w:hint="eastAsia" w:ascii="宋体" w:hAnsi="宋体" w:eastAsia="宋体" w:cs="宋体"/>
          <w:b/>
          <w:bCs/>
          <w:color w:val="auto"/>
          <w:kern w:val="2"/>
          <w:sz w:val="21"/>
          <w:szCs w:val="21"/>
          <w:highlight w:val="none"/>
          <w:lang w:val="en-US" w:eastAsia="zh-CN" w:bidi="ar"/>
        </w:rPr>
        <w:t>合同签订日期为2022年1月1日或以后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lang w:val="en-US" w:eastAsia="zh-CN"/>
        </w:rPr>
        <w:t>5.4</w:t>
      </w:r>
      <w:r>
        <w:rPr>
          <w:rFonts w:hint="eastAsia" w:ascii="宋体" w:hAnsi="宋体" w:eastAsia="宋体"/>
          <w:color w:val="auto"/>
          <w:szCs w:val="21"/>
          <w:highlight w:val="none"/>
        </w:rPr>
        <w:t>】；</w:t>
      </w:r>
    </w:p>
    <w:p>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技术标：</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rPr>
        <w:t>3</w:t>
      </w:r>
      <w:r>
        <w:rPr>
          <w:rFonts w:hint="eastAsia" w:ascii="宋体" w:hAnsi="宋体" w:eastAsia="宋体" w:cs="宋体"/>
          <w:color w:val="auto"/>
          <w:kern w:val="0"/>
          <w:szCs w:val="21"/>
          <w:highlight w:val="none"/>
        </w:rPr>
        <w:t>）设备安装必需的配件供货清单；</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）总体技术方案；</w:t>
      </w:r>
    </w:p>
    <w:p>
      <w:pPr>
        <w:spacing w:line="360" w:lineRule="auto"/>
        <w:ind w:left="315" w:leftChars="-100" w:hanging="525" w:hangingChars="2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）技术性能承诺表；</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b w:val="0"/>
          <w:bCs w:val="0"/>
          <w:color w:val="auto"/>
          <w:sz w:val="21"/>
          <w:szCs w:val="21"/>
          <w:highlight w:val="none"/>
          <w:lang w:val="en-US" w:eastAsia="zh-CN"/>
        </w:rPr>
        <w:t>专利技术；</w:t>
      </w:r>
    </w:p>
    <w:p>
      <w:pPr>
        <w:spacing w:line="360" w:lineRule="auto"/>
        <w:ind w:left="315" w:leftChars="-100" w:hanging="525" w:hangingChars="250"/>
        <w:rPr>
          <w:color w:val="auto"/>
          <w:highlight w:val="none"/>
        </w:rPr>
      </w:pPr>
      <w:r>
        <w:rPr>
          <w:rFonts w:hint="eastAsia" w:ascii="宋体" w:hAnsi="宋体" w:eastAsia="宋体" w:cs="宋体"/>
          <w:color w:val="auto"/>
          <w:kern w:val="0"/>
          <w:szCs w:val="21"/>
          <w:highlight w:val="none"/>
          <w:lang w:val="en-US" w:eastAsia="zh-CN"/>
        </w:rPr>
        <w:t>（7）专业人员配备表</w:t>
      </w:r>
      <w:r>
        <w:rPr>
          <w:rFonts w:hint="eastAsia" w:ascii="宋体" w:hAnsi="宋体" w:eastAsia="宋体" w:cs="宋体"/>
          <w:color w:val="auto"/>
          <w:kern w:val="0"/>
          <w:szCs w:val="21"/>
          <w:highlight w:val="none"/>
        </w:rPr>
        <w:t>；</w:t>
      </w:r>
    </w:p>
    <w:p>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供货、安装计划及进度保证措施</w:t>
      </w:r>
      <w:r>
        <w:rPr>
          <w:rFonts w:hint="eastAsia" w:ascii="宋体" w:hAnsi="宋体" w:eastAsia="宋体" w:cs="宋体"/>
          <w:color w:val="auto"/>
          <w:kern w:val="0"/>
          <w:szCs w:val="21"/>
          <w:highlight w:val="none"/>
        </w:rPr>
        <w:t>；</w:t>
      </w:r>
    </w:p>
    <w:p>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）质保期、维修响应时间承诺表；</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p>
    <w:p>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9.2  </w:t>
      </w:r>
      <w:r>
        <w:rPr>
          <w:rFonts w:hint="eastAsia" w:ascii="宋体" w:hAnsi="宋体" w:eastAsia="宋体" w:cs="宋体"/>
          <w:b/>
          <w:bCs/>
          <w:color w:val="auto"/>
          <w:szCs w:val="21"/>
          <w:highlight w:val="none"/>
        </w:rPr>
        <w:t>投标文件格式</w:t>
      </w:r>
      <w:r>
        <w:rPr>
          <w:rFonts w:ascii="宋体" w:hAnsi="宋体" w:eastAsia="宋体" w:cs="宋体"/>
          <w:b/>
          <w:bCs/>
          <w:color w:val="auto"/>
          <w:szCs w:val="21"/>
          <w:highlight w:val="none"/>
        </w:rPr>
        <w:t xml:space="preserve"> </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4" w:name="_Toc11170"/>
      <w:bookmarkStart w:id="135" w:name="_Toc450662860"/>
      <w:bookmarkStart w:id="136" w:name="_Toc1239"/>
      <w:bookmarkStart w:id="137" w:name="_Toc486167674"/>
      <w:bookmarkStart w:id="138" w:name="_Toc27646"/>
      <w:bookmarkStart w:id="139" w:name="_Toc195714228"/>
      <w:bookmarkStart w:id="140" w:name="_Toc8675_WPSOffice_Level3"/>
      <w:bookmarkStart w:id="141" w:name="_Toc142508324"/>
      <w:bookmarkStart w:id="142" w:name="_Toc1321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4"/>
      <w:bookmarkEnd w:id="135"/>
      <w:bookmarkEnd w:id="136"/>
      <w:bookmarkEnd w:id="137"/>
      <w:bookmarkEnd w:id="138"/>
      <w:bookmarkEnd w:id="139"/>
      <w:bookmarkEnd w:id="140"/>
      <w:bookmarkEnd w:id="141"/>
      <w:bookmarkEnd w:id="142"/>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3621"/>
      <w:bookmarkStart w:id="144" w:name="_Toc4385_WPSOffice_Level3"/>
      <w:bookmarkStart w:id="145" w:name="_Toc4155"/>
      <w:bookmarkStart w:id="146" w:name="_Toc24311"/>
      <w:bookmarkStart w:id="147" w:name="_Toc142508325"/>
      <w:bookmarkStart w:id="148" w:name="_Toc450662861"/>
      <w:bookmarkStart w:id="149" w:name="_Toc15427"/>
      <w:bookmarkStart w:id="150" w:name="_Toc486167675"/>
      <w:bookmarkStart w:id="151" w:name="_Toc195714229"/>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3"/>
      <w:bookmarkEnd w:id="144"/>
      <w:bookmarkEnd w:id="145"/>
      <w:bookmarkEnd w:id="146"/>
      <w:bookmarkEnd w:id="147"/>
      <w:bookmarkEnd w:id="148"/>
      <w:bookmarkEnd w:id="149"/>
      <w:bookmarkEnd w:id="150"/>
      <w:bookmarkEnd w:id="151"/>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（1）招标范围内</w:t>
      </w:r>
      <w:r>
        <w:rPr>
          <w:rFonts w:hint="eastAsia" w:ascii="宋体" w:hAnsi="宋体" w:eastAsia="宋体" w:cs="宋体"/>
          <w:color w:val="auto"/>
          <w:kern w:val="0"/>
          <w:szCs w:val="21"/>
          <w:highlight w:val="none"/>
          <w:lang w:bidi="ar"/>
        </w:rPr>
        <w:t>所供货物及其配备的附件的</w:t>
      </w:r>
      <w:r>
        <w:rPr>
          <w:rFonts w:hint="eastAsia" w:ascii="宋体" w:hAnsi="宋体" w:eastAsia="宋体" w:cs="宋体"/>
          <w:color w:val="auto"/>
          <w:kern w:val="0"/>
          <w:szCs w:val="21"/>
          <w:highlight w:val="none"/>
          <w:lang w:val="en-US" w:eastAsia="zh-CN" w:bidi="ar"/>
        </w:rPr>
        <w:t>设计（含二次深化设计）、</w:t>
      </w:r>
      <w:r>
        <w:rPr>
          <w:rFonts w:hint="eastAsia" w:ascii="宋体" w:hAnsi="宋体" w:eastAsia="宋体" w:cs="宋体"/>
          <w:color w:val="auto"/>
          <w:kern w:val="0"/>
          <w:szCs w:val="21"/>
          <w:highlight w:val="none"/>
          <w:lang w:bidi="ar"/>
        </w:rPr>
        <w:t>采购、制造、检测、试验、送货、装卸（含二次搬运至</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指定交货或仓储地点）、人工费、材料费、安装费</w:t>
      </w:r>
      <w:r>
        <w:rPr>
          <w:rFonts w:hint="eastAsia" w:ascii="宋体" w:hAnsi="宋体" w:eastAsia="宋体" w:cs="宋体"/>
          <w:color w:val="auto"/>
          <w:kern w:val="0"/>
          <w:szCs w:val="21"/>
          <w:highlight w:val="none"/>
          <w:lang w:eastAsia="zh-CN" w:bidi="ar"/>
        </w:rPr>
        <w:t>（含安全防护、文明施工措施）</w:t>
      </w:r>
      <w:r>
        <w:rPr>
          <w:rFonts w:hint="eastAsia" w:ascii="宋体" w:hAnsi="宋体" w:eastAsia="宋体" w:cs="宋体"/>
          <w:color w:val="auto"/>
          <w:kern w:val="0"/>
          <w:szCs w:val="21"/>
          <w:highlight w:val="none"/>
          <w:lang w:bidi="ar"/>
        </w:rPr>
        <w:t>、调试费、</w:t>
      </w:r>
      <w:r>
        <w:rPr>
          <w:rFonts w:hint="eastAsia" w:ascii="宋体" w:hAnsi="宋体" w:eastAsia="宋体" w:cs="宋体"/>
          <w:color w:val="auto"/>
          <w:kern w:val="0"/>
          <w:szCs w:val="21"/>
          <w:highlight w:val="none"/>
          <w:lang w:val="en-US" w:eastAsia="zh-CN" w:bidi="ar"/>
        </w:rPr>
        <w:t>施工措施费用（含水、电等）、</w:t>
      </w:r>
      <w:r>
        <w:rPr>
          <w:rFonts w:hint="eastAsia" w:ascii="宋体" w:hAnsi="宋体" w:eastAsia="宋体" w:cs="宋体"/>
          <w:color w:val="auto"/>
          <w:kern w:val="0"/>
          <w:szCs w:val="21"/>
          <w:highlight w:val="none"/>
          <w:lang w:bidi="ar"/>
        </w:rPr>
        <w:t>性能考核相关的人员投入、物质消耗等</w:t>
      </w:r>
      <w:r>
        <w:rPr>
          <w:rFonts w:hint="eastAsia" w:ascii="宋体" w:hAnsi="宋体" w:eastAsia="宋体" w:cs="宋体"/>
          <w:color w:val="auto"/>
          <w:kern w:val="0"/>
          <w:szCs w:val="21"/>
          <w:highlight w:val="none"/>
          <w:lang w:val="en-US" w:eastAsia="zh-CN" w:bidi="ar"/>
        </w:rPr>
        <w:t>费用、</w:t>
      </w:r>
      <w:r>
        <w:rPr>
          <w:rFonts w:hint="eastAsia" w:ascii="宋体" w:hAnsi="宋体" w:eastAsia="宋体" w:cs="宋体"/>
          <w:color w:val="auto"/>
          <w:kern w:val="0"/>
          <w:szCs w:val="21"/>
          <w:highlight w:val="none"/>
          <w:lang w:bidi="ar"/>
        </w:rPr>
        <w:t>运费、保险、质保期免费上门提供售后服务</w:t>
      </w:r>
      <w:r>
        <w:rPr>
          <w:rFonts w:hint="eastAsia" w:ascii="宋体" w:hAnsi="宋体" w:eastAsia="宋体" w:cs="宋体"/>
          <w:color w:val="auto"/>
          <w:kern w:val="0"/>
          <w:szCs w:val="21"/>
          <w:highlight w:val="none"/>
          <w:lang w:eastAsia="zh-CN" w:bidi="ar"/>
        </w:rPr>
        <w:t>、中标服务、</w:t>
      </w:r>
      <w:r>
        <w:rPr>
          <w:rFonts w:hint="eastAsia" w:ascii="宋体" w:hAnsi="宋体" w:eastAsia="宋体" w:cs="宋体"/>
          <w:color w:val="auto"/>
          <w:kern w:val="0"/>
          <w:szCs w:val="21"/>
          <w:highlight w:val="none"/>
          <w:lang w:val="en-US" w:eastAsia="zh-CN" w:bidi="ar"/>
        </w:rPr>
        <w:t>技术服务、验收</w:t>
      </w:r>
      <w:r>
        <w:rPr>
          <w:rFonts w:hint="eastAsia" w:ascii="宋体" w:hAnsi="宋体" w:eastAsia="宋体" w:cs="宋体"/>
          <w:color w:val="auto"/>
          <w:kern w:val="0"/>
          <w:szCs w:val="21"/>
          <w:highlight w:val="none"/>
          <w:lang w:bidi="ar"/>
        </w:rPr>
        <w:t>等相关服务的全部费用</w:t>
      </w:r>
      <w:r>
        <w:rPr>
          <w:rFonts w:hint="eastAsia" w:ascii="宋体" w:hAnsi="宋体" w:eastAsia="宋体" w:cs="宋体"/>
          <w:bCs/>
          <w:color w:val="auto"/>
          <w:szCs w:val="21"/>
          <w:highlight w:val="none"/>
        </w:rPr>
        <w:t>；</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（2）投标货物及其工艺所有制造方、使用方应支付的对专有技术、专利权和版权、设计或其他知识产权而需要向其他方支付的版税；</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（3）验收时为达到相关标准而可能增加的、不合格货物更换、零配件更换等费用；</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（4）设备备品备件（含零配件）、设备拆装维修所需特殊专用工具购置费；</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（5）日常技术指导，免费的质保期保修服务，包括但不限于对设备的运行指导，免费维修、保修或更换配件，在设备出现严重故障、影响正常运行、修复有困难的情况下，对设备进行免费更换的费用；</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eastAsia="宋体" w:cs="宋体"/>
          <w:color w:val="auto"/>
          <w:kern w:val="0"/>
          <w:szCs w:val="21"/>
          <w:highlight w:val="none"/>
          <w:lang w:val="en-US" w:eastAsia="zh-CN" w:bidi="ar"/>
        </w:rPr>
        <w:t>采购</w:t>
      </w:r>
      <w:r>
        <w:rPr>
          <w:rFonts w:hint="eastAsia" w:ascii="宋体" w:hAnsi="宋体" w:eastAsia="宋体" w:cs="宋体"/>
          <w:bCs/>
          <w:color w:val="auto"/>
          <w:szCs w:val="21"/>
          <w:highlight w:val="none"/>
          <w:lang w:val="en-US" w:eastAsia="zh-CN"/>
        </w:rPr>
        <w:t>清单中</w:t>
      </w:r>
      <w:r>
        <w:rPr>
          <w:rFonts w:hint="eastAsia" w:ascii="宋体" w:hAnsi="宋体" w:eastAsia="宋体" w:cs="宋体"/>
          <w:bCs/>
          <w:color w:val="auto"/>
          <w:szCs w:val="21"/>
          <w:highlight w:val="none"/>
        </w:rPr>
        <w:t>未列出，但为满足设计功能所必需的设备材料购置费；</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（7）合理利润、投标人销项税额以外的税费等；</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8）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9）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bCs/>
          <w:color w:val="auto"/>
          <w:szCs w:val="21"/>
          <w:highlight w:val="none"/>
        </w:rPr>
        <w:t>（10）法律法规、商业公认、招标文件规定由投标人承担的其他直接及间接费用</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若在项目施工、安装、调试、试运行及验收阶段，因投标人设计缺陷、设备选型不当、漏报缺项等原因，需新增、替换、升级设备/元件，或需进行与设备直接相关的小型土建（如设备基础、预埋件、管沟修复等）相关费用均由投标人承担；投标人漏报的任何内容，视为已包含在</w:t>
      </w:r>
      <w:r>
        <w:rPr>
          <w:rFonts w:hint="eastAsia" w:ascii="宋体" w:hAnsi="宋体" w:eastAsia="宋体" w:cs="宋体"/>
          <w:color w:val="auto"/>
          <w:kern w:val="0"/>
          <w:szCs w:val="21"/>
          <w:highlight w:val="none"/>
          <w:lang w:val="en-US" w:eastAsia="zh-CN" w:bidi="ar"/>
        </w:rPr>
        <w:t>合同</w:t>
      </w:r>
      <w:r>
        <w:rPr>
          <w:rFonts w:hint="default" w:ascii="宋体" w:hAnsi="宋体" w:eastAsia="宋体" w:cs="宋体"/>
          <w:color w:val="auto"/>
          <w:kern w:val="0"/>
          <w:szCs w:val="21"/>
          <w:highlight w:val="none"/>
          <w:lang w:bidi="ar"/>
        </w:rPr>
        <w:t>价中，招标人不再支付任何额外费用。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rPr>
        <w:t>货物及有关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eastAsia" w:ascii="宋体" w:hAnsi="宋体" w:eastAsia="宋体" w:cs="宋体"/>
          <w:b/>
          <w:bCs/>
          <w:color w:val="auto"/>
          <w:kern w:val="0"/>
          <w:szCs w:val="24"/>
          <w:highlight w:val="none"/>
          <w:u w:val="singl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r>
        <w:rPr>
          <w:rFonts w:hint="eastAsia" w:ascii="宋体" w:hAnsi="宋体" w:eastAsia="宋体" w:cs="宋体"/>
          <w:b/>
          <w:color w:val="auto"/>
          <w:szCs w:val="21"/>
          <w:highlight w:val="none"/>
          <w:u w:val="single"/>
          <w:lang w:val="en-US" w:eastAsia="zh-CN"/>
        </w:rPr>
        <w:t>投标总价</w:t>
      </w:r>
      <w:r>
        <w:rPr>
          <w:rFonts w:hint="eastAsia" w:ascii="宋体" w:hAnsi="宋体" w:eastAsia="宋体" w:cs="宋体"/>
          <w:b/>
          <w:color w:val="auto"/>
          <w:szCs w:val="21"/>
          <w:highlight w:val="none"/>
          <w:u w:val="single"/>
          <w:lang w:val="zh-CN"/>
        </w:rPr>
        <w:t>报价</w:t>
      </w:r>
      <w:r>
        <w:rPr>
          <w:rFonts w:hint="eastAsia" w:ascii="宋体" w:hAnsi="宋体" w:eastAsia="宋体" w:cs="宋体"/>
          <w:b/>
          <w:color w:val="auto"/>
          <w:szCs w:val="21"/>
          <w:highlight w:val="none"/>
          <w:u w:val="single"/>
          <w:lang w:val="en-US" w:eastAsia="zh-CN"/>
        </w:rPr>
        <w:t>高于</w:t>
      </w:r>
      <w:r>
        <w:rPr>
          <w:rFonts w:hint="eastAsia" w:ascii="宋体" w:hAnsi="宋体" w:eastAsia="宋体" w:cs="宋体"/>
          <w:b/>
          <w:color w:val="auto"/>
          <w:szCs w:val="21"/>
          <w:highlight w:val="none"/>
          <w:u w:val="single"/>
          <w:lang w:val="zh-CN"/>
        </w:rPr>
        <w:t>不含税最高限价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bCs/>
          <w:color w:val="auto"/>
          <w:kern w:val="0"/>
          <w:szCs w:val="24"/>
          <w:highlight w:val="none"/>
          <w:u w:val="single"/>
        </w:rPr>
        <w:t>投标人的</w:t>
      </w:r>
      <w:r>
        <w:rPr>
          <w:rFonts w:hint="eastAsia" w:ascii="宋体" w:hAnsi="宋体" w:eastAsia="宋体" w:cs="宋体"/>
          <w:b/>
          <w:bCs/>
          <w:color w:val="auto"/>
          <w:kern w:val="0"/>
          <w:szCs w:val="24"/>
          <w:highlight w:val="none"/>
          <w:u w:val="single"/>
          <w:lang w:val="en-US" w:eastAsia="zh-CN"/>
        </w:rPr>
        <w:t>分项报价表</w:t>
      </w:r>
      <w:r>
        <w:rPr>
          <w:rFonts w:hint="eastAsia" w:ascii="宋体" w:hAnsi="宋体" w:eastAsia="宋体" w:cs="宋体"/>
          <w:b/>
          <w:bCs/>
          <w:color w:val="auto"/>
          <w:kern w:val="0"/>
          <w:szCs w:val="24"/>
          <w:highlight w:val="none"/>
          <w:u w:val="single"/>
        </w:rPr>
        <w:t>子项目投标报价高于对应子项目的</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4"/>
          <w:highlight w:val="none"/>
          <w:u w:val="single"/>
        </w:rPr>
        <w:t>最高限价</w:t>
      </w:r>
      <w:r>
        <w:rPr>
          <w:rFonts w:hint="eastAsia" w:ascii="宋体" w:hAnsi="宋体" w:eastAsia="宋体" w:cs="宋体"/>
          <w:b/>
          <w:bCs/>
          <w:color w:val="auto"/>
          <w:kern w:val="0"/>
          <w:szCs w:val="24"/>
          <w:highlight w:val="none"/>
          <w:u w:val="single"/>
          <w:lang w:eastAsia="zh-CN"/>
        </w:rPr>
        <w:t>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。本项目不含税最高限价为</w:t>
      </w:r>
      <w:r>
        <w:rPr>
          <w:rFonts w:hint="eastAsia" w:ascii="宋体" w:hAnsi="宋体" w:eastAsia="宋体" w:cs="宋体"/>
          <w:b/>
          <w:color w:val="auto"/>
          <w:szCs w:val="21"/>
          <w:highlight w:val="none"/>
          <w:u w:val="single"/>
          <w:lang w:val="zh-CN" w:eastAsia="zh-CN"/>
        </w:rPr>
        <w:t>45,904,779.06</w:t>
      </w:r>
      <w:r>
        <w:rPr>
          <w:rFonts w:hint="eastAsia" w:ascii="宋体" w:hAnsi="宋体" w:eastAsia="宋体" w:cs="Times New Roman"/>
          <w:b/>
          <w:bCs/>
          <w:color w:val="auto"/>
          <w:szCs w:val="21"/>
          <w:highlight w:val="none"/>
          <w:u w:val="single"/>
        </w:rPr>
        <w:t>元</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lang w:val="en-US" w:eastAsia="zh-CN"/>
        </w:rPr>
        <w:t>人民币肆仟伍佰玖拾万肆仟柒佰柒拾玖元零陆分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各</w:t>
      </w:r>
      <w:r>
        <w:rPr>
          <w:rFonts w:hint="eastAsia" w:ascii="宋体" w:hAnsi="宋体" w:eastAsia="宋体" w:cs="宋体"/>
          <w:b/>
          <w:bCs/>
          <w:color w:val="auto"/>
          <w:kern w:val="0"/>
          <w:szCs w:val="24"/>
          <w:highlight w:val="none"/>
          <w:u w:val="single"/>
        </w:rPr>
        <w:t>子项目的</w:t>
      </w:r>
      <w:r>
        <w:rPr>
          <w:rFonts w:hint="eastAsia" w:ascii="宋体" w:hAnsi="宋体" w:eastAsia="宋体" w:cs="宋体"/>
          <w:b/>
          <w:bCs/>
          <w:color w:val="auto"/>
          <w:kern w:val="0"/>
          <w:szCs w:val="24"/>
          <w:highlight w:val="none"/>
          <w:u w:val="single"/>
          <w:lang w:val="en-US" w:eastAsia="zh-CN"/>
        </w:rPr>
        <w:t>不含税</w:t>
      </w:r>
      <w:r>
        <w:rPr>
          <w:rFonts w:hint="eastAsia" w:ascii="宋体" w:hAnsi="宋体" w:eastAsia="宋体" w:cs="宋体"/>
          <w:b/>
          <w:bCs/>
          <w:color w:val="auto"/>
          <w:kern w:val="0"/>
          <w:szCs w:val="24"/>
          <w:highlight w:val="none"/>
          <w:u w:val="single"/>
        </w:rPr>
        <w:t>最高限价</w:t>
      </w:r>
      <w:r>
        <w:rPr>
          <w:rFonts w:hint="eastAsia" w:ascii="宋体" w:hAnsi="宋体" w:eastAsia="宋体" w:cs="宋体"/>
          <w:b/>
          <w:bCs/>
          <w:color w:val="auto"/>
          <w:kern w:val="0"/>
          <w:szCs w:val="24"/>
          <w:highlight w:val="none"/>
          <w:u w:val="single"/>
          <w:lang w:val="en-US" w:eastAsia="zh-CN"/>
        </w:rPr>
        <w:t>分别为：</w:t>
      </w:r>
    </w:p>
    <w:p>
      <w:pPr>
        <w:autoSpaceDE w:val="0"/>
        <w:autoSpaceDN w:val="0"/>
        <w:adjustRightInd w:val="0"/>
        <w:spacing w:line="360" w:lineRule="auto"/>
        <w:ind w:left="339" w:leftChars="91" w:hanging="148" w:hangingChars="70"/>
        <w:rPr>
          <w:rFonts w:hint="eastAsia" w:ascii="宋体" w:hAnsi="宋体" w:eastAsia="宋体" w:cs="宋体"/>
          <w:b/>
          <w:bCs/>
          <w:color w:val="auto"/>
          <w:kern w:val="0"/>
          <w:szCs w:val="24"/>
          <w:highlight w:val="none"/>
          <w:u w:val="single"/>
          <w:lang w:val="en-US" w:eastAsia="zh-CN"/>
        </w:rPr>
      </w:pPr>
      <w:r>
        <w:rPr>
          <w:rFonts w:hint="eastAsia" w:ascii="宋体" w:hAnsi="宋体" w:eastAsia="宋体" w:cs="宋体"/>
          <w:b/>
          <w:bCs/>
          <w:color w:val="auto"/>
          <w:kern w:val="0"/>
          <w:szCs w:val="24"/>
          <w:highlight w:val="none"/>
          <w:u w:val="single"/>
          <w:lang w:val="en-US" w:eastAsia="zh-CN"/>
        </w:rPr>
        <w:t>（1）现状老旧设备更换：不含税最高限价</w:t>
      </w:r>
      <w:r>
        <w:rPr>
          <w:rFonts w:hint="eastAsia" w:ascii="宋体" w:hAnsi="宋体" w:eastAsia="宋体" w:cs="宋体"/>
          <w:b/>
          <w:color w:val="auto"/>
          <w:szCs w:val="21"/>
          <w:highlight w:val="none"/>
          <w:u w:val="single"/>
          <w:lang w:val="zh-CN"/>
        </w:rPr>
        <w:t>为</w:t>
      </w:r>
      <w:r>
        <w:rPr>
          <w:rFonts w:hint="eastAsia" w:ascii="宋体" w:hAnsi="宋体" w:eastAsia="宋体" w:cs="宋体"/>
          <w:b/>
          <w:color w:val="auto"/>
          <w:szCs w:val="21"/>
          <w:highlight w:val="none"/>
          <w:u w:val="single"/>
          <w:lang w:val="zh-CN" w:eastAsia="zh-CN"/>
        </w:rPr>
        <w:t>10,037,199.06</w:t>
      </w:r>
      <w:r>
        <w:rPr>
          <w:rFonts w:hint="eastAsia" w:ascii="宋体" w:hAnsi="宋体" w:eastAsia="宋体" w:cs="Times New Roman"/>
          <w:b/>
          <w:bCs/>
          <w:color w:val="auto"/>
          <w:szCs w:val="21"/>
          <w:highlight w:val="none"/>
          <w:u w:val="single"/>
        </w:rPr>
        <w:t>元</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lang w:val="en-US" w:eastAsia="zh-CN"/>
        </w:rPr>
        <w:t>人民币壹仟零叁万柒仟壹佰玖拾玖元零陆分</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39" w:leftChars="91" w:hanging="148" w:hangingChars="70"/>
        <w:rPr>
          <w:rFonts w:ascii="宋体" w:hAnsi="宋体" w:eastAsia="宋体" w:cs="宋体"/>
          <w:b/>
          <w:color w:val="auto"/>
          <w:szCs w:val="21"/>
          <w:highlight w:val="none"/>
          <w:lang w:val="zh-CN"/>
        </w:rPr>
      </w:pPr>
      <w:r>
        <w:rPr>
          <w:rFonts w:hint="eastAsia" w:ascii="宋体" w:hAnsi="宋体" w:eastAsia="宋体" w:cs="宋体"/>
          <w:b/>
          <w:bCs/>
          <w:color w:val="auto"/>
          <w:kern w:val="0"/>
          <w:szCs w:val="24"/>
          <w:highlight w:val="none"/>
          <w:u w:val="single"/>
          <w:lang w:val="en-US" w:eastAsia="zh-CN"/>
        </w:rPr>
        <w:t>（2）原位技术成套设备：不含税最高限价</w:t>
      </w:r>
      <w:r>
        <w:rPr>
          <w:rFonts w:hint="eastAsia" w:ascii="宋体" w:hAnsi="宋体" w:eastAsia="宋体" w:cs="宋体"/>
          <w:b/>
          <w:color w:val="auto"/>
          <w:szCs w:val="21"/>
          <w:highlight w:val="none"/>
          <w:u w:val="single"/>
          <w:lang w:val="zh-CN"/>
        </w:rPr>
        <w:t>为</w:t>
      </w:r>
      <w:r>
        <w:rPr>
          <w:rFonts w:hint="eastAsia" w:ascii="宋体" w:hAnsi="宋体" w:eastAsia="宋体" w:cs="宋体"/>
          <w:b/>
          <w:color w:val="auto"/>
          <w:szCs w:val="21"/>
          <w:highlight w:val="none"/>
          <w:u w:val="single"/>
          <w:lang w:val="zh-CN" w:eastAsia="zh-CN"/>
        </w:rPr>
        <w:t>35,867,580.00</w:t>
      </w:r>
      <w:r>
        <w:rPr>
          <w:rFonts w:hint="eastAsia" w:ascii="宋体" w:hAnsi="宋体" w:eastAsia="宋体" w:cs="Times New Roman"/>
          <w:b/>
          <w:bCs/>
          <w:color w:val="auto"/>
          <w:szCs w:val="21"/>
          <w:highlight w:val="none"/>
          <w:u w:val="single"/>
        </w:rPr>
        <w:t>元</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lang w:val="en-US" w:eastAsia="zh-CN"/>
        </w:rPr>
        <w:t>人民币叁仟伍佰捌拾陆万柒仟伍佰捌拾元整</w:t>
      </w:r>
      <w:r>
        <w:rPr>
          <w:rFonts w:hint="eastAsia" w:ascii="宋体" w:hAnsi="宋体" w:eastAsia="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2" w:name="_Toc142508326"/>
      <w:bookmarkStart w:id="153" w:name="_Toc3469"/>
      <w:bookmarkStart w:id="154" w:name="_Toc30042_WPSOffice_Level3"/>
      <w:bookmarkStart w:id="155" w:name="_Toc486167676"/>
      <w:bookmarkStart w:id="156" w:name="_Toc20827"/>
      <w:bookmarkStart w:id="157" w:name="_Toc195714230"/>
      <w:bookmarkStart w:id="158" w:name="_Toc21940"/>
      <w:bookmarkStart w:id="159" w:name="_Toc20312"/>
      <w:bookmarkStart w:id="160"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2"/>
      <w:bookmarkEnd w:id="153"/>
      <w:bookmarkEnd w:id="154"/>
      <w:bookmarkEnd w:id="155"/>
      <w:bookmarkEnd w:id="156"/>
      <w:bookmarkEnd w:id="157"/>
      <w:bookmarkEnd w:id="158"/>
      <w:bookmarkEnd w:id="159"/>
      <w:bookmarkEnd w:id="160"/>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1" w:name="_Toc10767"/>
      <w:bookmarkStart w:id="162" w:name="_Toc3961"/>
      <w:bookmarkStart w:id="163" w:name="_Toc486167677"/>
      <w:bookmarkStart w:id="164" w:name="_Toc142508327"/>
      <w:bookmarkStart w:id="165" w:name="_Toc20031"/>
      <w:bookmarkStart w:id="166" w:name="_Toc450662863"/>
      <w:bookmarkStart w:id="167" w:name="_Toc195714231"/>
      <w:bookmarkStart w:id="168" w:name="_Toc10342"/>
      <w:bookmarkStart w:id="169"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1"/>
      <w:bookmarkEnd w:id="162"/>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0" w:name="_Toc27546"/>
      <w:bookmarkStart w:id="171" w:name="_Toc27771_WPSOffice_Level3"/>
      <w:bookmarkStart w:id="172" w:name="_Toc195714232"/>
      <w:bookmarkStart w:id="173" w:name="_Toc10286"/>
      <w:bookmarkStart w:id="174" w:name="_Toc486167678"/>
      <w:bookmarkStart w:id="175" w:name="_Toc142508328"/>
      <w:bookmarkStart w:id="176" w:name="_Toc450662864"/>
      <w:bookmarkStart w:id="177" w:name="_Toc29754"/>
      <w:bookmarkStart w:id="178" w:name="_Toc8615"/>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0"/>
      <w:bookmarkEnd w:id="171"/>
      <w:bookmarkEnd w:id="172"/>
      <w:bookmarkEnd w:id="173"/>
      <w:bookmarkEnd w:id="174"/>
      <w:bookmarkEnd w:id="175"/>
      <w:bookmarkEnd w:id="176"/>
      <w:bookmarkEnd w:id="177"/>
      <w:bookmarkEnd w:id="178"/>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rPr>
        <w:t>货物</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9" w:name="_Toc486167679"/>
      <w:bookmarkStart w:id="180" w:name="_Toc195714233"/>
      <w:bookmarkStart w:id="181" w:name="_Toc9548"/>
      <w:bookmarkStart w:id="182" w:name="_Toc142508329"/>
      <w:bookmarkStart w:id="183" w:name="_Toc8644"/>
      <w:bookmarkStart w:id="184" w:name="_Toc9298"/>
      <w:bookmarkStart w:id="185" w:name="_Toc30555"/>
      <w:bookmarkStart w:id="186" w:name="_Toc5356_WPSOffice_Level3"/>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9"/>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pPr>
        <w:tabs>
          <w:tab w:val="left" w:pos="567"/>
        </w:tabs>
        <w:autoSpaceDE w:val="0"/>
        <w:autoSpaceDN w:val="0"/>
        <w:adjustRightInd w:val="0"/>
        <w:spacing w:line="360" w:lineRule="auto"/>
        <w:ind w:left="357" w:leftChars="-100" w:hanging="567" w:firstLineChars="0"/>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pPr>
        <w:tabs>
          <w:tab w:val="left" w:pos="567"/>
        </w:tabs>
        <w:autoSpaceDE w:val="0"/>
        <w:autoSpaceDN w:val="0"/>
        <w:adjustRightInd w:val="0"/>
        <w:spacing w:line="360" w:lineRule="auto"/>
        <w:ind w:left="391" w:leftChars="186" w:firstLine="63" w:firstLineChars="30"/>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投标截止时间前，已在公共资源交易企业库建档的投标人应将保证金关联至本</w:t>
      </w:r>
      <w:r>
        <w:rPr>
          <w:rFonts w:hint="eastAsia" w:ascii="宋体" w:hAnsi="宋体" w:eastAsia="宋体" w:cs="Times New Roman"/>
          <w:bCs w:val="0"/>
          <w:color w:val="auto"/>
          <w:kern w:val="0"/>
          <w:szCs w:val="21"/>
          <w:highlight w:val="none"/>
          <w:lang w:val="en-US" w:eastAsia="zh-CN"/>
        </w:rPr>
        <w:t>项目</w:t>
      </w:r>
      <w:r>
        <w:rPr>
          <w:rFonts w:hint="eastAsia" w:ascii="宋体" w:hAnsi="宋体" w:eastAsia="宋体" w:cs="Times New Roman"/>
          <w:bCs w:val="0"/>
          <w:color w:val="auto"/>
          <w:kern w:val="0"/>
          <w:szCs w:val="21"/>
          <w:highlight w:val="none"/>
          <w:lang w:val="zh-CN"/>
        </w:rPr>
        <w:t>。具体要求详见全国公共资源交易平台（广东省·东莞市）（网址：https：//ygp.gdzwfw.gov.cn/#/441900/index）办事指南中的相关规定。</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参照《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highlight w:val="none"/>
          <w:lang w:val="zh-CN"/>
        </w:rPr>
      </w:pPr>
      <w:r>
        <w:rPr>
          <w:rFonts w:hint="eastAsia" w:ascii="宋体" w:hAnsi="宋体" w:eastAsia="宋体" w:cs="Times New Roman"/>
          <w:bCs w:val="0"/>
          <w:color w:val="auto"/>
          <w:kern w:val="0"/>
          <w:szCs w:val="21"/>
          <w:highlight w:val="none"/>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en-US"/>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486167680"/>
      <w:bookmarkStart w:id="188" w:name="_Toc195714234"/>
      <w:bookmarkStart w:id="189" w:name="_Toc29607"/>
      <w:bookmarkStart w:id="190" w:name="_Toc1458"/>
      <w:bookmarkStart w:id="191" w:name="_Toc22274"/>
      <w:bookmarkStart w:id="192" w:name="_Toc22649_WPSOffice_Level3"/>
      <w:bookmarkStart w:id="193" w:name="_Toc5772"/>
      <w:bookmarkStart w:id="194" w:name="_Toc142508330"/>
      <w:bookmarkStart w:id="195"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7"/>
      <w:bookmarkEnd w:id="188"/>
      <w:bookmarkEnd w:id="189"/>
      <w:bookmarkEnd w:id="190"/>
      <w:bookmarkEnd w:id="191"/>
      <w:bookmarkEnd w:id="192"/>
      <w:bookmarkEnd w:id="193"/>
      <w:bookmarkEnd w:id="194"/>
      <w:bookmarkEnd w:id="195"/>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6" w:name="_Toc11099"/>
      <w:bookmarkStart w:id="197" w:name="_Toc450662866"/>
      <w:bookmarkStart w:id="198" w:name="_Toc195714235"/>
      <w:bookmarkStart w:id="199" w:name="_Toc486167681"/>
      <w:bookmarkStart w:id="200" w:name="_Toc20422"/>
      <w:bookmarkStart w:id="201" w:name="_Toc25637_WPSOffice_Level3"/>
      <w:bookmarkStart w:id="202" w:name="_Toc28013"/>
      <w:bookmarkStart w:id="203" w:name="_Toc932"/>
      <w:bookmarkStart w:id="204"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投标文件的编制和签署</w:t>
      </w:r>
      <w:bookmarkEnd w:id="196"/>
      <w:bookmarkEnd w:id="197"/>
      <w:bookmarkEnd w:id="198"/>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投标人应使用全国公共资源交易平台（广东省·东莞市发布的投标文件电子标书制作软件（以下简称“电子标书制作软件”）进行投标文件的合成、电子签名工作。</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投标人应使用依法设立的电子认证服务提供者签发的电子签名认证证书对电子投标文件进行电子签名。该电子签名与手写签名或者盖章具有同等的法律效力。</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投标文件必须按下列要求编制、使用数字证书电子签名：</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（2）投标文件商务标、技术标必须按招标文件的规定填写；</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pPr>
        <w:autoSpaceDE w:val="0"/>
        <w:autoSpaceDN w:val="0"/>
        <w:adjustRightInd w:val="0"/>
        <w:jc w:val="left"/>
        <w:rPr>
          <w:rFonts w:ascii="宋体" w:hAnsi="宋体" w:eastAsia="宋体" w:cs="宋体"/>
          <w:color w:val="auto"/>
          <w:kern w:val="0"/>
          <w:sz w:val="24"/>
          <w:szCs w:val="24"/>
          <w:highlight w:val="none"/>
        </w:rPr>
      </w:pPr>
      <w:bookmarkStart w:id="205"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06" w:name="_Toc486167682"/>
      <w:bookmarkStart w:id="207" w:name="_Toc195714236"/>
      <w:bookmarkStart w:id="208" w:name="_Toc22356_WPSOffice_Level2"/>
      <w:bookmarkStart w:id="209" w:name="_Toc140596891"/>
      <w:bookmarkStart w:id="210" w:name="_Toc26605"/>
      <w:bookmarkStart w:id="211" w:name="_Toc17199"/>
      <w:bookmarkStart w:id="212" w:name="_Toc974"/>
      <w:bookmarkStart w:id="213" w:name="_Toc142508332"/>
      <w:bookmarkStart w:id="214" w:name="_Toc6160"/>
      <w:r>
        <w:rPr>
          <w:rFonts w:hint="eastAsia" w:ascii="宋体" w:hAnsi="宋体" w:eastAsia="宋体" w:cs="宋体"/>
          <w:b/>
          <w:bCs/>
          <w:color w:val="auto"/>
          <w:kern w:val="44"/>
          <w:szCs w:val="21"/>
          <w:highlight w:val="none"/>
          <w:lang w:val="zh-CN"/>
        </w:rPr>
        <w:t>四、投标</w:t>
      </w:r>
      <w:bookmarkEnd w:id="205"/>
      <w:bookmarkEnd w:id="206"/>
      <w:bookmarkEnd w:id="207"/>
      <w:bookmarkEnd w:id="208"/>
      <w:bookmarkEnd w:id="209"/>
      <w:bookmarkEnd w:id="210"/>
      <w:bookmarkEnd w:id="211"/>
      <w:bookmarkEnd w:id="212"/>
      <w:bookmarkEnd w:id="213"/>
      <w:bookmarkEnd w:id="21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8830"/>
      <w:bookmarkStart w:id="216" w:name="_Toc31551"/>
      <w:bookmarkStart w:id="217" w:name="_Toc12192_WPSOffice_Level3"/>
      <w:bookmarkStart w:id="218" w:name="_Toc142508333"/>
      <w:bookmarkStart w:id="219" w:name="_Toc195714237"/>
      <w:bookmarkStart w:id="220" w:name="_Toc29885"/>
      <w:bookmarkStart w:id="221" w:name="_Toc450662868"/>
      <w:bookmarkStart w:id="222" w:name="_Toc486167683"/>
      <w:bookmarkStart w:id="223" w:name="_Toc1072"/>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投标文件的加密</w:t>
      </w:r>
      <w:bookmarkEnd w:id="215"/>
      <w:bookmarkEnd w:id="216"/>
      <w:bookmarkEnd w:id="217"/>
      <w:bookmarkEnd w:id="218"/>
      <w:bookmarkEnd w:id="219"/>
      <w:bookmarkEnd w:id="220"/>
      <w:bookmarkEnd w:id="221"/>
      <w:bookmarkEnd w:id="222"/>
      <w:bookmarkEnd w:id="223"/>
    </w:p>
    <w:p>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1869"/>
      <w:bookmarkStart w:id="225" w:name="_Toc23455"/>
      <w:bookmarkStart w:id="226" w:name="_Toc195714238"/>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224"/>
      <w:bookmarkEnd w:id="225"/>
      <w:bookmarkEnd w:id="226"/>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7" w:name="_Toc172"/>
      <w:bookmarkStart w:id="228" w:name="_Toc19676"/>
      <w:bookmarkStart w:id="229" w:name="_Toc195714239"/>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227"/>
      <w:bookmarkEnd w:id="228"/>
      <w:bookmarkEnd w:id="229"/>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21285"/>
      <w:bookmarkStart w:id="231" w:name="_Toc15468"/>
      <w:bookmarkStart w:id="232" w:name="_Toc195714240"/>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230"/>
      <w:bookmarkEnd w:id="231"/>
      <w:bookmarkEnd w:id="23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3" w:name="_Toc195714241"/>
      <w:bookmarkStart w:id="234" w:name="_Toc15882"/>
      <w:bookmarkStart w:id="235" w:name="_Toc2616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33"/>
      <w:bookmarkEnd w:id="234"/>
      <w:bookmarkEnd w:id="23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6" w:name="_Toc142508337"/>
      <w:bookmarkStart w:id="237" w:name="_Toc8413"/>
      <w:bookmarkStart w:id="238" w:name="_Toc1049_WPSOffice_Level2"/>
      <w:bookmarkStart w:id="239" w:name="_Toc5078"/>
      <w:bookmarkStart w:id="240" w:name="_Toc450662872"/>
      <w:bookmarkStart w:id="241" w:name="_Toc30428"/>
      <w:bookmarkStart w:id="242" w:name="_Toc140596896"/>
      <w:bookmarkStart w:id="243" w:name="_Toc486167687"/>
      <w:bookmarkStart w:id="244" w:name="_Toc28824"/>
      <w:bookmarkStart w:id="245" w:name="_Toc195714242"/>
      <w:r>
        <w:rPr>
          <w:rFonts w:hint="eastAsia" w:ascii="宋体" w:hAnsi="宋体" w:eastAsia="宋体" w:cs="宋体"/>
          <w:b/>
          <w:bCs/>
          <w:color w:val="auto"/>
          <w:kern w:val="44"/>
          <w:szCs w:val="21"/>
          <w:highlight w:val="none"/>
          <w:lang w:val="zh-CN"/>
        </w:rPr>
        <w:t>五、开标与评标</w:t>
      </w:r>
      <w:bookmarkEnd w:id="236"/>
      <w:bookmarkEnd w:id="237"/>
      <w:bookmarkEnd w:id="238"/>
      <w:bookmarkEnd w:id="239"/>
      <w:bookmarkEnd w:id="240"/>
      <w:bookmarkEnd w:id="241"/>
      <w:bookmarkEnd w:id="242"/>
      <w:bookmarkEnd w:id="243"/>
      <w:bookmarkEnd w:id="244"/>
      <w:bookmarkEnd w:id="245"/>
    </w:p>
    <w:p>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246" w:name="_Toc28305"/>
      <w:bookmarkStart w:id="247" w:name="_Toc195714243"/>
      <w:bookmarkStart w:id="248" w:name="_Toc323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46"/>
      <w:bookmarkEnd w:id="247"/>
      <w:bookmarkEnd w:id="24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之外的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pPr>
        <w:tabs>
          <w:tab w:val="left" w:pos="567"/>
        </w:tabs>
        <w:autoSpaceDE w:val="0"/>
        <w:autoSpaceDN w:val="0"/>
        <w:adjustRightInd w:val="0"/>
        <w:spacing w:line="360" w:lineRule="auto"/>
        <w:ind w:left="357" w:leftChars="-100" w:right="15" w:rightChars="7" w:hanging="567"/>
        <w:rPr>
          <w:rFonts w:hint="eastAsia"/>
          <w:color w:val="auto"/>
          <w:highlight w:val="none"/>
          <w:lang w:val="en-US" w:eastAsia="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249" w:name="_Toc195714244"/>
      <w:bookmarkStart w:id="250" w:name="_Toc32534"/>
      <w:bookmarkStart w:id="251" w:name="_Toc21794"/>
      <w:bookmarkStart w:id="252" w:name="_Toc16603"/>
      <w:bookmarkStart w:id="253" w:name="_Toc23059"/>
      <w:bookmarkStart w:id="254" w:name="_Toc450662874"/>
      <w:bookmarkStart w:id="255" w:name="_Toc142508339"/>
      <w:bookmarkStart w:id="256" w:name="_Toc486167689"/>
      <w:bookmarkStart w:id="257" w:name="_Toc12165_WPSOffice_Level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49"/>
      <w:bookmarkEnd w:id="250"/>
      <w:bookmarkEnd w:id="251"/>
      <w:bookmarkEnd w:id="252"/>
      <w:bookmarkEnd w:id="253"/>
      <w:bookmarkEnd w:id="254"/>
      <w:bookmarkEnd w:id="255"/>
      <w:bookmarkEnd w:id="256"/>
      <w:bookmarkEnd w:id="25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486167690"/>
      <w:bookmarkStart w:id="259" w:name="_Toc15565_WPSOffice_Level3"/>
      <w:bookmarkStart w:id="260" w:name="_Toc16920"/>
      <w:bookmarkStart w:id="261" w:name="_Toc32256"/>
      <w:bookmarkStart w:id="262" w:name="_Toc31520"/>
      <w:bookmarkStart w:id="263" w:name="_Toc195714245"/>
      <w:bookmarkStart w:id="264" w:name="_Toc450662875"/>
      <w:bookmarkStart w:id="265" w:name="_Toc800"/>
      <w:bookmarkStart w:id="266" w:name="_Toc142508340"/>
      <w:r>
        <w:rPr>
          <w:rFonts w:hint="eastAsia" w:ascii="宋体" w:hAnsi="宋体" w:eastAsia="宋体" w:cs="宋体"/>
          <w:color w:val="auto"/>
          <w:szCs w:val="21"/>
          <w:highlight w:val="none"/>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8"/>
      <w:bookmarkEnd w:id="259"/>
      <w:bookmarkEnd w:id="260"/>
      <w:bookmarkEnd w:id="261"/>
      <w:bookmarkEnd w:id="262"/>
      <w:bookmarkEnd w:id="263"/>
      <w:bookmarkEnd w:id="264"/>
      <w:bookmarkEnd w:id="265"/>
      <w:bookmarkEnd w:id="26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267" w:name="_Toc562"/>
      <w:bookmarkStart w:id="268" w:name="_Toc14324"/>
      <w:bookmarkStart w:id="269"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67"/>
      <w:bookmarkEnd w:id="268"/>
      <w:bookmarkEnd w:id="269"/>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pPr>
        <w:autoSpaceDE w:val="0"/>
        <w:autoSpaceDN w:val="0"/>
        <w:adjustRightInd w:val="0"/>
        <w:spacing w:line="360" w:lineRule="auto"/>
        <w:ind w:left="357" w:leftChars="-100" w:hanging="567"/>
        <w:outlineLvl w:val="9"/>
        <w:rPr>
          <w:rFonts w:hint="default"/>
          <w:color w:val="auto"/>
          <w:highlight w:val="none"/>
          <w:lang w:val="en-US" w:eastAsia="zh-CN"/>
        </w:rPr>
      </w:pPr>
      <w:bookmarkStart w:id="270" w:name="_Toc15371"/>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bookmarkEnd w:id="270"/>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10投标文件报价信封中填报的投标报价</w:t>
      </w:r>
      <w:r>
        <w:rPr>
          <w:rFonts w:hint="eastAsia" w:ascii="宋体" w:hAnsi="宋体" w:eastAsia="宋体" w:cs="宋体"/>
          <w:color w:val="auto"/>
          <w:szCs w:val="21"/>
          <w:highlight w:val="none"/>
          <w:lang w:val="zh-CN"/>
        </w:rPr>
        <w:t>高于不含税最高限价或投标人的分项报价表子项目投标报价高于对应子项目的不含税最高限价的；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 xml:space="preserve">的要求编制、使用企业数字证书或个人数字证书电子签名的； </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投标有效期限不符合要求；</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投标文件未对招标范围内的全部内容进行投标报价或投标方案不是唯一；</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未提供或虚假填写《合同条款偏离表》，或对《合同条款偏离表》有负偏离的；</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未填写或虚假填写《用户需求偏离表》的；</w:t>
      </w:r>
    </w:p>
    <w:p>
      <w:pPr>
        <w:spacing w:line="360" w:lineRule="auto"/>
        <w:ind w:left="357" w:leftChars="-100" w:hanging="567"/>
        <w:rPr>
          <w:color w:val="auto"/>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未响应招标文件提出的实质性要求和条件（标注★的条款）；</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26.1.19</w:t>
      </w:r>
      <w:r>
        <w:rPr>
          <w:rFonts w:hint="eastAsia" w:ascii="宋体" w:hAnsi="宋体" w:eastAsia="宋体" w:cs="宋体"/>
          <w:color w:val="auto"/>
          <w:szCs w:val="21"/>
          <w:highlight w:val="none"/>
          <w:lang w:val="zh-CN"/>
        </w:rPr>
        <w:t>属于招标文件中规定为无效标的；属于法律、法规、规章规定的应作无效投标文件处理的</w:t>
      </w:r>
      <w:r>
        <w:rPr>
          <w:rFonts w:hint="eastAsia" w:ascii="宋体" w:hAnsi="宋体" w:eastAsia="宋体" w:cs="宋体"/>
          <w:color w:val="auto"/>
          <w:szCs w:val="21"/>
          <w:highlight w:val="none"/>
          <w:lang w:val="en-US" w:eastAsia="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1" w:name="_Toc23436"/>
      <w:bookmarkStart w:id="272" w:name="_Toc195714247"/>
      <w:bookmarkStart w:id="273" w:name="_Toc12715"/>
      <w:bookmarkStart w:id="274" w:name="_Toc450662876"/>
      <w:bookmarkStart w:id="275" w:name="_Toc28910_WPSOffice_Level3"/>
      <w:bookmarkStart w:id="276" w:name="_Toc486167691"/>
      <w:bookmarkStart w:id="277" w:name="_Toc142508341"/>
      <w:bookmarkStart w:id="278" w:name="_Toc19873"/>
      <w:bookmarkStart w:id="279" w:name="_Toc186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1"/>
      <w:bookmarkEnd w:id="272"/>
      <w:bookmarkEnd w:id="273"/>
      <w:bookmarkEnd w:id="274"/>
      <w:bookmarkEnd w:id="275"/>
      <w:bookmarkEnd w:id="276"/>
      <w:bookmarkEnd w:id="277"/>
      <w:bookmarkEnd w:id="278"/>
      <w:bookmarkEnd w:id="279"/>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450662877"/>
      <w:bookmarkStart w:id="281" w:name="_Toc15084"/>
      <w:bookmarkStart w:id="282" w:name="_Toc338_WPSOffice_Level3"/>
      <w:bookmarkStart w:id="283" w:name="_Toc30225"/>
      <w:bookmarkStart w:id="284" w:name="_Toc4837"/>
      <w:bookmarkStart w:id="285" w:name="_Toc142508342"/>
      <w:bookmarkStart w:id="286" w:name="_Toc195714248"/>
      <w:bookmarkStart w:id="287" w:name="_Toc486167692"/>
      <w:bookmarkStart w:id="288" w:name="_Toc14014"/>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80"/>
      <w:bookmarkEnd w:id="281"/>
      <w:bookmarkEnd w:id="282"/>
      <w:bookmarkEnd w:id="283"/>
      <w:bookmarkEnd w:id="284"/>
      <w:bookmarkEnd w:id="285"/>
      <w:bookmarkEnd w:id="286"/>
      <w:bookmarkEnd w:id="287"/>
      <w:bookmarkEnd w:id="28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9"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9"/>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0" w:name="_Toc5783"/>
      <w:bookmarkStart w:id="291" w:name="_Toc10967"/>
      <w:bookmarkStart w:id="292" w:name="_Toc22065"/>
      <w:bookmarkStart w:id="293" w:name="_Toc18368_WPSOffice_Level3"/>
      <w:bookmarkStart w:id="294" w:name="_Toc15681"/>
      <w:bookmarkStart w:id="295" w:name="_Toc142508343"/>
      <w:bookmarkStart w:id="296" w:name="_Toc521918096"/>
      <w:bookmarkStart w:id="297" w:name="_Toc522047355"/>
      <w:bookmarkStart w:id="298" w:name="_Toc19571424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90"/>
      <w:bookmarkEnd w:id="291"/>
      <w:bookmarkEnd w:id="292"/>
      <w:bookmarkEnd w:id="293"/>
      <w:bookmarkEnd w:id="294"/>
      <w:bookmarkEnd w:id="295"/>
      <w:bookmarkEnd w:id="296"/>
      <w:bookmarkEnd w:id="297"/>
      <w:bookmarkEnd w:id="298"/>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9" w:name="_Toc521918097"/>
      <w:bookmarkStart w:id="300"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1" w:name="_Toc6163"/>
      <w:bookmarkStart w:id="302" w:name="_Toc14804"/>
      <w:bookmarkStart w:id="303" w:name="_Toc195714250"/>
      <w:bookmarkStart w:id="304" w:name="_Toc142508344"/>
      <w:bookmarkStart w:id="305" w:name="_Toc27950"/>
      <w:bookmarkStart w:id="306" w:name="_Toc27026"/>
      <w:bookmarkStart w:id="307" w:name="_Toc21460_WPSOffice_Level3"/>
      <w:r>
        <w:rPr>
          <w:rFonts w:hint="eastAsia" w:ascii="宋体" w:hAnsi="宋体" w:eastAsia="宋体" w:cs="宋体"/>
          <w:color w:val="auto"/>
          <w:szCs w:val="21"/>
          <w:highlight w:val="none"/>
        </w:rPr>
        <w:t>30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9"/>
      <w:bookmarkEnd w:id="300"/>
      <w:bookmarkEnd w:id="301"/>
      <w:bookmarkEnd w:id="302"/>
      <w:bookmarkEnd w:id="303"/>
      <w:bookmarkEnd w:id="304"/>
      <w:bookmarkEnd w:id="305"/>
      <w:bookmarkEnd w:id="306"/>
      <w:bookmarkEnd w:id="3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8" w:name="_Toc4819"/>
      <w:bookmarkStart w:id="309" w:name="_Toc142508345"/>
      <w:bookmarkStart w:id="310" w:name="_Toc32498_WPSOffice_Level3"/>
      <w:bookmarkStart w:id="311" w:name="_Toc466882017"/>
      <w:bookmarkStart w:id="312" w:name="_Toc465358969"/>
      <w:bookmarkStart w:id="313" w:name="_Toc195714251"/>
      <w:bookmarkStart w:id="314" w:name="_Toc24796"/>
      <w:bookmarkStart w:id="315" w:name="_Toc11615"/>
      <w:bookmarkStart w:id="316" w:name="_Toc486167694"/>
      <w:bookmarkStart w:id="317" w:name="_Toc26551"/>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8"/>
      <w:bookmarkEnd w:id="309"/>
      <w:bookmarkEnd w:id="310"/>
      <w:bookmarkEnd w:id="311"/>
      <w:bookmarkEnd w:id="312"/>
      <w:bookmarkEnd w:id="313"/>
      <w:bookmarkEnd w:id="314"/>
      <w:bookmarkEnd w:id="315"/>
      <w:bookmarkEnd w:id="316"/>
      <w:bookmarkEnd w:id="317"/>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31.2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8" w:name="_Toc465358970"/>
      <w:bookmarkStart w:id="319" w:name="_Toc486167695"/>
      <w:bookmarkStart w:id="320" w:name="_Toc16049"/>
      <w:bookmarkStart w:id="321" w:name="_Toc3154"/>
      <w:bookmarkStart w:id="322" w:name="_Toc142508346"/>
      <w:bookmarkStart w:id="323" w:name="_Toc6945"/>
      <w:bookmarkStart w:id="324" w:name="_Toc1848_WPSOffice_Level3"/>
      <w:bookmarkStart w:id="325" w:name="_Toc195714252"/>
      <w:bookmarkStart w:id="326" w:name="_Toc466882018"/>
      <w:bookmarkStart w:id="327" w:name="_Toc26354"/>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18"/>
      <w:bookmarkEnd w:id="319"/>
      <w:bookmarkEnd w:id="320"/>
      <w:bookmarkEnd w:id="321"/>
      <w:bookmarkEnd w:id="322"/>
      <w:bookmarkEnd w:id="323"/>
      <w:bookmarkEnd w:id="324"/>
      <w:bookmarkEnd w:id="325"/>
      <w:bookmarkEnd w:id="326"/>
      <w:bookmarkEnd w:id="327"/>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w:t>
      </w:r>
      <w:r>
        <w:rPr>
          <w:rFonts w:hint="eastAsia" w:ascii="宋体" w:hAnsi="宋体" w:eastAsia="宋体" w:cs="宋体"/>
          <w:b/>
          <w:color w:val="auto"/>
          <w:szCs w:val="21"/>
          <w:highlight w:val="none"/>
          <w:lang w:eastAsia="zh-CN"/>
        </w:rPr>
        <w:t>本投标人须知</w:t>
      </w:r>
      <w:r>
        <w:rPr>
          <w:rFonts w:hint="eastAsia" w:ascii="宋体" w:hAnsi="宋体" w:eastAsia="宋体" w:cs="宋体"/>
          <w:b/>
          <w:color w:val="auto"/>
          <w:szCs w:val="21"/>
          <w:highlight w:val="none"/>
        </w:rPr>
        <w:t>31</w:t>
      </w:r>
      <w:r>
        <w:rPr>
          <w:rFonts w:ascii="宋体" w:hAnsi="宋体" w:eastAsia="宋体" w:cs="宋体"/>
          <w:b/>
          <w:color w:val="auto"/>
          <w:szCs w:val="21"/>
          <w:highlight w:val="none"/>
        </w:rPr>
        <w:t>.2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eastAsia="zh-CN"/>
        </w:rPr>
        <w:t>撤</w:t>
      </w:r>
      <w:r>
        <w:rPr>
          <w:rFonts w:hint="default"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28" w:name="_Toc466882019"/>
      <w:bookmarkStart w:id="329" w:name="_Toc465358971"/>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30" w:name="_Toc486167696"/>
      <w:bookmarkStart w:id="331" w:name="_Toc10867_WPSOffice_Level3"/>
      <w:bookmarkStart w:id="332" w:name="_Toc28884"/>
      <w:bookmarkStart w:id="333" w:name="_Toc8654"/>
      <w:bookmarkStart w:id="334" w:name="_Toc32262"/>
      <w:bookmarkStart w:id="335" w:name="_Toc23672"/>
      <w:bookmarkStart w:id="336" w:name="_Toc142508347"/>
      <w:bookmarkStart w:id="337" w:name="_Toc19571425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28"/>
      <w:bookmarkEnd w:id="329"/>
      <w:bookmarkEnd w:id="330"/>
      <w:bookmarkEnd w:id="331"/>
      <w:bookmarkEnd w:id="332"/>
      <w:bookmarkEnd w:id="333"/>
      <w:bookmarkEnd w:id="334"/>
      <w:bookmarkEnd w:id="335"/>
      <w:bookmarkEnd w:id="336"/>
      <w:bookmarkEnd w:id="33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9" w:name="_Toc142508348"/>
      <w:bookmarkStart w:id="340" w:name="_Toc195714254"/>
      <w:bookmarkStart w:id="341" w:name="_Toc27936"/>
      <w:bookmarkStart w:id="342" w:name="_Toc23284"/>
      <w:bookmarkStart w:id="343" w:name="_Toc16789"/>
      <w:bookmarkStart w:id="344" w:name="_Toc16848_WPSOffice_Level2"/>
      <w:bookmarkStart w:id="345" w:name="_Toc27480"/>
      <w:bookmarkStart w:id="346" w:name="_Toc140596907"/>
      <w:bookmarkStart w:id="347" w:name="_Toc486167697"/>
      <w:r>
        <w:rPr>
          <w:rFonts w:hint="eastAsia" w:ascii="宋体" w:hAnsi="宋体" w:eastAsia="宋体" w:cs="宋体"/>
          <w:b/>
          <w:bCs/>
          <w:color w:val="auto"/>
          <w:kern w:val="44"/>
          <w:szCs w:val="21"/>
          <w:highlight w:val="none"/>
          <w:lang w:val="zh-CN"/>
        </w:rPr>
        <w:t>六、授予合同</w:t>
      </w:r>
      <w:bookmarkEnd w:id="338"/>
      <w:bookmarkEnd w:id="339"/>
      <w:bookmarkEnd w:id="340"/>
      <w:bookmarkEnd w:id="341"/>
      <w:bookmarkEnd w:id="342"/>
      <w:bookmarkEnd w:id="343"/>
      <w:bookmarkEnd w:id="344"/>
      <w:bookmarkEnd w:id="345"/>
      <w:bookmarkEnd w:id="346"/>
      <w:bookmarkEnd w:id="34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8" w:name="_Toc142508349"/>
      <w:bookmarkStart w:id="349" w:name="_Toc6401_WPSOffice_Level3"/>
      <w:bookmarkStart w:id="350" w:name="_Toc12456"/>
      <w:bookmarkStart w:id="351" w:name="_Toc31713"/>
      <w:bookmarkStart w:id="352" w:name="_Toc30988"/>
      <w:bookmarkStart w:id="353" w:name="_Toc195714255"/>
      <w:bookmarkStart w:id="354" w:name="_Toc450662881"/>
      <w:bookmarkStart w:id="355" w:name="_Toc29383"/>
      <w:bookmarkStart w:id="356" w:name="_Toc486167698"/>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8"/>
      <w:bookmarkEnd w:id="349"/>
      <w:bookmarkEnd w:id="350"/>
      <w:bookmarkEnd w:id="351"/>
      <w:bookmarkEnd w:id="352"/>
      <w:bookmarkEnd w:id="353"/>
      <w:bookmarkEnd w:id="354"/>
      <w:bookmarkEnd w:id="355"/>
      <w:bookmarkEnd w:id="356"/>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7"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8" w:name="_Toc142508350"/>
      <w:bookmarkStart w:id="359" w:name="_Toc8196"/>
      <w:bookmarkStart w:id="360" w:name="_Toc18984"/>
      <w:bookmarkStart w:id="361" w:name="_Toc486167699"/>
      <w:bookmarkStart w:id="362" w:name="_Toc195714256"/>
      <w:bookmarkStart w:id="363" w:name="_Toc29250"/>
      <w:bookmarkStart w:id="364" w:name="_Toc18405"/>
      <w:bookmarkStart w:id="365" w:name="_Toc6726_WPSOffice_Level3"/>
      <w:r>
        <w:rPr>
          <w:rFonts w:hint="eastAsia" w:ascii="宋体" w:hAnsi="宋体" w:eastAsia="宋体" w:cs="宋体"/>
          <w:color w:val="auto"/>
          <w:szCs w:val="21"/>
          <w:highlight w:val="none"/>
        </w:rPr>
        <w:t>35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57"/>
      <w:bookmarkEnd w:id="358"/>
      <w:bookmarkEnd w:id="359"/>
      <w:bookmarkEnd w:id="360"/>
      <w:bookmarkEnd w:id="361"/>
      <w:bookmarkEnd w:id="362"/>
      <w:bookmarkEnd w:id="363"/>
      <w:bookmarkEnd w:id="364"/>
      <w:bookmarkEnd w:id="365"/>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66"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7" w:name="_Toc10367"/>
      <w:bookmarkStart w:id="368" w:name="_Toc19127"/>
      <w:bookmarkStart w:id="369" w:name="_Toc195714257"/>
      <w:bookmarkStart w:id="370" w:name="_Toc142508351"/>
      <w:bookmarkStart w:id="371" w:name="_Toc18607"/>
      <w:bookmarkStart w:id="372" w:name="_Toc28020"/>
      <w:bookmarkStart w:id="373" w:name="_Toc9694_WPSOffice_Level3"/>
      <w:bookmarkStart w:id="374" w:name="_Toc486167700"/>
      <w:r>
        <w:rPr>
          <w:rFonts w:hint="eastAsia" w:ascii="宋体" w:hAnsi="宋体" w:eastAsia="宋体" w:cs="宋体"/>
          <w:color w:val="auto"/>
          <w:szCs w:val="21"/>
          <w:highlight w:val="none"/>
        </w:rPr>
        <w:t>36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66"/>
      <w:bookmarkEnd w:id="367"/>
      <w:bookmarkEnd w:id="368"/>
      <w:bookmarkEnd w:id="369"/>
      <w:bookmarkEnd w:id="370"/>
      <w:bookmarkEnd w:id="371"/>
      <w:bookmarkEnd w:id="372"/>
      <w:bookmarkEnd w:id="373"/>
      <w:bookmarkEnd w:id="374"/>
    </w:p>
    <w:p>
      <w:pPr>
        <w:tabs>
          <w:tab w:val="left" w:pos="540"/>
        </w:tabs>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540"/>
        </w:tabs>
        <w:spacing w:line="360" w:lineRule="auto"/>
        <w:ind w:left="330" w:leftChars="-100" w:right="15" w:rightChars="7" w:hanging="540"/>
        <w:rPr>
          <w:rFonts w:hint="eastAsia" w:ascii="宋体" w:hAnsi="宋体" w:eastAsia="宋体" w:cs="Times New Roman"/>
          <w:b/>
          <w:color w:val="auto"/>
          <w:szCs w:val="21"/>
          <w:highlight w:val="none"/>
          <w:u w:val="single"/>
          <w:lang w:val="zh-CN"/>
        </w:rPr>
      </w:pPr>
      <w:r>
        <w:rPr>
          <w:rFonts w:hint="eastAsia" w:ascii="宋体" w:hAnsi="宋体" w:eastAsia="宋体" w:cs="Times New Roman"/>
          <w:b/>
          <w:color w:val="auto"/>
          <w:szCs w:val="21"/>
          <w:highlight w:val="none"/>
          <w:u w:val="none"/>
          <w:lang w:val="zh-CN" w:eastAsia="zh-CN"/>
        </w:rPr>
        <w:t>36.2</w:t>
      </w:r>
      <w:r>
        <w:rPr>
          <w:rFonts w:hint="eastAsia" w:ascii="宋体" w:hAnsi="宋体" w:eastAsia="宋体" w:cs="Times New Roman"/>
          <w:b/>
          <w:color w:val="auto"/>
          <w:szCs w:val="21"/>
          <w:highlight w:val="none"/>
          <w:u w:val="none"/>
          <w:lang w:val="en-US" w:eastAsia="zh-CN"/>
        </w:rPr>
        <w:t xml:space="preserve"> </w:t>
      </w:r>
      <w:r>
        <w:rPr>
          <w:rFonts w:hint="eastAsia" w:ascii="宋体" w:hAnsi="宋体" w:eastAsia="宋体" w:cs="Times New Roman"/>
          <w:b/>
          <w:color w:val="auto"/>
          <w:szCs w:val="21"/>
          <w:highlight w:val="none"/>
          <w:u w:val="single"/>
          <w:lang w:val="zh-CN"/>
        </w:rPr>
        <w:t>在签署合同前，招标人可对中标人分项报价表</w:t>
      </w:r>
      <w:r>
        <w:rPr>
          <w:rFonts w:hint="eastAsia" w:ascii="宋体" w:hAnsi="宋体" w:eastAsia="宋体" w:cs="Times New Roman"/>
          <w:b/>
          <w:color w:val="auto"/>
          <w:szCs w:val="21"/>
          <w:highlight w:val="none"/>
          <w:u w:val="single"/>
          <w:lang w:val="en-US" w:eastAsia="zh-CN"/>
        </w:rPr>
        <w:t>及分项报价明细表</w:t>
      </w:r>
      <w:r>
        <w:rPr>
          <w:rFonts w:hint="eastAsia" w:ascii="宋体" w:hAnsi="宋体" w:eastAsia="宋体" w:cs="Times New Roman"/>
          <w:b/>
          <w:color w:val="auto"/>
          <w:szCs w:val="21"/>
          <w:highlight w:val="none"/>
          <w:u w:val="single"/>
          <w:lang w:val="zh-CN"/>
        </w:rPr>
        <w:t>内的算术性错误进行修正，修正原则为（</w:t>
      </w:r>
      <w:r>
        <w:rPr>
          <w:rFonts w:hint="eastAsia" w:ascii="宋体" w:hAnsi="宋体" w:eastAsia="宋体" w:cs="Times New Roman"/>
          <w:b/>
          <w:color w:val="auto"/>
          <w:szCs w:val="21"/>
          <w:highlight w:val="none"/>
          <w:u w:val="single"/>
          <w:lang w:val="en-US" w:eastAsia="zh-CN"/>
        </w:rPr>
        <w:t>1</w:t>
      </w:r>
      <w:r>
        <w:rPr>
          <w:rFonts w:hint="eastAsia" w:ascii="宋体" w:hAnsi="宋体" w:eastAsia="宋体" w:cs="Times New Roman"/>
          <w:b/>
          <w:color w:val="auto"/>
          <w:szCs w:val="21"/>
          <w:highlight w:val="none"/>
          <w:u w:val="single"/>
          <w:lang w:val="zh-CN"/>
        </w:rPr>
        <w:t>）当以数字表示的金额与以文字表示的金额不一致时，以文字表示的金额为准；（</w:t>
      </w:r>
      <w:r>
        <w:rPr>
          <w:rFonts w:hint="eastAsia" w:ascii="宋体" w:hAnsi="宋体" w:eastAsia="宋体" w:cs="Times New Roman"/>
          <w:b/>
          <w:color w:val="auto"/>
          <w:szCs w:val="21"/>
          <w:highlight w:val="none"/>
          <w:u w:val="single"/>
          <w:lang w:val="en-US" w:eastAsia="zh-CN"/>
        </w:rPr>
        <w:t>2</w:t>
      </w:r>
      <w:r>
        <w:rPr>
          <w:rFonts w:hint="eastAsia" w:ascii="宋体" w:hAnsi="宋体" w:eastAsia="宋体" w:cs="Times New Roman"/>
          <w:b/>
          <w:color w:val="auto"/>
          <w:szCs w:val="21"/>
          <w:highlight w:val="none"/>
          <w:u w:val="single"/>
          <w:lang w:val="zh-CN"/>
        </w:rPr>
        <w:t>）</w:t>
      </w:r>
      <w:r>
        <w:rPr>
          <w:rFonts w:hint="eastAsia" w:ascii="宋体" w:hAnsi="宋体" w:eastAsia="宋体" w:cs="Times New Roman"/>
          <w:b/>
          <w:color w:val="auto"/>
          <w:szCs w:val="21"/>
          <w:highlight w:val="none"/>
          <w:u w:val="single"/>
          <w:lang w:val="en-US" w:eastAsia="zh-CN"/>
        </w:rPr>
        <w:t>当</w:t>
      </w:r>
      <w:r>
        <w:rPr>
          <w:rFonts w:hint="eastAsia" w:ascii="宋体" w:hAnsi="宋体" w:eastAsia="宋体" w:cs="Times New Roman"/>
          <w:b/>
          <w:color w:val="auto"/>
          <w:szCs w:val="21"/>
          <w:highlight w:val="none"/>
          <w:u w:val="single"/>
          <w:lang w:val="zh-CN"/>
        </w:rPr>
        <w:t>分项报价表</w:t>
      </w:r>
      <w:r>
        <w:rPr>
          <w:rFonts w:hint="eastAsia" w:ascii="宋体" w:hAnsi="宋体" w:eastAsia="宋体" w:cs="宋体"/>
          <w:b/>
          <w:color w:val="auto"/>
          <w:sz w:val="21"/>
          <w:szCs w:val="21"/>
          <w:highlight w:val="none"/>
          <w:u w:val="single"/>
          <w:lang w:val="zh-CN"/>
        </w:rPr>
        <w:t>内各子项目的投标报价之和不等于报价信封中的投标值时，以报价信封中的投标值为准，同比例修</w:t>
      </w:r>
      <w:r>
        <w:rPr>
          <w:rFonts w:hint="eastAsia" w:ascii="宋体" w:hAnsi="宋体" w:eastAsia="宋体" w:cs="宋体"/>
          <w:b/>
          <w:color w:val="auto"/>
          <w:sz w:val="21"/>
          <w:szCs w:val="21"/>
          <w:highlight w:val="none"/>
          <w:u w:val="single"/>
        </w:rPr>
        <w:t>正</w:t>
      </w:r>
      <w:r>
        <w:rPr>
          <w:rFonts w:hint="eastAsia" w:ascii="宋体" w:hAnsi="宋体" w:eastAsia="宋体" w:cs="宋体"/>
          <w:b/>
          <w:color w:val="auto"/>
          <w:sz w:val="21"/>
          <w:szCs w:val="21"/>
          <w:highlight w:val="none"/>
          <w:u w:val="single"/>
          <w:lang w:val="zh-CN"/>
        </w:rPr>
        <w:t>表内各子项目的投标报价。（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lang w:val="zh-CN"/>
        </w:rPr>
        <w:t>）</w:t>
      </w:r>
      <w:r>
        <w:rPr>
          <w:rFonts w:hint="eastAsia" w:ascii="宋体" w:hAnsi="宋体" w:eastAsia="宋体" w:cs="Times New Roman"/>
          <w:b/>
          <w:color w:val="auto"/>
          <w:szCs w:val="21"/>
          <w:highlight w:val="none"/>
          <w:u w:val="single"/>
          <w:lang w:val="zh-CN"/>
        </w:rPr>
        <w:t>当各子项目内的各子目合价累计不等于总价（即该子项目的投标报价），保持总价不变，按比例修正各子项目内的子目合价；（</w:t>
      </w:r>
      <w:r>
        <w:rPr>
          <w:rFonts w:hint="eastAsia" w:ascii="宋体" w:hAnsi="宋体" w:eastAsia="宋体" w:cs="Times New Roman"/>
          <w:b/>
          <w:color w:val="auto"/>
          <w:szCs w:val="21"/>
          <w:highlight w:val="none"/>
          <w:u w:val="single"/>
          <w:lang w:val="en-US" w:eastAsia="zh-CN"/>
        </w:rPr>
        <w:t>4</w:t>
      </w:r>
      <w:r>
        <w:rPr>
          <w:rFonts w:hint="eastAsia" w:ascii="宋体" w:hAnsi="宋体" w:eastAsia="宋体" w:cs="Times New Roman"/>
          <w:b/>
          <w:color w:val="auto"/>
          <w:szCs w:val="21"/>
          <w:highlight w:val="none"/>
          <w:u w:val="single"/>
          <w:lang w:val="zh-CN"/>
        </w:rPr>
        <w:t>）当单价与数量的乘积不等于子目合价时，保持子目合价不变，修正单价；按前述修正原则排序依次进行修正至唯一值后的报价表经</w:t>
      </w:r>
      <w:r>
        <w:rPr>
          <w:rFonts w:hint="eastAsia" w:ascii="宋体" w:hAnsi="宋体" w:eastAsia="宋体" w:cs="Times New Roman"/>
          <w:b/>
          <w:color w:val="auto"/>
          <w:szCs w:val="21"/>
          <w:highlight w:val="none"/>
          <w:u w:val="single"/>
          <w:lang w:val="en-US" w:eastAsia="zh-CN"/>
        </w:rPr>
        <w:t>双方</w:t>
      </w:r>
      <w:r>
        <w:rPr>
          <w:rFonts w:hint="eastAsia" w:ascii="宋体" w:hAnsi="宋体" w:eastAsia="宋体" w:cs="Times New Roman"/>
          <w:b/>
          <w:color w:val="auto"/>
          <w:szCs w:val="21"/>
          <w:highlight w:val="none"/>
          <w:u w:val="single"/>
          <w:lang w:val="zh-CN"/>
        </w:rPr>
        <w:t>确认后，作为合同文件的组成部分。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8181"/>
      <w:bookmarkStart w:id="376" w:name="_Toc2841"/>
      <w:bookmarkStart w:id="377" w:name="_Toc5304"/>
      <w:bookmarkStart w:id="378" w:name="_Toc195714258"/>
      <w:bookmarkStart w:id="379" w:name="_Toc486167701"/>
      <w:bookmarkStart w:id="380" w:name="_Toc16066"/>
      <w:bookmarkStart w:id="381" w:name="_Toc142508352"/>
      <w:bookmarkStart w:id="382" w:name="_Toc10513_WPSOffice_Level3"/>
      <w:bookmarkStart w:id="383" w:name="_Toc450662887"/>
      <w:r>
        <w:rPr>
          <w:rFonts w:hint="eastAsia" w:ascii="宋体" w:hAnsi="宋体" w:eastAsia="宋体" w:cs="宋体"/>
          <w:color w:val="auto"/>
          <w:szCs w:val="21"/>
          <w:highlight w:val="none"/>
        </w:rPr>
        <w:t>37</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75"/>
      <w:bookmarkEnd w:id="376"/>
      <w:bookmarkEnd w:id="377"/>
      <w:bookmarkEnd w:id="378"/>
      <w:bookmarkEnd w:id="379"/>
      <w:bookmarkEnd w:id="380"/>
      <w:bookmarkEnd w:id="381"/>
      <w:bookmarkEnd w:id="382"/>
      <w:bookmarkEnd w:id="38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84" w:name="_Toc465358977"/>
      <w:bookmarkStart w:id="385" w:name="_Toc466882025"/>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合同价的5%，采用不可撤销银行履约保函形式的金额为</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合同价的8%，采用担保公司履约担保书形式的金额为</w:t>
      </w:r>
      <w:r>
        <w:rPr>
          <w:rFonts w:hint="eastAsia" w:ascii="宋体" w:hAnsi="宋体" w:eastAsia="宋体" w:cs="Times New Roman"/>
          <w:b/>
          <w:bCs/>
          <w:color w:val="auto"/>
          <w:szCs w:val="21"/>
          <w:highlight w:val="none"/>
          <w:u w:val="single"/>
          <w:lang w:val="en-US" w:eastAsia="zh-CN"/>
        </w:rPr>
        <w:t>暂定</w:t>
      </w:r>
      <w:r>
        <w:rPr>
          <w:rFonts w:hint="eastAsia" w:ascii="宋体" w:hAnsi="宋体" w:eastAsia="宋体" w:cs="Times New Roman"/>
          <w:b/>
          <w:bCs/>
          <w:color w:val="auto"/>
          <w:szCs w:val="21"/>
          <w:highlight w:val="none"/>
          <w:u w:val="single"/>
          <w:lang w:val="zh-CN"/>
        </w:rPr>
        <w:t>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37.2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w:t>
      </w:r>
      <w:r>
        <w:rPr>
          <w:rFonts w:hint="eastAsia" w:ascii="宋体" w:hAnsi="宋体" w:eastAsia="宋体" w:cs="Times New Roman"/>
          <w:color w:val="auto"/>
          <w:kern w:val="0"/>
          <w:szCs w:val="21"/>
          <w:highlight w:val="none"/>
          <w:lang w:val="en-US" w:eastAsia="zh-CN"/>
        </w:rPr>
        <w:t>还</w:t>
      </w:r>
      <w:r>
        <w:rPr>
          <w:rFonts w:hint="eastAsia" w:ascii="宋体" w:hAnsi="宋体" w:eastAsia="宋体" w:cs="Times New Roman"/>
          <w:color w:val="auto"/>
          <w:kern w:val="0"/>
          <w:szCs w:val="21"/>
          <w:highlight w:val="none"/>
        </w:rPr>
        <w:t>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w:t>
      </w:r>
      <w:r>
        <w:rPr>
          <w:rFonts w:ascii="宋体" w:hAnsi="宋体" w:eastAsia="宋体" w:cs="Times New Roman"/>
          <w:color w:val="auto"/>
          <w:kern w:val="0"/>
          <w:szCs w:val="21"/>
          <w:highlight w:val="none"/>
        </w:rPr>
        <w:t>）在合同履行期间，因中标人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2</w:t>
      </w:r>
      <w:r>
        <w:rPr>
          <w:rFonts w:ascii="宋体" w:hAnsi="宋体" w:eastAsia="宋体" w:cs="Times New Roman"/>
          <w:color w:val="auto"/>
          <w:kern w:val="0"/>
          <w:szCs w:val="21"/>
          <w:highlight w:val="none"/>
        </w:rPr>
        <w:t>）在合同履行期间，中标人违约产生的违约金、赔偿、罚款或其他应付费用等款项，招标人有权直接从未付款项中直接扣除或</w:t>
      </w:r>
      <w:r>
        <w:rPr>
          <w:rFonts w:hint="eastAsia" w:ascii="宋体" w:hAnsi="宋体" w:eastAsia="宋体" w:cs="Times New Roman"/>
          <w:color w:val="auto"/>
          <w:kern w:val="0"/>
          <w:szCs w:val="21"/>
          <w:highlight w:val="none"/>
          <w:lang w:val="en-US" w:eastAsia="zh-CN"/>
        </w:rPr>
        <w:t>使用</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ascii="宋体" w:hAnsi="宋体" w:eastAsia="宋体" w:cs="Times New Roman"/>
          <w:color w:val="auto"/>
          <w:kern w:val="0"/>
          <w:szCs w:val="21"/>
          <w:highlight w:val="none"/>
        </w:rPr>
        <w:t>）其他根据本合同约定或法律规定，招标人可启用履约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在中标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重新提供前招标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无需向中标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支付合同款项，且不视为招标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违约。</w:t>
      </w:r>
    </w:p>
    <w:p>
      <w:pPr>
        <w:autoSpaceDE w:val="0"/>
        <w:autoSpaceDN w:val="0"/>
        <w:adjustRightInd w:val="0"/>
        <w:snapToGrid w:val="0"/>
        <w:spacing w:line="360" w:lineRule="auto"/>
        <w:ind w:left="420" w:hanging="420" w:hanging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w:t>
      </w:r>
      <w:r>
        <w:rPr>
          <w:rFonts w:hint="eastAsia" w:ascii="宋体" w:hAnsi="宋体" w:eastAsia="宋体" w:cs="宋体"/>
          <w:color w:val="auto"/>
          <w:kern w:val="0"/>
          <w:szCs w:val="21"/>
          <w:highlight w:val="none"/>
          <w:lang w:bidi="ar"/>
        </w:rPr>
        <w:t>在</w:t>
      </w:r>
      <w:r>
        <w:rPr>
          <w:rFonts w:hint="eastAsia" w:ascii="宋体" w:hAnsi="宋体" w:eastAsia="宋体" w:cs="Times New Roman"/>
          <w:color w:val="auto"/>
          <w:kern w:val="0"/>
          <w:szCs w:val="21"/>
          <w:highlight w:val="none"/>
        </w:rPr>
        <w:t>中标人</w:t>
      </w:r>
      <w:r>
        <w:rPr>
          <w:rFonts w:hint="eastAsia" w:ascii="宋体" w:hAnsi="宋体" w:eastAsia="宋体" w:cs="宋体"/>
          <w:color w:val="auto"/>
          <w:kern w:val="0"/>
          <w:szCs w:val="21"/>
          <w:highlight w:val="none"/>
          <w:lang w:bidi="ar"/>
        </w:rPr>
        <w:t>补足前，</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1"/>
          <w:highlight w:val="none"/>
          <w:lang w:bidi="ar"/>
        </w:rPr>
        <w:t>无需向</w:t>
      </w:r>
      <w:r>
        <w:rPr>
          <w:rFonts w:hint="eastAsia" w:ascii="宋体" w:hAnsi="宋体" w:eastAsia="宋体" w:cs="Times New Roman"/>
          <w:color w:val="auto"/>
          <w:kern w:val="0"/>
          <w:szCs w:val="21"/>
          <w:highlight w:val="none"/>
        </w:rPr>
        <w:t>中标人</w:t>
      </w:r>
      <w:r>
        <w:rPr>
          <w:rFonts w:hint="eastAsia" w:ascii="宋体" w:hAnsi="宋体" w:eastAsia="宋体" w:cs="宋体"/>
          <w:color w:val="auto"/>
          <w:kern w:val="0"/>
          <w:szCs w:val="21"/>
          <w:highlight w:val="none"/>
          <w:lang w:bidi="ar"/>
        </w:rPr>
        <w:t>支付合同款项，且不视为</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1"/>
          <w:highlight w:val="none"/>
          <w:lang w:bidi="ar"/>
        </w:rPr>
        <w:t>违约。如</w:t>
      </w:r>
      <w:r>
        <w:rPr>
          <w:rFonts w:hint="eastAsia" w:ascii="宋体" w:hAnsi="宋体" w:eastAsia="宋体" w:cs="Times New Roman"/>
          <w:color w:val="auto"/>
          <w:kern w:val="0"/>
          <w:szCs w:val="21"/>
          <w:highlight w:val="none"/>
        </w:rPr>
        <w:t>中标人</w:t>
      </w:r>
      <w:r>
        <w:rPr>
          <w:rFonts w:hint="eastAsia" w:ascii="宋体" w:hAnsi="宋体" w:eastAsia="宋体" w:cs="宋体"/>
          <w:color w:val="auto"/>
          <w:kern w:val="0"/>
          <w:szCs w:val="21"/>
          <w:highlight w:val="none"/>
          <w:lang w:bidi="ar"/>
        </w:rPr>
        <w:t>仍不补足的，</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1"/>
          <w:highlight w:val="none"/>
          <w:lang w:bidi="ar"/>
        </w:rPr>
        <w:t>有权单方解除合同</w:t>
      </w:r>
      <w:r>
        <w:rPr>
          <w:rFonts w:hint="eastAsia" w:ascii="宋体" w:hAnsi="宋体" w:eastAsia="宋体" w:cs="宋体"/>
          <w:color w:val="auto"/>
          <w:sz w:val="21"/>
          <w:szCs w:val="21"/>
          <w:highlight w:val="none"/>
        </w:rPr>
        <w:t>，违约金可直接从未付合同款或履约担保中扣除</w:t>
      </w:r>
      <w:r>
        <w:rPr>
          <w:rFonts w:hint="eastAsia" w:ascii="宋体" w:hAnsi="宋体" w:eastAsia="宋体" w:cs="宋体"/>
          <w:color w:val="auto"/>
          <w:kern w:val="0"/>
          <w:szCs w:val="21"/>
          <w:highlight w:val="none"/>
          <w:lang w:bidi="ar"/>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向中标人支付全部款项（除质保金）后二十八（28）日内保持有效。</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 0401 0000 1571 27</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37.7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向中标人支付全部货款（除质保金）后二十八（28）日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w:t>
      </w:r>
      <w:r>
        <w:rPr>
          <w:rFonts w:hint="eastAsia" w:ascii="宋体" w:hAnsi="宋体" w:eastAsia="宋体" w:cs="宋体"/>
          <w:color w:val="auto"/>
          <w:kern w:val="0"/>
          <w:szCs w:val="21"/>
          <w:highlight w:val="none"/>
          <w:lang w:bidi="ar"/>
        </w:rPr>
        <w:t>并在扣除相应的费用（若有）</w:t>
      </w:r>
      <w:r>
        <w:rPr>
          <w:rFonts w:hint="eastAsia" w:ascii="宋体" w:hAnsi="宋体" w:eastAsia="宋体" w:cs="宋体"/>
          <w:color w:val="auto"/>
          <w:kern w:val="0"/>
          <w:szCs w:val="21"/>
          <w:highlight w:val="none"/>
        </w:rPr>
        <w:t>后，办理履约担保退还手续，退回时一律以银行转账的形式无息退回到中标人的账户。</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6" w:name="_Toc12300"/>
      <w:bookmarkStart w:id="387" w:name="_Toc10548"/>
      <w:bookmarkStart w:id="388" w:name="_Toc142508353"/>
      <w:bookmarkStart w:id="389" w:name="_Toc27162"/>
      <w:bookmarkStart w:id="390" w:name="_Toc195714259"/>
      <w:bookmarkStart w:id="391" w:name="_Toc486167702"/>
      <w:bookmarkStart w:id="392" w:name="_Toc291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384"/>
      <w:bookmarkEnd w:id="385"/>
      <w:bookmarkEnd w:id="386"/>
      <w:bookmarkEnd w:id="387"/>
      <w:bookmarkEnd w:id="388"/>
      <w:bookmarkEnd w:id="389"/>
      <w:bookmarkEnd w:id="390"/>
      <w:bookmarkEnd w:id="391"/>
      <w:bookmarkEnd w:id="392"/>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3"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4" w:name="_Toc2401"/>
      <w:bookmarkStart w:id="395" w:name="_Toc1247"/>
      <w:bookmarkStart w:id="396" w:name="_Toc23218"/>
      <w:bookmarkStart w:id="397" w:name="_Toc486167703"/>
      <w:bookmarkStart w:id="398" w:name="_Toc195714260"/>
      <w:bookmarkStart w:id="399" w:name="_Toc28921_WPSOffice_Level3"/>
      <w:bookmarkStart w:id="400" w:name="_Toc142508354"/>
      <w:bookmarkStart w:id="401" w:name="_Toc23619"/>
      <w:r>
        <w:rPr>
          <w:rFonts w:hint="eastAsia" w:ascii="宋体" w:hAnsi="宋体" w:eastAsia="宋体" w:cs="宋体"/>
          <w:color w:val="auto"/>
          <w:szCs w:val="21"/>
          <w:highlight w:val="none"/>
        </w:rPr>
        <w:t>39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93"/>
      <w:bookmarkEnd w:id="394"/>
      <w:bookmarkEnd w:id="395"/>
      <w:bookmarkEnd w:id="396"/>
      <w:bookmarkEnd w:id="397"/>
      <w:bookmarkEnd w:id="398"/>
      <w:bookmarkEnd w:id="399"/>
      <w:bookmarkEnd w:id="400"/>
      <w:bookmarkEnd w:id="401"/>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 中标人应按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w:t>
      </w:r>
      <w:r>
        <w:rPr>
          <w:rFonts w:hint="eastAsia" w:ascii="宋体" w:hAnsi="宋体" w:eastAsia="宋体" w:cs="宋体"/>
          <w:color w:val="auto"/>
          <w:szCs w:val="21"/>
          <w:highlight w:val="none"/>
          <w:lang w:val="zh-CN"/>
        </w:rPr>
        <w:t>中标价</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类招标代理服务收费。</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 中标人收到中标通知后，须在15日内向招标代理机构交纳中标服务费用。</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olor w:val="auto"/>
          <w:sz w:val="21"/>
          <w:szCs w:val="21"/>
          <w:highlight w:val="none"/>
        </w:rPr>
        <w:t>三方诚信招标有限公司东莞分公司</w:t>
      </w:r>
      <w:r>
        <w:rPr>
          <w:rFonts w:hint="eastAsia" w:ascii="宋体" w:hAnsi="宋体" w:eastAsia="宋体" w:cs="宋体"/>
          <w:color w:val="auto"/>
          <w:szCs w:val="21"/>
          <w:highlight w:val="none"/>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银行帐号：2010021309900018461                                   </w:t>
      </w:r>
    </w:p>
    <w:p>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.4 中标人如未按第3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.1款、第3</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.2款规定办理，将不予退还其投标保证金。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2"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3" w:name="_Toc32148"/>
      <w:bookmarkStart w:id="404" w:name="_Toc1528"/>
      <w:bookmarkStart w:id="405" w:name="_Toc6764_WPSOffice_Level3"/>
      <w:bookmarkStart w:id="406" w:name="_Toc195714261"/>
      <w:bookmarkStart w:id="407" w:name="_Toc6796"/>
      <w:bookmarkStart w:id="408" w:name="_Toc21985"/>
      <w:bookmarkStart w:id="409" w:name="_Toc142508355"/>
      <w:bookmarkStart w:id="410" w:name="_Toc486167704"/>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02"/>
      <w:bookmarkEnd w:id="403"/>
      <w:bookmarkEnd w:id="404"/>
      <w:bookmarkEnd w:id="405"/>
      <w:bookmarkEnd w:id="406"/>
      <w:bookmarkEnd w:id="407"/>
      <w:bookmarkEnd w:id="408"/>
      <w:bookmarkEnd w:id="409"/>
      <w:bookmarkEnd w:id="410"/>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11" w:name="_Toc31106_WPSOffice_Level3"/>
      <w:bookmarkStart w:id="412" w:name="_Toc486167705"/>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13" w:name="_Toc195714262"/>
      <w:bookmarkStart w:id="414" w:name="_Toc24547"/>
      <w:bookmarkStart w:id="415" w:name="_Toc8619"/>
      <w:bookmarkStart w:id="416" w:name="_Toc12802"/>
      <w:bookmarkStart w:id="417" w:name="_Toc10070"/>
      <w:bookmarkStart w:id="418" w:name="_Toc142508356"/>
      <w:r>
        <w:rPr>
          <w:rFonts w:hint="eastAsia" w:ascii="宋体" w:hAnsi="宋体" w:eastAsia="宋体" w:cs="宋体"/>
          <w:b/>
          <w:color w:val="auto"/>
          <w:szCs w:val="21"/>
          <w:highlight w:val="none"/>
        </w:rPr>
        <w:t>41</w:t>
      </w:r>
      <w:r>
        <w:rPr>
          <w:rFonts w:ascii="宋体" w:hAnsi="宋体" w:eastAsia="宋体" w:cs="宋体"/>
          <w:b/>
          <w:color w:val="auto"/>
          <w:szCs w:val="21"/>
          <w:highlight w:val="none"/>
        </w:rPr>
        <w:t xml:space="preserve"> 招标相关补充约定</w:t>
      </w:r>
      <w:bookmarkEnd w:id="413"/>
      <w:bookmarkEnd w:id="414"/>
      <w:bookmarkEnd w:id="415"/>
      <w:bookmarkEnd w:id="416"/>
      <w:bookmarkEnd w:id="417"/>
      <w:bookmarkEnd w:id="418"/>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41</w:t>
      </w:r>
      <w:r>
        <w:rPr>
          <w:rFonts w:ascii="宋体" w:hAnsi="宋体" w:eastAsia="宋体" w:cs="Times New Roman"/>
          <w:b/>
          <w:color w:val="auto"/>
          <w:szCs w:val="21"/>
          <w:highlight w:val="none"/>
        </w:rPr>
        <w:t>.1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19" w:name="_Toc142508357"/>
      <w:bookmarkStart w:id="420" w:name="_Toc29758"/>
      <w:bookmarkStart w:id="421" w:name="_Toc16926"/>
      <w:bookmarkStart w:id="422" w:name="_Toc26594"/>
      <w:bookmarkStart w:id="423" w:name="_Toc18453"/>
      <w:bookmarkStart w:id="424" w:name="_Toc195714263"/>
      <w:r>
        <w:rPr>
          <w:rFonts w:hint="eastAsia" w:ascii="宋体" w:hAnsi="宋体" w:eastAsia="宋体" w:cs="宋体"/>
          <w:color w:val="auto"/>
          <w:szCs w:val="21"/>
          <w:highlight w:val="none"/>
        </w:rPr>
        <w:t>42 本次招标活动的最终解释权归招标代理机构及招标人所有。</w:t>
      </w:r>
      <w:bookmarkEnd w:id="411"/>
      <w:bookmarkEnd w:id="412"/>
      <w:bookmarkEnd w:id="419"/>
      <w:bookmarkEnd w:id="420"/>
      <w:bookmarkEnd w:id="421"/>
      <w:bookmarkEnd w:id="422"/>
      <w:bookmarkEnd w:id="423"/>
      <w:bookmarkEnd w:id="424"/>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25" w:name="_Toc21446"/>
      <w:bookmarkStart w:id="426" w:name="_Toc28303"/>
      <w:bookmarkStart w:id="427" w:name="_Toc195714264"/>
      <w:bookmarkStart w:id="428" w:name="_Toc486167706"/>
      <w:bookmarkStart w:id="429" w:name="_Toc27939_WPSOffice_Level1"/>
      <w:bookmarkStart w:id="430" w:name="_Toc142508358"/>
      <w:bookmarkStart w:id="431" w:name="_Toc450662891"/>
      <w:bookmarkStart w:id="432" w:name="_Toc13875"/>
      <w:bookmarkStart w:id="433" w:name="_Toc14879"/>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投标人应注意本《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本用户需求书中所有列出的相关货物技术要求、品牌均不是唯一指定，仅作参考，即投标人可就货物提出替代标准，只要投标人提供的货物满足招标人的功能要求、相当于（或优于）规定的货物品质和性能等技术参数要求，并提供满足本用户需求书要求的证明材料，则视为合格。但凡标有“★”的地方均被视为重要的技术指标要求或性能要求，投标人要特别加以注意，必须对此回答并完全满足这些要求，否则若有一项带“★”的指标未响应或不满足，视为投标文件对招标文件未做出实质性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3、本次招标范围为本项目的设备采购及安装（本需求书招标范围）。本需求书“供货及安装界限”旨在约定本项目设备的供货、安装、调试范围。</w:t>
      </w:r>
    </w:p>
    <w:p>
      <w:pPr>
        <w:pStyle w:val="19"/>
        <w:spacing w:line="360" w:lineRule="auto"/>
        <w:jc w:val="left"/>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 xml:space="preserve">    4.投标人应充分考虑春节及各类法定节假日的影响，合理制定工期计划，确保按照投标人投标时承诺的时间完成本项目所有货物的供货、安装等工作，且符合本次招标范围及技术性能等要求。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5、用户需求书组成及解释顺序。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用户需求书由七节内容组成，第一节提供了项目的基本情况及实施目标，第二节为总体技术要求，第三节为设备详细技术要求，第四节为设备安装、调试及移交要求，第五节为性能考核及质量保证，第六节为设备其他要求，第七节为资料要求及招标设计图纸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如本用户需求书的技术要求和招标图纸表明的内容不一致，应以用户需求书技术要求说明为准；如本用户需求书中各类设备、材料、仪表、元器件的品牌要求与设备参考品牌汇总表不一致，应以设备参考品牌汇总表为准；如用户需求书中第二节的总体技术要求与第三节的设备详细技术要求不一致的，应以详细技术要求为准。以上内容最终解释权归招标人所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numPr>
          <w:ilvl w:val="0"/>
          <w:numId w:val="0"/>
        </w:numPr>
        <w:spacing w:line="360" w:lineRule="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b/>
          <w:bCs/>
          <w:color w:val="auto"/>
          <w:highlight w:val="none"/>
          <w:lang w:val="en-US" w:eastAsia="zh-CN"/>
        </w:rPr>
      </w:pPr>
      <w:r>
        <w:rPr>
          <w:rFonts w:hint="eastAsia"/>
          <w:b/>
          <w:bCs/>
          <w:color w:val="auto"/>
          <w:highlight w:val="none"/>
          <w:lang w:val="en-US" w:eastAsia="zh-CN"/>
        </w:rPr>
        <w:t>第一节 项目的基本情况及实施目标</w:t>
      </w:r>
    </w:p>
    <w:p>
      <w:pPr>
        <w:numPr>
          <w:ilvl w:val="0"/>
          <w:numId w:val="0"/>
        </w:numPr>
        <w:spacing w:line="360" w:lineRule="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1.1.项目概况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（1）项目名称：东莞市长安新区污水处理厂原位技术升级设备采购及安装项目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基本情况：东莞市长安新区污水处理厂现状设计规模为20.0万m3/d，总变化系数1.30，污水处理主体工艺采用改良AAO工艺，因现状出水水质执行标准比原设计标准更严格，现状进水水质部分指标已频繁超出原设计水质限值，长安新区污水处理厂难以维持满负荷运行状态。针对长安新区厂现状面临的进水浓度超高、异常进水冲击频繁等问题，本项目实施后对长安新区污水处理厂进行提标扩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实施目标：结合长安新区污水处理厂用地现状和提标扩容目标，本项目拟采用原位技术升级形式，不新建提标构筑物，技术路线推荐采用“粉末载体原位技术”，通过增加生化系统内的活性生物量，对现状处理构筑物进行充分挖潜，实现原位提标扩容，提高设计进出水水质标准，提升污染物去除总量。</w:t>
      </w:r>
      <w:r>
        <w:rPr>
          <w:rFonts w:hint="default" w:ascii="宋体" w:hAnsi="宋体" w:eastAsia="宋体" w:cs="宋体"/>
          <w:color w:val="auto"/>
          <w:sz w:val="21"/>
          <w:szCs w:val="21"/>
          <w:highlight w:val="none"/>
          <w:lang w:val="en-US" w:eastAsia="zh-CN"/>
        </w:rPr>
        <w:t>长安新区污水处理厂完成原位</w:t>
      </w:r>
      <w:r>
        <w:rPr>
          <w:rFonts w:hint="eastAsia" w:ascii="宋体" w:hAnsi="宋体" w:eastAsia="宋体" w:cs="宋体"/>
          <w:color w:val="auto"/>
          <w:sz w:val="21"/>
          <w:szCs w:val="21"/>
          <w:highlight w:val="none"/>
          <w:lang w:val="en-US" w:eastAsia="zh"/>
        </w:rPr>
        <w:t>技术升级</w:t>
      </w:r>
      <w:r>
        <w:rPr>
          <w:rFonts w:hint="default"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val="en-US" w:eastAsia="zh-CN"/>
        </w:rPr>
        <w:t>具备超负荷稳定生产能力，</w:t>
      </w:r>
      <w:r>
        <w:rPr>
          <w:rFonts w:hint="default" w:ascii="宋体" w:hAnsi="宋体" w:eastAsia="宋体" w:cs="宋体"/>
          <w:color w:val="auto"/>
          <w:sz w:val="21"/>
          <w:szCs w:val="21"/>
          <w:highlight w:val="none"/>
          <w:lang w:val="en-US" w:eastAsia="zh-CN"/>
        </w:rPr>
        <w:t>在设计正常进水条件</w:t>
      </w:r>
      <w:r>
        <w:rPr>
          <w:rFonts w:hint="eastAsia" w:ascii="宋体" w:hAnsi="宋体" w:eastAsia="宋体" w:cs="宋体"/>
          <w:color w:val="auto"/>
          <w:sz w:val="21"/>
          <w:szCs w:val="21"/>
          <w:highlight w:val="none"/>
          <w:lang w:val="en-US" w:eastAsia="zh-CN"/>
        </w:rPr>
        <w:t>下（SS除外）</w:t>
      </w:r>
      <w:r>
        <w:rPr>
          <w:rFonts w:hint="default" w:ascii="宋体" w:hAnsi="宋体" w:eastAsia="宋体" w:cs="宋体"/>
          <w:color w:val="auto"/>
          <w:sz w:val="21"/>
          <w:szCs w:val="21"/>
          <w:highlight w:val="none"/>
          <w:lang w:val="en-US" w:eastAsia="zh-CN"/>
        </w:rPr>
        <w:t>，长安新区污水处理厂</w:t>
      </w:r>
      <w:r>
        <w:rPr>
          <w:rFonts w:hint="eastAsia" w:ascii="宋体" w:hAnsi="宋体" w:eastAsia="宋体" w:cs="宋体"/>
          <w:color w:val="auto"/>
          <w:sz w:val="21"/>
          <w:szCs w:val="21"/>
          <w:highlight w:val="none"/>
          <w:lang w:val="en-US" w:eastAsia="zh-CN"/>
        </w:rPr>
        <w:t>超负荷</w:t>
      </w:r>
      <w:r>
        <w:rPr>
          <w:rFonts w:hint="default" w:ascii="宋体" w:hAnsi="宋体" w:eastAsia="宋体" w:cs="宋体"/>
          <w:color w:val="auto"/>
          <w:sz w:val="21"/>
          <w:szCs w:val="21"/>
          <w:highlight w:val="none"/>
          <w:lang w:val="en-US" w:eastAsia="zh-CN"/>
        </w:rPr>
        <w:t>平均处理能力稳定提升至23万吨/日，最大处理能力可达26万吨/日。总体改造思路如下：预处理（设备更新）→生化池（原位</w:t>
      </w:r>
      <w:r>
        <w:rPr>
          <w:rFonts w:hint="eastAsia" w:ascii="宋体" w:hAnsi="宋体" w:eastAsia="宋体" w:cs="宋体"/>
          <w:color w:val="auto"/>
          <w:sz w:val="21"/>
          <w:szCs w:val="21"/>
          <w:highlight w:val="none"/>
          <w:lang w:val="en-US" w:eastAsia="zh"/>
        </w:rPr>
        <w:t>技术升级</w:t>
      </w:r>
      <w:r>
        <w:rPr>
          <w:rFonts w:hint="default" w:ascii="宋体" w:hAnsi="宋体" w:eastAsia="宋体" w:cs="宋体"/>
          <w:color w:val="auto"/>
          <w:sz w:val="21"/>
          <w:szCs w:val="21"/>
          <w:highlight w:val="none"/>
          <w:lang w:val="en-US" w:eastAsia="zh-CN"/>
        </w:rPr>
        <w:t>+设备更新）→二沉池及污泥泵房（设备更新）→深度处理（设备更新）。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1.2.设计进水水质及出水水质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本项目提高长安新区污水处理厂设计进水水质如下：</w:t>
      </w:r>
    </w:p>
    <w:tbl>
      <w:tblPr>
        <w:tblStyle w:val="44"/>
        <w:tblW w:w="442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189"/>
        <w:gridCol w:w="1189"/>
        <w:gridCol w:w="1093"/>
        <w:gridCol w:w="906"/>
        <w:gridCol w:w="1189"/>
        <w:gridCol w:w="804"/>
        <w:gridCol w:w="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053"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水质指标</w:t>
            </w:r>
          </w:p>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类别</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pH</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COD</w:t>
            </w:r>
            <w:r>
              <w:rPr>
                <w:rFonts w:hint="default" w:ascii="Times New Roman" w:hAnsi="Times New Roman" w:eastAsia="宋体" w:cs="Times New Roman"/>
                <w:bCs/>
                <w:color w:val="auto"/>
                <w:sz w:val="21"/>
                <w:szCs w:val="21"/>
                <w:highlight w:val="none"/>
                <w:vertAlign w:val="subscript"/>
                <w:lang w:val="en-US"/>
              </w:rPr>
              <w:t>Cr</w:t>
            </w:r>
          </w:p>
        </w:tc>
        <w:tc>
          <w:tcPr>
            <w:tcW w:w="595"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BOD</w:t>
            </w:r>
            <w:r>
              <w:rPr>
                <w:rFonts w:hint="default" w:ascii="Times New Roman" w:hAnsi="Times New Roman" w:eastAsia="宋体" w:cs="Times New Roman"/>
                <w:bCs/>
                <w:color w:val="auto"/>
                <w:sz w:val="21"/>
                <w:szCs w:val="21"/>
                <w:highlight w:val="none"/>
                <w:vertAlign w:val="subscript"/>
                <w:lang w:val="en-US"/>
              </w:rPr>
              <w:t>5</w:t>
            </w:r>
          </w:p>
        </w:tc>
        <w:tc>
          <w:tcPr>
            <w:tcW w:w="494"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SS</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NH</w:t>
            </w:r>
            <w:r>
              <w:rPr>
                <w:rFonts w:hint="default" w:ascii="Times New Roman" w:hAnsi="Times New Roman" w:eastAsia="宋体" w:cs="Times New Roman"/>
                <w:bCs/>
                <w:color w:val="auto"/>
                <w:sz w:val="21"/>
                <w:szCs w:val="21"/>
                <w:highlight w:val="none"/>
                <w:vertAlign w:val="subscript"/>
                <w:lang w:val="en-US"/>
              </w:rPr>
              <w:t>3</w:t>
            </w:r>
            <w:r>
              <w:rPr>
                <w:rFonts w:hint="default" w:ascii="Times New Roman" w:hAnsi="Times New Roman" w:eastAsia="宋体" w:cs="Times New Roman"/>
                <w:bCs/>
                <w:color w:val="auto"/>
                <w:sz w:val="21"/>
                <w:szCs w:val="21"/>
                <w:highlight w:val="none"/>
                <w:lang w:val="en-US"/>
              </w:rPr>
              <w:sym w:font="Symbol" w:char="F02D"/>
            </w:r>
            <w:r>
              <w:rPr>
                <w:rFonts w:hint="default" w:ascii="Times New Roman" w:hAnsi="Times New Roman" w:eastAsia="宋体" w:cs="Times New Roman"/>
                <w:bCs/>
                <w:color w:val="auto"/>
                <w:sz w:val="21"/>
                <w:szCs w:val="21"/>
                <w:highlight w:val="none"/>
                <w:lang w:val="en-US"/>
              </w:rPr>
              <w:t>N</w:t>
            </w:r>
          </w:p>
        </w:tc>
        <w:tc>
          <w:tcPr>
            <w:tcW w:w="43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TN</w:t>
            </w:r>
          </w:p>
        </w:tc>
        <w:tc>
          <w:tcPr>
            <w:tcW w:w="476"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53"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设计进水水质（mg/L）</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6~9</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2</w:t>
            </w:r>
            <w:r>
              <w:rPr>
                <w:rFonts w:hint="default" w:ascii="Times New Roman" w:hAnsi="Times New Roman" w:eastAsia="宋体" w:cs="Times New Roman"/>
                <w:bCs/>
                <w:color w:val="auto"/>
                <w:sz w:val="21"/>
                <w:szCs w:val="21"/>
                <w:highlight w:val="none"/>
                <w:lang w:val="en-US" w:eastAsia="zh-CN"/>
              </w:rPr>
              <w:t>60</w:t>
            </w:r>
          </w:p>
        </w:tc>
        <w:tc>
          <w:tcPr>
            <w:tcW w:w="595"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1</w:t>
            </w:r>
            <w:r>
              <w:rPr>
                <w:rFonts w:hint="default" w:ascii="Times New Roman" w:hAnsi="Times New Roman" w:eastAsia="宋体" w:cs="Times New Roman"/>
                <w:bCs/>
                <w:color w:val="auto"/>
                <w:sz w:val="21"/>
                <w:szCs w:val="21"/>
                <w:highlight w:val="none"/>
                <w:lang w:val="en-US" w:eastAsia="zh-CN"/>
              </w:rPr>
              <w:t>30</w:t>
            </w:r>
          </w:p>
        </w:tc>
        <w:tc>
          <w:tcPr>
            <w:tcW w:w="494"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180</w:t>
            </w:r>
          </w:p>
        </w:tc>
        <w:tc>
          <w:tcPr>
            <w:tcW w:w="64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eastAsia="zh-CN"/>
              </w:rPr>
              <w:t>30</w:t>
            </w:r>
          </w:p>
        </w:tc>
        <w:tc>
          <w:tcPr>
            <w:tcW w:w="438"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eastAsia="zh-CN"/>
              </w:rPr>
              <w:t>40</w:t>
            </w:r>
          </w:p>
        </w:tc>
        <w:tc>
          <w:tcPr>
            <w:tcW w:w="476" w:type="pct"/>
            <w:noWrap w:val="0"/>
            <w:vAlign w:val="center"/>
          </w:tcPr>
          <w:p>
            <w:pPr>
              <w:pStyle w:val="215"/>
              <w:keepNext w:val="0"/>
              <w:keepLines w:val="0"/>
              <w:suppressLineNumbers w:val="0"/>
              <w:snapToGrid/>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eastAsia="zh-CN"/>
              </w:rPr>
              <w:t>6</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提高长安新区污水处理厂设计出水水质执行《城镇污水处理污染物排放标准》（GB18918-2002）一级A标准和广东省地方标准《水污染物排放限值》（DB44/26-2001）的第二时段一级标准以及《茅洲河流域水污染物排放标准》（DB44/2130-2018）的较严值，具体如下：</w:t>
      </w:r>
    </w:p>
    <w:tbl>
      <w:tblPr>
        <w:tblStyle w:val="44"/>
        <w:tblW w:w="446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08"/>
        <w:gridCol w:w="1408"/>
        <w:gridCol w:w="1097"/>
        <w:gridCol w:w="770"/>
        <w:gridCol w:w="1340"/>
        <w:gridCol w:w="767"/>
        <w:gridCol w:w="7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35"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水质指标</w:t>
            </w:r>
          </w:p>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类别</w:t>
            </w:r>
          </w:p>
        </w:tc>
        <w:tc>
          <w:tcPr>
            <w:tcW w:w="76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pH</w:t>
            </w:r>
          </w:p>
        </w:tc>
        <w:tc>
          <w:tcPr>
            <w:tcW w:w="76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COD</w:t>
            </w:r>
            <w:r>
              <w:rPr>
                <w:rFonts w:hint="default" w:ascii="Times New Roman" w:hAnsi="Times New Roman" w:eastAsia="宋体" w:cs="Times New Roman"/>
                <w:color w:val="auto"/>
                <w:sz w:val="21"/>
                <w:szCs w:val="21"/>
                <w:highlight w:val="none"/>
                <w:vertAlign w:val="subscript"/>
                <w:lang w:val="en-US"/>
              </w:rPr>
              <w:t>Cr</w:t>
            </w:r>
          </w:p>
        </w:tc>
        <w:tc>
          <w:tcPr>
            <w:tcW w:w="592"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BOD</w:t>
            </w:r>
            <w:r>
              <w:rPr>
                <w:rFonts w:hint="default" w:ascii="Times New Roman" w:hAnsi="Times New Roman" w:eastAsia="宋体" w:cs="Times New Roman"/>
                <w:color w:val="auto"/>
                <w:sz w:val="21"/>
                <w:szCs w:val="21"/>
                <w:highlight w:val="none"/>
                <w:vertAlign w:val="subscript"/>
                <w:lang w:val="en-US"/>
              </w:rPr>
              <w:t>5</w:t>
            </w:r>
          </w:p>
        </w:tc>
        <w:tc>
          <w:tcPr>
            <w:tcW w:w="416"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SS</w:t>
            </w:r>
          </w:p>
        </w:tc>
        <w:tc>
          <w:tcPr>
            <w:tcW w:w="723"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NH</w:t>
            </w:r>
            <w:r>
              <w:rPr>
                <w:rFonts w:hint="default" w:ascii="Times New Roman" w:hAnsi="Times New Roman" w:eastAsia="宋体" w:cs="Times New Roman"/>
                <w:color w:val="auto"/>
                <w:sz w:val="21"/>
                <w:szCs w:val="21"/>
                <w:highlight w:val="none"/>
                <w:vertAlign w:val="subscript"/>
                <w:lang w:val="en-US"/>
              </w:rPr>
              <w:t>3</w:t>
            </w:r>
            <w:r>
              <w:rPr>
                <w:rFonts w:hint="default" w:ascii="Times New Roman" w:hAnsi="Times New Roman" w:eastAsia="宋体" w:cs="Times New Roman"/>
                <w:color w:val="auto"/>
                <w:sz w:val="21"/>
                <w:szCs w:val="21"/>
                <w:highlight w:val="none"/>
                <w:lang w:val="en-US"/>
              </w:rPr>
              <w:sym w:font="Symbol" w:char="F02D"/>
            </w:r>
            <w:r>
              <w:rPr>
                <w:rFonts w:hint="default" w:ascii="Times New Roman" w:hAnsi="Times New Roman" w:eastAsia="宋体" w:cs="Times New Roman"/>
                <w:color w:val="auto"/>
                <w:sz w:val="21"/>
                <w:szCs w:val="21"/>
                <w:highlight w:val="none"/>
                <w:lang w:val="en-US"/>
              </w:rPr>
              <w:t>N</w:t>
            </w:r>
          </w:p>
        </w:tc>
        <w:tc>
          <w:tcPr>
            <w:tcW w:w="414"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TN</w:t>
            </w:r>
          </w:p>
        </w:tc>
        <w:tc>
          <w:tcPr>
            <w:tcW w:w="40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5"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bCs/>
                <w:color w:val="auto"/>
                <w:sz w:val="21"/>
                <w:szCs w:val="21"/>
                <w:highlight w:val="none"/>
                <w:lang w:val="en-US"/>
              </w:rPr>
            </w:pPr>
            <w:r>
              <w:rPr>
                <w:rFonts w:hint="default" w:ascii="Times New Roman" w:hAnsi="Times New Roman" w:eastAsia="宋体" w:cs="Times New Roman"/>
                <w:bCs/>
                <w:color w:val="auto"/>
                <w:sz w:val="21"/>
                <w:szCs w:val="21"/>
                <w:highlight w:val="none"/>
                <w:lang w:val="en-US"/>
              </w:rPr>
              <w:t>设计出水水质（mg/L）</w:t>
            </w:r>
          </w:p>
        </w:tc>
        <w:tc>
          <w:tcPr>
            <w:tcW w:w="76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6~9</w:t>
            </w:r>
          </w:p>
        </w:tc>
        <w:tc>
          <w:tcPr>
            <w:tcW w:w="76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30</w:t>
            </w:r>
          </w:p>
        </w:tc>
        <w:tc>
          <w:tcPr>
            <w:tcW w:w="592"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10</w:t>
            </w:r>
          </w:p>
        </w:tc>
        <w:tc>
          <w:tcPr>
            <w:tcW w:w="416"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10</w:t>
            </w:r>
          </w:p>
        </w:tc>
        <w:tc>
          <w:tcPr>
            <w:tcW w:w="723"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1.5</w:t>
            </w:r>
          </w:p>
        </w:tc>
        <w:tc>
          <w:tcPr>
            <w:tcW w:w="414"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1</w:t>
            </w:r>
            <w:r>
              <w:rPr>
                <w:rFonts w:hint="default" w:ascii="Times New Roman" w:hAnsi="Times New Roman" w:eastAsia="宋体" w:cs="Times New Roman"/>
                <w:color w:val="auto"/>
                <w:sz w:val="21"/>
                <w:szCs w:val="21"/>
                <w:highlight w:val="none"/>
                <w:lang w:val="en-US" w:eastAsia="zh-CN"/>
              </w:rPr>
              <w:t>5</w:t>
            </w:r>
          </w:p>
        </w:tc>
        <w:tc>
          <w:tcPr>
            <w:tcW w:w="400" w:type="pct"/>
            <w:noWrap w:val="0"/>
            <w:vAlign w:val="center"/>
          </w:tcPr>
          <w:p>
            <w:pPr>
              <w:pStyle w:val="215"/>
              <w:keepNext w:val="0"/>
              <w:keepLines w:val="0"/>
              <w:suppressLineNumbers w:val="0"/>
              <w:snapToGrid w:val="0"/>
              <w:spacing w:before="0" w:beforeLines="0" w:beforeAutospacing="0" w:after="0" w:afterLines="0" w:afterAutospacing="0" w:line="240" w:lineRule="auto"/>
              <w:ind w:left="0" w:right="0" w:firstLine="0" w:firstLineChars="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rPr>
              <w:t>0.</w:t>
            </w:r>
            <w:r>
              <w:rPr>
                <w:rFonts w:hint="default" w:ascii="Times New Roman" w:hAnsi="Times New Roman" w:eastAsia="宋体" w:cs="Times New Roman"/>
                <w:color w:val="auto"/>
                <w:sz w:val="21"/>
                <w:szCs w:val="21"/>
                <w:highlight w:val="none"/>
                <w:lang w:val="en-US" w:eastAsia="zh-CN"/>
              </w:rPr>
              <w:t>3</w:t>
            </w:r>
          </w:p>
        </w:tc>
      </w:tr>
    </w:tbl>
    <w:p>
      <w:pPr>
        <w:numPr>
          <w:ilvl w:val="0"/>
          <w:numId w:val="0"/>
        </w:numPr>
        <w:spacing w:line="360" w:lineRule="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cs="Times New Roman"/>
          <w:b/>
          <w:bCs/>
          <w:color w:val="auto"/>
          <w:highlight w:val="none"/>
          <w:lang w:val="en-US" w:eastAsia="zh-CN"/>
        </w:rPr>
      </w:pPr>
      <w:r>
        <w:rPr>
          <w:rFonts w:hint="eastAsia" w:cs="Times New Roman"/>
          <w:b/>
          <w:bCs/>
          <w:color w:val="auto"/>
          <w:highlight w:val="none"/>
          <w:lang w:val="en-US" w:eastAsia="zh-CN"/>
        </w:rPr>
        <w:t>第二节 总体技术要求</w:t>
      </w:r>
    </w:p>
    <w:p>
      <w:pPr>
        <w:numPr>
          <w:ilvl w:val="0"/>
          <w:numId w:val="0"/>
        </w:numPr>
        <w:spacing w:line="360" w:lineRule="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2.1.总体要求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应满足实施目标原则，核心工艺采用粉末载体原位技术，不预设固定原位技术种类、粉末载体种类、生化段工艺参数、设备配置方案、控制系统方案及变配电系统方案，投标人结合自身技术优势与项目实际（现有构筑物设计条件、处理能力提升目标、进出水水质要求），提出符合“原位提标扩容（不得新建永久构筑物）、安全可靠、节能降耗、运维便捷”核心目标的完整技术方案（含原位技术路线、设备配置、控制系统、变配电适配方案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投标方案需满足以下基础约束：一是需与现有污水处理系统无缝兼容，仅允许对现有系统进行设备升级、管路优化或内部功能改造，不得对现有构筑物进行结构性改动；二是需明确技术路径，重点说明载体的作用机理、投加与筛分回收逻辑及对处理能力提升和污染物去除效率的保障措施；三是方案需包含完整设备系统（老旧设备更换、原位技术成套设备的投加系统、筛分回收系统、控制系统、辅助设备等）及全周期运行方案（含调试、试运行、性能考核、维护保养等），确保方案具备可实施性与经济性。投标人需对所提原位技术方案的技术先进性、成熟性、合规性及适配性负责，需提供充分论证材料（如同类项目应用案例的工程验收报告或技术应用报告（含业主和专家评审意见）、载体特性检测报告、本项目技术可行性分析等），方案经招标人确认后作为实施依据，中标后需按确认方案完成设备供应、安装调试、性能达标及稳定运行交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2.2.招标范围及要求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2.2.1.招标范围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次招标范围主要为：东莞市长安新区污水处理厂原位技术升级设备采购及安装，包括现状老旧设备更换和原位技术成套设备的投加系统、筛分回收系统、控制系统、电气系统、精确加药系统、过程仪表及其他辅助系统的设计、制造、采购、供货、运输及储存、安装（含安全防护、文明施工措施）、调试、消缺、</w:t>
      </w:r>
      <w:r>
        <w:rPr>
          <w:rFonts w:hint="default" w:ascii="Times New Roman" w:hAnsi="Times New Roman" w:eastAsia="宋体" w:cs="Times New Roman"/>
          <w:color w:val="auto"/>
          <w:highlight w:val="none"/>
          <w:lang w:val="zh-CN"/>
        </w:rPr>
        <w:t>培训</w:t>
      </w:r>
      <w:r>
        <w:rPr>
          <w:rFonts w:hint="default" w:ascii="Times New Roman" w:hAnsi="Times New Roman" w:eastAsia="宋体" w:cs="Times New Roman"/>
          <w:color w:val="auto"/>
          <w:highlight w:val="none"/>
          <w:lang w:val="en-US" w:eastAsia="zh-CN"/>
        </w:rPr>
        <w:t>、</w:t>
      </w:r>
      <w:r>
        <w:rPr>
          <w:rFonts w:hint="eastAsia" w:ascii="宋体" w:hAnsi="宋体" w:eastAsia="宋体" w:cs="宋体"/>
          <w:color w:val="auto"/>
          <w:sz w:val="21"/>
          <w:szCs w:val="21"/>
          <w:highlight w:val="none"/>
          <w:lang w:val="en-US" w:eastAsia="zh-CN"/>
        </w:rPr>
        <w:t>试运行、性能考核和最终交付等所有工作，以及培训、运营指导、统筹组织全厂联动调试、试运行及性能考核，并负责统筹全厂更换设备的安装及验收工作等技术服务，备品备件（明确数量及规格，如易损件清单）等一切为满足本项目技术性能要求（章节3.1.1.2）所必需的设备、材料、服务及工作内容。招标设备清单见本用户需求书第三节详细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（2）招标内容包括但不限于以下内容：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a.污水处理厂招标范围内所有货物及其附件（含PLC程序、触摸屏程序等软件）的设计（含二次深化设计）、采购、制造及系统集成、测试、试验、运输（至各子项目工地现场招标人指定地点）、保险、装卸、</w:t>
      </w:r>
      <w:r>
        <w:rPr>
          <w:rFonts w:hint="eastAsia" w:ascii="宋体" w:hAnsi="宋体" w:eastAsia="宋体" w:cs="宋体"/>
          <w:b/>
          <w:bCs/>
          <w:color w:val="auto"/>
          <w:sz w:val="21"/>
          <w:szCs w:val="21"/>
          <w:highlight w:val="none"/>
          <w:lang w:val="en-US" w:eastAsia="zh-CN"/>
        </w:rPr>
        <w:t>安装（含安全防护、文明施工措施）</w:t>
      </w:r>
      <w:r>
        <w:rPr>
          <w:rFonts w:hint="eastAsia" w:ascii="宋体" w:hAnsi="宋体" w:eastAsia="宋体" w:cs="宋体"/>
          <w:color w:val="auto"/>
          <w:sz w:val="21"/>
          <w:szCs w:val="21"/>
          <w:highlight w:val="none"/>
          <w:lang w:val="en-US" w:eastAsia="zh-CN"/>
        </w:rPr>
        <w:t>、单机试运转、联合试运转（含耗材）、验收及技术服务；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按本用户需求书要求提供各阶段的纸质和电子版技术资料（含图纸），包括投标货物及其工艺所有制造方、使用方应支付的对商标权、专利权和版权、设计或其他知识产权而需要向其他方支付的版税及其他相关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c.验收时为达到相关标准而可能增加的、不合格货物更换、零配件更换等；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d.招标人所在地及工地现场培训全过程（含会务、资料、培训方及非中文培训师的翻译、投标人、招标人涉及的所有费用），但本用户需求书中明确不包含在本次招标投标报价总价范围的投标人所在地培训除外；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e.设备备品备件（含零配件）、设备拆装维修所需特殊专用工具购置，但本用户需求书中明确不包含在本次招标投标报价总价范围的设备维修、检测所需仪器仪表除外；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f.日常技术指导，免费的质保期保修服务，包括但不限于对设备的运行指导，免费维修、保修或更换配件，在设备出现严重故障、影响正常运行、修复有困难的情况下，对设备进行免费更换的费用；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设计联络，在项目最终交付前，投标人有义务根据招标人实际情况派遣技术人员到东莞市参加设计联络会议进行技术交流，包括参加设计会签及校核和审查会议，投标总价已包含投标方为配合招标人完成设计联络相应工作所产生的交通费、通讯费及住宿费等出差费用，已包含在投标总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h.招标设备清单虽未列出，但根据设计图纸或为满足设计功能所必需的设备材料。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2.2.2.投标人职责范围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负责在本用户需求书中指明的供货范围内，足以使供货设备联动运行（包括自动控制）的所有机械设备、电气设备、自动控制设备、仪表、闸门和阀门、电缆、软件及其他附属部件的提供。对设备的制造、供货、工厂测试、油漆、包装和运输负责。并负责设备安装、检查、验收及售后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（2）设备的现场性能测试、单机试运转、联合试运转。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（3）对不合格的设备进行更换。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（4）设备试运行期内的设备检测、保修和运行指导。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（5）设备质保期内的设备检测、保修和运行指导。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（6）设备操作与维护的技术培训。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（7）提供设备的相关技术文件、资料。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（8）根据国家有关规定、规程及合同应承担的其它职责。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2.2.3.备品备件及附件提供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提供整套用于保证本合同所属设备系统在质保期内正常运行的设备安装、操作维护所需的备品备件并列出清单，招标人将审核清单并着重考虑是否满足质保期需要。备品备件价格应在投标报价表中单独列出并报价，且所有配套备品备件报价包括在投标总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（2）如所供设备拆装维修需有特殊专用工具，投标人应予以说明，并提供专用维修工具，投标人应提供设备拆装维修所需特殊工具清单，报价包括在投标总报价中。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（3）质保期满后3年（进口设备要求5年）所需备品备件须提供明确单价，不计入总价。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（4）投标人提供的所有备件、专用工具必须是新的、未使用过的，能满足设备零配件的更换及检维修。这些备件应经过处理和包装，能在污水厂现场气候条件下长期有效。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备品备件停止生产的情况下，投标人应事先将要停止生产的计划通知招标人，使其有足够的时间采购所需的备品备件；在备品备件停止生产后，如果招标人要求，投标人应免费向招标人提供备品备件的蓝图、图纸和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（6）进口设备使用的润滑油和（或）药剂等，能使用国产货源替代的优先考虑。否则必须在国内有可靠、经济的货源保证。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2.2.4.设备数量的变更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招标人保留对采购设备的规格、型号及数量变更的权利，投标人应承诺对设计修改、变更予以配合，及时调整。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2.2.5.补充说明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用户需求书的内容在于向投标人说明项目建设应在各方面达到所要求的功能及全厂设备成功联动运行的功能。凡为达到设计目的所需的招标范围内的各项设备及其有关机件、附件，虽未详列在招标设备清单中，仍应包括在各项设备中，投标人不得借故予以变更或要求增加费用。投标人应在无追加费用的条件下，完善工作内容，高质量的完成整个供货和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2.3.设备的供货及验收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2.3.1.计划与进度报告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投标人在合同生效一周内，应向招标人提交一份详细的工作计划，说明有关设备的制作、运输、安装和测试等具体进度日程。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为掌握进度和协调工作，招标人认为需要的话可随时进入现场检查设备制造进度，费用由招标人承担，投标人需配合并提供便利条件。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如涉及所有利旧设备的拆除与安装，需根据招标人的改造进度计划实施。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2.3.2.质量保证计划：设备制造中的工厂监造、检验与测试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（1）投标人应对本合同提供的设备制造、运输、安装、试运转建立质量保证计划，并严格按照本招标文件和ISO、ICE、GB标准进行。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（2）所有质量保证计划应在开始制造之前建立，并在采购合同签订之日起一个月内提供，质量保证计划应成为合同的一个组成部分。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必要时，招标人有权安排到设备制造所在地对设备制造、检验、测试及运行实地考察或监造，也可指派专人到制造厂进行逐台或抽样检验。投标人负责根据需要为招标人在产地的考察、监造或参与设备的检测工作提供便利，对于进口设备，投标人应替招标人办妥入境签证手续并获得进入现场检查、检测和实验的许可证件。前述所需费用不包含在投标总价中，由招标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设备产地进行的检验和测试不是设备的最后验收。投标人在设备生产测试前向招标人提供检查和测试计划，当设备检查、测试的准备工作就绪，应在测试日的二十五个工作日前书面通知招标人测试日期，当设备需在国外进行测试时投标人应于60日前发出书面通知，招标人在设备的成功测试后，得在所有产品合格证的背后盖上“符合规格”（</w:t>
      </w:r>
      <w:r>
        <w:rPr>
          <w:rFonts w:hint="eastAsia"/>
          <w:color w:val="auto"/>
          <w:lang w:val="en-US" w:eastAsia="zh-CN"/>
        </w:rPr>
        <w:t>Conforms with the Specification</w:t>
      </w:r>
      <w:r>
        <w:rPr>
          <w:rFonts w:hint="eastAsia" w:ascii="宋体" w:hAnsi="宋体" w:eastAsia="宋体" w:cs="宋体"/>
          <w:color w:val="auto"/>
          <w:sz w:val="21"/>
          <w:szCs w:val="21"/>
          <w:highlight w:val="none"/>
          <w:lang w:val="en-US" w:eastAsia="zh-CN"/>
        </w:rPr>
        <w:t>）印章。如果在规定时间内招标人代表不能到场，投标人在事先书面通知招标人并经招标人书面同意后方可自行完成检查和测试工作；未经招标人书面同意，投标人不得擅自进行测试工作，否则招标人有权拒绝承认投标人的测试结果。上述程序完成后，投标人应于3日内给招标人邮寄5份附有具体测试结果的合格证书，并保证招标人于7日内收到该报告，投标人应保证前述文件的合法性、真实性、准确性。如果尚无技术条件完成测试工作的，投标人应将相应工作安排到具有测试条件和相应资质的单位进行，相关费用由投标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（5）第三方单位出具的检验结论和记录的原件应提交招标人书面确认，如检验、检测不符本技术要求而引起的时间延误，不得作为工期延误的免责理由，投标人应自行承担相关责任。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2.3.3.材料和设备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“材料”是指所有用于本项目的建筑材料、货物和各种物品，不论是天然的、加工的和制造的以及本项目中的各种类型的设备和装置。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全部材料必须是新的，其类型和质量应符合招标文件的要求，在具备同等质量的品牌材料替代时需经招标人及设计人同意，但不能因此延长工期。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招标人有权对任何材料和设备在任何时间和地点进行检验和测试，如果所检验和测试的材料符合质量规定，则检验和测试费用由招标人承担，如不符合则此费用由投标人承担。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“设备”是指用于本项目的所有设备，不论是在制造厂制造的或是在现场加工的，设备包括机械设备、电气设备、仪表和控制设备、检测和测试仪器仪表等。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2.3.4.包装、标志、运输和开箱验收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（1）包装和标志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凡设备上需涂油漆部分均需按规定进行处理，会腐蚀的未涂油漆的部分须用高熔点油脂或无酸牛脂或用其它保护剂涂抹，上述这些保护剂在设备安装期间或在安装后是易于抹去的。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所有电气设备应采取令招标人满意的恰当的防腐防损措施。所有设备的包装须经得起陆上或海上的运输、搬运和露天存放。投标人应对包装设备负责，使其到达目的地后完整无缺。在到达目的地后一年的适当存贮期间不锈不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所有包装箱上应正确地标上下列内容：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A.合同号。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B.设备及备件的名称、代号、型号、数量。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C.设备安装地名称。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D.通用的商务标志。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内有危险品或易碎物品的包装箱应按当地或国际惯例对待。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（2）交货地点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★本项目所有的设备交货地点为东莞市长安新区污水处理厂现场招标人指定地点。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按照招标人的要求，投标人应按时告知设备的运输情况。投标人应负责将合同所供设备运至招标人指定位置，包括到场设备搬卸和采取安全措施。设备相关运输、装卸、保险、关税（进口设备）等费用已包含在投标报价总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投标人对任何招标人不予接收的存在缺损或不符合技术文件规定的设备或有关机件、附件，应立即运走，予以更换。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（4）开箱验收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具备完整的装箱单，除保证设备完好外，还应该按照本用户需求书第八节的要求提供资料。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2.3.5.设备安装及调试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应派专业技术人员到现场，进行设备、配套连接管道、电气等的安装，在招标人的组织安排下，负责完成单机机械试车、联合试运转、性能考核的技术工作。另外，设备控制系统（含仪表）由投标人自行调试。上述的技术服务费已包含在投标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2.3.6.人员培训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（1）投标人所在地的考察和招标人所在地及工地现场培训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A.投标人应按照经招标人批准的培训计划对招标人所指派的工作人员进行有关合同内设备的测试、操作和维修方面的培训，使其能对合同内所有设备的特性、结构、操作和维修要求获得充分的了解和掌握。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B.进口设备由外籍技术人员给招标人技术人员进行培训时，投标人必须聘请专业的翻译人员，并提供相关的中英文资料。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上述培训费用包含在投标报价总价内，并提供培训计划。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（2）现场培训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现场培训是在安装、试运转和检测期间，投标人派专人对操作工人培训，务必使这些受训人员能胜任这些设备的运行和维护工作。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现场培训费用已包含投标总价中。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2.3.7.质保期工作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★（1）质保期内，投标人对所投设备供货、安装质量进行免费保修，免费保修包括但不限于由投标人承担完成质保期的工作而产生的运费、购置费、测试费、人工费等各项费用。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保期内投标人对招标人负有责任，对设备出现的不符合合同要求的、有问题的地方应进行免费维修、保修或更换配件，投标人免费提供维护、维修以及其它售后服务，所有质保服务由投标人上门进行，且不得另行收取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质保期内投标人应负责设备的保养，并实施每年至少两次整体检查。质保期间如在正常操作情况下，任何机件因设计不当、材质缺陷或制造欠佳等因素而发生故障，投标人应在接到通知后，毫不拖延地负责修复。如投标人未在规定的期限内修复，招标人有权自行处理，其费用应由投标人负责支付，不得异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招标人有权拒绝使用带有缺陷的或与合同要求不符的设备或零件，这些设备或零件由投标人负责更换，招标人不负担所增加费用。包括在质保期内，招标人如发现产品的质量、规格、性能、数量等与本招标文件规定不符，或发现产品无论由于任何原因存在隐藏缺陷、工艺问题或使用不良的材料的，或产品出现质量问题的，投标人应根据招标人指示承担更换或退货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设备出现严重故障、影响正常运行、修复有困难的情况下，应对设备进行免费更换。包括在质保期内，如发现故障（7日内）无法修复，或一个故障累计出现超过两次（含两次），或货物累计经三次维修后仍无法正常运行的，投标人应无条件根据招标人要求承担更换或退货责任，由此产生的费用由投标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质保期内全部服务费（含更换零部件，达到招标文件及合同约定条件的更换货物或退货）和维修费用及投标人技术服务人员的一切费用由投标人全部自理，包括但不限于为完成质保期的工作而产生的运费、购置费、测试费、人工、劳务等各项费用（包括进口关税和增值税等），上述所有费用由投标人自行承担，招标人保留对其在质保期内因设备缺陷导致的损失向投标人索赔的权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（7）投标人必须具有专业的售后服务力量和售后技术服务队伍，在合同规定的质保期内，投标人承诺将在接到招标人的故障报警后4小时内响应，24小时内到达项目现场进行维修等服务。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（8）投标人应建立质量跟踪档案，对招标人进行每月一次的定期回访（电话或现场），以保证货物的正常运行。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2.4.单位、质量标准和规范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2.4.1.计量单位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本项目投标人提供的设备参数应使用国际单位制，投标人在投标文件中必须采用国际计量单位制。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质量标准和规范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所有设备的制造、调试和安装应符合中国国家有关标准和规范。如果投标人所用标准优于国家标准，投标人要说明用于替代的标准或实际使用的规范，并提交标准或实施规范。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列标准所包含的部分条文在本招标文件中引用，投标人所提供的产品的型式分类、技术要求、测试方法、检测及包装运输必须符合这些要求；未被引用的部分同样也被视为必须遵循的标准，并且这些标准会被修订，投标人应按最新的版本执行。所列的标准并未包括全部本项目工艺设备制造须执行的国标、部标，未被提及的相关国标、部标也应被投标人遵循。当本招标文件描述的要求高于国标、部标时，投标人应满足本招标文件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GB/T12227-2005《通用阀门球墨铸铁件技术条件》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CJ/T472-2015《潜水排污泵》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CJ/T498-2016《自动搅匀潜水排污泵》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CJ/T518-2017《潜水轴流泵》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GB/T12785-2014《潜水电泵试验方法》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GB/T13006-2013《离心泵、混流泵和轴流泵汽蚀余量》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GB/T13007-2011《离心泵效率》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GB/T13008-2010《混流泵、轴流泵技术条件》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GB/T16907-2014《离心泵技术条件（I类）》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GB/T5656-2008《离心泵技术条件（II类）》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GB/T5657-2013《离心泵技术条件（III类）》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GB/T5660-2013《轴向吸入离心泵底座尺寸和安装尺寸》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GB/T5661-2013《轴向吸入离心泵机械密封和软填料用空腔尺寸》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GB/T5662-2013《轴向吸入离心泵（16bar）标记、性能和尺寸》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GB/T7021-2019《离心泵名词术语》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GB/T9481-2021《中小型轴流泵》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GB32031-2015《污水污物潜水电泵能效限定值及能效等级》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GB/T3214-2007《水泵流量的测定方法》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HJ/T336-2006《环境保护产品技术要求潜水排污泵》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HJ/T279-2006《环境保护产品技术要求推流式潜水搅拌机》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CJ/T109-2007《潜水搅拌机》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GB/T33566-2017《潜水推流式搅拌机》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GB37485-2019《污水处理用潜水推流式搅拌机能效限定值及能效等级》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HJ/T250-2006《环境保护产品技术要求旋转式细格栅》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HJ/T262-2006《环境保护产品技术要求格栅除污机》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CJ/T443-2014《给水排水用格栅除污机通用技术条件》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GB/T37565-2019《给水排水用格栅除污机通用技术条件》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GB/T28741-2012《移动式格栅除污机》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JB/T13741-2019《孔板式格栅除污机》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JB/T9046-1999《格栅除污机》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YB/T4001.1-2019《钢格栅板及配套件第1部分：钢格栅板》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YB/T4001.2-2020《钢格栅板及配套件第2部分：钢格板平台球型护栏》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YB/T4001.3-2020《钢格栅板及配套件第3部分：钢格板楼梯踏板》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HJ/T2524-2012《环境保护产品技术要求单螺杆泵》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HJ/T265-2006《环境保护产品技术要求刮泥机》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HJ/T251-2006《环境保护产品技术要求罗茨鼓风机》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HJ/T278-2006《环境保护产品技术要求单级高速曝气离心鼓风机》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GB28381-2012《离心鼓风机能效限定值及节能评价值》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GB/T2888-2008《风机和罗茨鼓风机噪声测量方法》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JB/T2977-2005《工业通风机、鼓风机和压缩机名词术语》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HJ/T369-2007《环境保护产品技术要求水处理用加药装置》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HJ/T252-2006《环境保护产品技术要求中、微孔曝气器》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HJ/T263-2006《环境保护产品技术要求射流曝气器》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HJ/T281-2006《环境保护产品技术要求散流式曝气器》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CJ/T263-2018《水处理用刚玉微孔曝气器》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CJ/T264-2018《水处理用橡胶膜微孔曝气器》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CJ/T475-2015《微孔曝气器清水氧传质性能测定》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HJ2522-2012《环境保护产品技术要求紫外线消毒装置》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GB/T19837-2019《城镇给排水紫外线消毒设备》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GB/T23112-2008《紫外线金属卤化物灯》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GB/T19258-2012《紫外线杀菌灯》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HJ2008-2010《污水过滤处理工程技术规范》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JB/T6444-2019《风机包装通用技术条件》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GB/T22669-2008《三相永磁同步电动机试验方法》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GB30253-2013《永磁同步电动机能效限定值及能效等级》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GB/T755-2019《旋转电机定额和性能》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GB/T1993-1993《旋转电机冷却方法》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GB/T997-2022《旋转电机结构型式、安装型式及接线盒位置的分类（IM代码）》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GB/T13002-2022《旋转电机热保护》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GB14711-2013《中小型旋转电机通用安全要求》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GB/T17948.1-2018《旋转电机绝缘结构功能性评定散绕绕组试验规程热评定和分级》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GB/T20160-2006《旋转电机绝缘电阻测试》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GB/T2888-2008《风机和罗茨鼓风机噪声测量方法》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GB5226.1-2019《机械电气安全机械电气设备第1部分：通用技术条件》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API672《石油、化工和气体工业用组装型整体齿轮增速离心式空气压缩机》美国石油协会标准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VDI2048《鼓风机验收试验的允差》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VDI2056《鼓风机振动测量》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VDI2060《鼓风机旋转体平衡测定》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ISO3744《鼓风机-原动机噪音测定》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ISODP8573《压缩空气质量等级和试验》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ISO5368《鼓风机安全规程》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JB/T3263-2000《卧式振动离心机》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GB/T12220-2015《工业阀门标志》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CJ/T3006-1992《供水排水用铸铁闸门》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GB3811-2008《起重机设计规范》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GB/T6067.1-2010《起重机械安全规程第1部分：总则》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JB/T1306-2008《电动单梁起重机》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JB/T9008.1-2014《钢丝绳电动葫芦第1部分：型式与基本参数、技术条件》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JB/T9008.2-2015《钢丝绳电动葫芦第2部分：试验方法》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GBT24811.1-2009《起重机和起重机械钢丝绳选择第1部分：总则》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GB/T20118-2017《钢丝绳通用技术条件》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JB/T4315-2020《起重机械电控设备》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GB/T4879-2016《防锈包装》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GB5083-1999《生产设备安全卫生设计总则》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GB50017-2017《钢结构设计标准（附条文说明[另册]）》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GB50205-2020《钢结构工程施工质量验收标准》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JB/T2839-2016《电机用刷握及集电环》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SY/T0407-2012《涂装前钢材表面处理规范》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CJ/T3035-1995《城镇建设和建筑工业产品型号编制规则》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GB50231-2009《机械设备安装工程施工及验收通用规范》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GB/T17241.6-2008《整体铸铁法兰》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GB/T17241.7-1998《铸铁管法兰技术条件》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GB/T6414-2017《铸件尺寸公差、几何公差与机械加工余量》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GB/T1184-1996《形状和位置公差未注公差值》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GB/T5226.1-2019《机械电气安全机械电气设备第1部分：通用技术条件》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GB/T1804-2000《一般公差未注公差的线性和角度尺寸的公差》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GB/T13306-2011《标牌》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GB/T9089.2-2008《户外严酷条件下的电气设施第2部分：一般防护要求》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JG/T5082.1-1996《建筑机械与设备焊接件通用技术条件》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CJ/T3035-1995《城镇建设和建筑工业产品型号编制规则CJ/T3035-1995》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GB/T1176-2013《铸造铜及铜合金》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GB/T4942-2021《旋转电机整体结构的防护等级（IP代码）分级》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GB/T13384-2008《机电产品包装通用技术条件》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GB/T25409-2010《小型潜水电泵》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GB/T3216-2016《回转动力泵水力性能验收试验1级、2级和3级》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GB/T5013.2-2008《额定电压450/750V及以下橡皮绝缘电缆第2部分：试验方法》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GB/T9439-2010《灰铸铁件》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GB/T1220-2007《不锈钢棒》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GB/T1348-2019《球墨铸铁件》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GB/T9124.1-2019《钢制管法兰第1部分：PN系列》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GB/T9124.2-2019《钢制管法兰第2部分：Class系列》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GB/T2828.1-2012《计数抽样检验程序第1部分：按接收质量限（AQL）检索的逐批检验抽样计划》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GB/T191-2008《包装储运图示标志》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GB/T22719.1-2008《交流低压电机散嵌绕组匝间绝缘第1部分：试验方法》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GB/T22719.2-2008《交流低压电机散嵌绕组匝间绝缘第2部分：试验限值》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GB18613-2020《电动机能效限定值及能效等级》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JB/T8857-2011《离心式潜污泵》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ISO1217：2009《容积式压缩机—验收试验》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GB/T3853-2017《容积式压缩机验收试验》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JB/T8941.1-2014《一般用途罗茨鼓风机第1部分：技术条件》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JB/T8941.2-2014《一般用途罗茨鼓风机第2部分：性能试验方法》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GB/T12238-2008《法兰和对夹连接弹性密封蝶阀》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GB/T13927-2008《工业阀门压力试验》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GB/T12221-2005《金属阀门结构长度》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GB12348-2008《工业企业厂界环境噪声排放标准》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GB3096-2008《声环境质量标准》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CECS451-2016《上向流滤池设计规程》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GB/T37528-2019《脱氮生物滤池通用技术规范》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JB/T4333.1-2013《厢式压滤机和板框压滤机第1部分：型式与基本参数》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JB/T4333.2-2013《厢式压滤机和板框压滤机第2部分：技术条件》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JB/T4333.3-2013《厢式压滤机和板框压滤机第3部分：滤板》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JB/T4333.4-2013《厢式压滤机和板框压滤机第4部分：隔膜滤板》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CJ/T540-2019《重力式污泥浓缩池悬挂式中心传动浓缩机》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GB/T10605-2015《中心传动式浓缩机》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JB/T11832-2014《污水处理厂鼓式螺压污泥浓缩设备》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GB39731-2020《电子工业水污染物排放标准》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GB51441-2022《电子工业废水处理工程设计标准》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HJ1298-2023《电子工业水污染防治可行技术指南》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GB/T37894-2019《水处理用臭氧发生器技术要求》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GB/T19837-2019《城镇给排水紫外线消毒设备》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CJJ/T251-2017《城镇给水膜处理技术规程》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CJ/T510-2017《城镇污水处理厂污泥处理稳定标准》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了以上中国国家标准外，国际标准化组织标准、国际电工技术委员标准，已颁布的有关标准也应是设计、制造工艺所遵循的标准。如所提供的设备暂无相应的中国标准和规范，投标人应提供实际使用情况证明及推荐相应的设计安装、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投标人可向招标人提出使用其它同等的国际标准，经招标人及设计人的书面同意，确认不会低于技术规定中所用的标准水平。投标人应向招标人表明该代用标准是合适的、相当的，并提供以前成功使用的范例。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设备与管道接口以及设备与设备的接口尺寸必须符合ISO标准，电气设备的连接方式及规格均符合IEC标准。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当本用户需求书或合同内没有表明或商定对应的任何标准时，所有详细资料、材料、设备及制造工艺应符合本用户需求书技术要求的规定并提交招标人认可。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当在设计的材料或设备选用上受法定条例、指令、法规或其他的国内有关法律影响时，那么所供应的材料和设备即使在本用户需求书中有特殊要求，但其有关要求也必须与这些条例相关章节的规定相符。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2.4.2.标准缩写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技术要求中所用的参考标准、实施规范和刊物的缩写形式及其有关组织如下：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GB中国国家标准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AGMA美国齿轮制造商协会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AISI美国钢铁学会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AS澳大利亚标准协会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ASTM美国测试与材料学会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IEC国际电工委员会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BS英国标准学会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AEMA美国国家电气制造商协会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CP英国标准学会（实施规范）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DIN德国工业标准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ISO国际标准化组织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JIS日本工业标准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SI国际单位制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2.5.相关费用的约定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对其提供的机械、电器、仪表设备和工艺方面所涉及的一切专利费和执照费及其他相关费用承担责任，并且负责保护招标人的利益不受任何损害，一切由文字、商标和技术专利侵权的申诉或者由使用设备和工艺结构特征、元件的排列所引起的法律裁决、诉讼和费用与招标人无关。投标人的报价已包括了专利费、执照费和其它与这方面相关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2.6.设备的一般要求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2.6.1.设计使用期限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设计的材料和设备均应能适合长期的连续运转，正常使用时限必须达到投标文件中承诺时间，重要配件亦应达到承诺的使用期限。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去易耗件如密封填料等正常情况需要频繁更换的除外，凡是须经受磨耗的无论哪一种部件，从新使用到需要更换，或需要修理时的连续正常运转的使用寿命不应少于三年，所有的齿轮与轴承的设计使用寿命不低于10万小时，其额定值至少为工作负荷的125%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2.6.2.材料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本项目中所使用的材料必须是最适合该工作的，并应是新的、一流的商品质量，无缺陷的且应选择使用寿命长，维护要求低的材料。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下设备的活动部分及表面，如销、栓与轴等，应是抗腐蚀的。直接与各种化学制品接触的部件应具有对这些化学制品完全的抗腐蚀、抗磨损的能力，并保证这些部件不会由于时间的消逝，暴露在日光下或任何其它原因引起腐蚀或老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处理工艺的主要机械设备、构件，水下部分需采用316L或以上的不锈钢，水上部分亦应优先采用304不锈钢(含304不锈钢)以上材质，或采用重度防腐处理的碳钢材料。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2.6.3.工作质量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设备在运行时应没有异常振动，且只具有最少的噪音。旋转部件应是平衡的，以使它在各种不同操作速度进行运转时以及达到最大负荷时，均不应由于失去平衡而产生振动。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凡易被产生的灰尘或水溅等导致磨损或损坏的部件应整个地用防尘罩或防水罩封闭。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2.6.4.齿轮传动与齿轮箱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所有的齿轮传动均应符合ISO、DIN的标准，服务系数不低于2.0，所有的齿轮传动除非另有批准均应是全封闭式的。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齿轮箱的所有接缝处须密封可靠以防止水与灰尘的进入和润滑剂的外流，齿轮传动部件应便于检查和进行维修。齿轮箱应具有刻度清楚的观察玻璃或量油尺，以显示流动的或静止的油位。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2.6.5.平衡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所有的旋转部分均应作适当的静态与动态平衡，以使在正常的全速运转时并在最险峻的负荷条件时，均不应在设备中或在车间中或在周围的附近处，出现过分的振动。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2.6.6.互换性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所有相类似的设备、零备件或附属件应是可以互换的，所提供的设备的种类必须是合乎标准化的。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2.6.7.噪音控制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所有设备在正常运转时无异常噪声，如有必要，设备应自带消音器或隔音罩设计，满足相应技术参数部分对噪声控制的要求。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2.6.8.润滑和清洗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需要周期性加注润滑脂的机械装置、部件，均应设加油嘴，并设置在便于操作的部位。投标人需提供各润滑油脂的推荐等级。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2.6.9.铭牌、标志与电路原理牌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及附属电机均应具有304不锈钢金属的铭牌，铭牌内字体蚀刻明显清晰，在正常的使用期内不得灭失，并采用不锈钢铆钉铆固的方式固定，把制造商名称、编号、输出功率、电流、制造日期以及选择性显示设备特性（如工作特性、功率因数、效率、噪声、速度、压力）等清楚地标明在上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电控柜（箱）内需有清晰、详细的电路原理图、接线图及布置图，并稳定张贴于电控柜（箱）内。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所有设备及配套系统的标识、标牌等要符合项目建设单位《6S可视化管理执行标准手册》的相关要求或符合建设单位的运营管理要求，具体需投标人在确定中标后主动与招标人沟通确认。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2.6.10.安装紧固件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投标人需提供设备安装所需的专门的所有紧固件，如地脚螺栓、垫板、托座、支承钢结构和座板等，其中用在混凝土，砖石中的基础螺栓，</w:t>
      </w:r>
      <w:r>
        <w:rPr>
          <w:rFonts w:hint="eastAsia" w:ascii="宋体" w:hAnsi="宋体" w:eastAsia="宋体" w:cs="宋体"/>
          <w:b/>
          <w:bCs/>
          <w:color w:val="auto"/>
          <w:sz w:val="21"/>
          <w:szCs w:val="21"/>
          <w:highlight w:val="none"/>
          <w:lang w:val="en-US" w:eastAsia="zh-CN"/>
        </w:rPr>
        <w:t>螺母和垫圈应为304不锈钢（含304不锈钢）以上材质</w:t>
      </w:r>
      <w:r>
        <w:rPr>
          <w:rFonts w:hint="eastAsia" w:ascii="宋体" w:hAnsi="宋体" w:eastAsia="宋体" w:cs="宋体"/>
          <w:color w:val="auto"/>
          <w:sz w:val="21"/>
          <w:szCs w:val="21"/>
          <w:highlight w:val="none"/>
          <w:lang w:val="en-US" w:eastAsia="zh-CN"/>
        </w:rPr>
        <w:t>，与污水直接接触的要求316L不锈钢（含316L不锈钢）以上材质。投标人应在投标文件上予以明确其材质、数量、尺寸等。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2.6.11.防护及油漆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除不锈钢材质外，用于本项目的所有设备机器构配件的其他金属材质均需按照相关标准做好油漆的防护，如有必要，不锈钢也应做哑光处理。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2.6.12.螺母、螺钉、垫圈和螺栓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（1）粗制螺栓、螺钉、螺母应符合ISO225，ISO272，ISO885，ISO888和ISO4759/1。粗制碳钢六角螺栓、螺钉、螺母应符合ISO272，ISO4759/18.8级。垫圈应符合ISO/R887，并使用在所有螺母，六角螺栓和螺钉之下。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（2）浸没于污水中的螺栓、螺钉、螺母、垫圈材料应采用316L不锈钢或更优材质，</w:t>
      </w:r>
      <w:r>
        <w:rPr>
          <w:rFonts w:hint="eastAsia" w:ascii="宋体" w:hAnsi="宋体" w:eastAsia="宋体" w:cs="宋体"/>
          <w:color w:val="auto"/>
          <w:sz w:val="21"/>
          <w:szCs w:val="21"/>
          <w:highlight w:val="none"/>
          <w:lang w:val="en-US" w:eastAsia="zh-CN"/>
        </w:rPr>
        <w:t>其他暴露在大气中的螺栓、螺钉、螺母、垫圈材料应采用镀锌处理或其他更优防腐措施。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（3）螺母的螺纹制造应符合ISO1459，ISO1460和ISO1461。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（4）螺栓应有足够长度以确保螺母旋紧。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注：如果第三节技术要求中材质与此章节不一致，以第三节技术要求为准。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2.6.13.安全措施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设备除电气系统中过流过载保护外，一般应设机械式过扭矩保护，过扭矩保护需设自动复位。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设备的所有含有危险因素的部位应加上安全罩。在正常工况条件下，温度高于60℃或小于5℃的所有零件应装有防护栏或保温套。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所有电气传导件包括由此而形成的电器装置都应绝缘或设防护装置以防危险。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安全设计应符合GB5083-1999《生产设备安全卫生设计总则》中的有关规定。电气设备户外和户内安装时，外壳保护等级应符合GB/T4942.2-1993《低压电器外壳防护等级》中IP55的规定。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2.6.14.机械设备配套部件要求品牌及材质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（1）配套减速箱：SEW、DODGE、FLENDER、NORD或具备同等质量的品牌产品。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（2）配套控制柜的电气元件：</w:t>
      </w:r>
      <w:r>
        <w:rPr>
          <w:rFonts w:hint="eastAsia" w:ascii="宋体" w:hAnsi="宋体" w:eastAsia="宋体" w:cs="宋体"/>
          <w:color w:val="auto"/>
          <w:sz w:val="21"/>
          <w:szCs w:val="21"/>
          <w:highlight w:val="none"/>
          <w:lang w:val="en-US" w:eastAsia="zh"/>
        </w:rPr>
        <w:t>AB Bulletin 系列、ABB A系列及 CM-ENS 系列、西门子 SIRIUS 系列</w:t>
      </w:r>
      <w:r>
        <w:rPr>
          <w:rFonts w:hint="eastAsia" w:ascii="宋体" w:hAnsi="宋体" w:eastAsia="宋体" w:cs="宋体"/>
          <w:color w:val="auto"/>
          <w:sz w:val="21"/>
          <w:szCs w:val="21"/>
          <w:highlight w:val="none"/>
          <w:lang w:val="en-US" w:eastAsia="zh-CN"/>
        </w:rPr>
        <w:t>，其中接触器和继电器的寿命不小于100万次（每对触点开合次数）。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2.6.15.机械设备的噪声控制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（1）环境评价要求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a.声环境功能区区划与质量标准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根据《城市区域环境噪声功能区区划》，该项目按2类居住、商业、工业混合区标准执行，即昼间60dB（A）、夜间50dB（A）。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b.厂界噪声标准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厂界噪声采用《工业企业厂界环境噪声排放标准》（GB12348-2008）II类标准，即昼间60dB（A），夜间50dB（A）。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（2）机械设备的噪声控制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机械设备的噪声控制要求及措施：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a.严格执行本项目环境影响报告书中的噪声控制要求；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b.采用优质、低噪声设备；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c.对于主要振动设备，当设备本身减振降噪不能达标的，必须自行配备有隔音罩等降噪隔音设施；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d.对于主要振动设备，应提供构建筑物结构降噪隔音方案。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2.6.16.机械设备配套电气设备及控制箱（柜）一般技术要求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（1）要求范围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本节所述电气控制箱（柜）为本需求书中涉及投标人应负责提供所供设备配套的现场电气控制箱（柜）及其电气附属设备。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（2）需求执行要求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所有设备及材料的设计，制造及调试中应具备规定的性能。应确保所有设备及材料的设计、制造、试验或试运行的质量。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动力设备中使用的电动机须达到《电动机能效限定值及能效等级》（GB18613-2020）中规定的2级或以上能效标准要求，潜水电泵应达到《潜水电泵能效限定值及能效等级》（GB32030-2022）2级或以上能效标准要求。变速电机在工频工作时的效率也须达到上述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电动机的绕组引接线须采用镀锡软电缆，电动机的接线端子线耳及接线螺栓、螺母和连接片等均须进行镀锡处理；电动机接线盒不得采用冲压或焊接等制成的铁皮线盒。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所有电气设备的连接线若采用硬芯电线或电缆，则裸露在外的铜导线须进行热镀锡处理。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控制箱（柜）的箱（柜）体采用2mm厚的304不锈钢制作，表面抛光处理。箱（柜）门一般采用双层结构，其中外层箱（柜）门锁的锁芯要具有防水功能。控制箱（柜）内应有防凝露的电加热单元和通风散热装置（自动温度启停控制）以及检修用的灯具，室内箱（柜）防护等级为IP54，室外箱（柜）防护等级为IP55。现场控制箱（柜）做到整体防雷接地，电源进线端安装隔离变压器及电子式避雷器，触摸屏与PLC之间的通信线及其他传感器的信号线要加装浪涌保护器。电子式避雷器或浪涌保护器应选用安普迅、雷科星、海德或具备同等质量的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气控制（箱）柜内的控制元器件如熔断器、断路器、接触器、各类继电器、软启动器、变频器、开关、按钮、指示灯等须选用所列品牌中的最优系列产品，接触器等须选用比额定值大一个规格的产品；控制柜（箱）到设备的动力电缆应同时满足以下要求：①采用YJV电缆；②额定工作时最大电流密度不超过3.5A/</w:t>
      </w:r>
      <w:r>
        <w:rPr>
          <w:rFonts w:hint="default" w:ascii="Times New Roman" w:hAnsi="Times New Roman" w:eastAsia="宋体" w:cs="Times New Roman"/>
          <w:color w:val="auto"/>
          <w:highlight w:val="none"/>
        </w:rPr>
        <w:t>mm</w:t>
      </w:r>
      <w:r>
        <w:rPr>
          <w:rFonts w:hint="default" w:ascii="Times New Roman" w:hAnsi="Times New Roman" w:eastAsia="宋体" w:cs="Times New Roman"/>
          <w:color w:val="auto"/>
          <w:highlight w:val="none"/>
          <w:vertAlign w:val="superscript"/>
        </w:rPr>
        <w:t>2</w:t>
      </w:r>
      <w:r>
        <w:rPr>
          <w:rFonts w:hint="eastAsia" w:ascii="宋体" w:hAnsi="宋体" w:eastAsia="宋体" w:cs="宋体"/>
          <w:color w:val="auto"/>
          <w:sz w:val="21"/>
          <w:szCs w:val="21"/>
          <w:highlight w:val="none"/>
          <w:lang w:val="en-US" w:eastAsia="zh-CN"/>
        </w:rPr>
        <w:t>；③最大压降不超过额定工作电压的1%；④当动力设备功率较小时其所用电缆最小截面不得小于4</w:t>
      </w:r>
      <w:r>
        <w:rPr>
          <w:rFonts w:hint="default" w:ascii="Times New Roman" w:hAnsi="Times New Roman" w:eastAsia="宋体" w:cs="Times New Roman"/>
          <w:color w:val="auto"/>
          <w:highlight w:val="none"/>
        </w:rPr>
        <w:t>mm</w:t>
      </w:r>
      <w:r>
        <w:rPr>
          <w:rFonts w:hint="default" w:ascii="Times New Roman" w:hAnsi="Times New Roman" w:eastAsia="宋体" w:cs="Times New Roman"/>
          <w:color w:val="auto"/>
          <w:highlight w:val="none"/>
          <w:vertAlign w:val="superscript"/>
        </w:rPr>
        <w:t>2</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控制柜（箱）到设备的控制电缆应同时满足以下要求：①采用KVVP带屏蔽层的控制电缆；②芯线截面不低于1.5</w:t>
      </w:r>
      <w:r>
        <w:rPr>
          <w:rFonts w:hint="default" w:ascii="Times New Roman" w:hAnsi="Times New Roman" w:eastAsia="宋体" w:cs="Times New Roman"/>
          <w:color w:val="auto"/>
          <w:highlight w:val="none"/>
        </w:rPr>
        <w:t>mm</w:t>
      </w:r>
      <w:r>
        <w:rPr>
          <w:rFonts w:hint="default" w:ascii="Times New Roman" w:hAnsi="Times New Roman" w:eastAsia="宋体" w:cs="Times New Roman"/>
          <w:color w:val="auto"/>
          <w:highlight w:val="none"/>
          <w:vertAlign w:val="superscript"/>
        </w:rPr>
        <w:t>2</w:t>
      </w:r>
      <w:r>
        <w:rPr>
          <w:rFonts w:hint="eastAsia" w:ascii="宋体" w:hAnsi="宋体" w:eastAsia="宋体" w:cs="宋体"/>
          <w:color w:val="auto"/>
          <w:sz w:val="21"/>
          <w:szCs w:val="21"/>
          <w:highlight w:val="none"/>
          <w:lang w:val="en-US" w:eastAsia="zh-CN"/>
        </w:rPr>
        <w:t>；③模拟量信号电缆采用DJYVP型电缆；④无源接点需经过中间继电器输出。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箱（柜）内随机的电气控制元器件，其导电接线端子（含端板、螺钉、螺栓、垫片）及线耳、线叉等，其表面均须进行镀锡处理，箱柜内连接用软电线（缆）须采用镀锡铜线。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所有控制箱（柜）上非导电紧固件须采用304不锈钢材质。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设备控制箱（柜）输入、输出在没PLC控制器的前提下模拟量信号采用4～20mADC，开关量信号采用24VDC信号，有PLC系统则与上级自控系统采用以太网通讯，设备配套的仪表支持Modbus通讯。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2.6.17.相关权利约定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必须保证在设备使用寿命内，招标人无偿获得最终版PLC控制源程序、触摸屏源程序等软件的知识产权，相关程序均不得设置密码（或免费向招标人提供密码）、随机附带的软件程序等不得设置妨碍设备正常工作的后门程序。涉及设备正常使用、维护的一切软件在设备竣工验收时也应一并交付招标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投标人必须保证在设备使用寿命内，招标人无偿获得使用相应终端设备调阅数据采集、监控元器件数据的应用软件，特殊连接线缆以及连接方式方法。</w:t>
      </w:r>
    </w:p>
    <w:p>
      <w:pPr>
        <w:numPr>
          <w:ilvl w:val="0"/>
          <w:numId w:val="0"/>
        </w:numPr>
        <w:spacing w:line="360" w:lineRule="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b/>
          <w:bCs/>
          <w:color w:val="auto"/>
          <w:highlight w:val="none"/>
          <w:lang w:val="en-US" w:eastAsia="zh-CN"/>
        </w:rPr>
      </w:pPr>
      <w:r>
        <w:rPr>
          <w:rFonts w:hint="eastAsia"/>
          <w:b/>
          <w:bCs/>
          <w:color w:val="auto"/>
          <w:highlight w:val="none"/>
          <w:lang w:val="en-US" w:eastAsia="zh-CN"/>
        </w:rPr>
        <w:t>第三节 设备详细技术要求</w:t>
      </w:r>
    </w:p>
    <w:p>
      <w:pPr>
        <w:numPr>
          <w:ilvl w:val="0"/>
          <w:numId w:val="0"/>
        </w:numPr>
        <w:spacing w:line="360" w:lineRule="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lang w:val="en-US" w:eastAsia="zh"/>
        </w:rPr>
        <w:t>设备清单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3.1.1.招标设备清单及主要性能要求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本节规定了本项目内所有设备的设计、制造、工厂试验的技术要求。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为了获得标准化的外观、运行、维修、备品备件以及制造商服务，投标人所提供的同类型设备必须是一个制造商的最终产品。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设备招标后，投标人在不改变土建的基础上要进行二次设计，要取得招标人、设计单位的同意，不能改变原有设计的目的。也不能因为设备配件的不同而增加任何费用。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3.1.1.1.招标设备清单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（1）现状老旧设备更换清单</w:t>
      </w:r>
    </w:p>
    <w:tbl>
      <w:tblPr>
        <w:tblStyle w:val="4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1565"/>
        <w:gridCol w:w="3578"/>
        <w:gridCol w:w="762"/>
        <w:gridCol w:w="762"/>
        <w:gridCol w:w="1483"/>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设备名称</w:t>
            </w:r>
          </w:p>
        </w:tc>
        <w:tc>
          <w:tcPr>
            <w:tcW w:w="17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规格、型号</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单位</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数量</w:t>
            </w:r>
          </w:p>
        </w:tc>
        <w:tc>
          <w:tcPr>
            <w:tcW w:w="7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现状设备品牌</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安装位置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17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一</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预处理类设备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内进流细格栅</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渠道宽度1850mm，渠深1550mm，有效水深950mm，b≤5mm，P=1.5kW，单套过流量≥1808m3/h，格栅过栅水损小于0.3m，水下部分SS316L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细格栅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高排水螺旋压榨机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螺旋外径Φ350，L≈11.5m，P=2.2kW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细格栅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自冲洗系统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细格栅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罗茨风机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Q=9.33m³/min，压力45kpa</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山东百惠</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曝气沉砂池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链板式刮砂机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宽1.0m，长37.5m，P=0.375kW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曝气沉砂池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吸砂泵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Q=22m3/h，H-7m，P=1.4kw，电缆长度15米，配套吸砂口锥形管、可移动悬臂起吊架、提升装置、导杆、吊链、耦合装置等。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曝气沉砂池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电动渠道闸门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1850×1800mm，P=2.2kW，SS316L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细格栅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联通阀圆闸门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H=7.9m，DN1400，P=2.2kW，SS316L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曝气沉砂池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电动调节</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4000</w:t>
            </w:r>
            <w:r>
              <w:rPr>
                <w:rFonts w:hint="default" w:ascii="Times New Roman" w:hAnsi="Times New Roman" w:eastAsia="宋体" w:cs="Times New Roman"/>
                <w:bCs/>
                <w:i w:val="0"/>
                <w:iCs w:val="0"/>
                <w:color w:val="auto"/>
                <w:kern w:val="2"/>
                <w:sz w:val="20"/>
                <w:szCs w:val="20"/>
                <w:highlight w:val="none"/>
                <w:u w:val="none"/>
                <w:lang w:val="en-US" w:eastAsia="zh-CN" w:bidi="ar"/>
              </w:rPr>
              <w:t>×</w:t>
            </w:r>
            <w:r>
              <w:rPr>
                <w:rFonts w:hint="eastAsia" w:ascii="Times New Roman" w:hAnsi="Times New Roman" w:eastAsia="宋体" w:cs="Times New Roman"/>
                <w:bCs/>
                <w:i w:val="0"/>
                <w:iCs w:val="0"/>
                <w:color w:val="auto"/>
                <w:kern w:val="2"/>
                <w:sz w:val="20"/>
                <w:szCs w:val="20"/>
                <w:highlight w:val="none"/>
                <w:u w:val="none"/>
                <w:lang w:val="en-US" w:eastAsia="zh-CN" w:bidi="ar"/>
              </w:rPr>
              <w:t>1000mm</w:t>
            </w:r>
            <w:r>
              <w:rPr>
                <w:rFonts w:hint="default" w:ascii="Times New Roman" w:hAnsi="Times New Roman" w:eastAsia="宋体" w:cs="Times New Roman"/>
                <w:bCs/>
                <w:i w:val="0"/>
                <w:iCs w:val="0"/>
                <w:color w:val="auto"/>
                <w:kern w:val="2"/>
                <w:sz w:val="20"/>
                <w:szCs w:val="20"/>
                <w:highlight w:val="none"/>
                <w:u w:val="none"/>
                <w:lang w:val="en-US" w:eastAsia="zh-CN" w:bidi="ar"/>
              </w:rPr>
              <w:t>，P=2.2kw，配套手电两用启闭机，双向止水，SS316L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电动配水</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3000</w:t>
            </w:r>
            <w:r>
              <w:rPr>
                <w:rFonts w:hint="default" w:ascii="Times New Roman" w:hAnsi="Times New Roman" w:eastAsia="宋体" w:cs="Times New Roman"/>
                <w:bCs/>
                <w:i w:val="0"/>
                <w:iCs w:val="0"/>
                <w:color w:val="auto"/>
                <w:kern w:val="2"/>
                <w:sz w:val="20"/>
                <w:szCs w:val="20"/>
                <w:highlight w:val="none"/>
                <w:u w:val="none"/>
                <w:lang w:val="en-US" w:eastAsia="zh-CN" w:bidi="ar"/>
              </w:rPr>
              <w:t>×</w:t>
            </w:r>
            <w:r>
              <w:rPr>
                <w:rFonts w:hint="eastAsia" w:ascii="Times New Roman" w:hAnsi="Times New Roman" w:eastAsia="宋体" w:cs="Times New Roman"/>
                <w:bCs/>
                <w:i w:val="0"/>
                <w:iCs w:val="0"/>
                <w:color w:val="auto"/>
                <w:kern w:val="2"/>
                <w:sz w:val="20"/>
                <w:szCs w:val="20"/>
                <w:highlight w:val="none"/>
                <w:u w:val="none"/>
                <w:lang w:val="en-US" w:eastAsia="zh-CN" w:bidi="ar"/>
              </w:rPr>
              <w:t>500mm</w:t>
            </w:r>
            <w:r>
              <w:rPr>
                <w:rFonts w:hint="default" w:ascii="Times New Roman" w:hAnsi="Times New Roman" w:eastAsia="宋体" w:cs="Times New Roman"/>
                <w:bCs/>
                <w:i w:val="0"/>
                <w:iCs w:val="0"/>
                <w:color w:val="auto"/>
                <w:kern w:val="2"/>
                <w:sz w:val="20"/>
                <w:szCs w:val="20"/>
                <w:highlight w:val="none"/>
                <w:u w:val="none"/>
                <w:lang w:val="en-US" w:eastAsia="zh-CN" w:bidi="ar"/>
              </w:rPr>
              <w:t>，P=1.5kw，配套手电两用启闭机，双向止水，SS316L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排泥井闸门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D=700</w:t>
            </w:r>
            <w:r>
              <w:rPr>
                <w:rFonts w:hint="default" w:ascii="Times New Roman" w:hAnsi="Times New Roman" w:eastAsia="宋体" w:cs="Times New Roman"/>
                <w:bCs/>
                <w:i w:val="0"/>
                <w:iCs w:val="0"/>
                <w:color w:val="auto"/>
                <w:kern w:val="2"/>
                <w:sz w:val="20"/>
                <w:szCs w:val="20"/>
                <w:highlight w:val="none"/>
                <w:u w:val="none"/>
                <w:lang w:val="en-US" w:eastAsia="zh-CN" w:bidi="ar"/>
              </w:rPr>
              <w:t>，配套手动启闭机，双向止水，SS316L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江苏新浪环保</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二沉池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集渣斗及撇渣管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含DN300排渣管约6m，及管道配件、支撑架等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扬州新河水</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二沉池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二</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提升泵房水泵类设备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潜污泵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Q=1808m3/h，H=23.2m，N≤200kW，cosφ=0.85，变频，附导轨、耦合器、底座等配件，配套控制柜、变频器，要求耐高浓度氯离子，叶轮SS316L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赛莱默飞力</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进水泵房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三</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污泥泵及搅拌器设备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潜水搅拌器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4kW≤N≤5.5kW，D≥650mm，配套导轨、起吊装置、控制箱等，SS316L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赛莱默飞力</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生物池厌氧区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剩余污泥泵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Q=200m3/h，H=10m，N=11kW，带自耦装置，变频，配套阀门、止回阀、伸缩节、控制柜等，叶轮SS316L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赛莱默飞力</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潜水搅拌器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4kW≤N≤5.5kW，D≥650mm，配套导轨、起吊装置、控制箱等，SS316L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赛莱默飞力</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储泥池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回流污泥泵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Q</w:t>
            </w:r>
            <w:r>
              <w:rPr>
                <w:rFonts w:hint="default" w:ascii="Times New Roman" w:hAnsi="Times New Roman" w:eastAsia="宋体" w:cs="Times New Roman"/>
                <w:bCs/>
                <w:i w:val="0"/>
                <w:iCs w:val="0"/>
                <w:color w:val="auto"/>
                <w:kern w:val="2"/>
                <w:sz w:val="20"/>
                <w:szCs w:val="20"/>
                <w:highlight w:val="none"/>
                <w:u w:val="none"/>
                <w:lang w:val="en-US" w:eastAsia="zh-CN" w:bidi="ar"/>
              </w:rPr>
              <w:t>=1390m</w:t>
            </w:r>
            <w:r>
              <w:rPr>
                <w:rFonts w:hint="default" w:ascii="Times New Roman" w:hAnsi="Times New Roman" w:eastAsia="宋体" w:cs="Times New Roman"/>
                <w:bCs/>
                <w:i w:val="0"/>
                <w:iCs w:val="0"/>
                <w:color w:val="auto"/>
                <w:kern w:val="2"/>
                <w:sz w:val="20"/>
                <w:szCs w:val="20"/>
                <w:highlight w:val="none"/>
                <w:u w:val="none"/>
                <w:vertAlign w:val="baseli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/h，H=5.5m，N=45</w:t>
            </w:r>
            <w:r>
              <w:rPr>
                <w:rFonts w:hint="eastAsia" w:ascii="Times New Roman" w:hAnsi="Times New Roman" w:eastAsia="宋体" w:cs="Times New Roman"/>
                <w:bCs/>
                <w:i w:val="0"/>
                <w:iCs w:val="0"/>
                <w:color w:val="auto"/>
                <w:kern w:val="2"/>
                <w:sz w:val="20"/>
                <w:szCs w:val="20"/>
                <w:highlight w:val="none"/>
                <w:u w:val="none"/>
                <w:lang w:val="en-US" w:eastAsia="zh" w:bidi="ar"/>
              </w:rPr>
              <w:t>k</w:t>
            </w:r>
            <w:r>
              <w:rPr>
                <w:rFonts w:hint="default" w:ascii="Times New Roman" w:hAnsi="Times New Roman" w:eastAsia="宋体" w:cs="Times New Roman"/>
                <w:bCs/>
                <w:i w:val="0"/>
                <w:iCs w:val="0"/>
                <w:color w:val="auto"/>
                <w:kern w:val="2"/>
                <w:sz w:val="20"/>
                <w:szCs w:val="20"/>
                <w:highlight w:val="none"/>
                <w:u w:val="none"/>
                <w:lang w:val="en-US" w:eastAsia="zh-CN" w:bidi="ar"/>
              </w:rPr>
              <w:t>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赛莱默飞力</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配水配泥井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四</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综合池泵类设备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剩余污泥泵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Q=</w:t>
            </w:r>
            <w:r>
              <w:rPr>
                <w:rFonts w:hint="default" w:ascii="Times New Roman" w:hAnsi="Times New Roman" w:eastAsia="宋体" w:cs="Times New Roman"/>
                <w:bCs/>
                <w:i w:val="0"/>
                <w:iCs w:val="0"/>
                <w:color w:val="auto"/>
                <w:kern w:val="2"/>
                <w:sz w:val="20"/>
                <w:szCs w:val="20"/>
                <w:highlight w:val="none"/>
                <w:u w:val="none"/>
                <w:lang w:val="en-US" w:eastAsia="zh-CN" w:bidi="ar"/>
              </w:rPr>
              <w:t>20m3/h，H=20m，P=3.0kW，变频，配套阀门、止回阀、伸缩节、控制柜等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川源</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污泥输送泵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Q=</w:t>
            </w:r>
            <w:r>
              <w:rPr>
                <w:rFonts w:hint="default" w:ascii="Times New Roman" w:hAnsi="Times New Roman" w:eastAsia="宋体" w:cs="Times New Roman"/>
                <w:bCs/>
                <w:i w:val="0"/>
                <w:iCs w:val="0"/>
                <w:color w:val="auto"/>
                <w:kern w:val="2"/>
                <w:sz w:val="20"/>
                <w:szCs w:val="20"/>
                <w:highlight w:val="none"/>
                <w:u w:val="none"/>
                <w:lang w:val="en-US" w:eastAsia="zh-CN" w:bidi="ar"/>
              </w:rPr>
              <w:t>32m3/h，H=20m，P=11kW，变频，配套阀门、止回阀、伸缩节、控制柜等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川源</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污泥回流泵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Q=</w:t>
            </w:r>
            <w:r>
              <w:rPr>
                <w:rFonts w:hint="default" w:ascii="Times New Roman" w:hAnsi="Times New Roman" w:eastAsia="宋体" w:cs="Times New Roman"/>
                <w:bCs/>
                <w:i w:val="0"/>
                <w:iCs w:val="0"/>
                <w:color w:val="auto"/>
                <w:kern w:val="2"/>
                <w:sz w:val="20"/>
                <w:szCs w:val="20"/>
                <w:highlight w:val="none"/>
                <w:u w:val="none"/>
                <w:lang w:val="en-US" w:eastAsia="zh-CN" w:bidi="ar"/>
              </w:rPr>
              <w:t>120m3/h，H=12m，P=7.5kW，变频，配套阀门、止回阀、伸缩节、控制柜等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克莱勃斯</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斜管冲洗泵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Q=</w:t>
            </w:r>
            <w:r>
              <w:rPr>
                <w:rFonts w:hint="default" w:ascii="Times New Roman" w:hAnsi="Times New Roman" w:eastAsia="宋体" w:cs="Times New Roman"/>
                <w:bCs/>
                <w:i w:val="0"/>
                <w:iCs w:val="0"/>
                <w:color w:val="auto"/>
                <w:kern w:val="2"/>
                <w:sz w:val="20"/>
                <w:szCs w:val="20"/>
                <w:highlight w:val="none"/>
                <w:u w:val="none"/>
                <w:lang w:val="en-US" w:eastAsia="zh-CN" w:bidi="ar"/>
              </w:rPr>
              <w:t>15m3/h，H=30m，P=3.0kW，配套控制柜</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南方泵业</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五</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综合池搅拌设备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反应搅拌机</w:t>
            </w:r>
            <w:r>
              <w:rPr>
                <w:rFonts w:hint="eastAsia" w:ascii="Times New Roman" w:hAnsi="Times New Roman" w:eastAsia="宋体" w:cs="Times New Roman"/>
                <w:bCs/>
                <w:i w:val="0"/>
                <w:iCs w:val="0"/>
                <w:color w:val="auto"/>
                <w:kern w:val="2"/>
                <w:sz w:val="20"/>
                <w:szCs w:val="20"/>
                <w:highlight w:val="none"/>
                <w:u w:val="none"/>
                <w:lang w:val="en-US" w:eastAsia="zh-CN" w:bidi="ar"/>
              </w:rPr>
              <w:t>A</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DN1550，转速30-60rpm，</w:t>
            </w:r>
            <w:r>
              <w:rPr>
                <w:rFonts w:hint="default" w:ascii="Times New Roman" w:hAnsi="Times New Roman" w:eastAsia="宋体" w:cs="Times New Roman"/>
                <w:bCs/>
                <w:i w:val="0"/>
                <w:iCs w:val="0"/>
                <w:color w:val="auto"/>
                <w:kern w:val="2"/>
                <w:sz w:val="20"/>
                <w:szCs w:val="20"/>
                <w:highlight w:val="none"/>
                <w:u w:val="none"/>
                <w:lang w:val="en-US" w:eastAsia="zh-CN" w:bidi="ar"/>
              </w:rPr>
              <w:t>P=2.2kW</w:t>
            </w:r>
            <w:r>
              <w:rPr>
                <w:rFonts w:hint="eastAsia" w:ascii="Times New Roman" w:hAnsi="Times New Roman" w:eastAsia="宋体" w:cs="Times New Roman"/>
                <w:bCs/>
                <w:i w:val="0"/>
                <w:iCs w:val="0"/>
                <w:color w:val="auto"/>
                <w:kern w:val="2"/>
                <w:sz w:val="20"/>
                <w:szCs w:val="20"/>
                <w:highlight w:val="none"/>
                <w:u w:val="none"/>
                <w:lang w:val="en-US" w:eastAsia="zh-CN" w:bidi="ar"/>
              </w:rPr>
              <w:t>，变频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坎布里奇</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反应搅拌机</w:t>
            </w:r>
            <w:r>
              <w:rPr>
                <w:rFonts w:hint="eastAsia" w:ascii="Times New Roman" w:hAnsi="Times New Roman" w:eastAsia="宋体" w:cs="Times New Roman"/>
                <w:bCs/>
                <w:i w:val="0"/>
                <w:iCs w:val="0"/>
                <w:color w:val="auto"/>
                <w:kern w:val="2"/>
                <w:sz w:val="20"/>
                <w:szCs w:val="20"/>
                <w:highlight w:val="none"/>
                <w:u w:val="none"/>
                <w:lang w:val="en-US" w:eastAsia="zh-CN" w:bidi="ar"/>
              </w:rPr>
              <w:t>B</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DN2000，转速20-50rpm，</w:t>
            </w:r>
            <w:r>
              <w:rPr>
                <w:rFonts w:hint="default" w:ascii="Times New Roman" w:hAnsi="Times New Roman" w:eastAsia="宋体" w:cs="Times New Roman"/>
                <w:bCs/>
                <w:i w:val="0"/>
                <w:iCs w:val="0"/>
                <w:color w:val="auto"/>
                <w:kern w:val="2"/>
                <w:sz w:val="20"/>
                <w:szCs w:val="20"/>
                <w:highlight w:val="none"/>
                <w:u w:val="none"/>
                <w:lang w:val="en-US" w:eastAsia="zh-CN" w:bidi="ar"/>
              </w:rPr>
              <w:t>P=3.0kW</w:t>
            </w:r>
            <w:r>
              <w:rPr>
                <w:rFonts w:hint="eastAsia" w:ascii="Times New Roman" w:hAnsi="Times New Roman" w:eastAsia="宋体" w:cs="Times New Roman"/>
                <w:bCs/>
                <w:i w:val="0"/>
                <w:iCs w:val="0"/>
                <w:color w:val="auto"/>
                <w:kern w:val="2"/>
                <w:sz w:val="20"/>
                <w:szCs w:val="20"/>
                <w:highlight w:val="none"/>
                <w:u w:val="none"/>
                <w:lang w:val="en-US" w:eastAsia="zh-CN" w:bidi="ar"/>
              </w:rPr>
              <w:t>，变频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坎布里奇</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反应搅拌机</w:t>
            </w:r>
            <w:r>
              <w:rPr>
                <w:rFonts w:hint="eastAsia" w:ascii="Times New Roman" w:hAnsi="Times New Roman" w:eastAsia="宋体" w:cs="Times New Roman"/>
                <w:bCs/>
                <w:i w:val="0"/>
                <w:iCs w:val="0"/>
                <w:color w:val="auto"/>
                <w:kern w:val="2"/>
                <w:sz w:val="20"/>
                <w:szCs w:val="20"/>
                <w:highlight w:val="none"/>
                <w:u w:val="none"/>
                <w:lang w:val="en-US" w:eastAsia="zh-CN" w:bidi="ar"/>
              </w:rPr>
              <w:t>C</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eastAsiaTheme="minorEastAsia"/>
                <w:bCs/>
                <w:i w:val="0"/>
                <w:iCs w:val="0"/>
                <w:color w:val="auto"/>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DN3300，转速20-40rpm，</w:t>
            </w:r>
            <w:r>
              <w:rPr>
                <w:rFonts w:hint="default" w:ascii="Times New Roman" w:hAnsi="Times New Roman" w:eastAsia="宋体" w:cs="Times New Roman"/>
                <w:bCs/>
                <w:i w:val="0"/>
                <w:iCs w:val="0"/>
                <w:color w:val="auto"/>
                <w:kern w:val="2"/>
                <w:sz w:val="20"/>
                <w:szCs w:val="20"/>
                <w:highlight w:val="none"/>
                <w:u w:val="none"/>
                <w:lang w:val="en-US" w:eastAsia="zh-CN" w:bidi="ar"/>
              </w:rPr>
              <w:t>P=5.5kW</w:t>
            </w:r>
            <w:r>
              <w:rPr>
                <w:rFonts w:hint="eastAsia"/>
                <w:color w:val="auto"/>
                <w:lang w:eastAsia="zh-CN"/>
              </w:rPr>
              <w:t>，</w:t>
            </w:r>
            <w:r>
              <w:rPr>
                <w:rFonts w:hint="eastAsia"/>
                <w:color w:val="auto"/>
                <w:lang w:val="en-US" w:eastAsia="zh-CN"/>
              </w:rPr>
              <w:t>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坎布里奇</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宋体" w:cs="Times New Roman"/>
                <w:bCs/>
                <w:i w:val="0"/>
                <w:iCs w:val="0"/>
                <w:color w:val="auto"/>
                <w:sz w:val="20"/>
                <w:szCs w:val="20"/>
                <w:highlight w:val="none"/>
                <w:u w:val="none"/>
                <w:lang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六</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仪表设备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超声波液位差计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变送器+</w:t>
            </w:r>
            <w:r>
              <w:rPr>
                <w:rFonts w:hint="default" w:ascii="Times New Roman" w:hAnsi="Times New Roman" w:eastAsia="宋体" w:cs="Times New Roman"/>
                <w:bCs/>
                <w:i w:val="0"/>
                <w:iCs w:val="0"/>
                <w:color w:val="auto"/>
                <w:kern w:val="2"/>
                <w:sz w:val="20"/>
                <w:szCs w:val="20"/>
                <w:highlight w:val="none"/>
                <w:u w:val="none"/>
                <w:lang w:val="en-US" w:eastAsia="zh-CN" w:bidi="ar"/>
              </w:rPr>
              <w:t>传感器；0～20m，IP68；4～20mA，四线制，配套304不锈钢仪表箱及相关附件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西门子</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提升泵房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超声波液位差计</w:t>
            </w:r>
          </w:p>
        </w:tc>
        <w:tc>
          <w:tcPr>
            <w:tcW w:w="17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变送器+</w:t>
            </w:r>
            <w:r>
              <w:rPr>
                <w:rFonts w:hint="default" w:ascii="Times New Roman" w:hAnsi="Times New Roman" w:eastAsia="宋体" w:cs="Times New Roman"/>
                <w:bCs/>
                <w:i w:val="0"/>
                <w:iCs w:val="0"/>
                <w:color w:val="auto"/>
                <w:kern w:val="2"/>
                <w:sz w:val="20"/>
                <w:szCs w:val="20"/>
                <w:highlight w:val="none"/>
                <w:u w:val="none"/>
                <w:lang w:val="en-US" w:eastAsia="zh-CN" w:bidi="ar"/>
              </w:rPr>
              <w:t>传感器；0～5m，IP68；4～20mA，四线制，配套304不锈钢仪表箱及相关附件</w:t>
            </w:r>
          </w:p>
        </w:tc>
        <w:tc>
          <w:tcPr>
            <w:tcW w:w="36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7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西门子</w:t>
            </w:r>
          </w:p>
        </w:tc>
        <w:tc>
          <w:tcPr>
            <w:tcW w:w="75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细格栅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17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Times New Roman" w:hAnsi="Times New Roman" w:eastAsia="宋体" w:cs="Times New Roman"/>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ORP仪表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 xml:space="preserve">ORP差分电极 </w:t>
            </w:r>
            <w:r>
              <w:rPr>
                <w:rFonts w:hint="eastAsia" w:ascii="Times New Roman" w:hAnsi="Times New Roman" w:eastAsia="宋体" w:cs="Times New Roman"/>
                <w:bCs/>
                <w:i w:val="0"/>
                <w:iCs w:val="0"/>
                <w:color w:val="auto"/>
                <w:kern w:val="2"/>
                <w:sz w:val="20"/>
                <w:szCs w:val="20"/>
                <w:highlight w:val="none"/>
                <w:u w:val="none"/>
                <w:lang w:val="en-US" w:eastAsia="zh" w:bidi="ar"/>
              </w:rPr>
              <w:t>，含</w:t>
            </w:r>
            <w:r>
              <w:rPr>
                <w:rFonts w:hint="default" w:ascii="Times New Roman" w:hAnsi="Times New Roman" w:eastAsia="宋体" w:cs="Times New Roman"/>
                <w:bCs/>
                <w:i w:val="0"/>
                <w:iCs w:val="0"/>
                <w:color w:val="auto"/>
                <w:kern w:val="2"/>
                <w:sz w:val="20"/>
                <w:szCs w:val="20"/>
                <w:highlight w:val="none"/>
                <w:u w:val="none"/>
                <w:lang w:val="en-US" w:eastAsia="zh-CN" w:bidi="ar"/>
              </w:rPr>
              <w:t>控制器，</w:t>
            </w:r>
            <w:r>
              <w:rPr>
                <w:rFonts w:hint="eastAsia" w:ascii="Times New Roman" w:hAnsi="Times New Roman" w:eastAsia="宋体" w:cs="Times New Roman"/>
                <w:bCs/>
                <w:i w:val="0"/>
                <w:iCs w:val="0"/>
                <w:color w:val="auto"/>
                <w:kern w:val="2"/>
                <w:sz w:val="20"/>
                <w:szCs w:val="20"/>
                <w:highlight w:val="none"/>
                <w:u w:val="none"/>
                <w:lang w:val="en-US" w:eastAsia="zh" w:bidi="ar"/>
              </w:rPr>
              <w:t>-</w:t>
            </w:r>
            <w:r>
              <w:rPr>
                <w:rFonts w:hint="default" w:ascii="Times New Roman" w:hAnsi="Times New Roman" w:eastAsia="宋体" w:cs="Times New Roman"/>
                <w:bCs/>
                <w:i w:val="0"/>
                <w:iCs w:val="0"/>
                <w:color w:val="auto"/>
                <w:kern w:val="2"/>
                <w:sz w:val="20"/>
                <w:szCs w:val="20"/>
                <w:highlight w:val="none"/>
                <w:u w:val="none"/>
                <w:lang w:val="en-US" w:eastAsia="zh-CN" w:bidi="ar"/>
              </w:rPr>
              <w:t>1500~1500mV，4~20mA，RS485，IP68，配套304不锈钢仪表箱及相关附件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哈希</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DO仪表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含控制器，0～20mg/L，4~20mA，RS485，IP68，配套304不锈钢仪表箱及相关附件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哈希</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MLSS仪表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传感器：0~20g/l，IP68；变送器：4～20mA，220VAC，IP65，配套304不锈钢仪表箱及相关附件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哈希</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生物池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超声波液位计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 w:bidi="ar"/>
              </w:rPr>
              <w:t>变送器+</w:t>
            </w:r>
            <w:r>
              <w:rPr>
                <w:rFonts w:hint="default" w:ascii="Times New Roman" w:hAnsi="Times New Roman" w:eastAsia="宋体" w:cs="Times New Roman"/>
                <w:bCs/>
                <w:i w:val="0"/>
                <w:iCs w:val="0"/>
                <w:color w:val="auto"/>
                <w:kern w:val="2"/>
                <w:sz w:val="20"/>
                <w:szCs w:val="20"/>
                <w:highlight w:val="none"/>
                <w:u w:val="none"/>
                <w:lang w:val="en-US" w:eastAsia="zh-CN" w:bidi="ar"/>
              </w:rPr>
              <w:t>传感器，0～8m，IP68；4～20mA，四线制，配套304不锈钢仪表箱及相关附件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西门子</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配水配泥井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MLSS仪表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传感器：0~50g/l，IP68；变送器：4～20mA，220VAC，IP65，配套304不锈钢仪表箱及相关附件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哈希</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配水配泥井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渠道流量计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非接触式，速度面积法:分体式:传感器:由液位传感器+速度传感器组成,IP68:变送器:4~20mA,220VAC,IP65,配套304不锈钢仪表箱</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内回流渠道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宋体" w:cs="Times New Roman"/>
                <w:bCs/>
                <w:i w:val="0"/>
                <w:iCs w:val="0"/>
                <w:color w:val="auto"/>
                <w:sz w:val="20"/>
                <w:szCs w:val="20"/>
                <w:highlight w:val="none"/>
                <w:u w:val="none"/>
                <w:lang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七</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其他设备设施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不锈钢</w:t>
            </w:r>
            <w:r>
              <w:rPr>
                <w:rFonts w:hint="default" w:ascii="Times New Roman" w:hAnsi="Times New Roman" w:eastAsia="宋体" w:cs="Times New Roman"/>
                <w:bCs/>
                <w:i w:val="0"/>
                <w:iCs w:val="0"/>
                <w:color w:val="auto"/>
                <w:kern w:val="2"/>
                <w:sz w:val="20"/>
                <w:szCs w:val="20"/>
                <w:highlight w:val="none"/>
                <w:u w:val="none"/>
                <w:lang w:val="en-US" w:eastAsia="zh-CN" w:bidi="ar"/>
              </w:rPr>
              <w:t>集水槽</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val="en-US"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5100×300×</w:t>
            </w:r>
            <w:r>
              <w:rPr>
                <w:rFonts w:hint="eastAsia" w:ascii="Times New Roman" w:hAnsi="Times New Roman" w:eastAsia="宋体" w:cs="Times New Roman"/>
                <w:bCs/>
                <w:i w:val="0"/>
                <w:iCs w:val="0"/>
                <w:color w:val="auto"/>
                <w:kern w:val="2"/>
                <w:sz w:val="20"/>
                <w:szCs w:val="20"/>
                <w:highlight w:val="none"/>
                <w:u w:val="none"/>
                <w:lang w:val="en-US" w:eastAsia="zh-CN" w:bidi="ar"/>
              </w:rPr>
              <w:t>300</w:t>
            </w:r>
            <w:r>
              <w:rPr>
                <w:rFonts w:hint="default" w:ascii="Times New Roman" w:hAnsi="Times New Roman" w:eastAsia="宋体" w:cs="Times New Roman"/>
                <w:bCs/>
                <w:i w:val="0"/>
                <w:iCs w:val="0"/>
                <w:color w:val="auto"/>
                <w:kern w:val="2"/>
                <w:sz w:val="20"/>
                <w:szCs w:val="20"/>
                <w:highlight w:val="none"/>
                <w:u w:val="none"/>
                <w:lang w:val="en-US" w:eastAsia="zh-CN" w:bidi="ar"/>
              </w:rPr>
              <w:t>mm，</w:t>
            </w:r>
            <w:r>
              <w:rPr>
                <w:rFonts w:hint="eastAsia" w:ascii="Times New Roman" w:hAnsi="Times New Roman" w:eastAsia="宋体" w:cs="Times New Roman"/>
                <w:bCs/>
                <w:i w:val="0"/>
                <w:iCs w:val="0"/>
                <w:color w:val="auto"/>
                <w:kern w:val="2"/>
                <w:sz w:val="20"/>
                <w:szCs w:val="20"/>
                <w:highlight w:val="none"/>
                <w:u w:val="none"/>
                <w:lang w:val="en-US" w:eastAsia="zh-CN" w:bidi="ar"/>
              </w:rPr>
              <w:t>厚5mm，304不锈钢</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不锈钢可调出水堰板</w:t>
            </w:r>
          </w:p>
        </w:tc>
        <w:tc>
          <w:tcPr>
            <w:tcW w:w="1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5100</w:t>
            </w:r>
            <w:r>
              <w:rPr>
                <w:rFonts w:hint="default" w:ascii="Times New Roman" w:hAnsi="Times New Roman" w:eastAsia="宋体" w:cs="Times New Roman"/>
                <w:bCs/>
                <w:i w:val="0"/>
                <w:iCs w:val="0"/>
                <w:color w:val="auto"/>
                <w:kern w:val="2"/>
                <w:sz w:val="20"/>
                <w:szCs w:val="20"/>
                <w:highlight w:val="none"/>
                <w:u w:val="none"/>
                <w:lang w:val="en-US" w:eastAsia="zh-CN" w:bidi="ar"/>
              </w:rPr>
              <w:t>×</w:t>
            </w:r>
            <w:r>
              <w:rPr>
                <w:rFonts w:hint="eastAsia" w:ascii="Times New Roman" w:hAnsi="Times New Roman" w:eastAsia="宋体" w:cs="Times New Roman"/>
                <w:bCs/>
                <w:i w:val="0"/>
                <w:iCs w:val="0"/>
                <w:color w:val="auto"/>
                <w:kern w:val="2"/>
                <w:sz w:val="20"/>
                <w:szCs w:val="20"/>
                <w:highlight w:val="none"/>
                <w:u w:val="none"/>
                <w:lang w:val="en-US" w:eastAsia="zh-CN" w:bidi="ar"/>
              </w:rPr>
              <w:t>200mm，厚4mm，附30mm调整孔、螺栓等附件，304不锈钢</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96</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w:t>
            </w:r>
          </w:p>
        </w:tc>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综合池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（2）原位技术成套设备清单</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1844"/>
        <w:gridCol w:w="6218"/>
        <w:gridCol w:w="786"/>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 w:val="0"/>
                <w:bCs/>
                <w:i w:val="0"/>
                <w:iCs w:val="0"/>
                <w:color w:val="auto"/>
                <w:sz w:val="20"/>
                <w:szCs w:val="20"/>
                <w:highlight w:val="none"/>
                <w:u w:val="none"/>
                <w:lang w:bidi="ar"/>
              </w:rPr>
            </w:pPr>
            <w:r>
              <w:rPr>
                <w:rFonts w:hint="default" w:ascii="Times New Roman" w:hAnsi="Times New Roman" w:eastAsia="宋体" w:cs="Times New Roman"/>
                <w:b w:val="0"/>
                <w:bCs/>
                <w:i w:val="0"/>
                <w:iCs w:val="0"/>
                <w:color w:val="auto"/>
                <w:kern w:val="2"/>
                <w:sz w:val="20"/>
                <w:szCs w:val="20"/>
                <w:highlight w:val="none"/>
                <w:u w:val="none"/>
                <w:lang w:val="en-US" w:eastAsia="zh-CN" w:bidi="ar"/>
              </w:rPr>
              <w:t>序号</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 w:val="0"/>
                <w:bCs/>
                <w:i w:val="0"/>
                <w:iCs w:val="0"/>
                <w:color w:val="auto"/>
                <w:sz w:val="20"/>
                <w:szCs w:val="20"/>
                <w:highlight w:val="none"/>
                <w:u w:val="none"/>
                <w:lang w:bidi="ar"/>
              </w:rPr>
            </w:pPr>
            <w:r>
              <w:rPr>
                <w:rFonts w:hint="default" w:ascii="Times New Roman" w:hAnsi="Times New Roman" w:eastAsia="宋体" w:cs="Times New Roman"/>
                <w:b w:val="0"/>
                <w:bCs/>
                <w:i w:val="0"/>
                <w:iCs w:val="0"/>
                <w:color w:val="auto"/>
                <w:kern w:val="2"/>
                <w:sz w:val="20"/>
                <w:szCs w:val="20"/>
                <w:highlight w:val="none"/>
                <w:u w:val="none"/>
                <w:lang w:val="en-US" w:eastAsia="zh-CN" w:bidi="ar"/>
              </w:rPr>
              <w:t>设备名称</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 w:val="0"/>
                <w:bCs/>
                <w:i w:val="0"/>
                <w:iCs w:val="0"/>
                <w:color w:val="auto"/>
                <w:sz w:val="20"/>
                <w:szCs w:val="20"/>
                <w:highlight w:val="none"/>
                <w:u w:val="none"/>
                <w:lang w:bidi="ar"/>
              </w:rPr>
            </w:pPr>
            <w:r>
              <w:rPr>
                <w:rFonts w:hint="default" w:ascii="Times New Roman" w:hAnsi="Times New Roman" w:eastAsia="宋体" w:cs="Times New Roman"/>
                <w:b w:val="0"/>
                <w:bCs/>
                <w:i w:val="0"/>
                <w:iCs w:val="0"/>
                <w:color w:val="auto"/>
                <w:kern w:val="2"/>
                <w:sz w:val="20"/>
                <w:szCs w:val="20"/>
                <w:highlight w:val="none"/>
                <w:u w:val="none"/>
                <w:lang w:val="en-US" w:eastAsia="zh-CN" w:bidi="ar"/>
              </w:rPr>
              <w:t>规格</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 w:val="0"/>
                <w:bCs/>
                <w:i w:val="0"/>
                <w:iCs w:val="0"/>
                <w:color w:val="auto"/>
                <w:sz w:val="20"/>
                <w:szCs w:val="20"/>
                <w:highlight w:val="none"/>
                <w:u w:val="none"/>
                <w:lang w:bidi="ar"/>
              </w:rPr>
            </w:pPr>
            <w:r>
              <w:rPr>
                <w:rFonts w:hint="default" w:ascii="Times New Roman" w:hAnsi="Times New Roman" w:eastAsia="宋体" w:cs="Times New Roman"/>
                <w:b w:val="0"/>
                <w:bCs/>
                <w:i w:val="0"/>
                <w:iCs w:val="0"/>
                <w:color w:val="auto"/>
                <w:kern w:val="2"/>
                <w:sz w:val="20"/>
                <w:szCs w:val="20"/>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 w:val="0"/>
                <w:bCs/>
                <w:i w:val="0"/>
                <w:iCs w:val="0"/>
                <w:color w:val="auto"/>
                <w:sz w:val="20"/>
                <w:szCs w:val="20"/>
                <w:highlight w:val="none"/>
                <w:u w:val="none"/>
                <w:lang w:bidi="ar"/>
              </w:rPr>
            </w:pPr>
            <w:r>
              <w:rPr>
                <w:rFonts w:hint="default" w:ascii="Times New Roman" w:hAnsi="Times New Roman" w:eastAsia="宋体" w:cs="Times New Roman"/>
                <w:b w:val="0"/>
                <w:bCs/>
                <w:i w:val="0"/>
                <w:iCs w:val="0"/>
                <w:color w:val="auto"/>
                <w:kern w:val="2"/>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载体投加、筛分回收系统</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系统</w:t>
            </w:r>
            <w:r>
              <w:rPr>
                <w:rFonts w:hint="eastAsia" w:eastAsia="宋体" w:cs="Times New Roman"/>
                <w:bCs/>
                <w:i w:val="0"/>
                <w:iCs w:val="0"/>
                <w:color w:val="auto"/>
                <w:kern w:val="2"/>
                <w:sz w:val="20"/>
                <w:szCs w:val="20"/>
                <w:highlight w:val="none"/>
                <w:u w:val="none"/>
                <w:lang w:val="en-US" w:eastAsia="zh" w:bidi="ar"/>
              </w:rPr>
              <w:t>含</w:t>
            </w:r>
            <w:r>
              <w:rPr>
                <w:rFonts w:hint="default" w:ascii="Times New Roman" w:hAnsi="Times New Roman" w:eastAsia="宋体" w:cs="Times New Roman"/>
                <w:bCs/>
                <w:i w:val="0"/>
                <w:iCs w:val="0"/>
                <w:color w:val="auto"/>
                <w:kern w:val="2"/>
                <w:sz w:val="20"/>
                <w:szCs w:val="20"/>
                <w:highlight w:val="none"/>
                <w:u w:val="none"/>
                <w:lang w:val="en-US" w:eastAsia="zh-CN" w:bidi="ar"/>
              </w:rPr>
              <w:t>载体</w:t>
            </w:r>
            <w:r>
              <w:rPr>
                <w:rFonts w:hint="eastAsia" w:eastAsia="宋体" w:cs="Times New Roman"/>
                <w:bCs/>
                <w:i w:val="0"/>
                <w:iCs w:val="0"/>
                <w:color w:val="auto"/>
                <w:kern w:val="2"/>
                <w:sz w:val="20"/>
                <w:szCs w:val="20"/>
                <w:highlight w:val="none"/>
                <w:u w:val="none"/>
                <w:lang w:val="en-US" w:eastAsia="zh" w:bidi="ar"/>
              </w:rPr>
              <w:t>且具备</w:t>
            </w:r>
            <w:r>
              <w:rPr>
                <w:rFonts w:hint="default" w:ascii="Times New Roman" w:hAnsi="Times New Roman" w:eastAsia="宋体" w:cs="Times New Roman"/>
                <w:bCs/>
                <w:i w:val="0"/>
                <w:iCs w:val="0"/>
                <w:color w:val="auto"/>
                <w:kern w:val="2"/>
                <w:sz w:val="20"/>
                <w:szCs w:val="20"/>
                <w:highlight w:val="none"/>
                <w:u w:val="none"/>
                <w:lang w:val="en-US" w:eastAsia="zh-CN" w:bidi="ar"/>
              </w:rPr>
              <w:t>投加、筛分回收功能，成套设备，子系统应</w:t>
            </w:r>
            <w:r>
              <w:rPr>
                <w:rFonts w:hint="eastAsia" w:eastAsia="宋体" w:cs="Times New Roman"/>
                <w:bCs/>
                <w:i w:val="0"/>
                <w:iCs w:val="0"/>
                <w:color w:val="auto"/>
                <w:kern w:val="2"/>
                <w:sz w:val="20"/>
                <w:szCs w:val="20"/>
                <w:highlight w:val="none"/>
                <w:u w:val="none"/>
                <w:lang w:val="en-US" w:eastAsia="zh" w:bidi="ar"/>
              </w:rPr>
              <w:t>包含</w:t>
            </w:r>
            <w:r>
              <w:rPr>
                <w:rFonts w:hint="default" w:ascii="Times New Roman" w:hAnsi="Times New Roman" w:eastAsia="宋体" w:cs="Times New Roman"/>
                <w:bCs/>
                <w:i w:val="0"/>
                <w:iCs w:val="0"/>
                <w:color w:val="auto"/>
                <w:kern w:val="2"/>
                <w:sz w:val="20"/>
                <w:szCs w:val="20"/>
                <w:highlight w:val="none"/>
                <w:u w:val="none"/>
                <w:lang w:val="en-US" w:eastAsia="zh-CN" w:bidi="ar"/>
              </w:rPr>
              <w:t>粉末载体、投加系统（不限于上料、配药、搅拌等装置）、预处理区域（配套冲洗系统）、调节系统、载体筛分装置、进料装置、回收装置、剩余污泥系统（如有）配套阀门管道</w:t>
            </w:r>
            <w:r>
              <w:rPr>
                <w:rFonts w:hint="eastAsia" w:ascii="宋体" w:hAnsi="宋体" w:eastAsia="宋体" w:cs="宋体"/>
                <w:bCs/>
                <w:i w:val="0"/>
                <w:iCs w:val="0"/>
                <w:kern w:val="2"/>
                <w:sz w:val="20"/>
                <w:szCs w:val="20"/>
                <w:lang w:val="en-US" w:eastAsia="zh-CN" w:bidi="ar"/>
              </w:rPr>
              <w:t>及电气自控系统</w:t>
            </w:r>
            <w:r>
              <w:rPr>
                <w:rFonts w:hint="default" w:ascii="Times New Roman" w:hAnsi="Times New Roman" w:eastAsia="宋体" w:cs="Times New Roman"/>
                <w:bCs/>
                <w:i w:val="0"/>
                <w:iCs w:val="0"/>
                <w:color w:val="auto"/>
                <w:kern w:val="2"/>
                <w:sz w:val="20"/>
                <w:szCs w:val="20"/>
                <w:highlight w:val="none"/>
                <w:u w:val="none"/>
                <w:lang w:val="en-US" w:eastAsia="zh-CN" w:bidi="ar"/>
              </w:rPr>
              <w:t>等。</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项</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2.1</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default" w:ascii="Times New Roman" w:hAnsi="Times New Roman" w:eastAsia="宋体" w:cs="Times New Roman"/>
                <w:bCs/>
                <w:i w:val="0"/>
                <w:iCs w:val="0"/>
                <w:color w:val="auto"/>
                <w:kern w:val="2"/>
                <w:sz w:val="20"/>
                <w:szCs w:val="20"/>
                <w:highlight w:val="none"/>
                <w:u w:val="none"/>
                <w:lang w:val="en-US" w:eastAsia="zh-CN" w:bidi="ar"/>
              </w:rPr>
              <w:t>系统</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含精确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default" w:ascii="Times New Roman" w:hAnsi="Times New Roman" w:eastAsia="宋体" w:cs="Times New Roman"/>
                <w:bCs/>
                <w:i w:val="0"/>
                <w:iCs w:val="0"/>
                <w:color w:val="auto"/>
                <w:kern w:val="2"/>
                <w:sz w:val="20"/>
                <w:szCs w:val="20"/>
                <w:highlight w:val="none"/>
                <w:u w:val="none"/>
                <w:lang w:val="en-US" w:eastAsia="zh-CN" w:bidi="ar"/>
              </w:rPr>
              <w:t>PLC柜、精确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default" w:ascii="Times New Roman" w:hAnsi="Times New Roman" w:eastAsia="宋体" w:cs="Times New Roman"/>
                <w:bCs/>
                <w:i w:val="0"/>
                <w:iCs w:val="0"/>
                <w:color w:val="auto"/>
                <w:kern w:val="2"/>
                <w:sz w:val="20"/>
                <w:szCs w:val="20"/>
                <w:highlight w:val="none"/>
                <w:u w:val="none"/>
                <w:lang w:val="en-US" w:eastAsia="zh-CN" w:bidi="ar"/>
              </w:rPr>
              <w:t>系统软件、精确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default" w:ascii="Times New Roman" w:hAnsi="Times New Roman" w:eastAsia="宋体" w:cs="Times New Roman"/>
                <w:bCs/>
                <w:i w:val="0"/>
                <w:iCs w:val="0"/>
                <w:color w:val="auto"/>
                <w:kern w:val="2"/>
                <w:sz w:val="20"/>
                <w:szCs w:val="20"/>
                <w:highlight w:val="none"/>
                <w:u w:val="none"/>
                <w:lang w:val="en-US" w:eastAsia="zh-CN" w:bidi="ar"/>
              </w:rPr>
              <w:t>相关检测仪表；含投加量精确计算模块、</w:t>
            </w:r>
            <w:r>
              <w:rPr>
                <w:rFonts w:hint="eastAsia" w:eastAsia="宋体" w:cs="Times New Roman"/>
                <w:bCs/>
                <w:i w:val="0"/>
                <w:iCs w:val="0"/>
                <w:color w:val="auto"/>
                <w:kern w:val="2"/>
                <w:sz w:val="20"/>
                <w:szCs w:val="20"/>
                <w:highlight w:val="none"/>
                <w:u w:val="none"/>
                <w:lang w:val="en-US" w:eastAsia="zh" w:bidi="ar"/>
              </w:rPr>
              <w:t>投加</w:t>
            </w:r>
            <w:r>
              <w:rPr>
                <w:rFonts w:hint="default" w:ascii="Times New Roman" w:hAnsi="Times New Roman" w:eastAsia="宋体" w:cs="Times New Roman"/>
                <w:bCs/>
                <w:i w:val="0"/>
                <w:iCs w:val="0"/>
                <w:color w:val="auto"/>
                <w:kern w:val="2"/>
                <w:sz w:val="20"/>
                <w:szCs w:val="20"/>
                <w:highlight w:val="none"/>
                <w:u w:val="none"/>
                <w:lang w:val="en-US" w:eastAsia="zh-CN" w:bidi="ar"/>
              </w:rPr>
              <w:t>流量反馈控制系统模块等</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2.2</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PAC药剂储罐</w:t>
            </w:r>
          </w:p>
        </w:tc>
        <w:tc>
          <w:tcPr>
            <w:tcW w:w="29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V=20m3，N=2.2kW，耐腐蚀，配套超声波液位计、爬梯等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2.3</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PAC加药泵</w:t>
            </w:r>
          </w:p>
        </w:tc>
        <w:tc>
          <w:tcPr>
            <w:tcW w:w="29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Q=0~1500L/h，H=30m，N=1.5kW，隔膜计量泵，变频，配套阀门、Y型过滤器、泄压阀、脉冲阻尼器、压力表、电磁流量计、控制柜等，撬装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2.4</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碳源药剂储罐</w:t>
            </w:r>
          </w:p>
        </w:tc>
        <w:tc>
          <w:tcPr>
            <w:tcW w:w="29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V=30m3，N=2.2kW，耐腐蚀，配套超声波液位计、爬梯等</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2.5</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碳源加药泵</w:t>
            </w:r>
          </w:p>
        </w:tc>
        <w:tc>
          <w:tcPr>
            <w:tcW w:w="29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Q=0~2000L/h，H=30m，N=2.2kW，隔膜计量泵，变频，配套阀门、Y型过滤器、泄压阀、脉冲阻尼器、压力表、电磁流量计、控制柜等，撬装</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2.6</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PAM加药泵</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Q=1500~3000L/h，H=0.3MPa，N=4kW，变频，配套阀门、Y型过滤器、泄压阀、脉冲阻尼器、压力表、电磁流量计、控制柜等，撬装</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2.7</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絮凝剂制备装置</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配置能力6-22kg/h，4.0kW，配套箱体、储料仓、自动给料机、阀门、搅拌机、液位计、控制柜等</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2.8</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卸料泵</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Q=20m3/h，H=15m，P=2.2kW；1用1 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套</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u w:val="none"/>
                <w:lang w:val="en-US" w:eastAsia="zh" w:bidi="ar"/>
              </w:rPr>
            </w:pPr>
            <w:r>
              <w:rPr>
                <w:rFonts w:hint="eastAsia" w:ascii="Times New Roman" w:hAnsi="Times New Roman" w:eastAsia="宋体" w:cs="Times New Roman"/>
                <w:bCs/>
                <w:i w:val="0"/>
                <w:iCs w:val="0"/>
                <w:color w:val="auto"/>
                <w:kern w:val="2"/>
                <w:sz w:val="20"/>
                <w:szCs w:val="20"/>
                <w:highlight w:val="none"/>
                <w:u w:val="none"/>
                <w:lang w:val="en-US" w:eastAsia="zh"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过程仪表</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包括但不限于水质监测仪表、工艺过程控制参数仪表、流量、液位、浓度等，适配粉末载体工艺监测需求，含安装附件，需与PLC无缝对接，确保仪表适配所选工艺特性。</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项</w:t>
            </w:r>
          </w:p>
        </w:tc>
        <w:tc>
          <w:tcPr>
            <w:tcW w:w="4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氨氮测量仪</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传感器：量程0～100mg/L，连续测量，防护等级：IP68</w:t>
            </w:r>
            <w:r>
              <w:rPr>
                <w:rFonts w:hint="default" w:ascii="Times New Roman" w:hAnsi="Times New Roman" w:eastAsia="宋体" w:cs="Times New Roman"/>
                <w:bCs/>
                <w:i w:val="0"/>
                <w:iCs w:val="0"/>
                <w:color w:val="auto"/>
                <w:kern w:val="2"/>
                <w:sz w:val="20"/>
                <w:szCs w:val="20"/>
                <w:highlight w:val="none"/>
                <w:u w:val="none"/>
                <w:lang w:val="en-US" w:eastAsia="zh-CN" w:bidi="ar"/>
              </w:rPr>
              <w:br w:type="textWrapping"/>
            </w:r>
            <w:r>
              <w:rPr>
                <w:rFonts w:hint="default" w:ascii="Times New Roman" w:hAnsi="Times New Roman" w:eastAsia="宋体" w:cs="Times New Roman"/>
                <w:bCs/>
                <w:i w:val="0"/>
                <w:iCs w:val="0"/>
                <w:color w:val="auto"/>
                <w:kern w:val="2"/>
                <w:sz w:val="20"/>
                <w:szCs w:val="20"/>
                <w:highlight w:val="none"/>
                <w:u w:val="none"/>
                <w:lang w:val="en-US" w:eastAsia="zh-CN" w:bidi="ar"/>
              </w:rPr>
              <w:t>变送器：AC220V供电，4～20mA输出，继电器故障报警，防护等级：IP55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硝酸盐在线分析仪</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传感器：量程0～50mg/L，UV紫外光，连续测量，防护等级：IP68变送器：AC220V供电，4～20mA输出，继电器故障报警，防护等级：IP66仪器与精确加药系统通讯</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MLSS仪表</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传感器：0~50g/l，IP68；变送器：4～20mA，220VAC，IP65，配套SS304仪表箱及相关附件</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DO仪表</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0～20mg/L，4~20mA，RS485，IP68，配套SS304仪表箱及相关附件</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正磷酸盐分析仪</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量程1：0.05~15mg/L，量程2：1~50mg/L，配套取样泵及控制设备；仪器与精确加药系统通讯</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.6</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污泥界面仪</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传感器：0.2～12m，分辨率小于0.04m，防护等级：IP68</w:t>
            </w:r>
            <w:r>
              <w:rPr>
                <w:rFonts w:hint="default" w:ascii="Times New Roman" w:hAnsi="Times New Roman" w:eastAsia="宋体" w:cs="Times New Roman"/>
                <w:bCs/>
                <w:i w:val="0"/>
                <w:iCs w:val="0"/>
                <w:color w:val="auto"/>
                <w:kern w:val="2"/>
                <w:sz w:val="20"/>
                <w:szCs w:val="20"/>
                <w:highlight w:val="none"/>
                <w:u w:val="none"/>
                <w:lang w:val="en-US" w:eastAsia="zh-CN" w:bidi="ar"/>
              </w:rPr>
              <w:br w:type="textWrapping"/>
            </w:r>
            <w:r>
              <w:rPr>
                <w:rFonts w:hint="default" w:ascii="Times New Roman" w:hAnsi="Times New Roman" w:eastAsia="宋体" w:cs="Times New Roman"/>
                <w:bCs/>
                <w:i w:val="0"/>
                <w:iCs w:val="0"/>
                <w:color w:val="auto"/>
                <w:kern w:val="2"/>
                <w:sz w:val="20"/>
                <w:szCs w:val="20"/>
                <w:highlight w:val="none"/>
                <w:u w:val="none"/>
                <w:lang w:val="en-US" w:eastAsia="zh-CN" w:bidi="ar"/>
              </w:rPr>
              <w:t>变送器：AC220V供电，4～20mA输出，继电器故障报警，防护等级：IP65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.7</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分体式超声波液位计</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传感器：0～20m,防护等级：IP68</w:t>
            </w:r>
            <w:r>
              <w:rPr>
                <w:rFonts w:hint="default" w:ascii="Times New Roman" w:hAnsi="Times New Roman" w:eastAsia="宋体" w:cs="Times New Roman"/>
                <w:bCs/>
                <w:i w:val="0"/>
                <w:iCs w:val="0"/>
                <w:color w:val="auto"/>
                <w:kern w:val="2"/>
                <w:sz w:val="20"/>
                <w:szCs w:val="20"/>
                <w:highlight w:val="none"/>
                <w:u w:val="none"/>
                <w:lang w:val="en-US" w:eastAsia="zh-CN" w:bidi="ar"/>
              </w:rPr>
              <w:br w:type="textWrapping"/>
            </w:r>
            <w:r>
              <w:rPr>
                <w:rFonts w:hint="default" w:ascii="Times New Roman" w:hAnsi="Times New Roman" w:eastAsia="宋体" w:cs="Times New Roman"/>
                <w:bCs/>
                <w:i w:val="0"/>
                <w:iCs w:val="0"/>
                <w:color w:val="auto"/>
                <w:kern w:val="2"/>
                <w:sz w:val="20"/>
                <w:szCs w:val="20"/>
                <w:highlight w:val="none"/>
                <w:u w:val="none"/>
                <w:lang w:val="en-US" w:eastAsia="zh-CN" w:bidi="ar"/>
              </w:rPr>
              <w:t>变送器：AC220V供电，4～20mA输出，继电器故障报警，防护等级：IP65</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.8</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压力变送器</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两线制仪表，量程：0～2bar，4～20mA，防护等级：IP68</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.9</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仪表箱</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304不锈钢材质，根据变送器尺寸定制，IP65，带1套信道SPD防雷装置、1套电源SPD防雷装置，内设变送器电源</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套</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8</w:t>
            </w:r>
            <w:r>
              <w:rPr>
                <w:rFonts w:hint="default" w:ascii="Times New Roman" w:hAnsi="Times New Roman" w:eastAsia="宋体" w:cs="Times New Roman"/>
                <w:bCs/>
                <w:i w:val="0"/>
                <w:iCs w:val="0"/>
                <w:color w:val="auto"/>
                <w:kern w:val="2"/>
                <w:sz w:val="20"/>
                <w:szCs w:val="20"/>
                <w:highlight w:val="none"/>
                <w:u w:val="none"/>
                <w:lang w:val="en-US" w:eastAsia="zh-CN" w:bidi="ar"/>
              </w:rPr>
              <w:br w:type="textWrapping"/>
            </w:r>
            <w:r>
              <w:rPr>
                <w:rFonts w:hint="default" w:ascii="Times New Roman" w:hAnsi="Times New Roman" w:eastAsia="宋体" w:cs="Times New Roman"/>
                <w:bCs/>
                <w:i w:val="0"/>
                <w:iCs w:val="0"/>
                <w:color w:val="auto"/>
                <w:kern w:val="2"/>
                <w:sz w:val="20"/>
                <w:szCs w:val="20"/>
                <w:highlight w:val="none"/>
                <w:u w:val="none"/>
                <w:lang w:val="en-US" w:eastAsia="zh-CN" w:bidi="ar"/>
              </w:rPr>
              <w:t>暂定数量，按需配备。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4</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污泥泵</w:t>
            </w:r>
          </w:p>
        </w:tc>
        <w:tc>
          <w:tcPr>
            <w:tcW w:w="29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工艺配套提供，Q=200m3/h，H=10m，N=11kW，变频，配套阀门、止回阀、伸缩节、控制柜等</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宋体" w:cs="Times New Roman"/>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u w:val="none"/>
                <w:lang w:val="en-US" w:eastAsia="zh-CN" w:bidi="ar"/>
              </w:rPr>
              <w:t>4</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内所有设备（含成套设备供应所需的配套管配件、阀门、连接件等）均为本次招标范围。本项目招标范围主要为现状老旧设备更换和原位技术成套设备，其中原位技术成套设备为概括性清单，成套设备包括但不限于：设备框架（如有）、粉末载体</w:t>
      </w:r>
      <w:r>
        <w:rPr>
          <w:rFonts w:hint="eastAsia" w:ascii="宋体" w:hAnsi="宋体" w:eastAsia="宋体" w:cs="宋体"/>
          <w:b/>
          <w:bCs/>
          <w:color w:val="auto"/>
          <w:sz w:val="21"/>
          <w:szCs w:val="21"/>
          <w:highlight w:val="none"/>
          <w:lang w:val="en-US" w:eastAsia="zh"/>
        </w:rPr>
        <w:t>（本项目最终验收通过前，项目各阶段所需的粉末载体投加，全部由投标人承担并负责实施）</w:t>
      </w:r>
      <w:r>
        <w:rPr>
          <w:rFonts w:hint="eastAsia" w:ascii="宋体" w:hAnsi="宋体" w:eastAsia="宋体"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投加系统（含配料、储存、计量及输送等）、</w:t>
      </w:r>
      <w:r>
        <w:rPr>
          <w:rFonts w:hint="eastAsia" w:ascii="宋体" w:hAnsi="宋体" w:eastAsia="宋体" w:cs="宋体"/>
          <w:b/>
          <w:bCs/>
          <w:color w:val="auto"/>
          <w:sz w:val="21"/>
          <w:szCs w:val="21"/>
          <w:highlight w:val="none"/>
          <w:lang w:val="en-US" w:eastAsia="zh-CN"/>
        </w:rPr>
        <w:t>筛分</w:t>
      </w:r>
      <w:r>
        <w:rPr>
          <w:rFonts w:hint="default" w:ascii="宋体" w:hAnsi="宋体" w:eastAsia="宋体" w:cs="宋体"/>
          <w:b/>
          <w:bCs/>
          <w:color w:val="auto"/>
          <w:sz w:val="21"/>
          <w:szCs w:val="21"/>
          <w:highlight w:val="none"/>
          <w:lang w:val="en-US" w:eastAsia="zh-CN"/>
        </w:rPr>
        <w:t>回收系统（含清洗系统、调节系统、筛分装置等）</w:t>
      </w:r>
      <w:r>
        <w:rPr>
          <w:rFonts w:hint="eastAsia" w:ascii="宋体" w:hAnsi="宋体" w:eastAsia="宋体" w:cs="宋体"/>
          <w:b/>
          <w:bCs/>
          <w:color w:val="auto"/>
          <w:sz w:val="21"/>
          <w:szCs w:val="21"/>
          <w:highlight w:val="none"/>
          <w:lang w:val="en-US" w:eastAsia="zh-CN"/>
        </w:rPr>
        <w:t>、控制系统（含PLC柜、上位机及软件等）、电气系统（含电缆、桥架、控制柜等）、</w:t>
      </w:r>
      <w:r>
        <w:rPr>
          <w:rFonts w:hint="eastAsia" w:ascii="宋体" w:hAnsi="宋体" w:eastAsia="宋体" w:cs="宋体"/>
          <w:b/>
          <w:bCs/>
          <w:i w:val="0"/>
          <w:iCs w:val="0"/>
          <w:color w:val="auto"/>
          <w:kern w:val="2"/>
          <w:sz w:val="21"/>
          <w:szCs w:val="21"/>
          <w:highlight w:val="none"/>
          <w:u w:val="none"/>
          <w:lang w:val="en-US" w:eastAsia="zh-CN" w:bidi="ar"/>
        </w:rPr>
        <w:t>精确加药系统（</w:t>
      </w:r>
      <w:r>
        <w:rPr>
          <w:rFonts w:hint="eastAsia" w:ascii="宋体" w:hAnsi="宋体" w:eastAsia="宋体" w:cs="宋体"/>
          <w:b/>
          <w:bCs/>
          <w:i w:val="0"/>
          <w:iCs w:val="0"/>
          <w:color w:val="auto"/>
          <w:kern w:val="2"/>
          <w:sz w:val="21"/>
          <w:szCs w:val="21"/>
          <w:highlight w:val="none"/>
          <w:u w:val="none"/>
          <w:lang w:val="en-US" w:eastAsia="zh" w:bidi="ar"/>
        </w:rPr>
        <w:t>含PLC柜、系统软件、相关检测仪表</w:t>
      </w:r>
      <w:r>
        <w:rPr>
          <w:rFonts w:hint="eastAsia" w:ascii="宋体" w:hAnsi="宋体" w:eastAsia="宋体" w:cs="宋体"/>
          <w:b/>
          <w:bCs/>
          <w:i w:val="0"/>
          <w:iCs w:val="0"/>
          <w:color w:val="auto"/>
          <w:kern w:val="2"/>
          <w:sz w:val="21"/>
          <w:szCs w:val="21"/>
          <w:highlight w:val="none"/>
          <w:u w:val="none"/>
          <w:lang w:val="en-US" w:eastAsia="zh-CN" w:bidi="ar"/>
        </w:rPr>
        <w:t>等）、</w:t>
      </w:r>
      <w:r>
        <w:rPr>
          <w:rFonts w:hint="eastAsia" w:ascii="宋体" w:hAnsi="宋体" w:eastAsia="宋体" w:cs="宋体"/>
          <w:b/>
          <w:bCs/>
          <w:color w:val="auto"/>
          <w:sz w:val="21"/>
          <w:szCs w:val="21"/>
          <w:highlight w:val="none"/>
          <w:lang w:val="en-US" w:eastAsia="zh-CN"/>
        </w:rPr>
        <w:t>过程仪表及其他辅助系统，上述所有设备的设计、制造、采购、供货、运输及储存、安装（含安全防护、文明改造措施）、调试、消缺、</w:t>
      </w:r>
      <w:r>
        <w:rPr>
          <w:rFonts w:hint="default" w:ascii="宋体" w:hAnsi="宋体" w:eastAsia="宋体" w:cs="宋体"/>
          <w:b/>
          <w:bCs/>
          <w:color w:val="auto"/>
          <w:sz w:val="21"/>
          <w:szCs w:val="21"/>
          <w:highlight w:val="none"/>
          <w:lang w:val="en-US" w:eastAsia="zh-CN"/>
        </w:rPr>
        <w:t>培训、</w:t>
      </w:r>
      <w:r>
        <w:rPr>
          <w:rFonts w:hint="eastAsia" w:ascii="宋体" w:hAnsi="宋体" w:eastAsia="宋体" w:cs="宋体"/>
          <w:b/>
          <w:bCs/>
          <w:color w:val="auto"/>
          <w:sz w:val="21"/>
          <w:szCs w:val="21"/>
          <w:highlight w:val="none"/>
          <w:lang w:val="en-US" w:eastAsia="zh-CN"/>
        </w:rPr>
        <w:t>试运行、性能考核和最终验收等所有工作，以及人员培训、运营指导、统筹组织全厂联动调试、生产性调试、120小时试运行及性能考核等技术服务，备品备件（明确数量及规格，如易损件清单）等一切为满足本项目技术性能要求（章节3.1.1.2）所必需的设备、材料、服务及工作内容。任何元件、设备、材料或装置，无论清单中是否提及，只要是保障系统完整、性能优良、安全稳定运行所必不可少的，均属于本次供货及服务范围。本项目内所有功能设备需参考“6.3.项目设备参考品牌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应根据本项目系统技术性能要求（章节3.1.1.2）及自身产品、工艺特点，进行完整、全面的清单报价，包含设备制造、检验、包装、运输（至项目现场指定地点）、卸车、仓储、安装、调试、验收、培训等全流程费用。若在项目施工、安装、调试、试运行及验收阶段，因投标人设计缺陷、设备选型不当、漏报缺项等原因，需新增、替换、升级设备/元件，或需进行与设备直接相关的小型土建（如设备基础、预埋件、管沟修复等）相关费用均由投标人承担；投标人漏报的任何内容，视为已包含在总报价中，招标人不再支付任何额外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3.1.1.2.技术性能要求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（1）本项目应满足现行规范或标准的技术要求。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（2）本用户需求书叙述了项目概况、实施目标、供货范围和性质，除上述内容外，投标方所提供的服务还包括二次设计、技术支持、安装调试、售后支持等技术服务工作。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（3）投标人根据本用户需求书要求，对设计方案和清单进行完善，使本项目的处理系统达到所要求的功能、效能和品质。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（4）本项目所有设备供应与调试及技术服务的提供应由同一个法人主体进行系统集成，该主体责任单位应包含</w:t>
      </w:r>
      <w:r>
        <w:rPr>
          <w:rFonts w:hint="eastAsia" w:ascii="宋体" w:hAnsi="宋体" w:eastAsia="宋体" w:cs="宋体"/>
          <w:color w:val="auto"/>
          <w:sz w:val="21"/>
          <w:szCs w:val="21"/>
          <w:highlight w:val="none"/>
          <w:lang w:val="en-US" w:eastAsia="zh"/>
        </w:rPr>
        <w:t>本项目</w:t>
      </w:r>
      <w:r>
        <w:rPr>
          <w:rFonts w:hint="eastAsia" w:ascii="宋体" w:hAnsi="宋体" w:eastAsia="宋体" w:cs="宋体"/>
          <w:color w:val="auto"/>
          <w:sz w:val="21"/>
          <w:szCs w:val="21"/>
          <w:highlight w:val="none"/>
          <w:lang w:val="en-US" w:eastAsia="zh-CN"/>
        </w:rPr>
        <w:t>内所有设备的供应、安装、调试、培训及售后服务等一切相关内容。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（5）投标人在投标过程中有责任自行踏勘现场，而不管招标人是否安排，投标人提交投标文件前被认为已踏勘过现场，充分了解现场的情况。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
        </w:rPr>
        <w:t>原位技术</w:t>
      </w:r>
      <w:r>
        <w:rPr>
          <w:rFonts w:hint="default" w:ascii="宋体" w:hAnsi="宋体" w:eastAsia="宋体" w:cs="宋体"/>
          <w:b/>
          <w:bCs/>
          <w:color w:val="auto"/>
          <w:sz w:val="21"/>
          <w:szCs w:val="21"/>
          <w:highlight w:val="none"/>
          <w:lang w:val="en-US" w:eastAsia="zh-CN"/>
        </w:rPr>
        <w:t>工艺性能要求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原位技术成套设备为外装形式，作用于长安新区污水处理厂现状生物反应池，提高污染物去除效率达到提标扩容目的，同时确保出水水质稳定达标排放，具体如下：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（1）长安新区污水处理厂在原位技术升级时无需减停产配合改造。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（2）在设计正常进水条件下（SS除外），长安新区污水处理厂超负荷运行时平均处理能力稳定提升至23万吨/日，最大处理能力可达到26万吨/日。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出水水质满足《城镇污水处理厂污染物排放标准》（GB18918-2002）一级A标准、广东省地方标准《水污染物排放限值》（DB44/26-2001）的第二时段一级标准、《茅洲河流域水污染物排放标准》（DB44/2130-2018）的较严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（4）投标人提供的原位技术所配的粉末载体及其相关的药剂可实现自动投加。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（5）长安新区污水处理厂各工艺系统及配套设备不因本项目实施产生故障。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（6）原位技术成套设备（粉末载体、投加系统，筛分回收系统及自控系统等）应由核心技术供应商统一设计、供货、安装等。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3.1.2.供货及安装界限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1、投标人负责提供本项目范围内所有设备，配套系统动力柜、PLC柜、控制箱、按钮箱、开关及线缆、管道、支架、紧固件、连接件、螺栓件及其他安装附属件，均由投标人负责供货及安装。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备安装所需的土建预埋（管）件由投标人负责供货及安装。投标人负责本项目所有设备基础施工（包括但不限于设备基础、桩基工程、土方工程等），并负责浇注完成后对预埋部件进行清理以及土建工程完工之后对浇注的设备进行清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备更新如涉及将现场已安装的设备拆除，拆除工作由投标人负责，不得采用破坏性的拆除方式(螺栓、支架、连接件除外)。拆除工作量包括但不限于原设备及其配套控制柜、管道、阀门、电缆线等的拆卸，并整齐放置在招标人指定的厂内位置，拆除范围以招标人现场确认的边界为准。拆除原设备后空出的基础、支架配件及管线等用于安装所采购的，如现有基座、管配件不能满足设备安装、使用的需求的，满足设备安装、使用条件所需的基础制作、支架制作等工作由投标人负责。投标人在拆装过程中造成设备、设施损坏的由投标人承担维修或更换费用。投标人应将拆除后的设备、材料完整停放在所在水厂的指定地点，并移交给招标人。对于招标人不要求进行回收的设备、材料，由投标人自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负责供货设备的安装，包括设备安装、管道安装、电气安装、自控安装以及系统调试等。设备安装、单机试运转期间的临时施工用水、用电及生活、办公措施由投标人负责。设备调试完成并交付招标人使用前的设备保管责任由投标人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5、以上界限内的设备、仪表、管道、阀门、管件、连接件、安装附件配件，不管本用户需求书、招标图纸有无列出，为满足系统实现稳定运行、出水达标所需的，都需由投标人负责供货、安装、调试。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6、电气、自控系统界限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负责本次招标范围内设备的强、弱电全流程工作：配电房至设备动力柜进线的强电工程(高低压接驳改造(如需)及线缆连接)；设备动力柜/PLC站至设备的电控设备供货、安装、接线、调试及线缆连接；新建设备自控系统与厂区现有中控、上位机的衔接(含协议适配、接口改造、数据调试等)，并负责接入前的检査、评估、修复(如需)与优化。线缆连接工作含动力电缆、控制电缆、光纤、桥架、线管的供货、安装及接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3.2.详细技术要求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总体要求：投标人提交的原位技术成套设备的设计方案需报送招标人、招标人指定的设计单位审核通过后方可实施。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3.2.1.设备框架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负责原位技术成套设备二次设计，若需配套设备外部框架，框架需满足以下材质与防腐、结构强度、密封防护、适配性与运维、使用寿命五大核心要求，且二次设计方案需包含框架与设备的适配性分析，经招标人审核通过后方可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3.2.1.1.材质与防腐性能要求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部框架(如有外部框架设备)主体材质需选用316L不锈钢（或经招标人书面认可的同等及以上耐腐蚀材质，如FRP、2205双相钢），禁止使用普通碳钢或未经防腐处理的低合金钢材；框架表面需经“酸洗钝化+静电喷涂”双重防腐处理，涂层材质为耐酸碱环氧树脂，干膜厚度≥80μm，附着力需达到GB/T9286标准中的1级要求（划格试验无脱落），耐盐雾腐蚀性能≥1000h（按GB/T10125测试标准），可长期适应污水厂潮湿、含腐蚀性气体的环境，避免框架锈蚀影响结构稳定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3.2.1.2.结构强度性能要求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主承重梁钢材厚度≥5mm，支撑立柱厚度≥6mm，次要横梁/斜撑厚度≥4mm，需根据所有设备（含载体、泵、仪表、管路及满负荷运行时的介质重量）的总重量进行受力计算，安全系数≥1.5，投标人需提供详细受力计算书（含荷载取值依据、计算过程）；框架连接部位采用“焊接+螺栓加固”双重固定，焊缝高度≥8mm，且需经渗透检测（PT）确认无虚焊、夹渣等缺陷；框架整体挠度需≤L/500（L为支撑跨度），在设备满负荷运行及检修人员站立（按75kg/㎡活荷载）时，无明显变形、异响，确保承载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3.2.1.3.密封防护性能要求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与设备安装接口、管路穿墙板、线缆进出口等部位，需配备耐老化三元乙丙密封胶条或丁腈橡胶密封圈，密封压缩量≥30%，接口装配后需形成连续密封面，确保接口处无污水渗漏、无腐蚀性气体渗入；框架底部与地面接触部位，需设置高度≥100mm的防腐挡水沿（材质与框架一致），防止地面积水浸泡框架底座；若框架包含封闭或半封闭舱体（如电控柜舱、载体储存舱），舱体门板需配防水锁具及密封条，防护等级需达到IP54（按GB/T4208标准），避免粉尘、雨水进入影响内部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3.2.1.4.适配性与运维性能要求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尺寸需适配所有设备的安装布局，预留设备检修通道（宽度≥800mm，高度≥1.8m），且通道地面需铺设防滑花纹钢板（厚度≥3mm）；框架顶部需预留吊装点位（每处吊装点承重≥设备总重量的1/4），并标注吊装标识；框架立柱需预留设备固定螺栓孔（孔径、间距适配设备安装需求），且所有螺栓均需采用不锈钢材质并配防松螺母；框架表面需清晰标注设备编号、检修警示标识，便于后期运维识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3.2.1.5.使用寿命与验收性能要求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整体设计使用寿命需≥15年，在正常使用及定期维护（按投标人提供的维护手册）情况下，10年内不得出现结构性损坏、涂层大面积脱落、接口渗漏等问题；验收时需核查材质证明、防腐检测报告、受力计算书，并进行现场渗漏测试（对密封接口冲水24h，无渗漏为合格）、载荷测试（施加1.2倍设计载荷，持荷1h无变形为合格），所有性能需满足本要求及国家现行标准（如GB50205《钢结构工程施工质量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3.2.2.粉末载体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适配所选粉末载体原位技术，为处理污水提供可被功能微生物定向利用的材料，化学性质稳定，满足pH 6-9、温度10-35℃下无重金属/有毒物质溶出，且无抑菌性，机械强度高，磨损率低，运行耗损率低，耐氧化性能好。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（1）粉末载体由基础载体和功能材料复配而成。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（2）粉末载体无需任何支架或其他的固定方式，可随活性污泥一起在生物池中流化。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基础载体能长时间浸泡于水中稳定不分解，亦不对微生物产生毒害作用。基础载体应具有高度生物亲和性，可为微生物提供生长平台，提高生化池系统的生物多样性及附着型生长的微生物丰度，同步提高脱氮除磷效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（4）粉末载体投加量小，投加载体不会导致污泥产量明显增加，日常补充投加量小。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2、储存、配置、投加等要求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粉末载体应储存于室内，储存、转运和配制设计应符合下列规定：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（1）计算载体储存区面积时，载体堆放高度不宜超过2m，堆放区应采取防雨、防潮措施；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（2）单独的载体储存车间由投标人提供设计方案后经招标人决定是否配置。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（3）粉末载体根据投标人工艺方案具体设计，投加时可配制成悬浊液或直接干式投加，配制用水可采用厂区回用水或自来水。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3.2.3.载体投加系统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粉末载体可采用随用随时投加形式，可不建设现场储存装置，无需建设粉末载体投加作业车间。如投标人需建设储存装置及堆积车间，其所有费用包含于总体报价中。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载体投加系统包括但不限于真空上料系统、存储料仓、加料罐、搅拌器、投加泵、配套阀门管道及配套电气自控系统组成（含控制柜进线电源电缆和接厂区中控通讯线缆）等。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（1）载体通过全封闭存储料仓储料、并使用真空上料系统给料仓上料，由独立可控的卸料器送至加料罐，可以通过PLC设置自动调节并实现计量后投加。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（2）载体投加系统应实现自动称重计量和混合液自动配制功能，包括称重模块、搅拌机、液位计等，应确保密封、自动计量、无粉尘泄露。</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（3）料位及空仓报警。用于显示低、空位，并提供相关报警信号。当料斗内有空穴时，系统应启动振动系统，实现安全排放。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（4）加料罐带自动进料口，壁厚≥6mm，采用碳钢材质，配备电动搅拌机及液位计。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（5）投加泵的过流部件不锈钢材质，机封使用合金对合金机封。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3.2.4.筛选回收系统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筛选回收系统主要由调节系统、预处理系统、筛选回收系统、提升系统及配套电气控制系统等设备组成（含系统控制柜进线电源电缆和接厂区中控通讯线缆等）。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（1）预处理系统功能包括但不限于：清洗过滤、增压水冲洗（冲洗水箱、冲洗水泵、管道及仪表等）、除砂（如需）等。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（2）调节系统包括但不限于调节箱体及液位控制传感器等。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（3）筛选回收系统根据投标人工艺方案具体设计，筛选回收系统应能够高效回收利用载体，降低初始投加量和日均补充量或一次性集中补充量，实现系统高效运行。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（4）提升系统根据投标人方案确定，不限于进料泵、回收泵、剩余污泥泵及配套阀门、管道等，提升泵应采用宽流道的开式螺旋叶轮，配套管道材质为304不锈钢。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（5）电气控制系统包括但不限于配套控制柜、本地监控系统及配套电线电缆（含系统控制柜进线电源电缆和接厂区中控通讯线缆）、安装辅材等。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3.2.5.电气控制系统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3.2.5.1.总体要求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（1）投标人负责本次招标范围内的电气控制系统设计。投标人所提供的电气设备应能满足招标人运行和管理要求。整个电气控制系统具有保护和故障自诊断功能。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（2）电气控制系统负责本次招标范围内设备、仪表的配电、控制、保护、运行指示和报警等功能。应能满足手动控制、自动控制的要求。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3</w:t>
      </w:r>
      <w:r>
        <w:rPr>
          <w:rFonts w:hint="default" w:ascii="宋体" w:hAnsi="宋体" w:eastAsia="宋体" w:cs="宋体"/>
          <w:color w:val="auto"/>
          <w:sz w:val="21"/>
          <w:szCs w:val="21"/>
          <w:highlight w:val="none"/>
          <w:lang w:val="en-US" w:eastAsia="zh-CN"/>
        </w:rPr>
        <w:t>）投标人需结合招标人厂区现有用电情况（含电网容量、配电回路负荷、原有高低压柜配置）、本次招标设备的功率特性及运行需求，完成配电系统的深化设计与完善，包括但不限于新增低压配电柜、电容补偿柜、滤波柜（如需）</w:t>
      </w:r>
      <w:r>
        <w:rPr>
          <w:rFonts w:hint="eastAsia" w:ascii="宋体" w:hAnsi="宋体" w:eastAsia="宋体" w:cs="宋体"/>
          <w:color w:val="auto"/>
          <w:sz w:val="21"/>
          <w:szCs w:val="21"/>
          <w:highlight w:val="none"/>
          <w:lang w:val="en-US" w:eastAsia="zh"/>
        </w:rPr>
        <w:t>、高低压电缆等</w:t>
      </w:r>
      <w:r>
        <w:rPr>
          <w:rFonts w:hint="default" w:ascii="宋体" w:hAnsi="宋体" w:eastAsia="宋体" w:cs="宋体"/>
          <w:color w:val="auto"/>
          <w:sz w:val="21"/>
          <w:szCs w:val="21"/>
          <w:highlight w:val="none"/>
          <w:lang w:val="en-US" w:eastAsia="zh-CN"/>
        </w:rPr>
        <w:t>，或对原有高低压柜进行改造（</w:t>
      </w:r>
      <w:r>
        <w:rPr>
          <w:rFonts w:hint="eastAsia" w:ascii="宋体" w:hAnsi="宋体" w:eastAsia="宋体" w:cs="宋体"/>
          <w:color w:val="auto"/>
          <w:sz w:val="21"/>
          <w:szCs w:val="21"/>
          <w:highlight w:val="none"/>
          <w:lang w:val="en-US" w:eastAsia="zh"/>
        </w:rPr>
        <w:t>如需，</w:t>
      </w:r>
      <w:r>
        <w:rPr>
          <w:rFonts w:hint="default" w:ascii="宋体" w:hAnsi="宋体" w:eastAsia="宋体" w:cs="宋体"/>
          <w:color w:val="auto"/>
          <w:sz w:val="21"/>
          <w:szCs w:val="21"/>
          <w:highlight w:val="none"/>
          <w:lang w:val="en-US" w:eastAsia="zh-CN"/>
        </w:rPr>
        <w:t>如新增回路、扩容、接口适配）等；上述配电系统相关的设计、设备采购、安装、调试、与原有系统衔接等全部工作内容及费用，均已包含在投标总价中，招标人不额外支付任何费用。投标人须在</w:t>
      </w:r>
      <w:r>
        <w:rPr>
          <w:rFonts w:hint="eastAsia" w:ascii="宋体" w:hAnsi="宋体" w:eastAsia="宋体" w:cs="宋体"/>
          <w:color w:val="auto"/>
          <w:sz w:val="21"/>
          <w:szCs w:val="21"/>
          <w:highlight w:val="none"/>
          <w:lang w:val="en-US" w:eastAsia="zh"/>
        </w:rPr>
        <w:t>项目实施前</w:t>
      </w:r>
      <w:r>
        <w:rPr>
          <w:rFonts w:hint="default" w:ascii="宋体" w:hAnsi="宋体" w:eastAsia="宋体" w:cs="宋体"/>
          <w:color w:val="auto"/>
          <w:sz w:val="21"/>
          <w:szCs w:val="21"/>
          <w:highlight w:val="none"/>
          <w:lang w:val="en-US" w:eastAsia="zh-CN"/>
        </w:rPr>
        <w:t>提交配电系统方案，方案需经招标人</w:t>
      </w:r>
      <w:r>
        <w:rPr>
          <w:rFonts w:hint="eastAsia" w:ascii="宋体" w:hAnsi="宋体" w:eastAsia="宋体" w:cs="宋体"/>
          <w:color w:val="auto"/>
          <w:sz w:val="21"/>
          <w:szCs w:val="21"/>
          <w:highlight w:val="none"/>
          <w:lang w:val="en-US" w:eastAsia="zh"/>
        </w:rPr>
        <w:t>确认</w:t>
      </w:r>
      <w:r>
        <w:rPr>
          <w:rFonts w:hint="default" w:ascii="宋体" w:hAnsi="宋体" w:eastAsia="宋体" w:cs="宋体"/>
          <w:color w:val="auto"/>
          <w:sz w:val="21"/>
          <w:szCs w:val="21"/>
          <w:highlight w:val="none"/>
          <w:lang w:val="en-US" w:eastAsia="zh-CN"/>
        </w:rPr>
        <w:t>后方可实施；因方案考虑不周导致后期需额外增加配电设备或改造的，所有成本及责任均由投标人承担，且不得影响项目整体进度与质量。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4</w:t>
      </w:r>
      <w:r>
        <w:rPr>
          <w:rFonts w:hint="eastAsia" w:ascii="宋体" w:hAnsi="宋体" w:eastAsia="宋体" w:cs="宋体"/>
          <w:color w:val="auto"/>
          <w:sz w:val="21"/>
          <w:szCs w:val="21"/>
          <w:highlight w:val="none"/>
          <w:lang w:val="en-US" w:eastAsia="zh-CN"/>
        </w:rPr>
        <w:t>）电控柜（箱）与设备配套提供，投标人提供的控制柜（箱）必须满足安全性、实用性、防潮性等要求，既要方便对现场设备的控制运行，又便于人员操作和检修。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5</w:t>
      </w:r>
      <w:r>
        <w:rPr>
          <w:rFonts w:hint="eastAsia" w:ascii="宋体" w:hAnsi="宋体" w:eastAsia="宋体" w:cs="宋体"/>
          <w:color w:val="auto"/>
          <w:sz w:val="21"/>
          <w:szCs w:val="21"/>
          <w:highlight w:val="none"/>
          <w:lang w:val="en-US" w:eastAsia="zh-CN"/>
        </w:rPr>
        <w:t>）投标人提供的新PLC控制系统须实现与现有PLC系统的无缝对接，确保连接后原有系统的功能完整性、数据传输准确性及整体运行稳定性不受任何负面影响（包括但不限于原有控制逻辑、工艺参数、设备联动关系无异常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在设计前对原有PLC系统进行全面检查与评估（包括硬件状态、软件版本、通讯协议、接口兼容性等），并承担全部检查费用。若发现原有系统存在故障、接口不兼容或功能缺陷导致无法正常接入，投标人须负责修复、调试或改造（包括但不限于硬件更换、软件升级、协议转换等），相关费用已包含在投标总价中，招标人不额外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论采用直接接入、改造接入或其他方式，自新PLC系统与原有系统完成连接并验收合格之日起，因新旧系统连接引发的任何问题（包括但不限于通讯中断、数据错误、功能失效、设备误动作，或原有系统因接入受到的隐性影响），均由投标人承担全部责任，包括排查、维修、更换及由此造成的损失，且招标人无需追加任何费用。质保期内上述问题的处理均属本次招采范围。新旧系统的二次优化方案须经过招标人审核同意后方可开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6</w:t>
      </w:r>
      <w:r>
        <w:rPr>
          <w:rFonts w:hint="eastAsia" w:ascii="宋体" w:hAnsi="宋体" w:eastAsia="宋体" w:cs="宋体"/>
          <w:color w:val="auto"/>
          <w:sz w:val="21"/>
          <w:szCs w:val="21"/>
          <w:highlight w:val="none"/>
          <w:lang w:val="en-US" w:eastAsia="zh-CN"/>
        </w:rPr>
        <w:t>）PLC控制系统不仅要硬件可靠、运行稳定，还应有界面友好的系统软件、编程软件和控制软件。控制系统向全厂自控系统提供如下基本信号：就地手动/自动操作方式；就地/远程控制方式即允许远程自动控制或远程自控准备好信号；机组运行状态信号和运行参数；机组故障状态；各主要设备运行/停止状态；各主要设备故障或报警状态。通讯方式采取RS485或工业以太网接口，支持Modbus-RTU通讯协议或TCP/IP通讯协议。PLC与中控系统采用国标GB/Z19582-3规定的标准工业以太网规约TCP/IP。控制系统由PLC、控制柜及相应配套元件、UPS、人机界面、电源和信号防雷器等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7</w:t>
      </w:r>
      <w:r>
        <w:rPr>
          <w:rFonts w:hint="eastAsia" w:ascii="宋体" w:hAnsi="宋体" w:eastAsia="宋体" w:cs="宋体"/>
          <w:color w:val="auto"/>
          <w:sz w:val="21"/>
          <w:szCs w:val="21"/>
          <w:highlight w:val="none"/>
          <w:lang w:val="en-US" w:eastAsia="zh-CN"/>
        </w:rPr>
        <w:t>）操作人员通过人机界面监视处理过程，调整运行参数，控制现场设备，显示各主要设备运行状态、主要现场数据。载体投加及分离回收系统应接入厂区自控网络并允许在就地控制室及中控室上位机上进行远程控制操作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3.2.5.2.</w:t>
      </w:r>
      <w:r>
        <w:rPr>
          <w:rFonts w:hint="eastAsia" w:ascii="宋体" w:hAnsi="宋体" w:eastAsia="宋体" w:cs="宋体"/>
          <w:color w:val="auto"/>
          <w:sz w:val="21"/>
          <w:szCs w:val="21"/>
          <w:highlight w:val="none"/>
          <w:lang w:val="en-US" w:eastAsia="zh"/>
        </w:rPr>
        <w:t>配电系统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、一般要求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以上的备用端子。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供货设备应在其显著位置钉上耐腐蚀的不锈钢铭牌，铆钉采用同材质的不锈钢材料，内容包括制造厂名称或厂标、设备名称及型号、设备的技术规格、设备出厂编号及出厂日期等，铭牌内字体要蚀刻清晰，不得手写，铭牌内容须采用中文，若为进口设备，铭牌内容须同时采用中</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英文，或者中文、英文铭牌同时并列。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）承包人应保证铭牌内容正常情况下在设备安装运行后的整个寿命周期内清晰可见。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）箱柜内随机的电气控制元器件，其导电接线端子（含端板、螺钉、螺栓、垫片）及线耳、线叉等，其表面均须进行镀锡处理，箱柜内连接用软电线（缆）须采用镀锡铜线。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）所有电气设备的连接线若采用硬芯电线或电缆，则裸露在外的铜导线须进行热镀锡处理。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）箱柜上的所有非导电紧固件，其材质须为不锈钢（防腐性能不低于</w:t>
      </w:r>
      <w:r>
        <w:rPr>
          <w:rFonts w:hint="default" w:ascii="宋体" w:hAnsi="宋体" w:eastAsia="宋体" w:cs="宋体"/>
          <w:color w:val="auto"/>
          <w:sz w:val="21"/>
          <w:szCs w:val="21"/>
          <w:highlight w:val="none"/>
          <w:lang w:val="en-US" w:eastAsia="zh-CN"/>
        </w:rPr>
        <w:t>304</w:t>
      </w:r>
      <w:r>
        <w:rPr>
          <w:rFonts w:hint="eastAsia" w:ascii="宋体" w:hAnsi="宋体" w:eastAsia="宋体" w:cs="宋体"/>
          <w:color w:val="auto"/>
          <w:sz w:val="21"/>
          <w:szCs w:val="21"/>
          <w:highlight w:val="none"/>
          <w:lang w:val="en-US" w:eastAsia="zh-CN"/>
        </w:rPr>
        <w:t>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）箱柜上的格栅网格均须采用</w:t>
      </w:r>
      <w:r>
        <w:rPr>
          <w:rFonts w:hint="default" w:ascii="宋体" w:hAnsi="宋体" w:eastAsia="宋体" w:cs="宋体"/>
          <w:color w:val="auto"/>
          <w:sz w:val="21"/>
          <w:szCs w:val="21"/>
          <w:highlight w:val="none"/>
          <w:lang w:val="en-US" w:eastAsia="zh-CN"/>
        </w:rPr>
        <w:t>304</w:t>
      </w:r>
      <w:r>
        <w:rPr>
          <w:rFonts w:hint="eastAsia" w:ascii="宋体" w:hAnsi="宋体" w:eastAsia="宋体" w:cs="宋体"/>
          <w:color w:val="auto"/>
          <w:sz w:val="21"/>
          <w:szCs w:val="21"/>
          <w:highlight w:val="none"/>
          <w:lang w:val="en-US" w:eastAsia="zh-CN"/>
        </w:rPr>
        <w:t>不锈钢材质，柜体底座及电缆沟支架、盖板、边框等若规定为普通金属材质，则这些配件表面均须进行热浸锌处理。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）开关柜的壳体（含柜门及柜体内的加强筋、筋板、支架及抽斗）采用</w:t>
      </w:r>
      <w:r>
        <w:rPr>
          <w:rFonts w:hint="default" w:ascii="宋体" w:hAnsi="宋体" w:eastAsia="宋体" w:cs="宋体"/>
          <w:color w:val="auto"/>
          <w:sz w:val="21"/>
          <w:szCs w:val="21"/>
          <w:highlight w:val="none"/>
          <w:lang w:val="en-US" w:eastAsia="zh-CN"/>
        </w:rPr>
        <w:t>2.3mm</w:t>
      </w:r>
      <w:r>
        <w:rPr>
          <w:rFonts w:hint="eastAsia" w:ascii="宋体" w:hAnsi="宋体" w:eastAsia="宋体" w:cs="宋体"/>
          <w:color w:val="auto"/>
          <w:sz w:val="21"/>
          <w:szCs w:val="21"/>
          <w:highlight w:val="none"/>
          <w:lang w:val="en-US" w:eastAsia="zh-CN"/>
        </w:rPr>
        <w:t>厚的敷铝锌钢板制成，钣金件边缘切口处须进行防腐处理。门板及壳体外涂三层油漆，即环氧锌黄底漆</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环氧云铁中间漆</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氟碳面漆，其中面漆采用静电喷涂后焙烤，表面抗冲击、耐腐蚀并保证外形的美观。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、详细技术要求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en-US" w:eastAsia="zh-CN"/>
        </w:rPr>
        <w:t>低压配电柜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lang w:val="en-US" w:eastAsia="zh-CN"/>
        </w:rPr>
        <w:t>低压配电柜一般技术要求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低压配电柜采用</w:t>
      </w:r>
      <w:r>
        <w:rPr>
          <w:rFonts w:hint="default" w:ascii="宋体" w:hAnsi="宋体" w:eastAsia="宋体" w:cs="宋体"/>
          <w:color w:val="auto"/>
          <w:sz w:val="21"/>
          <w:szCs w:val="21"/>
          <w:highlight w:val="none"/>
          <w:lang w:val="en-US" w:eastAsia="zh-CN"/>
        </w:rPr>
        <w:t>GCS</w:t>
      </w:r>
      <w:r>
        <w:rPr>
          <w:rFonts w:hint="eastAsia" w:ascii="宋体" w:hAnsi="宋体" w:eastAsia="宋体" w:cs="宋体"/>
          <w:color w:val="auto"/>
          <w:sz w:val="21"/>
          <w:szCs w:val="21"/>
          <w:highlight w:val="none"/>
          <w:lang w:val="en-US" w:eastAsia="zh-CN"/>
        </w:rPr>
        <w:t>型低压抽屉式成套开关设备，产品符合国家标准</w:t>
      </w:r>
      <w:r>
        <w:rPr>
          <w:rFonts w:hint="default" w:ascii="宋体" w:hAnsi="宋体" w:eastAsia="宋体" w:cs="宋体"/>
          <w:color w:val="auto"/>
          <w:sz w:val="21"/>
          <w:szCs w:val="21"/>
          <w:highlight w:val="none"/>
          <w:lang w:val="en-US" w:eastAsia="zh-CN"/>
        </w:rPr>
        <w:t>GB7251</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VDE660</w:t>
      </w:r>
      <w:r>
        <w:rPr>
          <w:rFonts w:hint="eastAsia" w:ascii="宋体" w:hAnsi="宋体" w:eastAsia="宋体" w:cs="宋体"/>
          <w:color w:val="auto"/>
          <w:sz w:val="21"/>
          <w:szCs w:val="21"/>
          <w:highlight w:val="none"/>
          <w:lang w:val="en-US" w:eastAsia="zh-CN"/>
        </w:rPr>
        <w:t>和</w:t>
      </w:r>
      <w:r>
        <w:rPr>
          <w:rFonts w:hint="default" w:ascii="宋体" w:hAnsi="宋体" w:eastAsia="宋体" w:cs="宋体"/>
          <w:color w:val="auto"/>
          <w:sz w:val="21"/>
          <w:szCs w:val="21"/>
          <w:highlight w:val="none"/>
          <w:lang w:val="en-US" w:eastAsia="zh-CN"/>
        </w:rPr>
        <w:t>ZBK36001-89</w:t>
      </w:r>
      <w:r>
        <w:rPr>
          <w:rFonts w:hint="eastAsia" w:ascii="宋体" w:hAnsi="宋体" w:eastAsia="宋体" w:cs="宋体"/>
          <w:color w:val="auto"/>
          <w:sz w:val="21"/>
          <w:szCs w:val="21"/>
          <w:highlight w:val="none"/>
          <w:lang w:val="en-US" w:eastAsia="zh-CN"/>
        </w:rPr>
        <w:t>《低压抽出式成套开关设备》、国际标准</w:t>
      </w:r>
      <w:r>
        <w:rPr>
          <w:rFonts w:hint="default" w:ascii="宋体" w:hAnsi="宋体" w:eastAsia="宋体" w:cs="宋体"/>
          <w:color w:val="auto"/>
          <w:sz w:val="21"/>
          <w:szCs w:val="21"/>
          <w:highlight w:val="none"/>
          <w:lang w:val="en-US" w:eastAsia="zh-CN"/>
        </w:rPr>
        <w:t>IEC439</w:t>
      </w:r>
      <w:r>
        <w:rPr>
          <w:rFonts w:hint="eastAsia" w:ascii="宋体" w:hAnsi="宋体" w:eastAsia="宋体" w:cs="宋体"/>
          <w:color w:val="auto"/>
          <w:sz w:val="21"/>
          <w:szCs w:val="21"/>
          <w:highlight w:val="none"/>
          <w:lang w:val="en-US" w:eastAsia="zh-CN"/>
        </w:rPr>
        <w:t>规定</w:t>
      </w:r>
      <w:r>
        <w:rPr>
          <w:rFonts w:hint="default" w:ascii="宋体" w:hAnsi="宋体" w:eastAsia="宋体" w:cs="宋体"/>
          <w:color w:val="auto"/>
          <w:sz w:val="21"/>
          <w:szCs w:val="21"/>
          <w:highlight w:val="none"/>
          <w:lang w:val="en-US" w:eastAsia="zh-CN"/>
        </w:rPr>
        <w:t>GCS</w:t>
      </w:r>
      <w:r>
        <w:rPr>
          <w:rFonts w:hint="eastAsia" w:ascii="宋体" w:hAnsi="宋体" w:eastAsia="宋体" w:cs="宋体"/>
          <w:color w:val="auto"/>
          <w:sz w:val="21"/>
          <w:szCs w:val="21"/>
          <w:highlight w:val="none"/>
          <w:lang w:val="en-US" w:eastAsia="zh-CN"/>
        </w:rPr>
        <w:t>型低压开关柜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）正常使用条件</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周围空气温度：</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环境湿度：日平均相对湿度不大于</w:t>
      </w:r>
      <w:r>
        <w:rPr>
          <w:rFonts w:hint="default"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月平均相对湿度不大于</w:t>
      </w:r>
      <w:r>
        <w:rPr>
          <w:rFonts w:hint="default"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海拔：设备安装场所的最大海拔高度</w:t>
      </w:r>
      <w:r>
        <w:rPr>
          <w:rFonts w:hint="default"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地震：地震烈度不超过</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级</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周围空气不受腐蚀性或可燃性气体、水蒸气等明显污染</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无严重污秽及经常性的剧烈震动。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）低压配电柜应采用先进的技术，而且结构合理、可靠性高、能耗低、无污染、操作保养和维护简便。低压配电柜应具有完整方案，满足配电、电动机保护以及功率因数补偿的要求。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）低压配电柜内设置的框架断路器、塑壳断路器等需具有国家主管部门颁发的</w:t>
      </w:r>
      <w:r>
        <w:rPr>
          <w:rFonts w:hint="default" w:ascii="宋体" w:hAnsi="宋体" w:eastAsia="宋体" w:cs="宋体"/>
          <w:color w:val="auto"/>
          <w:sz w:val="21"/>
          <w:szCs w:val="21"/>
          <w:highlight w:val="none"/>
          <w:lang w:val="en-US" w:eastAsia="zh-CN"/>
        </w:rPr>
        <w:t>CCC</w:t>
      </w:r>
      <w:r>
        <w:rPr>
          <w:rFonts w:hint="eastAsia" w:ascii="宋体" w:hAnsi="宋体" w:eastAsia="宋体" w:cs="宋体"/>
          <w:color w:val="auto"/>
          <w:sz w:val="21"/>
          <w:szCs w:val="21"/>
          <w:highlight w:val="none"/>
          <w:lang w:val="en-US" w:eastAsia="zh-CN"/>
        </w:rPr>
        <w:t>认证证书，并满足相关标准要求。框架断路器、塑壳断路器、微型断路器、各类继电器、接触器等应为同一品牌，且为该品牌系列中性能最优的产品。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）低压配电柜内二次元器件及导线须具有国家主管部门颁发的</w:t>
      </w:r>
      <w:r>
        <w:rPr>
          <w:rFonts w:hint="default" w:ascii="宋体" w:hAnsi="宋体" w:eastAsia="宋体" w:cs="宋体"/>
          <w:color w:val="auto"/>
          <w:sz w:val="21"/>
          <w:szCs w:val="21"/>
          <w:highlight w:val="none"/>
          <w:lang w:val="en-US" w:eastAsia="zh-CN"/>
        </w:rPr>
        <w:t>CCC</w:t>
      </w:r>
      <w:r>
        <w:rPr>
          <w:rFonts w:hint="eastAsia" w:ascii="宋体" w:hAnsi="宋体" w:eastAsia="宋体" w:cs="宋体"/>
          <w:color w:val="auto"/>
          <w:sz w:val="21"/>
          <w:szCs w:val="21"/>
          <w:highlight w:val="none"/>
          <w:lang w:val="en-US" w:eastAsia="zh-CN"/>
        </w:rPr>
        <w:t>认证证书。柜内所有二次线全部采用</w:t>
      </w:r>
      <w:r>
        <w:rPr>
          <w:rFonts w:hint="default" w:ascii="宋体" w:hAnsi="宋体" w:eastAsia="宋体" w:cs="宋体"/>
          <w:color w:val="auto"/>
          <w:sz w:val="21"/>
          <w:szCs w:val="21"/>
          <w:highlight w:val="none"/>
          <w:lang w:val="en-US" w:eastAsia="zh-CN"/>
        </w:rPr>
        <w:t>1.5mm2</w:t>
      </w:r>
      <w:r>
        <w:rPr>
          <w:rFonts w:hint="eastAsia" w:ascii="宋体" w:hAnsi="宋体" w:eastAsia="宋体" w:cs="宋体"/>
          <w:color w:val="auto"/>
          <w:sz w:val="21"/>
          <w:szCs w:val="21"/>
          <w:highlight w:val="none"/>
          <w:lang w:val="en-US" w:eastAsia="zh-CN"/>
        </w:rPr>
        <w:t>的软铜电线，电流互感器二次回路的电线采用</w:t>
      </w:r>
      <w:r>
        <w:rPr>
          <w:rFonts w:hint="default" w:ascii="宋体" w:hAnsi="宋体" w:eastAsia="宋体" w:cs="宋体"/>
          <w:color w:val="auto"/>
          <w:sz w:val="21"/>
          <w:szCs w:val="21"/>
          <w:highlight w:val="none"/>
          <w:lang w:val="en-US" w:eastAsia="zh-CN"/>
        </w:rPr>
        <w:t>2.3mm</w:t>
      </w:r>
      <w:r>
        <w:rPr>
          <w:rFonts w:hint="eastAsia" w:ascii="宋体" w:hAnsi="宋体" w:eastAsia="宋体" w:cs="宋体"/>
          <w:color w:val="auto"/>
          <w:sz w:val="21"/>
          <w:szCs w:val="21"/>
          <w:highlight w:val="none"/>
          <w:lang w:val="en-US" w:eastAsia="zh-CN"/>
        </w:rPr>
        <w:t>²的软铜线，接地线采用黄绿色软铜电线。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）低压配电柜的两路总进线线路、联络开关线路及各出线线路均配置智能综合监测装置。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）柜体内配置的电流互感器要求按上述</w:t>
      </w:r>
      <w:r>
        <w:rPr>
          <w:rFonts w:hint="default"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lang w:val="en-US" w:eastAsia="zh-CN"/>
        </w:rPr>
        <w:t>电流互感器条款中的规定执行。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lang w:val="en-US" w:eastAsia="zh-CN"/>
        </w:rPr>
        <w:t>低压配电柜结构要求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低压配电柜必须是固定分隔式（如无功补偿柜和计量柜等）及抽出式（进线及各馈线开关柜等）结构；采用模数化组合设计，通用性强，具有足够的动热稳定性，电气方案配置灵活。柜体尺寸和数量、排列方式应符合各单项子工程设计图纸或本用户需求书要求，不得做出调整（无功补偿柜图中宽度尺寸仅作参考，可根据要求适当加宽或增加柜体数）。柜体由框架、外壳、柜内功能单元室（含抽出式组件）、母线保护线和中性线连接排、走线槽、电缆安装支件等组成。为了保证柜体强度，框架、门板和元件安装板均采用厚度为</w:t>
      </w:r>
      <w:r>
        <w:rPr>
          <w:rFonts w:hint="default" w:ascii="宋体" w:hAnsi="宋体" w:eastAsia="宋体" w:cs="宋体"/>
          <w:color w:val="auto"/>
          <w:sz w:val="21"/>
          <w:szCs w:val="21"/>
          <w:highlight w:val="none"/>
          <w:lang w:val="en-US" w:eastAsia="zh-CN"/>
        </w:rPr>
        <w:t>2.3mm</w:t>
      </w:r>
      <w:r>
        <w:rPr>
          <w:rFonts w:hint="eastAsia" w:ascii="宋体" w:hAnsi="宋体" w:eastAsia="宋体" w:cs="宋体"/>
          <w:color w:val="auto"/>
          <w:sz w:val="21"/>
          <w:szCs w:val="21"/>
          <w:highlight w:val="none"/>
          <w:lang w:val="en-US" w:eastAsia="zh-CN"/>
        </w:rPr>
        <w:t>的冷轧敷铝锌钢板，且组装牢固；柜体的上下部应设有充分的通风散热孔装置。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）柜体的前后门及其外表面均应采用环氧树脂粉末静电喷涂的处理方式，喷涂厚度不小于</w:t>
      </w:r>
      <w:r>
        <w:rPr>
          <w:rFonts w:hint="default"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微米，所有柜内的零件、电缆攀附的支架等均应镀锡，并达到耐盐雾腐蚀的标准。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）低压配电柜中框架式空气断路器采用抽出式结构。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）低压配电柜分为母线隔室、功能单元隔室和电缆隔室。各类仪表、信号灯、按钮等组成的辅助电路元件均安装于低压配电柜正面板上；主母线位于柜上方，电缆室位于柜体后部，内部设置有供电缆攀附的支架。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）低压配电柜为</w:t>
      </w:r>
      <w:r>
        <w:rPr>
          <w:rFonts w:hint="default" w:ascii="宋体" w:hAnsi="宋体" w:eastAsia="宋体" w:cs="宋体"/>
          <w:color w:val="auto"/>
          <w:sz w:val="21"/>
          <w:szCs w:val="21"/>
          <w:highlight w:val="none"/>
          <w:lang w:val="en-US" w:eastAsia="zh-CN"/>
        </w:rPr>
        <w:t>TN—S</w:t>
      </w:r>
      <w:r>
        <w:rPr>
          <w:rFonts w:hint="eastAsia" w:ascii="宋体" w:hAnsi="宋体" w:eastAsia="宋体" w:cs="宋体"/>
          <w:color w:val="auto"/>
          <w:sz w:val="21"/>
          <w:szCs w:val="21"/>
          <w:highlight w:val="none"/>
          <w:lang w:val="en-US" w:eastAsia="zh-CN"/>
        </w:rPr>
        <w:t>系统，各低压配电柜内均设有接地母线</w:t>
      </w:r>
      <w:r>
        <w:rPr>
          <w:rFonts w:hint="default" w:ascii="宋体" w:hAnsi="宋体" w:eastAsia="宋体" w:cs="宋体"/>
          <w:color w:val="auto"/>
          <w:sz w:val="21"/>
          <w:szCs w:val="21"/>
          <w:highlight w:val="none"/>
          <w:lang w:val="en-US" w:eastAsia="zh-CN"/>
        </w:rPr>
        <w:t xml:space="preserve">PE </w:t>
      </w:r>
      <w:r>
        <w:rPr>
          <w:rFonts w:hint="eastAsia" w:ascii="宋体" w:hAnsi="宋体" w:eastAsia="宋体" w:cs="宋体"/>
          <w:color w:val="auto"/>
          <w:sz w:val="21"/>
          <w:szCs w:val="21"/>
          <w:highlight w:val="none"/>
          <w:lang w:val="en-US" w:eastAsia="zh-CN"/>
        </w:rPr>
        <w:t>与中性母线</w:t>
      </w:r>
      <w:r>
        <w:rPr>
          <w:rFonts w:hint="default" w:ascii="宋体" w:hAnsi="宋体" w:eastAsia="宋体" w:cs="宋体"/>
          <w:color w:val="auto"/>
          <w:sz w:val="21"/>
          <w:szCs w:val="21"/>
          <w:highlight w:val="none"/>
          <w:lang w:val="en-US" w:eastAsia="zh-CN"/>
        </w:rPr>
        <w:t>N</w:t>
      </w:r>
      <w:r>
        <w:rPr>
          <w:rFonts w:hint="eastAsia" w:ascii="宋体" w:hAnsi="宋体" w:eastAsia="宋体" w:cs="宋体"/>
          <w:color w:val="auto"/>
          <w:sz w:val="21"/>
          <w:szCs w:val="21"/>
          <w:highlight w:val="none"/>
          <w:lang w:val="en-US" w:eastAsia="zh-CN"/>
        </w:rPr>
        <w:t>，二者贯穿于整个低压配电柜装置内，分别安装在柜后底部及柜右侧，各回路接地或接零均可方便地就近连接。柜体框架结构件均有可靠的接地连接。</w:t>
      </w:r>
      <w:r>
        <w:rPr>
          <w:rFonts w:hint="default" w:ascii="宋体" w:hAnsi="宋体" w:eastAsia="宋体" w:cs="宋体"/>
          <w:color w:val="auto"/>
          <w:sz w:val="21"/>
          <w:szCs w:val="21"/>
          <w:highlight w:val="none"/>
          <w:lang w:val="en-US" w:eastAsia="zh-CN"/>
        </w:rPr>
        <w:t>N</w:t>
      </w:r>
      <w:r>
        <w:rPr>
          <w:rFonts w:hint="eastAsia" w:ascii="宋体" w:hAnsi="宋体" w:eastAsia="宋体" w:cs="宋体"/>
          <w:color w:val="auto"/>
          <w:sz w:val="21"/>
          <w:szCs w:val="21"/>
          <w:highlight w:val="none"/>
          <w:lang w:val="en-US" w:eastAsia="zh-CN"/>
        </w:rPr>
        <w:t>线</w:t>
      </w:r>
      <w:r>
        <w:rPr>
          <w:rFonts w:hint="default" w:ascii="宋体" w:hAnsi="宋体" w:eastAsia="宋体" w:cs="宋体"/>
          <w:color w:val="auto"/>
          <w:sz w:val="21"/>
          <w:szCs w:val="21"/>
          <w:highlight w:val="none"/>
          <w:lang w:val="en-US" w:eastAsia="zh-CN"/>
        </w:rPr>
        <w:t>PE</w:t>
      </w:r>
      <w:r>
        <w:rPr>
          <w:rFonts w:hint="eastAsia" w:ascii="宋体" w:hAnsi="宋体" w:eastAsia="宋体" w:cs="宋体"/>
          <w:color w:val="auto"/>
          <w:sz w:val="21"/>
          <w:szCs w:val="21"/>
          <w:highlight w:val="none"/>
          <w:lang w:val="en-US" w:eastAsia="zh-CN"/>
        </w:rPr>
        <w:t>线之间用绝缘子间隔固定并可分别使用，方便施工时进出线的接线。各母线连接良好，绝缘支撑件及其它附件牢固可靠。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）母联框架断路器与两侧进线电源断路器开关间应配置可靠的电气联锁装置，该电气联锁装置应与控制的断路器为同一品牌的最优系列产品，以有效防止二台变压器并联运行及倒送电现象发生。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）低压配电柜内各抽屉单元的推进、拉出机构应轻便灵活。相同规格容量的抽屉单元可达到灵活互换。每一个抽屉都有可靠的金属接地。抽屉式或抽出式单元设有：连接位置、试验位置、分离位置等。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）采用悬挂式抽屉导轨和优质的插接件。使抽屉单元抽插灵活、更换容易、结构简单，只有推送到位后方能关合送电，保证供电的连续性、可靠性。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每柜应设有一块阻燃型的高密度聚氨脂塑料功能板安装在主母线室和电器室，防止开关元件因故障引起的飞弧与母线之间短路造成的事故，使操作更安全。配电母线（垂直母线）组装在阻燃型塑料功能板中，防止电弧引起的放电及人体接触，并通过特殊联接件与主母线联接。柜体需考虑运行时的散热，应有充分的散热栅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开关与功能单元间应设有可靠的机械联锁装置，用以保证当开关合闸后，功能单元不能打开并拉出。抽屉插入时，开关必须在分闸状态下才能将抽屉推进。抽屉与柜体间的接地触头接触紧密，抽屉推入时，抽屉的二次触头和接地触头比主触头先接触，抽屉拉出时二次触头和接地触头比主触头后断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）低压配电柜应采用先进的开关和优良配件，以使体积减少。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二次回路电线必须穿电脑打印的标识管，白底黑字。控制开关、按钮、指示灯、手柄选用国产优质产品。二次接线端子排接线端有明显的接线标志，外引接线的二次端子排按要求单独配置。熔断器的熔芯选择符合工程设计及规范的要求。仪表的刻度标定，互感器的变比及极性正确无误。每柜内附有详细的二次接线图以备检修之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）低压配电柜体结构还应充分考虑到电缆进出的方便。电缆室的宽度不应小于</w:t>
      </w:r>
      <w:r>
        <w:rPr>
          <w:rFonts w:hint="default" w:ascii="宋体" w:hAnsi="宋体" w:eastAsia="宋体" w:cs="宋体"/>
          <w:color w:val="auto"/>
          <w:sz w:val="21"/>
          <w:szCs w:val="21"/>
          <w:highlight w:val="none"/>
          <w:lang w:val="en-US" w:eastAsia="zh-CN"/>
        </w:rPr>
        <w:t xml:space="preserve">600 </w:t>
      </w:r>
      <w:r>
        <w:rPr>
          <w:rFonts w:hint="eastAsia" w:ascii="宋体" w:hAnsi="宋体" w:eastAsia="宋体" w:cs="宋体"/>
          <w:color w:val="auto"/>
          <w:sz w:val="21"/>
          <w:szCs w:val="21"/>
          <w:highlight w:val="none"/>
          <w:lang w:val="en-US" w:eastAsia="zh-CN"/>
        </w:rPr>
        <w:t>毫米，且应安装有电缆攀附的支架。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val="en-US" w:eastAsia="zh-CN"/>
        </w:rPr>
        <w:t>）母线采用</w:t>
      </w:r>
      <w:r>
        <w:rPr>
          <w:rFonts w:hint="default" w:ascii="宋体" w:hAnsi="宋体" w:eastAsia="宋体" w:cs="宋体"/>
          <w:color w:val="auto"/>
          <w:sz w:val="21"/>
          <w:szCs w:val="21"/>
          <w:highlight w:val="none"/>
          <w:lang w:val="en-US" w:eastAsia="zh-CN"/>
        </w:rPr>
        <w:t>TMY</w:t>
      </w:r>
      <w:r>
        <w:rPr>
          <w:rFonts w:hint="eastAsia" w:ascii="宋体" w:hAnsi="宋体" w:eastAsia="宋体" w:cs="宋体"/>
          <w:color w:val="auto"/>
          <w:sz w:val="21"/>
          <w:szCs w:val="21"/>
          <w:highlight w:val="none"/>
          <w:lang w:val="en-US" w:eastAsia="zh-CN"/>
        </w:rPr>
        <w:t>型优质电解紫铜排，规格按工程设计图纸要求。各分支母排除满足相关标准规定外，同时其电流密度不得超过</w:t>
      </w:r>
      <w:r>
        <w:rPr>
          <w:rFonts w:hint="default" w:ascii="宋体" w:hAnsi="宋体" w:eastAsia="宋体" w:cs="宋体"/>
          <w:color w:val="auto"/>
          <w:sz w:val="21"/>
          <w:szCs w:val="21"/>
          <w:highlight w:val="none"/>
          <w:lang w:val="en-US" w:eastAsia="zh-CN"/>
        </w:rPr>
        <w:t>1.5A/mm2</w:t>
      </w:r>
      <w:r>
        <w:rPr>
          <w:rFonts w:hint="eastAsia" w:ascii="宋体" w:hAnsi="宋体" w:eastAsia="宋体" w:cs="宋体"/>
          <w:color w:val="auto"/>
          <w:sz w:val="21"/>
          <w:szCs w:val="21"/>
          <w:highlight w:val="none"/>
          <w:lang w:val="en-US" w:eastAsia="zh-CN"/>
        </w:rPr>
        <w:t>。母线的固定应采用阻燃的</w:t>
      </w:r>
      <w:r>
        <w:rPr>
          <w:rFonts w:hint="default" w:ascii="宋体" w:hAnsi="宋体" w:eastAsia="宋体" w:cs="宋体"/>
          <w:color w:val="auto"/>
          <w:sz w:val="21"/>
          <w:szCs w:val="21"/>
          <w:highlight w:val="none"/>
          <w:lang w:val="en-US" w:eastAsia="zh-CN"/>
        </w:rPr>
        <w:t xml:space="preserve">DMC </w:t>
      </w:r>
      <w:r>
        <w:rPr>
          <w:rFonts w:hint="eastAsia" w:ascii="宋体" w:hAnsi="宋体" w:eastAsia="宋体" w:cs="宋体"/>
          <w:color w:val="auto"/>
          <w:sz w:val="21"/>
          <w:szCs w:val="21"/>
          <w:highlight w:val="none"/>
          <w:lang w:val="en-US" w:eastAsia="zh-CN"/>
        </w:rPr>
        <w:t>绝缘排夹，具有耐电弧，动热稳定性高，机械强度高、耐高温和防潮的功能。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）低压配电柜的金属壳体或可能带电的金属件（包括因绝缘损坏可能会带电的金属件）与接地导体间应具有可靠的电气连接。低压配电柜中选用的塑胶材料不含卤素，应具有阻燃和自熄的特性。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）一次插件的配置必需比该回路的断路器的额定电流大一个等级。即</w:t>
      </w:r>
      <w:r>
        <w:rPr>
          <w:rFonts w:hint="default" w:ascii="宋体" w:hAnsi="宋体" w:eastAsia="宋体" w:cs="宋体"/>
          <w:color w:val="auto"/>
          <w:sz w:val="21"/>
          <w:szCs w:val="21"/>
          <w:highlight w:val="none"/>
          <w:lang w:val="en-US" w:eastAsia="zh-CN"/>
        </w:rPr>
        <w:t>160A</w:t>
      </w:r>
      <w:r>
        <w:rPr>
          <w:rFonts w:hint="eastAsia" w:ascii="宋体" w:hAnsi="宋体" w:eastAsia="宋体" w:cs="宋体"/>
          <w:color w:val="auto"/>
          <w:sz w:val="21"/>
          <w:szCs w:val="21"/>
          <w:highlight w:val="none"/>
          <w:lang w:val="en-US" w:eastAsia="zh-CN"/>
        </w:rPr>
        <w:t>的断路器配置</w:t>
      </w:r>
      <w:r>
        <w:rPr>
          <w:rFonts w:hint="default" w:ascii="宋体" w:hAnsi="宋体" w:eastAsia="宋体" w:cs="宋体"/>
          <w:color w:val="auto"/>
          <w:sz w:val="21"/>
          <w:szCs w:val="21"/>
          <w:highlight w:val="none"/>
          <w:lang w:val="en-US" w:eastAsia="zh-CN"/>
        </w:rPr>
        <w:t>250A</w:t>
      </w:r>
      <w:r>
        <w:rPr>
          <w:rFonts w:hint="eastAsia" w:ascii="宋体" w:hAnsi="宋体" w:eastAsia="宋体" w:cs="宋体"/>
          <w:color w:val="auto"/>
          <w:sz w:val="21"/>
          <w:szCs w:val="21"/>
          <w:highlight w:val="none"/>
          <w:lang w:val="en-US" w:eastAsia="zh-CN"/>
        </w:rPr>
        <w:t>一次插件；</w:t>
      </w:r>
      <w:r>
        <w:rPr>
          <w:rFonts w:hint="default" w:ascii="宋体" w:hAnsi="宋体" w:eastAsia="宋体" w:cs="宋体"/>
          <w:color w:val="auto"/>
          <w:sz w:val="21"/>
          <w:szCs w:val="21"/>
          <w:highlight w:val="none"/>
          <w:lang w:val="en-US" w:eastAsia="zh-CN"/>
        </w:rPr>
        <w:t>250A</w:t>
      </w:r>
      <w:r>
        <w:rPr>
          <w:rFonts w:hint="eastAsia" w:ascii="宋体" w:hAnsi="宋体" w:eastAsia="宋体" w:cs="宋体"/>
          <w:color w:val="auto"/>
          <w:sz w:val="21"/>
          <w:szCs w:val="21"/>
          <w:highlight w:val="none"/>
          <w:lang w:val="en-US" w:eastAsia="zh-CN"/>
        </w:rPr>
        <w:t>的断路器配置</w:t>
      </w:r>
      <w:r>
        <w:rPr>
          <w:rFonts w:hint="default" w:ascii="宋体" w:hAnsi="宋体" w:eastAsia="宋体" w:cs="宋体"/>
          <w:color w:val="auto"/>
          <w:sz w:val="21"/>
          <w:szCs w:val="21"/>
          <w:highlight w:val="none"/>
          <w:lang w:val="en-US" w:eastAsia="zh-CN"/>
        </w:rPr>
        <w:t>400A</w:t>
      </w:r>
      <w:r>
        <w:rPr>
          <w:rFonts w:hint="eastAsia" w:ascii="宋体" w:hAnsi="宋体" w:eastAsia="宋体" w:cs="宋体"/>
          <w:color w:val="auto"/>
          <w:sz w:val="21"/>
          <w:szCs w:val="21"/>
          <w:highlight w:val="none"/>
          <w:lang w:val="en-US" w:eastAsia="zh-CN"/>
        </w:rPr>
        <w:t>一次插件；</w:t>
      </w:r>
      <w:r>
        <w:rPr>
          <w:rFonts w:hint="default" w:ascii="宋体" w:hAnsi="宋体" w:eastAsia="宋体" w:cs="宋体"/>
          <w:color w:val="auto"/>
          <w:sz w:val="21"/>
          <w:szCs w:val="21"/>
          <w:highlight w:val="none"/>
          <w:lang w:val="en-US" w:eastAsia="zh-CN"/>
        </w:rPr>
        <w:t>400A</w:t>
      </w:r>
      <w:r>
        <w:rPr>
          <w:rFonts w:hint="eastAsia" w:ascii="宋体" w:hAnsi="宋体" w:eastAsia="宋体" w:cs="宋体"/>
          <w:color w:val="auto"/>
          <w:sz w:val="21"/>
          <w:szCs w:val="21"/>
          <w:highlight w:val="none"/>
          <w:lang w:val="en-US" w:eastAsia="zh-CN"/>
        </w:rPr>
        <w:t>的断路器配置</w:t>
      </w:r>
      <w:r>
        <w:rPr>
          <w:rFonts w:hint="default" w:ascii="宋体" w:hAnsi="宋体" w:eastAsia="宋体" w:cs="宋体"/>
          <w:color w:val="auto"/>
          <w:sz w:val="21"/>
          <w:szCs w:val="21"/>
          <w:highlight w:val="none"/>
          <w:lang w:val="en-US" w:eastAsia="zh-CN"/>
        </w:rPr>
        <w:t>630A</w:t>
      </w:r>
      <w:r>
        <w:rPr>
          <w:rFonts w:hint="eastAsia" w:ascii="宋体" w:hAnsi="宋体" w:eastAsia="宋体" w:cs="宋体"/>
          <w:color w:val="auto"/>
          <w:sz w:val="21"/>
          <w:szCs w:val="21"/>
          <w:highlight w:val="none"/>
          <w:lang w:val="en-US" w:eastAsia="zh-CN"/>
        </w:rPr>
        <w:t>一次插件等，依次类推。一次插件的导电片及弹簧片按如下要求配置，</w:t>
      </w:r>
      <w:r>
        <w:rPr>
          <w:rFonts w:hint="default" w:ascii="宋体" w:hAnsi="宋体" w:eastAsia="宋体" w:cs="宋体"/>
          <w:color w:val="auto"/>
          <w:sz w:val="21"/>
          <w:szCs w:val="21"/>
          <w:highlight w:val="none"/>
          <w:lang w:val="en-US" w:eastAsia="zh-CN"/>
        </w:rPr>
        <w:t>125A</w:t>
      </w:r>
      <w:r>
        <w:rPr>
          <w:rFonts w:hint="eastAsia" w:ascii="宋体" w:hAnsi="宋体" w:eastAsia="宋体" w:cs="宋体"/>
          <w:color w:val="auto"/>
          <w:sz w:val="21"/>
          <w:szCs w:val="21"/>
          <w:highlight w:val="none"/>
          <w:lang w:val="en-US" w:eastAsia="zh-CN"/>
        </w:rPr>
        <w:t>及以下：一层导电片、一组弹簧片，</w:t>
      </w:r>
      <w:r>
        <w:rPr>
          <w:rFonts w:hint="default" w:ascii="宋体" w:hAnsi="宋体" w:eastAsia="宋体" w:cs="宋体"/>
          <w:color w:val="auto"/>
          <w:sz w:val="21"/>
          <w:szCs w:val="21"/>
          <w:highlight w:val="none"/>
          <w:lang w:val="en-US" w:eastAsia="zh-CN"/>
        </w:rPr>
        <w:t>250A</w:t>
      </w:r>
      <w:r>
        <w:rPr>
          <w:rFonts w:hint="eastAsia" w:ascii="宋体" w:hAnsi="宋体" w:eastAsia="宋体" w:cs="宋体"/>
          <w:color w:val="auto"/>
          <w:sz w:val="21"/>
          <w:szCs w:val="21"/>
          <w:highlight w:val="none"/>
          <w:lang w:val="en-US" w:eastAsia="zh-CN"/>
        </w:rPr>
        <w:t>及以下：二层导电片、一组弹簧片，</w:t>
      </w:r>
      <w:r>
        <w:rPr>
          <w:rFonts w:hint="default" w:ascii="宋体" w:hAnsi="宋体" w:eastAsia="宋体" w:cs="宋体"/>
          <w:color w:val="auto"/>
          <w:sz w:val="21"/>
          <w:szCs w:val="21"/>
          <w:highlight w:val="none"/>
          <w:lang w:val="en-US" w:eastAsia="zh-CN"/>
        </w:rPr>
        <w:t>400A</w:t>
      </w:r>
      <w:r>
        <w:rPr>
          <w:rFonts w:hint="eastAsia" w:ascii="宋体" w:hAnsi="宋体" w:eastAsia="宋体" w:cs="宋体"/>
          <w:color w:val="auto"/>
          <w:sz w:val="21"/>
          <w:szCs w:val="21"/>
          <w:highlight w:val="none"/>
          <w:lang w:val="en-US" w:eastAsia="zh-CN"/>
        </w:rPr>
        <w:t>及以下：四层导电片、二组弹簧片，</w:t>
      </w:r>
      <w:r>
        <w:rPr>
          <w:rFonts w:hint="default" w:ascii="宋体" w:hAnsi="宋体" w:eastAsia="宋体" w:cs="宋体"/>
          <w:color w:val="auto"/>
          <w:sz w:val="21"/>
          <w:szCs w:val="21"/>
          <w:highlight w:val="none"/>
          <w:lang w:val="en-US" w:eastAsia="zh-CN"/>
        </w:rPr>
        <w:t>630A</w:t>
      </w:r>
      <w:r>
        <w:rPr>
          <w:rFonts w:hint="eastAsia" w:ascii="宋体" w:hAnsi="宋体" w:eastAsia="宋体" w:cs="宋体"/>
          <w:color w:val="auto"/>
          <w:sz w:val="21"/>
          <w:szCs w:val="21"/>
          <w:highlight w:val="none"/>
          <w:lang w:val="en-US" w:eastAsia="zh-CN"/>
        </w:rPr>
        <w:t>及以下：六层导电片、三组弹簧片。其中每组弹簧片的弹力位于如下区间</w:t>
      </w:r>
      <w:r>
        <w:rPr>
          <w:rFonts w:hint="default"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105N</w:t>
      </w:r>
      <w:r>
        <w:rPr>
          <w:rFonts w:hint="eastAsia" w:ascii="宋体" w:hAnsi="宋体" w:eastAsia="宋体" w:cs="宋体"/>
          <w:color w:val="auto"/>
          <w:sz w:val="21"/>
          <w:szCs w:val="21"/>
          <w:highlight w:val="none"/>
          <w:lang w:val="en-US" w:eastAsia="zh-CN"/>
        </w:rPr>
        <w:t>。电缆接线柱与电缆头接触的截面尺寸必须匹配。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）绝缘导线选用</w:t>
      </w:r>
      <w:r>
        <w:rPr>
          <w:rFonts w:hint="default" w:ascii="宋体" w:hAnsi="宋体" w:eastAsia="宋体" w:cs="宋体"/>
          <w:color w:val="auto"/>
          <w:sz w:val="21"/>
          <w:szCs w:val="21"/>
          <w:highlight w:val="none"/>
          <w:lang w:val="en-US" w:eastAsia="zh-CN"/>
        </w:rPr>
        <w:t>RV</w:t>
      </w:r>
      <w:r>
        <w:rPr>
          <w:rFonts w:hint="eastAsia" w:ascii="宋体" w:hAnsi="宋体" w:eastAsia="宋体" w:cs="宋体"/>
          <w:color w:val="auto"/>
          <w:sz w:val="21"/>
          <w:szCs w:val="21"/>
          <w:highlight w:val="none"/>
          <w:lang w:val="en-US" w:eastAsia="zh-CN"/>
        </w:rPr>
        <w:t>型，其额定电流密度不得大于</w:t>
      </w:r>
      <w:r>
        <w:rPr>
          <w:rFonts w:hint="default" w:ascii="宋体" w:hAnsi="宋体" w:eastAsia="宋体" w:cs="宋体"/>
          <w:color w:val="auto"/>
          <w:sz w:val="21"/>
          <w:szCs w:val="21"/>
          <w:highlight w:val="none"/>
          <w:lang w:val="en-US" w:eastAsia="zh-CN"/>
        </w:rPr>
        <w:t>3.0A/mm2</w:t>
      </w:r>
      <w:r>
        <w:rPr>
          <w:rFonts w:hint="eastAsia" w:ascii="宋体" w:hAnsi="宋体" w:eastAsia="宋体" w:cs="宋体"/>
          <w:color w:val="auto"/>
          <w:sz w:val="21"/>
          <w:szCs w:val="21"/>
          <w:highlight w:val="none"/>
          <w:lang w:val="en-US" w:eastAsia="zh-CN"/>
        </w:rPr>
        <w:t>且截面规格应能保证在额定电流下导线无明显温升。插入式导线端头选用标准型</w:t>
      </w:r>
      <w:r>
        <w:rPr>
          <w:rFonts w:hint="default"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系列，不经预压，利用打紧过程中一边打紧一边变形使导线及端头与电器端子之间达到最大的接触面积和压力。保证搭接部位在额定电流下温升最低。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160A</w:t>
      </w:r>
      <w:r>
        <w:rPr>
          <w:rFonts w:hint="eastAsia" w:ascii="宋体" w:hAnsi="宋体" w:eastAsia="宋体" w:cs="宋体"/>
          <w:color w:val="auto"/>
          <w:sz w:val="21"/>
          <w:szCs w:val="21"/>
          <w:highlight w:val="none"/>
          <w:lang w:val="en-US" w:eastAsia="zh-CN"/>
        </w:rPr>
        <w:t>及以下开关与一次插件间回路采用绝缘导线连接；</w:t>
      </w:r>
      <w:r>
        <w:rPr>
          <w:rFonts w:hint="default" w:ascii="宋体" w:hAnsi="宋体" w:eastAsia="宋体" w:cs="宋体"/>
          <w:color w:val="auto"/>
          <w:sz w:val="21"/>
          <w:szCs w:val="21"/>
          <w:highlight w:val="none"/>
          <w:lang w:val="en-US" w:eastAsia="zh-CN"/>
        </w:rPr>
        <w:t>250A</w:t>
      </w:r>
      <w:r>
        <w:rPr>
          <w:rFonts w:hint="eastAsia" w:ascii="宋体" w:hAnsi="宋体" w:eastAsia="宋体" w:cs="宋体"/>
          <w:color w:val="auto"/>
          <w:sz w:val="21"/>
          <w:szCs w:val="21"/>
          <w:highlight w:val="none"/>
          <w:lang w:val="en-US" w:eastAsia="zh-CN"/>
        </w:rPr>
        <w:t>及以上开关与一次插件间回路采用铜母线连接。二次插件在满足本次接线的基础上留有一定的余量（不少于</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lang w:val="en-US" w:eastAsia="zh-CN"/>
        </w:rPr>
        <w:t>电容补偿柜技术要求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基本结构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）功率因数补偿控制器、投切状态指示器、隔离开关、熔断器、电容器、电抗器及复合开关（拒绝使用接触器）选用优质产品。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）投切器采用自动</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手动二种投切方式工作，可自由转换，自动方式下采用分步循环控制方式，</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确保功率因数应补偿到设定值以上。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）电容补偿装置的各项基本工作参数通过投切状态指示器显示出来，显示器采用</w:t>
      </w:r>
      <w:r>
        <w:rPr>
          <w:rFonts w:hint="default" w:ascii="宋体" w:hAnsi="宋体" w:eastAsia="宋体" w:cs="宋体"/>
          <w:color w:val="auto"/>
          <w:sz w:val="21"/>
          <w:szCs w:val="21"/>
          <w:highlight w:val="none"/>
          <w:lang w:val="en-US" w:eastAsia="zh-CN"/>
        </w:rPr>
        <w:t>LED</w:t>
      </w:r>
      <w:r>
        <w:rPr>
          <w:rFonts w:hint="eastAsia" w:ascii="宋体" w:hAnsi="宋体" w:eastAsia="宋体" w:cs="宋体"/>
          <w:color w:val="auto"/>
          <w:sz w:val="21"/>
          <w:szCs w:val="21"/>
          <w:highlight w:val="none"/>
          <w:lang w:val="en-US" w:eastAsia="zh-CN"/>
        </w:rPr>
        <w:t>，尺寸不低于</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英寸。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）当某段电容器故障损坏需要维修，在其它电容器组不退出运行的同时，应确保故障电容器能与其它电容器进行电气隔离，快捷、方便、安全地从柜体中取出。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柜体要注意通风散热，采用下底进风、顶部出风的结构型式，采用高通风量风扇，具有强制通风散热功能，当柜体内温度超过设定的温度时应能自动启动强制通风装置，温控器能自由设定启停温度值，低于设定的温度时强制通风装置应能自动停止工作。通风口应加装不锈钢防护网，网孔尺寸不大于</w:t>
      </w:r>
      <w:r>
        <w:rPr>
          <w:rFonts w:hint="default" w:ascii="宋体" w:hAnsi="宋体" w:eastAsia="宋体" w:cs="宋体"/>
          <w:color w:val="auto"/>
          <w:sz w:val="21"/>
          <w:szCs w:val="21"/>
          <w:highlight w:val="none"/>
          <w:lang w:val="en-US" w:eastAsia="zh-CN"/>
        </w:rPr>
        <w:t>3mm</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3mm</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）电容器技术规格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）频率：</w:t>
      </w:r>
      <w:r>
        <w:rPr>
          <w:rFonts w:hint="default"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赫兹；损耗：在</w:t>
      </w:r>
      <w:r>
        <w:rPr>
          <w:rFonts w:hint="default" w:ascii="宋体" w:hAnsi="宋体" w:eastAsia="宋体" w:cs="宋体"/>
          <w:color w:val="auto"/>
          <w:sz w:val="21"/>
          <w:szCs w:val="21"/>
          <w:highlight w:val="none"/>
          <w:lang w:val="en-US" w:eastAsia="zh-CN"/>
        </w:rPr>
        <w:t>400</w:t>
      </w:r>
      <w:r>
        <w:rPr>
          <w:rFonts w:hint="eastAsia" w:ascii="宋体" w:hAnsi="宋体" w:eastAsia="宋体" w:cs="宋体"/>
          <w:color w:val="auto"/>
          <w:sz w:val="21"/>
          <w:szCs w:val="21"/>
          <w:highlight w:val="none"/>
          <w:lang w:val="en-US" w:eastAsia="zh-CN"/>
        </w:rPr>
        <w:t>伏时综合损耗少于</w:t>
      </w:r>
      <w:r>
        <w:rPr>
          <w:rFonts w:hint="default" w:ascii="宋体" w:hAnsi="宋体" w:eastAsia="宋体" w:cs="宋体"/>
          <w:color w:val="auto"/>
          <w:sz w:val="21"/>
          <w:szCs w:val="21"/>
          <w:highlight w:val="none"/>
          <w:lang w:val="en-US" w:eastAsia="zh-CN"/>
        </w:rPr>
        <w:t xml:space="preserve">0.5 </w:t>
      </w:r>
      <w:r>
        <w:rPr>
          <w:rFonts w:hint="eastAsia" w:ascii="宋体" w:hAnsi="宋体" w:eastAsia="宋体" w:cs="宋体"/>
          <w:color w:val="auto"/>
          <w:sz w:val="21"/>
          <w:szCs w:val="21"/>
          <w:highlight w:val="none"/>
          <w:lang w:val="en-US" w:eastAsia="zh-CN"/>
        </w:rPr>
        <w:t>瓦／千乏（含电容器内置放电电阻的损耗，放电时间</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分钟降至</w:t>
      </w:r>
      <w:r>
        <w:rPr>
          <w:rFonts w:hint="default" w:ascii="宋体" w:hAnsi="宋体" w:eastAsia="宋体" w:cs="宋体"/>
          <w:color w:val="auto"/>
          <w:sz w:val="21"/>
          <w:szCs w:val="21"/>
          <w:highlight w:val="none"/>
          <w:lang w:val="en-US" w:eastAsia="zh-CN"/>
        </w:rPr>
        <w:t>50V</w:t>
      </w:r>
      <w:r>
        <w:rPr>
          <w:rFonts w:hint="eastAsia" w:ascii="宋体" w:hAnsi="宋体" w:eastAsia="宋体" w:cs="宋体"/>
          <w:color w:val="auto"/>
          <w:sz w:val="21"/>
          <w:szCs w:val="21"/>
          <w:highlight w:val="none"/>
          <w:lang w:val="en-US" w:eastAsia="zh-CN"/>
        </w:rPr>
        <w:t>），无功补偿采用自愈式（干式无油）低压金属并联调谐滤波电容器组，选用意大利督凯提、西门子</w:t>
      </w:r>
      <w:r>
        <w:rPr>
          <w:rFonts w:hint="default" w:ascii="宋体" w:hAnsi="宋体" w:eastAsia="宋体" w:cs="宋体"/>
          <w:color w:val="auto"/>
          <w:sz w:val="21"/>
          <w:szCs w:val="21"/>
          <w:highlight w:val="none"/>
          <w:lang w:val="en-US" w:eastAsia="zh-CN"/>
        </w:rPr>
        <w:t>EPCOS</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ABB</w:t>
      </w:r>
      <w:r>
        <w:rPr>
          <w:rFonts w:hint="eastAsia" w:ascii="宋体" w:hAnsi="宋体" w:eastAsia="宋体" w:cs="宋体"/>
          <w:color w:val="auto"/>
          <w:sz w:val="21"/>
          <w:szCs w:val="21"/>
          <w:highlight w:val="none"/>
          <w:lang w:val="en-US" w:eastAsia="zh-CN"/>
        </w:rPr>
        <w:t>或同等质量的品牌产品，电容器应符合</w:t>
      </w:r>
      <w:r>
        <w:rPr>
          <w:rFonts w:hint="default" w:ascii="宋体" w:hAnsi="宋体" w:eastAsia="宋体" w:cs="宋体"/>
          <w:color w:val="auto"/>
          <w:sz w:val="21"/>
          <w:szCs w:val="21"/>
          <w:highlight w:val="none"/>
          <w:lang w:val="en-US" w:eastAsia="zh-CN"/>
        </w:rPr>
        <w:t>IEC60831-1,2</w:t>
      </w:r>
      <w:r>
        <w:rPr>
          <w:rFonts w:hint="eastAsia" w:ascii="宋体" w:hAnsi="宋体" w:eastAsia="宋体" w:cs="宋体"/>
          <w:color w:val="auto"/>
          <w:sz w:val="21"/>
          <w:szCs w:val="21"/>
          <w:highlight w:val="none"/>
          <w:lang w:val="en-US" w:eastAsia="zh-CN"/>
        </w:rPr>
        <w:t>中的要求，寿命不低于</w:t>
      </w:r>
      <w:r>
        <w:rPr>
          <w:rFonts w:hint="default" w:ascii="宋体" w:hAnsi="宋体" w:eastAsia="宋体" w:cs="宋体"/>
          <w:color w:val="auto"/>
          <w:sz w:val="21"/>
          <w:szCs w:val="21"/>
          <w:highlight w:val="none"/>
          <w:lang w:val="en-US" w:eastAsia="zh-CN"/>
        </w:rPr>
        <w:t>100000</w:t>
      </w:r>
      <w:r>
        <w:rPr>
          <w:rFonts w:hint="eastAsia" w:ascii="宋体" w:hAnsi="宋体" w:eastAsia="宋体" w:cs="宋体"/>
          <w:color w:val="auto"/>
          <w:sz w:val="21"/>
          <w:szCs w:val="21"/>
          <w:highlight w:val="none"/>
          <w:lang w:val="en-US" w:eastAsia="zh-CN"/>
        </w:rPr>
        <w:t>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）电容器必须是干式全膜金属化自愈合电容器，充注惰性气体；内置防火防爆的安全装置，在过压力、过热或过载等情况达到极限前可安全分离，以避免可能由此而产生电容器爆炸和燃烧事故。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）电容器的连续过电流能力不小于</w:t>
      </w:r>
      <w:r>
        <w:rPr>
          <w:rFonts w:hint="default" w:ascii="宋体" w:hAnsi="宋体" w:eastAsia="宋体" w:cs="宋体"/>
          <w:color w:val="auto"/>
          <w:sz w:val="21"/>
          <w:szCs w:val="21"/>
          <w:highlight w:val="none"/>
          <w:lang w:val="en-US" w:eastAsia="zh-CN"/>
        </w:rPr>
        <w:t>2.0In</w:t>
      </w:r>
      <w:r>
        <w:rPr>
          <w:rFonts w:hint="eastAsia" w:ascii="宋体" w:hAnsi="宋体" w:eastAsia="宋体" w:cs="宋体"/>
          <w:color w:val="auto"/>
          <w:sz w:val="21"/>
          <w:szCs w:val="21"/>
          <w:highlight w:val="none"/>
          <w:lang w:val="en-US" w:eastAsia="zh-CN"/>
        </w:rPr>
        <w:t>（长期运行）、连续过电压能力不小于</w:t>
      </w:r>
      <w:r>
        <w:rPr>
          <w:rFonts w:hint="default" w:ascii="宋体" w:hAnsi="宋体" w:eastAsia="宋体" w:cs="宋体"/>
          <w:color w:val="auto"/>
          <w:sz w:val="21"/>
          <w:szCs w:val="21"/>
          <w:highlight w:val="none"/>
          <w:lang w:val="en-US" w:eastAsia="zh-CN"/>
        </w:rPr>
        <w:t>1.15Un</w:t>
      </w:r>
      <w:r>
        <w:rPr>
          <w:rFonts w:hint="eastAsia" w:ascii="宋体" w:hAnsi="宋体" w:eastAsia="宋体" w:cs="宋体"/>
          <w:color w:val="auto"/>
          <w:sz w:val="21"/>
          <w:szCs w:val="21"/>
          <w:highlight w:val="none"/>
          <w:lang w:val="en-US" w:eastAsia="zh-CN"/>
        </w:rPr>
        <w:t>（长期运行），抗浪涌电流能力不小于</w:t>
      </w:r>
      <w:r>
        <w:rPr>
          <w:rFonts w:hint="default" w:ascii="宋体" w:hAnsi="宋体" w:eastAsia="宋体" w:cs="宋体"/>
          <w:color w:val="auto"/>
          <w:sz w:val="21"/>
          <w:szCs w:val="21"/>
          <w:highlight w:val="none"/>
          <w:lang w:val="en-US" w:eastAsia="zh-CN"/>
        </w:rPr>
        <w:t>200In</w:t>
      </w:r>
      <w:r>
        <w:rPr>
          <w:rFonts w:hint="eastAsia" w:ascii="宋体" w:hAnsi="宋体" w:eastAsia="宋体" w:cs="宋体"/>
          <w:color w:val="auto"/>
          <w:sz w:val="21"/>
          <w:szCs w:val="21"/>
          <w:highlight w:val="none"/>
          <w:lang w:val="en-US" w:eastAsia="zh-CN"/>
        </w:rPr>
        <w:t>，额定电压等级</w:t>
      </w:r>
      <w:r>
        <w:rPr>
          <w:rFonts w:hint="default" w:ascii="宋体" w:hAnsi="宋体" w:eastAsia="宋体" w:cs="宋体"/>
          <w:color w:val="auto"/>
          <w:sz w:val="21"/>
          <w:szCs w:val="21"/>
          <w:highlight w:val="none"/>
          <w:lang w:val="en-US" w:eastAsia="zh-CN"/>
        </w:rPr>
        <w:t>480V</w:t>
      </w:r>
      <w:r>
        <w:rPr>
          <w:rFonts w:hint="eastAsia" w:ascii="宋体" w:hAnsi="宋体" w:eastAsia="宋体" w:cs="宋体"/>
          <w:color w:val="auto"/>
          <w:sz w:val="21"/>
          <w:szCs w:val="21"/>
          <w:highlight w:val="none"/>
          <w:lang w:val="en-US" w:eastAsia="zh-CN"/>
        </w:rPr>
        <w:t>（对应调谐度</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）容量允差：</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至</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％；测试电压：端子间：</w:t>
      </w:r>
      <w:r>
        <w:rPr>
          <w:rFonts w:hint="default" w:ascii="宋体" w:hAnsi="宋体" w:eastAsia="宋体" w:cs="宋体"/>
          <w:color w:val="auto"/>
          <w:sz w:val="21"/>
          <w:szCs w:val="21"/>
          <w:highlight w:val="none"/>
          <w:lang w:val="en-US" w:eastAsia="zh-CN"/>
        </w:rPr>
        <w:t>2.15Un</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1sec</w:t>
      </w:r>
      <w:r>
        <w:rPr>
          <w:rFonts w:hint="eastAsia" w:ascii="宋体" w:hAnsi="宋体" w:eastAsia="宋体" w:cs="宋体"/>
          <w:color w:val="auto"/>
          <w:sz w:val="21"/>
          <w:szCs w:val="21"/>
          <w:highlight w:val="none"/>
          <w:lang w:val="en-US" w:eastAsia="zh-CN"/>
        </w:rPr>
        <w:t>；端子与接地间：</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千伏，</w:t>
      </w:r>
      <w:r>
        <w:rPr>
          <w:rFonts w:hint="default" w:ascii="宋体" w:hAnsi="宋体" w:eastAsia="宋体" w:cs="宋体"/>
          <w:color w:val="auto"/>
          <w:sz w:val="21"/>
          <w:szCs w:val="21"/>
          <w:highlight w:val="none"/>
          <w:lang w:val="en-US" w:eastAsia="zh-CN"/>
        </w:rPr>
        <w:t>10sec</w:t>
      </w:r>
      <w:r>
        <w:rPr>
          <w:rFonts w:hint="eastAsia" w:ascii="宋体" w:hAnsi="宋体" w:eastAsia="宋体" w:cs="宋体"/>
          <w:color w:val="auto"/>
          <w:sz w:val="21"/>
          <w:szCs w:val="21"/>
          <w:highlight w:val="none"/>
          <w:lang w:val="en-US" w:eastAsia="zh-CN"/>
        </w:rPr>
        <w:t>．；过压容限：不大于</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过流容限：不大于</w:t>
      </w:r>
      <w:r>
        <w:rPr>
          <w:rFonts w:hint="default"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1h</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）绝缘介质出现故障时有自修复功能，当电容元件寿命结束时可有选择的将其从电路中隔离开来，标准结构为三相，防护等级</w:t>
      </w:r>
      <w:r>
        <w:rPr>
          <w:rFonts w:hint="default" w:ascii="宋体" w:hAnsi="宋体" w:eastAsia="宋体" w:cs="宋体"/>
          <w:color w:val="auto"/>
          <w:sz w:val="21"/>
          <w:szCs w:val="21"/>
          <w:highlight w:val="none"/>
          <w:lang w:val="en-US" w:eastAsia="zh-CN"/>
        </w:rPr>
        <w:t>IP42</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2.1.3.2</w:t>
      </w:r>
      <w:r>
        <w:rPr>
          <w:rFonts w:hint="eastAsia" w:ascii="宋体" w:hAnsi="宋体" w:eastAsia="宋体" w:cs="宋体"/>
          <w:color w:val="auto"/>
          <w:sz w:val="21"/>
          <w:szCs w:val="21"/>
          <w:highlight w:val="none"/>
          <w:lang w:val="en-US" w:eastAsia="zh-CN"/>
        </w:rPr>
        <w:t>柜内元器件配置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）电容器各分支回路设熔断器作过流和短路保护。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）精确配置电容器与电抗器的调谐频率，避免与系统产生谐振的可能性，提升电抗器谐波耐流值，确保电抗器在合理的谐波环境下安全运行（至少能抑制</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次及</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次以上谐波），电抗器采用低损耗纯铜绕组，最大线性电流</w:t>
      </w:r>
      <w:r>
        <w:rPr>
          <w:rFonts w:hint="default" w:ascii="宋体" w:hAnsi="宋体" w:eastAsia="宋体" w:cs="宋体"/>
          <w:color w:val="auto"/>
          <w:sz w:val="21"/>
          <w:szCs w:val="21"/>
          <w:highlight w:val="none"/>
          <w:lang w:val="en-US" w:eastAsia="zh-CN"/>
        </w:rPr>
        <w:t>1.8In</w:t>
      </w:r>
      <w:r>
        <w:rPr>
          <w:rFonts w:hint="eastAsia" w:ascii="宋体" w:hAnsi="宋体" w:eastAsia="宋体" w:cs="宋体"/>
          <w:color w:val="auto"/>
          <w:sz w:val="21"/>
          <w:szCs w:val="21"/>
          <w:highlight w:val="none"/>
          <w:lang w:val="en-US" w:eastAsia="zh-CN"/>
        </w:rPr>
        <w:t>，过电流能力</w:t>
      </w:r>
      <w:r>
        <w:rPr>
          <w:rFonts w:hint="default" w:ascii="宋体" w:hAnsi="宋体" w:eastAsia="宋体" w:cs="宋体"/>
          <w:color w:val="auto"/>
          <w:sz w:val="21"/>
          <w:szCs w:val="21"/>
          <w:highlight w:val="none"/>
          <w:lang w:val="en-US" w:eastAsia="zh-CN"/>
        </w:rPr>
        <w:t xml:space="preserve">1.35In </w:t>
      </w:r>
      <w:r>
        <w:rPr>
          <w:rFonts w:hint="eastAsia" w:ascii="宋体" w:hAnsi="宋体" w:eastAsia="宋体" w:cs="宋体"/>
          <w:color w:val="auto"/>
          <w:sz w:val="21"/>
          <w:szCs w:val="21"/>
          <w:highlight w:val="none"/>
          <w:lang w:val="en-US" w:eastAsia="zh-CN"/>
        </w:rPr>
        <w:t>（长期运行），绝缘等级</w:t>
      </w:r>
      <w:r>
        <w:rPr>
          <w:rFonts w:hint="default"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lang w:val="en-US" w:eastAsia="zh-CN"/>
        </w:rPr>
        <w:t>级，额定电压</w:t>
      </w:r>
      <w:r>
        <w:rPr>
          <w:rFonts w:hint="default" w:ascii="宋体" w:hAnsi="宋体" w:eastAsia="宋体" w:cs="宋体"/>
          <w:color w:val="auto"/>
          <w:sz w:val="21"/>
          <w:szCs w:val="21"/>
          <w:highlight w:val="none"/>
          <w:lang w:val="en-US" w:eastAsia="zh-CN"/>
        </w:rPr>
        <w:t>440V</w:t>
      </w:r>
      <w:r>
        <w:rPr>
          <w:rFonts w:hint="eastAsia" w:ascii="宋体" w:hAnsi="宋体" w:eastAsia="宋体" w:cs="宋体"/>
          <w:color w:val="auto"/>
          <w:sz w:val="21"/>
          <w:szCs w:val="21"/>
          <w:highlight w:val="none"/>
          <w:lang w:val="en-US" w:eastAsia="zh-CN"/>
        </w:rPr>
        <w:t>，电容器摆设于电抗器下方，使电容器不受电抗器发热的影响，电抗器应符合</w:t>
      </w:r>
      <w:r>
        <w:rPr>
          <w:rFonts w:hint="default" w:ascii="宋体" w:hAnsi="宋体" w:eastAsia="宋体" w:cs="宋体"/>
          <w:color w:val="auto"/>
          <w:sz w:val="21"/>
          <w:szCs w:val="21"/>
          <w:highlight w:val="none"/>
          <w:lang w:val="en-US" w:eastAsia="zh-CN"/>
        </w:rPr>
        <w:t>IEC60289</w:t>
      </w:r>
      <w:r>
        <w:rPr>
          <w:rFonts w:hint="eastAsia" w:ascii="宋体" w:hAnsi="宋体" w:eastAsia="宋体" w:cs="宋体"/>
          <w:color w:val="auto"/>
          <w:sz w:val="21"/>
          <w:szCs w:val="21"/>
          <w:highlight w:val="non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）每柜设</w:t>
      </w:r>
      <w:r>
        <w:rPr>
          <w:rFonts w:hint="default" w:ascii="宋体" w:hAnsi="宋体" w:eastAsia="宋体" w:cs="宋体"/>
          <w:color w:val="auto"/>
          <w:sz w:val="21"/>
          <w:szCs w:val="21"/>
          <w:highlight w:val="none"/>
          <w:lang w:val="en-US" w:eastAsia="zh-CN"/>
        </w:rPr>
        <w:t>1000A</w:t>
      </w:r>
      <w:r>
        <w:rPr>
          <w:rFonts w:hint="eastAsia" w:ascii="宋体" w:hAnsi="宋体" w:eastAsia="宋体" w:cs="宋体"/>
          <w:color w:val="auto"/>
          <w:sz w:val="21"/>
          <w:szCs w:val="21"/>
          <w:highlight w:val="none"/>
          <w:lang w:val="en-US" w:eastAsia="zh-CN"/>
        </w:rPr>
        <w:t>总隔离开关，每段电容器设</w:t>
      </w:r>
      <w:r>
        <w:rPr>
          <w:rFonts w:hint="default" w:ascii="宋体" w:hAnsi="宋体" w:eastAsia="宋体" w:cs="宋体"/>
          <w:color w:val="auto"/>
          <w:sz w:val="21"/>
          <w:szCs w:val="21"/>
          <w:highlight w:val="none"/>
          <w:lang w:val="en-US" w:eastAsia="zh-CN"/>
        </w:rPr>
        <w:t>100A</w:t>
      </w:r>
      <w:r>
        <w:rPr>
          <w:rFonts w:hint="eastAsia" w:ascii="宋体" w:hAnsi="宋体" w:eastAsia="宋体" w:cs="宋体"/>
          <w:color w:val="auto"/>
          <w:sz w:val="21"/>
          <w:szCs w:val="21"/>
          <w:highlight w:val="none"/>
          <w:lang w:val="en-US" w:eastAsia="zh-CN"/>
        </w:rPr>
        <w:t>分隔离开关，以保证操作和检修的安全。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）分支线上端设电涌保护器以吸收操作过电压。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）用复合开关进行各分支回路接通和断开的操作，复合开关内含可控硅导通及接触器等元件，其额定工作电流应选择大一个等级的规格以增加工作寿命和可靠性，如</w:t>
      </w:r>
      <w:r>
        <w:rPr>
          <w:rFonts w:hint="default" w:ascii="宋体" w:hAnsi="宋体" w:eastAsia="宋体" w:cs="宋体"/>
          <w:color w:val="auto"/>
          <w:sz w:val="21"/>
          <w:szCs w:val="21"/>
          <w:highlight w:val="none"/>
          <w:lang w:val="en-US" w:eastAsia="zh-CN"/>
        </w:rPr>
        <w:t>63A</w:t>
      </w:r>
      <w:r>
        <w:rPr>
          <w:rFonts w:hint="eastAsia" w:ascii="宋体" w:hAnsi="宋体" w:eastAsia="宋体" w:cs="宋体"/>
          <w:color w:val="auto"/>
          <w:sz w:val="21"/>
          <w:szCs w:val="21"/>
          <w:highlight w:val="none"/>
          <w:lang w:val="en-US" w:eastAsia="zh-CN"/>
        </w:rPr>
        <w:t>的选择</w:t>
      </w:r>
      <w:r>
        <w:rPr>
          <w:rFonts w:hint="default" w:ascii="宋体" w:hAnsi="宋体" w:eastAsia="宋体" w:cs="宋体"/>
          <w:color w:val="auto"/>
          <w:sz w:val="21"/>
          <w:szCs w:val="21"/>
          <w:highlight w:val="none"/>
          <w:lang w:val="en-US" w:eastAsia="zh-CN"/>
        </w:rPr>
        <w:t>100A</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100A</w:t>
      </w:r>
      <w:r>
        <w:rPr>
          <w:rFonts w:hint="eastAsia" w:ascii="宋体" w:hAnsi="宋体" w:eastAsia="宋体" w:cs="宋体"/>
          <w:color w:val="auto"/>
          <w:sz w:val="21"/>
          <w:szCs w:val="21"/>
          <w:highlight w:val="none"/>
          <w:lang w:val="en-US" w:eastAsia="zh-CN"/>
        </w:rPr>
        <w:t>的选择</w:t>
      </w:r>
      <w:r>
        <w:rPr>
          <w:rFonts w:hint="default" w:ascii="宋体" w:hAnsi="宋体" w:eastAsia="宋体" w:cs="宋体"/>
          <w:color w:val="auto"/>
          <w:sz w:val="21"/>
          <w:szCs w:val="21"/>
          <w:highlight w:val="none"/>
          <w:lang w:val="en-US" w:eastAsia="zh-CN"/>
        </w:rPr>
        <w:t>160A</w:t>
      </w:r>
      <w:r>
        <w:rPr>
          <w:rFonts w:hint="eastAsia" w:ascii="宋体" w:hAnsi="宋体" w:eastAsia="宋体" w:cs="宋体"/>
          <w:color w:val="auto"/>
          <w:sz w:val="21"/>
          <w:szCs w:val="21"/>
          <w:highlight w:val="none"/>
          <w:lang w:val="en-US" w:eastAsia="zh-CN"/>
        </w:rPr>
        <w:t>，依次类推，控制系统须保证可控硅导通时位于交流电压零点，断开时位于电流零点。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）电容器组至少有三组电容量最小值不超过</w:t>
      </w:r>
      <w:r>
        <w:rPr>
          <w:rFonts w:hint="default" w:ascii="宋体" w:hAnsi="宋体" w:eastAsia="宋体" w:cs="宋体"/>
          <w:color w:val="auto"/>
          <w:sz w:val="21"/>
          <w:szCs w:val="21"/>
          <w:highlight w:val="none"/>
          <w:lang w:val="en-US" w:eastAsia="zh-CN"/>
        </w:rPr>
        <w:t>20KVAR</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400V</w:t>
      </w:r>
      <w:r>
        <w:rPr>
          <w:rFonts w:hint="eastAsia" w:ascii="宋体" w:hAnsi="宋体" w:eastAsia="宋体" w:cs="宋体"/>
          <w:color w:val="auto"/>
          <w:sz w:val="21"/>
          <w:szCs w:val="21"/>
          <w:highlight w:val="none"/>
          <w:lang w:val="en-US" w:eastAsia="zh-CN"/>
        </w:rPr>
        <w:t>时），即自动投切时最小步幅不超过</w:t>
      </w:r>
      <w:r>
        <w:rPr>
          <w:rFonts w:hint="default" w:ascii="宋体" w:hAnsi="宋体" w:eastAsia="宋体" w:cs="宋体"/>
          <w:color w:val="auto"/>
          <w:sz w:val="21"/>
          <w:szCs w:val="21"/>
          <w:highlight w:val="none"/>
          <w:lang w:val="en-US" w:eastAsia="zh-CN"/>
        </w:rPr>
        <w:t>20KVAR</w:t>
      </w:r>
      <w:r>
        <w:rPr>
          <w:rFonts w:hint="eastAsia" w:ascii="宋体" w:hAnsi="宋体" w:eastAsia="宋体" w:cs="宋体"/>
          <w:color w:val="auto"/>
          <w:sz w:val="21"/>
          <w:szCs w:val="21"/>
          <w:highlight w:val="none"/>
          <w:lang w:val="en-US" w:eastAsia="zh-CN"/>
        </w:rPr>
        <w:t>，其它组电容量依次为</w:t>
      </w:r>
      <w:r>
        <w:rPr>
          <w:rFonts w:hint="default" w:ascii="宋体" w:hAnsi="宋体" w:eastAsia="宋体" w:cs="宋体"/>
          <w:color w:val="auto"/>
          <w:sz w:val="21"/>
          <w:szCs w:val="21"/>
          <w:highlight w:val="none"/>
          <w:lang w:val="en-US" w:eastAsia="zh-CN"/>
        </w:rPr>
        <w:t>30KVAR</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400V</w:t>
      </w:r>
      <w:r>
        <w:rPr>
          <w:rFonts w:hint="eastAsia" w:ascii="宋体" w:hAnsi="宋体" w:eastAsia="宋体" w:cs="宋体"/>
          <w:color w:val="auto"/>
          <w:sz w:val="21"/>
          <w:szCs w:val="21"/>
          <w:highlight w:val="none"/>
          <w:lang w:val="en-US" w:eastAsia="zh-CN"/>
        </w:rPr>
        <w:t>时）、</w:t>
      </w:r>
      <w:r>
        <w:rPr>
          <w:rFonts w:hint="default" w:ascii="宋体" w:hAnsi="宋体" w:eastAsia="宋体" w:cs="宋体"/>
          <w:color w:val="auto"/>
          <w:sz w:val="21"/>
          <w:szCs w:val="21"/>
          <w:highlight w:val="none"/>
          <w:lang w:val="en-US" w:eastAsia="zh-CN"/>
        </w:rPr>
        <w:t>40KVAR</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400V</w:t>
      </w:r>
      <w:r>
        <w:rPr>
          <w:rFonts w:hint="eastAsia" w:ascii="宋体" w:hAnsi="宋体" w:eastAsia="宋体" w:cs="宋体"/>
          <w:color w:val="auto"/>
          <w:sz w:val="21"/>
          <w:szCs w:val="21"/>
          <w:highlight w:val="none"/>
          <w:lang w:val="en-US" w:eastAsia="zh-CN"/>
        </w:rPr>
        <w:t>时），应合理设置各组容量的组数，确保变压器在</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lang w:val="en-US" w:eastAsia="zh-CN"/>
        </w:rPr>
        <w:t>负荷之间电容器的投切不会在整个系统中产生振荡。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）布线：由于电容器柜运行时的发热严重，必须在布线时尽量扩大无故障区，即从柜顶母线</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隔离开关</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保护用熔断器</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电抗器</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复合开关之间采用硬质铜排接线；仅复合开关至电容器用</w:t>
      </w:r>
      <w:r>
        <w:rPr>
          <w:rFonts w:hint="default" w:ascii="宋体" w:hAnsi="宋体" w:eastAsia="宋体" w:cs="宋体"/>
          <w:color w:val="auto"/>
          <w:sz w:val="21"/>
          <w:szCs w:val="21"/>
          <w:highlight w:val="none"/>
          <w:lang w:val="en-US" w:eastAsia="zh-CN"/>
        </w:rPr>
        <w:t>RV</w:t>
      </w:r>
      <w:r>
        <w:rPr>
          <w:rFonts w:hint="eastAsia" w:ascii="宋体" w:hAnsi="宋体" w:eastAsia="宋体" w:cs="宋体"/>
          <w:color w:val="auto"/>
          <w:sz w:val="21"/>
          <w:szCs w:val="21"/>
          <w:highlight w:val="none"/>
          <w:lang w:val="en-US" w:eastAsia="zh-CN"/>
        </w:rPr>
        <w:t>绝缘软线布线。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）无功补偿控制器（含投切状态指示器）技术要求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）满足系统电压、电流、频率的性能水平要求，控制物理量应优选复合型。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）控制器输出接点容量不应小于被控对象的要求</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控制回路数不小于</w:t>
      </w: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）控制器在使用中的紧固件和调整件均应有锁紧措施，保证使用过程中不会因震动而松动。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）控制器外壳应有足够的机械强度，应承受使用和搬运过程中受到的机械力。外壳防护等级不应小于</w:t>
      </w:r>
      <w:r>
        <w:rPr>
          <w:rFonts w:hint="default" w:ascii="宋体" w:hAnsi="宋体" w:eastAsia="宋体" w:cs="宋体"/>
          <w:color w:val="auto"/>
          <w:sz w:val="21"/>
          <w:szCs w:val="21"/>
          <w:highlight w:val="none"/>
          <w:lang w:val="en-US" w:eastAsia="zh-CN"/>
        </w:rPr>
        <w:t>IP40</w:t>
      </w:r>
      <w:r>
        <w:rPr>
          <w:rFonts w:hint="eastAsia" w:ascii="宋体" w:hAnsi="宋体" w:eastAsia="宋体" w:cs="宋体"/>
          <w:color w:val="auto"/>
          <w:sz w:val="21"/>
          <w:szCs w:val="21"/>
          <w:highlight w:val="none"/>
          <w:lang w:val="en-US" w:eastAsia="zh-CN"/>
        </w:rPr>
        <w:t>。当控制器采用金属外壳时，应提供接地端子，并应设有明显的接地标志。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）控制器电源及电压模拟量输入端应设有短路保护器件。在发生内部故障时，该保护应可靠动作。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）控制器绝缘电阻、绝缘试验电压应满足相应的规程、规范。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）控制器应具有投入及切除门限设定值的设置功能，对可按设定程序投切的控制器应具有投切程序控制功能，面板功能键操作应具有容错功能，面板设置应具有硬件或软件闭锁功能。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）控制器应具有目标功率因数、实时功率因数、有功、无功、视在功率、系统电压、投入段数，故障段数、各段电容器运行时间和投切次数，以及各次谐波电压畸变率</w:t>
      </w:r>
      <w:r>
        <w:rPr>
          <w:rFonts w:hint="default" w:ascii="宋体" w:hAnsi="宋体" w:eastAsia="宋体" w:cs="宋体"/>
          <w:color w:val="auto"/>
          <w:sz w:val="21"/>
          <w:szCs w:val="21"/>
          <w:highlight w:val="none"/>
          <w:lang w:val="en-US" w:eastAsia="zh-CN"/>
        </w:rPr>
        <w:t>THD_V</w:t>
      </w:r>
      <w:r>
        <w:rPr>
          <w:rFonts w:hint="eastAsia" w:ascii="宋体" w:hAnsi="宋体" w:eastAsia="宋体" w:cs="宋体"/>
          <w:color w:val="auto"/>
          <w:sz w:val="21"/>
          <w:szCs w:val="21"/>
          <w:highlight w:val="none"/>
          <w:lang w:val="en-US" w:eastAsia="zh-CN"/>
        </w:rPr>
        <w:t>和谐波电流畸变率</w:t>
      </w:r>
      <w:r>
        <w:rPr>
          <w:rFonts w:hint="default" w:ascii="宋体" w:hAnsi="宋体" w:eastAsia="宋体" w:cs="宋体"/>
          <w:color w:val="auto"/>
          <w:sz w:val="21"/>
          <w:szCs w:val="21"/>
          <w:highlight w:val="none"/>
          <w:lang w:val="en-US" w:eastAsia="zh-CN"/>
        </w:rPr>
        <w:t>THD_I</w:t>
      </w:r>
      <w:r>
        <w:rPr>
          <w:rFonts w:hint="eastAsia" w:ascii="宋体" w:hAnsi="宋体" w:eastAsia="宋体" w:cs="宋体"/>
          <w:color w:val="auto"/>
          <w:sz w:val="21"/>
          <w:szCs w:val="21"/>
          <w:highlight w:val="none"/>
          <w:lang w:val="en-US" w:eastAsia="zh-CN"/>
        </w:rPr>
        <w:t>等参数的测量及显示功能。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）控制器应具有欠</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过补偿、欠</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过电流、欠</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过电压、过温度、谐波电压过大等报警输出功能。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）控制器应具有自动循环投切或按设定程序投切功能，实现功率因数设定范围</w:t>
      </w:r>
      <w:r>
        <w:rPr>
          <w:rFonts w:hint="default"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0.98</w:t>
      </w:r>
      <w:r>
        <w:rPr>
          <w:rFonts w:hint="eastAsia" w:ascii="宋体" w:hAnsi="宋体" w:eastAsia="宋体" w:cs="宋体"/>
          <w:color w:val="auto"/>
          <w:sz w:val="21"/>
          <w:szCs w:val="21"/>
          <w:highlight w:val="none"/>
          <w:lang w:val="en-US" w:eastAsia="zh-CN"/>
        </w:rPr>
        <w:t>之间的分级调整（手动或自动）。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）控制器应能自检和复归</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在每次接通电源时进行自检和复归输出回路。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）控制器带有</w:t>
      </w:r>
      <w:r>
        <w:rPr>
          <w:rFonts w:hint="default" w:ascii="宋体" w:hAnsi="宋体" w:eastAsia="宋体" w:cs="宋体"/>
          <w:color w:val="auto"/>
          <w:sz w:val="21"/>
          <w:szCs w:val="21"/>
          <w:highlight w:val="none"/>
          <w:lang w:val="en-US" w:eastAsia="zh-CN"/>
        </w:rPr>
        <w:t>RS-232/RS485</w:t>
      </w:r>
      <w:r>
        <w:rPr>
          <w:rFonts w:hint="eastAsia" w:ascii="宋体" w:hAnsi="宋体" w:eastAsia="宋体" w:cs="宋体"/>
          <w:color w:val="auto"/>
          <w:sz w:val="21"/>
          <w:szCs w:val="21"/>
          <w:highlight w:val="none"/>
          <w:lang w:val="en-US" w:eastAsia="zh-CN"/>
        </w:rPr>
        <w:t>接口，采用</w:t>
      </w:r>
      <w:r>
        <w:rPr>
          <w:rFonts w:hint="default" w:ascii="宋体" w:hAnsi="宋体" w:eastAsia="宋体" w:cs="宋体"/>
          <w:color w:val="auto"/>
          <w:sz w:val="21"/>
          <w:szCs w:val="21"/>
          <w:highlight w:val="none"/>
          <w:lang w:val="en-US" w:eastAsia="zh-CN"/>
        </w:rPr>
        <w:t>Modbus</w:t>
      </w:r>
      <w:r>
        <w:rPr>
          <w:rFonts w:hint="eastAsia" w:ascii="宋体" w:hAnsi="宋体" w:eastAsia="宋体" w:cs="宋体"/>
          <w:color w:val="auto"/>
          <w:sz w:val="21"/>
          <w:szCs w:val="21"/>
          <w:highlight w:val="none"/>
          <w:lang w:val="en-US" w:eastAsia="zh-CN"/>
        </w:rPr>
        <w:t>通讯协议，便于实现远程监控通信功能。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）电容自动投切控制器、投切状态指示器、隔离开关、复合开关、各类继电器、各类断路器等采用</w:t>
      </w:r>
      <w:r>
        <w:rPr>
          <w:rFonts w:hint="default" w:ascii="宋体" w:hAnsi="宋体" w:eastAsia="宋体" w:cs="宋体"/>
          <w:color w:val="auto"/>
          <w:sz w:val="21"/>
          <w:szCs w:val="21"/>
          <w:highlight w:val="none"/>
          <w:lang w:val="en-US" w:eastAsia="zh-CN"/>
        </w:rPr>
        <w:t>ABB</w:t>
      </w:r>
      <w:r>
        <w:rPr>
          <w:rFonts w:hint="eastAsia" w:ascii="宋体" w:hAnsi="宋体" w:eastAsia="宋体" w:cs="宋体"/>
          <w:color w:val="auto"/>
          <w:sz w:val="21"/>
          <w:szCs w:val="21"/>
          <w:highlight w:val="none"/>
          <w:lang w:val="en-US" w:eastAsia="zh-CN"/>
        </w:rPr>
        <w:t>、施耐德或西门子品牌中的最优系列产品。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lang w:val="en-US" w:eastAsia="zh-CN"/>
        </w:rPr>
        <w:t>低压交流框架式断路器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）框架断路器</w:t>
      </w:r>
      <w:r>
        <w:rPr>
          <w:rFonts w:hint="default" w:ascii="宋体" w:hAnsi="宋体" w:eastAsia="宋体" w:cs="宋体"/>
          <w:color w:val="auto"/>
          <w:sz w:val="21"/>
          <w:szCs w:val="21"/>
          <w:highlight w:val="none"/>
          <w:lang w:val="en-US" w:eastAsia="zh-CN"/>
        </w:rPr>
        <w:t>ACB</w:t>
      </w:r>
      <w:r>
        <w:rPr>
          <w:rFonts w:hint="eastAsia" w:ascii="宋体" w:hAnsi="宋体" w:eastAsia="宋体" w:cs="宋体"/>
          <w:color w:val="auto"/>
          <w:sz w:val="21"/>
          <w:szCs w:val="21"/>
          <w:highlight w:val="none"/>
          <w:lang w:val="en-US" w:eastAsia="zh-CN"/>
        </w:rPr>
        <w:t>开关额定电流</w:t>
      </w:r>
      <w:r>
        <w:rPr>
          <w:rFonts w:hint="default" w:ascii="宋体" w:hAnsi="宋体" w:eastAsia="宋体" w:cs="宋体"/>
          <w:color w:val="auto"/>
          <w:sz w:val="21"/>
          <w:szCs w:val="21"/>
          <w:highlight w:val="none"/>
          <w:lang w:val="en-US" w:eastAsia="zh-CN"/>
        </w:rPr>
        <w:t>In</w:t>
      </w:r>
      <w:r>
        <w:rPr>
          <w:rFonts w:hint="eastAsia" w:ascii="宋体" w:hAnsi="宋体" w:eastAsia="宋体" w:cs="宋体"/>
          <w:color w:val="auto"/>
          <w:sz w:val="21"/>
          <w:szCs w:val="21"/>
          <w:highlight w:val="none"/>
          <w:lang w:val="en-US" w:eastAsia="zh-CN"/>
        </w:rPr>
        <w:t>：根据设计图纸；</w:t>
      </w:r>
      <w:r>
        <w:rPr>
          <w:rFonts w:hint="default" w:ascii="宋体" w:hAnsi="宋体" w:eastAsia="宋体" w:cs="宋体"/>
          <w:color w:val="auto"/>
          <w:sz w:val="21"/>
          <w:szCs w:val="21"/>
          <w:highlight w:val="none"/>
          <w:lang w:val="en-US" w:eastAsia="zh-CN"/>
        </w:rPr>
        <w:t>Icu: 85KA</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440V</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Ics=100%Icu</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Icw: 85KA</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1s</w:t>
      </w:r>
      <w:r>
        <w:rPr>
          <w:rFonts w:hint="eastAsia" w:ascii="宋体" w:hAnsi="宋体" w:eastAsia="宋体" w:cs="宋体"/>
          <w:color w:val="auto"/>
          <w:sz w:val="21"/>
          <w:szCs w:val="21"/>
          <w:highlight w:val="none"/>
          <w:lang w:val="en-US" w:eastAsia="zh-CN"/>
        </w:rPr>
        <w:t>）；Ｕｉ：</w:t>
      </w:r>
      <w:r>
        <w:rPr>
          <w:rFonts w:hint="default" w:ascii="宋体" w:hAnsi="宋体" w:eastAsia="宋体" w:cs="宋体"/>
          <w:color w:val="auto"/>
          <w:sz w:val="21"/>
          <w:szCs w:val="21"/>
          <w:highlight w:val="none"/>
          <w:lang w:val="en-US" w:eastAsia="zh-CN"/>
        </w:rPr>
        <w:t>1000v</w:t>
      </w:r>
      <w:r>
        <w:rPr>
          <w:rFonts w:hint="eastAsia" w:ascii="宋体" w:hAnsi="宋体" w:eastAsia="宋体" w:cs="宋体"/>
          <w:color w:val="auto"/>
          <w:sz w:val="21"/>
          <w:szCs w:val="21"/>
          <w:highlight w:val="none"/>
          <w:lang w:val="en-US" w:eastAsia="zh-CN"/>
        </w:rPr>
        <w:t>，Ｕｉｍｐ：</w:t>
      </w: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ｋｖ，Ｕｅ：</w:t>
      </w:r>
      <w:r>
        <w:rPr>
          <w:rFonts w:hint="default" w:ascii="宋体" w:hAnsi="宋体" w:eastAsia="宋体" w:cs="宋体"/>
          <w:color w:val="auto"/>
          <w:sz w:val="21"/>
          <w:szCs w:val="21"/>
          <w:highlight w:val="none"/>
          <w:lang w:val="en-US" w:eastAsia="zh-CN"/>
        </w:rPr>
        <w:t>690</w:t>
      </w:r>
      <w:r>
        <w:rPr>
          <w:rFonts w:hint="eastAsia" w:ascii="宋体" w:hAnsi="宋体" w:eastAsia="宋体" w:cs="宋体"/>
          <w:color w:val="auto"/>
          <w:sz w:val="21"/>
          <w:szCs w:val="21"/>
          <w:highlight w:val="none"/>
          <w:lang w:val="en-US" w:eastAsia="zh-CN"/>
        </w:rPr>
        <w:t>ｖ。</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）框架断路器需配备标准的</w:t>
      </w:r>
      <w:r>
        <w:rPr>
          <w:rFonts w:hint="default" w:ascii="宋体" w:hAnsi="宋体" w:eastAsia="宋体" w:cs="宋体"/>
          <w:color w:val="auto"/>
          <w:sz w:val="21"/>
          <w:szCs w:val="21"/>
          <w:highlight w:val="none"/>
          <w:lang w:val="en-US" w:eastAsia="zh-CN"/>
        </w:rPr>
        <w:t>RS485</w:t>
      </w:r>
      <w:r>
        <w:rPr>
          <w:rFonts w:hint="eastAsia" w:ascii="宋体" w:hAnsi="宋体" w:eastAsia="宋体" w:cs="宋体"/>
          <w:color w:val="auto"/>
          <w:sz w:val="21"/>
          <w:szCs w:val="21"/>
          <w:highlight w:val="none"/>
          <w:lang w:val="en-US" w:eastAsia="zh-CN"/>
        </w:rPr>
        <w:t>通迅接口及</w:t>
      </w:r>
      <w:r>
        <w:rPr>
          <w:rFonts w:hint="default" w:ascii="宋体" w:hAnsi="宋体" w:eastAsia="宋体" w:cs="宋体"/>
          <w:color w:val="auto"/>
          <w:sz w:val="21"/>
          <w:szCs w:val="21"/>
          <w:highlight w:val="none"/>
          <w:lang w:val="en-US" w:eastAsia="zh-CN"/>
        </w:rPr>
        <w:t>Modbus</w:t>
      </w:r>
      <w:r>
        <w:rPr>
          <w:rFonts w:hint="eastAsia" w:ascii="宋体" w:hAnsi="宋体" w:eastAsia="宋体" w:cs="宋体"/>
          <w:color w:val="auto"/>
          <w:sz w:val="21"/>
          <w:szCs w:val="21"/>
          <w:highlight w:val="none"/>
          <w:lang w:val="en-US" w:eastAsia="zh-CN"/>
        </w:rPr>
        <w:t>通讯协议。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框架断路器应具有带微处理器的智能型保护装置单元、全中文液晶显示，并具备测量和显示电流，电压，功率，电能等电参量的能力，可以显示最近十次脱扣和报警记录，同时具备三相电流及接地故障电流测量功能。配失压脱扣、分励脱扣、过电流脱扣；进线开关具备长延时、短延时、瞬时、接地故障保护四段保护功能，其余回路开关具备长延时、短延时、瞬时、三段保护功能，且时间和电流可调，整定值按图纸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）框架断路器在摄氏</w:t>
      </w:r>
      <w:r>
        <w:rPr>
          <w:rFonts w:hint="default" w:ascii="宋体" w:hAnsi="宋体" w:eastAsia="宋体" w:cs="宋体"/>
          <w:color w:val="auto"/>
          <w:sz w:val="21"/>
          <w:szCs w:val="21"/>
          <w:highlight w:val="none"/>
          <w:lang w:val="en-US" w:eastAsia="zh-CN"/>
        </w:rPr>
        <w:t xml:space="preserve">55 </w:t>
      </w:r>
      <w:r>
        <w:rPr>
          <w:rFonts w:hint="eastAsia" w:ascii="宋体" w:hAnsi="宋体" w:eastAsia="宋体" w:cs="宋体"/>
          <w:color w:val="auto"/>
          <w:sz w:val="21"/>
          <w:szCs w:val="21"/>
          <w:highlight w:val="none"/>
          <w:lang w:val="en-US" w:eastAsia="zh-CN"/>
        </w:rPr>
        <w:t>度温度时开关不降容；若产品有降容，在选型时应考虑降容因素。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）框架断路器必须装上机械连锁装置，以完成以下功能：在闭合位置上，不能插入或抽出断路器。除非断路被抽出或处于</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隔离</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位置，断路器的门或盖将不能移动或打开。断路器只能在完全插入或隔离位置上才能闭合。自动安全保护罩，可在断路器抽出时完全防护固定部分主接触点。框架断路器应能互换，但需具有防误插机构。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）框架断路器应具备完善的防雷电及防电涌保护装置，确保不会因为雷电及电涌而对控制线路及元件造成伤害。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）框架断路器具有手</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电两用弹簧储能机构，能方便地与其它框架断路器实现电气联锁和机械连锁。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2.1.5</w:t>
      </w:r>
      <w:r>
        <w:rPr>
          <w:rFonts w:hint="eastAsia" w:ascii="宋体" w:hAnsi="宋体" w:eastAsia="宋体" w:cs="宋体"/>
          <w:color w:val="auto"/>
          <w:sz w:val="21"/>
          <w:szCs w:val="21"/>
          <w:highlight w:val="none"/>
          <w:lang w:val="en-US" w:eastAsia="zh-CN"/>
        </w:rPr>
        <w:t>低压交流塑壳式断路器（</w:t>
      </w:r>
      <w:r>
        <w:rPr>
          <w:rFonts w:hint="default" w:ascii="宋体" w:hAnsi="宋体" w:eastAsia="宋体" w:cs="宋体"/>
          <w:color w:val="auto"/>
          <w:sz w:val="21"/>
          <w:szCs w:val="21"/>
          <w:highlight w:val="none"/>
          <w:lang w:val="en-US" w:eastAsia="zh-CN"/>
        </w:rPr>
        <w:t>MCCB</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额定工作电压：</w:t>
      </w:r>
      <w:r>
        <w:rPr>
          <w:rFonts w:hint="default" w:ascii="宋体" w:hAnsi="宋体" w:eastAsia="宋体" w:cs="宋体"/>
          <w:color w:val="auto"/>
          <w:sz w:val="21"/>
          <w:szCs w:val="21"/>
          <w:highlight w:val="none"/>
          <w:lang w:val="en-US" w:eastAsia="zh-CN"/>
        </w:rPr>
        <w:t>AC690V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额定绝缘电压：</w:t>
      </w:r>
      <w:r>
        <w:rPr>
          <w:rFonts w:hint="default" w:ascii="宋体" w:hAnsi="宋体" w:eastAsia="宋体" w:cs="宋体"/>
          <w:color w:val="auto"/>
          <w:sz w:val="21"/>
          <w:szCs w:val="21"/>
          <w:highlight w:val="none"/>
          <w:lang w:val="en-US" w:eastAsia="zh-CN"/>
        </w:rPr>
        <w:t>AC800V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额定冲击耐受电压：≥</w:t>
      </w:r>
      <w:r>
        <w:rPr>
          <w:rFonts w:hint="default" w:ascii="宋体" w:hAnsi="宋体" w:eastAsia="宋体" w:cs="宋体"/>
          <w:color w:val="auto"/>
          <w:sz w:val="21"/>
          <w:szCs w:val="21"/>
          <w:highlight w:val="none"/>
          <w:lang w:val="en-US" w:eastAsia="zh-CN"/>
        </w:rPr>
        <w:t>8KV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额定电流：见表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分断能力：≥</w:t>
      </w:r>
      <w:r>
        <w:rPr>
          <w:rFonts w:hint="default" w:ascii="宋体" w:hAnsi="宋体" w:eastAsia="宋体" w:cs="宋体"/>
          <w:color w:val="auto"/>
          <w:sz w:val="21"/>
          <w:szCs w:val="21"/>
          <w:highlight w:val="none"/>
          <w:lang w:val="en-US" w:eastAsia="zh-CN"/>
        </w:rPr>
        <w:t>50KA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为保证操作人员安全，断路器需为双重绝缘，并且插入式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抽出式的断路器当处于合闸位置时，断路器不能抽出。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MCCB</w:t>
      </w:r>
      <w:r>
        <w:rPr>
          <w:rFonts w:hint="eastAsia" w:ascii="宋体" w:hAnsi="宋体" w:eastAsia="宋体" w:cs="宋体"/>
          <w:color w:val="auto"/>
          <w:sz w:val="21"/>
          <w:szCs w:val="21"/>
          <w:highlight w:val="none"/>
          <w:lang w:val="en-US" w:eastAsia="zh-CN"/>
        </w:rPr>
        <w:t>脱扣器：</w:t>
      </w:r>
      <w:r>
        <w:rPr>
          <w:rFonts w:hint="default" w:ascii="宋体" w:hAnsi="宋体" w:eastAsia="宋体" w:cs="宋体"/>
          <w:color w:val="auto"/>
          <w:sz w:val="21"/>
          <w:szCs w:val="21"/>
          <w:highlight w:val="none"/>
          <w:lang w:val="en-US" w:eastAsia="zh-CN"/>
        </w:rPr>
        <w:t>MCCB</w:t>
      </w:r>
      <w:r>
        <w:rPr>
          <w:rFonts w:hint="eastAsia" w:ascii="宋体" w:hAnsi="宋体" w:eastAsia="宋体" w:cs="宋体"/>
          <w:color w:val="auto"/>
          <w:sz w:val="21"/>
          <w:szCs w:val="21"/>
          <w:highlight w:val="none"/>
          <w:lang w:val="en-US" w:eastAsia="zh-CN"/>
        </w:rPr>
        <w:t>采用热磁或电子脱扣器，保护功能至少包括：长延时保护、短路瞬时保护，为使保护整定更精确，长延时整定范围至少应在</w:t>
      </w:r>
      <w:r>
        <w:rPr>
          <w:rFonts w:hint="default" w:ascii="宋体" w:hAnsi="宋体" w:eastAsia="宋体" w:cs="宋体"/>
          <w:color w:val="auto"/>
          <w:sz w:val="21"/>
          <w:szCs w:val="21"/>
          <w:highlight w:val="none"/>
          <w:lang w:val="en-US" w:eastAsia="zh-CN"/>
        </w:rPr>
        <w:t>0.7</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1In</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400A</w:t>
      </w:r>
      <w:r>
        <w:rPr>
          <w:rFonts w:hint="eastAsia" w:ascii="宋体" w:hAnsi="宋体" w:eastAsia="宋体" w:cs="宋体"/>
          <w:color w:val="auto"/>
          <w:sz w:val="21"/>
          <w:szCs w:val="21"/>
          <w:highlight w:val="none"/>
          <w:lang w:val="en-US" w:eastAsia="zh-CN"/>
        </w:rPr>
        <w:t>及以上采用带</w:t>
      </w:r>
      <w:r>
        <w:rPr>
          <w:rFonts w:hint="default" w:ascii="宋体" w:hAnsi="宋体" w:eastAsia="宋体" w:cs="宋体"/>
          <w:color w:val="auto"/>
          <w:sz w:val="21"/>
          <w:szCs w:val="21"/>
          <w:highlight w:val="none"/>
          <w:lang w:val="en-US" w:eastAsia="zh-CN"/>
        </w:rPr>
        <w:t>LSI</w:t>
      </w:r>
      <w:r>
        <w:rPr>
          <w:rFonts w:hint="eastAsia" w:ascii="宋体" w:hAnsi="宋体" w:eastAsia="宋体" w:cs="宋体"/>
          <w:color w:val="auto"/>
          <w:sz w:val="21"/>
          <w:szCs w:val="21"/>
          <w:highlight w:val="none"/>
          <w:lang w:val="en-US" w:eastAsia="zh-CN"/>
        </w:rPr>
        <w:t>三段电子式脱扣单元，且三段保护能同时投入；要求长延时保护电流和时间可调、短延时保护电流和时间可调（且保护定时限和反时限可选）、瞬时保护电流可调。如当安装场所电磁干扰严重时，全系列优先选用热磁脱扣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电动机回路应选用具有电动机保护特性的断路器（根据系统要求），短路保护脱扣器采用电磁式或电子式，</w:t>
      </w:r>
      <w:r>
        <w:rPr>
          <w:rFonts w:hint="default" w:ascii="宋体" w:hAnsi="宋体" w:eastAsia="宋体" w:cs="宋体"/>
          <w:color w:val="auto"/>
          <w:sz w:val="21"/>
          <w:szCs w:val="21"/>
          <w:highlight w:val="none"/>
          <w:lang w:val="en-US" w:eastAsia="zh-CN"/>
        </w:rPr>
        <w:t>160A</w:t>
      </w:r>
      <w:r>
        <w:rPr>
          <w:rFonts w:hint="eastAsia" w:ascii="宋体" w:hAnsi="宋体" w:eastAsia="宋体" w:cs="宋体"/>
          <w:color w:val="auto"/>
          <w:sz w:val="21"/>
          <w:szCs w:val="21"/>
          <w:highlight w:val="none"/>
          <w:lang w:val="en-US" w:eastAsia="zh-CN"/>
        </w:rPr>
        <w:t>及以下选择电子式单磁脱扣器，以保证整定的精确性。</w:t>
      </w:r>
      <w:r>
        <w:rPr>
          <w:rFonts w:hint="default" w:ascii="宋体" w:hAnsi="宋体" w:eastAsia="宋体" w:cs="宋体"/>
          <w:color w:val="auto"/>
          <w:sz w:val="21"/>
          <w:szCs w:val="21"/>
          <w:highlight w:val="none"/>
          <w:lang w:val="en-US" w:eastAsia="zh-CN"/>
        </w:rPr>
        <w:t>160A</w:t>
      </w:r>
      <w:r>
        <w:rPr>
          <w:rFonts w:hint="eastAsia" w:ascii="宋体" w:hAnsi="宋体" w:eastAsia="宋体" w:cs="宋体"/>
          <w:color w:val="auto"/>
          <w:sz w:val="21"/>
          <w:szCs w:val="21"/>
          <w:highlight w:val="none"/>
          <w:lang w:val="en-US" w:eastAsia="zh-CN"/>
        </w:rPr>
        <w:t>以上电机需具备电动机综合保护特性要求，过载，堵转，短路，相不平衡等。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各脱扣器均为可调式，并具有级差配合的条件，带有与断路器同品牌的可与门机械连锁的旋转式操作手柄，操作手柄应能加装挂锁。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断路器必须是抗湿热产品。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图纸中要求有遥测功能的</w:t>
      </w:r>
      <w:r>
        <w:rPr>
          <w:rFonts w:hint="default" w:ascii="宋体" w:hAnsi="宋体" w:eastAsia="宋体" w:cs="宋体"/>
          <w:color w:val="auto"/>
          <w:sz w:val="21"/>
          <w:szCs w:val="21"/>
          <w:highlight w:val="none"/>
          <w:lang w:val="en-US" w:eastAsia="zh-CN"/>
        </w:rPr>
        <w:t>MCCB</w:t>
      </w:r>
      <w:r>
        <w:rPr>
          <w:rFonts w:hint="eastAsia" w:ascii="宋体" w:hAnsi="宋体" w:eastAsia="宋体" w:cs="宋体"/>
          <w:color w:val="auto"/>
          <w:sz w:val="21"/>
          <w:szCs w:val="21"/>
          <w:highlight w:val="none"/>
          <w:lang w:val="en-US" w:eastAsia="zh-CN"/>
        </w:rPr>
        <w:t>回路，需带有开关状态及故障状态的辅助触点，并将上述信号接入智能仪表，通过智能仪表的</w:t>
      </w:r>
      <w:r>
        <w:rPr>
          <w:rFonts w:hint="default" w:ascii="宋体" w:hAnsi="宋体" w:eastAsia="宋体" w:cs="宋体"/>
          <w:color w:val="auto"/>
          <w:sz w:val="21"/>
          <w:szCs w:val="21"/>
          <w:highlight w:val="none"/>
          <w:lang w:val="en-US" w:eastAsia="zh-CN"/>
        </w:rPr>
        <w:t>RS485</w:t>
      </w:r>
      <w:r>
        <w:rPr>
          <w:rFonts w:hint="eastAsia" w:ascii="宋体" w:hAnsi="宋体" w:eastAsia="宋体" w:cs="宋体"/>
          <w:color w:val="auto"/>
          <w:sz w:val="21"/>
          <w:szCs w:val="21"/>
          <w:highlight w:val="none"/>
          <w:lang w:val="en-US" w:eastAsia="zh-CN"/>
        </w:rPr>
        <w:t>接口（通信协议采用</w:t>
      </w:r>
      <w:r>
        <w:rPr>
          <w:rFonts w:hint="default" w:ascii="宋体" w:hAnsi="宋体" w:eastAsia="宋体" w:cs="宋体"/>
          <w:color w:val="auto"/>
          <w:sz w:val="21"/>
          <w:szCs w:val="21"/>
          <w:highlight w:val="none"/>
          <w:lang w:val="en-US" w:eastAsia="zh-CN"/>
        </w:rPr>
        <w:t>ModBUS</w:t>
      </w:r>
      <w:r>
        <w:rPr>
          <w:rFonts w:hint="eastAsia" w:ascii="宋体" w:hAnsi="宋体" w:eastAsia="宋体" w:cs="宋体"/>
          <w:color w:val="auto"/>
          <w:sz w:val="21"/>
          <w:szCs w:val="21"/>
          <w:highlight w:val="none"/>
          <w:lang w:val="en-US" w:eastAsia="zh-CN"/>
        </w:rPr>
        <w:t>协议）交接由电力监控系统监视及控制。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低压交流塑壳式断路器的电气技术性能及参数见下表，投标人选用的产品技术参数不应低于表中数据。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塑壳式断路器电气技术性能及参数</w:t>
      </w:r>
    </w:p>
    <w:tbl>
      <w:tblPr>
        <w:tblStyle w:val="4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5" w:type="dxa"/>
          <w:bottom w:w="0" w:type="dxa"/>
          <w:right w:w="105" w:type="dxa"/>
        </w:tblCellMar>
      </w:tblPr>
      <w:tblGrid>
        <w:gridCol w:w="1699"/>
        <w:gridCol w:w="2340"/>
        <w:gridCol w:w="1488"/>
        <w:gridCol w:w="1300"/>
        <w:gridCol w:w="1250"/>
        <w:gridCol w:w="17"/>
        <w:gridCol w:w="1213"/>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塑壳等级额定电流（A）</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160</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250</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320</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400</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额定工作电压（V）</w:t>
            </w:r>
          </w:p>
        </w:tc>
        <w:tc>
          <w:tcPr>
            <w:tcW w:w="3050" w:type="pct"/>
            <w:gridSpan w:val="6"/>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额定绝缘电压（V）</w:t>
            </w:r>
          </w:p>
        </w:tc>
        <w:tc>
          <w:tcPr>
            <w:tcW w:w="3050" w:type="pct"/>
            <w:gridSpan w:val="6"/>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极数</w:t>
            </w:r>
          </w:p>
        </w:tc>
        <w:tc>
          <w:tcPr>
            <w:tcW w:w="3050" w:type="pct"/>
            <w:gridSpan w:val="6"/>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操作方式</w:t>
            </w:r>
          </w:p>
        </w:tc>
        <w:tc>
          <w:tcPr>
            <w:tcW w:w="3050" w:type="pct"/>
            <w:gridSpan w:val="6"/>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手动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额定极限短路分断能力（kA）</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180" w:hRule="atLeas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电气寿命（次）415VAC</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8000</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8000</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7000</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6000</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180" w:hRule="atLeas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额定冲击耐压（kV）</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390" w:hRule="atLeast"/>
          <w:jc w:val="center"/>
        </w:trPr>
        <w:tc>
          <w:tcPr>
            <w:tcW w:w="820" w:type="pct"/>
            <w:vMerge w:val="restart"/>
            <w:tcBorders>
              <w:top w:val="nil"/>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可配附件</w:t>
            </w:r>
          </w:p>
        </w:tc>
        <w:tc>
          <w:tcPr>
            <w:tcW w:w="112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分励脱扣器</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435" w:hRule="atLeast"/>
          <w:jc w:val="center"/>
        </w:trPr>
        <w:tc>
          <w:tcPr>
            <w:tcW w:w="820" w:type="pct"/>
            <w:vMerge w:val="continue"/>
            <w:tcBorders>
              <w:top w:val="nil"/>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leftChars="0" w:right="0"/>
              <w:jc w:val="center"/>
              <w:rPr>
                <w:rFonts w:hint="default" w:ascii="宋体" w:hAnsi="宋体" w:eastAsia="宋体" w:cs="宋体"/>
                <w:color w:val="auto"/>
                <w:sz w:val="21"/>
                <w:szCs w:val="21"/>
                <w:highlight w:val="none"/>
              </w:rPr>
            </w:pPr>
          </w:p>
        </w:tc>
        <w:tc>
          <w:tcPr>
            <w:tcW w:w="112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辅助触点</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465" w:hRule="atLeast"/>
          <w:jc w:val="center"/>
        </w:trPr>
        <w:tc>
          <w:tcPr>
            <w:tcW w:w="820" w:type="pct"/>
            <w:vMerge w:val="continue"/>
            <w:tcBorders>
              <w:top w:val="nil"/>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ind w:left="0" w:leftChars="0" w:right="0"/>
              <w:jc w:val="center"/>
              <w:rPr>
                <w:rFonts w:hint="default" w:ascii="宋体" w:hAnsi="宋体" w:eastAsia="宋体" w:cs="宋体"/>
                <w:color w:val="auto"/>
                <w:sz w:val="21"/>
                <w:szCs w:val="21"/>
                <w:highlight w:val="none"/>
              </w:rPr>
            </w:pPr>
          </w:p>
        </w:tc>
        <w:tc>
          <w:tcPr>
            <w:tcW w:w="112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报警触头</w:t>
            </w:r>
          </w:p>
        </w:tc>
        <w:tc>
          <w:tcPr>
            <w:tcW w:w="71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27"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602"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jc w:val="center"/>
              <w:rPr>
                <w:rFonts w:hint="default" w:ascii="宋体" w:hAnsi="宋体" w:eastAsia="宋体" w:cs="宋体"/>
                <w:color w:val="auto"/>
                <w:kern w:val="2"/>
                <w:sz w:val="21"/>
                <w:szCs w:val="21"/>
                <w:highlight w:val="none"/>
              </w:rPr>
            </w:pPr>
          </w:p>
        </w:tc>
        <w:tc>
          <w:tcPr>
            <w:tcW w:w="593"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c>
          <w:tcPr>
            <w:tcW w:w="508" w:type="pct"/>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465" w:hRule="atLeas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控制单元</w:t>
            </w:r>
          </w:p>
        </w:tc>
        <w:tc>
          <w:tcPr>
            <w:tcW w:w="1948" w:type="pct"/>
            <w:gridSpan w:val="3"/>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热磁/电子脱扣器</w:t>
            </w:r>
          </w:p>
        </w:tc>
        <w:tc>
          <w:tcPr>
            <w:tcW w:w="1101" w:type="pct"/>
            <w:gridSpan w:val="3"/>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热磁/电子脱扣器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5" w:type="dxa"/>
            <w:bottom w:w="0" w:type="dxa"/>
            <w:right w:w="105" w:type="dxa"/>
          </w:tblCellMar>
        </w:tblPrEx>
        <w:trPr>
          <w:cantSplit/>
          <w:trHeight w:val="300" w:hRule="atLeast"/>
          <w:jc w:val="center"/>
        </w:trPr>
        <w:tc>
          <w:tcPr>
            <w:tcW w:w="1949" w:type="pct"/>
            <w:gridSpan w:val="2"/>
            <w:tcBorders>
              <w:top w:val="single" w:color="000000" w:sz="6" w:space="0"/>
              <w:left w:val="single" w:color="000000" w:sz="6" w:space="0"/>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安装型式</w:t>
            </w:r>
          </w:p>
        </w:tc>
        <w:tc>
          <w:tcPr>
            <w:tcW w:w="1956" w:type="pct"/>
            <w:gridSpan w:val="4"/>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固定式/插入式</w:t>
            </w:r>
          </w:p>
        </w:tc>
        <w:tc>
          <w:tcPr>
            <w:tcW w:w="1094" w:type="pct"/>
            <w:gridSpan w:val="2"/>
            <w:tcBorders>
              <w:top w:val="single" w:color="000000" w:sz="6" w:space="0"/>
              <w:left w:val="nil"/>
              <w:bottom w:val="single" w:color="000000" w:sz="6" w:space="0"/>
              <w:right w:val="single" w:color="000000" w:sz="6" w:space="0"/>
            </w:tcBorders>
            <w:noWrap w:val="0"/>
            <w:vAlign w:val="center"/>
          </w:tcPr>
          <w:p>
            <w:pPr>
              <w:pStyle w:val="39"/>
              <w:keepNext w:val="0"/>
              <w:keepLines w:val="0"/>
              <w:widowControl w:val="0"/>
              <w:suppressLineNumbers w:val="0"/>
              <w:spacing w:before="0" w:beforeAutospacing="0" w:after="0" w:afterAutospacing="0"/>
              <w:ind w:left="0" w:leftChars="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固定式/抽出式</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2.1.6</w:t>
      </w:r>
      <w:r>
        <w:rPr>
          <w:rFonts w:hint="eastAsia" w:ascii="宋体" w:hAnsi="宋体" w:eastAsia="宋体" w:cs="宋体"/>
          <w:color w:val="auto"/>
          <w:sz w:val="21"/>
          <w:szCs w:val="21"/>
          <w:highlight w:val="none"/>
          <w:lang w:val="en-US" w:eastAsia="zh-CN"/>
        </w:rPr>
        <w:t>低压交流微型断路器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应有可靠隔离性能。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应有整体内部脱扣结构以保证长期运行的稳定性。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应有触头位置指示，确保主触头分合位置指示的正确性。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上下端均可进线并不影响</w:t>
      </w: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上下端均可连接导线或母排以减少连接工作量并提高接线可靠性，且接线能力要求达到</w:t>
      </w:r>
      <w:r>
        <w:rPr>
          <w:rFonts w:hint="default" w:ascii="宋体" w:hAnsi="宋体" w:eastAsia="宋体" w:cs="宋体"/>
          <w:color w:val="auto"/>
          <w:sz w:val="21"/>
          <w:szCs w:val="21"/>
          <w:highlight w:val="none"/>
          <w:lang w:val="en-US" w:eastAsia="zh-CN"/>
        </w:rPr>
        <w:t>35mm2</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同一系列产品分断能力</w:t>
      </w:r>
      <w:r>
        <w:rPr>
          <w:rFonts w:hint="default" w:ascii="宋体" w:hAnsi="宋体" w:eastAsia="宋体" w:cs="宋体"/>
          <w:color w:val="auto"/>
          <w:sz w:val="21"/>
          <w:szCs w:val="21"/>
          <w:highlight w:val="none"/>
          <w:lang w:val="en-US" w:eastAsia="zh-CN"/>
        </w:rPr>
        <w:t>6KA</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10KA</w:t>
      </w:r>
      <w:r>
        <w:rPr>
          <w:rFonts w:hint="eastAsia" w:ascii="宋体" w:hAnsi="宋体" w:eastAsia="宋体" w:cs="宋体"/>
          <w:color w:val="auto"/>
          <w:sz w:val="21"/>
          <w:szCs w:val="21"/>
          <w:highlight w:val="none"/>
          <w:lang w:val="en-US" w:eastAsia="zh-CN"/>
        </w:rPr>
        <w:t>等级齐全。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漏电断路器需采用拼装式或集成一体式，不得采用预拼装不可拆卸式。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电断路器及漏电模块采用</w:t>
      </w:r>
      <w:r>
        <w:rPr>
          <w:rFonts w:hint="default"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型漏电。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进线开关采用带过欠压保护方案。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附件种类齐全，辅助触头可底部或侧面安装，最多同时安装</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组辅助</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信号触头。</w:t>
      </w:r>
      <w:r>
        <w:rPr>
          <w:rFonts w:hint="default" w:ascii="宋体" w:hAnsi="宋体" w:eastAsia="宋体" w:cs="宋体"/>
          <w:color w:val="auto"/>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MCB</w:t>
      </w:r>
      <w:r>
        <w:rPr>
          <w:rFonts w:hint="eastAsia" w:ascii="宋体" w:hAnsi="宋体" w:eastAsia="宋体" w:cs="宋体"/>
          <w:color w:val="auto"/>
          <w:sz w:val="21"/>
          <w:szCs w:val="21"/>
          <w:highlight w:val="none"/>
          <w:lang w:val="en-US" w:eastAsia="zh-CN"/>
        </w:rPr>
        <w:t>应可加装电动操作装置，必要时可实现远程分合闸。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存在瞬态漏电电流干扰，漏电断路器选择抑制瞬态干扰型</w:t>
      </w:r>
      <w:r>
        <w:rPr>
          <w:rFonts w:hint="default" w:ascii="宋体" w:hAnsi="宋体" w:eastAsia="宋体" w:cs="宋体"/>
          <w:color w:val="auto"/>
          <w:sz w:val="21"/>
          <w:szCs w:val="21"/>
          <w:highlight w:val="none"/>
          <w:lang w:val="en-US" w:eastAsia="zh-CN"/>
        </w:rPr>
        <w:t xml:space="preserve">[AP-R] </w:t>
      </w:r>
      <w:r>
        <w:rPr>
          <w:rFonts w:hint="eastAsia" w:ascii="宋体" w:hAnsi="宋体" w:eastAsia="宋体" w:cs="宋体"/>
          <w:color w:val="auto"/>
          <w:sz w:val="21"/>
          <w:szCs w:val="21"/>
          <w:highlight w:val="none"/>
          <w:lang w:val="en-US" w:eastAsia="zh-CN"/>
        </w:rPr>
        <w:t>，优异的抗冲击能力和防误动特性，保证供电的连续性。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漏电断路器，额定剩余电流（</w:t>
      </w:r>
      <w:r>
        <w:rPr>
          <w:rFonts w:hint="default" w:ascii="宋体" w:hAnsi="宋体" w:eastAsia="宋体" w:cs="宋体"/>
          <w:color w:val="auto"/>
          <w:sz w:val="21"/>
          <w:szCs w:val="21"/>
          <w:highlight w:val="none"/>
          <w:lang w:val="en-US" w:eastAsia="zh-CN"/>
        </w:rPr>
        <w:t>0.01</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0.5A</w:t>
      </w:r>
      <w:r>
        <w:rPr>
          <w:rFonts w:hint="eastAsia" w:ascii="宋体" w:hAnsi="宋体" w:eastAsia="宋体" w:cs="宋体"/>
          <w:color w:val="auto"/>
          <w:sz w:val="21"/>
          <w:szCs w:val="21"/>
          <w:highlight w:val="none"/>
          <w:lang w:val="en-US" w:eastAsia="zh-CN"/>
        </w:rPr>
        <w:t>）可选范围广。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2.1.7</w:t>
      </w:r>
      <w:r>
        <w:rPr>
          <w:rFonts w:hint="eastAsia" w:ascii="宋体" w:hAnsi="宋体" w:eastAsia="宋体" w:cs="宋体"/>
          <w:color w:val="auto"/>
          <w:sz w:val="21"/>
          <w:szCs w:val="21"/>
          <w:highlight w:val="none"/>
          <w:lang w:val="en-US" w:eastAsia="zh-CN"/>
        </w:rPr>
        <w:t>柜内铜母线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）母排满足系统运行方式变化以及变压器过载而可能的电流数值，系统采用</w:t>
      </w:r>
      <w:r>
        <w:rPr>
          <w:rFonts w:hint="default" w:ascii="宋体" w:hAnsi="宋体" w:eastAsia="宋体" w:cs="宋体"/>
          <w:color w:val="auto"/>
          <w:sz w:val="21"/>
          <w:szCs w:val="21"/>
          <w:highlight w:val="none"/>
          <w:lang w:val="en-US" w:eastAsia="zh-CN"/>
        </w:rPr>
        <w:t>TN-S</w:t>
      </w:r>
      <w:r>
        <w:rPr>
          <w:rFonts w:hint="eastAsia" w:ascii="宋体" w:hAnsi="宋体" w:eastAsia="宋体" w:cs="宋体"/>
          <w:color w:val="auto"/>
          <w:sz w:val="21"/>
          <w:szCs w:val="21"/>
          <w:highlight w:val="none"/>
          <w:lang w:val="en-US" w:eastAsia="zh-CN"/>
        </w:rPr>
        <w:t>接地系统，接地母排满足截面要求并通长配置。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 1600</w:t>
      </w:r>
      <w:r>
        <w:rPr>
          <w:rFonts w:hint="eastAsia" w:ascii="宋体" w:hAnsi="宋体" w:eastAsia="宋体" w:cs="宋体"/>
          <w:color w:val="auto"/>
          <w:sz w:val="21"/>
          <w:szCs w:val="21"/>
          <w:highlight w:val="none"/>
          <w:lang w:val="en-US" w:eastAsia="zh-CN"/>
        </w:rPr>
        <w:t>安培及其以上电路，其额定短时承受电流须为</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秒钟</w:t>
      </w:r>
      <w:r>
        <w:rPr>
          <w:rFonts w:hint="default"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千安，</w:t>
      </w:r>
      <w:r>
        <w:rPr>
          <w:rFonts w:hint="default" w:ascii="宋体" w:hAnsi="宋体" w:eastAsia="宋体" w:cs="宋体"/>
          <w:color w:val="auto"/>
          <w:sz w:val="21"/>
          <w:szCs w:val="21"/>
          <w:highlight w:val="none"/>
          <w:lang w:val="en-US" w:eastAsia="zh-CN"/>
        </w:rPr>
        <w:t>1600</w:t>
      </w:r>
      <w:r>
        <w:rPr>
          <w:rFonts w:hint="eastAsia" w:ascii="宋体" w:hAnsi="宋体" w:eastAsia="宋体" w:cs="宋体"/>
          <w:color w:val="auto"/>
          <w:sz w:val="21"/>
          <w:szCs w:val="21"/>
          <w:highlight w:val="none"/>
          <w:lang w:val="en-US" w:eastAsia="zh-CN"/>
        </w:rPr>
        <w:t>安培以下电路为</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秒钟</w:t>
      </w:r>
      <w:r>
        <w:rPr>
          <w:rFonts w:hint="default"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千安。母线与中性母线的截面面积按图纸要求。构成配电屏部分装置的母线，母线连接线和裸导体必须符合图纸所列电流值的要求和在允许温升范围内。铜排采用高纯度产品（铜含量达</w:t>
      </w:r>
      <w:r>
        <w:rPr>
          <w:rFonts w:hint="default" w:ascii="宋体" w:hAnsi="宋体" w:eastAsia="宋体" w:cs="宋体"/>
          <w:color w:val="auto"/>
          <w:sz w:val="21"/>
          <w:szCs w:val="21"/>
          <w:highlight w:val="none"/>
          <w:lang w:val="en-US" w:eastAsia="zh-CN"/>
        </w:rPr>
        <w:t>99.95%</w:t>
      </w:r>
      <w:r>
        <w:rPr>
          <w:rFonts w:hint="eastAsia" w:ascii="宋体" w:hAnsi="宋体" w:eastAsia="宋体" w:cs="宋体"/>
          <w:color w:val="auto"/>
          <w:sz w:val="21"/>
          <w:szCs w:val="21"/>
          <w:highlight w:val="none"/>
          <w:lang w:val="en-US" w:eastAsia="zh-CN"/>
        </w:rPr>
        <w:t>）；母排表面需进行镀锡处理，镀锡厚度及弯曲半径必须达到国标要求。母线需用</w:t>
      </w:r>
      <w:r>
        <w:rPr>
          <w:rFonts w:hint="default" w:ascii="宋体" w:hAnsi="宋体" w:eastAsia="宋体" w:cs="宋体"/>
          <w:color w:val="auto"/>
          <w:sz w:val="21"/>
          <w:szCs w:val="21"/>
          <w:highlight w:val="none"/>
          <w:lang w:val="en-US" w:eastAsia="zh-CN"/>
        </w:rPr>
        <w:t>8.8</w:t>
      </w:r>
      <w:r>
        <w:rPr>
          <w:rFonts w:hint="eastAsia" w:ascii="宋体" w:hAnsi="宋体" w:eastAsia="宋体" w:cs="宋体"/>
          <w:color w:val="auto"/>
          <w:sz w:val="21"/>
          <w:szCs w:val="21"/>
          <w:highlight w:val="none"/>
          <w:lang w:val="en-US" w:eastAsia="zh-CN"/>
        </w:rPr>
        <w:t>级螺栓联接。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）母线温升不超过</w:t>
      </w:r>
      <w:r>
        <w:rPr>
          <w:rFonts w:hint="default" w:ascii="宋体" w:hAnsi="宋体" w:eastAsia="宋体" w:cs="宋体"/>
          <w:color w:val="auto"/>
          <w:sz w:val="21"/>
          <w:szCs w:val="21"/>
          <w:highlight w:val="none"/>
          <w:lang w:val="en-US" w:eastAsia="zh-CN"/>
        </w:rPr>
        <w:t>20K</w:t>
      </w:r>
      <w:r>
        <w:rPr>
          <w:rFonts w:hint="eastAsia" w:ascii="宋体" w:hAnsi="宋体" w:eastAsia="宋体" w:cs="宋体"/>
          <w:color w:val="auto"/>
          <w:sz w:val="21"/>
          <w:szCs w:val="21"/>
          <w:highlight w:val="none"/>
          <w:lang w:val="en-US" w:eastAsia="zh-CN"/>
        </w:rPr>
        <w:t>，支撑牢固。在故障出现下整套装置能承受最高机械应力。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2.1.8</w:t>
      </w:r>
      <w:r>
        <w:rPr>
          <w:rFonts w:hint="eastAsia" w:ascii="宋体" w:hAnsi="宋体" w:eastAsia="宋体" w:cs="宋体"/>
          <w:color w:val="auto"/>
          <w:sz w:val="21"/>
          <w:szCs w:val="21"/>
          <w:highlight w:val="none"/>
          <w:lang w:val="en-US" w:eastAsia="zh-CN"/>
        </w:rPr>
        <w:t>智能综合监测装置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）内置高精度的测量</w:t>
      </w:r>
      <w:r>
        <w:rPr>
          <w:rFonts w:hint="default" w:ascii="宋体" w:hAnsi="宋体" w:eastAsia="宋体" w:cs="宋体"/>
          <w:color w:val="auto"/>
          <w:sz w:val="21"/>
          <w:szCs w:val="21"/>
          <w:highlight w:val="none"/>
          <w:lang w:val="en-US" w:eastAsia="zh-CN"/>
        </w:rPr>
        <w:t>PT</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CT</w:t>
      </w:r>
      <w:r>
        <w:rPr>
          <w:rFonts w:hint="eastAsia" w:ascii="宋体" w:hAnsi="宋体" w:eastAsia="宋体" w:cs="宋体"/>
          <w:color w:val="auto"/>
          <w:sz w:val="21"/>
          <w:szCs w:val="21"/>
          <w:highlight w:val="none"/>
          <w:lang w:val="en-US" w:eastAsia="zh-CN"/>
        </w:rPr>
        <w:t>，可测量电压、电流、频率、功率因数、有功功率、无功功率、视在功率、有功电度、无功电度、视在电度等多种电量。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）测量精度：电压：</w:t>
      </w:r>
      <w:r>
        <w:rPr>
          <w:rFonts w:hint="default"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；电流：</w:t>
      </w:r>
      <w:r>
        <w:rPr>
          <w:rFonts w:hint="default"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；频率：</w:t>
      </w:r>
      <w:r>
        <w:rPr>
          <w:rFonts w:hint="default"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；功率：</w:t>
      </w:r>
      <w:r>
        <w:rPr>
          <w:rFonts w:hint="default"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；功率因数：</w:t>
      </w:r>
      <w:r>
        <w:rPr>
          <w:rFonts w:hint="default"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；电度：有功</w:t>
      </w:r>
      <w:r>
        <w:rPr>
          <w:rFonts w:hint="default"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，无功</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路开关量输入。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）可完成</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路电度表输入脉冲的电度计量。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路继电器输出，继电器节点容量：</w:t>
      </w:r>
      <w:r>
        <w:rPr>
          <w:rFonts w:hint="default" w:ascii="宋体" w:hAnsi="宋体" w:eastAsia="宋体" w:cs="宋体"/>
          <w:color w:val="auto"/>
          <w:sz w:val="21"/>
          <w:szCs w:val="21"/>
          <w:highlight w:val="none"/>
          <w:lang w:val="en-US" w:eastAsia="zh-CN"/>
        </w:rPr>
        <w:t xml:space="preserve">250VAC/10A </w:t>
      </w:r>
      <w:r>
        <w:rPr>
          <w:rFonts w:hint="eastAsia" w:ascii="宋体" w:hAnsi="宋体" w:eastAsia="宋体" w:cs="宋体"/>
          <w:color w:val="auto"/>
          <w:sz w:val="21"/>
          <w:szCs w:val="21"/>
          <w:highlight w:val="none"/>
          <w:lang w:val="en-US" w:eastAsia="zh-CN"/>
        </w:rPr>
        <w:t>或</w:t>
      </w:r>
      <w:r>
        <w:rPr>
          <w:rFonts w:hint="default" w:ascii="宋体" w:hAnsi="宋体" w:eastAsia="宋体" w:cs="宋体"/>
          <w:color w:val="auto"/>
          <w:sz w:val="21"/>
          <w:szCs w:val="21"/>
          <w:highlight w:val="none"/>
          <w:lang w:val="en-US" w:eastAsia="zh-CN"/>
        </w:rPr>
        <w:t>380VAC/6A</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）支持遥信和遥控功能。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RS485</w:t>
      </w:r>
      <w:r>
        <w:rPr>
          <w:rFonts w:hint="eastAsia" w:ascii="宋体" w:hAnsi="宋体" w:eastAsia="宋体" w:cs="宋体"/>
          <w:color w:val="auto"/>
          <w:sz w:val="21"/>
          <w:szCs w:val="21"/>
          <w:highlight w:val="none"/>
          <w:lang w:val="en-US" w:eastAsia="zh-CN"/>
        </w:rPr>
        <w:t>通讯口，支持</w:t>
      </w:r>
      <w:r>
        <w:rPr>
          <w:rFonts w:hint="default" w:ascii="宋体" w:hAnsi="宋体" w:eastAsia="宋体" w:cs="宋体"/>
          <w:color w:val="auto"/>
          <w:sz w:val="21"/>
          <w:szCs w:val="21"/>
          <w:highlight w:val="none"/>
          <w:lang w:val="en-US" w:eastAsia="zh-CN"/>
        </w:rPr>
        <w:t>MODBUS</w:t>
      </w:r>
      <w:r>
        <w:rPr>
          <w:rFonts w:hint="eastAsia" w:ascii="宋体" w:hAnsi="宋体" w:eastAsia="宋体" w:cs="宋体"/>
          <w:color w:val="auto"/>
          <w:sz w:val="21"/>
          <w:szCs w:val="21"/>
          <w:highlight w:val="none"/>
          <w:lang w:val="en-US" w:eastAsia="zh-CN"/>
        </w:rPr>
        <w:t>通信协议。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）所有关键数据（系统参数等）在失电情况下可保存十年以上。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）抗空间电磁干扰。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）四排汉字液晶显示窗口，四个按键，就地显示和操作方便。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）八个指示灯，可指示装置运行、通讯、开入量、开出量的状态。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）具有两级密码管理权限，方便运行管理。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）安装要求：面板式安装。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运行环境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en-US" w:eastAsia="zh-CN"/>
        </w:rPr>
        <w:t>、相对湿度：平均值＜</w:t>
      </w:r>
      <w:r>
        <w:rPr>
          <w:rFonts w:hint="default" w:ascii="宋体" w:hAnsi="宋体" w:eastAsia="宋体" w:cs="宋体"/>
          <w:color w:val="auto"/>
          <w:sz w:val="21"/>
          <w:szCs w:val="21"/>
          <w:highlight w:val="none"/>
          <w:lang w:val="en-US" w:eastAsia="zh-CN"/>
        </w:rPr>
        <w:t>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en-US" w:eastAsia="zh-CN"/>
        </w:rPr>
        <w:t>、工作温度：</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val="en-US" w:eastAsia="zh-CN"/>
        </w:rPr>
        <w:t>、电源电压：</w:t>
      </w:r>
      <w:r>
        <w:rPr>
          <w:rFonts w:hint="default"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265VAC/DC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2.1.9</w:t>
      </w:r>
      <w:r>
        <w:rPr>
          <w:rFonts w:hint="eastAsia" w:ascii="宋体" w:hAnsi="宋体" w:eastAsia="宋体" w:cs="宋体"/>
          <w:color w:val="auto"/>
          <w:sz w:val="21"/>
          <w:szCs w:val="21"/>
          <w:highlight w:val="none"/>
          <w:lang w:val="en-US" w:eastAsia="zh-CN"/>
        </w:rPr>
        <w:t>电涌保护器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为了消除雷电和操作过电压的影响，在每面进线柜应设置一组电涌保护器。每组电涌保护器为</w:t>
      </w:r>
      <w:r>
        <w:rPr>
          <w:rFonts w:hint="default"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II</w:t>
      </w:r>
      <w:r>
        <w:rPr>
          <w:rFonts w:hint="eastAsia" w:ascii="宋体" w:hAnsi="宋体" w:eastAsia="宋体" w:cs="宋体"/>
          <w:color w:val="auto"/>
          <w:sz w:val="21"/>
          <w:szCs w:val="21"/>
          <w:highlight w:val="none"/>
          <w:lang w:val="en-US" w:eastAsia="zh-CN"/>
        </w:rPr>
        <w:t>级组合型，实现两级间零距离安装，每级电涌保护器各为</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只，并加装前置熔断器，投标人应提供电涌保护器的设置方案。电涌保护器采用单极模块化设计，</w:t>
      </w:r>
      <w:r>
        <w:rPr>
          <w:rFonts w:hint="default" w:ascii="宋体" w:hAnsi="宋体" w:eastAsia="宋体" w:cs="宋体"/>
          <w:color w:val="auto"/>
          <w:sz w:val="21"/>
          <w:szCs w:val="21"/>
          <w:highlight w:val="none"/>
          <w:lang w:val="en-US" w:eastAsia="zh-CN"/>
        </w:rPr>
        <w:t>I</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II</w:t>
      </w:r>
      <w:r>
        <w:rPr>
          <w:rFonts w:hint="eastAsia" w:ascii="宋体" w:hAnsi="宋体" w:eastAsia="宋体" w:cs="宋体"/>
          <w:color w:val="auto"/>
          <w:sz w:val="21"/>
          <w:szCs w:val="21"/>
          <w:highlight w:val="none"/>
          <w:lang w:val="en-US" w:eastAsia="zh-CN"/>
        </w:rPr>
        <w:t>级均带故障指示</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阻燃等级：</w:t>
      </w:r>
      <w:r>
        <w:rPr>
          <w:rFonts w:hint="default" w:ascii="宋体" w:hAnsi="宋体" w:eastAsia="宋体" w:cs="宋体"/>
          <w:color w:val="auto"/>
          <w:sz w:val="21"/>
          <w:szCs w:val="21"/>
          <w:highlight w:val="none"/>
          <w:lang w:val="en-US" w:eastAsia="zh-CN"/>
        </w:rPr>
        <w:t>V0</w:t>
      </w:r>
      <w:r>
        <w:rPr>
          <w:rFonts w:hint="eastAsia" w:ascii="宋体" w:hAnsi="宋体" w:eastAsia="宋体" w:cs="宋体"/>
          <w:color w:val="auto"/>
          <w:sz w:val="21"/>
          <w:szCs w:val="21"/>
          <w:highlight w:val="none"/>
          <w:lang w:val="en-US" w:eastAsia="zh-CN"/>
        </w:rPr>
        <w:t>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2.1.10</w:t>
      </w:r>
      <w:r>
        <w:rPr>
          <w:rFonts w:hint="eastAsia" w:ascii="宋体" w:hAnsi="宋体" w:eastAsia="宋体" w:cs="宋体"/>
          <w:color w:val="auto"/>
          <w:sz w:val="21"/>
          <w:szCs w:val="21"/>
          <w:highlight w:val="none"/>
          <w:lang w:val="en-US" w:eastAsia="zh-CN"/>
        </w:rPr>
        <w:t>柜内其它元器件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）柜内绝缘导线应为阻燃型耐热铜质多股绞线，额定电压至少应同相应电路的额定绝缘电压相一致，一般配线应用</w:t>
      </w:r>
      <w:r>
        <w:rPr>
          <w:rFonts w:hint="default" w:ascii="宋体" w:hAnsi="宋体" w:eastAsia="宋体" w:cs="宋体"/>
          <w:color w:val="auto"/>
          <w:sz w:val="21"/>
          <w:szCs w:val="21"/>
          <w:highlight w:val="none"/>
          <w:lang w:val="en-US" w:eastAsia="zh-CN"/>
        </w:rPr>
        <w:t>1.5mm2</w:t>
      </w:r>
      <w:r>
        <w:rPr>
          <w:rFonts w:hint="eastAsia" w:ascii="宋体" w:hAnsi="宋体" w:eastAsia="宋体" w:cs="宋体"/>
          <w:color w:val="auto"/>
          <w:sz w:val="21"/>
          <w:szCs w:val="21"/>
          <w:highlight w:val="none"/>
          <w:lang w:val="en-US" w:eastAsia="zh-CN"/>
        </w:rPr>
        <w:t>以上（电流回路为</w:t>
      </w:r>
      <w:r>
        <w:rPr>
          <w:rFonts w:hint="default" w:ascii="宋体" w:hAnsi="宋体" w:eastAsia="宋体" w:cs="宋体"/>
          <w:color w:val="auto"/>
          <w:sz w:val="21"/>
          <w:szCs w:val="21"/>
          <w:highlight w:val="none"/>
          <w:lang w:val="en-US" w:eastAsia="zh-CN"/>
        </w:rPr>
        <w:t>2.3mm2</w:t>
      </w:r>
      <w:r>
        <w:rPr>
          <w:rFonts w:hint="eastAsia" w:ascii="宋体" w:hAnsi="宋体" w:eastAsia="宋体" w:cs="宋体"/>
          <w:color w:val="auto"/>
          <w:sz w:val="21"/>
          <w:szCs w:val="21"/>
          <w:highlight w:val="none"/>
          <w:lang w:val="en-US" w:eastAsia="zh-CN"/>
        </w:rPr>
        <w:t>以上），可动部分的过渡应柔软，并能承受住挠曲而不致疲劳损坏。所有柜内线、缆两端均有编号，方便查线。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）端子排分为试验端子、可连端子、终端端子、一般端子等，端子排导电部分为铜质。端子的选用应根据回路载流量和所接电缆截面确定，盘内考虑预留总数量</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％的端子及安装位置。端子排采用抗震动、免维护的阻燃端子，外壳材料的阻然等级为</w:t>
      </w:r>
      <w:r>
        <w:rPr>
          <w:rFonts w:hint="default" w:ascii="宋体" w:hAnsi="宋体" w:eastAsia="宋体" w:cs="宋体"/>
          <w:color w:val="auto"/>
          <w:sz w:val="21"/>
          <w:szCs w:val="21"/>
          <w:highlight w:val="none"/>
          <w:lang w:val="en-US" w:eastAsia="zh-CN"/>
        </w:rPr>
        <w:t>V0</w:t>
      </w:r>
      <w:r>
        <w:rPr>
          <w:rFonts w:hint="eastAsia" w:ascii="宋体" w:hAnsi="宋体" w:eastAsia="宋体" w:cs="宋体"/>
          <w:color w:val="auto"/>
          <w:sz w:val="21"/>
          <w:szCs w:val="21"/>
          <w:highlight w:val="none"/>
          <w:lang w:val="en-US" w:eastAsia="zh-CN"/>
        </w:rPr>
        <w:t>级，采用弹簧夹持或螺钉式连接，具有中央和侧面的明显标识。端子排采取防锈蚀处理，但不影响其导电性能，具有较强的过流能力。端子连接采用专用的电动或气动工具进行，牢固可靠。试验端子应设有进出线的隔离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）端子排与电缆（电缆芯为硬铜线）的压接方式应保证与电缆连接的永久性和可靠性。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）端子排标志应正确、完整、清楚、牢固，端子排的安装位置应使运行、检修、调试方便。开关柜的每个端子排应设有独立的端子号，可方便地进行拆装。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）控制柜面板配置的测量表计，满负荷时测量值应在量程的</w:t>
      </w:r>
      <w:r>
        <w:rPr>
          <w:rFonts w:hint="default"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en-US" w:eastAsia="zh-CN"/>
        </w:rPr>
        <w:t>左右。指针式仪表误差不大于</w:t>
      </w:r>
      <w:r>
        <w:rPr>
          <w:rFonts w:hint="default"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，出线电流表应满足设备启动时的过电流要求。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2.1.12</w:t>
      </w:r>
      <w:r>
        <w:rPr>
          <w:rFonts w:hint="eastAsia" w:ascii="宋体" w:hAnsi="宋体" w:eastAsia="宋体" w:cs="宋体"/>
          <w:color w:val="auto"/>
          <w:sz w:val="21"/>
          <w:szCs w:val="21"/>
          <w:highlight w:val="none"/>
          <w:lang w:val="en-US" w:eastAsia="zh-CN"/>
        </w:rPr>
        <w:t>密集型铜母线槽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2.1.11.1</w:t>
      </w:r>
      <w:r>
        <w:rPr>
          <w:rFonts w:hint="eastAsia" w:ascii="宋体" w:hAnsi="宋体" w:eastAsia="宋体" w:cs="宋体"/>
          <w:color w:val="auto"/>
          <w:sz w:val="21"/>
          <w:szCs w:val="21"/>
          <w:highlight w:val="none"/>
          <w:lang w:val="en-US" w:eastAsia="zh-CN"/>
        </w:rPr>
        <w:t>密集型铜母线槽系统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）技术规格要求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额定工作电压：</w:t>
      </w:r>
      <w:r>
        <w:rPr>
          <w:rFonts w:hint="default" w:ascii="宋体" w:hAnsi="宋体" w:eastAsia="宋体" w:cs="宋体"/>
          <w:color w:val="auto"/>
          <w:sz w:val="21"/>
          <w:szCs w:val="21"/>
          <w:highlight w:val="none"/>
          <w:lang w:val="en-US" w:eastAsia="zh-CN"/>
        </w:rPr>
        <w:t>400VAC</w:t>
      </w:r>
      <w:r>
        <w:rPr>
          <w:rFonts w:hint="eastAsia" w:ascii="宋体" w:hAnsi="宋体" w:eastAsia="宋体" w:cs="宋体"/>
          <w:color w:val="auto"/>
          <w:sz w:val="21"/>
          <w:szCs w:val="21"/>
          <w:highlight w:val="none"/>
          <w:lang w:val="en-US" w:eastAsia="zh-CN"/>
        </w:rPr>
        <w:t>，额定绝缘电压：</w:t>
      </w:r>
      <w:r>
        <w:rPr>
          <w:rFonts w:hint="default" w:ascii="宋体" w:hAnsi="宋体" w:eastAsia="宋体" w:cs="宋体"/>
          <w:color w:val="auto"/>
          <w:sz w:val="21"/>
          <w:szCs w:val="21"/>
          <w:highlight w:val="none"/>
          <w:lang w:val="en-US" w:eastAsia="zh-CN"/>
        </w:rPr>
        <w:t xml:space="preserve">690VAC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额定电流：详见设计图纸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相对湿度：不大于</w:t>
      </w:r>
      <w:r>
        <w:rPr>
          <w:rFonts w:hint="default" w:ascii="宋体" w:hAnsi="宋体" w:eastAsia="宋体" w:cs="宋体"/>
          <w:color w:val="auto"/>
          <w:sz w:val="21"/>
          <w:szCs w:val="21"/>
          <w:highlight w:val="none"/>
          <w:lang w:val="en-US" w:eastAsia="zh-CN"/>
        </w:rPr>
        <w:t>95%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海拔高度：</w:t>
      </w:r>
      <w:r>
        <w:rPr>
          <w:rFonts w:hint="default"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lang w:val="en-US" w:eastAsia="zh-CN"/>
        </w:rPr>
        <w:t>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额定频率：</w:t>
      </w:r>
      <w:r>
        <w:rPr>
          <w:rFonts w:hint="default" w:ascii="宋体" w:hAnsi="宋体" w:eastAsia="宋体" w:cs="宋体"/>
          <w:color w:val="auto"/>
          <w:sz w:val="21"/>
          <w:szCs w:val="21"/>
          <w:highlight w:val="none"/>
          <w:lang w:val="en-US" w:eastAsia="zh-CN"/>
        </w:rPr>
        <w:t>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绝缘电阻：相间绝缘电阻≥</w:t>
      </w:r>
      <w:r>
        <w:rPr>
          <w:rFonts w:hint="default" w:ascii="宋体" w:hAnsi="宋体" w:eastAsia="宋体" w:cs="宋体"/>
          <w:color w:val="auto"/>
          <w:sz w:val="21"/>
          <w:szCs w:val="21"/>
          <w:highlight w:val="none"/>
          <w:lang w:val="en-US" w:eastAsia="zh-CN"/>
        </w:rPr>
        <w:t>500M</w:t>
      </w:r>
      <w:r>
        <w:rPr>
          <w:rFonts w:hint="eastAsia" w:ascii="宋体" w:hAnsi="宋体" w:eastAsia="宋体" w:cs="宋体"/>
          <w:color w:val="auto"/>
          <w:sz w:val="21"/>
          <w:szCs w:val="21"/>
          <w:highlight w:val="none"/>
          <w:lang w:val="en-US" w:eastAsia="zh-CN"/>
        </w:rPr>
        <w:t>Ω；铜排与外壳之间电阻≥</w:t>
      </w:r>
      <w:r>
        <w:rPr>
          <w:rFonts w:hint="default" w:ascii="宋体" w:hAnsi="宋体" w:eastAsia="宋体" w:cs="宋体"/>
          <w:color w:val="auto"/>
          <w:sz w:val="21"/>
          <w:szCs w:val="21"/>
          <w:highlight w:val="none"/>
          <w:lang w:val="en-US" w:eastAsia="zh-CN"/>
        </w:rPr>
        <w:t>500 M</w:t>
      </w:r>
      <w:r>
        <w:rPr>
          <w:rFonts w:hint="eastAsia" w:ascii="宋体" w:hAnsi="宋体" w:eastAsia="宋体" w:cs="宋体"/>
          <w:color w:val="auto"/>
          <w:sz w:val="21"/>
          <w:szCs w:val="21"/>
          <w:highlight w:val="none"/>
          <w:lang w:val="en-US" w:eastAsia="zh-CN"/>
        </w:rPr>
        <w:t>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要求采用三相五线制（</w:t>
      </w:r>
      <w:r>
        <w:rPr>
          <w:rFonts w:hint="default" w:ascii="宋体" w:hAnsi="宋体" w:eastAsia="宋体" w:cs="宋体"/>
          <w:color w:val="auto"/>
          <w:sz w:val="21"/>
          <w:szCs w:val="21"/>
          <w:highlight w:val="none"/>
          <w:lang w:val="en-US" w:eastAsia="zh-CN"/>
        </w:rPr>
        <w:t>3L+N+PE</w:t>
      </w:r>
      <w:r>
        <w:rPr>
          <w:rFonts w:hint="eastAsia" w:ascii="宋体" w:hAnsi="宋体" w:eastAsia="宋体" w:cs="宋体"/>
          <w:color w:val="auto"/>
          <w:sz w:val="21"/>
          <w:szCs w:val="21"/>
          <w:highlight w:val="none"/>
          <w:lang w:val="en-US" w:eastAsia="zh-CN"/>
        </w:rPr>
        <w:t>）密集型铜母线槽，相线与零线截面要求相等，</w:t>
      </w:r>
      <w:r>
        <w:rPr>
          <w:rFonts w:hint="default"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lang w:val="en-US" w:eastAsia="zh-CN"/>
        </w:rPr>
        <w:t>线截面的独立地线或采用</w:t>
      </w:r>
      <w:r>
        <w:rPr>
          <w:rFonts w:hint="default" w:ascii="宋体" w:hAnsi="宋体" w:eastAsia="宋体" w:cs="宋体"/>
          <w:color w:val="auto"/>
          <w:sz w:val="21"/>
          <w:szCs w:val="21"/>
          <w:highlight w:val="none"/>
          <w:lang w:val="en-US" w:eastAsia="zh-CN"/>
        </w:rPr>
        <w:t>IGB</w:t>
      </w:r>
      <w:r>
        <w:rPr>
          <w:rFonts w:hint="eastAsia" w:ascii="宋体" w:hAnsi="宋体" w:eastAsia="宋体" w:cs="宋体"/>
          <w:color w:val="auto"/>
          <w:sz w:val="21"/>
          <w:szCs w:val="21"/>
          <w:highlight w:val="none"/>
          <w:lang w:val="en-US" w:eastAsia="zh-CN"/>
        </w:rPr>
        <w:t>接地方式。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每段密集型铜母线槽包含母线槽的始端箱及终端箱。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2.1.11.2</w:t>
      </w:r>
      <w:r>
        <w:rPr>
          <w:rFonts w:hint="eastAsia" w:ascii="宋体" w:hAnsi="宋体" w:eastAsia="宋体" w:cs="宋体"/>
          <w:color w:val="auto"/>
          <w:sz w:val="21"/>
          <w:szCs w:val="21"/>
          <w:highlight w:val="none"/>
          <w:lang w:val="en-US" w:eastAsia="zh-CN"/>
        </w:rPr>
        <w:t>密集母线槽主要技术参数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）外壳材质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为保证母线槽的强度和刚度，母线槽系统外壳应采用冷轧镀锌钢板或厚度不低于</w:t>
      </w:r>
      <w:r>
        <w:rPr>
          <w:rFonts w:hint="default" w:ascii="宋体" w:hAnsi="宋体" w:eastAsia="宋体" w:cs="宋体"/>
          <w:color w:val="auto"/>
          <w:sz w:val="21"/>
          <w:szCs w:val="21"/>
          <w:highlight w:val="none"/>
          <w:lang w:val="en-US" w:eastAsia="zh-CN"/>
        </w:rPr>
        <w:t>3.5mm</w:t>
      </w:r>
      <w:r>
        <w:rPr>
          <w:rFonts w:hint="eastAsia" w:ascii="宋体" w:hAnsi="宋体" w:eastAsia="宋体" w:cs="宋体"/>
          <w:color w:val="auto"/>
          <w:sz w:val="21"/>
          <w:szCs w:val="21"/>
          <w:highlight w:val="none"/>
          <w:lang w:val="en-US" w:eastAsia="zh-CN"/>
        </w:rPr>
        <w:t>的铝镁合金。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）外壳防腐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母线外壳表面应作静电喷涂环氧树脂处理，防腐性能不低于</w:t>
      </w:r>
      <w:r>
        <w:rPr>
          <w:rFonts w:hint="default" w:ascii="宋体" w:hAnsi="宋体" w:eastAsia="宋体" w:cs="宋体"/>
          <w:color w:val="auto"/>
          <w:sz w:val="21"/>
          <w:szCs w:val="21"/>
          <w:highlight w:val="none"/>
          <w:lang w:val="en-US" w:eastAsia="zh-CN"/>
        </w:rPr>
        <w:t>1800</w:t>
      </w:r>
      <w:r>
        <w:rPr>
          <w:rFonts w:hint="eastAsia" w:ascii="宋体" w:hAnsi="宋体" w:eastAsia="宋体" w:cs="宋体"/>
          <w:color w:val="auto"/>
          <w:sz w:val="21"/>
          <w:szCs w:val="21"/>
          <w:highlight w:val="none"/>
          <w:lang w:val="en-US" w:eastAsia="zh-CN"/>
        </w:rPr>
        <w:t>小时盐雾腐蚀试验十级标准。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）导体材料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导体应选用国标</w:t>
      </w:r>
      <w:r>
        <w:rPr>
          <w:rFonts w:hint="default" w:ascii="宋体" w:hAnsi="宋体" w:eastAsia="宋体" w:cs="宋体"/>
          <w:color w:val="auto"/>
          <w:sz w:val="21"/>
          <w:szCs w:val="21"/>
          <w:highlight w:val="none"/>
          <w:lang w:val="en-US" w:eastAsia="zh-CN"/>
        </w:rPr>
        <w:t>TU2</w:t>
      </w:r>
      <w:r>
        <w:rPr>
          <w:rFonts w:hint="eastAsia" w:ascii="宋体" w:hAnsi="宋体" w:eastAsia="宋体" w:cs="宋体"/>
          <w:color w:val="auto"/>
          <w:sz w:val="21"/>
          <w:szCs w:val="21"/>
          <w:highlight w:val="none"/>
          <w:lang w:val="en-US" w:eastAsia="zh-CN"/>
        </w:rPr>
        <w:t>电解铜，铜排纯度要求在</w:t>
      </w:r>
      <w:r>
        <w:rPr>
          <w:rFonts w:hint="default" w:ascii="宋体" w:hAnsi="宋体" w:eastAsia="宋体" w:cs="宋体"/>
          <w:color w:val="auto"/>
          <w:sz w:val="21"/>
          <w:szCs w:val="21"/>
          <w:highlight w:val="none"/>
          <w:lang w:val="en-US" w:eastAsia="zh-CN"/>
        </w:rPr>
        <w:t>99.95%</w:t>
      </w:r>
      <w:r>
        <w:rPr>
          <w:rFonts w:hint="eastAsia" w:ascii="宋体" w:hAnsi="宋体" w:eastAsia="宋体" w:cs="宋体"/>
          <w:color w:val="auto"/>
          <w:sz w:val="21"/>
          <w:szCs w:val="21"/>
          <w:highlight w:val="none"/>
          <w:lang w:val="en-US" w:eastAsia="zh-CN"/>
        </w:rPr>
        <w:t>以上</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并在品牌确认时需提供铜纯度测试报告；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铜排表面以全长镀银为佳，全长镀锡为次。不接受仅在接头部位搪锡的做法。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）防护等级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为有效保护配电系统对外来固、液的防护</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配电房内母线的防护等级应不低于</w:t>
      </w:r>
      <w:r>
        <w:rPr>
          <w:rFonts w:hint="default" w:ascii="宋体" w:hAnsi="宋体" w:eastAsia="宋体" w:cs="宋体"/>
          <w:color w:val="auto"/>
          <w:sz w:val="21"/>
          <w:szCs w:val="21"/>
          <w:highlight w:val="none"/>
          <w:lang w:val="en-US" w:eastAsia="zh-CN"/>
        </w:rPr>
        <w:t>IP54</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）导体完整性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为保证母线槽的载流能力及结构强度，母线直身段导体全长应保持完整，不得有中间冲孔、末端截面收缩等不良设计。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）绝缘材料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绝缘材料要求采用</w:t>
      </w:r>
      <w:r>
        <w:rPr>
          <w:rFonts w:hint="default"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lang w:val="en-US" w:eastAsia="zh-CN"/>
        </w:rPr>
        <w:t>级以上绝缘（</w:t>
      </w:r>
      <w:r>
        <w:rPr>
          <w:rFonts w:hint="default" w:ascii="宋体" w:hAnsi="宋体" w:eastAsia="宋体" w:cs="宋体"/>
          <w:color w:val="auto"/>
          <w:sz w:val="21"/>
          <w:szCs w:val="21"/>
          <w:highlight w:val="none"/>
          <w:lang w:val="en-US" w:eastAsia="zh-CN"/>
        </w:rPr>
        <w:t>155</w:t>
      </w:r>
      <w:r>
        <w:rPr>
          <w:rFonts w:hint="eastAsia" w:ascii="宋体" w:hAnsi="宋体" w:eastAsia="宋体" w:cs="宋体"/>
          <w:color w:val="auto"/>
          <w:sz w:val="21"/>
          <w:szCs w:val="21"/>
          <w:highlight w:val="none"/>
          <w:lang w:val="en-US" w:eastAsia="zh-CN"/>
        </w:rPr>
        <w:t>℃）的聚脂薄膜整块包裹。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）母线耐压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所有母线部件，如直身、弯头、法兰等要求全部通过高压试验后方可出厂。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）连接头设计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连接头螺栓应带有自动力矩控制功能，保证接头有良好的接触；在压接力矩达到规定值后，应当有醒目的指示，方便检查；连接头应设计先进，日后可免维护。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）连接头接触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连接头应采用双面搭接技术，以增强该部位的载流能力。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）插接口设计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母线在插接口部位的导体本体应直接与插接箱的插接爪进行电气连接，以保证接触的可靠性和安全性能，不可通过母线导体上附加的端子或突起进行连接。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）插接箱连锁保护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所有母线插接箱均应配备内部安全连锁：在通电情况下，防止插接箱门被打开；。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）插接箱防触电保护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内部带电部位必须配有透明防护隔板，以避免人身触电的危险。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）插接箱操作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插接箱应易于安装，拆卸。要求详细说明；相、地线的连接要保证可靠，接线爪应当带有弹簧片。详细说明插接箱与母线插接口确保可靠连接的措施；所有母线插口处必须带有安全罩盖；插接箱与母线地线之间连接要确保最先接触而最后断开，地线爪与母线的地线必须可靠接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）防烟囱效应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投标母线产品内不应存在连续空间，要避免形成</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烟囱效应</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，说明解决的方法和装置。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）安全性能测试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阻燃测试：全系列产品应通过国家正式实验室的阻燃测试。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交变湿热测试：全系列产品必须通过国家正规实验室的交变湿热测试。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抗震测试：产品必须通过国家正规实验室的抗震测试，认证和检测，投标方应在应答中予以说明，并在品牌确认时提供相应的报告。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有源滤波柜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标准：在额定补偿范围内，谐波治理后的低压配电系统要求应满足国标要求（《电能质量公用电网谐波 GB/T14549-93》）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工作电压：AC380 V±20%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工作频率：50 Hz±5%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工作环境温度：-10℃～+40℃  封闭环境，0～50℃开放环境； 相对湿度：≤0～90% 不凝露；</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海拔高度：海拔高度≤1500 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污秽等级：重污区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雷害等级：中雷区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应采用双DSP+CPLD数字控制的滤波方式；IGBT应选用国际著名品牌，逆变器的开关频率不低于20kHz。柜内电源板、主控制板、采样板以及用户界面等均需要自主研发，具有良好的品牌一致性。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控制算法应采用瞬时无功功率或DFT算法。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滤波范围：100Hz～2500Hz（即2次～50次谐波），并能选择性滤波，各次谐波补偿均可分别设定。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滤波能力： ≥95%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响应速度：≤1ms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电流互感器：3000/5A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自身损耗：＜3%（额定功率）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冷却方式：强制风冷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运行噪音：≤65dB（ 额定工况下1m距离）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完备的内部保护功能（包括过压/欠压、过电流、短路、缺相等）和系统自诊断功能，并且加装断路器、熔断器。设备自带保护功能；设备应能够全天候安全稳定地独立运行，不影响系统中其它设备的正常工作，不危害电网安全。滤波器内部应有保护措施，如果滤波器内部发生短路等故障，能够自动进行保护而不至于给外部的电源系统造成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性能应独立于电网阻抗及低压配电系统阻抗之外，不受电网阻抗和低压配电系统阻抗变化的影响。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采用中文的液晶显示器以及友好的人机操作界面，能显示设备运行状况、测量数据、故障报警等信息，并可由用户进行参数设置、状态改变和信息查看等操作，可同时监测电网、负载谐波及功率情况，具有一般电能测试仪器的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具有2-50次谐波的滤波功能，可对2-50次谐波进行单独选择，用户可以根据需要设定需要滤除的谐波次数和滤除谐波的目标值，可对每次谐波进行单独设定，单次谐波电流幅值补偿系数与相位补偿系数可调。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具有RS-232/RS</w:t>
      </w:r>
      <w:r>
        <w:rPr>
          <w:rFonts w:hint="eastAsia" w:ascii="宋体" w:hAnsi="宋体" w:eastAsia="宋体" w:cs="宋体"/>
          <w:color w:val="auto"/>
          <w:sz w:val="21"/>
          <w:szCs w:val="21"/>
          <w:highlight w:val="none"/>
          <w:lang w:val="en-US" w:eastAsia="zh-CN"/>
        </w:rPr>
        <w:softHyphen/>
      </w:r>
      <w:r>
        <w:rPr>
          <w:rFonts w:hint="eastAsia" w:ascii="宋体" w:hAnsi="宋体" w:eastAsia="宋体" w:cs="宋体"/>
          <w:color w:val="auto"/>
          <w:sz w:val="21"/>
          <w:szCs w:val="21"/>
          <w:highlight w:val="none"/>
          <w:lang w:val="en-US" w:eastAsia="zh-CN"/>
        </w:rPr>
        <w:t>-485智能接口和标准接口协议，以方便用户将设备运行状况、测量数据和故障报警等信息接入到监控系统，并免费提供智能接口的相关技术通信协议。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谐波采样应采用精密互感器。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能实现多台直接并联运行的平滑扩容。多台有源滤波器装置并联时，所有有源滤波器装置应能共用一套电流互感器。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具有过载保护能力，自动限流在100%额定输出。当系统谐波长期超过滤波器额定值时，滤波器也能正常工作。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采用闭环控制，采样电源系统测电流，保证运行的可靠性、精确性及响应的快速性，有源电力滤波器自动检测电网频率，自动探测和修正CT的极性。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可承受-20%～+20%的电压波动，以及±5%的频率波动，适应各种不同工况的供电环境。同时，如果电压波动超过上下限，自动闭锁输出，并发出告警。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并联接入电网，不会因故障导致电网断路；多台并联系统，如果一台因故障退出运行，其他有源滤波器仍能正常工作实现滤波功能。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具有全滤波、全无功补偿、滤波+无功补偿等三种工作模式, 功率因数设定范围满足从感性0.7到容性0.7。以便在供电系统呈现过补偿（即功率因数&lt;0）时能够进行无功调节，使配电系统的整体功率因数达到0.95-1.0之间；可通过网络通讯远程设定可平衡各相和相之间的负载电流。三相负载电流不平衡时，有源滤波器需可正常补偿并消除负载不平衡现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滤波器自身的高频纹波电流峰峰值不大于2A，不能回馈到电网，对其它系统和设备进行干扰。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当系统断电时，滤波器应自动断开；在系统恢复后，滤波器能自动恢复。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多机并联运行时，各单机直流母线解耦。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采用多重化技术，单机由多模块组成，当任一模块出现故障情况下，其他模块仍能正常工作，可通过液晶设置单模块或多模块运行。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
        </w:rPr>
      </w:pPr>
      <w:r>
        <w:rPr>
          <w:rFonts w:hint="default" w:ascii="宋体" w:hAnsi="宋体" w:eastAsia="宋体" w:cs="宋体"/>
          <w:color w:val="auto"/>
          <w:sz w:val="21"/>
          <w:szCs w:val="21"/>
          <w:highlight w:val="none"/>
          <w:lang w:val="en-US" w:eastAsia="zh"/>
        </w:rPr>
        <w:t>2.2</w:t>
      </w:r>
      <w:r>
        <w:rPr>
          <w:rFonts w:hint="eastAsia" w:ascii="宋体" w:hAnsi="宋体" w:eastAsia="宋体" w:cs="宋体"/>
          <w:color w:val="auto"/>
          <w:sz w:val="21"/>
          <w:szCs w:val="21"/>
          <w:highlight w:val="none"/>
          <w:lang w:val="en-US" w:eastAsia="zh"/>
        </w:rPr>
        <w:t>系统材料表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5" w:type="dxa"/>
          <w:bottom w:w="0" w:type="dxa"/>
          <w:right w:w="105" w:type="dxa"/>
        </w:tblCellMar>
      </w:tblPr>
      <w:tblGrid>
        <w:gridCol w:w="2937"/>
        <w:gridCol w:w="2483"/>
        <w:gridCol w:w="1557"/>
        <w:gridCol w:w="2009"/>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材料名称</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技术参数</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品牌</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质量等级</w:t>
            </w:r>
          </w:p>
        </w:tc>
        <w:tc>
          <w:tcPr>
            <w:tcW w:w="663"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避雷器及过电压保护器</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lang w:eastAsia="zh"/>
              </w:rPr>
            </w:pPr>
            <w:r>
              <w:rPr>
                <w:rFonts w:hint="eastAsia" w:ascii="宋体" w:hAnsi="宋体" w:eastAsia="宋体" w:cs="宋体"/>
                <w:color w:val="auto"/>
                <w:kern w:val="2"/>
                <w:sz w:val="21"/>
                <w:szCs w:val="21"/>
                <w:highlight w:val="none"/>
                <w:lang w:eastAsia="zh"/>
              </w:rPr>
              <w:t>/</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安普讯</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雷安</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中光</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易龙</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深圳</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南京</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四川</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0.4kV低压配电柜改造</w:t>
            </w:r>
          </w:p>
        </w:tc>
        <w:tc>
          <w:tcPr>
            <w:tcW w:w="1198"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柜内主要元器件选用施耐德SCHNEIDER、ABB、西门子SIEMENS。</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雄丰</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泰豪</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白云</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梅兰</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紫光</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基业</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东开</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东莞</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深圳</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广州</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东莞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低压交流框架式断路器</w:t>
            </w:r>
          </w:p>
        </w:tc>
        <w:tc>
          <w:tcPr>
            <w:tcW w:w="1198" w:type="pct"/>
            <w:noWrap w:val="0"/>
            <w:vAlign w:val="center"/>
          </w:tcPr>
          <w:p>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lang w:eastAsia="zh"/>
              </w:rPr>
            </w:pP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ABB Emax1</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施耐</w:t>
            </w:r>
            <w:r>
              <w:rPr>
                <w:rFonts w:hint="eastAsia" w:ascii="宋体" w:hAnsi="宋体" w:eastAsia="宋体" w:cs="宋体"/>
                <w:color w:val="auto"/>
                <w:kern w:val="2"/>
                <w:sz w:val="21"/>
                <w:szCs w:val="21"/>
                <w:highlight w:val="none"/>
                <w:lang w:val="en-US" w:eastAsia="zh" w:bidi="ar"/>
              </w:rPr>
              <w:t>德</w:t>
            </w:r>
            <w:r>
              <w:rPr>
                <w:rFonts w:hint="eastAsia" w:ascii="宋体" w:hAnsi="宋体" w:eastAsia="宋体" w:cs="宋体"/>
                <w:color w:val="auto"/>
                <w:kern w:val="2"/>
                <w:sz w:val="21"/>
                <w:szCs w:val="21"/>
                <w:highlight w:val="none"/>
                <w:lang w:val="en-US" w:eastAsia="zh-CN" w:bidi="ar"/>
              </w:rPr>
              <w:t>MT</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西门子3WL</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低压交流塑壳式断路器</w:t>
            </w:r>
          </w:p>
        </w:tc>
        <w:tc>
          <w:tcPr>
            <w:tcW w:w="1198" w:type="pct"/>
            <w:noWrap w:val="0"/>
            <w:vAlign w:val="center"/>
          </w:tcPr>
          <w:p>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lang w:eastAsia="zh"/>
              </w:rPr>
            </w:pP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ABB Tmax</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施耐德NSX西门3VA2</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低压交流微型断路器</w:t>
            </w:r>
          </w:p>
        </w:tc>
        <w:tc>
          <w:tcPr>
            <w:tcW w:w="1198" w:type="pct"/>
            <w:noWrap w:val="0"/>
            <w:vAlign w:val="center"/>
          </w:tcPr>
          <w:p>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lang w:eastAsia="zh"/>
              </w:rPr>
            </w:pP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ABB S200施耐iC65s西门5SY6</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电容器</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意大利督凯提、西门子EPCOS、ABB、芬兰诺基亚、瑞士莱提</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智能综合监测装置</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智光</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派诺</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安科瑞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海亿达</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广州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珠海</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上海</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密集型铜母线槽</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施耐德I Line</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西门子XLC-II</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古河电工株式会社H-PC</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有源滤波柜</w:t>
            </w:r>
          </w:p>
        </w:tc>
        <w:tc>
          <w:tcPr>
            <w:tcW w:w="1198"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详见本章节“技术要求”。</w:t>
            </w:r>
          </w:p>
        </w:tc>
        <w:tc>
          <w:tcPr>
            <w:tcW w:w="751"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c>
          <w:tcPr>
            <w:tcW w:w="969"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c>
          <w:tcPr>
            <w:tcW w:w="663"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5" w:type="dxa"/>
            <w:bottom w:w="0" w:type="dxa"/>
            <w:right w:w="105" w:type="dxa"/>
          </w:tblCellMar>
        </w:tblPrEx>
        <w:trPr>
          <w:jc w:val="center"/>
        </w:trPr>
        <w:tc>
          <w:tcPr>
            <w:tcW w:w="1417"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高低压电缆</w:t>
            </w:r>
          </w:p>
        </w:tc>
        <w:tc>
          <w:tcPr>
            <w:tcW w:w="1198" w:type="pct"/>
            <w:noWrap w:val="0"/>
            <w:vAlign w:val="center"/>
          </w:tcPr>
          <w:p>
            <w:pPr>
              <w:keepNext w:val="0"/>
              <w:keepLines w:val="0"/>
              <w:widowControl w:val="0"/>
              <w:suppressLineNumbers w:val="0"/>
              <w:snapToGrid w:val="0"/>
              <w:spacing w:before="0" w:beforeAutospacing="0" w:after="0" w:afterAutospacing="0"/>
              <w:ind w:left="0" w:right="0"/>
              <w:jc w:val="center"/>
              <w:rPr>
                <w:rFonts w:hint="default" w:ascii="宋体" w:hAnsi="宋体" w:eastAsia="宋体" w:cs="宋体"/>
                <w:color w:val="auto"/>
                <w:kern w:val="2"/>
                <w:sz w:val="21"/>
                <w:szCs w:val="21"/>
                <w:highlight w:val="none"/>
              </w:rPr>
            </w:pPr>
          </w:p>
        </w:tc>
        <w:tc>
          <w:tcPr>
            <w:tcW w:w="751"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广东电缆</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民兴电缆</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成天泰电缆</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鲁能泰山</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南洋电缆</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中联</w:t>
            </w:r>
          </w:p>
        </w:tc>
        <w:tc>
          <w:tcPr>
            <w:tcW w:w="969"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优</w:t>
            </w:r>
          </w:p>
        </w:tc>
        <w:tc>
          <w:tcPr>
            <w:tcW w:w="663" w:type="pct"/>
            <w:noWrap w:val="0"/>
            <w:vAlign w:val="center"/>
          </w:tcPr>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佛山</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东莞</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深圳</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山东</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上海</w:t>
            </w:r>
          </w:p>
          <w:p>
            <w:pPr>
              <w:keepNext w:val="0"/>
              <w:keepLines w:val="0"/>
              <w:widowControl w:val="0"/>
              <w:suppressLineNumbers w:val="0"/>
              <w:snapToGrid w:val="0"/>
              <w:spacing w:before="0" w:beforeAutospacing="0" w:after="0" w:afterAutospacing="0"/>
              <w:ind w:left="0" w:right="0" w:firstLine="0" w:firstLineChars="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佛山</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3.2.5.3.精确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color w:val="auto"/>
          <w:sz w:val="21"/>
          <w:szCs w:val="21"/>
          <w:highlight w:val="none"/>
          <w:lang w:val="en-US" w:eastAsia="zh"/>
        </w:rPr>
        <w:t>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color w:val="auto"/>
          <w:sz w:val="21"/>
          <w:szCs w:val="21"/>
          <w:highlight w:val="none"/>
          <w:lang w:val="en-US" w:eastAsia="zh-CN"/>
        </w:rPr>
        <w:t>控制系统是相对独立的成套子系统，用于满足</w:t>
      </w:r>
      <w:r>
        <w:rPr>
          <w:rFonts w:hint="eastAsia" w:ascii="宋体" w:hAnsi="宋体" w:eastAsia="宋体" w:cs="宋体"/>
          <w:color w:val="auto"/>
          <w:sz w:val="21"/>
          <w:szCs w:val="21"/>
          <w:highlight w:val="none"/>
          <w:lang w:val="en-US" w:eastAsia="zh"/>
        </w:rPr>
        <w:t>原位技术工艺</w:t>
      </w:r>
      <w:r>
        <w:rPr>
          <w:rFonts w:hint="eastAsia" w:ascii="宋体" w:hAnsi="宋体" w:eastAsia="宋体" w:cs="宋体"/>
          <w:color w:val="auto"/>
          <w:sz w:val="21"/>
          <w:szCs w:val="21"/>
          <w:highlight w:val="none"/>
          <w:lang w:val="en-US" w:eastAsia="zh-CN"/>
        </w:rPr>
        <w:t>对于各类相关药剂投加量的精确控制需求，</w:t>
      </w:r>
      <w:r>
        <w:rPr>
          <w:rFonts w:hint="eastAsia" w:ascii="宋体" w:hAnsi="宋体" w:eastAsia="宋体" w:cs="宋体"/>
          <w:color w:val="auto"/>
          <w:sz w:val="21"/>
          <w:szCs w:val="21"/>
          <w:highlight w:val="none"/>
          <w:lang w:val="en-US" w:eastAsia="zh"/>
        </w:rPr>
        <w:t>提高</w:t>
      </w:r>
      <w:r>
        <w:rPr>
          <w:rFonts w:hint="eastAsia" w:ascii="宋体" w:hAnsi="宋体" w:eastAsia="宋体" w:cs="宋体"/>
          <w:color w:val="auto"/>
          <w:sz w:val="21"/>
          <w:szCs w:val="21"/>
          <w:highlight w:val="none"/>
          <w:lang w:val="en-US" w:eastAsia="zh-CN"/>
        </w:rPr>
        <w:t>污水处理厂的运行稳定性。该系统含精确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default" w:ascii="宋体" w:hAnsi="宋体" w:eastAsia="宋体" w:cs="宋体"/>
          <w:color w:val="auto"/>
          <w:sz w:val="21"/>
          <w:szCs w:val="21"/>
          <w:highlight w:val="none"/>
          <w:lang w:val="en-US" w:eastAsia="zh-CN"/>
        </w:rPr>
        <w:t>PLC</w:t>
      </w:r>
      <w:r>
        <w:rPr>
          <w:rFonts w:hint="eastAsia" w:ascii="宋体" w:hAnsi="宋体" w:eastAsia="宋体" w:cs="宋体"/>
          <w:color w:val="auto"/>
          <w:sz w:val="21"/>
          <w:szCs w:val="21"/>
          <w:highlight w:val="none"/>
          <w:lang w:val="en-US" w:eastAsia="zh-CN"/>
        </w:rPr>
        <w:t>柜、精确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color w:val="auto"/>
          <w:sz w:val="21"/>
          <w:szCs w:val="21"/>
          <w:highlight w:val="none"/>
          <w:lang w:val="en-US" w:eastAsia="zh-CN"/>
        </w:rPr>
        <w:t>系统软件、</w:t>
      </w:r>
      <w:r>
        <w:rPr>
          <w:rFonts w:hint="eastAsia" w:ascii="宋体" w:hAnsi="宋体" w:eastAsia="宋体" w:cs="宋体"/>
          <w:color w:val="auto"/>
          <w:sz w:val="21"/>
          <w:szCs w:val="21"/>
          <w:highlight w:val="none"/>
          <w:lang w:val="en-US" w:eastAsia="zh"/>
        </w:rPr>
        <w:t>相关</w:t>
      </w:r>
      <w:r>
        <w:rPr>
          <w:rFonts w:hint="eastAsia" w:ascii="宋体" w:hAnsi="宋体" w:eastAsia="宋体" w:cs="宋体"/>
          <w:color w:val="auto"/>
          <w:sz w:val="21"/>
          <w:szCs w:val="21"/>
          <w:highlight w:val="none"/>
          <w:lang w:val="en-US" w:eastAsia="zh-CN"/>
        </w:rPr>
        <w:t>检测仪表、投加量精确计算模块、流量反馈控制系统模块等。以</w:t>
      </w:r>
      <w:r>
        <w:rPr>
          <w:rFonts w:hint="eastAsia" w:ascii="宋体" w:hAnsi="宋体" w:eastAsia="宋体" w:cs="宋体"/>
          <w:color w:val="auto"/>
          <w:sz w:val="21"/>
          <w:szCs w:val="21"/>
          <w:highlight w:val="none"/>
          <w:lang w:val="en-US" w:eastAsia="zh"/>
        </w:rPr>
        <w:t>加料</w:t>
      </w:r>
      <w:r>
        <w:rPr>
          <w:rFonts w:hint="eastAsia" w:ascii="宋体" w:hAnsi="宋体" w:eastAsia="宋体" w:cs="宋体"/>
          <w:color w:val="auto"/>
          <w:sz w:val="21"/>
          <w:szCs w:val="21"/>
          <w:highlight w:val="none"/>
          <w:lang w:val="en-US" w:eastAsia="zh-CN"/>
        </w:rPr>
        <w:t>流量作为控制信号，进出水水质、水量、溶解氧、过程氨氮、过程硝氮、过程总氮、过程总磷</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正磷等</w:t>
      </w:r>
      <w:r>
        <w:rPr>
          <w:rFonts w:hint="eastAsia" w:ascii="宋体" w:hAnsi="宋体" w:eastAsia="宋体" w:cs="宋体"/>
          <w:color w:val="auto"/>
          <w:sz w:val="21"/>
          <w:szCs w:val="21"/>
          <w:highlight w:val="none"/>
          <w:lang w:val="en-US" w:eastAsia="zh"/>
        </w:rPr>
        <w:t>各类过程仪表数据</w:t>
      </w:r>
      <w:r>
        <w:rPr>
          <w:rFonts w:hint="eastAsia" w:ascii="宋体" w:hAnsi="宋体" w:eastAsia="宋体" w:cs="宋体"/>
          <w:color w:val="auto"/>
          <w:sz w:val="21"/>
          <w:szCs w:val="21"/>
          <w:highlight w:val="none"/>
          <w:lang w:val="en-US" w:eastAsia="zh-CN"/>
        </w:rPr>
        <w:t>信号作为辅助控制信号，根据</w:t>
      </w:r>
      <w:r>
        <w:rPr>
          <w:rFonts w:hint="eastAsia" w:ascii="宋体" w:hAnsi="宋体" w:eastAsia="宋体" w:cs="宋体"/>
          <w:color w:val="auto"/>
          <w:sz w:val="21"/>
          <w:szCs w:val="21"/>
          <w:highlight w:val="none"/>
          <w:lang w:val="en-US" w:eastAsia="zh"/>
        </w:rPr>
        <w:t>原位技术升级目标</w:t>
      </w:r>
      <w:r>
        <w:rPr>
          <w:rFonts w:hint="eastAsia" w:ascii="宋体" w:hAnsi="宋体" w:eastAsia="宋体" w:cs="宋体"/>
          <w:color w:val="auto"/>
          <w:sz w:val="21"/>
          <w:szCs w:val="21"/>
          <w:highlight w:val="none"/>
          <w:lang w:val="en-US" w:eastAsia="zh-CN"/>
        </w:rPr>
        <w:t>建立数学模型计算出各类相关药剂的投加量需求，并精确控制各类相关药剂投加，保证污水处理厂生化系统的稳定运行。该系统应包含：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、投加量计算模块；实时采集进出水仪表和过程仪表的数据信号，根据实时数据计算各类相关药剂的投加量需求，并且系统在远程自动模式下可以人工设定目标出水指标数据（一般为出水限值的</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），系统预设目标值自动调整</w:t>
      </w:r>
      <w:r>
        <w:rPr>
          <w:rFonts w:hint="eastAsia" w:ascii="宋体" w:hAnsi="宋体" w:eastAsia="宋体" w:cs="宋体"/>
          <w:color w:val="auto"/>
          <w:sz w:val="21"/>
          <w:szCs w:val="21"/>
          <w:highlight w:val="none"/>
          <w:lang w:val="en-US" w:eastAsia="zh"/>
        </w:rPr>
        <w:t>投加</w:t>
      </w:r>
      <w:r>
        <w:rPr>
          <w:rFonts w:hint="eastAsia" w:ascii="宋体" w:hAnsi="宋体" w:eastAsia="宋体" w:cs="宋体"/>
          <w:color w:val="auto"/>
          <w:sz w:val="21"/>
          <w:szCs w:val="21"/>
          <w:highlight w:val="none"/>
          <w:lang w:val="en-US" w:eastAsia="zh-CN"/>
        </w:rPr>
        <w:t>策略，计算最优投加量。需具有两种运行模式：</w:t>
      </w:r>
      <w:r>
        <w:rPr>
          <w:rFonts w:hint="default"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远程手动模式，根据人工设定投加量，自动调整变频器频率，达到节能减耗的目的。</w:t>
      </w:r>
      <w:r>
        <w:rPr>
          <w:rFonts w:hint="default"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远程自动模式，根据精确加药系统计算出的生物系统所需的各类相关药剂投加量自动进行投加。投加量计算模块应</w:t>
      </w:r>
      <w:r>
        <w:rPr>
          <w:rFonts w:hint="eastAsia" w:ascii="宋体" w:hAnsi="宋体" w:eastAsia="宋体" w:cs="宋体"/>
          <w:color w:val="auto"/>
          <w:sz w:val="21"/>
          <w:szCs w:val="21"/>
          <w:highlight w:val="none"/>
          <w:lang w:val="en-US" w:eastAsia="zh"/>
        </w:rPr>
        <w:t>包含载体、</w:t>
      </w:r>
      <w:r>
        <w:rPr>
          <w:rFonts w:hint="eastAsia" w:ascii="宋体" w:hAnsi="宋体" w:eastAsia="宋体" w:cs="宋体"/>
          <w:color w:val="auto"/>
          <w:sz w:val="21"/>
          <w:szCs w:val="21"/>
          <w:highlight w:val="none"/>
          <w:lang w:val="en-US" w:eastAsia="zh-CN"/>
        </w:rPr>
        <w:t>各类相关药剂投加量计算功能。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、信号处理模块；为保证精确加药系统的正常运行，系统应具备一定的数据纠错能力，能剔除、还原、补充仪表异常数据，保证在满足处理异常信号的同时，能及时发现进水异常的情况并发出报警。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、加</w:t>
      </w:r>
      <w:r>
        <w:rPr>
          <w:rFonts w:hint="eastAsia" w:ascii="宋体" w:hAnsi="宋体" w:eastAsia="宋体" w:cs="宋体"/>
          <w:color w:val="auto"/>
          <w:sz w:val="21"/>
          <w:szCs w:val="21"/>
          <w:highlight w:val="none"/>
          <w:lang w:val="en-US" w:eastAsia="zh"/>
        </w:rPr>
        <w:t>料</w:t>
      </w:r>
      <w:r>
        <w:rPr>
          <w:rFonts w:hint="eastAsia" w:ascii="宋体" w:hAnsi="宋体" w:eastAsia="宋体" w:cs="宋体"/>
          <w:color w:val="auto"/>
          <w:sz w:val="21"/>
          <w:szCs w:val="21"/>
          <w:highlight w:val="none"/>
          <w:lang w:val="en-US" w:eastAsia="zh-CN"/>
        </w:rPr>
        <w:t>泵控制模块；在自动模式下系统实时将各</w:t>
      </w:r>
      <w:r>
        <w:rPr>
          <w:rFonts w:hint="eastAsia" w:ascii="宋体" w:hAnsi="宋体" w:eastAsia="宋体" w:cs="宋体"/>
          <w:color w:val="auto"/>
          <w:sz w:val="21"/>
          <w:szCs w:val="21"/>
          <w:highlight w:val="none"/>
          <w:lang w:val="en-US" w:eastAsia="zh"/>
        </w:rPr>
        <w:t>投加</w:t>
      </w:r>
      <w:r>
        <w:rPr>
          <w:rFonts w:hint="eastAsia" w:ascii="宋体" w:hAnsi="宋体" w:eastAsia="宋体" w:cs="宋体"/>
          <w:color w:val="auto"/>
          <w:sz w:val="21"/>
          <w:szCs w:val="21"/>
          <w:highlight w:val="none"/>
          <w:lang w:val="en-US" w:eastAsia="zh-CN"/>
        </w:rPr>
        <w:t>控制模块计算的投加需求量通过工业网络或</w:t>
      </w:r>
      <w:r>
        <w:rPr>
          <w:rFonts w:hint="default" w:ascii="宋体" w:hAnsi="宋体" w:eastAsia="宋体" w:cs="宋体"/>
          <w:color w:val="auto"/>
          <w:sz w:val="21"/>
          <w:szCs w:val="21"/>
          <w:highlight w:val="none"/>
          <w:lang w:val="en-US" w:eastAsia="zh-CN"/>
        </w:rPr>
        <w:t>Modbus</w:t>
      </w:r>
      <w:r>
        <w:rPr>
          <w:rFonts w:hint="eastAsia" w:ascii="宋体" w:hAnsi="宋体" w:eastAsia="宋体" w:cs="宋体"/>
          <w:color w:val="auto"/>
          <w:sz w:val="21"/>
          <w:szCs w:val="21"/>
          <w:highlight w:val="none"/>
          <w:lang w:val="en-US" w:eastAsia="zh-CN"/>
        </w:rPr>
        <w:t>协议传输给加药泵主控</w:t>
      </w:r>
      <w:r>
        <w:rPr>
          <w:rFonts w:hint="default" w:ascii="宋体" w:hAnsi="宋体" w:eastAsia="宋体" w:cs="宋体"/>
          <w:color w:val="auto"/>
          <w:sz w:val="21"/>
          <w:szCs w:val="21"/>
          <w:highlight w:val="none"/>
          <w:lang w:val="en-US" w:eastAsia="zh-CN"/>
        </w:rPr>
        <w:t>MCP</w:t>
      </w:r>
      <w:r>
        <w:rPr>
          <w:rFonts w:hint="eastAsia" w:ascii="宋体" w:hAnsi="宋体" w:eastAsia="宋体" w:cs="宋体"/>
          <w:color w:val="auto"/>
          <w:sz w:val="21"/>
          <w:szCs w:val="21"/>
          <w:highlight w:val="none"/>
          <w:lang w:val="en-US" w:eastAsia="zh-CN"/>
        </w:rPr>
        <w:t>，通过调整泵的启动数量、工作频率和冲程来调节各类相关药剂投加量。需具有两种运行模式：</w:t>
      </w:r>
      <w:r>
        <w:rPr>
          <w:rFonts w:hint="default"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远程手动模式，根据人工设定投加量，自动调整变频器频率，达到节能减耗的目的。</w:t>
      </w:r>
      <w:r>
        <w:rPr>
          <w:rFonts w:hint="default"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远程自动模式，根据精确加药系统计算出的生物系统所需的各类相关药剂投加量自动进行药剂投加；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
        </w:rPr>
      </w:pP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、稳定性；要求精确加药系统远程自动运行工况下，出水指标稳定性应满足：</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
        </w:rPr>
        <w:t>、</w:t>
      </w:r>
      <w:r>
        <w:rPr>
          <w:rFonts w:hint="eastAsia" w:ascii="宋体" w:hAnsi="宋体" w:eastAsia="宋体" w:cs="宋体"/>
          <w:color w:val="auto"/>
          <w:sz w:val="21"/>
          <w:szCs w:val="21"/>
          <w:highlight w:val="none"/>
          <w:lang w:val="en-US" w:eastAsia="zh-CN"/>
        </w:rPr>
        <w:t>总氮出水指标与系统内人工写入总氮目标值误差在±</w:t>
      </w:r>
      <w:r>
        <w:rPr>
          <w:rFonts w:hint="default" w:ascii="宋体" w:hAnsi="宋体" w:eastAsia="宋体" w:cs="宋体"/>
          <w:color w:val="auto"/>
          <w:sz w:val="21"/>
          <w:szCs w:val="21"/>
          <w:highlight w:val="none"/>
          <w:lang w:val="en-US" w:eastAsia="zh-CN"/>
        </w:rPr>
        <w:t>3mg/L</w:t>
      </w:r>
      <w:r>
        <w:rPr>
          <w:rFonts w:hint="eastAsia" w:ascii="宋体" w:hAnsi="宋体" w:eastAsia="宋体" w:cs="宋体"/>
          <w:color w:val="auto"/>
          <w:sz w:val="21"/>
          <w:szCs w:val="21"/>
          <w:highlight w:val="none"/>
          <w:lang w:val="en-US" w:eastAsia="zh-CN"/>
        </w:rPr>
        <w:t>之内，总氮出水指标超过排放限值的概率为</w:t>
      </w:r>
      <w:r>
        <w:rPr>
          <w:rFonts w:hint="default"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lang w:val="en-US" w:eastAsia="zh"/>
        </w:rPr>
        <w:t>磷</w:t>
      </w:r>
      <w:r>
        <w:rPr>
          <w:rFonts w:hint="eastAsia" w:ascii="宋体" w:hAnsi="宋体" w:eastAsia="宋体" w:cs="宋体"/>
          <w:color w:val="auto"/>
          <w:sz w:val="21"/>
          <w:szCs w:val="21"/>
          <w:highlight w:val="none"/>
          <w:lang w:val="en-US" w:eastAsia="zh-CN"/>
        </w:rPr>
        <w:t>出水指标与系统内人工写入总磷目标值误差在±</w:t>
      </w:r>
      <w:r>
        <w:rPr>
          <w:rFonts w:hint="default" w:ascii="宋体" w:hAnsi="宋体" w:eastAsia="宋体" w:cs="宋体"/>
          <w:color w:val="auto"/>
          <w:sz w:val="21"/>
          <w:szCs w:val="21"/>
          <w:highlight w:val="none"/>
          <w:lang w:val="en-US" w:eastAsia="zh-CN"/>
        </w:rPr>
        <w:t>0.1mg/L</w:t>
      </w:r>
      <w:r>
        <w:rPr>
          <w:rFonts w:hint="eastAsia" w:ascii="宋体" w:hAnsi="宋体" w:eastAsia="宋体" w:cs="宋体"/>
          <w:color w:val="auto"/>
          <w:sz w:val="21"/>
          <w:szCs w:val="21"/>
          <w:highlight w:val="none"/>
          <w:lang w:val="en-US" w:eastAsia="zh-CN"/>
        </w:rPr>
        <w:t>之内，总磷出水指标超过排放限值的概率</w:t>
      </w:r>
      <w:r>
        <w:rPr>
          <w:rFonts w:hint="default" w:ascii="宋体" w:hAnsi="宋体" w:eastAsia="宋体" w:cs="宋体"/>
          <w:color w:val="auto"/>
          <w:sz w:val="21"/>
          <w:szCs w:val="21"/>
          <w:highlight w:val="none"/>
          <w:lang w:val="en-US" w:eastAsia="zh-CN"/>
        </w:rPr>
        <w:t>为0%</w:t>
      </w:r>
      <w:r>
        <w:rPr>
          <w:rFonts w:hint="eastAsia" w:ascii="宋体" w:hAnsi="宋体" w:eastAsia="宋体" w:cs="宋体"/>
          <w:color w:val="auto"/>
          <w:sz w:val="21"/>
          <w:szCs w:val="21"/>
          <w:highlight w:val="none"/>
          <w:lang w:val="en-US" w:eastAsia="zh"/>
        </w:rPr>
        <w:t>；</w:t>
      </w:r>
      <w:r>
        <w:rPr>
          <w:rFonts w:hint="default" w:ascii="宋体" w:hAnsi="宋体" w:eastAsia="宋体" w:cs="宋体"/>
          <w:color w:val="auto"/>
          <w:sz w:val="21"/>
          <w:szCs w:val="21"/>
          <w:highlight w:val="none"/>
          <w:lang w:val="en-US" w:eastAsia="zh"/>
        </w:rPr>
        <w:t>3、氨氮出水</w:t>
      </w:r>
      <w:r>
        <w:rPr>
          <w:rFonts w:hint="default" w:ascii="宋体" w:hAnsi="宋体" w:eastAsia="宋体" w:cs="宋体"/>
          <w:color w:val="auto"/>
          <w:sz w:val="21"/>
          <w:szCs w:val="21"/>
          <w:highlight w:val="none"/>
          <w:lang w:val="en-US" w:eastAsia="zh-CN"/>
        </w:rPr>
        <w:t>指标与系统内人工写入</w:t>
      </w:r>
      <w:r>
        <w:rPr>
          <w:rFonts w:hint="default" w:ascii="宋体" w:hAnsi="宋体" w:eastAsia="宋体" w:cs="宋体"/>
          <w:color w:val="auto"/>
          <w:sz w:val="21"/>
          <w:szCs w:val="21"/>
          <w:highlight w:val="none"/>
          <w:lang w:val="en-US" w:eastAsia="zh"/>
        </w:rPr>
        <w:t>氨氮</w:t>
      </w:r>
      <w:r>
        <w:rPr>
          <w:rFonts w:hint="default" w:ascii="宋体" w:hAnsi="宋体" w:eastAsia="宋体" w:cs="宋体"/>
          <w:color w:val="auto"/>
          <w:sz w:val="21"/>
          <w:szCs w:val="21"/>
          <w:highlight w:val="none"/>
          <w:lang w:val="en-US" w:eastAsia="zh-CN"/>
        </w:rPr>
        <w:t>目标值误差在±0.</w:t>
      </w:r>
      <w:r>
        <w:rPr>
          <w:rFonts w:hint="eastAsia" w:ascii="宋体" w:hAnsi="宋体" w:eastAsia="宋体" w:cs="宋体"/>
          <w:color w:val="auto"/>
          <w:sz w:val="21"/>
          <w:szCs w:val="21"/>
          <w:highlight w:val="none"/>
          <w:lang w:val="en-US" w:eastAsia="zh"/>
        </w:rPr>
        <w:t>3</w:t>
      </w:r>
      <w:r>
        <w:rPr>
          <w:rFonts w:hint="default" w:ascii="宋体" w:hAnsi="宋体" w:eastAsia="宋体" w:cs="宋体"/>
          <w:color w:val="auto"/>
          <w:sz w:val="21"/>
          <w:szCs w:val="21"/>
          <w:highlight w:val="none"/>
          <w:lang w:val="en-US" w:eastAsia="zh-CN"/>
        </w:rPr>
        <w:t>mg/L之内，</w:t>
      </w:r>
      <w:r>
        <w:rPr>
          <w:rFonts w:hint="default" w:ascii="宋体" w:hAnsi="宋体" w:eastAsia="宋体" w:cs="宋体"/>
          <w:color w:val="auto"/>
          <w:sz w:val="21"/>
          <w:szCs w:val="21"/>
          <w:highlight w:val="none"/>
          <w:lang w:val="en-US" w:eastAsia="zh"/>
        </w:rPr>
        <w:t>氨氮</w:t>
      </w:r>
      <w:r>
        <w:rPr>
          <w:rFonts w:hint="default" w:ascii="宋体" w:hAnsi="宋体" w:eastAsia="宋体" w:cs="宋体"/>
          <w:color w:val="auto"/>
          <w:sz w:val="21"/>
          <w:szCs w:val="21"/>
          <w:highlight w:val="none"/>
          <w:lang w:val="en-US" w:eastAsia="zh-CN"/>
        </w:rPr>
        <w:t>出水指标超过排放限值的概率为0%。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在精确加药系统远程自动运行工况下，系统能自动判断来水异常情况，能实时调整各类相关药剂投加量策略应对来水异常，并且同步发出报警信息。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）该控制系统需支持工业以太网通讯方式，通过网络采集系统所需设备仪表信号；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）具有良好的上位机画面，直观的描述控制过程，方便操作人员使用；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）系统应具有仪表故障、通讯故障容错机制和备用控制策略控制机制；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该精确加药控制系统须具备“配置中心”功能，即把项目中各种配置、各种参数、各种开关，集中到配置中心进行统一管理，并提供一套标准的接口。当各个服务需要获取配置时，可通过配置中心接口拉取。当配置中心中的各种参数需更新时，亦能向各服务实时更新信息，使之动态更新。确保招标人在进行工艺参数调整及现场设备更换（包含但不限于变频器、加</w:t>
      </w:r>
      <w:r>
        <w:rPr>
          <w:rFonts w:hint="eastAsia" w:ascii="宋体" w:hAnsi="宋体" w:eastAsia="宋体" w:cs="宋体"/>
          <w:color w:val="auto"/>
          <w:sz w:val="21"/>
          <w:szCs w:val="21"/>
          <w:highlight w:val="none"/>
          <w:lang w:val="en-US" w:eastAsia="zh"/>
        </w:rPr>
        <w:t>料</w:t>
      </w:r>
      <w:r>
        <w:rPr>
          <w:rFonts w:hint="eastAsia" w:ascii="宋体" w:hAnsi="宋体" w:eastAsia="宋体" w:cs="宋体"/>
          <w:color w:val="auto"/>
          <w:sz w:val="21"/>
          <w:szCs w:val="21"/>
          <w:highlight w:val="none"/>
          <w:lang w:val="en-US" w:eastAsia="zh-CN"/>
        </w:rPr>
        <w:t>泵及仪表等设备的更换）后，精确加药控制系统无须进行重新编程，亦能保证系统的正常运行。同时投标人需针对各个项目不同的技术要求，定制配置中心使用管理手册，保证招标人具备独立或通过投标人远程协助调整配置中心各种参数的能力，确保调整后的系统快速重新投入正常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）投标人须保证招标人依法享有精确加药控制系统软件永久许可使用权。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）精确加药系统需支持标准化接口，使之将来能与管理信息系统（</w:t>
      </w:r>
      <w:r>
        <w:rPr>
          <w:rFonts w:hint="default" w:ascii="宋体" w:hAnsi="宋体" w:eastAsia="宋体" w:cs="宋体"/>
          <w:color w:val="auto"/>
          <w:sz w:val="21"/>
          <w:szCs w:val="21"/>
          <w:highlight w:val="none"/>
          <w:lang w:val="en-US" w:eastAsia="zh-CN"/>
        </w:rPr>
        <w:t>MIS</w:t>
      </w:r>
      <w:r>
        <w:rPr>
          <w:rFonts w:hint="eastAsia" w:ascii="宋体" w:hAnsi="宋体" w:eastAsia="宋体" w:cs="宋体"/>
          <w:color w:val="auto"/>
          <w:sz w:val="21"/>
          <w:szCs w:val="21"/>
          <w:highlight w:val="none"/>
          <w:lang w:val="en-US" w:eastAsia="zh-CN"/>
        </w:rPr>
        <w:t>）联网操作，精确加药系统需开放重要数据参数的读取与控制参数的写入权限，读取的重要参数包括但不限于系统读取仪表的数据、系统计算出的工艺、设备运行目标参数、系统计算出的未来工艺参数预测值。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3.2.5.4.控制要求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（1）系统的操作方式为手动控制、自动控制两种方式。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货商成套提供的现场电控柜（箱），应能完成整个系统设备的供电、控制、保护、运行指示和报警等功能，并设置必要的保护，保证整个系统正常可靠运行。系统的联动控制由供货商按工艺运行要求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（3）现场自控柜（箱）应提供以太网或RS485通讯接口，实现对本系统的远程监控及必要的参数设置。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3.2.5.5.电控箱（柜）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以“2.6.16.机械设备配套电气设备及控制箱（柜）一般技术要求”为准。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3.2.6.过程仪表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投标人根据工艺方案配置完整、全面的过程自控仪器仪表，实现水质监控。投标人配置的过程仪表应对应满足下列技术要求：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场仪表一般要求具有多参数检测、在线式连续检测、自运算、线性校正、自动温度补偿、现场数字显示、故障诊断等智能化功能。现场仪表使用的材料、安装形式、量程范围等应适应污水和污泥处理现场，能长期连续在线测量。所有仪表均要求实用、可靠、稳定、易操作、易维护、耐腐蚀、寿命长、无公害，并具有在同类项目中长期可靠稳定运行的实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2）水质分析仪表应具备探头自清洗功能，清洗方式为空气清洗、机械式清洗或其他液体清洗剂。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3）水质分析仪必须使用化学试剂时，应遵循试剂价格低、无毒性、货源广的原则。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4）户外安装的变送器应设遮阳板，接口设备和电源安装在仪表箱内，以利于设备稳定工作。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5）每套检测仪表需带有足够的专用电缆（由传感器至变送器的专用电缆长度不得少于10米）。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6）现场安装的传感器和变送器必须提供全套完整的安装固定用支架，材质（包括紧固件）为304不锈钢，传感器的安装支架要求传感器能够方便拆卸以便日常维护所需。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7）室外（包括部分室内）仪表箱采用立柱式安装，立柱高1100mm，304不锈钢制成。室内仪表箱如采用壁挂式安装，需有稳固的安装结构，高度便于仪表箱的观察。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8）现场仪表箱尺寸520mm×400mm×250mm，304不锈钢制成，壁厚2mm，带观察窗，具通风散热措施，防护等级室外安装为IP65，室内安装为IP55。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9）部分检测仪表需提供必要的现场总线接口。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3.2.6.1.分体式、一体化超声波液位计/超声波液位差计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功能：测量、指示和传送液位信号；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形式：超声波原理；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组成：液位传感器、变送器及全部安装附件和电缆。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测量范围：以设计要求为准；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★测量精度：≤±1mm+0.17％；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分辨率：0.1%测量范围或2mm；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环境温度：（外壳）-20～50ºC；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发射角（全角）：≤12°；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稳定性：十二个月0.1%，并可去除水面剧烈波动的干扰；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重复性：＜满量程0.1%；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零点迁移：盲区以外任意设定。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带一体化温度探头用来矫正超声波的运行时间；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虚假回波自动抑制功能；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安装方式：螺纹直接安装；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盲区：3米量程≤0.1米，10米量程≤0.3米，20米量程≤0.4米，25米量程≤0.6米。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显示：带背光LCD240×160像素分辨率；就地能直接显示回波图及历史趋势图；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控制：通过背光的LUI显示界面，四个就地按键及快速启动向导能便捷的设置菜单里的参数；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隔离输出信号：1路4～20mAHART协议；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电源：220VAC,50Hz，带电源过电压保护器；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安装方式：不锈钢立柱式安装。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3.2.6.2.pH/T检测仪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pH/T检测仪指采购清单中以下名称的仪表：pH/T测量仪、pH计、在线式pH/T检测仪。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测量、显示和传输污水处理过程中的pH值和温度。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测量原理：智能数字电极，电极非接触式感应信号传输；或差分电极，带双阶参比电极（接地电极和参比电极）；或玻璃电极法，抗污染pH电极，带自动温度补偿；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测量范围：0～14pH；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★精度：≤0.02pH；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稳定性：每24小时0.03pH，不累积；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工作温度范围：-5～95℃；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传感器最大传输距离：不低于100米；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传感器压力上限（不带安装附件）：6.9bar（105℃）；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内置温度传感器：NTC300Ω热敏电阻，提供自动温度补偿，分析仪显示温度值；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水样流速：最大3m/s；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电缆长度：10米，可延长；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安装方式：浸没式安装；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显示：图形数据点阵LCD，带LED背景灯照明，半透明反射式，在任意光线下可读；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显示屏分辨率：160×240像素；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显示屏尺寸：48×68mm（1.89×2.67"）；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安全等级：密码保护；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输出：两路模拟的4～20mA输出信号，带独立的PID控制功能；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通讯：MODBUS通讯功能；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工作环境：-20～60℃，0～95％相对湿度、无冷凝；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数据存储：有2个数据记录仪，每个为128Kb。记录数据以XML的格式被下载到SD；</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4）进、出水pH/T检测仪需符合东莞市生态环境局、东莞市质量技术监督局等部门相关验收标准，能接入市环保在线监控平台。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（4G）卡上；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外壳防护等级：NEMA4X/IP66；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电源：100～240VAC±10%，50Hz；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电子认证：EMC：CE认证，电磁和辐射排放符合EN50081-2，抗干扰符合EN61000-6-2；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安装方式：不锈钢立柱式安装，自带安装立柱、支架及控制箱；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外壳材质：聚碳酸酯，铝质（镀粉末），不锈钢；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传感器浸没式或流通式等安装支架；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3.2.6.3.ORP测量仪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ORP检测仪指采购清单中以下名称的仪表：ORP测量仪、在线ORP测定仪、在线式ORP检测仪、氧化还原电位仪、氧化还原电位传感器。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1）用途：用于测量、显示和传输水解酸化阶段以及反硝化过程中的氧化还原电位，安装于生化池。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2）ORP传感器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测量原理：智能数字电极，电极非接触式感应信号传输；或差分电极，带双阶参比电极（接地电极和参比电极）；或玻璃电极法；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测量范围：-1500～+1500mv；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★精度：±5mV；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稳定性：每24小时2mV，不累积；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探头最大传输距离：不低于100米；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传感器压力上限（不带安装附件）：6.9bar（105℃）；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内置温度传感器：NTC300Ω热敏电阻，分析仪显示温度值，不提供自动温度补偿；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水样流速：最大3m/s；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电缆线长：10米；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安装方式：浸没式安装。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显示：图形数据点阵LCD，带LED背景灯照明，半透明反射式；在任意光线下可读；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显示屏分辨率：160×40像素；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显示屏尺寸：48×68mm（1.89×2.67"）；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安全等级：密码保护；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输出信号：两路4～20mA模拟信号，带独立的PID控制功能，带RS485通讯；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工作环境：-20～60℃，0～95％相对湿度、无冷凝；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数据存储：有2个数据记录仪，每个为128Kb。记录数据以XML的格式被下载到SD（4G）卡上；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外壳防护等级：NEMA4X/IP66；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电源：220VAC±10%，50Hz；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电子认证：EMC：CE认证，电磁和辐射排放符合EN50081-2，抗干扰符合EN61000-6-2；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安装方式：不锈钢立柱式安装，自带安装立柱、支架及控制箱；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外壳材质：聚碳酸酯，铝质（镀粉末），不锈钢。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传感器浸没式安装附件；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仪表校准可修正值上限≥±1000mv；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3.2.6.4.DO检测仪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DO检测仪指采购清单中以下名称的仪表：DO测量仪、在线式DO检测仪、溶氧仪、在线溶解氧测定仪、溶解氧传感器。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1）用途：测量、显示和传输污水生化处理过程溶解氧浓度。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形式：无膜、无阴阳电极、无电极液，抗H2S、金属离子、油污染；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工作原理：化学荧光法；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维护简单，两年更换一次荧光帽；无需更换膜片，无需补充电解液溶液，无需对电极打磨清洁；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溶氧测量范围：0～20mg/l；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温度测量范围：0～50℃，带温度自动补偿；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温度电极外置；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★精度：＜5mg/l时，±0.1mg/l；＞5mg/l时±2%；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重现性：≤±0.1mg/l；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响应时间：20℃，60秒以内达到95%；40秒以内达到90%；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流速：无要求；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标配电缆：10米，带快速接头（M12，5针）；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传感器浸入深度：最大压力限值：34米，345KPa；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最大传输距离：不低于100米；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接液材质：荧光帽：丙烯酸树脂。探头本体：CPVC，聚氨酯，viton，Noryl，316L不锈钢。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传感器安装方式：浸没式安装。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显示：图形数据点阵LCD，带LED背景灯照明，半透明反射式；在任意光线下可读；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显示屏分辨率：160×240像素；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显示屏尺寸：48×68mm（1.89×2.67"）；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安全等级：密码保护；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输出信号：两路4～20mA模拟信号，带独立的PID控制功能，带RS485通讯；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工作环境：-20～60℃，0～95％相对湿度、无冷凝；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数据存储：有2个数据记录仪，每个为128Kb。记录数据以XML的格式被下载到SD（4G）上；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外壳防护等级：NEMA4X/IP66；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电源：220VAC±10%，50Hz；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电子认证：EMC：CE认证，电磁和辐射排放符合EN50081-2，抗干扰符合EN61000-6-2；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安装方式：不锈钢立柱式安装，自带安装立柱、支架及控制箱；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外壳材质：聚碳酸酯，铝质（镀粉末）；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3.2.6.5.MLSS检测仪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MLSS检测仪指采购清单中以下名称的仪表：MLSS测量仪、在线MLSS测定仪、在线式MLSS检测仪、污泥浓度计、污泥浓度传感器。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1）用途：用于污水处理厂生化系统固体悬浮物的测量、显示和传输。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测量原理：双光束近红外光/散射光，90°和140°检测器，不受样品颜色干扰；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测量范围：固体悬浮物：0～20000mg/l（生化池）；0～50000mg/l（配水井）；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★精度：＜读数5%；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重现性：＜读数3%；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检测限：0.001mg/l；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响应时间：1秒；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形式：316L不锈钢或PVC材质，具有自诊断功能、机械式刮片自清洗或气体清洗或超声波清洗功能；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测量单位：g/l，mg/l，ppm；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工作温度：0℃～40℃；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电缆长度：10米；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安装方式：浸没式安装；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显示：图形数据点阵LCD，带LED背景灯照明，半透明反射式；在任意光线下可读；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显示屏分辨率：160×240像素；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显示屏尺寸：48×68mm（1.89×2.67"）；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安全等级：密码保护；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输出信号：两路4～20mA模拟信号，带独立的PID控制功能，带RS485通讯；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工作环境：-20～60℃，0～95％相对湿度、无冷凝；</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数据存储：有2个数据记录仪，每个为128Kb。记录数据以XML的格式被下载到SD（4G）卡上。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外壳防护等级：NEMA4X/IP66；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电源：220VAC±10%，50Hz；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电子认证：EMC：CE认证，电磁和辐射排放符合EN50081-2，抗干扰符合EN61000-6-2；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安装方式：不锈钢立柱式安装，自带安装立柱、支架及控制箱；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外壳材质：聚碳酸酯，铝质（镀粉末），不锈钢；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传感器浸没式安装附件。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3.2.6.6.电磁流量计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1）用途：测量、指示和传送污水厂进出水、回流污泥的瞬时流量和累积流量。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测量原理：法拉第电磁感应原理；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测量流量：以设计要求为准；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★测量精度：0.2%±1mm/s；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耐压等级：PN10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环境温度：0～60℃；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介质温度：0～60℃；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电极材料：哈氏合金电极；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衬里材料：硬橡胶或聚氨脂；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安装方式：管道法兰安装（DN标准），中标人提供连接法兰及螺栓；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连接电缆：≥20米，满足电磁流量计传感器至（监测房安装的）的变送器，中间不能有接头。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显示表头：数字LED表头；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测量显示：瞬时流量、累计流量、时间日期；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输出信号：瞬时流量以4～20mADC模拟量输出，累计流量以脉冲方式计算。其他电磁流量计与中控通讯：瞬时流量以4～20mADC模拟量输出，累计流量以MODBUS通信方式输出</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进、出水流量计变送器安装于进、出水监测房（仪表间）内。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分体式安装的附件，若流量计参数信息通过专用芯片储存，须多配一块相同参数信息的备用芯片。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5）其它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进、出水流量计需符合东莞市生态环境局、东莞市质量技术监督局等部门相关验收标准，能接入市环保在线监控平台。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3.2.6.7.TN测量仪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TN测量仪指采购清单中以下名称的仪表：TN检测仪、在线式TN分析仪、总氮仪、总氮分析仪。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1）用途：应用于地表水、市政污水的总氮的监测，可分析总氮参数值。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总氮：进行总氮测定时，部分水样首先被泵送至反应池中，随后被稀释至指定浓度。在高温条件下，添加碱性消解试剂，水样发生消解反应。水样中的氮元素（氮化合物）发生氧化反应，生成硝酸盐。采用光度法测量紫外光吸光度，测定总氮浓度。紫外光吸光度与水样中的总氮浓度成正比。测量结果以总氮（N）表示。符合：HJ636-2012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测量范围：总氮：0～10mg/L至200mg/L；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★重复性：0~5/10/20mg/L：0.05mg/L或3%（取较大值）；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0~50mg/L：0.3mg/L或3%（取较大值）；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0~100mg/L：0.5mg/L或5%（取较大值）；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0~200mg/L：1mg/L或5%（取较大值）；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重复性：0.3mg/L或测量值的±3%；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测量周期：连续（45min），45min-24小时可调节；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样品条件：温度，2～40℃；压力，0.02～0.05MPa；流量，1～3L/min；每次分析取样量约67.5mL；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检出下限：0.06mg/L；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记录方式：内置小型存储器（一年的数据保存量）-可用储存卡导出；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校正方式：使用标准液手动校正以及内置的自动校正功能；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内置独立设计的加热分解装置；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输出：模拟信号4～20mA；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电源：220VAC50Hz；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通讯协议：MODBUS；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操作权限：检测仪需具备操作员、工程师两级或更多分级的权限设置，不同权限之间切换需通过输入密码登录，以保证重要系统参数的安全性；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符合环保验收规范：HJ354-2019，设备自带标样核查装置-无需外置核查装置。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一定量正常使用所需要的消耗品及试剂；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完整的预处理系统。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4）进、出水pH检测仪需符合东莞市生态环境局、东莞市质量技术监督局等部门相关验收标准，能接入市环保在线监控平台。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3.2.6.8.</w:t>
      </w:r>
      <w:r>
        <w:rPr>
          <w:rFonts w:hint="eastAsia" w:ascii="宋体" w:hAnsi="宋体" w:eastAsia="宋体" w:cs="宋体"/>
          <w:bCs w:val="0"/>
          <w:i w:val="0"/>
          <w:iCs w:val="0"/>
          <w:color w:val="auto"/>
          <w:kern w:val="2"/>
          <w:sz w:val="21"/>
          <w:szCs w:val="21"/>
          <w:highlight w:val="none"/>
          <w:u w:val="none"/>
          <w:lang w:val="en-US" w:eastAsia="zh-CN" w:bidi="ar"/>
        </w:rPr>
        <w:t>正磷酸盐分析仪</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测量方法：比色法（钒钼黄法）；</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量程：量程1：0.05</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 xml:space="preserve"> mg/L PO</w:t>
      </w:r>
      <w:r>
        <w:rPr>
          <w:rFonts w:hint="eastAsia" w:ascii="宋体" w:hAnsi="宋体" w:eastAsia="宋体" w:cs="宋体"/>
          <w:color w:val="auto"/>
          <w:szCs w:val="21"/>
          <w:highlight w:val="none"/>
          <w:vertAlign w:val="subscript"/>
        </w:rPr>
        <w:t>4</w:t>
      </w:r>
      <w:r>
        <w:rPr>
          <w:rFonts w:hint="eastAsia" w:ascii="宋体" w:hAnsi="宋体" w:eastAsia="宋体" w:cs="宋体"/>
          <w:color w:val="auto"/>
          <w:szCs w:val="21"/>
          <w:highlight w:val="none"/>
        </w:rPr>
        <w:t>-P；量程2：1</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50 mg/L PO</w:t>
      </w:r>
      <w:r>
        <w:rPr>
          <w:rFonts w:hint="eastAsia" w:ascii="宋体" w:hAnsi="宋体" w:eastAsia="宋体" w:cs="宋体"/>
          <w:color w:val="auto"/>
          <w:szCs w:val="21"/>
          <w:highlight w:val="none"/>
          <w:vertAlign w:val="subscript"/>
        </w:rPr>
        <w:t>4</w:t>
      </w:r>
      <w:r>
        <w:rPr>
          <w:rFonts w:hint="eastAsia" w:ascii="宋体" w:hAnsi="宋体" w:eastAsia="宋体" w:cs="宋体"/>
          <w:color w:val="auto"/>
          <w:szCs w:val="21"/>
          <w:highlight w:val="none"/>
        </w:rPr>
        <w:t>-P；</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检测限：量程1：0.05 mg/L PO</w:t>
      </w:r>
      <w:r>
        <w:rPr>
          <w:rFonts w:hint="eastAsia" w:ascii="宋体" w:hAnsi="宋体" w:eastAsia="宋体" w:cs="宋体"/>
          <w:color w:val="auto"/>
          <w:szCs w:val="21"/>
          <w:highlight w:val="none"/>
          <w:vertAlign w:val="subscript"/>
        </w:rPr>
        <w:t>4</w:t>
      </w:r>
      <w:r>
        <w:rPr>
          <w:rFonts w:hint="eastAsia" w:ascii="宋体" w:hAnsi="宋体" w:eastAsia="宋体" w:cs="宋体"/>
          <w:color w:val="auto"/>
          <w:szCs w:val="21"/>
          <w:highlight w:val="none"/>
        </w:rPr>
        <w:t>-P；量程2：1 mg/L PO</w:t>
      </w:r>
      <w:r>
        <w:rPr>
          <w:rFonts w:hint="eastAsia" w:ascii="宋体" w:hAnsi="宋体" w:eastAsia="宋体" w:cs="宋体"/>
          <w:color w:val="auto"/>
          <w:szCs w:val="21"/>
          <w:highlight w:val="none"/>
          <w:vertAlign w:val="subscript"/>
        </w:rPr>
        <w:t>4</w:t>
      </w:r>
      <w:r>
        <w:rPr>
          <w:rFonts w:hint="eastAsia" w:ascii="宋体" w:hAnsi="宋体" w:eastAsia="宋体" w:cs="宋体"/>
          <w:color w:val="auto"/>
          <w:szCs w:val="21"/>
          <w:highlight w:val="none"/>
        </w:rPr>
        <w:t>-P；</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准确度：量程1：2%或±0.05 mg/L；量程2：2%或±1mg/L；</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重复性：量程1：2%或±0.05mg/L；量程2：2%或±1mg/L；</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响应时间（T90）：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5min，包括样品预制备；</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测量间隔：5</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120min，可调；</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测量通道：单通道/双通道；</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水样条件：温度4</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40℃；pH：5</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9；</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操作条件：温度：-20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+45℃；湿度：95%相对湿度，无冷凝；</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贮存条件（包括试剂）：温度-20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+50℃；湿度：95%相对湿度，无冷凝；</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数据传输：通过控制器；</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防护等级：IP55；</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安装方式：壁挂式、栏杆式和立式安装；</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电源要求：230V</w:t>
      </w:r>
      <w:r>
        <w:rPr>
          <w:rFonts w:hint="eastAsia" w:ascii="宋体" w:hAnsi="宋体" w:eastAsia="宋体" w:cs="宋体"/>
          <w:color w:val="auto"/>
          <w:szCs w:val="21"/>
          <w:highlight w:val="none"/>
          <w:lang w:val="en-US" w:eastAsia="zh-CN"/>
        </w:rPr>
        <w:t>ac</w:t>
      </w:r>
      <w:r>
        <w:rPr>
          <w:rFonts w:hint="eastAsia" w:ascii="宋体" w:hAnsi="宋体" w:eastAsia="宋体" w:cs="宋体"/>
          <w:color w:val="auto"/>
          <w:szCs w:val="21"/>
          <w:highlight w:val="none"/>
        </w:rPr>
        <w:t>，50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60Hz；</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样品预处理系统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可根据自身产品特点，选配样品预处理系统</w:t>
      </w:r>
      <w:r>
        <w:rPr>
          <w:rFonts w:hint="eastAsia" w:ascii="宋体" w:hAnsi="宋体" w:eastAsia="宋体" w:cs="宋体"/>
          <w:color w:val="auto"/>
          <w:szCs w:val="21"/>
          <w:highlight w:val="none"/>
          <w:lang w:eastAsia="zh-CN"/>
        </w:rPr>
        <w:t>）：</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1）样品流量：</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900mL/h，持续过滤水样供正磷酸盐仪表分析；</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2）采用超滤膜能过滤0.15um颗粒，水样精密过滤，滤后水样不含任何颗粒；</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3）可自动清洗内置过滤膜</w:t>
      </w:r>
      <w:r>
        <w:rPr>
          <w:rFonts w:hint="eastAsia" w:ascii="宋体" w:hAnsi="宋体" w:eastAsia="宋体" w:cs="宋体"/>
          <w:color w:val="auto"/>
          <w:szCs w:val="21"/>
          <w:highlight w:val="none"/>
          <w:lang w:eastAsia="zh-CN"/>
        </w:rPr>
        <w:t>；</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4）环境温度：-20℃~40℃；</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）电源：230V</w:t>
      </w:r>
      <w:r>
        <w:rPr>
          <w:rFonts w:hint="eastAsia" w:ascii="宋体" w:hAnsi="宋体" w:eastAsia="宋体" w:cs="宋体"/>
          <w:color w:val="auto"/>
          <w:szCs w:val="21"/>
          <w:highlight w:val="none"/>
          <w:lang w:val="en-US" w:eastAsia="zh-CN"/>
        </w:rPr>
        <w:t>ac，</w:t>
      </w:r>
      <w:r>
        <w:rPr>
          <w:rFonts w:hint="eastAsia" w:ascii="宋体" w:hAnsi="宋体" w:eastAsia="宋体" w:cs="宋体"/>
          <w:color w:val="auto"/>
          <w:szCs w:val="21"/>
          <w:highlight w:val="none"/>
        </w:rPr>
        <w:t>制箱IP55；</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可自动监测样品的流速，显示过滤样品流速，可观测预处理器状态；带故障显示功能，可显示备件更换及维护时间提示；</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双通道控制器技术参数</w:t>
      </w:r>
      <w:r>
        <w:rPr>
          <w:rFonts w:hint="eastAsia" w:ascii="宋体" w:hAnsi="宋体" w:eastAsia="宋体" w:cs="宋体"/>
          <w:color w:val="auto"/>
          <w:szCs w:val="21"/>
          <w:highlight w:val="none"/>
          <w:lang w:eastAsia="zh-CN"/>
        </w:rPr>
        <w:t>：</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显示：TFT 3.5英寸电容式彩色触摸显示屏；</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自诊断：具备自诊断系统，可显示连接仪表的测量有效性和维护日期；</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探头输入：单通道或双通道；</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输入：最多2路0/4</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20mA输入；</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输出：2路0/4-20mA输出；</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通讯方式：Modbus TCP/IP；</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工作环境：-20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60℃，0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95%相对湿度、无冷凝；</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存储环境：-20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70℃，0~95%相对湿度、无冷凝；</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继电器：两个SPDT触头；</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数据存储：控制器为每个传感器记录约20,000个数据，可通过UBS端口下载；</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外壳防护等级：UL50E 4X 型，IEC/EN 60529-IP 66，NEMA 250 4X 型，耐腐蚀金属外壳；</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电源：100</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240VAC±10%，50/60Hz；18</w:t>
      </w:r>
      <w:r>
        <w:rPr>
          <w:rFonts w:hint="default" w:ascii="Times New Roman" w:hAnsi="Times New Roman" w:eastAsia="宋体" w:cs="Times New Roman"/>
          <w:color w:val="auto"/>
          <w:szCs w:val="21"/>
          <w:highlight w:val="none"/>
          <w:lang w:val="en-US" w:eastAsia="zh-CN"/>
        </w:rPr>
        <w:t>~</w:t>
      </w:r>
      <w:r>
        <w:rPr>
          <w:rFonts w:hint="eastAsia" w:ascii="宋体" w:hAnsi="宋体" w:eastAsia="宋体" w:cs="宋体"/>
          <w:color w:val="auto"/>
          <w:szCs w:val="21"/>
          <w:highlight w:val="none"/>
        </w:rPr>
        <w:t>28 VDC；</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电子认证：符合CE认证/ETL认证、UL认证和CSA安全标准（适用于所有传感器类型）、FCC、ISED、KC、RCM、EAC、UKCA、SABS、C（摩洛哥）；</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安装方式：壁挂/面板/夹管式安装；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外壳材质：适用于本次招标设备所在污水处理厂的工作环境</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3.2.6.9.污泥界面检测仪（超声波泥位计）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污泥界面检测仪（超声波泥位计）指采购清单中以下名称的仪表：污泥界面仪、污泥界面检测仪。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1）概述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用途：用于测量、指示和传送固液分界面信号，利用超声波测量原理，自动温度补偿，测量准确；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组成：超声波界面传感器、变送器及全部安装附件。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2）技术性能及要求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测量范围：0.2～12m；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分辨率：&lt;0.04m；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精度：0.1m±0.05m；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响应时间：10～600s（可调）；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校准：只须在开机时进行一次，具备自动校准，自动清洗功能；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压力范围：≤0.3bar；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环境温度：0～50℃；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温度补偿：自动补偿；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流速要求：≤3m/s；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输出信号：4～20mA；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通讯协议：MODBUS、RS-485、HART。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3.2.6.10.硝态氮检测仪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硝态氮检测仪指采购清单中以下名称的仪表：在线NO3-N分析仪、NO3测量仪。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1）传感器参数：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原理：硝酸盐离子吸收波长约为190-230nm（UV紫外线）。在此波长范围内，硝酸根离子具有与硝酸盐离子相同的吸光度。在测量池中，硝酸盐和硝酸根离子的紫外吸光度与硝酸盐和硝酸根的浓度成正比例关系。通过算术方法消除干扰因素（例如：浊度、污垢或有机碳氢化合物）对测量的影响。通过传感器内置标定曲线将两个通道中的信号比转换成硝酸盐浓度（可转换硝态氮浓度）</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探头为数字探头，即插即用</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测量范围：0.1-50mg/Lor0.01-20mg/L（NO3-N）</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最大测量误差：0.1-50mg/L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±0.2mg/L</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满量程的2%</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0.01-20mg/L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＜2mg/L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±0.04mg/L</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＞2mg/L</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满量程的2%</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重复性：±0.2mg/L</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漂移：＜0.1mg/L/周</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环境温度：-20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过程压力：绝压值：0.5</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10bar</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探头防护等级：IP68</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材质：传感器-不锈钢1.4404（AISI316L）</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光学视窗：石英玻璃</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O型密封圈：EPDM</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过程连接：G1</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带自清洗系统</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配套浸入/流通池支架</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2）变送器参数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功能：可任意连接各种参数传感器：pH/T、ORP、悬浮物浓度、溶解氧、硝酸盐、UV法COD、浊度、余氯及水中油等，支持热插拔及无需断电自动识别所连接传感器</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显示：大屏幕LCD背光显示、图形化引导菜单及中文操作界面，可通过背光颜色变化提示报警信息</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输出：4-20mA+HART，带RS485通讯</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电源：100～230VAC±15%，50/60Hz</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工作温度：-20-60℃</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环境湿度：10</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95%，无冷凝</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防护等级：IP66/67气密性和抗腐蚀性符合NEMATYPE4X标准</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故障报警：故障报警可设定；继电器：最多可带4个触点，用于清洗及限位等</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电子认证：CE认证，抗干扰符合EN61326-1：2006</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3.2.6.11.氨氮检测仪（反应池）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氨氮检测仪（反应池）指采购清单中以下名称的仪表：氨氮传感器、NH4测量仪、在线NH4-N分析仪。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1）用途：用于市政污水处理工艺过程中生反池氨氮数值的测量。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2）氨氮检测仪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测量范围：0.05～100.0mg/L；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测量原理：水杨酸比色法；符合ISO7150-1（GB7481-87,DIN38406-5）标准；双光路检测系统，减少干扰，高精度柱塞泵设计，提高精度；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具有自动标定和自动清洗功能，用户可自行设定仪表的测量、清洗和标定间隔；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测量误差：1.0～50mg/l：±2%测量值；50～100mg/l：±3%测量值；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重复性：±2%测量值+0.05mg/lNH4-N；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测量间隔：最小15分钟，更大时间可设；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具有高级诊断功能，可远程控制分析仪及预处理系统；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具有试剂恒温模块，保证仪器在温度变化下能保持稳定，不需要额外的恒温装置；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电源：230VAC，50Hz；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输出：0/4～20mA，带RS485通讯；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数据记录：可外接1GB的SD卡，2个数据记录日志，每个日志最多150000条数据；可以做历史曲线显示；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防护等级：IP55。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一定量正常使用所需要的消耗品及试剂；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配可靠预处理，预处理具备反冲洗功能，极大减少设备维护量；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应配置前置过滤器，带自动反洗功能且不能影响水质检测。</w:t>
      </w:r>
    </w:p>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3.2.7.污水泵、潜水搅拌器</w:t>
      </w:r>
    </w:p>
    <w:p>
      <w:pPr>
        <w:numPr>
          <w:ilvl w:val="0"/>
          <w:numId w:val="0"/>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3.2.7.1.性能参数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（1）污水提升泵、剩余污泥泵、回流污泥泵性能参数</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2952"/>
        <w:gridCol w:w="2794"/>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水泵名称</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污水提升泵</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剩余污泥泵</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回流污泥泵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水泵形式</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大型潜水离心泵</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小型潜水离心泵</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潜水轴流泵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介质</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城市污水</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活性污泥混合液</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活性污泥混合液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设计流量</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Q=1808m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lang w:val="en-US" w:eastAsia="zh-CN"/>
              </w:rPr>
              <w:t>1390</w:t>
            </w: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设计扬程</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23.2m</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m</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电机功率</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kw</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kw</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水泵效率</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≥84</w:t>
            </w:r>
            <w:r>
              <w:rPr>
                <w:rFonts w:hint="eastAsia" w:ascii="宋体" w:hAnsi="宋体" w:eastAsia="宋体" w:cs="宋体"/>
                <w:color w:val="auto"/>
                <w:sz w:val="21"/>
                <w:szCs w:val="21"/>
                <w:highlight w:val="none"/>
                <w:lang w:val="en-US" w:eastAsia="zh-CN"/>
              </w:rPr>
              <w:t>%</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lang w:val="en-US" w:eastAsia="zh-CN"/>
              </w:rPr>
              <w:t>%</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安装方式</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耦合安装</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耦合安装</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井筒式安装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3F380V50Hz</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3F380V50Hz</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3F380V50Hz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调速方式</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变频调速</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保护等级</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IP68</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IP68</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电机允许启动次数</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15次/小时</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30次/小时</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绝缘等级</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H级或以上</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H级或以上</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电缆长度</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20m</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15m</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工作制</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24h/d</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24h/d</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介质浓度SS</w:t>
            </w:r>
          </w:p>
        </w:tc>
        <w:tc>
          <w:tcPr>
            <w:tcW w:w="142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200～10000mg/l</w:t>
            </w:r>
          </w:p>
        </w:tc>
        <w:tc>
          <w:tcPr>
            <w:tcW w:w="134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5000～20000mg/l</w:t>
            </w:r>
          </w:p>
        </w:tc>
        <w:tc>
          <w:tcPr>
            <w:tcW w:w="1347"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0000mg/l</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（2）潜水搅拌器性能参数</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0" w:type="dxa"/>
          <w:left w:w="108" w:type="dxa"/>
          <w:bottom w:w="0" w:type="dxa"/>
          <w:right w:w="108" w:type="dxa"/>
        </w:tblCellMar>
      </w:tblPr>
      <w:tblGrid>
        <w:gridCol w:w="2526"/>
        <w:gridCol w:w="3728"/>
        <w:gridCol w:w="4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名称</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潜水搅拌器</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潜水搅拌器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安装地点</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生化池预缺氧区、厌氧区</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储泥池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介质</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混合液</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剩余污泥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螺旋桨直径</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≥650</w:t>
            </w:r>
            <w:r>
              <w:rPr>
                <w:rFonts w:hint="default" w:ascii="宋体" w:hAnsi="宋体" w:eastAsia="宋体" w:cs="宋体"/>
                <w:color w:val="auto"/>
                <w:sz w:val="21"/>
                <w:szCs w:val="21"/>
                <w:highlight w:val="none"/>
              </w:rPr>
              <w:t>mm</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≥650</w:t>
            </w:r>
            <w:r>
              <w:rPr>
                <w:rFonts w:hint="default" w:ascii="宋体" w:hAnsi="宋体" w:eastAsia="宋体" w:cs="宋体"/>
                <w:color w:val="auto"/>
                <w:sz w:val="21"/>
                <w:szCs w:val="21"/>
                <w:highlight w:val="none"/>
              </w:rPr>
              <w:t>mm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螺旋桨转速</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475rpm</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7</w:t>
            </w:r>
            <w:r>
              <w:rPr>
                <w:rFonts w:hint="default"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rPr>
              <w:t>rpm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池底平均流速</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≥0.3m/s</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≥0.3m/s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推力</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≥800N</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≥300N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电机额定功率</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4.0～</w:t>
            </w:r>
            <w:r>
              <w:rPr>
                <w:rFonts w:hint="eastAsia" w:ascii="宋体" w:hAnsi="宋体" w:eastAsia="宋体" w:cs="宋体"/>
                <w:color w:val="auto"/>
                <w:sz w:val="21"/>
                <w:szCs w:val="21"/>
                <w:highlight w:val="none"/>
                <w:lang w:val="en-US" w:eastAsia="zh-CN"/>
              </w:rPr>
              <w:t>5.5</w:t>
            </w:r>
            <w:r>
              <w:rPr>
                <w:rFonts w:hint="default" w:ascii="宋体" w:hAnsi="宋体" w:eastAsia="宋体" w:cs="宋体"/>
                <w:color w:val="auto"/>
                <w:sz w:val="21"/>
                <w:szCs w:val="21"/>
                <w:highlight w:val="none"/>
              </w:rPr>
              <w:t>kw</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4.0～</w:t>
            </w:r>
            <w:r>
              <w:rPr>
                <w:rFonts w:hint="eastAsia" w:ascii="宋体" w:hAnsi="宋体" w:eastAsia="宋体" w:cs="宋体"/>
                <w:color w:val="auto"/>
                <w:sz w:val="21"/>
                <w:szCs w:val="21"/>
                <w:highlight w:val="none"/>
                <w:lang w:val="en-US" w:eastAsia="zh-CN"/>
              </w:rPr>
              <w:t>5.5</w:t>
            </w:r>
            <w:r>
              <w:rPr>
                <w:rFonts w:hint="default" w:ascii="宋体" w:hAnsi="宋体" w:eastAsia="宋体" w:cs="宋体"/>
                <w:color w:val="auto"/>
                <w:sz w:val="21"/>
                <w:szCs w:val="21"/>
                <w:highlight w:val="none"/>
              </w:rPr>
              <w:t>kw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启动方式</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直接启动</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直接启动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工作制</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24h/d</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24h/d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供电电源</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380V/3ph/50hz</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380V/3ph/50hz</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防护等级</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IP68</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IP68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绝缘等级</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H</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0" w:type="dxa"/>
            <w:left w:w="108" w:type="dxa"/>
            <w:bottom w:w="0" w:type="dxa"/>
            <w:right w:w="108" w:type="dxa"/>
          </w:tblCellMar>
        </w:tblPrEx>
        <w:trPr>
          <w:cantSplit/>
          <w:trHeight w:val="454" w:hRule="atLeast"/>
          <w:jc w:val="center"/>
        </w:trPr>
        <w:tc>
          <w:tcPr>
            <w:tcW w:w="2526" w:type="dxa"/>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潜水</w:t>
            </w:r>
            <w:r>
              <w:rPr>
                <w:rFonts w:hint="eastAsia" w:ascii="宋体" w:hAnsi="宋体" w:eastAsia="宋体" w:cs="宋体"/>
                <w:color w:val="auto"/>
                <w:sz w:val="21"/>
                <w:szCs w:val="21"/>
                <w:highlight w:val="none"/>
              </w:rPr>
              <w:t>电缆长度</w:t>
            </w:r>
          </w:p>
        </w:tc>
        <w:tc>
          <w:tcPr>
            <w:tcW w:w="3728" w:type="dxa"/>
            <w:tcBorders>
              <w:righ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5m</w:t>
            </w:r>
          </w:p>
        </w:tc>
        <w:tc>
          <w:tcPr>
            <w:tcW w:w="4114" w:type="dxa"/>
            <w:tcBorders>
              <w:left w:val="single" w:color="auto"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center"/>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1</w:t>
            </w:r>
            <w:r>
              <w:rPr>
                <w:rFonts w:hint="eastAsia" w:ascii="宋体" w:hAnsi="宋体" w:eastAsia="宋体" w:cs="宋体"/>
                <w:color w:val="auto"/>
                <w:sz w:val="21"/>
                <w:szCs w:val="21"/>
                <w:highlight w:val="none"/>
              </w:rPr>
              <w:t>5m</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3.2.7.2.技术要求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大型潜水离心泵主要结构及性能要求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（1）泵的设计及要求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泵的蜗壳要求为偏心设计，有足够大的平滑流道以通过进入叶轮的颗粒，大泵的叶轮是水力平衡的、多通道闭式无堵塞流道设计，其长流道无剧烈拐角。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泵应能在20m水深下持续长期运行，安全无故障时间至少为10000小时。水泵在设计工况点整机工作效率（含电机）不得低于84%，泵运行噪声应小于75dB，振动应满足ISO10816-3，4区，B级的要求，整个转子部件在生产期间应做静平衡和动平衡，精度应至少达到ISO1940.G6.3级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杆的设置可使水泵从泵井顶部平稳地导送到出口连接座上，为了拆卸及检修方便，水泵就位时能自动与水泵底座耦合，无需工人下到井中。泵单元与泵底座接口密封完全采用金属与金属的接触密封，不得采用橡胶垫圈、O型环排水密封，并保证在水泵放下或提起过程中保证接口的密封配合安全而不受刮擦破坏，放下通水后，能达到100%的密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水泵应能泵送含有纤维、毛发、砂粒等未经过滤处理的原生污水或含水率为96%以上的污泥，泵应具有良好的抗堵塞性能和耐磨性。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（2）泵体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的主体外壳应是316L不锈钢或以上材质，其表面须平滑，无砂眼或其他铸造缺陷，所有外露的螺栓螺母均由316L不锈钢或更高级别的其他防腐材料制成。除316L不锈钢外，所有与泵输送介质接触的金属表面和泵的外部由水基底漆和两组涂层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（3）密封系统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泵配有一个上下双重独立的机械轴密封系统。下密封与叶轮毂分开。密封在油腔内运行，该油腔能以一稳定的流速对重叠的密封面进行润滑。下密封组位于泵与油腔之间，包括一个静密封环和一个旋转的动密封环，材料为耐腐蚀烧结碳化钨（WCCR）。每个密封的分界面由其自身的弹簧系统连接。密封不需要维护和调整，并且在不影响或失去密封功能的情况下，可以顺时针或逆时针转动。万一上下密封失效，液体进入定子室，也不与下轴承或定子接触。外密封腔内有螺旋凹槽，以达到去除杂质颗粒、减少磨损的目的。每台泵的轴密封系统有一个油室，油室在设计上能防止过满和留有油膨胀的空间。带有防漏密封的注油孔能很容易从外部进行检查维修。密封系统不依靠所泵送的介质进行润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★机械密封的设计寿命不低于3万小时。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（4）电缆进线密封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进线密封设计应能消除一定的扭矩以形成一个防水的潜水密封。电缆进线应有一个圆柱高弹性衬套，外侧垫圈等组成。所有部件的内外径尺寸需与电缆的外直径接线室的内直径相吻合，符合规定的公差范围。电缆进线弹性衬套应能被电缆进线室挤压并消除拉紧应力。进线装置应保证能方便地替换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（5）潜水电机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电机的种类应为鼠笼式感应电动机，最大转速不超过1500r/min，额定工作电压为三相380VAC，应能满足0～50Hz变频工况的需要，在设备性能参数表要求的工况下，电机必须能输出足够的转距使水泵正常运行。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电机的配置保证在H-Q曲线上任何一点工作时，都不会出现过载，甚至在不淹没的情况下运行也不会过载。保证在H—Q曲线上任何一点工作时，电机的工况点的实际使用与额定功率的储备系数应大于8%。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电机应允许电压的偏差范围为±10％。应提供一份能显示转矩、电流、功率因数、输入/输出功率和效率的性能图。该性能图还包括启动和无负载特性的数据。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电机应能在水下20m处连续使用而不失去其防水性能，防护等级不低于IP68。电机应有足够的轴功率，以保证泵在其整个性能曲线范围内运行时不过载。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电机轴承设计使用寿命不低于10万小时。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（6）潜污泵保护装置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热敏开关：所有定子有三个串联常闭的热敏开关以监控每相绕阻的温度，如果温度过高，热敏开关打开，停机并实施报警。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定子室泄漏传感器：在定子室中提供一个探测液体的浮动开关泄漏传感器。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接线盒泄漏传感器：在接线盒中提供一个探测液体的浮动开关泄漏传感器。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下轴承温度传感器：下轴承传感器直接与止推轴承的外滚道接触，以执行精确的温度监控功能。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油室泄漏传感器：当油室内水分含量超过一定比例的时候，传感器能通过状态故障监控单元进行故障报警输出。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震动传感器：水泵内必须安装震动传感器。震动传感器安装在潜水泵的接线盒内，对水泵和连接管道进行监测，保护其免受有害震动。其输出信号送到电控柜内的水泵监控装置，水泵监控装置设有两个报警级别，如果震动超过第一级设定，警示灯（黄灯）就会亮，如果震动进一步加剧达到有害水平的第二级设定，水泵监控装置就会停止泵的运行并亮起红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状态存储器：安装在泵体内的水泵参数存储器，可存储出厂参数和记录水泵运行参数：泵铭牌参数（出厂序列号、产品编号、电压等级、额定功率、额定电流、重量）；传感器配置和值；泵启停次数；总运行时间；轴承和电机定子绕组的温度及水泵震动柱状统计图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监控单元由基本单元和液晶操作面板两个主要部分组成，都安装在电气控制柜中。通过监控单元，利用电脑上的标准网络浏览器IE就可以获得即时分析所需的详细运行数据，也可以将数据通过远程传输单元传送到更高一级的系统。水泵监控单元的设计功能是快速而方便地记忆、记录和显示泵的活动。监控单元能够提供各类趋势图，包括温度曲线,泄漏曲线,水泵运行电流曲线等。监控单元也能提供各类报表，包括泵的启动次数,泵的运行时间等。作为整套泵送系统的一部分，它有助于在泵的使用寿命内减少成本，通过简化维护工作和确保安全操作，从而增加其可靠性和可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保护装置支持Modbus通信协议。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潜污泵自带有浮球开关，线缆长度与水泵长度一致。浮球开关应具有低水位保护作用，避免水泵无水运行。浮球开关信号与水泵运行联锁。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（7）动力和控制电缆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配有控制和动力电缆，具有防拉功能，符合IEC标准并提供足够的长度以接入接线盒且不需要拼接。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投标人需为每台水泵的每根电缆配置电缆吊挂网兜及挂钩。电缆吊挂网兜的材质为316L不锈钢或更优质材料，挂钩的材质为316L不锈钢或更优质材料。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（8）轴承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轴应在两个永久润滑（端装有免维护）的轴承上旋转。轴承的设计，配置应当能承受径向力，又能承受轴向力。轴承设计寿命大于10万工作小时。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（9）叶轮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叶轮应采用高强度、耐腐蚀的材质（316L不锈钢及以上材质），叶轮必须经过静态及动态平衡试验，在叶轮两端，每端的动平衡允许不平衡力矩为静平衡允许不平衡力矩的一半。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叶轮设计应为单或多通道无堵塞式，应具有良好的过流特性，其最小通径不得小于80mm，能使废水中通常存在的固体、纤维、污泥等介质畅通无阻。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（10）涡壳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每只涡壳都应为整体型、偏心设计，底部喇叭口吸水和侧向排水，采用高强度、晶粒细的316L不锈钢制造，内表面应光滑、无瑕疵，所有过流表面应设计成无锐角，以使杂物能通过叶轮而不发生缠绕。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泵壳应有足够的厚度来承受所有的负荷，包括要求的静水试验压力及连续工作压力。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（11）泵附件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泵附件必须包括以下内容，但不限于以下各项：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不锈钢铭牌必须牢固地固定在每台泵明显的位置上，铭牌采用冲压的数字标志。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每台泵须配置起吊用的吊耳，其位置应该置于泵的重心附近，污水提升泵配置一次性提升装置作为提升泵的起吊装置。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设备商应提供316L不锈钢材质的地脚螺栓和316L不锈钢材质的电缆护套、电缆吊挂网兜、电缆吊钩。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设备供货商应提供不锈钢导杆、导杆固定支架、紧固材料。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（12）耐磨环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了在蜗壳和叶轮间能有效密封，可安装耐磨环，耐磨环是由一只安装在蜗壳进口处的静止环和一只安装在叶轮口上的旋转型不锈钢环所构成。耐磨环必须可靠地紧固在叶轮和泵壳上，在正常运行条件下或泵逆向运转时都不会发生松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耐磨环的结构形式应考虑到容易拆除和更换。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采用叶轮间隙可调的形式，则可不设耐磨环，而采用磨损系统。磨损系统应能保证蜗壳和叶轮吸口之间有效的间隙性，叶轮间隙应多次可调，当泵由于磨损而效率降低时，可通过调整叶轮的间隙来恢复水泵的效率。叶轮间隙调节时以轴向调节为准，并在泵的外部调节和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（13）电气控制系统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每台潜污泵独立设置控制柜，控制柜室内放置，防护等级IP55，水泵运行采用变频控制。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控制柜采用2mm厚的304不锈钢制作，表面抛光处理，控制柜内应有防凝露的电加热单元、足够的、布置合理的、自动启停的通风散热及检维修照明装置，柜内通风散热应不影响临近控制柜的运行。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控制柜主要电气元器件（包括变频器）须</w:t>
      </w:r>
      <w:r>
        <w:rPr>
          <w:rFonts w:hint="eastAsia" w:ascii="宋体" w:hAnsi="宋体" w:eastAsia="宋体" w:cs="宋体"/>
          <w:color w:val="auto"/>
          <w:sz w:val="21"/>
          <w:szCs w:val="21"/>
          <w:highlight w:val="none"/>
          <w:lang w:val="en-US" w:eastAsia="zh"/>
        </w:rPr>
        <w:t>为AB Bulletin 系列、ABB A系列及 CM-ENS 系列、西门子 SIRIUS 系列</w:t>
      </w:r>
      <w:r>
        <w:rPr>
          <w:rFonts w:hint="eastAsia" w:ascii="宋体" w:hAnsi="宋体" w:eastAsia="宋体" w:cs="宋体"/>
          <w:color w:val="auto"/>
          <w:sz w:val="21"/>
          <w:szCs w:val="21"/>
          <w:highlight w:val="none"/>
          <w:lang w:val="en-US" w:eastAsia="zh-CN"/>
        </w:rPr>
        <w:t>。变频器控制系统须安装有容量匹配的变频器专用的输入滤波器及变频器专用输出滤波器和电抗器，三者缺一不可，防止变频器谐波注入供电系统及厂区其他用电设备和仪表，同时消除变频器输出端至电机的谐波和电缆分布电容的影响，确保变频器的输入、输出总谐波电流、电压均不大于百分之五。变频器应带RS-485通讯端口，并提供通讯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面板上需有电源指示、设备运行/停止、故障报警与运行电压、电流、频率等信号显示，调频旋钮应安装于控制柜面板上，以便调频操作。柜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面板需有操作按钮功能，操作按钮包括泵开启操作、泵停止操作、故障复位等。反馈信号均须提供无源接点至端子排，以便自控系统接入。提升泵应能实现就地/远程控制切换功能。就地控制用于现场提升泵的“启/停”操作，同时具备调频旋钮调整频率运行和变频器控制面板按钮调整频率，并且能够正确反馈变频器的运行频率至中控室上位机；远程控制可在中控室上位机上实现对提升泵的“启/停”操作，同时具备通过调整4～20mADC输入进行频率控制，并且能够正确反馈变频器的运行频率。在进行手动和自动控制的转换时，不需要进行变频器的设置，均能满足各自的控制功能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控制柜应提供电压、电流变送器，变送器输出4～20mA信号，反映变频器运行的电压和电流值。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控制系统要求必须有电气短路、过流过载、缺相等保护装置，结合提升泵自带的保护装置一起设计，并有相应的故障报警、紧急停机及复位装置。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中小型潜水离心泵主要结构及性能要求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（1）泵的设计及要求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泵应为潜水离心泵设计，无故障运行至少20000小时，可靠和无故障的运行以及低成本的维修费用将成为选泵的首要考虑因素。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泵的所有旋转零件（包括电动机）应在制造时进行静平衡试验，装配后进行动平衡试验,精度应至少达到ISO940G6.3级的要求。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水泵应能泵送含有纤维、毛发、砂粒等未经过滤处理的原生污水或含水率为96%以上的污泥，泵应具有良好的抗堵塞性能和耐磨性。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（2）泵壳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壳采用316L不锈钢，泵壳内表面经加工后为光滑、无疵瑕形式，所有水流通过部分应设计成无锐角形式，以使流速和流向变化趋于平稳。通道的断面要足够大，以使相应粒径的杂物能通过叶轮。除316L不锈钢外，所有与泵输送介质接触的金属表面和泵的外部由水基底漆和两组涂层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（3）泵叶轮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材质为316L不锈钢，导叶部分进行硬化处理。叶轮采用半开式多叶片、后扫式、无堵塞设计。叶轮锁定在轴上，当叶轮旋转时后扫式导叶能够处理固体、纤维、粘稠污泥和其它污水中的杂质，叶片上不积累杂质，从而维持水泵能无堵塞运行。叶轮具有特定角度的完全后扫式导叶，能够处理固体、纤维、粘稠污泥和其它污水中的杂质。叶轮锁定在轴上。泵室/插入环和叶轮之间的间距可以进行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（4）泵轴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泵轴和电机轴必须为整体结构，并与泵送的水流完全分开。轴材料须采用高强度不锈钢制作。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（5）泵轴承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上部轴承为圆柱滚子轴承，下部轴承组包括一对单列向心推力球轴承和一只单列圆柱滚子轴承。设计的轴承必须能够承受所有轴向和径向负荷，并完全与泵送的水流分开。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（6）泵的密封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每台泵配有一个上下双重独立的的机械密封系统。机械密封在油腔内运行，该油腔能以稳定流速对重叠的密封面进行水力式润滑。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下密封（第一密封）位于泵与油腔之间，由一个静环和一个正向旋转的耐腐蚀碳化钨动环组成。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上密封（第二密封）位于油腔与电机室之间，由一个静环和一个正向旋转的耐腐蚀碳化钨动环组成。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每个密封的分界面由自身的弹簧系统联接。机械密封在顺时针或逆时针转动时，都能正常运行不损坏或磨损密封元件，并且不需维修或调节。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（7）动力和控制电缆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投标人需为每台水泵的每根电缆配置电缆吊挂网兜及挂钩。电缆吊挂网兜的材质为316L不锈钢或更优质材料，挂钩的材质为316L不锈钢。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（8）水泵保护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所有的电机中每相绕组都应连接热敏开关，并串连。热敏开关在125℃时动作，电机停止转动并报警。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型潜水离心泵在油室、电机定子室、接线室内设置泄漏传感器、轴承温度传感器，小型潜水离心泵在电机定子室内设置泄漏传感器，用于防止水漏对水泵造成损坏。配套专用继电控制器进行控制。讯号在电控柜内能监测并在达到要求的控制程度时发出报警讯号，避免造成严重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潜污泵自带有浮球开关，线缆长度与水泵长度一致。浮球开关应具有低水位保护作用，避免水泵无水运行。浮球开关信号与水泵运行联锁。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（9）泵的附件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潜水泵必须安装一个固定式的出水联结弯管。泵应能通过导杆装置降至井中就位，并能通过滑动连接板，将泵出水口自动地与出水弯管连接。同时在检修时，应能使泵方便地拆除。泵与出水管之间的密封应很方便地通过将泵直线向下移动来完成，出水弯管和滑动的导向装置应作为泵设备的一个组成部分。泵设备的整个重量应使泵体与出水连接弯管紧密结合，水泵放置到位通水后，能达到100%的密封性。在出水弯管和泵之间，不得采用Ｏ型环或其它装置来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潜污泵自带有浮球开关，线缆长度与水泵长度一致。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（10）安装提升系统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型潜水离心泵每台泵须配置起吊用的吊耳，其位置应该置于泵的重心附近，污水提升泵配置一次性提升装置作为提升泵的起吊装置；投标人应提供316L不锈钢材质的地脚螺栓和316L不锈钢材质的电缆护套、电缆吊钩；投标人应提供316L不锈钢材质的导杆、导杆固定支架、紧固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小型潜水离心泵配置安装提升系统包，安装提升系统包括每机一套导轨、调向盘、提升装置底座、吊链、可移动悬臂起吊架等，安装提升系统材料为316L不锈钢。泵组配置相应的安装提升系统与移动悬臂起吊架。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（11）电气控制系统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泵单独配置一个控制箱，控制箱室外放置，防护等级IP65。控制柜采用2mm厚的304不锈钢制作，表面抛光处理。箱门采用双层结构，其中外层箱门锁的锁芯要具有防水功能，控制按钮布置于内箱门上。控制柜内应有防凝露的电加热单元、通风散热的自动装置，控制箱还应自带安装支柱及底座，安装支柱及底座应能使控制箱安装牢固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控制柜主要电气元器件须为</w:t>
      </w:r>
      <w:r>
        <w:rPr>
          <w:rFonts w:hint="eastAsia" w:ascii="宋体" w:hAnsi="宋体" w:eastAsia="宋体" w:cs="宋体"/>
          <w:color w:val="auto"/>
          <w:sz w:val="21"/>
          <w:szCs w:val="21"/>
          <w:highlight w:val="none"/>
          <w:lang w:val="en-US" w:eastAsia="zh"/>
        </w:rPr>
        <w:t>AB Bulletin 系列、ABB A系列及 CM-ENS 系列、西门子 SIRIUS 系列</w:t>
      </w:r>
      <w:r>
        <w:rPr>
          <w:rFonts w:hint="eastAsia" w:ascii="宋体" w:hAnsi="宋体" w:eastAsia="宋体" w:cs="宋体"/>
          <w:color w:val="auto"/>
          <w:sz w:val="21"/>
          <w:szCs w:val="21"/>
          <w:highlight w:val="none"/>
          <w:lang w:val="en-US" w:eastAsia="zh-CN"/>
        </w:rPr>
        <w:t>，其中接触器和继电器的寿命不小于100万次（每对触点开合次数），继电器自带指示灯。变频控制水泵电控系统须安装有容量匹配的变频器专用的输入滤波器及变频器专用输出滤波器，防止变频器谐波注入供电系统及厂区其他用电设备和仪表，同时消除变频器输出端至电机的谐波和电缆分布电容的影响，确保变频器的输入、输出总谐波电流、电压均不大于百分之五。变频器应带RS-485通讯端口，并提供通讯协议。接触器和继电器的寿命不小于100万次（每对触点开合次数），继电器自带指示灯。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箱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能通过旋钮开关切换实现就地/远程控制切换功能。就地控制用于现场水泵的“启/停”操作，并有相应的运行状态指示，远程控制可在中控室上位机上实现对泵的“启/停”操作。变频控制水泵能够正确反馈变频器的运行频率至中控室上位机，同时具备通过调整4～20mADC输入进行频率控制，并且能够正确反馈变频器的运行频率，在进行手动和自动控制的转换时，不需要进行变频器的设置，均能满足各自的控制功能需求。变频控制水泵控制系统应提供电压、电流变送器，变送器输出4～20mA信号，反映变频器运行的电压和电流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控制系统要求必须有电气短路、过流过载、缺相等保护装置，结合中水回用泵自带的保护装置一起设计，并有相应的故障报警、紧急停机及复位装置。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潜水搅拌器主要结构及性能要求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潜水搅拌器应能在污水中工作，须能充分搅拌污水。产生切向强力流，防止污泥沉淀。应能在电机全浸没条件下连续运行、间歇运行和长期停止状态后恢复运行，搅拌器在整个运行过程中须保持平稳。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（2）导轨系统系统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导轨系统可自由调整搅拌器的提升、下降，搅拌器导轨同时具备角度调整，无须排空水池情况下拆卸和安装搅拌器。搅拌器全部的重量受力在池底支撑底座上，并且这个支架必须可承受搅拌器产生的推力。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（3）叶轮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搅拌器中速小桨叶叶轮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搅拌器的叶轮应是不锈钢316L材质的，水力平衡的无堵塞的曳后设计。叶片表面应平整光洁，并对几何形状及尺寸进行检测。叶片的断面形状误差与名义尺寸偏差不得大于3‰，且经G6.3级动平衡检验合格。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（4）机轴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搅拌器电机轴应是连续无间断的轴，并与叶轮直接连接，轴的材质为ASTM420或更优，所使用轴承的设计寿命最小为l00000小时；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配有一个插入式的双机械密封。密封在一个油腔内运行，该油腔能以一稳定的流速对重叠的密封面进行润滑。外机械密封为耐腐蚀烧结碳化钨（WCCR）或同等材质，避免搅拌液进入油腔。内机械密封为耐腐蚀烧结碳化钨（WCCR）或同等材质，避免油腔中的油进入电机。内外机械密封各自独立地运行。叶轮轴上的内密封为一个腈橡胶唇密封，它能将叶轮轴油室与齿轮箱油室隔绝开来。第三个密封为一个安装在电机轴上的腈橡胶唇密封，能够隔离齿轮箱油室与定子室。密封应既不需要维护也不需要调整或依赖于旋转方向。不采用其它密封类型的密封和其它相当的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机械密封的设计使用寿命不低于3万小时。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（6）电缆和电缆密封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接线室是一个带固定板的完整部件。电缆入口处有两套弹性衬套，保证防水和潜水密封。电缆入口包含两个圆柱型弹性衬套。每个衬套带垫圈和一个套圈，它们有精密的公差设计以适应电缆的外径和入口的内径。衬套可被一个密封管挤压，密封管是用两个不锈钢螺丝拧进电缆接线室。不利用扭矩作旋转密封，而是靠密封管和套圈之间的相互作用，沿电缆轴向移动衬套。接线室和电机室被一接线板隔离，保护电机，避免外部物质通过搅拌器顶端进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需为每台搅拌器的电缆配置电缆吊挂网兜及挂钩。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电缆吊挂网兜的材质为316L不锈钢或更优质材料，挂钩的材质为316L不锈钢。线缆长度满足现场电气布置要求。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（7）搅拌器保护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潜水电机设以下保护：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在每相定子绕组线圈中装入热敏开关。热敏开关需在≤70℃时常闭，在≥140℃时常开。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在潜水电机定子室、接线室、油室设泄漏传感器。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热敏开关、定子室漏水传感器经导线引至电机接线盒。接线盒应包括端子板。端子板应用弹性“O”形环与电机密封。接线板应采用穿线压紧杆方式长期固定和连接电缆导线及定子进线。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电机必须提供与上述保护配套的保护装置，并具有以下功能：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热敏开关断开时，停止电机运行并报警。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定子室、接线室、油室中渗入水分时，停止电机运行并报警。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储泥池用的潜水搅拌器需自带浮球开关，线缆长度与水泵电缆一致。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（8）安装提升系统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安装提升系统包括套导轨、调向盘、提升装置底座、吊链或钢丝绳、可移动悬臂起吊架等，安装提升系统材料为316L不锈钢。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（9）电气控制系统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搅拌器独立设置一个控制箱，控制箱室外放置，防护等级IP65。控制箱采用2mm厚的316L不锈钢制作，表面抛光处理。箱门采用双层结构，其中外层箱门锁的锁芯要具有防水功能，控制按钮布置于内箱门上，外箱门带玻璃观察窗。控制柜内应有防凝露的电加热单元、通风散热的自动装置，控制箱还应自带安装支柱及底座，安装支柱及底座应能使控制箱安装牢固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控制箱主要电气元器件须为</w:t>
      </w:r>
      <w:r>
        <w:rPr>
          <w:rFonts w:hint="eastAsia" w:ascii="宋体" w:hAnsi="宋体" w:eastAsia="宋体" w:cs="宋体"/>
          <w:color w:val="auto"/>
          <w:sz w:val="21"/>
          <w:szCs w:val="21"/>
          <w:highlight w:val="none"/>
          <w:lang w:val="en-US" w:eastAsia="zh"/>
        </w:rPr>
        <w:t>AB Bulletin 系列、ABB A系列及 CM-ENS 系列、西门子 SIRIUS 系列</w:t>
      </w:r>
      <w:r>
        <w:rPr>
          <w:rFonts w:hint="eastAsia" w:ascii="宋体" w:hAnsi="宋体" w:eastAsia="宋体" w:cs="宋体"/>
          <w:color w:val="auto"/>
          <w:sz w:val="21"/>
          <w:szCs w:val="21"/>
          <w:highlight w:val="none"/>
          <w:lang w:val="en-US" w:eastAsia="zh-CN"/>
        </w:rPr>
        <w:t>，其中接触器和继电器的寿命不小于100万次（每对触点开合次数），继电器自带指示灯。箱内和面板上的元器件如开关、按钮、指示灯等要有注明用途的标签或标志牌，所有的端子排和接线应标注识别码，所有的标识装置应保证在设备正常的使用寿命周期内标识字码不会灭失，端子排要预留20%的备用端子。控制柜面板上需有电源指示、设备运行/停止、故障报警等信号显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搅拌器应能实现就地/远程控制切换功能。就地控制用于现场提升泵的“启/停”操作，远程控制可在中控室上位机上实现对搅拌器的“启/停”操作。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控制系统要求必须有电气短路、过流过载、缺相等保护装置，结合搅拌器自带的保护装置一起设计，并有相应的故障报警、紧急停机及复位装置。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（10）安装要求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安装在生物池厌氧区、好氧区、缺氧区或可调区流道中。搅拌器应能通过导向装置降至构筑物中就位，导向装置固定在池顶走道板或支架上。同时，在检修时，应使搅拌器方便拆除。搅拌器的吊链应能固定在走道板或支架某一部位,以方便的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搅拌器及其附件、电缆，应该能够浸没在10米的水深中连续运行而不会损坏，并应有可靠的密封性。部件间必须做装配记号，在需要的地方应配定位销，确保在现场能正确地再次装配和定位。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搅拌器的附件必须包括以下内容，但不限于以下各项：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不锈钢铭牌必须牢固地固定在每台搅拌器明显的位置上，铭牌采用冲压的数字标志。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每台搅拌器须配置起吊用的吊耳，材质为不锈钢，其位置应该置于搅拌器的重心附近，并设置不锈钢吊链。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设备商应提供不锈钢材质的地脚螺栓和不锈钢材质的电缆护套、电缆吊钩。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供货商应提供不锈钢导杆、导杆固定支架及其紧固材料。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供货商应提供不锈钢起吊架（配套手摇装置），每台搅拌器配置一套起吊架。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回流污泥泵主要结构及性能要求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（1）泵的设计及要求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在工况条件下，潜水轴流泵首次无故障平均运行时间不得少于10000小时，潜水轴流泵机械密封设计无故障运行12000小时以上，所有轴承使用寿命不得小于100000小时。机组的设计使用寿命不小于15年。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潜水轴流泵的设计应保证设备在停泵水倒流时可以反转而不会发生零部件松动等故障；潜水轴流泵应配有一锥形耦合圈，作为安装底座。潜水轴流泵应配套井筒、压力盖板等设备。水泵放入井筒中，能自动就位，同时水泵的安装应易于维修，水泵和出水井筒之间应能通过水泵自身的重量自动完成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水泵应能泵送含有纤维、毛发、砂粒等未经过滤处理的原生污水或含水率为96%以上的污泥，泵应具有良好的抗堵塞性能和耐磨性。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（2）叶轮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叶轮抗堵塞设计，材料为316L不锈钢或以上材质，后扫式叶片使泵不易堵塞，具有非常好的过流特性。叶轮通过膨胀环与轴联接在一起。叶片为自清洁设计。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（3）磨损环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磨损环带有特殊的释放凹槽的，用以保证叶片清洁和排出容易积聚在叶片处的污物，防止叶轮堵塞，让水泵在污水中仍能保证持续高效的水力性能。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的电机是鼠笼式感应电机，装在充气的防水的壳内。定子绕组和定子接线的绝缘等级是H级。定子热缩嵌入定子室中。不能接受需要用螺栓、销钉或者其他紧固件来固定和定位进定子室的定子。电机设计为能连续泵送温度为40℃的介质。为监控每相绕组的温度，在定子线圈中装入热敏开关，在140℃时开启。热敏开关与外部的电机过载保护一起连接至控制柜。电机的允许电压波动为±10%，电机设计成在最高40℃（104F）环境下工作，并且定子绕阻的平均升温不超过80℃，提供一份能显示转矩、电流、功率因素、输入/输出功率和效率的性能表。该性能表还应包含启动和零负荷特性的数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电机的配置保证在H-Q曲线上任何一点工作时，都不会出现过载，甚至在不淹没的情况下运行也不会过载。保证在H—Q曲线上任何一点工作时，电机的工况点的实际使用与额定功率的储备系数应大于8%。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（5）电缆进线密封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进线密封设计应能消除一定的扭矩以形成一个防水的潜水密封。电缆进线应有一个圆柱高弹性衬套，外侧垫圈等组成。所有部件的内外径尺寸需与电缆的外直径接线室的内直径相吻合，符合一定的公差范围。电缆进线弹性衬套应能被电缆进线室挤压并消除拉紧应力。进线装置应保证能方便地替换电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投标人需为每台水泵的每根电缆配置电缆吊挂网兜及挂钩。电缆吊挂网兜的材质为316L不锈钢或更优质材料，挂钩的材质为316L不锈钢或更优质材料。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（6）机械密封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采用双重串联机械密封系统，两个密封组成，每个密封有独立的弹簧系统。密封材料为耐腐蚀烧结碳化钨（WCCR）或同等材质。密封为免维护型，可以正时针或逆时针运转，而不会造成密封损坏或者泄漏损失。外机封位于水泵和密封室之间，包含一个静环和一个动环，材质为耐腐蚀烧结碳化钨（WCCR）或同等材质。内部第二道机封位于密封室和密封检查室之间，采用的主动密封机封。包含一个静环和一个动环，材质为耐腐蚀烧结碳化钨（WCCR）或同等材质。内机封动环的密封面应有后扫式激光内切凹槽，当旋转的时候可以起到一个微型泵的作用，可以将要进入电机室的介质甩回密封润滑室。所有密封环都应为单独的可靠的烧结环。不能接受传统的在上下机封面之间只采用一个或二个弹簧的双端面机械密封。弹簧应与泵送的介质隔离以防止进入杂物，影响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水泵应设计有润滑室给轴密封系统。润滑室应为防过盈设计，使润滑油有膨胀空间。密封润滑室应有一个排泄塞和一个检查塞，从电机外部可以容易的接触到。密封系统不应依靠泵送的介质润滑。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在泵室里的密封腔，应为整体铸造，集成一个同心的螺旋槽。该螺旋槽应可以通过离心力的作用将进入密封腔磨损性颗粒驱逐出去，以保护密封。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每个密封的分界面由其自身的弹簧系统连接，机械密封的使用寿命大于25000h。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（7）保护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所有的电机中每相绕组都应连接热敏开关，并串连。热敏开关在125℃时动作，电机停止转动并报警。水泵的油室、电机定子室、接线室内设置泄漏传感器，用于防止水漏对水泵造成损坏。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配套专用继电控制器进行控制。讯号在电控柜内能监测并在达到要求的控制程度时发出报警讯号，避免造成严重损坏。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（8）泵附件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配套提供井筒、坐圈、出水三通、穿墙管及泵筒的抱箍支撑架。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（9）电气控制系统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潜水轴流泵独立设置控制柜，防护等级IP55，水泵运行采用变频控制。控制柜采用2mm厚的304不锈钢制作，表面抛光处理，控制柜内应有防凝露的电加热单元、足够的、布置合理的、自动启停的通风散热及检维修照明装置，柜内通风散热应不影响临近控制柜的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控制柜主要电气元器件（包括变频器）须为</w:t>
      </w:r>
      <w:r>
        <w:rPr>
          <w:rFonts w:hint="eastAsia" w:ascii="宋体" w:hAnsi="宋体" w:eastAsia="宋体" w:cs="宋体"/>
          <w:color w:val="auto"/>
          <w:sz w:val="21"/>
          <w:szCs w:val="21"/>
          <w:highlight w:val="none"/>
          <w:lang w:val="en-US" w:eastAsia="zh"/>
        </w:rPr>
        <w:t>ABBulletin系列、ABBA系列及CM-ENS系列、西门子SIRIUS系列</w:t>
      </w:r>
      <w:r>
        <w:rPr>
          <w:rFonts w:hint="eastAsia" w:ascii="宋体" w:hAnsi="宋体" w:eastAsia="宋体" w:cs="宋体"/>
          <w:color w:val="auto"/>
          <w:sz w:val="21"/>
          <w:szCs w:val="21"/>
          <w:highlight w:val="none"/>
          <w:lang w:val="en-US" w:eastAsia="zh-CN"/>
        </w:rPr>
        <w:t>，变频器控制系统须安装有容量匹配的变频器专用的输入滤波器及变频器专用输出滤波器和电抗器，防止变频器谐波注入供电系统及厂区其他用电设备和仪表，同时消除变频器输出端至电机的谐波和电缆分布电容的影响，确保变频器的输入、输出总谐波电流、电压均不大于百分之五。变频器应带RS-485通讯端口，并提供通讯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面板上需有电源指示、设备运行/停止、故障报警与运行电压、电流、频率等信号显示，调频旋钮应安装于控制柜面板上，以便调频操作。柜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泵应能实现就地/远程控制切换功能。就地控制用于现场潜水轴流泵的“启/停”操作，同时具备调频旋钮调整频率运行和变频器控制面板按钮调整频率，并且能够正确反馈变频器的运行频率至中控室上位机；远程控制可在中控室上位机上实现对潜水轴流泵的“启/停”操作，同时具备通过调整4~20mADC输入进行频率控制，并且能够正确反馈变频器的运行频率。在进行就地和远程控制的转换时，不需要进行变频器的设置，均能满足各自的控制功能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柜应提供电压、电流变送器，变送器输出4~20mA信号，反映变频器运行的电压和电流值。控制系统要求必须有电气短路、过流过载、缺相等保护装置，结合水泵自带的保护装置一起设计，并有相应的故障报警、紧急停机及复位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主要零部件材质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（1）大型潜水离心泵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泵体：316L不锈钢或等同；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泵轴：不锈钢ASTM431或等同；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O型圈：腈橡胶；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机械密封：耐腐蚀烧结碳化钨（WCCR）或等同；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轴承：SKF、FAG/INA或等同；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螺栓、螺母：304不锈钢，水下为316L不锈钢或等同；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导杆：316L不锈钢；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吊链：316L不锈钢。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（2）中小型潜水离心泵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泵壳：316L不锈钢或等同；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主轴：不锈钢ASTM431或等同；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机械密封：耐腐蚀烧结碳化钨（WCCR）或等同；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螺栓、螺母、垫圈：304不锈钢，水下为316L不锈钢或等同；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导杆：316L不锈钢或等同；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提升链：316L不锈钢或等同。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（3）潜水搅拌器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高速搅拌器电机壳体：316L不锈钢或等同；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低速搅拌器电机壳体：316L不锈钢或等同；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机轴：ASTM420或等同；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高、中速搅拌器叶轮：316L不锈钢或等同；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低速搅拌器叶轮：316L不锈钢或等同；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轴承：SKF、FAG/INA或等同；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机械密封：碳化钨或等同；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导轨/支架：316L不锈钢或等同；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提升装置/吊链（或钢丝绳）：316L不锈钢或等同；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紧固件：316L不锈钢或等同。</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（4）回流污泥泵</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①泵壳、电机壳：316L不锈钢或等同</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②叶片：不锈钢EN102831.4408</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③主轴：不锈钢431</w:t>
      </w:r>
      <w:r>
        <w:rPr>
          <w:rFonts w:hint="eastAsia" w:ascii="宋体" w:hAnsi="宋体" w:eastAsia="宋体" w:cs="宋体"/>
          <w:color w:val="auto"/>
          <w:sz w:val="21"/>
          <w:szCs w:val="21"/>
          <w:highlight w:val="none"/>
          <w:lang w:val="en-US" w:eastAsia="zh-CN"/>
        </w:rPr>
        <w:t>或等同</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④机械密封：耐腐蚀烧结碳化钨（WCCR）或等同</w:t>
      </w:r>
    </w:p>
    <w:p>
      <w:pPr>
        <w:numPr>
          <w:ilvl w:val="0"/>
          <w:numId w:val="0"/>
        </w:numPr>
        <w:autoSpaceDE/>
        <w:autoSpaceDN/>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⑤静密封材料：丁腈橡胶</w:t>
      </w:r>
    </w:p>
    <w:p>
      <w:pPr>
        <w:numPr>
          <w:ilvl w:val="0"/>
          <w:numId w:val="0"/>
        </w:numPr>
        <w:autoSpaceDE/>
        <w:autoSpaceDN/>
        <w:snapToGrid w:val="0"/>
        <w:spacing w:line="360" w:lineRule="auto"/>
        <w:ind w:firstLine="420" w:firstLineChars="200"/>
        <w:rPr>
          <w:rFonts w:hint="eastAsia"/>
          <w:lang w:val="en-US" w:eastAsia="zh-CN"/>
        </w:rPr>
      </w:pPr>
      <w:r>
        <w:rPr>
          <w:rFonts w:hint="eastAsia" w:ascii="宋体" w:hAnsi="宋体" w:eastAsia="宋体" w:cs="宋体"/>
          <w:color w:val="auto"/>
          <w:szCs w:val="21"/>
          <w:highlight w:val="none"/>
          <w:lang w:val="en-US" w:eastAsia="zh-CN"/>
        </w:rPr>
        <w:t>⑥安装提升系统：316L不锈钢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3.2.8.细格栅系统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3.2.8.1.内进流细格栅机主要技术参数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安装位置：细格栅渠（室外露天）；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接触介质：城市生活污水；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工作制：24h/d连续运行或间隙运行；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渠道宽度：1850mm；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渠道深度：1550mm；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过滤精度（孔径）：≤5mm；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分离效率：90～97%；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驱动装置：SEW、NORD、FLENDER或同等品牌产品；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电机功率：1.5kW；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电机绝缘等级：F；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供电电源：380V，3F，50Hz。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主要结构：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内进流细格栅机主要由主体框架、旋转孔板及链条、驱动单元、溜槽（集渣槽）、引水板、反冲洗喷淋系统、冲洗水泵、冲洗水箱、控制柜等组成。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从中心流入，两侧及底部流出，过滤面积大，水头损失小。栅板间有橡胶密封，垃圾被堵在内腔，不会产生栅渣翻越现象。过滤栅网板摩擦力小，耐磨，制成的网板不易堵塞，易清理过滤栅网板网孔为5mm排列均匀的圆孔，可以有效去除其他类型格栅所不能清除的毛发絮状杂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封闭式牵引链与设备两侧的导轨形成封闭的传动链，可防止杂物进入将牵引链卡死，运行平稳可靠。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内进流细格栅机使用寿命整机平均无故障工作时间不应少于8000h，正常使用寿命不应少于10年；孔板再生率不小于85%。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3.2.8.2.螺旋压榨机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安装位置：粗格栅渠面（室外露天）；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接触介质：城市生活污水栅渣；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工作制：24h/d连续运行或间隙运行；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螺旋直径：D=350mm；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驱动装置：SEW、NORD、FLENDER或同等品牌产品；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电机功率：2.2kW；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电机绝缘等级：F；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供电电源：380V，3F，50Hz。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（1）主要构造及特点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螺旋压榨机主要由驱动装置、进料斗、压榨管、带轴螺旋叶片、过滤筒、集水槽、出渣管、清洗水管路、排出水管路等组成。驱动装置带动有轴螺旋旋转，对进入螺旋的栅渣进行输送，以及将栅渣沿出渣管实行推出过程，完成压榨、脱水，并将压榨脱水后的栅渣落入垃圾小车（或垃圾筒）内，废液从机体底部的栅条中流进集水槽后排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②螺旋压榨机的进料斗向上扩口，以接纳溜槽的卸料。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③螺旋压榨机的进料口和出料口符合以下要求：进料与溜槽衔接，出料应排入垃圾小车。整个接口应采用全封闭连接，并具有优良的密封性能，以确保栅渣、废水、臭味不会从机壳中漏出。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螺旋压榨机卸料口距地面高于1.2m的，由投标人提供配套的落料方管，落料方管据地面1.2m，方管采用316L不锈钢材质，板厚5mm。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④机架与输送槽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架采用316L不锈钢制造，机架有型钢支撑固定在混凝土的土建基础上。螺旋输送槽采用316L不锈钢制造，厚度大于5mm，制成U型断面，除进料口敞开外，其余部分沿螺旋槽加平盖封闭。螺旋压榨机槽与螺旋的间隙不大于4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⑤螺旋叶片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作输送用的螺旋叶片是有轴结构形式，螺旋叶片采用316L不锈钢材料，厚度不低于16mm，焊接后的螺旋体具有足够的强度与刚度。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⑥挤压与输送出料管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挤压与输送出料管采用316L不锈钢管，管材厚度不低于5mm，管与管应采用法兰连接，管道转角处有足够的圆弧过渡，以避免污物堵塞。</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管与法兰的连接采用连续焊接工艺，安装后不运行产生渗漏现象。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⑦自复位过力矩保护装置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螺旋压榨机驱动装置设置机械式自复位过力矩保护装置。驱动电机防护等级为IP55。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电源为380V、3PH、50Hz，电机功率大于最大实耗功率10%，电机转速不大于1450r/min。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（2）为了使螺旋叶片和管体在工作时避免相互产生碰撞、发出声响，螺旋叶片和外壳之间衬有聚氨基甲酸乙醇板。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螺旋压榨机和细格栅同时工作，细格栅机停止工作后5～10分钟后（具体时间可根据现场情况调整），螺旋压榨机才停止工作，保证螺旋体内的废渣能清除干净。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渠道闸门主要技术参数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①门框、门架结构牢固合理，能承受活动载荷，门框保证在受到启闭机重力和启闭力反作用力时不变形。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②门体加工成方形板，在其迎水面用钢板焊接“井”字形加强筋。确保了门体的不变形。闸门为暗杆式启闭，在门体上部的重垂线部位设置启闭螺母，留有丝杆通道，保证闸门平稳地升降。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③止水材料采用EPDM橡胶产品，此产品止水效果好、耐腐蚀、抗老化。用钢板压条和螺栓把止水橡胶固定在门框边上。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④螺杆采用圆钢精加工而成，其螺纹精度达7e级标准，保证了与启闭螺母的密切配合。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⑤启闭机采用外螺纹不锈钢螺杆启闭，润滑条件好，便于检修和维护，螺杆材质为1Cr13不锈钢。承重螺母材质应不同于螺杆（采用铜合金或等同材质）。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⑥齿轮箱应为全密封，油脂润滑。不必松开止推轴承或停止使用就可以在打开齿轮箱盖进行检查或拆卸。外壳应具有防捶击保护功能。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（2）供货范围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①装配完整的渠道闸门/插板闸门，主要包括闸板、门框、底座、槽梁、螺杆。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②手电两用启闭机、控制箱及安装支柱或支架。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③安装所需连接件、紧固件、螺栓件等。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（3）启闭机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①主要结构及性能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启闭机采用外螺纹不锈钢螺杆启闭，润滑条件好，便于检修和维护，螺杆材质采用1Cr13不锈钢。承重螺母材质应不同于螺杆（采用铜合金或等同材质）。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齿轮箱应为全密封，油脂润滑。不必松开止推轴承或停止使用就可以在打开齿轮箱盖进行检查或拆卸。外壳应具有防捶击保护功能。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电动装置应配有离合器和手轮，便于手动操作。采用电子数字显示，并支持开度信号通过模拟量输出至PLC。超负荷停机保护，上下行程止动限位，手电切换机构自动切断电源。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②电控系统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电两用启闭机需配有现场控制箱，控制箱采用2mm厚的304不锈钢制作，表面抛光处理。箱门采用双层结构，其中外层箱门锁的锁芯要具有防水功能，控制按钮布置于内箱门上。控制箱防护等级为IP65。控制箱主要电气元器件要求在设备参考品牌汇总表的品牌要求范围内（如果提供同等或以上品牌需在供货前出具相应的证明材料并经招标人同意后方可供货），其中接触器和继电器的寿命不小于100万次（每对触点开合次数），继电器带运行指示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应该有闸门启闭机开阀、关阀、停止按钮及紧急停止按钮，有通电、运行、开到位、关到位、停止、故障显示等，并按行业要求配置指示灯颜色，以上反馈信号均须提供无源接点至端子排，以便自控系统接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主要零部件材质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（1）内进流细格栅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主体材质：316L不锈钢或等同；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紧固件：316L不锈钢或等同。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（2）螺旋压榨机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螺旋输送槽：316L不锈钢或等同；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进出料口：316L不锈钢或等同；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螺栓、螺母和垫圈：316L不锈钢或等同；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螺旋体：含锰不锈钢；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耐磨衬圈：</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聚四氟乙烯（或同等耐磨性能的非金属材料）；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罩盖：316L不锈钢或等同；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栅渣垂直输送管：316L不锈钢或等同。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（3）渠道闸门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闸板、门框、底板、座板、上槽梁：316L不锈钢或等同；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导轨板：316L不锈钢或等同；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密封圈：EPDM橡胶密封；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螺杆：1Cr13或等同；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螺杆螺母：铜合金或等同。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3.2.9.曝气沉砂池系统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链板式刮砂机主要技术参数；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安装位置：曝气沉砂池（室外露天）；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接触介质：城市生活污水；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工作制：24h/d连续运行；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行走速度：1.2m/min；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驱动装置：SEW、NORD、FLENDER或同等品牌产品；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传动装置：SEW、NORD、FLENDER或同等品牌产品；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电机功率：0.375kw；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绝缘等级：F；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工作电压：380V、3F、50Hz。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链板式刮砂机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链板式刮砂机主要用于污水处理厂的平流沉淀池中，将沉砂池底部的沉砂刮至集砂斗中，同时能将液面浮渣撇除。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板式刮砂机必须满足曝气沉砂池的排砂需求，并保证吸砂时无积砂死角；链板式刮砂机可根据实际工况作间歇运行，同时保证必要时作连续运行。整台设备运转平稳正常，不冲击，不振动和不正常的响声；链板式刮砂机无故障工作时间不小于10000小时，整机使用寿命不小于15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（2）刮砂板链条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牵引链采用316L不锈钢制造，链条的允许工作荷载≥14KN，保证强度≥29KN，破断强度大于34KN。</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节形式为销合链（板式链或凹口式链）的形式，整体成形，销轴孔和加肋侧板必须精密制造，保证精度要求。销合链（板式链或凹口式链）与链轮啮合的承压部分具有足够的硬度和耐磨措施，在设计工况下保证链节的连续工作寿命不小于15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传动装置安装在池顶平台上，由异步感应电机、摆线针轮减速机、滚子链、主链轮以及机座等组成。该传动装置传递效率高，扭矩大，运行平稳，噪音低。在减速机出轴链轮中设置有安全剪切销，从而实现机械过载保护功能。电机减速装置具有足够的输出转矩，其额定转矩大于刮板刮泥转矩的1.25倍。套筒滚子链的设计已考虑在最大载荷下，仍可安全可靠运行，其安全系数不少于5。并设置张紧轮，避免了链条过度松弛而影响传动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（4）从动轮（轴）装置共有2组，主要由从动轮轴、导向滚轮、轴承座以及轴承座架等组成。导向滚轮采用ZG35铸钢浇铸并精加工而成，轴承的润滑采用压力清水润滑形式。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主动轮（轴）装置主要由主动轮轴、被动链轮、驱动主动链轮、轴承座以及轴承座架等组成，传动链轮采用ZG35#铸钢精密铸造，并精加工而成。由于设备一侧输送链倾斜其重力已使输送链具有一定的张紧力，但为了输送链更可靠地运行，设备应增设了张紧轮（轴）总成。该装置采用螺旋式张紧形式，主要由螺旋张紧装置、张紧轮轴、张紧导轮等部件组成。可以很方便也进行输送链的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输送链与刮板采用螺栓联接，输送链采用ZG35#铸钢经失蜡浇铸方式精密铸造而成。节距150mm，每隔1800mm安装一块刮板。输送链的节距累积误差不大于0.5/1000mm，单排输送链的计算拉应力是最大张力的5倍。刮板采用不锈钢钢板折边加工而成，刮板的有效高度300mm，刮板在全长范围内具有足够的强度，遇最大刮泥阻力时刮板不会发生变形现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池底铺设两根钢轨，以减轻刮板运行时的阻力，其与刮板底部的耐磨块接触。刮板两侧与托架以及刮板底部与钢轨滑动处均设置有可更换的耐磨块，该耐磨块采用耐腐蚀的不锈钢材质制造。在池上部两边设置有托架作刮板的承重，并可作为刮板的滑动导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罗茨风机主要技术参数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工作制：24h/d连续运行或间歇运行；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进口流量：560m3/h；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出口压力：4.5mH2O；</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冷却方式：风冷；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噪音：距机组1米处≤75db（A）；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风机效率：≥80%；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电机功率：≤15kw；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电机绝缘等级：F；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供电电源：380V、3F、50Hz。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（1）罗茨风机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罗茨风机主要由气自由缸和端盖、转子、轴、轴承、同步齿轮等组成，结构简单，制造方便。气缸和端盖用灰铸铁铸成，经精密加工而成。转子用球墨铸铁制造，断面型线有渐开线型、圆弧型和摆线型。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叶轮的设计须有足够的强度和刚度，叶轮和轴的组合部件等转动件均应分别进行静、动平衡试验合格。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罗茨风机必须采用减震固定装置，可包括基础减振设计、出风管减振设计，机组振速不大于11.2mm/s。</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罗茨风机采用联轴器直联驱动或皮带传动。如果采用直联驱动，需配备安全防护罩；如果采用皮带传动，则应配置皮带自动张紧装置及皮带安全防护罩。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电气控制系统要求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①电控箱（柜）技术要求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每组曝气沉砂池的系统设备采用一套系统集成控制箱，负责链板式刮砂机、电动撇渣器、砂水分离器、吸砂泵、罗茨风机的配电与运行控制，另根据设备操作运行需要，也可针对具体设备设置现场控制箱。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控制箱（柜）室外放置于曝气沉砂池池面上，防护等级IP65。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控制箱采用2mm厚的304不锈钢制作，表面抛光处理。箱门采用双层结构，其中外层箱门锁的锁芯要具有防水功能，控制按钮布置于内箱门上。控制箱内应有防凝露的电加热单元和通风散热装置。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控制箱（柜）主要电气元器件（包括变频器）须为</w:t>
      </w:r>
      <w:r>
        <w:rPr>
          <w:rFonts w:hint="eastAsia" w:ascii="宋体" w:hAnsi="宋体" w:eastAsia="宋体" w:cs="宋体"/>
          <w:color w:val="auto"/>
          <w:sz w:val="21"/>
          <w:szCs w:val="21"/>
          <w:highlight w:val="none"/>
          <w:lang w:val="en-US" w:eastAsia="zh"/>
        </w:rPr>
        <w:t>AB Bulletin 系列、ABB A系列及 CM-ENS 系列、西门子 SIRIUS 系列</w:t>
      </w:r>
      <w:r>
        <w:rPr>
          <w:rFonts w:hint="eastAsia" w:ascii="宋体" w:hAnsi="宋体" w:eastAsia="宋体" w:cs="宋体"/>
          <w:color w:val="auto"/>
          <w:sz w:val="21"/>
          <w:szCs w:val="21"/>
          <w:highlight w:val="none"/>
          <w:lang w:val="en-US" w:eastAsia="zh-CN"/>
        </w:rPr>
        <w:t>，其中接触器和继电器的寿命不小于100万次（每对触点开合次数），继电器自带运行指示灯。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②控制系统技术要求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链板式刮砂机、电动撇渣器、吸砂泵、罗茨风机、砂水分离器都需具有手动、自动运行切换功能。手动运行主要用于链板式刮砂机、电动撇渣器、吸砂泵、罗茨风机、砂水分离“启/停”的运行控制，自动控制由PLC实现，上述设备的所有信号通过以太网接口上传至中控上位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PLC系统的CPU采用配置不低西门子1214c，并配备以太网模块，投标人必须提供变量地址表，PLC程序不设置密码，或向招标人提交密码。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自动运行模式下，链板式刮砂机、电动撇渣器、吸砂泵、罗茨风机、砂水分离器系统可自动运行，各系统间实现联动控制，其间隔时间、持续运行时间可调。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系统要求有电气短路、过流过载、缺相等保护装置，并有相应的故障报警、紧急停机及复位装置。内箱门控制面板应有电源、设备运行/停止、故障报警等信号显示。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吸砂泵主要技术参数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接触介质：曝气沉砂池砂渣；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工作制：24h/d连续运行或间歇运行；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处理量：Q=</w:t>
      </w:r>
      <w:r>
        <w:rPr>
          <w:rFonts w:hint="default" w:ascii="Times New Roman" w:hAnsi="Times New Roman" w:eastAsia="宋体" w:cs="Times New Roman"/>
          <w:bCs/>
          <w:i w:val="0"/>
          <w:iCs w:val="0"/>
          <w:color w:val="auto"/>
          <w:kern w:val="2"/>
          <w:sz w:val="20"/>
          <w:szCs w:val="20"/>
          <w:highlight w:val="none"/>
          <w:u w:val="none"/>
          <w:lang w:val="en-US" w:eastAsia="zh-CN" w:bidi="ar"/>
        </w:rPr>
        <w:t>22m</w:t>
      </w:r>
      <w:r>
        <w:rPr>
          <w:rFonts w:hint="default" w:ascii="Times New Roman" w:hAnsi="Times New Roman" w:eastAsia="宋体" w:cs="Times New Roman"/>
          <w:bCs/>
          <w:i w:val="0"/>
          <w:iCs w:val="0"/>
          <w:color w:val="auto"/>
          <w:kern w:val="2"/>
          <w:sz w:val="20"/>
          <w:szCs w:val="20"/>
          <w:highlight w:val="none"/>
          <w:u w:val="none"/>
          <w:vertAlign w:val="superscript"/>
          <w:lang w:val="en-US" w:eastAsia="zh-CN" w:bidi="ar"/>
        </w:rPr>
        <w:t>3</w:t>
      </w:r>
      <w:r>
        <w:rPr>
          <w:rFonts w:hint="default" w:ascii="Times New Roman" w:hAnsi="Times New Roman" w:eastAsia="宋体" w:cs="Times New Roman"/>
          <w:bCs/>
          <w:i w:val="0"/>
          <w:iCs w:val="0"/>
          <w:color w:val="auto"/>
          <w:kern w:val="2"/>
          <w:sz w:val="20"/>
          <w:szCs w:val="20"/>
          <w:highlight w:val="none"/>
          <w:u w:val="none"/>
          <w:lang w:val="en-US" w:eastAsia="zh-CN" w:bidi="ar"/>
        </w:rPr>
        <w:t>/h</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扬程：7m；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功率：1.4kW；</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电机防护等级：IP65；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电机绝缘等级：F；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工作电源：380V、3F、50Hz；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吸砂泵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吸砂泵的作用是将刮砂机刮入贮砂坑的砂提升送至砂水分离器，吸砂泵是耐磨耐腐蚀、无堵塞型的砂浆泵，通过颗粒＞50mm，并且具备自动反冲洗功能。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工作压力高、流量大，能够输送含砂量较高的液体。采用特殊结构的泵，能够输出均匀流量，克服现有活塞泵或柱塞泵流量不均的缺陷。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砂浆泵采用机械传动，结构简单紧凑，易损件廉价且更换快捷方便，维保容易并且成本低。缸筒及活塞材质经历了严格工业考核，工作可靠，寿命长。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砂浆泵须有强大的耐磨性，过流部件全部采用钢衬超高分子量聚乙烯（UHMW-PE）制造。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生化池总进水及配水调节堰门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节堰门采用应具有结构坚固、耐磨耐蚀性强、安装使用方便的特点。铸铁支座呈封闭式柱状结构，用以承受启闭闸门时的重力或支反力，内装承重轴承，外型精美。调节堰门的灰口铸铁材料质地细密无缺陷，应做好沥青防腐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堰板、堰框按最大工作水头设计其拉伸、压缩和剪切强度的安全系数不小于5，挠度不大于构件长度的1/360。堰板、堰框在厚度上留出2mm的腐蚀裕度。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门架按最大工作水头设计，其拉伸、压缩和剪切强度的安全系数不小于5。在堰门开启到最高位置时，其门架的平台高于堰板的顶端。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密封座置于堰板上，用沉头螺钉紧固。在启闭堰板过程中，不能变形和松动。密封座工作面其表面粗糙度不大于3.2um。密封座工作表面没有划痕、裂缝等缺陷。密封座的板厚不小于5mm。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启闭机采用外螺纹不锈钢螺杆启闭，润滑条件好，便于检修和维护，螺杆材质为1Cr13。承重螺母材质应不同于螺杆。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齿轮箱应为全密封，油脂润滑。不必松开止推轴承或停止使用就可以在打开齿轮箱盖进行检查或拆卸。外壳应具有防捶击保护功能。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调节阀门应有电动驱动装置，来控制阀门进行调节，接受控制系统4～20mADC信号（招标人提供的PLC站至调节阀门控制箱）转换为步进电机的角行程信号，电机转动，由齿轮，杠杆，或者齿轮加杠杆，带动阀杆运作，实现直行程或角行程进行自动控制闸门的开度，同时闸门开度信号以4～20mADC反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调节电动驱动装置应能适应户外坏境，防护等级不低于IP65，同时具有手动调节阀门开度装置。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联通阀圆闸门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蝶阀应满足AWWAC504标准或与之等效的其它标准的要求，蝶阀主要由阀体、阀盘、阀轴、阀座和传动装置组成。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（1）主要技术参数要求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适用温度：10～40℃；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适用介质：城市生活污水；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公称压力：1.0Mpa；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连接方式：双法兰连接；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以手轮（包括驱动装置的手轮）或扳手操作的蝶阀，当面向手轮或扳手时，顺时针方向转动手轮或扳手阀门应为关闭。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手轮的轮缘上要有明显的指示蝶板关闭方向的箭头和“关”字，且“关”字应放在箭头的前端，也可标上开、关两向的箭头和“开”、“关”字样。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扳手操作的蝶阀全开时扳手应与管路轴线平行，并在扳手或标牌上标示“开”、“关”字样。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所有蝶阀都应有表示蝶板位置的指示机构和保证蝶板在全开和全关位置的限位机构。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精密准确的锥形销钉：增强防震保护，强化轴与蝶板的结合。可在现场更换。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精密准确的蝶板轮廓：防止“泡紧”关闭困难，确保最大程度见效扭矩，延长阀座寿命。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撑性轴密封：弹性材料与酚醛背衬环的紧密结合体，有效防止由于扭曲变形导致的轴泄漏。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可进行双向关闭。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阀瓣采用316L不锈钢材质制成，PDM（乙丙橡胶）。阀瓣的设计应力应能承受作用在关闭蝶阀上的全部压差，而所产生的工作应力不超过阀瓣使用材料的抗拉强度的1/5。阀瓣的厚度不得超过轴直径的2.25倍。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阀轴由316L不锈钢合金制成，阀轴采用化贯穿轴，确保阀门的强度、可靠性合阀板的精确定位。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阀轴穿过阀体的地方要有轴密封，采用“O”型圈密封。轴密封为可更换式，更换时不必移走阀轴。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（3）蝶阀驱动机构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驱动装置带动阀轴使阀盘产生90°旋转运动。每个蝶阀装配有可调机械限位装置。驱动装置上应配有位置指示器，以显示阀盘在各种开启度下的位置，指示器的读数应用百分数表示（0～100%），其最小分度为5%。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①手动驱动装置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手动驱动装置为完全密闭的齿轮传动，驱动装置的各个元件至少都能够抵抗手轮上100kg作用力产生的扭距并不被损坏。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②电动驱动装置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阀门的驱动机构应能适应潮湿的环境，保护等级不低于IP65，电动机工作电压为380V、50Hz、3相并带有开关装置。与阀门配套的电动操作机构由制造厂商在装箱之前装配并调节好，所有电动操作机构应装有扭距限制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电动操作机构应包括（但不局限于）：电动机、双向电磁启动器、行程开关、过扭距开关、空气加热器。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齿轮箱材料必须由铸铁制成，电机附件，法兰底座附件应整体浇铸而成。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电动阀门驱动机构上的电机的输出扭距要大于额定扭距的1.5倍以上。齿轮传动直接与电动机联接。整体机构被全部封闭，并在有润滑的条件下运行。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电动执行器的主电路为380VAC，50Hz，而二次控制电路采用220VAC，50Hz。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电动执行器采用双密封结构，以确保执行器能完全防尘和防潮。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驱动机构包括可调节扭距的装置或极限行程开关，极限行程开关在阀门位于全部打开位置或全部关闭位置，当正反传动方向上有障碍时，能切断电动机二次控制回路电源，扭距开关必须由制造厂安装，并满足最大操作扭距的计算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程开关都用齿轮转动的方法联接到传动机构上，并且任何时候都应与齿轮同步。该开关应是可调节型，并能被安装在阀门全开或全闭的极限行程位置上，所有在行程开关、扭距开关之间的电气联系等均由制造厂提供并留出外接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驱动机构上应带有一个手轮，以便可以手动操作，手轮将被连接到驱动机构上，并使其做到电动机转动时，手轮不转动、而手轮驱动时不致引起电机转子的转动，手轮与机构的啮合由外部操纵杆或自动离合器控制。如没有自动离合器，杠杆的作用应能与电机的动力分离。此时手轮上的动力将不传至电机，即电动失灵，可手动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行程限位机构：计数器型式采用大容量自净式触点组成，为机械式自净开关，触点采用铜—银复合材料。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过力矩保护装置：力矩碟簧可使蜗杆的轴向位移与输出轴所输出转矩成正比，保证与阀门实际所需转矩相同。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开度指示机构：机械开度指示能准确地反应开启位置，与阀门的工作行程严格保持同步。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手动—自动转换操作系统：电动装置上配有就地控制按钮装置，具有就地／远控操作机构，在就地位置上，可在电动装置上就地按钮控制，在远控位置上，可在远方完成阀门操作。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③现场控制箱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电动阀门需配置现场控制箱及安装立柱（支架）。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现场控制箱，尺寸520mm×400mm×250mm，304不锈钢制成，壁厚2mm，带观察窗，分内外箱结构，具通风散热措施，防护等级IP65，主要电气元器件为</w:t>
      </w:r>
      <w:r>
        <w:rPr>
          <w:rFonts w:hint="eastAsia" w:ascii="宋体" w:hAnsi="宋体" w:eastAsia="宋体" w:cs="宋体"/>
          <w:color w:val="auto"/>
          <w:sz w:val="21"/>
          <w:szCs w:val="21"/>
          <w:highlight w:val="none"/>
          <w:lang w:val="en-US" w:eastAsia="zh"/>
        </w:rPr>
        <w:t>AB Bulletin 系列、ABB A系列及 CM-ENS 系列、西门子 SIRIUS 系列</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控制箱内向操作面板具有信号显示、操作按钮功能。信号显示包括电源信号、故障信号、运行信号、阀门开行到位信号、阀门关闭到位信号等，并按行业要求配置指示灯颜色。操作按钮包括阀门开启操作、阀门关闭操作、阀门停止操作、故障复位等。反馈信号均须提供无源接点至端子排，以便自控系统接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节阀门应有电动驱动装置，来控制阀门进行调节，接受控制系统4～20mADC信号（招标人提供的PLC站至调节阀门控制箱）转换为步进电机的角行程信号，电机转动，由齿轮，杠杆，或者齿轮加杠杆，带动阀杆运作，实现直行程或角行程进行自动控制阀门的开度，同时阀门开度信号以4～20mADC反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调节阀电动驱动装置应能适应户外坏境，防护等级不低于IP65，同时具有手动调节阀门开度装置。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控制箱立柱高1100mm，304不锈钢制成。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主要零部件材质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（1）链板式刮砂机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机座：316L不锈钢或等同；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输送链节：316L不锈钢或等同；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传动链轮：316L不锈钢或等同；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传动导轮：316L不锈钢或等同；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牵引链：316L不锈钢或等同；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主（从动）轴：316L不锈钢或等同；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刮板：316L不锈钢或等同；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托架：316L不锈钢或等同；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水下结构件：316L不锈钢或等同；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紧固件：316L不锈钢或等同。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（2）罗茨风机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机壳：铸铁或等同；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端盖：铸铁或等同；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叶轮：球墨铸铁或同等材质；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轴：合金钢或同等材质；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齿轮：合金钢或同等材质。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（3）蝶阀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阀体：球墨铸铁；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阀座：EPDMNBRPTFE；</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阀瓣：316L不锈钢；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连接法兰及螺栓：316L不锈钢。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（4）调节堰门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门板：316L不锈钢或等同；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门框：316L不锈钢或等同；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导轨：316L不锈钢或等同；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螺杆：1Cr13或等同；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螺栓、螺母、螺钉地脚螺栓和销轴：316L不锈钢或等同。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3.2.10.综合池设备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3.2.10.1.耐磨污泥泵（污泥回流泵、剩余污泥泵、污泥输送泵）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（1）工作条件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污泥密度：</w:t>
      </w:r>
      <w:r>
        <w:rPr>
          <w:rFonts w:hint="eastAsia" w:ascii="宋体" w:hAnsi="宋体" w:eastAsia="宋体" w:cs="宋体"/>
          <w:color w:val="auto"/>
          <w:sz w:val="21"/>
          <w:szCs w:val="21"/>
          <w:highlight w:val="none"/>
          <w:lang w:val="en-US" w:eastAsia="zh-CN"/>
        </w:rPr>
        <w:t>1050.0kg/m</w:t>
      </w:r>
      <w:r>
        <w:rPr>
          <w:rFonts w:hint="eastAsia" w:ascii="宋体" w:hAnsi="宋体" w:eastAsia="宋体" w:cs="宋体"/>
          <w:color w:val="auto"/>
          <w:sz w:val="21"/>
          <w:szCs w:val="21"/>
          <w:highlight w:val="none"/>
          <w:vertAlign w:val="superscript"/>
          <w:lang w:val="en-US" w:eastAsia="zh-CN"/>
        </w:rPr>
        <w:t>3</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污泥粘度：不大于</w:t>
      </w:r>
      <w:r>
        <w:rPr>
          <w:rFonts w:hint="eastAsia" w:ascii="宋体" w:hAnsi="宋体" w:eastAsia="宋体" w:cs="宋体"/>
          <w:color w:val="auto"/>
          <w:sz w:val="21"/>
          <w:szCs w:val="21"/>
          <w:highlight w:val="none"/>
          <w:lang w:val="en-US" w:eastAsia="zh-CN"/>
        </w:rPr>
        <w:t>200.0mPas</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污泥含固率：不大于</w:t>
      </w:r>
      <w:r>
        <w:rPr>
          <w:rFonts w:hint="eastAsia" w:ascii="宋体" w:hAnsi="宋体" w:eastAsia="宋体" w:cs="宋体"/>
          <w:color w:val="auto"/>
          <w:sz w:val="21"/>
          <w:szCs w:val="21"/>
          <w:highlight w:val="none"/>
          <w:lang w:val="en-US" w:eastAsia="zh-CN"/>
        </w:rPr>
        <w:t>20</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（2）泵的结构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单级卧式离心泵，是专门输送含有颗粒物的流体、耐磨损的离心泵。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径向中开式泵壳，双泵壳结构。松开紧固螺栓，即可打开泵壳，方便更换内衬、维修、维护。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可更换的内衬，避免更换泵壳，降低更换成本。内衬材料为耐腐材质。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（3）驱动电机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驱动电机应适合电源</w:t>
      </w:r>
      <w:r>
        <w:rPr>
          <w:rFonts w:hint="eastAsia" w:ascii="宋体" w:hAnsi="宋体" w:eastAsia="宋体" w:cs="宋体"/>
          <w:color w:val="auto"/>
          <w:sz w:val="21"/>
          <w:szCs w:val="21"/>
          <w:highlight w:val="none"/>
          <w:lang w:val="en-US" w:eastAsia="zh-CN"/>
        </w:rPr>
        <w:t>3P</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380V</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50Hz</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F</w:t>
      </w:r>
      <w:r>
        <w:rPr>
          <w:rFonts w:hint="default" w:ascii="宋体" w:hAnsi="宋体" w:eastAsia="宋体" w:cs="宋体"/>
          <w:color w:val="auto"/>
          <w:sz w:val="21"/>
          <w:szCs w:val="21"/>
          <w:highlight w:val="none"/>
          <w:lang w:val="en-US" w:eastAsia="zh-CN"/>
        </w:rPr>
        <w:t>级绝缘、电机防护等级为</w:t>
      </w:r>
      <w:r>
        <w:rPr>
          <w:rFonts w:hint="eastAsia" w:ascii="宋体" w:hAnsi="宋体" w:eastAsia="宋体" w:cs="宋体"/>
          <w:color w:val="auto"/>
          <w:sz w:val="21"/>
          <w:szCs w:val="21"/>
          <w:highlight w:val="none"/>
          <w:lang w:val="en-US" w:eastAsia="zh-CN"/>
        </w:rPr>
        <w:t>IP55</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（4）主要材料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壳体：铸铁或等同</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内衬过流件材质：耐磨橡胶，模压制造，重量轻方便更换。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3.2.10.2.集水槽与堰板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堰板尺寸数据详见图纸。堰板与混凝土堰的固定采用不锈钢膨胀螺栓，中间垫橡胶垫。</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根据安装需要，堰板一端距底边适当距离处开有适当数量的小孔；膨胀螺栓通过开孔将堰板固定和调节。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集水槽与堰板及其所有的支撑件、紧固件的材料采用304不锈钢。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集水槽与堰板的板材厚度不低于5mm，投标人根据集水的工艺要求和安装条件复核集水槽与堰板的结构型式和材料厚度，保证堰板在有水和无水条件下均不变形。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不锈钢外表面为抛光不锈钢。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3.2.10.3.反应搅拌器（混凝池快速搅拌器和絮凝池慢速搅拌器）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）现场条件和性能参数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以设备清单规格及图纸为准。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（2）搅拌机应适合于污水或污泥混合液中运转，工作时，在水下任何部位都不得挂带纤维，保证池内各区搅拌均匀，整个池内不会有污泥沉淀，无死角。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（3）搅拌机需在全浸没条件下连续运行、间隙运行和长期停止状态后恢复运行，在整个运行过程中须运行平稳、无振动，无故障运行时间至少10000小时。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（4）搅拌机应能每日24小时连续运行，使用寿命不小于20年。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搅拌机轴功率应确保水体完全混合，保证整池平均流速≥230mm/s，电机功率应大于实际轴功率的1.2倍，并保证反应搅拌机在任何工况条件下不过载。以上各项目搅拌机功率及相关参数，投标人需配合招标人指定的设计单位进行二次设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投标人中标后需同</w:t>
      </w:r>
      <w:r>
        <w:rPr>
          <w:rFonts w:hint="eastAsia" w:ascii="宋体" w:hAnsi="宋体" w:eastAsia="宋体" w:cs="宋体"/>
          <w:color w:val="auto"/>
          <w:sz w:val="21"/>
          <w:szCs w:val="21"/>
          <w:highlight w:val="none"/>
          <w:lang w:val="en-US" w:eastAsia="zh"/>
        </w:rPr>
        <w:t>技术服务</w:t>
      </w:r>
      <w:r>
        <w:rPr>
          <w:rFonts w:hint="eastAsia" w:ascii="宋体" w:hAnsi="宋体" w:eastAsia="宋体" w:cs="宋体"/>
          <w:color w:val="auto"/>
          <w:sz w:val="21"/>
          <w:szCs w:val="21"/>
          <w:highlight w:val="none"/>
          <w:lang w:val="en-US" w:eastAsia="zh-CN"/>
        </w:rPr>
        <w:t>单位确认。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（6）搅拌机全部的重量受力应支撑在预埋板，均匀受力在混凝土结构上，加设中间支承装置，通过悬臂式立轴与齿轮减速电机连接，并通过齿轮减速电机传递扭矩。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桨叶应为高效率水翼桨叶，具有特低的剪切力，适合需要快速混合反应絮凝的工艺；桨叶由轮毂和三片叶片组成，轮毂与叶片采用螺栓连接，轴和轮毂采用止退键，出厂前均做静平衡，对于转速高的，需要做动平衡。反应搅拌器主轴应为整体设计，不能为分段结构，与减速机直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（8）电机减速机和安装基座安装固定在桥架上，F级绝缘，电源380V，3相，50Hz，防护等级IP55，每小时可启动至少12次。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（9）减速机与电机直连，减速机采用重载平行轴斜齿轮减速机，齿轮材料为合金钢，硬齿面，服务系数≥2.0，轴承额定寿命≥（L10）100000小时。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减速机、电机选用SEW、NORD、DODGE、FLENDER或具备同等质量的品牌产品。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变频器采用AB、ABB、西门子、LENZE、VACON或具备同等质量的品牌产品。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（10）主要材料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搅拌机主轴：</w:t>
      </w:r>
      <w:r>
        <w:rPr>
          <w:rFonts w:hint="eastAsia" w:ascii="宋体" w:hAnsi="宋体" w:eastAsia="宋体" w:cs="宋体"/>
          <w:color w:val="auto"/>
          <w:sz w:val="21"/>
          <w:szCs w:val="21"/>
          <w:highlight w:val="none"/>
          <w:lang w:val="en-US" w:eastAsia="zh"/>
        </w:rPr>
        <w:t>316L</w:t>
      </w:r>
      <w:r>
        <w:rPr>
          <w:rFonts w:hint="eastAsia" w:ascii="宋体" w:hAnsi="宋体" w:eastAsia="宋体" w:cs="宋体"/>
          <w:color w:val="auto"/>
          <w:sz w:val="21"/>
          <w:szCs w:val="21"/>
          <w:highlight w:val="none"/>
          <w:lang w:val="en-US" w:eastAsia="zh-CN"/>
        </w:rPr>
        <w:t>不锈钢或更优；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高效水翼型桨叶：</w:t>
      </w:r>
      <w:r>
        <w:rPr>
          <w:rFonts w:hint="eastAsia" w:ascii="宋体" w:hAnsi="宋体" w:eastAsia="宋体" w:cs="宋体"/>
          <w:color w:val="auto"/>
          <w:sz w:val="21"/>
          <w:szCs w:val="21"/>
          <w:highlight w:val="none"/>
          <w:lang w:val="en-US" w:eastAsia="zh"/>
        </w:rPr>
        <w:t>316L</w:t>
      </w:r>
      <w:r>
        <w:rPr>
          <w:rFonts w:hint="eastAsia" w:ascii="宋体" w:hAnsi="宋体" w:eastAsia="宋体" w:cs="宋体"/>
          <w:color w:val="auto"/>
          <w:sz w:val="21"/>
          <w:szCs w:val="21"/>
          <w:highlight w:val="none"/>
          <w:lang w:val="en-US" w:eastAsia="zh-CN"/>
        </w:rPr>
        <w:t>不锈钢或更优；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螺栓、螺母、垫圈：</w:t>
      </w:r>
      <w:r>
        <w:rPr>
          <w:rFonts w:hint="eastAsia" w:ascii="宋体" w:hAnsi="宋体" w:eastAsia="宋体" w:cs="宋体"/>
          <w:color w:val="auto"/>
          <w:sz w:val="21"/>
          <w:szCs w:val="21"/>
          <w:highlight w:val="none"/>
          <w:lang w:val="en-US" w:eastAsia="zh"/>
        </w:rPr>
        <w:t>316L</w:t>
      </w:r>
      <w:r>
        <w:rPr>
          <w:rFonts w:hint="eastAsia" w:ascii="宋体" w:hAnsi="宋体" w:eastAsia="宋体" w:cs="宋体"/>
          <w:color w:val="auto"/>
          <w:sz w:val="21"/>
          <w:szCs w:val="21"/>
          <w:highlight w:val="none"/>
          <w:lang w:val="en-US" w:eastAsia="zh-CN"/>
        </w:rPr>
        <w:t>不锈钢或更优；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基座：碳钢防腐或等同。</w:t>
      </w:r>
    </w:p>
    <w:p>
      <w:pPr>
        <w:numPr>
          <w:ilvl w:val="0"/>
          <w:numId w:val="0"/>
        </w:numPr>
        <w:autoSpaceDE/>
        <w:autoSpaceDN/>
        <w:adjustRightInd w:val="0"/>
        <w:snapToGrid w:val="0"/>
        <w:spacing w:line="360" w:lineRule="auto"/>
        <w:ind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3.2.10.4.斜管冲洗泵</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斜管冲洗泵对斜管冲洗，以清除粘附及沉积在斜管的污泥及杂质。</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冲洗水泵根据国际标准ISO2858所规定的性能和尺寸设计的，主要由泵体、泵盖、叶轮、轴、密封环、轴套及悬架轴承等组成。</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冲洗水泵的泵体和泵盖部分，是从叶轮背面处剖分的，即通常所说的后开门结构形式。增压泵优点是检修方便，检修时不动泵体、吸入管路、排出管路和电动机，只需拆下加长联轴器的中间联接件，即可退出转子部分进行检修。</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泵的壳体（即泵体和泵盖）构成泵的工作室。叶轮、轴和滚动轴承等为泵的转子。悬架轴承部件支撑着泵的转子部分，滚动轴承受泵的径向力和轴向力。</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为了平衡泵的轴向力，泵的叶轮前、后均需设有密封环，并在叶轮后盖板上设有平衡孔。如泵轴向力不大，叶轮背面可不必设置密封环和平衡孔。</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的轴向密封环是由填料压盖，填料环和填料等组成，以防止进气或大量漏水。泵的叶轮如有平衡，则装有软填料的空腔与叶轮吸入口相通，如叶轮入口处液体处于真空状态，则很容易沿着轴套表面进气，故在填料腔内装有填料环通过泵盖上的小孔，将泵室内压力水引至填料环进行密封。泵的叶轮如没有平衡孔，由于叶轮背面液体压力大于大气压，因而不存在漏气问题，故可不装填料环。</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为避免轴磨损，在轴通过填料腔的部位装有轴套保护。轴套与轴之间准有O型密封圈，以防止沿着配合表面进气或漏水。</w:t>
      </w:r>
    </w:p>
    <w:p>
      <w:pPr>
        <w:numPr>
          <w:ilvl w:val="0"/>
          <w:numId w:val="0"/>
        </w:num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泵的传动方式是通过加长弹性联轴器与电动机联接的，泵的旋转方向，从驱动端看，为顺时针方向旋转。</w:t>
      </w:r>
    </w:p>
    <w:p>
      <w:pPr>
        <w:numPr>
          <w:ilvl w:val="0"/>
          <w:numId w:val="0"/>
        </w:numPr>
        <w:autoSpaceDE/>
        <w:autoSpaceDN/>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冲洗水泵需配套提供304不锈钢冲洗水管、水泵前后蝶阀、柔性接头、止回阀、防堵塞冲洗喷头等管配件。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3.2.11.加药系统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3.2.11.1.絮凝剂制备和投加装置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（1）供货范围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成套的絮凝剂制备装置（含PLC、箱体、搅拌机、液位计、注水压力检测报警仪、防空穴料斗震动器、进水电接点压力表、进水转子流量计等）。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卸料泵；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成套的现场控制箱；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其他安装附配件；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操作平台。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采用三腔式絮凝剂制备装置，材质采用304不锈钢或更优，应有干粉储备斗、配药罐、储药罐或输药罐。干粉投加应有计量器，液体罐应有搅拌器、液位控制器，可根据液位控制器自动投配絮凝剂。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粉剂调配时，采用粉剂计量仪和射流混合器，使粉剂预先湿润，以避免集团成块，并以精确的药量进入配药罐中，制成0.3～0.5%的聚丙烯酰胺溶液。射流混合段需配备水压检测仪表，并与干粉储备斗下料阀门联动控制，以保证粉剂调配均匀，避免堵塞。</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絮凝剂投加量应有电磁流量计计量，流量计选用西门子、E+H、艾默生。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计量泵应为容积式单螺杆泵，输出流量可调，转子材质为304不锈钢，定子为合成丁腈橡胶。</w:t>
      </w:r>
      <w:r>
        <w:rPr>
          <w:rFonts w:hint="eastAsia" w:ascii="宋体" w:hAnsi="宋体" w:eastAsia="宋体" w:cs="宋体"/>
          <w:color w:val="auto"/>
          <w:sz w:val="21"/>
          <w:szCs w:val="21"/>
          <w:highlight w:val="none"/>
          <w:lang w:val="en-US" w:eastAsia="zh"/>
        </w:rPr>
        <w:t>螺杆泵</w:t>
      </w:r>
      <w:r>
        <w:rPr>
          <w:rFonts w:hint="eastAsia" w:ascii="宋体" w:hAnsi="宋体" w:eastAsia="宋体" w:cs="宋体"/>
          <w:color w:val="auto"/>
          <w:sz w:val="21"/>
          <w:szCs w:val="21"/>
          <w:highlight w:val="none"/>
          <w:lang w:val="en-US" w:eastAsia="zh-CN"/>
        </w:rPr>
        <w:t>选用耐驰、</w:t>
      </w:r>
      <w:r>
        <w:rPr>
          <w:rFonts w:hint="eastAsia" w:ascii="宋体" w:hAnsi="宋体" w:eastAsia="宋体" w:cs="宋体"/>
          <w:color w:val="auto"/>
          <w:sz w:val="21"/>
          <w:szCs w:val="21"/>
          <w:highlight w:val="none"/>
          <w:lang w:val="en-US" w:eastAsia="zh"/>
        </w:rPr>
        <w:t>莫诺、</w:t>
      </w:r>
      <w:r>
        <w:rPr>
          <w:rFonts w:hint="eastAsia" w:ascii="宋体" w:hAnsi="宋体" w:eastAsia="宋体" w:cs="宋体"/>
          <w:color w:val="auto"/>
          <w:sz w:val="21"/>
          <w:szCs w:val="21"/>
          <w:highlight w:val="none"/>
          <w:lang w:val="en-US" w:eastAsia="zh-CN"/>
        </w:rPr>
        <w:t>西派克。加药管道采用化工用UPVC（GB/T4219-2008）或ABS材质。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储液罐药剂经加药泵稀释装置把0.3～0.5%的絮凝剂稀释到0.1%~0.15%后，经管路送入离心机入口端与污泥混合絮凝。絮凝剂投加量应有电磁流量计计量,絮凝剂投配装置所有零配件材料需具防腐蚀性质。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每个絮凝剂制备装置配置一个操作平台，操作平台包括配套上下的钢梯。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操作平台根据设备的配置需要而配套设计，实现美观大方、安全实用。操作平台的支撑件采用成型的钢构件，304不锈钢材质。平台、楼梯走道板采用304不锈钢花纹钢板或铝合金花纹钢板制成，平台、楼梯护手采用304不锈钢材质制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3.2.11.2.PAC投加系统成套设备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（1）供货范围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成套的储药罐（带磁翻板液位计及超声波液位计）；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药液输送、计量泵；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成套的现场控制箱；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其他安装附配件。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①储药罐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储药罐采用PE材质，有足够的强度，能承受搅拌器24小时运行产生的拉力与应力。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设置有磁翻板液位计及超声波液位计，检测罐内液位高度，通过设置高、低液位与计量泵联锁控制。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储药罐设有进水管、出药管、溢流管、放空管，可通过螺纹接头与外管相接。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储药罐传动装置采用摆线针轮减速机，要求搅拌桨叶有合理转速，既能使除磷药剂混合均匀，又不产生过度的搅拌桨度。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搅拌桨叶、转动轴应为可防腐蚀的UPVC或外包耐磨耐蚀非金属材料的不锈钢316L材质，上下固定，能连续平稳运行不致产生晃动。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储药罐配置液位开关，与系统联动。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配备检修直爬梯，直爬梯根据设备的配置需要而配套设计，实现美观大方、安全实用。应采用成型的钢构件，304不锈钢材质。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②计量泵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隔膜计量泵选用普罗名特、米顿罗、格兰富、帕斯菲达</w:t>
      </w:r>
      <w:r>
        <w:rPr>
          <w:rFonts w:hint="eastAsia" w:ascii="宋体" w:hAnsi="宋体" w:eastAsia="宋体" w:cs="宋体"/>
          <w:color w:val="auto"/>
          <w:sz w:val="21"/>
          <w:szCs w:val="21"/>
          <w:highlight w:val="none"/>
          <w:lang w:val="en-US" w:eastAsia="zh"/>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最大流量（L/h）：满足设计要求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泵根据流量可选择为单缸单头或双头或三头定容式流量可调机械驱动隔膜泵，计量泵由液端、驱动装置、冲程调节旋钮和计量泵现场变频器、控制盘组成。泵的流量应可在10-100%范围内连续调节，采用变频调速器和手动冲程双调节方式进行流量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泵头材质：不低于PP或PVC；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精度应≤2%；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调节范围：10~100%；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液端材质应为PVC，PTFE复合隔膜。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隔膜正常工作寿命不低于13,000小时。进排液阀采用单向止回球阀或阀板，阀球为陶瓷制或Glass或更优，精度高，耐腐蚀，以保证计量泵的精度和平稳运行。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最大吸程：冲程调节：调节范围20~100%（推荐在30-100%范围内调节），设有精密冲程位置指示。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变频调速：电机的转速由安装在控制柜内的变频器调节，调节范围：25~50Hz。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计量泵为低噪音泵，且运行时轴承温度不高于65℃，无异常振动，各密封处没有泄漏。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加药计量泵在明显的部位标注电动机旋转方向指示。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每台计量泵出厂前在明显部位（泵体侧部）贴有铭牌，内容包括：制造厂商名称、厂标、产品型号、最大流量、最高排出压力、电动机功率、出厂系列号、出厂日期。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变频器控制面板可拆卸安装在控制柜面板上，具有中文操作菜单。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每台计量泵入口配有一个标定缓冲器，能标定额定压力下计量泵的流量。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③卸料泵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卸料泵为卧式离心化工泵，蜗壳、叶轮等与药剂接触部件应为氟塑料材质（或内衬氟塑料），具有耐磨、耐腐蚀性。卸料泵采用氟橡胶密封材料，电机的防护等级IP55，绝缘等级F级。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电磁流量计采用分体式，为电磁感应式，其内衬材料为聚四氟乙烯等针对乙酸钠具耐腐蚀性的材料，并能显示、记录瞬时流量及累计流量。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用途：显示、记录瞬时流量及累计流量。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安装位置：PAC加药管。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测量原理：法拉第电磁感应原理；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测量流量：0-1500L/h；测量精度：显示值的±0.5%；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重复性：显示值的±0.2%；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耐压等级：PN10；测量管径：DN32；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环境温度：0～60℃；介质温度：0～60℃；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电极材料：Ti，满足腐蚀性要求；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衬里材料：PTFE聚四氟乙烯；防护等级：IP68；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安装方式：管道法兰安装（DN标准），投标人提供连接法兰及螺栓。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显示表头：数字LED表头；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测量显示：瞬时流量、累计流量、时间日期；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输出信号：正反向有源4－20mA输出瞬时流量、正反向无源脉冲/频率输出流量累计值；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通讯接口：MODBUSRS485输出瞬时、累积流量值、报警及故障状态等。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提供传感器电缆、配对法兰（含螺栓、垫片）等安装附件，另外，当非金属衬里中未带导电元件实现流体接地时还应配套提供不锈钢接地环一对，若流量计参数信息通过专用芯片储存，须多配一块相同参数信息的备用芯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⑤液位计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精度：≤±1mm+0.17％；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测量范围：0-5m；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环境温度：-40°C-+60°C；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输出信号：4-20mA；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电源：DC：12-30V；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测量值分辨率：0.1%测量范围或2mm；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稳定性：十二个月≤0.1%，并可去除水面剧烈波动的干扰；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重复性：＜满量程0.1%；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安装方式：分体式安装。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⑥安全阀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安装于泵的出口管路上，当管路堵塞或人为误操作而使管道压力异常升高时，释放药液回药池，保护泵的隔膜和管道不被损坏。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阀体：UPVC；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O型圈：EPDM等同；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PTFE隔膜；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压力调节区间0-10bar。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⑦背压阀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采用背压可调膜片式背压阀，在系统管路中产生一定的背压，以确保计量槽精确输出并防止虹吸的发生，背压可调范围0～3bar，阀体材料采用UPVC，膜片材料采用EPDM复合膜。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⑧脉冲阻尼器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安装于泵的出口管路上，采用PVC或PP外壳，容积式。螺纹或法兰连接。预充压缩空气，标准预充压力为计量泵工作压力的60%。经均流器阻尼平滑后，残余脉冲可减至5%之内。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材质：壳体PVC或PP；</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容积：容积计量泵脉冲流量26倍或满足抵消95%脉动效果的合理容积；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耐压：10bar；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连接：PVC螺纹或法兰连接。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⑨Y型过滤器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采用透明PVC材质，及时去除药剂中的杂质，安装于泵吸口，防止溶液中不溶物引起阻塞，要求过滤网能清洗方便。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材质：UPVC；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安装方式：活接链接。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⑩膜片压力表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检测系统管路的运行压力，压力范围0～10bar，本体材质PVC，膜片材质采用EPDM，表内应充有硅油液体传压以真实反映管道压力。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⑪加药管道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加药管道采用化工用UPVC（GB/T4219-2008）或更好材质管道，投标人应结合图纸及运营需求合理设计加药间内系统管道管径。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3.2.11.3.乙酸钠投加系统成套设备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（1）供货范围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成套的储药罐（带磁翻板液位计及超声波液位计）；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药液输送、计量泵；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成套的现场控制箱；</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其他安装附配件。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（2）主要结构及性能要求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①储药罐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储药罐采用PE材质，应有足够的强度。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设置有磁翻板液位计及超声波液位计，检测罐内液位高度，通过设置高、低液位与计量泵联锁控制。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储药罐设有进水管、出药管、溢流管、放空管，可通过螺纹接头与外管相接。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配备检修直爬梯，直爬梯根据设备的配置需要而配套设计，实现美观大方、安全实用。应采用成型的钢构件，304不锈钢材质。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②计量泵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隔膜计量泵选用普罗名特、米顿罗、格兰富、帕斯菲达。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最大流量（L/h）：满足设计要求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泵根据流量可选择为单缸单头或双头或三头定容式流量可调机械驱动隔膜泵。隔膜泵泵体主要部件腔体、膜片需要具耐磨性、耐腐蚀性，具机械无级调速，可顺利实现输出流量的调节。另配套安全阀、缓冲器、背压阀、止回阀、过滤器等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泵的流量应可在10-100%范围内连续调节，采用变频调速器和手动冲程双调节方式进行流量调节。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泵头材质：不低于PP或PVC；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精度应≤2%。调节范围：10~100%；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液端材质应为PVC，PTFE复合隔膜。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隔膜正常工作寿命不低于13,000小时。进排液阀采用单向止回球阀或阀板，阀球为陶瓷制或Glass或更优，精度高，耐腐蚀，以保证计量泵的精度和平稳运行。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最大吸程：冲程调节：调节范围20~100%，设有精密冲程位置指示。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变频调速：电机的转速由安装在控制柜内的变频器调节，调节范围：25~50Hz。</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计量泵为低噪音泵，且运行时轴承温度不高于65℃，无异常振动，各密封处没有泄漏。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加药计量泵在明显的部位标注电动机旋转方向指示。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每台计量泵出厂前在明显部位（泵体侧部）贴有铭牌，内容包括：制造厂商名称、厂标、产品型号、最大流量、最高排出压力、电动机功率、出厂系列号、出厂日期。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变频器控制面板可拆卸安装在控制柜面板上，具有中文操作菜单。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每台计量泵入口配有一个标定缓冲器，能标定额定压力下计量泵的流量。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隔膜计量泵选用普罗名特、米顿罗、格兰富、帕斯菲达。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③卸料泵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卸料泵为卧式离心化工泵，蜗壳、叶轮等与药剂接触部件应为氟塑料材质（或内衬氟塑料），具有耐磨、耐腐蚀性。卸料泵采用氟橡胶密封材料，电机的防护等级IP55，绝缘等级F级。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④电磁流量计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电磁流量计采用分体式，为电磁感应式，其内衬材料为聚四氟乙烯等针对乙酸钠具耐腐蚀性的材料，并能显示、记录瞬时流量及累计流量。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1）用途：显示、记录瞬时流量及累计流量；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安装位置：PAC加药管。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2）传感器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测量原理：法拉第电磁感应原理；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测量流量：0-1500L/h；</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测量精度：显示值的±0.5%；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重复性：显示值的±0.2%；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耐压等级：PN10；测量管径：DN32；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环境温度：0～60℃；介质温度：0～60℃；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电极材料：Ti，满足腐蚀性要求；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衬里材料：PTFE聚四氟乙烯；防护等级：IP68；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安装方式：管道法兰安装（DN标准），投标人提供连接法兰及螺栓。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3）变送器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显示表头：数字LED表头；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测量显示：瞬时流量、累计流量、时间日期；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输出信号：正反向有源4－20mA输出瞬时流量、正反向无源脉冲/频率输出流量累计值；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通讯接口：MODBUSRS485输出瞬时、累积流量值、报警及故障状态等。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提供传感器电缆、配对法兰（含螺栓、垫片）等安装附件，另外，当非金属衬里中未带导电元件实现流体接地时还应配套提供不锈钢接地环一对，若流量计参数信息通过专用芯片储存，须多配一块相同参数信息的备用芯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⑤液位计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测量精度：≤±1mm+0.17％；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测量范围：0-5m；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环境温度：-40°C-+60°C；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输出信号：4-20mA；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电源：DC：12-30V；</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测量值分辨率：0.1%测量范围或2mm；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防护等级：IP68；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安装方式：分体式安装；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盲区：量程≤0.3米。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⑥安全阀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安装于泵的出口管路上，当管路堵塞或人为误操作而使管道压力异常升高时，释放药液回药池，保护泵的隔膜和管道不被损坏。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阀体：UPVC；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O型圈：EPDM等同；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PTFE隔膜；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压力调节区间0-10bar。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⑦背压阀</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采用背压可调膜片式背压阀，在系统管路中产生一定的背压，以确保计量槽精确输出并防止虹吸的发生，背压可调范围0～3bar，阀体材料采用UPVC，膜片材料采用EPDM复合膜。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⑧脉冲阻尼器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安装于泵的出口管路上，采用PVC或PP外壳，容积式。螺纹或法兰连接。预充压缩空气，标准预充压力为计量泵工作压力的60%。经均流器阻尼平滑后，残余脉冲可减至5%之内。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材质：壳体PVC或PP；</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容积：容积计量泵脉冲流量26倍或满足抵消95%脉动效果的合理容积；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耐压：10bar；</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连接：PVC螺纹或法兰连接。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⑨Y型过滤器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采用透明PVC材质，及时去除药剂中的杂质，安装于泵吸口，防止溶液中不溶物引起阻塞，要求过滤网能清洗方便。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材质：UPVC；</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安装方式：活接链接。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⑩膜片压力表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检测系统管路的运行压力，压力范围0～10bar，本体材质PVC，膜片材质采用EPDM，表内应充有硅油液体传压以真实反映管道压力。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⑪加药管道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加药管道采用化工用UPVC（GB/T4219-2008）或更好材质管道，投标人应结合图纸及运营需求合理设计加药间内系统管道管径。</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3.2.11.4.电气控制系统要求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酸钠加药系统、PAC加药系统、絮凝剂制备和投加装置各个投加系统设置一个现场控制箱，控制系统设备、电机、仪器仪表（供电）的开关、起停操作。电控箱箱体为304不锈钢，控制箱室内放置，防护等级IP55控制柜内应有防凝露的电加热单元、通风散热装置，并带防雷保护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控制箱主要电气元器件须为</w:t>
      </w:r>
      <w:r>
        <w:rPr>
          <w:rFonts w:hint="eastAsia" w:ascii="宋体" w:hAnsi="宋体" w:eastAsia="宋体" w:cs="宋体"/>
          <w:color w:val="auto"/>
          <w:sz w:val="21"/>
          <w:szCs w:val="21"/>
          <w:highlight w:val="none"/>
          <w:lang w:val="en-US" w:eastAsia="zh"/>
        </w:rPr>
        <w:t>AB Bulletin 系列、ABB A系列及 CM-ENS 系列、西门子 SIRIUS 系列产品</w:t>
      </w:r>
      <w:r>
        <w:rPr>
          <w:rFonts w:hint="eastAsia" w:ascii="宋体" w:hAnsi="宋体" w:eastAsia="宋体" w:cs="宋体"/>
          <w:color w:val="auto"/>
          <w:sz w:val="21"/>
          <w:szCs w:val="21"/>
          <w:highlight w:val="none"/>
          <w:lang w:val="en-US" w:eastAsia="zh-CN"/>
        </w:rPr>
        <w:t>，其中接触器和继电器的寿命不低于100万次（每对触点开合次数）。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控制箱具有现场/远程、启/停转换功能，隔膜泵运行、停止或故障显示，储药罐高、低液位报警，储药罐低液位开关与隔膜泵实现安全联锁，低液位时自动停泵。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酸钠加药系统、PAC加药系统、絮凝剂制备和投加装置的控制信号（包括但不限于设备工作与故障、起停操作、瞬时流量与累积流量等）需上传至投标人提供的磁混凝系统设备的PLC柜，再上传至污水处理厂中控上位机。其中的PAC加药系统设备需与磁混凝系统设备实现联动，满足磁混凝系统设备的加药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color w:val="auto"/>
          <w:highlight w:val="none"/>
          <w:lang w:val="en-US" w:eastAsia="zh-CN"/>
        </w:rPr>
      </w:pPr>
      <w:r>
        <w:rPr>
          <w:rFonts w:hint="eastAsia"/>
          <w:b/>
          <w:bCs/>
          <w:color w:val="auto"/>
          <w:highlight w:val="none"/>
          <w:lang w:val="en-US" w:eastAsia="zh-CN"/>
        </w:rPr>
        <w:t>第四节 设备安装、调试及移交要求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4.1.设备安装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 总的要求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（1）安装单位应具有</w:t>
      </w:r>
      <w:r>
        <w:rPr>
          <w:rFonts w:hint="eastAsia" w:ascii="宋体" w:hAnsi="宋体" w:eastAsia="宋体" w:cs="宋体"/>
          <w:b/>
          <w:bCs/>
          <w:color w:val="auto"/>
          <w:sz w:val="21"/>
          <w:szCs w:val="21"/>
          <w:highlight w:val="none"/>
          <w:lang w:val="en-US" w:eastAsia="zh"/>
        </w:rPr>
        <w:t>施工综合资质（或换证前施工总承包企业特级资质）或机电工程施工总承包甲级（一级）资质或建筑机电工程专业承包甲级（或换证前建筑机电安装工程专业承包一级）资质或市政公用工程施工总承包甲级（一级）资质</w:t>
      </w:r>
      <w:r>
        <w:rPr>
          <w:rFonts w:hint="default" w:ascii="宋体" w:hAnsi="宋体" w:eastAsia="宋体" w:cs="宋体"/>
          <w:b/>
          <w:bCs/>
          <w:color w:val="auto"/>
          <w:sz w:val="21"/>
          <w:szCs w:val="21"/>
          <w:highlight w:val="none"/>
          <w:lang w:val="en-US" w:eastAsia="zh-CN"/>
        </w:rPr>
        <w:t>，投标人应在本项目中标通知书发出之日起30</w:t>
      </w:r>
      <w:r>
        <w:rPr>
          <w:rFonts w:hint="eastAsia" w:ascii="宋体" w:hAnsi="宋体" w:eastAsia="宋体" w:cs="宋体"/>
          <w:b/>
          <w:bCs/>
          <w:color w:val="auto"/>
          <w:sz w:val="21"/>
          <w:szCs w:val="21"/>
          <w:highlight w:val="none"/>
          <w:lang w:val="en-US" w:eastAsia="zh-CN"/>
        </w:rPr>
        <w:t>日</w:t>
      </w:r>
      <w:r>
        <w:rPr>
          <w:rFonts w:hint="default" w:ascii="宋体" w:hAnsi="宋体" w:eastAsia="宋体" w:cs="宋体"/>
          <w:b/>
          <w:bCs/>
          <w:color w:val="auto"/>
          <w:sz w:val="21"/>
          <w:szCs w:val="21"/>
          <w:highlight w:val="none"/>
          <w:lang w:val="en-US" w:eastAsia="zh-CN"/>
        </w:rPr>
        <w:t>内将前述资料报招标人备案，如投标人委托第三方安装单位对货物进行安装的，投标人应该在前述约定的时间内，将委托的第三方安装单位具有的资质提交给招标人审核，相关资料报招标人备案后，投标人或投标人委托的第三方安装单位方可进场实施安装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投标人委托第三方安装单位实施设备安装的，投标人应第三方安装单位在合同履行期间，投标人或投标人委托的安装单位应当保持相应资质的有效性，合同项下特种设备安装前，投标人应按相关行政主管部门要求或法律法规规定完成告知、备案等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（3）投标人或投标人委托的安装单位，在项目现场应有自己的数量足够的安装设备（含起重吊装设备）以及其它完成安装工作所需的材料、器械，以便保证安装质量和应付常见事故。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（4）投标人应在设备安装前编写施工组织设计对本项目主要的安装难点及污水处理厂运营生产保障措施进行分析，施工组织设计的内容及深度应报招标人委派的技术服务单位审核签字确认。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（5）投标人应严格按照批准图纸上所标位置与高度，正确无误地将设备安装在预定位置，若确因现场条件需要变更，应及时与招标人、招标人委派的技术服务单位联系。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人应在混凝土浇筑前、后，配合招标人委派的技术服务单位对土建基础、预留孔、预埋件的尺寸及位置进行检查；对需要保护的设备基础，由投标人提出具体保护措施并提前告知招标人委派的技术服务单位。设备安装前，投标人应对设备安装基础的进行校核，由于投标人变动安装条件引起的费用应由投标人自行承担。设备基础的二次灌浆由投标人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安装、土建施工交叉作业时，投标人须服从招标人的统一协调安排，涉及工期延误的，经招标人委派的技术服务单位及招标人审批后予以工期补偿，由此产生的费用由投标人自行承担，招标人不予以费用补偿。如投标人拒不服从招标人的统一协调安排，第一次给予发函警告，第二次报市行政主管部门记录不良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投标人在设备安装倒运和设备就位时不允许将设备在工地上随便拖拉，需保护好设备的外观质量。发生损坏的，投标人应立即有效进行修补、修理或更换，直到满足招标人要求为止，修补、修理或更换的相关费用由投标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（9）投标人必须按照招标人及其委派技术服务单位的要求，现场做到安全、文明施工。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本项目设备安装处于污水处理厂内，投标人必须服从厂区相关管理规定，由此产生的费用由投标人自行承担。如投标人不服从管理，所造成的一切后果由投标人自行承担，造成招标人损失的，招标人有权另行追偿。投标人应根据厂区内可能不允许工人留宿，且对现场办公人员人数有限制等情况，考虑项目部、工人宿舍驻地、工人上下班等问题，由此产生的费用由投标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投标人需按招标人对现场的整体规划，布置自身的值班、设备堆放场地。由于现场场地面积有限，投标人应自行解决因现场场地不能完全满足其值班、设备堆放等要求所产生的问题，由此产生的费用由投标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投标人设备安装时的用电、用水由招标人指定接点，由投标人自行接入现场，接入所引起的一切费用自理（包括接入费、设备费、器具材料费用），用电、用水均应装计量表，费用由投标人自行缴纳。投标人应在中标通知书发出之日起30日内提交详细的设备安装用电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 交货、安装、调试时间要求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★（1）交货期限：投标人应自招标人发出的书面供货通知</w:t>
      </w:r>
      <w:r>
        <w:rPr>
          <w:rFonts w:hint="eastAsia" w:ascii="宋体" w:hAnsi="宋体" w:eastAsia="宋体" w:cs="宋体"/>
          <w:b/>
          <w:bCs/>
          <w:color w:val="auto"/>
          <w:kern w:val="0"/>
          <w:szCs w:val="21"/>
          <w:highlight w:val="none"/>
          <w:lang w:val="en-US" w:eastAsia="zh-CN" w:bidi="ar"/>
        </w:rPr>
        <w:t>中载明的供货</w:t>
      </w:r>
      <w:r>
        <w:rPr>
          <w:rFonts w:hint="eastAsia" w:ascii="宋体" w:hAnsi="宋体" w:eastAsia="宋体" w:cs="宋体"/>
          <w:b/>
          <w:bCs/>
          <w:color w:val="auto"/>
          <w:sz w:val="21"/>
          <w:szCs w:val="21"/>
          <w:highlight w:val="none"/>
          <w:lang w:val="en-US" w:eastAsia="zh-CN"/>
        </w:rPr>
        <w:t>之日起45日内完成现状老旧设备更换清单及原位技术成套设备清单等相关设备的现场到货及初步验收工作。</w:t>
      </w:r>
      <w:r>
        <w:rPr>
          <w:rFonts w:hint="eastAsia" w:ascii="宋体" w:hAnsi="宋体" w:eastAsia="宋体" w:cs="宋体"/>
          <w:b/>
          <w:bCs/>
          <w:color w:val="auto"/>
          <w:kern w:val="0"/>
          <w:szCs w:val="21"/>
          <w:highlight w:val="none"/>
          <w:lang w:val="en-US" w:eastAsia="zh-CN" w:bidi="ar"/>
        </w:rPr>
        <w:t>投标人应在计划发货前至少7日向招标人提交书面发货通知，经招标人同意后方可发货</w:t>
      </w:r>
      <w:r>
        <w:rPr>
          <w:rFonts w:hint="eastAsia" w:ascii="宋体" w:hAnsi="宋体" w:eastAsia="宋体" w:cs="宋体"/>
          <w:b/>
          <w:bCs/>
          <w:color w:val="auto"/>
          <w:sz w:val="21"/>
          <w:szCs w:val="21"/>
          <w:highlight w:val="none"/>
          <w:lang w:val="en-US" w:eastAsia="zh-CN"/>
        </w:rPr>
        <w:t>。如有违反，由此造成的仓储与保管费用以及货物毁损灭失的风险由投标人全部承担。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★（2）安装工作的开始时间由招标人另行书面通知确定，投标人</w:t>
      </w:r>
      <w:r>
        <w:rPr>
          <w:rFonts w:hint="eastAsia" w:ascii="宋体" w:hAnsi="宋体" w:eastAsia="宋体" w:cs="宋体"/>
          <w:b/>
          <w:bCs/>
          <w:color w:val="auto"/>
          <w:kern w:val="0"/>
          <w:szCs w:val="21"/>
          <w:highlight w:val="none"/>
          <w:lang w:val="en-US" w:eastAsia="zh-CN" w:bidi="ar"/>
        </w:rPr>
        <w:t>应在接到招标人书面通知后</w:t>
      </w:r>
      <w:r>
        <w:rPr>
          <w:rFonts w:hint="eastAsia" w:ascii="宋体" w:hAnsi="宋体" w:eastAsia="宋体" w:cs="宋体"/>
          <w:b/>
          <w:bCs/>
          <w:color w:val="auto"/>
          <w:sz w:val="21"/>
          <w:szCs w:val="21"/>
          <w:highlight w:val="none"/>
          <w:lang w:val="en-US" w:eastAsia="zh-CN"/>
        </w:rPr>
        <w:t>30日内完成</w:t>
      </w:r>
      <w:r>
        <w:rPr>
          <w:rFonts w:hint="eastAsia" w:ascii="宋体" w:hAnsi="宋体" w:eastAsia="宋体" w:cs="宋体"/>
          <w:b/>
          <w:bCs/>
          <w:color w:val="auto"/>
          <w:kern w:val="0"/>
          <w:szCs w:val="21"/>
          <w:highlight w:val="none"/>
          <w:lang w:val="en-US" w:eastAsia="zh-CN" w:bidi="ar"/>
        </w:rPr>
        <w:t>全部安装工作</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kern w:val="0"/>
          <w:szCs w:val="21"/>
          <w:highlight w:val="none"/>
          <w:lang w:val="en-US" w:eastAsia="zh-CN" w:bidi="ar"/>
        </w:rPr>
        <w:t>调试工作的开始时间由</w:t>
      </w:r>
      <w:r>
        <w:rPr>
          <w:rFonts w:hint="eastAsia" w:ascii="宋体" w:hAnsi="宋体" w:eastAsia="宋体" w:cs="宋体"/>
          <w:b/>
          <w:bCs/>
          <w:color w:val="auto"/>
          <w:sz w:val="21"/>
          <w:szCs w:val="21"/>
          <w:highlight w:val="none"/>
          <w:lang w:val="en-US" w:eastAsia="zh-CN"/>
        </w:rPr>
        <w:t>招标人另行书面通知确定，投标人应在接到招标人书面通知后30日内完成</w:t>
      </w:r>
      <w:r>
        <w:rPr>
          <w:rFonts w:hint="eastAsia" w:ascii="宋体" w:hAnsi="宋体" w:eastAsia="宋体" w:cs="宋体"/>
          <w:b/>
          <w:bCs/>
          <w:color w:val="auto"/>
          <w:kern w:val="0"/>
          <w:szCs w:val="21"/>
          <w:highlight w:val="none"/>
          <w:lang w:val="en-US" w:eastAsia="zh-CN" w:bidi="ar"/>
        </w:rPr>
        <w:t>全部调试工作（包含设备单机调试、系统联动调试、生产性调试等所有调试内容）</w:t>
      </w:r>
      <w:r>
        <w:rPr>
          <w:rFonts w:hint="eastAsia" w:ascii="宋体" w:hAnsi="宋体" w:eastAsia="宋体" w:cs="宋体"/>
          <w:b/>
          <w:bCs/>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（4）交货地点：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default" w:ascii="Times New Roman" w:hAnsi="Times New Roman" w:eastAsia="宋体" w:cs="Times New Roman"/>
          <w:b/>
          <w:bCs/>
          <w:color w:val="auto"/>
          <w:highlight w:val="none"/>
        </w:rPr>
        <w:t>本项目所有的设备交货地点为东莞市</w:t>
      </w:r>
      <w:r>
        <w:rPr>
          <w:rFonts w:hint="default" w:ascii="Times New Roman" w:hAnsi="Times New Roman" w:eastAsia="宋体" w:cs="Times New Roman"/>
          <w:b/>
          <w:bCs/>
          <w:color w:val="auto"/>
          <w:highlight w:val="none"/>
          <w:lang w:val="en-US" w:eastAsia="zh-CN"/>
        </w:rPr>
        <w:t>长安新区污水处理厂</w:t>
      </w:r>
      <w:r>
        <w:rPr>
          <w:rFonts w:hint="default" w:ascii="Times New Roman" w:hAnsi="Times New Roman" w:eastAsia="宋体" w:cs="Times New Roman"/>
          <w:b/>
          <w:bCs/>
          <w:color w:val="auto"/>
          <w:highlight w:val="none"/>
        </w:rPr>
        <w:t>现场招标人指定地点。</w:t>
      </w:r>
      <w:r>
        <w:rPr>
          <w:rFonts w:hint="eastAsia" w:ascii="宋体" w:hAnsi="宋体" w:eastAsia="宋体" w:cs="宋体"/>
          <w:color w:val="auto"/>
          <w:sz w:val="21"/>
          <w:szCs w:val="21"/>
          <w:highlight w:val="none"/>
          <w:lang w:val="en-US" w:eastAsia="zh-CN"/>
        </w:rPr>
        <w:t>后续如需更改交货地点，招标人需在收到投标人书面发货通知后、设备实际发货时间前5日以书面形式通知投标人。投标人负责所供设备运至交货地点招标人指定的位置，并负责到场设备的搬卸、安全措施等，相关费用由投标人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（5）交货方式与风险承担：在货物移交给招标人并经招标人最终验收合格前，货物的毁损、灭失的风险和责任均由投标人承担。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4.1.3.安装进度计划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（1）投标人应根据项目总体进度，制定设备供货与安装进度计划并不断细化，形成设备安装进度计划，报招标人审批后实施。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无论何时，如果招标人或招标人委派的技术服务单位认为本项目实际进度与已经批准的进度计划不符，投标人应根据招标人和招标人委派的技术服务单位的要求提出经过修订的进度计划，重新调整投入，以保证项目按期完成。投标人无权要求因进度修订而引起的费用和工期进行索赔。</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（3）项目工期均以日历天数计算（包括节假日）。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（4）投标人自行考虑安装过程中可能涉及与土建交叉施工采取的措施费。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4.1.4.安装技术要求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必须严格按照国家有关规范、施工图纸或设备技术文件的要求进行设备安装，引进设备按外商提供的标准，引进技术国内制造的设备按制造厂提供的技术要求，其余部分可参照国内相关的规范标准。本项目安装工程质量及验收标准包括但不限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（1）GB50231《机械设备安装工程施工及验收通用规范》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（2）GB/T50252《工业安装工程施工质量验收统一标准》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（3）GB50275《压缩机、风机、泵安装工程施工及验收规范》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（4）GB50270《输送设备安装工程施工及验收规范》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（5）GB50278《起重设备安装工程施工及验收规范》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（6）GB50236《现场设备、工业管道焊接工程施工规范》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（7）GB50205《钢结构工程施工质量验收标准》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（8）GB50268《给水排水管道工程施工及验收规范》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（9）GB50235《工业金属管道工程施工规范》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（10）GB50184《工业金属管道工程施工质量验收规范》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（11）GB50150《电气装置安装工程电气设备交接试验规范》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（12）GB50168《电气装置安装工程电缆线路施工及验收规范》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（13）GB50169《电气装置安装工程接地装置施工及验收规范》；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（14）GB50170《电气装置安装工程旋转电机施工及验收规范》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（15）GB50171《电气装置安装工程盘、柜及二次回路接线施工及验收规范》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（16）GB50254《电气装置安装工程低压电器施工及验收规范》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（17）GB50256《电气装置安装工程起重机电气装置施工及验收规范》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（18）JGJ46《施工现场临时用电安全技术规范》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（19）GB50093《自动化仪表工程施工及质量验收规范》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果图纸、说明书中的技术要求与标准规范互有矛盾之处，应以最高标准执行。如果投标人未按设备图纸、说明书和有关的规范或未经发包人书面同意进行施工的，在设备运行后发生设备损坏的，则由投标人负责维修或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4.2. 设备调试及120小时试运行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本项目调试分为设备单机调试、系统联动调试、生产性调试及120小时试运行。本项目所有设备调试由投标人组织实施，建设单位、技术服务单位、非投标人直接生产制造的主要设备供应商等单位参与。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严格按照流程逐步开展调试工作，所有的设备、系统均应有调试方案和试运行方案，方案报招标人及招标人委派本项目服务单位审批后执行，投标人应做好调试过程中的测试、记录，调试结果经所有参与调试过程的人员的签字确认，调试相关费用由投标人负责且已包含在本次投标报价中，调试结束后，投标人应出具调试报告，报招标人及招标人委派本项目服务单位审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单机调试及系统联动调试期间出现的问题，投标人应提出解决措施，并在消缺后再行组织调试，未通过调试验收的设备不得继续使用。对于调试中出现的重大设备故障，应及时采取安全措施；对于不涉及人身安全的小故障，在采取必要措施后，可进行在线维修、更换，投标人严格按照调试方案进行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生产性调试前，投标人应全面检查并确保本项目所有设备、系统处于正常使用状态。生产性调试期间，招标人在优先保障长安新区污水处理厂污水处理达标排放下，积极配合投标人按调试方案对污水处理厂运行工况进行合理调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调试完成后，投标人应充分做好连续120小时试运行的准备工作，确保120小时试运行的一次成功。在长安新区污水处理厂原位技术升级后具备能力提升日均处理水量至23万吨及以上，经招标人确认考核日期后，本项目进入120小时试运行考核阶段，试运行考核周期自考核首日00:00 起开始计算，在120小时试运行期间，本项目应达到以下考核要求：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（1）长安新区污水处理厂出水水质指标数据（包括出水在线监测仪表瞬时值和实验室化验值）满足设计出水水质标准要求。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（2）长安新区污水处理厂超负荷运行生产，日均处理水量稳定达到23万吨及以上，最大处理量不超过26万吨。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
        </w:rPr>
        <w:t>3</w:t>
      </w:r>
      <w:r>
        <w:rPr>
          <w:rFonts w:hint="eastAsia" w:ascii="宋体" w:hAnsi="宋体" w:eastAsia="宋体" w:cs="宋体"/>
          <w:color w:val="auto"/>
          <w:sz w:val="21"/>
          <w:szCs w:val="21"/>
          <w:highlight w:val="none"/>
          <w:lang w:val="en-US" w:eastAsia="zh-CN"/>
        </w:rPr>
        <w:t>）招标人确认本项目进入120小时试运行之日起，投标人须在30日内完成120小时试运行考核。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小时试运行的验收条件由投标人根据以上原则在试运行方案中进行细化并经招标人审批后确定，当120小时试运行不通过时，投标人须进行整改、消缺后再行组织验收，直至通过试运行验收（若因配套管网问题导致实际进水量不足，达不到设计水量，经招标人确认，试运行验收考核延期进行，待配套管网污水量符合本项目要求时再行考核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小时试运行通过并不代表本项目通过最终验收，120小时试运行作为本项目通过调试阶段验收的标志，120小时试运行验收前，与本项目设备调试相关的人员投入、物质消耗等成本由投标人承担，污水处理厂运营成本由招标人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4.3. 性能考核及最终验收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人设备在通过120小时试运行验收后，项目进入性能考核期，为期三年，在性能考核期由投标人派驻技术团队主导本项目设备系统运作，投标人需重点对系统设备稳定性运行、粉末载体投加参数（不限于投加量、投加频次、投加浓度等）、载体筛分回收效率、</w:t>
      </w:r>
      <w:r>
        <w:rPr>
          <w:rFonts w:hint="eastAsia" w:ascii="宋体" w:hAnsi="宋体" w:eastAsia="宋体" w:cs="宋体"/>
          <w:b/>
          <w:bCs/>
          <w:color w:val="auto"/>
          <w:szCs w:val="21"/>
          <w:highlight w:val="none"/>
          <w:lang w:val="en-US" w:eastAsia="zh-CN"/>
        </w:rPr>
        <w:t>现有</w:t>
      </w:r>
      <w:r>
        <w:rPr>
          <w:rFonts w:hint="eastAsia" w:ascii="宋体" w:hAnsi="宋体" w:eastAsia="宋体" w:cs="宋体"/>
          <w:b/>
          <w:bCs/>
          <w:color w:val="auto"/>
          <w:sz w:val="21"/>
          <w:szCs w:val="21"/>
          <w:highlight w:val="none"/>
          <w:lang w:val="en-US" w:eastAsia="zh-CN"/>
        </w:rPr>
        <w:t>改良AAO生物反应池气水比、回流比、污泥性能以及二沉池污泥沉降性能等进行综合调整优化，直至达到招标人技术规范要求和投标人投标时承诺的性能效果两者中的较严值。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投标人设备通过120小时试运行验收之日为本项目性能考核起始日，性能考核期间，投标人提供的</w:t>
      </w:r>
      <w:r>
        <w:rPr>
          <w:rFonts w:hint="eastAsia" w:ascii="宋体" w:hAnsi="宋体" w:eastAsia="宋体" w:cs="宋体"/>
          <w:b/>
          <w:bCs/>
          <w:color w:val="auto"/>
          <w:sz w:val="21"/>
          <w:szCs w:val="21"/>
          <w:highlight w:val="none"/>
          <w:lang w:val="en-US" w:eastAsia="zh-CN"/>
        </w:rPr>
        <w:t>设备和系统</w:t>
      </w:r>
      <w:r>
        <w:rPr>
          <w:rFonts w:hint="eastAsia" w:ascii="宋体" w:hAnsi="宋体" w:eastAsia="宋体" w:cs="宋体"/>
          <w:b w:val="0"/>
          <w:bCs w:val="0"/>
          <w:color w:val="auto"/>
          <w:sz w:val="21"/>
          <w:szCs w:val="21"/>
          <w:highlight w:val="none"/>
          <w:lang w:val="en-US" w:eastAsia="zh-CN"/>
        </w:rPr>
        <w:t>必须满足投标文件的标准，否则招标人有权要求投标人进行整改，由此产生的费用由投标人负责。性能考核为期三年，性能考核起始日至次年同一日为一个考核周期，与本项目设备性能考核相关的人员投入、物质消耗等成本由投标人承担，污水处理厂运营成本由招标人承担。性能考核全部通过后，投标人可向招标人申请设备最终验收，本项目设备应至少具备以下条件方可通过最终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（1）每个性能考核周期内，</w:t>
      </w:r>
      <w:r>
        <w:rPr>
          <w:rFonts w:hint="eastAsia" w:ascii="宋体" w:hAnsi="宋体" w:eastAsia="宋体" w:cs="宋体"/>
          <w:b w:val="0"/>
          <w:bCs w:val="0"/>
          <w:color w:val="auto"/>
          <w:sz w:val="21"/>
          <w:szCs w:val="21"/>
          <w:highlight w:val="none"/>
          <w:lang w:val="en-US" w:eastAsia="zh"/>
        </w:rPr>
        <w:t>本项目</w:t>
      </w:r>
      <w:r>
        <w:rPr>
          <w:rFonts w:hint="default" w:ascii="宋体" w:hAnsi="宋体" w:eastAsia="宋体" w:cs="宋体"/>
          <w:b w:val="0"/>
          <w:bCs w:val="0"/>
          <w:color w:val="auto"/>
          <w:sz w:val="21"/>
          <w:szCs w:val="21"/>
          <w:highlight w:val="none"/>
          <w:lang w:val="en-US" w:eastAsia="zh-CN"/>
        </w:rPr>
        <w:t>达到</w:t>
      </w:r>
      <w:r>
        <w:rPr>
          <w:rFonts w:hint="eastAsia" w:ascii="宋体" w:hAnsi="宋体" w:eastAsia="宋体" w:cs="宋体"/>
          <w:b w:val="0"/>
          <w:bCs w:val="0"/>
          <w:color w:val="auto"/>
          <w:sz w:val="21"/>
          <w:szCs w:val="21"/>
          <w:highlight w:val="none"/>
          <w:lang w:val="en-US" w:eastAsia="zh"/>
        </w:rPr>
        <w:t>招标人技术要求</w:t>
      </w:r>
      <w:r>
        <w:rPr>
          <w:rFonts w:hint="default" w:ascii="宋体" w:hAnsi="宋体" w:eastAsia="宋体" w:cs="宋体"/>
          <w:b w:val="0"/>
          <w:bCs w:val="0"/>
          <w:color w:val="auto"/>
          <w:sz w:val="21"/>
          <w:szCs w:val="21"/>
          <w:highlight w:val="none"/>
          <w:lang w:val="en-US" w:eastAsia="zh-CN"/>
        </w:rPr>
        <w:t>和投标时承诺的性能</w:t>
      </w:r>
      <w:r>
        <w:rPr>
          <w:rFonts w:hint="eastAsia" w:ascii="宋体" w:hAnsi="宋体" w:eastAsia="宋体" w:cs="宋体"/>
          <w:b w:val="0"/>
          <w:bCs w:val="0"/>
          <w:color w:val="auto"/>
          <w:sz w:val="21"/>
          <w:szCs w:val="21"/>
          <w:highlight w:val="none"/>
          <w:lang w:val="en-US" w:eastAsia="zh"/>
        </w:rPr>
        <w:t>要求</w:t>
      </w:r>
      <w:r>
        <w:rPr>
          <w:rFonts w:hint="default" w:ascii="宋体" w:hAnsi="宋体" w:eastAsia="宋体" w:cs="宋体"/>
          <w:b w:val="0"/>
          <w:bCs w:val="0"/>
          <w:color w:val="auto"/>
          <w:sz w:val="21"/>
          <w:szCs w:val="21"/>
          <w:highlight w:val="none"/>
          <w:lang w:val="en-US" w:eastAsia="zh-CN"/>
        </w:rPr>
        <w:t>两者中的较严值</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（2）每个性能考核周期内，若因长安新区污水处理厂管网来水不足等非投标人原因造成性能考核未能通过的，投标人提交相关情况报告，经招标人审核通过。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（3）设备完好无损，已按要求完成设备消缺。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（4）备品备件、专用仪器和工具已交付。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（5）所有的技术资料交接完毕。包括但不限于设备设计资料、变更资料、使用操作手册、竣工图纸、检验报告等。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（6）现场已清扫，剩余物质已交接。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（7）人员培训合格，具备基本的运行操作水平。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（8）其他竣工验收必备的资料。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设备最终验收通过后，投标人将本项目设备移交给招标人运营，投标人提供质保期服务。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4.4. 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投标人委派专业技术人员跟踪记录</w:t>
      </w:r>
      <w:r>
        <w:rPr>
          <w:rFonts w:hint="eastAsia" w:ascii="宋体" w:hAnsi="宋体" w:eastAsia="宋体" w:cs="宋体"/>
          <w:color w:val="auto"/>
          <w:sz w:val="21"/>
          <w:szCs w:val="21"/>
          <w:highlight w:val="none"/>
          <w:lang w:val="en-US" w:eastAsia="zh"/>
        </w:rPr>
        <w:t>本项目所有设备及</w:t>
      </w:r>
      <w:r>
        <w:rPr>
          <w:rFonts w:hint="default" w:ascii="宋体" w:hAnsi="宋体" w:eastAsia="宋体" w:cs="宋体"/>
          <w:color w:val="auto"/>
          <w:sz w:val="21"/>
          <w:szCs w:val="21"/>
          <w:highlight w:val="none"/>
          <w:lang w:val="en-US" w:eastAsia="zh-CN"/>
        </w:rPr>
        <w:t>系统运行数据</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深入分析现场采样化验数据和污水处理厂日常运行数据，提出运行工况优化建议，项目性能考核结束前应综合评估</w:t>
      </w:r>
      <w:r>
        <w:rPr>
          <w:rFonts w:hint="eastAsia" w:ascii="宋体" w:hAnsi="宋体" w:eastAsia="宋体" w:cs="宋体"/>
          <w:color w:val="auto"/>
          <w:sz w:val="21"/>
          <w:szCs w:val="21"/>
          <w:highlight w:val="none"/>
          <w:lang w:val="en-US" w:eastAsia="zh-CN"/>
        </w:rPr>
        <w:t>和制定</w:t>
      </w:r>
      <w:r>
        <w:rPr>
          <w:rFonts w:hint="eastAsia" w:ascii="宋体" w:hAnsi="宋体" w:eastAsia="宋体" w:cs="宋体"/>
          <w:color w:val="auto"/>
          <w:sz w:val="21"/>
          <w:szCs w:val="21"/>
          <w:highlight w:val="none"/>
          <w:lang w:val="en-US" w:eastAsia="zh"/>
        </w:rPr>
        <w:t>本项目所配的原位</w:t>
      </w:r>
      <w:r>
        <w:rPr>
          <w:rFonts w:hint="default" w:ascii="宋体" w:hAnsi="宋体" w:eastAsia="宋体" w:cs="宋体"/>
          <w:color w:val="auto"/>
          <w:sz w:val="21"/>
          <w:szCs w:val="21"/>
          <w:highlight w:val="none"/>
          <w:lang w:val="en-US" w:eastAsia="zh-CN"/>
        </w:rPr>
        <w:t>技术应用</w:t>
      </w:r>
      <w:r>
        <w:rPr>
          <w:rFonts w:hint="eastAsia" w:ascii="宋体" w:hAnsi="宋体" w:eastAsia="宋体" w:cs="宋体"/>
          <w:color w:val="auto"/>
          <w:sz w:val="21"/>
          <w:szCs w:val="21"/>
          <w:highlight w:val="none"/>
          <w:lang w:val="en-US" w:eastAsia="zh-CN"/>
        </w:rPr>
        <w:t>报告，报告需通过由招标人自行组织的评审或委托专家评审的方式验收，报告相关费用由投标人负责。此外，投标人后续积极配合采购人申报省、市以及行业相关奖项、发表国内外核心期刊文章等。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调试、试运行及性能考核期间的日常水质取样检测由招标人负责，投标人收到招标人出具检测数据后24h内可提出申诉并委托第三方检测机构进行检测，最终结果以经CMA认证的第三方检测机构出具的检测报告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
        </w:rPr>
        <w:t>本项目</w:t>
      </w:r>
      <w:r>
        <w:rPr>
          <w:rFonts w:hint="default" w:ascii="宋体" w:hAnsi="宋体" w:eastAsia="宋体" w:cs="宋体"/>
          <w:color w:val="auto"/>
          <w:sz w:val="21"/>
          <w:szCs w:val="21"/>
          <w:highlight w:val="none"/>
          <w:lang w:val="en-US" w:eastAsia="zh-CN"/>
        </w:rPr>
        <w:t>性能考核期内受进水异常情况等非投标人原因影响未能达到投标人投标时承诺的性能效果，投标人应及时到场跟踪分析异常原因，形成报告上报招标人，并在异常影响结束后24h内完成系统整改。经招标人同意后，异常期间不对投标人设备系统进行性能考核，且不追究投标人相关违约责任</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人需组建专业技术团队，团队成员至少3人，其中现场负责人1人，主管1人，技术员1人。调试期内要求2人以上驻场（至少为现场负责人、技术员），性能考核期内要求技术团队首年常驻项目现场、后两年根据招标人要求在24h内响应到场。投标人委派常驻本项目现场的专业技术人员接受招标人的考勤管理，未经招标人同意，不得无理由离开项目现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负责对招标人运行人员团队进行培训，除了理论培训外，投标人应对招标人运行人员实操培训，培训应涵盖设备安装、调试运行及性能考核验收、保质期的各个阶段，投标人必须对现场实操进行确认，不得安排运行人员在未经认可下直接进行操作，投标人因前述原因导致设备发生故障而产生维修费用和安全责任由投标人承担，本项目培训相关费用含在本次投标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（6）为确保服务质量及与招标人沟通联络，投标人须设置专职主管，负责对本项目的服务范围、服务质量的检查监督及与招标人日常业务联系。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（7）投标人需提供员工管理服务规范要求及确保服务质量达标的具体措施。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（8）未经招标人书面许可，投标人不得向第三方提供或披漏本项目内容及采购人业务有关的资料和信息，法律规定的除外，否则，采购人有权追究投标单位的责任。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（9）本系统设备技术要求未详尽之处，参见前述“第三节设备详细技术要求”章节内容或本需求书同类型设备产品技术要求执行。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b/>
          <w:bCs/>
          <w:color w:val="auto"/>
          <w:highlight w:val="none"/>
          <w:lang w:val="en-US" w:eastAsia="zh-CN"/>
        </w:rPr>
      </w:pPr>
      <w:r>
        <w:rPr>
          <w:rFonts w:hint="eastAsia"/>
          <w:b/>
          <w:bCs/>
          <w:color w:val="auto"/>
          <w:highlight w:val="none"/>
          <w:lang w:val="en-US" w:eastAsia="zh-CN"/>
        </w:rPr>
        <w:t>第五节 性能考核及质量保证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5.1.性能考核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性能考核方案由投标人统筹编制，并在生产性调试前完成编制并报招标人审核，经招标人及招标人委托的第三方（包括但不限设计单位、技术服务单位等）审核同意后实施，性能考核方案应包括人员安排、详细时间计划、检测方法、结果认定等。性能考核内容必须包括长安新区污水处理厂污水处理规模提升效果、改良AAO生物反应池气水比、载体首次投加量、载体补充量、载体回收率等指标。性能考核表列出的性能考核指标作为招标阶段对投标人提供的方案进行技术筛选及后续设备验收的重要依据。性能考核表并未涵盖所有的考核指标，对于未列出的指标，投标人也应按照本技术规范及行业通用标准进行性能测定，投标人不得以性能考核通过作为免责的借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5.1.1.性能考核指标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（1）污水处理性能考核指标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对于出水水质性能考核指标，按照1.2章节中设计出水水质汇表中的各项指标浓度限值执行。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（2）原位技术成套设备及系统性能考核指标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1148"/>
        <w:gridCol w:w="1519"/>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4"/>
                <w:highlight w:val="none"/>
                <w:vertAlign w:val="baseline"/>
              </w:rPr>
              <w:t>考核项</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单位</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要求保证值</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投标人响应值</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测试要求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载体首次投加量</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rPr>
              <w:t>/</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每月载体补充量</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rPr>
              <w:t>/</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按月均值统计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每月载体回收率</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≥95</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按月均值统计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在不超过设计进出水水质（进水SS除外），承诺长安新区污水处理厂日均污水处理规模</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万吨/日</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≥23</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CN"/>
              </w:rPr>
              <w:t>按日均值统计，</w:t>
            </w:r>
            <w:r>
              <w:rPr>
                <w:rFonts w:hint="eastAsia" w:ascii="宋体" w:hAnsi="宋体" w:eastAsia="宋体" w:cs="宋体"/>
                <w:b w:val="0"/>
                <w:bCs w:val="0"/>
                <w:color w:val="auto"/>
                <w:sz w:val="21"/>
                <w:szCs w:val="24"/>
                <w:highlight w:val="none"/>
                <w:vertAlign w:val="baseline"/>
                <w:lang w:val="en-US" w:eastAsia="zh-CN"/>
              </w:rPr>
              <w:t>日均最大处理规模不超出26万吨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在不超过设计进出水水质（进水SS除外），</w:t>
            </w:r>
            <w:r>
              <w:rPr>
                <w:rFonts w:hint="eastAsia" w:ascii="宋体" w:hAnsi="宋体" w:eastAsia="宋体" w:cs="宋体"/>
                <w:color w:val="auto"/>
                <w:sz w:val="21"/>
                <w:szCs w:val="24"/>
                <w:highlight w:val="none"/>
                <w:vertAlign w:val="baseline"/>
                <w:lang w:val="en-US" w:eastAsia="zh-CN"/>
              </w:rPr>
              <w:t>承诺长安新区污水处理厂日均处理量达到26万吨的日数</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val="0"/>
                <w:color w:val="auto"/>
                <w:kern w:val="2"/>
                <w:sz w:val="21"/>
                <w:szCs w:val="24"/>
                <w:highlight w:val="none"/>
                <w:vertAlign w:val="baseline"/>
                <w:lang w:val="en-US" w:eastAsia="zh-CN" w:bidi="ar-SA"/>
              </w:rPr>
              <w:t>日</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≥60</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CN"/>
              </w:rPr>
              <w:t>按日均值统计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生化段气水比</w:t>
            </w:r>
          </w:p>
        </w:tc>
        <w:tc>
          <w:tcPr>
            <w:tcW w:w="114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15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≤3.2：1</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由投标人填写</w:t>
            </w:r>
          </w:p>
        </w:tc>
        <w:tc>
          <w:tcPr>
            <w:tcW w:w="20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CN"/>
              </w:rPr>
              <w:t>按</w:t>
            </w:r>
            <w:r>
              <w:rPr>
                <w:rFonts w:hint="eastAsia" w:ascii="宋体" w:hAnsi="宋体" w:eastAsia="宋体" w:cs="宋体"/>
                <w:b w:val="0"/>
                <w:bCs w:val="0"/>
                <w:i w:val="0"/>
                <w:iCs w:val="0"/>
                <w:color w:val="auto"/>
                <w:sz w:val="21"/>
                <w:szCs w:val="24"/>
                <w:highlight w:val="none"/>
                <w:vertAlign w:val="baseline"/>
                <w:lang w:val="en-US" w:eastAsia="zh"/>
              </w:rPr>
              <w:t>年</w:t>
            </w:r>
            <w:r>
              <w:rPr>
                <w:rFonts w:hint="eastAsia" w:ascii="宋体" w:hAnsi="宋体" w:eastAsia="宋体" w:cs="宋体"/>
                <w:b w:val="0"/>
                <w:bCs w:val="0"/>
                <w:i w:val="0"/>
                <w:iCs w:val="0"/>
                <w:color w:val="auto"/>
                <w:sz w:val="21"/>
                <w:szCs w:val="24"/>
                <w:highlight w:val="none"/>
                <w:vertAlign w:val="baseline"/>
                <w:lang w:val="en-US" w:eastAsia="zh-CN"/>
              </w:rPr>
              <w:t>均值统计</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5.1.2.性能考核指标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本项目按照本技术规范提出的性能考核指标进行本项目设备性能考核，对于性能指标不满足要求的，投标人应无偿进行整改，整改后重新进行性能测试，仍无法满足考核指标的，招标人有权对投标人进行罚款。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5.2. 质量保证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保证本合同设备是全新的、未使用过的，能满足合同规定的质量和性能要求；需按设备属性提供对应质量证明资料：其中，质量保证体系认证文件（如ISO9001）、产品合格证、制造及检验记录为所有设备必备资料；针对涉及电气安全、计量、环保或特种设备范畴的设备，需提供产品认证文件（如3C、CPA、CCEP等）、设计制造许可证（如特种设备设计/制造许可）；主要配套件（如电机、计量泵、阀门等）需提供生产厂家出具的生产许可证明（若该配套件涉及监管要求）及产品合格证；对于原装进口设备、材料，还需额外提供原产地证明、完税证明及报关单等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（2）对于安装工程，投标人应建立事前、事中、事后的全过程施工质量管控体系。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本项目下货物的质量保证期为最终验收后的24个月。</w:t>
      </w:r>
      <w:r>
        <w:rPr>
          <w:rFonts w:hint="eastAsia" w:ascii="宋体" w:hAnsi="宋体" w:eastAsia="宋体" w:cs="宋体"/>
          <w:color w:val="auto"/>
          <w:sz w:val="21"/>
          <w:szCs w:val="21"/>
          <w:highlight w:val="none"/>
          <w:lang w:val="en-US" w:eastAsia="zh-CN"/>
        </w:rPr>
        <w:t>在质保期内所发生的一切非操作原因而引起的设备质量问题均属于质保范围，由投标人维修或更换。投标人</w:t>
      </w:r>
      <w:r>
        <w:rPr>
          <w:rFonts w:hint="default" w:ascii="Times New Roman" w:hAnsi="Times New Roman" w:eastAsia="宋体" w:cs="Times New Roman"/>
          <w:color w:val="auto"/>
          <w:szCs w:val="21"/>
          <w:highlight w:val="none"/>
        </w:rPr>
        <w:t>若主张设备问题系</w:t>
      </w:r>
      <w:r>
        <w:rPr>
          <w:rFonts w:hint="eastAsia" w:ascii="Times New Roman" w:hAnsi="Times New Roman" w:eastAsia="宋体" w:cs="Times New Roman"/>
          <w:color w:val="auto"/>
          <w:szCs w:val="21"/>
          <w:highlight w:val="none"/>
          <w:lang w:val="en-US" w:eastAsia="zh-CN"/>
        </w:rPr>
        <w:t>招标人</w:t>
      </w:r>
      <w:r>
        <w:rPr>
          <w:rFonts w:hint="default" w:ascii="Times New Roman" w:hAnsi="Times New Roman" w:eastAsia="宋体" w:cs="Times New Roman"/>
          <w:color w:val="auto"/>
          <w:szCs w:val="21"/>
          <w:highlight w:val="none"/>
        </w:rPr>
        <w:t>操作不当所致，应承担完全的举证责任</w:t>
      </w:r>
      <w:r>
        <w:rPr>
          <w:rFonts w:hint="eastAsia" w:ascii="Times New Roman" w:hAnsi="Times New Roman" w:eastAsia="宋体" w:cs="Times New Roman"/>
          <w:color w:val="auto"/>
          <w:szCs w:val="21"/>
          <w:highlight w:val="none"/>
          <w:lang w:eastAsia="zh-CN"/>
        </w:rPr>
        <w:t>。</w:t>
      </w:r>
      <w:r>
        <w:rPr>
          <w:rFonts w:hint="eastAsia" w:ascii="宋体" w:hAnsi="宋体" w:eastAsia="宋体" w:cs="宋体"/>
          <w:color w:val="auto"/>
          <w:sz w:val="21"/>
          <w:szCs w:val="21"/>
          <w:highlight w:val="none"/>
          <w:lang w:val="en-US" w:eastAsia="zh-CN"/>
        </w:rPr>
        <w:t>对于质保期内由招标人操作引起的设备损坏，投标人应积极配合招标人进行维修或额外采购。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5.3. 各阶段验收文件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5.3.1.到货验收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运抵交货地点后3日内，招标人（含招标人委托的第三方）、投标人代表共同开箱验货。招标人按照合同及采购文件、国家相关法律法规以及规范的要求等相关的规定，对货物的品种、品牌、产地、型号规格、数量、外观质量、资料等进行清点和全面的检验，并作详细的记录。初步验收如发现货物不符，或货物短缺、质次、损坏等问题，应作详细记录，招标人可拒绝收货，或由投标人在30日内立即、无条件为招标人调换或补齐，调换或补齐后的货物，招标人有权按照本条有关验收的规定进行验收，由此产生的制造、修理和运费及保险费等费用均应由投标人负担，与招标人无关。到货验收合格后，招标人、其他单位（不限于设计单位、技术服务单位）及投标人多方共同出具到货验收报告</w:t>
      </w:r>
      <w:r>
        <w:rPr>
          <w:rFonts w:hint="eastAsia" w:ascii="宋体" w:hAnsi="宋体" w:eastAsia="宋体" w:cs="宋体"/>
          <w:color w:val="auto"/>
          <w:kern w:val="0"/>
          <w:szCs w:val="21"/>
          <w:highlight w:val="none"/>
          <w:lang w:val="en-US" w:eastAsia="zh-CN" w:bidi="ar"/>
        </w:rPr>
        <w:t>并书面确认验收结果</w:t>
      </w:r>
      <w:r>
        <w:rPr>
          <w:rFonts w:hint="eastAsia" w:ascii="宋体" w:hAnsi="宋体" w:eastAsia="宋体" w:cs="宋体"/>
          <w:color w:val="auto"/>
          <w:sz w:val="21"/>
          <w:szCs w:val="21"/>
          <w:highlight w:val="none"/>
          <w:lang w:val="en-US" w:eastAsia="zh-CN"/>
        </w:rPr>
        <w:t>。（到货验收报告模板暂定如下，适用现状老旧设备更换清单、原位技术成套设备清单，最终到货验收报告文件格式以招标人确定为准）。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spacing w:line="600" w:lineRule="exact"/>
        <w:ind w:firstLine="0" w:firstLineChars="0"/>
        <w:jc w:val="center"/>
        <w:rPr>
          <w:rFonts w:hint="eastAsia" w:ascii="宋体" w:hAnsi="宋体" w:eastAsia="宋体" w:cs="宋体"/>
          <w:bCs/>
          <w:color w:val="auto"/>
          <w:spacing w:val="-10"/>
          <w:sz w:val="44"/>
          <w:szCs w:val="44"/>
          <w:highlight w:val="none"/>
        </w:rPr>
      </w:pPr>
      <w:r>
        <w:rPr>
          <w:rFonts w:hint="eastAsia" w:ascii="宋体" w:hAnsi="宋体" w:eastAsia="宋体" w:cs="宋体"/>
          <w:bCs/>
          <w:color w:val="auto"/>
          <w:spacing w:val="-10"/>
          <w:sz w:val="44"/>
          <w:szCs w:val="44"/>
          <w:highlight w:val="none"/>
        </w:rPr>
        <w:t>设备到货验收报告</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b/>
          <w:color w:val="auto"/>
          <w:sz w:val="22"/>
          <w:szCs w:val="22"/>
          <w:highlight w:val="none"/>
          <w:lang w:eastAsia="zh"/>
        </w:rPr>
      </w:pPr>
      <w:r>
        <w:rPr>
          <w:rFonts w:hint="eastAsia" w:ascii="宋体" w:hAnsi="宋体" w:eastAsia="宋体" w:cs="宋体"/>
          <w:b/>
          <w:color w:val="auto"/>
          <w:sz w:val="22"/>
          <w:szCs w:val="22"/>
          <w:highlight w:val="none"/>
        </w:rPr>
        <w:t>编号：</w:t>
      </w:r>
    </w:p>
    <w:tbl>
      <w:tblPr>
        <w:tblStyle w:val="44"/>
        <w:tblW w:w="4999" w:type="pct"/>
        <w:jc w:val="center"/>
        <w:tblLayout w:type="autofit"/>
        <w:tblCellMar>
          <w:top w:w="0" w:type="dxa"/>
          <w:left w:w="108" w:type="dxa"/>
          <w:bottom w:w="0" w:type="dxa"/>
          <w:right w:w="108" w:type="dxa"/>
        </w:tblCellMar>
      </w:tblPr>
      <w:tblGrid>
        <w:gridCol w:w="1327"/>
        <w:gridCol w:w="883"/>
        <w:gridCol w:w="2184"/>
        <w:gridCol w:w="1802"/>
        <w:gridCol w:w="1064"/>
        <w:gridCol w:w="850"/>
        <w:gridCol w:w="966"/>
        <w:gridCol w:w="1292"/>
      </w:tblGrid>
      <w:tr>
        <w:tblPrEx>
          <w:tblCellMar>
            <w:top w:w="0" w:type="dxa"/>
            <w:left w:w="108" w:type="dxa"/>
            <w:bottom w:w="0" w:type="dxa"/>
            <w:right w:w="108" w:type="dxa"/>
          </w:tblCellMar>
        </w:tblPrEx>
        <w:trPr>
          <w:trHeight w:val="439" w:hRule="atLeast"/>
          <w:jc w:val="center"/>
        </w:trPr>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合同名称</w:t>
            </w:r>
          </w:p>
        </w:tc>
        <w:tc>
          <w:tcPr>
            <w:tcW w:w="4359" w:type="pct"/>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r>
      <w:tr>
        <w:tblPrEx>
          <w:tblCellMar>
            <w:top w:w="0" w:type="dxa"/>
            <w:left w:w="108" w:type="dxa"/>
            <w:bottom w:w="0" w:type="dxa"/>
            <w:right w:w="108" w:type="dxa"/>
          </w:tblCellMar>
        </w:tblPrEx>
        <w:trPr>
          <w:trHeight w:val="462" w:hRule="atLeast"/>
          <w:jc w:val="center"/>
        </w:trPr>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到货时间</w:t>
            </w:r>
          </w:p>
        </w:tc>
        <w:tc>
          <w:tcPr>
            <w:tcW w:w="2011"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年月日</w:t>
            </w:r>
          </w:p>
        </w:tc>
      </w:tr>
      <w:tr>
        <w:tblPrEx>
          <w:tblCellMar>
            <w:top w:w="0" w:type="dxa"/>
            <w:left w:w="108" w:type="dxa"/>
            <w:bottom w:w="0" w:type="dxa"/>
            <w:right w:w="108" w:type="dxa"/>
          </w:tblCellMar>
        </w:tblPrEx>
        <w:trPr>
          <w:trHeight w:val="462" w:hRule="atLeast"/>
          <w:jc w:val="center"/>
        </w:trPr>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验收时间</w:t>
            </w:r>
          </w:p>
        </w:tc>
        <w:tc>
          <w:tcPr>
            <w:tcW w:w="2011"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年月日</w:t>
            </w:r>
          </w:p>
        </w:tc>
      </w:tr>
      <w:tr>
        <w:tblPrEx>
          <w:tblCellMar>
            <w:top w:w="0" w:type="dxa"/>
            <w:left w:w="108" w:type="dxa"/>
            <w:bottom w:w="0" w:type="dxa"/>
            <w:right w:w="108" w:type="dxa"/>
          </w:tblCellMar>
        </w:tblPrEx>
        <w:trPr>
          <w:trHeight w:val="527" w:hRule="atLeast"/>
          <w:jc w:val="center"/>
        </w:trPr>
        <w:tc>
          <w:tcPr>
            <w:tcW w:w="640"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105" w:leftChars="-50" w:right="-105" w:rightChars="-5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w:t>
            </w:r>
          </w:p>
          <w:p>
            <w:pPr>
              <w:keepNext w:val="0"/>
              <w:keepLines w:val="0"/>
              <w:widowControl/>
              <w:suppressLineNumbers w:val="0"/>
              <w:spacing w:before="0" w:beforeAutospacing="0" w:after="0" w:afterAutospacing="0" w:line="240" w:lineRule="auto"/>
              <w:ind w:left="-105" w:leftChars="-50" w:right="-105" w:rightChars="-5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清单</w:t>
            </w:r>
          </w:p>
        </w:tc>
        <w:tc>
          <w:tcPr>
            <w:tcW w:w="4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货物名称</w:t>
            </w: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品牌</w:t>
            </w: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6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trPr>
          <w:trHeight w:val="519" w:hRule="atLeast"/>
          <w:jc w:val="center"/>
        </w:trPr>
        <w:tc>
          <w:tcPr>
            <w:tcW w:w="640"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jc w:val="center"/>
        </w:trPr>
        <w:tc>
          <w:tcPr>
            <w:tcW w:w="640"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jc w:val="center"/>
        </w:trPr>
        <w:tc>
          <w:tcPr>
            <w:tcW w:w="640"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4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进场</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检查</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货物数量是否齐全，如否请备注缺货或错货情况</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4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货物是否完好无损，如否请备注货损情况</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随货物备品备件和专用工具情况，如有缺请备注</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4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货物和配件材质是否相符，如否请备注情况</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40"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货物和配件性能参数是否相符，如否请备注情况</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4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其他问题</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19" w:type="pct"/>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现场到货验收意见</w:t>
            </w:r>
          </w:p>
        </w:tc>
        <w:tc>
          <w:tcPr>
            <w:tcW w:w="2880"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highlight w:val="none"/>
              </w:rPr>
            </w:pPr>
          </w:p>
          <w:p>
            <w:pPr>
              <w:keepNext w:val="0"/>
              <w:keepLines w:val="0"/>
              <w:suppressLineNumbers w:val="0"/>
              <w:spacing w:before="0" w:beforeAutospacing="0" w:after="0" w:afterAutospacing="0" w:line="240" w:lineRule="auto"/>
              <w:ind w:left="0" w:right="-25" w:rightChars="-12" w:firstLine="0" w:firstLineChars="0"/>
              <w:jc w:val="both"/>
              <w:rPr>
                <w:rFonts w:hint="default" w:ascii="宋体" w:hAnsi="宋体" w:eastAsia="宋体" w:cs="宋体"/>
                <w:b/>
                <w:bCs/>
                <w:color w:val="auto"/>
                <w:sz w:val="3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参加验收的单位和代表（签章）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4" w:hRule="atLeast"/>
          <w:jc w:val="center"/>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jc w:val="center"/>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4" w:hRule="atLeast"/>
          <w:jc w:val="center"/>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5.3.2.安装、调试阶段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（1）安装及单机调试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所有设备安装完成并通过外观检查（部件完整、连接牢固、管路无泄漏、电气接线正确），相关基础资料（设备说明书、安装记录、电气原理图）齐全，现场安全防护措施到位（如接地可靠、警示标识清晰），方可启动单机调试。投标人应该根据项目设备清单（不限于动力设备、控制系统、仪表设备、原位技术成套设备等）确定各项设备调试标准及参数，投标人需在本阶段对每台设备的调试过程、参数数据、异常处理情况进行记录。单机调试过程如发现货物短缺、质次、损坏等问题，应作详细记录，招标人可认为单机调试失败，或由投标人在10日内立即、无条件为招标人调换或补齐，调换或补齐后的货物，招标人有权按照本条有关验收的规定进行验收，由此产生的违约费用、制造、修理和运费及保险费等费用均应由投标人负担，与招标人无关。单机调试验收合格后，招标人、招标人委派的技术服务单位及投标人多方共同出具单机调试报告</w:t>
      </w:r>
      <w:r>
        <w:rPr>
          <w:rFonts w:hint="eastAsia" w:ascii="宋体" w:hAnsi="宋体" w:eastAsia="宋体" w:cs="宋体"/>
          <w:color w:val="auto"/>
          <w:kern w:val="0"/>
          <w:szCs w:val="21"/>
          <w:highlight w:val="none"/>
          <w:lang w:val="en-US" w:eastAsia="zh-CN" w:bidi="ar"/>
        </w:rPr>
        <w:t>并书面确认验收结果</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（2）系统联动调试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所有设备单机调试合格，管路系统压力试验合格，电气与自控系统通讯正常（设备状态、仪表数据可实时上传至PLC控制柜），工艺参数已按设计方案配置，方可启动系统联动调试。系统联动调试应确保全流程设备启停顺序正确、联动逻辑的准确性等，确保系统联动流程无中断、无逻辑冲突。调试过程中若发现设备安装缺陷、参数不达标或逻辑错误，投标人需在48小时内提出整改方案并实施，直至调试合格，相关费用由投标人承担。系统联动调试期间需配备专业技术人员全程值守，及时处理突发问题，确保调试安全有序。投标人需详细记录联动调试期间的工艺参数、设备状态及异常处理情况，联动调试合格后，由招标人组织验收，确认系统满足设计要求后方可进入试运行阶段，招标人、其他单位（不限于设计单位、技术服务单位）及投标人多方共同出具</w:t>
      </w:r>
      <w:r>
        <w:rPr>
          <w:rFonts w:hint="eastAsia" w:ascii="宋体" w:hAnsi="宋体" w:eastAsia="宋体" w:cs="宋体"/>
          <w:color w:val="auto"/>
          <w:sz w:val="21"/>
          <w:szCs w:val="21"/>
          <w:highlight w:val="none"/>
          <w:lang w:val="en-US" w:eastAsia="zh-CN"/>
        </w:rPr>
        <w:t>系统联动</w:t>
      </w:r>
      <w:r>
        <w:rPr>
          <w:rFonts w:hint="default" w:ascii="宋体" w:hAnsi="宋体" w:eastAsia="宋体" w:cs="宋体"/>
          <w:color w:val="auto"/>
          <w:sz w:val="21"/>
          <w:szCs w:val="21"/>
          <w:highlight w:val="none"/>
          <w:lang w:val="en-US" w:eastAsia="zh-CN"/>
        </w:rPr>
        <w:t>调试报告</w:t>
      </w:r>
      <w:r>
        <w:rPr>
          <w:rFonts w:hint="eastAsia" w:ascii="宋体" w:hAnsi="宋体" w:eastAsia="宋体" w:cs="宋体"/>
          <w:color w:val="auto"/>
          <w:kern w:val="0"/>
          <w:szCs w:val="21"/>
          <w:highlight w:val="none"/>
          <w:lang w:val="en-US" w:eastAsia="zh-CN" w:bidi="ar"/>
        </w:rPr>
        <w:t>并书面确认验收结果</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（安装及单机调试、系统联动调试验收报告模板暂定如下，适用现状老旧设备更换清单、原位技术成套设备清单，最终安装及单机调试、系统联动调试验收报告格式以招标人确定为准）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widowControl w:val="0"/>
        <w:spacing w:after="0" w:line="600" w:lineRule="exact"/>
        <w:jc w:val="center"/>
        <w:rPr>
          <w:rFonts w:hint="eastAsia" w:ascii="宋体" w:hAnsi="宋体" w:eastAsia="宋体" w:cs="宋体"/>
          <w:bCs/>
          <w:color w:val="auto"/>
          <w:kern w:val="2"/>
          <w:sz w:val="44"/>
          <w:szCs w:val="44"/>
          <w:highlight w:val="none"/>
          <w:lang w:val="en-US" w:eastAsia="zh-CN" w:bidi="ar-SA"/>
        </w:rPr>
      </w:pPr>
      <w:r>
        <w:rPr>
          <w:rFonts w:hint="eastAsia" w:ascii="宋体" w:hAnsi="宋体" w:eastAsia="宋体" w:cs="宋体"/>
          <w:bCs/>
          <w:color w:val="auto"/>
          <w:kern w:val="2"/>
          <w:sz w:val="44"/>
          <w:szCs w:val="44"/>
          <w:highlight w:val="none"/>
          <w:lang w:val="en-US" w:eastAsia="zh-CN" w:bidi="ar-SA"/>
        </w:rPr>
        <w:t>设备安装及单机/系统联动调试报告</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color w:val="auto"/>
          <w:highlight w:val="none"/>
          <w:lang w:eastAsia="zh"/>
        </w:rPr>
      </w:pPr>
      <w:r>
        <w:rPr>
          <w:rFonts w:hint="eastAsia" w:ascii="宋体" w:hAnsi="宋体" w:eastAsia="宋体" w:cs="宋体"/>
          <w:b/>
          <w:color w:val="auto"/>
          <w:sz w:val="22"/>
          <w:szCs w:val="22"/>
          <w:highlight w:val="none"/>
        </w:rPr>
        <w:t>编号：</w:t>
      </w:r>
    </w:p>
    <w:tbl>
      <w:tblPr>
        <w:tblStyle w:val="44"/>
        <w:tblW w:w="5145"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12"/>
        <w:gridCol w:w="197"/>
        <w:gridCol w:w="177"/>
        <w:gridCol w:w="519"/>
        <w:gridCol w:w="502"/>
        <w:gridCol w:w="939"/>
        <w:gridCol w:w="264"/>
        <w:gridCol w:w="395"/>
        <w:gridCol w:w="671"/>
        <w:gridCol w:w="134"/>
        <w:gridCol w:w="678"/>
        <w:gridCol w:w="444"/>
        <w:gridCol w:w="66"/>
        <w:gridCol w:w="1060"/>
        <w:gridCol w:w="142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6" w:type="pct"/>
            <w:gridSpan w:val="15"/>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c>
          <w:tcPr>
            <w:tcW w:w="1716" w:type="pct"/>
            <w:gridSpan w:val="8"/>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9" w:type="pct"/>
            <w:gridSpan w:val="4"/>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2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c>
          <w:tcPr>
            <w:tcW w:w="1716" w:type="pct"/>
            <w:gridSpan w:val="8"/>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9" w:type="pct"/>
            <w:gridSpan w:val="4"/>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调试日期</w:t>
            </w:r>
          </w:p>
        </w:tc>
        <w:tc>
          <w:tcPr>
            <w:tcW w:w="2020" w:type="pct"/>
            <w:gridSpan w:val="3"/>
            <w:noWrap/>
            <w:vAlign w:val="center"/>
          </w:tcPr>
          <w:p>
            <w:pPr>
              <w:keepNext w:val="0"/>
              <w:keepLines w:val="0"/>
              <w:widowControl w:val="0"/>
              <w:suppressLineNumbers w:val="0"/>
              <w:spacing w:before="0" w:beforeAutospacing="0" w:after="120" w:afterAutospacing="0" w:line="360" w:lineRule="auto"/>
              <w:ind w:left="0" w:right="0"/>
              <w:jc w:val="both"/>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年月日至</w:t>
            </w:r>
          </w:p>
          <w:p>
            <w:pPr>
              <w:keepNext w:val="0"/>
              <w:keepLines w:val="0"/>
              <w:widowControl w:val="0"/>
              <w:suppressLineNumbers w:val="0"/>
              <w:spacing w:before="0" w:beforeAutospacing="0" w:after="120" w:afterAutospacing="0"/>
              <w:ind w:left="0" w:right="0"/>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b/>
                <w:color w:val="auto"/>
                <w:kern w:val="2"/>
                <w:sz w:val="22"/>
                <w:szCs w:val="22"/>
                <w:highlight w:val="none"/>
                <w:lang w:val="en-US" w:eastAsia="zh-CN" w:bidi="ar-SA"/>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一、货物调试列表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40"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二、设备调试情况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8"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1"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62"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27"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24"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8"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2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94"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59"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1"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8" w:type="pct"/>
            <w:gridSpan w:val="1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9"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单机调试</w:t>
            </w: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09"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联合调试</w:t>
            </w: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5"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三、存在问题</w:t>
            </w:r>
          </w:p>
          <w:p>
            <w:pPr>
              <w:keepNext w:val="0"/>
              <w:keepLines w:val="0"/>
              <w:suppressLineNumbers w:val="0"/>
              <w:spacing w:before="0" w:beforeAutospacing="0" w:after="0" w:afterAutospacing="0" w:line="240" w:lineRule="exact"/>
              <w:ind w:left="0" w:right="0" w:firstLine="462" w:firstLineChars="21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（填写设备存在问题。）</w:t>
            </w:r>
          </w:p>
          <w:p>
            <w:pPr>
              <w:keepNext w:val="0"/>
              <w:keepLines w:val="0"/>
              <w:suppressLineNumbers w:val="0"/>
              <w:spacing w:before="0" w:beforeAutospacing="0" w:after="0" w:afterAutospacing="0" w:line="360" w:lineRule="auto"/>
              <w:ind w:left="0" w:right="0" w:firstLine="464" w:firstLineChars="21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四、问题整改情况</w:t>
            </w: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（填写设备问题的整改情况。）</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7"/>
            <w:noWrap w:val="0"/>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4"/>
                <w:highlight w:val="none"/>
              </w:rPr>
              <w:t>五、调试意见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参加调试的单位和代表（签章）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（3）生产性调试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本项目</w:t>
      </w:r>
      <w:r>
        <w:rPr>
          <w:rFonts w:hint="default" w:ascii="宋体" w:hAnsi="宋体" w:eastAsia="宋体" w:cs="宋体"/>
          <w:color w:val="auto"/>
          <w:sz w:val="21"/>
          <w:szCs w:val="21"/>
          <w:highlight w:val="none"/>
          <w:lang w:val="en-US" w:eastAsia="zh-CN"/>
        </w:rPr>
        <w:t>生产性调试需在</w:t>
      </w:r>
      <w:r>
        <w:rPr>
          <w:rFonts w:hint="eastAsia" w:ascii="宋体" w:hAnsi="宋体" w:eastAsia="宋体" w:cs="宋体"/>
          <w:color w:val="auto"/>
          <w:sz w:val="21"/>
          <w:szCs w:val="21"/>
          <w:highlight w:val="none"/>
          <w:lang w:val="en-US" w:eastAsia="zh"/>
        </w:rPr>
        <w:t>全部设备</w:t>
      </w:r>
      <w:r>
        <w:rPr>
          <w:rFonts w:hint="default" w:ascii="宋体" w:hAnsi="宋体" w:eastAsia="宋体" w:cs="宋体"/>
          <w:color w:val="auto"/>
          <w:sz w:val="21"/>
          <w:szCs w:val="21"/>
          <w:highlight w:val="none"/>
          <w:lang w:val="en-US" w:eastAsia="zh-CN"/>
        </w:rPr>
        <w:t>系统联动调试合格、物料储备满足调试需求且方案经招标人审核通过后启动，周期不少于72小时，调试方案应能覆盖设计负荷、冲击负荷、低负荷等多类工况；调试期间需维持工艺核心参数稳定（具体范围以生产性调试方案为准），通过自控系统自动调节，按要求监测出水水质（达标率100%）、设备运行状态（无严重故障），投标人应每日提交《生产性调试日报》，结束后3日内提交《生产性调试报告》；调试合格标准为出水全周期达标、工艺系统稳定、设备无故障停机、负荷切换顺畅，合格后经招标人同意后方可进入120小时试运行阶段，不合格需由投标人整改后重新调试，调试不合格产生的违约费用、制造、修理和运费及保险费等费用均应由投标人负担，与招标人无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《生产性试验日报》及《生产性调试报告》内容要求及格式模板由招标人在完成所有设备安装及单机调试后3日内确定。</w:t>
      </w:r>
      <w:r>
        <w:rPr>
          <w:rFonts w:hint="eastAsia" w:ascii="宋体" w:hAnsi="宋体" w:eastAsia="宋体" w:cs="宋体"/>
          <w:color w:val="auto"/>
          <w:kern w:val="0"/>
          <w:szCs w:val="21"/>
          <w:highlight w:val="none"/>
          <w:lang w:val="en-US" w:eastAsia="zh-CN" w:bidi="ar"/>
        </w:rPr>
        <w:t>生产性调试验收合格后，参与验收的各方应书面确认验收结果。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5.3.3.120小时试运行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原位技术成套设备</w:t>
      </w:r>
      <w:r>
        <w:rPr>
          <w:rFonts w:hint="default" w:ascii="宋体" w:hAnsi="宋体" w:eastAsia="宋体" w:cs="宋体"/>
          <w:color w:val="auto"/>
          <w:sz w:val="21"/>
          <w:szCs w:val="21"/>
          <w:highlight w:val="none"/>
          <w:lang w:val="en-US" w:eastAsia="zh-CN"/>
        </w:rPr>
        <w:t>120小时试运行详细要求以“4.2设备调试及120小时试运行”为准，120小时试运行验收成果文件内容要求及格式模板由招标人在完成</w:t>
      </w:r>
      <w:r>
        <w:rPr>
          <w:rFonts w:hint="eastAsia" w:ascii="宋体" w:hAnsi="宋体" w:eastAsia="宋体" w:cs="宋体"/>
          <w:color w:val="auto"/>
          <w:sz w:val="21"/>
          <w:szCs w:val="21"/>
          <w:highlight w:val="none"/>
          <w:lang w:val="en-US" w:eastAsia="zh-CN"/>
        </w:rPr>
        <w:t>投标人</w:t>
      </w:r>
      <w:r>
        <w:rPr>
          <w:rFonts w:hint="default" w:ascii="宋体" w:hAnsi="宋体" w:eastAsia="宋体" w:cs="宋体"/>
          <w:color w:val="auto"/>
          <w:sz w:val="21"/>
          <w:szCs w:val="21"/>
          <w:highlight w:val="none"/>
          <w:lang w:val="en-US" w:eastAsia="zh-CN"/>
        </w:rPr>
        <w:t>生产性调试</w:t>
      </w:r>
      <w:r>
        <w:rPr>
          <w:rFonts w:hint="eastAsia" w:ascii="宋体" w:hAnsi="宋体" w:eastAsia="宋体" w:cs="宋体"/>
          <w:color w:val="auto"/>
          <w:kern w:val="0"/>
          <w:szCs w:val="21"/>
          <w:highlight w:val="none"/>
          <w:lang w:val="en-US" w:eastAsia="zh" w:bidi="ar"/>
        </w:rPr>
        <w:t>验收合格后3日内</w:t>
      </w:r>
      <w:r>
        <w:rPr>
          <w:rFonts w:hint="default" w:ascii="宋体" w:hAnsi="宋体" w:eastAsia="宋体" w:cs="宋体"/>
          <w:color w:val="auto"/>
          <w:sz w:val="21"/>
          <w:szCs w:val="21"/>
          <w:highlight w:val="none"/>
          <w:lang w:val="en-US" w:eastAsia="zh-CN"/>
        </w:rPr>
        <w:t>确定</w:t>
      </w:r>
      <w:r>
        <w:rPr>
          <w:rFonts w:hint="eastAsia" w:ascii="宋体" w:hAnsi="宋体" w:eastAsia="宋体" w:cs="宋体"/>
          <w:color w:val="auto"/>
          <w:kern w:val="0"/>
          <w:szCs w:val="21"/>
          <w:highlight w:val="none"/>
          <w:lang w:val="en-US" w:eastAsia="zh-CN" w:bidi="ar"/>
        </w:rPr>
        <w:t>，120小时试运行验收合格后，参与验收的各方应书面确认验收结果</w:t>
      </w:r>
      <w:r>
        <w:rPr>
          <w:rFonts w:hint="default"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5.3.4.性能考核及最终验收</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9" w:firstLineChars="214"/>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原位技术成套设备</w:t>
      </w:r>
      <w:r>
        <w:rPr>
          <w:rFonts w:hint="default" w:ascii="宋体" w:hAnsi="宋体" w:eastAsia="宋体" w:cs="宋体"/>
          <w:color w:val="auto"/>
          <w:sz w:val="21"/>
          <w:szCs w:val="21"/>
          <w:highlight w:val="none"/>
          <w:lang w:val="en-US" w:eastAsia="zh-CN"/>
        </w:rPr>
        <w:t>性能考核详细要求以“4.3性能考核及最终验收”为准，本项目设备最终验收分为现状老旧设备更换清单最终验收</w:t>
      </w:r>
      <w:r>
        <w:rPr>
          <w:rFonts w:hint="eastAsia" w:ascii="宋体" w:hAnsi="宋体" w:eastAsia="宋体" w:cs="宋体"/>
          <w:color w:val="auto"/>
          <w:sz w:val="21"/>
          <w:szCs w:val="21"/>
          <w:highlight w:val="none"/>
          <w:lang w:val="en-US" w:eastAsia="zh-CN"/>
        </w:rPr>
        <w:t>和</w:t>
      </w:r>
      <w:r>
        <w:rPr>
          <w:rFonts w:hint="default" w:ascii="宋体" w:hAnsi="宋体" w:eastAsia="宋体" w:cs="宋体"/>
          <w:color w:val="auto"/>
          <w:sz w:val="21"/>
          <w:szCs w:val="21"/>
          <w:highlight w:val="none"/>
          <w:lang w:val="en-US" w:eastAsia="zh-CN"/>
        </w:rPr>
        <w:t>原位技术成套设备清单最终验收。现状老旧设备更换清单最终验收自</w:t>
      </w:r>
      <w:r>
        <w:rPr>
          <w:rFonts w:hint="eastAsia" w:ascii="宋体" w:hAnsi="宋体" w:eastAsia="宋体" w:cs="宋体"/>
          <w:color w:val="auto"/>
          <w:sz w:val="21"/>
          <w:szCs w:val="21"/>
          <w:highlight w:val="none"/>
          <w:lang w:val="en-US" w:eastAsia="zh"/>
        </w:rPr>
        <w:t>生产性调试验收合格</w:t>
      </w:r>
      <w:r>
        <w:rPr>
          <w:rFonts w:hint="default" w:ascii="宋体" w:hAnsi="宋体" w:eastAsia="宋体" w:cs="宋体"/>
          <w:color w:val="auto"/>
          <w:sz w:val="21"/>
          <w:szCs w:val="21"/>
          <w:highlight w:val="none"/>
          <w:lang w:val="en-US" w:eastAsia="zh-CN"/>
        </w:rPr>
        <w:t>后方可开展，现状老旧设备更换清单最终验收模板暂定如下，验收报告内容及格式最终以招标人确定为准</w:t>
      </w:r>
      <w:r>
        <w:rPr>
          <w:rFonts w:hint="eastAsia" w:ascii="宋体" w:hAnsi="宋体" w:eastAsia="宋体" w:cs="宋体"/>
          <w:color w:val="auto"/>
          <w:kern w:val="0"/>
          <w:szCs w:val="21"/>
          <w:highlight w:val="none"/>
          <w:lang w:val="en-US" w:eastAsia="zh-CN" w:bidi="ar"/>
        </w:rPr>
        <w:t>，最终验收合格后，参与验收的各方应书面确认验收结果。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
        </w:rPr>
        <w:t>原位技术成套设备</w:t>
      </w:r>
      <w:r>
        <w:rPr>
          <w:rFonts w:hint="default" w:ascii="宋体" w:hAnsi="宋体" w:eastAsia="宋体" w:cs="宋体"/>
          <w:color w:val="auto"/>
          <w:sz w:val="21"/>
          <w:szCs w:val="21"/>
          <w:highlight w:val="none"/>
          <w:lang w:val="en-US" w:eastAsia="zh-CN"/>
        </w:rPr>
        <w:t>性能考核全部通过后，投标人可向招标人申请原位技术成套设备清单最终验收。原位技术成套设备最终验收成果文件内容要求及格式模板由招标人在完成第三年考核期前30日内结合投标人性能承诺及性能考核期内的完成情况确定。</w:t>
      </w:r>
      <w:r>
        <w:rPr>
          <w:rFonts w:hint="default" w:ascii="宋体" w:hAnsi="宋体" w:eastAsia="宋体" w:cs="宋体"/>
          <w:b w:val="0"/>
          <w:bCs w:val="0"/>
          <w:color w:val="auto"/>
          <w:kern w:val="2"/>
          <w:szCs w:val="21"/>
          <w:highlight w:val="none"/>
          <w:lang w:val="en-US" w:eastAsia="zh-CN" w:bidi="ar"/>
        </w:rPr>
        <w:t>现状老旧设备更换清单及原位技术成套设备清单</w:t>
      </w:r>
      <w:r>
        <w:rPr>
          <w:rFonts w:hint="default" w:ascii="宋体" w:hAnsi="宋体" w:eastAsia="宋体" w:cs="宋体"/>
          <w:b w:val="0"/>
          <w:bCs w:val="0"/>
          <w:color w:val="auto"/>
          <w:szCs w:val="21"/>
          <w:highlight w:val="none"/>
          <w:lang w:val="en-US" w:eastAsia="zh-CN"/>
        </w:rPr>
        <w:t>均通过最终验收视为本项目最终验收。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widowControl w:val="0"/>
        <w:spacing w:after="0" w:line="600" w:lineRule="exact"/>
        <w:jc w:val="center"/>
        <w:rPr>
          <w:rFonts w:hint="eastAsia" w:ascii="宋体" w:hAnsi="宋体" w:eastAsia="宋体" w:cs="宋体"/>
          <w:bCs/>
          <w:color w:val="auto"/>
          <w:spacing w:val="-20"/>
          <w:kern w:val="2"/>
          <w:sz w:val="44"/>
          <w:szCs w:val="44"/>
          <w:highlight w:val="none"/>
          <w:lang w:val="en-US" w:eastAsia="zh-CN" w:bidi="ar-SA"/>
        </w:rPr>
      </w:pPr>
      <w:r>
        <w:rPr>
          <w:rFonts w:hint="eastAsia" w:ascii="宋体" w:hAnsi="宋体" w:eastAsia="宋体" w:cs="宋体"/>
          <w:bCs/>
          <w:color w:val="auto"/>
          <w:spacing w:val="-20"/>
          <w:kern w:val="2"/>
          <w:sz w:val="44"/>
          <w:szCs w:val="44"/>
          <w:highlight w:val="none"/>
          <w:lang w:val="en-US" w:eastAsia="zh-CN" w:bidi="ar-SA"/>
        </w:rPr>
        <w:t>设备整体验收报告</w:t>
      </w:r>
    </w:p>
    <w:p>
      <w:pPr>
        <w:widowControl w:val="0"/>
        <w:spacing w:after="0" w:line="600" w:lineRule="exact"/>
        <w:jc w:val="center"/>
        <w:rPr>
          <w:rFonts w:hint="eastAsia" w:ascii="宋体" w:hAnsi="宋体" w:eastAsia="宋体" w:cs="宋体"/>
          <w:bCs/>
          <w:color w:val="auto"/>
          <w:kern w:val="2"/>
          <w:sz w:val="40"/>
          <w:szCs w:val="40"/>
          <w:highlight w:val="none"/>
          <w:lang w:val="en-US" w:eastAsia="zh-CN" w:bidi="ar-SA"/>
        </w:rPr>
      </w:pPr>
      <w:r>
        <w:rPr>
          <w:rFonts w:hint="eastAsia" w:ascii="宋体" w:hAnsi="宋体" w:eastAsia="宋体" w:cs="宋体"/>
          <w:bCs/>
          <w:color w:val="auto"/>
          <w:kern w:val="2"/>
          <w:sz w:val="40"/>
          <w:szCs w:val="40"/>
          <w:highlight w:val="none"/>
          <w:lang w:val="en-US" w:eastAsia="zh-CN" w:bidi="ar-SA"/>
        </w:rPr>
        <w:t>（现状老旧设备更换清单适用）</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b/>
          <w:color w:val="auto"/>
          <w:sz w:val="22"/>
          <w:szCs w:val="22"/>
          <w:highlight w:val="none"/>
          <w:lang w:eastAsia="zh"/>
        </w:rPr>
      </w:pPr>
      <w:r>
        <w:rPr>
          <w:rFonts w:hint="eastAsia" w:ascii="宋体" w:hAnsi="宋体" w:eastAsia="宋体" w:cs="宋体"/>
          <w:b/>
          <w:color w:val="auto"/>
          <w:sz w:val="22"/>
          <w:szCs w:val="22"/>
          <w:highlight w:val="none"/>
        </w:rPr>
        <w:t>编号：</w:t>
      </w:r>
    </w:p>
    <w:tbl>
      <w:tblPr>
        <w:tblStyle w:val="44"/>
        <w:tblW w:w="51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06"/>
        <w:gridCol w:w="371"/>
        <w:gridCol w:w="529"/>
        <w:gridCol w:w="488"/>
        <w:gridCol w:w="921"/>
        <w:gridCol w:w="240"/>
        <w:gridCol w:w="416"/>
        <w:gridCol w:w="635"/>
        <w:gridCol w:w="163"/>
        <w:gridCol w:w="192"/>
        <w:gridCol w:w="445"/>
        <w:gridCol w:w="474"/>
        <w:gridCol w:w="27"/>
        <w:gridCol w:w="1089"/>
        <w:gridCol w:w="139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6" w:type="pct"/>
            <w:gridSpan w:val="15"/>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c>
          <w:tcPr>
            <w:tcW w:w="1701" w:type="pct"/>
            <w:gridSpan w:val="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5"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3" w:type="pct"/>
            <w:gridSpan w:val="2"/>
            <w:vMerge w:val="restar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c>
          <w:tcPr>
            <w:tcW w:w="1701" w:type="pct"/>
            <w:gridSpan w:val="7"/>
            <w:vMerge w:val="restar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5"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联动调试验收</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3" w:type="pct"/>
            <w:gridSpan w:val="2"/>
            <w:vMerge w:val="continue"/>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701" w:type="pct"/>
            <w:gridSpan w:val="7"/>
            <w:vMerge w:val="continue"/>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5"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整体验收日期</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5"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8"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6"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二、货物信息及到货验收、调试情况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8" w:type="pct"/>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2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73"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5"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27"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8" w:type="pct"/>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2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78"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各阶段</w:t>
            </w:r>
            <w:r>
              <w:rPr>
                <w:rFonts w:hint="eastAsia" w:ascii="宋体" w:hAnsi="宋体" w:eastAsia="宋体" w:cs="宋体"/>
                <w:b/>
                <w:color w:val="auto"/>
                <w:sz w:val="22"/>
                <w:szCs w:val="22"/>
                <w:highlight w:val="none"/>
              </w:rPr>
              <w:t>调试情况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考核期运行情况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szCs w:val="22"/>
                <w:highlight w:val="none"/>
              </w:rPr>
            </w:pPr>
            <w:r>
              <w:rPr>
                <w:rFonts w:hint="eastAsia" w:ascii="宋体" w:hAnsi="宋体" w:eastAsia="宋体" w:cs="宋体"/>
                <w:b/>
                <w:color w:val="auto"/>
                <w:sz w:val="24"/>
                <w:highlight w:val="none"/>
              </w:rPr>
              <w:t>三、随机资料及备品备件、专用工具</w:t>
            </w:r>
          </w:p>
          <w:p>
            <w:pPr>
              <w:keepNext w:val="0"/>
              <w:keepLines w:val="0"/>
              <w:suppressLineNumbers w:val="0"/>
              <w:spacing w:before="0" w:beforeAutospacing="0" w:after="0" w:afterAutospacing="0" w:line="360" w:lineRule="auto"/>
              <w:ind w:left="0" w:right="0" w:firstLine="1760" w:firstLineChars="800"/>
              <w:jc w:val="both"/>
              <w:rPr>
                <w:rFonts w:hint="default" w:ascii="宋体" w:hAnsi="宋体" w:eastAsia="宋体" w:cs="宋体"/>
                <w:color w:val="auto"/>
                <w:sz w:val="22"/>
                <w:highlight w:val="none"/>
              </w:rPr>
            </w:pPr>
            <w:r>
              <w:rPr>
                <w:rFonts w:hint="eastAsia" w:ascii="宋体" w:hAnsi="宋体" w:eastAsia="宋体" w:cs="宋体"/>
                <w:color w:val="auto"/>
                <w:sz w:val="22"/>
                <w:highlight w:val="none"/>
              </w:rPr>
              <w:t>（填写移交资料及货物的详细清单、数量）</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color w:val="auto"/>
                <w:sz w:val="22"/>
                <w:szCs w:val="22"/>
                <w:highlight w:val="none"/>
              </w:rPr>
              <w:t>移交人：清点人：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四、人员培训</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1760" w:firstLineChars="800"/>
              <w:jc w:val="both"/>
              <w:rPr>
                <w:rFonts w:hint="default" w:ascii="宋体" w:hAnsi="宋体" w:eastAsia="宋体" w:cs="宋体"/>
                <w:color w:val="auto"/>
                <w:sz w:val="22"/>
                <w:highlight w:val="none"/>
              </w:rPr>
            </w:pPr>
            <w:r>
              <w:rPr>
                <w:rFonts w:hint="eastAsia" w:ascii="宋体" w:hAnsi="宋体" w:eastAsia="宋体" w:cs="宋体"/>
                <w:color w:val="auto"/>
                <w:sz w:val="22"/>
                <w:highlight w:val="none"/>
              </w:rPr>
              <w:t>（填写培训时间、培训人员数量、简述培训内容）</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五、存在问题</w:t>
            </w:r>
          </w:p>
          <w:p>
            <w:pPr>
              <w:keepNext w:val="0"/>
              <w:keepLines w:val="0"/>
              <w:suppressLineNumbers w:val="0"/>
              <w:spacing w:before="0" w:beforeAutospacing="0" w:after="0" w:afterAutospacing="0" w:line="240" w:lineRule="exact"/>
              <w:ind w:left="0" w:right="0" w:firstLine="462" w:firstLineChars="21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（填写设备存在问题。）</w:t>
            </w:r>
          </w:p>
          <w:p>
            <w:pPr>
              <w:keepNext w:val="0"/>
              <w:keepLines w:val="0"/>
              <w:suppressLineNumbers w:val="0"/>
              <w:spacing w:before="0" w:beforeAutospacing="0" w:after="0" w:afterAutospacing="0" w:line="360" w:lineRule="auto"/>
              <w:ind w:left="0" w:right="0" w:firstLine="464" w:firstLineChars="21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六、问题整改情况</w:t>
            </w: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（填写设备问题的整改情况。）</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00" w:type="pct"/>
            <w:gridSpan w:val="17"/>
            <w:noWrap w:val="0"/>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4"/>
                <w:highlight w:val="none"/>
              </w:rPr>
              <w:t>七、整体验收意见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参加整体验收的单位和代表（签章）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b/>
          <w:bCs/>
          <w:color w:val="auto"/>
          <w:highlight w:val="none"/>
          <w:lang w:val="en-US" w:eastAsia="zh-CN"/>
        </w:rPr>
      </w:pPr>
      <w:r>
        <w:rPr>
          <w:rFonts w:hint="eastAsia"/>
          <w:b/>
          <w:bCs/>
          <w:color w:val="auto"/>
          <w:highlight w:val="none"/>
          <w:lang w:val="en-US" w:eastAsia="zh-CN"/>
        </w:rPr>
        <w:t>第六节 设备其他要求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6.1.施工安全及其他要求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（1）施工设备、工器具：由投标人自行解决。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（2）施工中用水用电：招标人只负责提供接入点，投标人自行负责电缆线、水管及相关附属件的敷设，同时需做好用水、用电安全防护措施并无条件接受招标人监督。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（3）施工安全：投标人做好施工的安全防护措施，施工过程中出现的安全事故由投标人自行承担。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6.2.设备质保及售后要求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以书面形式提供货物原厂家的质量保障承诺，该等承诺不应低于本合同约定的标准。当由制造商直接负责售后服务时，不免除投标人对货物的质量及售后服务责任，投标人就货物质量及售后服务向招标人承担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（2）本项目设备的质保期内，投标人对本项目提供进行免费维修等质保服务，免费质保服务包括但不限于由投标人承担完成质保期的工作而产生的运费、购置费、测试费、人工费等各项费用。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6.3.项目设备参考品牌汇总表</w:t>
      </w:r>
    </w:p>
    <w:tbl>
      <w:tblPr>
        <w:tblStyle w:val="44"/>
        <w:tblpPr w:leftFromText="180" w:rightFromText="180" w:vertAnchor="text" w:horzAnchor="page" w:tblpX="1197" w:tblpY="28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8"/>
        <w:gridCol w:w="1783"/>
        <w:gridCol w:w="6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设备参考品牌汇总表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4016" w:type="pct"/>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4016"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预处理类设备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江苏天雨、浙江金山环保、无锡买山、江苏新浪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阀门类设备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武汉大禹、博纳斯威、江苏天雨、浙江金山环保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提升泵房水泵类设备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飞力、KSB、苏尔寿、威乐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污泥泵及搅拌器设备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飞力、苏尔寿、威乐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综合池泵类设备</w:t>
            </w:r>
          </w:p>
        </w:tc>
        <w:tc>
          <w:tcPr>
            <w:tcW w:w="401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台湾川源、南京蓝深、上海东方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综合池</w:t>
            </w:r>
            <w:r>
              <w:rPr>
                <w:rFonts w:hint="eastAsia" w:ascii="宋体" w:hAnsi="宋体" w:eastAsia="宋体" w:cs="宋体"/>
                <w:i w:val="0"/>
                <w:iCs w:val="0"/>
                <w:color w:val="auto"/>
                <w:kern w:val="0"/>
                <w:sz w:val="21"/>
                <w:szCs w:val="21"/>
                <w:highlight w:val="none"/>
                <w:u w:val="none"/>
                <w:lang w:val="en-US" w:eastAsia="zh" w:bidi="ar"/>
              </w:rPr>
              <w:t>搅拌</w:t>
            </w:r>
            <w:r>
              <w:rPr>
                <w:rFonts w:hint="eastAsia" w:ascii="宋体" w:hAnsi="宋体" w:eastAsia="宋体" w:cs="宋体"/>
                <w:i w:val="0"/>
                <w:iCs w:val="0"/>
                <w:color w:val="auto"/>
                <w:kern w:val="0"/>
                <w:sz w:val="21"/>
                <w:szCs w:val="21"/>
                <w:highlight w:val="none"/>
                <w:u w:val="none"/>
                <w:lang w:val="en-US" w:eastAsia="zh-CN" w:bidi="ar"/>
              </w:rPr>
              <w:t>设备</w:t>
            </w:r>
          </w:p>
        </w:tc>
        <w:tc>
          <w:tcPr>
            <w:tcW w:w="401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坎布里奇、</w:t>
            </w:r>
            <w:r>
              <w:rPr>
                <w:rFonts w:hint="eastAsia" w:ascii="宋体" w:hAnsi="宋体" w:eastAsia="宋体" w:cs="宋体"/>
                <w:i w:val="0"/>
                <w:iCs w:val="0"/>
                <w:color w:val="auto"/>
                <w:kern w:val="0"/>
                <w:sz w:val="21"/>
                <w:szCs w:val="21"/>
                <w:u w:val="none"/>
                <w:lang w:val="en-US" w:eastAsia="zh-CN" w:bidi="ar"/>
              </w:rPr>
              <w:t>无锡买山、上海东方、安徽华骐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9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加药系统设备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 w:bidi="ar"/>
              </w:rPr>
              <w:t>1</w:t>
            </w:r>
            <w:r>
              <w:rPr>
                <w:rFonts w:hint="eastAsia" w:ascii="宋体" w:hAnsi="宋体" w:eastAsia="宋体" w:cs="宋体"/>
                <w:i w:val="0"/>
                <w:iCs w:val="0"/>
                <w:color w:val="auto"/>
                <w:kern w:val="0"/>
                <w:sz w:val="21"/>
                <w:szCs w:val="21"/>
                <w:highlight w:val="none"/>
                <w:u w:val="none"/>
                <w:lang w:val="en-US" w:eastAsia="zh-CN" w:bidi="ar"/>
              </w:rPr>
              <w:t>、计量泵：普罗名特、米顿罗、格兰富、帕斯菲达；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 w:bidi="ar"/>
              </w:rPr>
              <w:t>2</w:t>
            </w:r>
            <w:r>
              <w:rPr>
                <w:rFonts w:hint="eastAsia" w:ascii="宋体" w:hAnsi="宋体" w:eastAsia="宋体" w:cs="宋体"/>
                <w:i w:val="0"/>
                <w:iCs w:val="0"/>
                <w:color w:val="auto"/>
                <w:kern w:val="0"/>
                <w:sz w:val="21"/>
                <w:szCs w:val="21"/>
                <w:highlight w:val="none"/>
                <w:u w:val="none"/>
                <w:lang w:val="en-US" w:eastAsia="zh-CN" w:bidi="ar"/>
              </w:rPr>
              <w:t>、流量计仪表：西门子、E+H、艾默生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 w:bidi="ar"/>
              </w:rPr>
              <w:t>3</w:t>
            </w:r>
            <w:r>
              <w:rPr>
                <w:rFonts w:hint="eastAsia" w:ascii="宋体" w:hAnsi="宋体" w:eastAsia="宋体" w:cs="宋体"/>
                <w:i w:val="0"/>
                <w:iCs w:val="0"/>
                <w:color w:val="auto"/>
                <w:kern w:val="0"/>
                <w:sz w:val="21"/>
                <w:szCs w:val="21"/>
                <w:highlight w:val="none"/>
                <w:u w:val="none"/>
                <w:lang w:val="en-US" w:eastAsia="zh-CN" w:bidi="ar"/>
              </w:rPr>
              <w:t>、PLC：AB、西门子、艾默生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 w:bidi="ar"/>
              </w:rPr>
              <w:t>4</w:t>
            </w:r>
            <w:r>
              <w:rPr>
                <w:rFonts w:hint="eastAsia" w:ascii="宋体" w:hAnsi="宋体" w:eastAsia="宋体" w:cs="宋体"/>
                <w:i w:val="0"/>
                <w:iCs w:val="0"/>
                <w:color w:val="auto"/>
                <w:kern w:val="0"/>
                <w:sz w:val="21"/>
                <w:szCs w:val="21"/>
                <w:highlight w:val="none"/>
                <w:u w:val="none"/>
                <w:lang w:val="en-US" w:eastAsia="zh-CN" w:bidi="ar"/>
              </w:rPr>
              <w:t>、螺杆泵：耐驰、莫诺、西派克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仪表设备</w:t>
            </w:r>
          </w:p>
        </w:tc>
        <w:tc>
          <w:tcPr>
            <w:tcW w:w="8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液位差计</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HACH、E+H、西门子、WTW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ORP仪表</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HACH、E+H、西门子、WTW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DO仪表</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HACH、E+H、西门子、WTW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8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u w:val="none"/>
                <w:lang w:val="en-US" w:eastAsia="zh-CN" w:bidi="ar-SA"/>
              </w:rPr>
              <w:t>MLSS仪表</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HACH、E+H、西门子、WTW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8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气体流量计</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HACH、西门子、E+H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sz w:val="21"/>
                <w:szCs w:val="21"/>
                <w:highlight w:val="none"/>
                <w:u w:val="none"/>
              </w:rPr>
            </w:pPr>
          </w:p>
        </w:tc>
        <w:tc>
          <w:tcPr>
            <w:tcW w:w="8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渠道流量计</w:t>
            </w: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HACH、西门子、WTW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83"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其他设备设施</w:t>
            </w:r>
          </w:p>
        </w:tc>
        <w:tc>
          <w:tcPr>
            <w:tcW w:w="8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p>
        </w:tc>
        <w:tc>
          <w:tcPr>
            <w:tcW w:w="31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 w:bidi="ar"/>
              </w:rPr>
              <w:t>其他</w:t>
            </w:r>
            <w:r>
              <w:rPr>
                <w:rFonts w:hint="eastAsia" w:ascii="宋体" w:hAnsi="宋体" w:eastAsia="宋体" w:cs="宋体"/>
                <w:i w:val="0"/>
                <w:iCs w:val="0"/>
                <w:color w:val="auto"/>
                <w:kern w:val="0"/>
                <w:sz w:val="21"/>
                <w:szCs w:val="21"/>
                <w:highlight w:val="none"/>
                <w:u w:val="none"/>
                <w:lang w:val="en-US" w:eastAsia="zh-CN" w:bidi="ar"/>
              </w:rPr>
              <w:t>仪表设备</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1.在线检测仪：HACH、WTW、岛津；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2.流量计仪表：西门子、E+H、艾默生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PLC站</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PLC：AB、西门子、艾默生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PLC柜</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元器件品牌：AB Bulletin系列、ABB A系列及CM-ENS系列、西门子SIRIUS系列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触摸屏</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昆仑通态、步科、威纶通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UPS电源</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易事特、华为、科士达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仪表电源箱</w:t>
            </w:r>
          </w:p>
        </w:tc>
        <w:tc>
          <w:tcPr>
            <w:tcW w:w="401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 w:bidi="ar"/>
              </w:rPr>
            </w:pPr>
            <w:r>
              <w:rPr>
                <w:rFonts w:hint="eastAsia" w:ascii="宋体" w:hAnsi="宋体" w:eastAsia="宋体" w:cs="宋体"/>
                <w:i w:val="0"/>
                <w:iCs w:val="0"/>
                <w:color w:val="auto"/>
                <w:kern w:val="0"/>
                <w:sz w:val="21"/>
                <w:szCs w:val="21"/>
                <w:highlight w:val="none"/>
                <w:u w:val="none"/>
                <w:lang w:val="en-US" w:eastAsia="zh" w:bidi="ar"/>
              </w:rPr>
              <w:t>元器件品牌：AB Bulletin系列、ABB A系列及CM-ENS系列、西门子SIRIUS系列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pPr>
        <w:pStyle w:val="2"/>
        <w:jc w:val="center"/>
        <w:rPr>
          <w:rFonts w:hint="eastAsia"/>
          <w:b/>
          <w:bCs/>
          <w:color w:val="auto"/>
          <w:highlight w:val="none"/>
          <w:lang w:val="en-US" w:eastAsia="zh-CN"/>
        </w:rPr>
      </w:pPr>
      <w:r>
        <w:rPr>
          <w:rFonts w:hint="eastAsia"/>
          <w:b/>
          <w:bCs/>
          <w:color w:val="auto"/>
          <w:highlight w:val="none"/>
          <w:lang w:val="en-US" w:eastAsia="zh-CN"/>
        </w:rPr>
        <w:t>第</w:t>
      </w:r>
      <w:r>
        <w:rPr>
          <w:rFonts w:hint="eastAsia"/>
          <w:b/>
          <w:bCs/>
          <w:color w:val="auto"/>
          <w:highlight w:val="none"/>
          <w:lang w:val="en-US" w:eastAsia="zh"/>
        </w:rPr>
        <w:t>七</w:t>
      </w:r>
      <w:r>
        <w:rPr>
          <w:rFonts w:hint="eastAsia"/>
          <w:b/>
          <w:bCs/>
          <w:color w:val="auto"/>
          <w:highlight w:val="none"/>
          <w:lang w:val="en-US" w:eastAsia="zh-CN"/>
        </w:rPr>
        <w:t>节 资料要求及招标设计图纸目录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8.1.投标人提交技术资料的总体要求：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（1）投标人提供的所有技术文件及相关书面资料将作为合同的必要组成部分与合同一起生效执行。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（2）投标人提供的技术文件应是完整的、清晰易读的、容易阅读并且无错误。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（3）投标人提交的技术响应文件均用简体中文编写，所有尺寸单位应是国际单位（SI）制。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（4）进口设备除提交英文技术文件外必须同时提供简体中文对应译本，并以中文译本为准。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（5）图纸和资料的补充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在出现遗漏或发现错误时，有关设备的补充资料应及时提交招标人和设计人进行补充设计或设计变更。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（6）图纸的修改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本用户需求书的技术要求对投标人均是严格的规定，投标人应遵守这些规定。但投标人也可根据自己提供更优的设备对设计人的图纸提出必要的改动建议，是否采纳由招标人根据情况和合理性决定。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（7）图纸标准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所有图纸尺寸应用一种规格的图纸A2幅面，除非经设计人同意。所有计量采用国际单位制（SI制），所有注释，标题和说明应为中文。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全部图纸必须清晰，完整，并与相应的工程图纸和技术规定的要求相符。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（8）全部资料应分类清晰、适当的装订成册，文件夹为硬塑料夹，夹内文件应取放方便。但投标阶段，招标文件对投标文件的编制、装订另有规定的，从其规定。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（9）各阶段的资料均需以子项目为单位进行准备、递交。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8.2.各阶段递交技术资料的要求：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8.2.1.设计阶段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应在收到中标通知后2周内向招标人及设计人提供3份完整的所有供货设备的必要技术资料（含纸质和电子文件），以便设计人进行详细施工图设计。投标人必须保证技术资料符合本项目安装需求。如因投标人提供的技术资料错误导致设备无法安装的，由此造成的一切损失由投标人承担。此部分图纸应为一切与土建有关的预埋件、孔洞、沟槽、基础及设备平面布置及负载详细图纸。（电子文档以U盘作为存储介质交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如果投标人不能一次按时提供全部资料，在征得招标人、设计人书面同意后可以在三个月内提交全部资料。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（2）设计资料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投标人应负责提供与供货设备相关的及供货界线内的所有必要资料，以便设计人完成详细设计。包括（但不限于此）：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A、投标人供货范围内的设备图纸及设备说明书。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每台电动机的电量参数，包括：额定功率、额定电压、额定电流、直接启动电流、自然功率因数、电动机效率。水泵和风机还应提交最大轴功率。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配套变频器装置的机械设备应提交变频器13次及以下的谐波电流值。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电控柜（箱）的外形尺寸、安装方式。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电控柜（箱）的控制原理图、端子图。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配套电缆的型号、规格、长度。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B、在设备安装时对土建构筑物的专门要求及图纸。包括基础、承载力、设备重量、材料种类和加工等。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C、交货界区内详细的设备的工作图及安装图。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D、第三节详细技术要求中所要求提供的技术资料。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E、交货界区内用电设备清单，指明穿过交货界区的电缆连接件和电缆一览表、端子图。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F、交货界区内控制系统软件和电缆表、端子图。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G、机械设备配套电气设备及控制箱（柜）图纸，包括</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接线图—现场电气控制箱的单线图，控制柜的功能单元和有关的控制，保护及仪表设备的控制原理图，电缆及内部接线。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位置图—电缆通道，电缆走向、设备通道，常规及周期性维修间隙的要求，按照IEC133提供布置图。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电缆清单—须标明电缆名称、芯数、截面、载流量、功能、起终点及工程量。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总布置图—设备的总体布置图，详图和一览表等。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端子图—动力连接和控制，保护及测量的单独端子排要分开，每只端子两端均应编号，电缆及端子表或端子图需表明功能和电缆芯数。与其他承包商所供设备之间的连接外接端子应单列。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8.2.2.交货阶段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（1）设备安装运行维护手册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投标人在设备交货的同时应提供全套由制造厂签字的技术文件及所有设备的安装操作、维修手册。这些设备包括工艺设备、电器设备、中心控制及其它控制装置等全部供货设备。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所有设备必须提供满足现场装配的设备装配图。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（2）安装调试资料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A、调试大纲，应包括但不限于以下内容：调试阶段详细的进度计划；调试阶段划分，阶段目标、程序、测试方法；调试班子的人员、设备、仪器的配备；对调试中可能出现的故障的预防及排除措施；安全措施。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B、单机无负荷试车质量评定表。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C、单机带负荷试车质量评定表。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D、无负荷联动试车评定表。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E、联合试运转评定表。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F、质量和安全事故处理报告。（有则提供）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（3）运行保养维修手册内容要求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A.运行手册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污水处理厂操作管理人员所用的运行手册，应当包括下列各项内容，但不限于这些内容：操作步骤；在运行中应采取的安全操作须知；基本保养常识；可能引起事故的原因及解除方法；其它要求。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B.保养手册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①日常维修、试验和更换部件的手续、步骤和时间。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②图示容易出事故地方，并提出补救措施，以便操作人员可以迅速寻找出事故的原因和消灭这些误动作和误接合。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③一张完整的，可采用的润滑剂表和单个设备的润滑图表。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④一份备品备件清单，它应包括电气和机械设备上应该有的全部备品备件，并说明订货方法方面的参考资料和备件名称。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⑤提供一份完整的制造商和投标人的名称表，它应包括有地址、电话号码、传真号码、邮政编码以及在中国的代理商。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⑥提供一份完整的制造商提供的设备操作维修的指导事项表，按制造商名字序列排列，并用设备件号、型号、图号和文字相配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（4）完整的装箱单、产品合格证、质保保证书、维修手册及服务卡。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（5）投标人应提供设备性能、测试性能、测试报告和其它重要资料。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8.2.3.验收阶段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投标人在完成竣工验收合格后1个月内，向招标人（</w:t>
      </w:r>
      <w:r>
        <w:rPr>
          <w:rFonts w:hint="default"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
        </w:rPr>
        <w:t>招标人委派的</w:t>
      </w:r>
      <w:r>
        <w:rPr>
          <w:rFonts w:hint="eastAsia" w:ascii="宋体" w:hAnsi="宋体" w:eastAsia="宋体" w:cs="宋体"/>
          <w:color w:val="auto"/>
          <w:sz w:val="21"/>
          <w:szCs w:val="21"/>
          <w:highlight w:val="none"/>
          <w:lang w:val="en-US" w:eastAsia="zh-CN"/>
        </w:rPr>
        <w:t>技术服务单位）分别移交四套符合现行工程验收规范的竣工资料和一套电子档扫描件（以光盘或U盘作为存储介质交付）。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8.3.项目相关图纸（详见附件）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pPr>
        <w:spacing w:line="240" w:lineRule="auto"/>
        <w:ind w:firstLine="422" w:firstLineChars="200"/>
        <w:outlineLvl w:val="0"/>
        <w:rPr>
          <w:rFonts w:hint="eastAsia" w:ascii="宋体" w:hAnsi="宋体" w:eastAsia="宋体" w:cs="宋体"/>
          <w:b/>
          <w:color w:val="auto"/>
          <w:sz w:val="21"/>
          <w:szCs w:val="21"/>
          <w:highlight w:val="none"/>
          <w:lang w:val="zh-CN" w:eastAsia="zh-CN"/>
        </w:rPr>
      </w:pPr>
    </w:p>
    <w:p>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宋体"/>
          <w:b/>
          <w:color w:val="auto"/>
          <w:kern w:val="0"/>
          <w:sz w:val="52"/>
          <w:szCs w:val="52"/>
          <w:highlight w:val="none"/>
          <w:lang w:eastAsia="zh-CN" w:bidi="ar"/>
        </w:rPr>
        <w:t>东莞市长安新区污水处理厂原位技术升级设备采购及安装项目</w:t>
      </w:r>
      <w:r>
        <w:rPr>
          <w:rFonts w:hint="eastAsia" w:ascii="宋体" w:hAnsi="宋体" w:eastAsia="宋体" w:cs="Times New Roman"/>
          <w:bCs/>
          <w:color w:val="auto"/>
          <w:kern w:val="0"/>
          <w:sz w:val="52"/>
          <w:szCs w:val="52"/>
          <w:highlight w:val="none"/>
          <w:lang w:bidi="ar"/>
        </w:rPr>
        <w:t xml:space="preserve"> </w:t>
      </w:r>
    </w:p>
    <w:p>
      <w:pPr>
        <w:autoSpaceDE w:val="0"/>
        <w:autoSpaceDN w:val="0"/>
        <w:adjustRightInd w:val="0"/>
        <w:spacing w:before="1141" w:beforeLines="350" w:after="489"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lang w:bidi="ar"/>
        </w:rPr>
        <w:t>采购合同</w:t>
      </w:r>
    </w:p>
    <w:p>
      <w:pPr>
        <w:autoSpaceDE w:val="0"/>
        <w:autoSpaceDN w:val="0"/>
        <w:adjustRightInd w:val="0"/>
        <w:spacing w:line="360" w:lineRule="auto"/>
        <w:jc w:val="center"/>
        <w:rPr>
          <w:rFonts w:ascii="宋体" w:hAnsi="宋体" w:eastAsia="宋体" w:cs="Times New Roman"/>
          <w:b/>
          <w:bCs/>
          <w:color w:val="auto"/>
          <w:kern w:val="0"/>
          <w:sz w:val="24"/>
          <w:szCs w:val="24"/>
          <w:highlight w:val="none"/>
        </w:rPr>
      </w:pPr>
      <w:r>
        <w:rPr>
          <w:rFonts w:hint="eastAsia" w:ascii="宋体" w:hAnsi="宋体" w:eastAsia="宋体" w:cs="宋体"/>
          <w:b/>
          <w:bCs/>
          <w:color w:val="auto"/>
          <w:kern w:val="0"/>
          <w:sz w:val="24"/>
          <w:szCs w:val="24"/>
          <w:highlight w:val="none"/>
          <w:lang w:bidi="ar"/>
        </w:rPr>
        <w:t>（合同编号：</w:t>
      </w:r>
      <w:r>
        <w:rPr>
          <w:rFonts w:hint="eastAsia" w:ascii="宋体" w:hAnsi="宋体" w:eastAsia="宋体" w:cs="Times New Roman"/>
          <w:b/>
          <w:bCs/>
          <w:color w:val="auto"/>
          <w:kern w:val="0"/>
          <w:sz w:val="24"/>
          <w:szCs w:val="24"/>
          <w:highlight w:val="none"/>
          <w:lang w:bidi="ar"/>
        </w:rPr>
        <w:t xml:space="preserve">       </w:t>
      </w:r>
      <w:r>
        <w:rPr>
          <w:rFonts w:hint="eastAsia" w:ascii="宋体" w:hAnsi="宋体" w:eastAsia="宋体" w:cs="宋体"/>
          <w:b/>
          <w:bCs/>
          <w:color w:val="auto"/>
          <w:kern w:val="0"/>
          <w:sz w:val="24"/>
          <w:szCs w:val="24"/>
          <w:highlight w:val="none"/>
          <w:lang w:bidi="ar"/>
        </w:rPr>
        <w:t>）</w:t>
      </w:r>
    </w:p>
    <w:p>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lang w:bidi="ar"/>
        </w:rPr>
        <w:t xml:space="preserve"> </w:t>
      </w:r>
    </w:p>
    <w:p>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lang w:bidi="ar"/>
        </w:rPr>
        <w:t>甲方：</w:t>
      </w:r>
      <w:r>
        <w:rPr>
          <w:rFonts w:hint="eastAsia" w:ascii="宋体" w:hAnsi="宋体" w:eastAsia="宋体" w:cs="宋体"/>
          <w:b/>
          <w:bCs/>
          <w:color w:val="auto"/>
          <w:kern w:val="0"/>
          <w:sz w:val="28"/>
          <w:szCs w:val="28"/>
          <w:highlight w:val="none"/>
          <w:u w:val="single"/>
          <w:lang w:bidi="ar"/>
        </w:rPr>
        <w:t>东莞市石鼓净水有限公司</w:t>
      </w:r>
      <w:r>
        <w:rPr>
          <w:rFonts w:hint="eastAsia" w:ascii="宋体" w:hAnsi="宋体" w:eastAsia="宋体" w:cs="Times New Roman"/>
          <w:b/>
          <w:bCs/>
          <w:color w:val="auto"/>
          <w:kern w:val="0"/>
          <w:sz w:val="28"/>
          <w:szCs w:val="28"/>
          <w:highlight w:val="none"/>
          <w:u w:val="single"/>
          <w:lang w:bidi="ar"/>
        </w:rPr>
        <w:t xml:space="preserve"> </w:t>
      </w:r>
      <w:r>
        <w:rPr>
          <w:rFonts w:hint="eastAsia" w:ascii="宋体" w:hAnsi="宋体" w:eastAsia="宋体" w:cs="Times New Roman"/>
          <w:b/>
          <w:bCs/>
          <w:color w:val="auto"/>
          <w:kern w:val="0"/>
          <w:sz w:val="28"/>
          <w:szCs w:val="28"/>
          <w:highlight w:val="none"/>
          <w:lang w:bidi="ar"/>
        </w:rPr>
        <w:t xml:space="preserve"> </w:t>
      </w:r>
    </w:p>
    <w:p>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lang w:bidi="ar"/>
        </w:rPr>
        <w:t>乙方：</w:t>
      </w:r>
      <w:r>
        <w:rPr>
          <w:rFonts w:hint="eastAsia" w:ascii="宋体" w:hAnsi="宋体" w:eastAsia="宋体" w:cs="宋体"/>
          <w:b/>
          <w:bCs/>
          <w:color w:val="auto"/>
          <w:kern w:val="0"/>
          <w:sz w:val="28"/>
          <w:szCs w:val="28"/>
          <w:highlight w:val="none"/>
          <w:u w:val="single"/>
          <w:lang w:bidi="ar"/>
        </w:rPr>
        <w:t xml:space="preserve">                          </w:t>
      </w:r>
    </w:p>
    <w:p>
      <w:pPr>
        <w:autoSpaceDE w:val="0"/>
        <w:autoSpaceDN w:val="0"/>
        <w:adjustRightInd w:val="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 xml:space="preserve"> </w:t>
      </w: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br w:type="page"/>
      </w:r>
    </w:p>
    <w:p>
      <w:pPr>
        <w:autoSpaceDE w:val="0"/>
        <w:autoSpaceDN w:val="0"/>
        <w:adjustRightInd w:val="0"/>
        <w:snapToGrid w:val="0"/>
        <w:spacing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bidi="ar"/>
        </w:rPr>
        <w:t>甲方</w:t>
      </w:r>
      <w:r>
        <w:rPr>
          <w:rFonts w:hint="eastAsia" w:ascii="宋体" w:hAnsi="宋体" w:eastAsia="宋体" w:cs="宋体"/>
          <w:color w:val="auto"/>
          <w:kern w:val="0"/>
          <w:szCs w:val="21"/>
          <w:highlight w:val="none"/>
          <w:lang w:bidi="ar"/>
        </w:rPr>
        <w:t>：</w:t>
      </w: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pPr>
        <w:autoSpaceDE w:val="0"/>
        <w:autoSpaceDN w:val="0"/>
        <w:adjustRightInd w:val="0"/>
        <w:snapToGrid w:val="0"/>
        <w:spacing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bidi="ar"/>
        </w:rPr>
        <w:t>乙方</w:t>
      </w:r>
      <w:r>
        <w:rPr>
          <w:rFonts w:hint="eastAsia" w:ascii="宋体" w:hAnsi="宋体" w:eastAsia="宋体" w:cs="宋体"/>
          <w:color w:val="auto"/>
          <w:kern w:val="0"/>
          <w:szCs w:val="21"/>
          <w:highlight w:val="none"/>
          <w:lang w:bidi="ar"/>
        </w:rPr>
        <w:t>：</w:t>
      </w:r>
      <w:r>
        <w:rPr>
          <w:rFonts w:hint="eastAsia" w:ascii="宋体" w:hAnsi="宋体" w:eastAsia="宋体" w:cs="Times New Roman"/>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根据《中华人民共和国民法典》及</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日通知的</w:t>
      </w:r>
      <w:r>
        <w:rPr>
          <w:rFonts w:hint="eastAsia" w:ascii="宋体" w:hAnsi="宋体" w:eastAsia="宋体" w:cs="宋体"/>
          <w:color w:val="auto"/>
          <w:kern w:val="0"/>
          <w:szCs w:val="21"/>
          <w:highlight w:val="none"/>
          <w:u w:val="single"/>
          <w:lang w:eastAsia="zh-CN" w:bidi="ar"/>
        </w:rPr>
        <w:t>东莞市长安新区污水处理厂原位技术升级设备采购及安装项目</w:t>
      </w:r>
      <w:r>
        <w:rPr>
          <w:rFonts w:hint="eastAsia" w:ascii="宋体" w:hAnsi="宋体" w:eastAsia="宋体" w:cs="宋体"/>
          <w:color w:val="auto"/>
          <w:kern w:val="0"/>
          <w:szCs w:val="21"/>
          <w:highlight w:val="none"/>
          <w:lang w:bidi="ar"/>
        </w:rPr>
        <w:t>中标结果（招标编号：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lang w:bidi="ar"/>
        </w:rPr>
        <w:t>）和招标文件的要求，经双方协商一致，签订本合同。</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第一条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合同项目</w:t>
      </w:r>
    </w:p>
    <w:p>
      <w:pPr>
        <w:numPr>
          <w:ilvl w:val="0"/>
          <w:numId w:val="0"/>
        </w:numPr>
        <w:autoSpaceDE w:val="0"/>
        <w:autoSpaceDN w:val="0"/>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szCs w:val="21"/>
          <w:highlight w:val="none"/>
          <w:lang w:bidi="ar"/>
        </w:rPr>
        <w:t>本项目</w:t>
      </w:r>
      <w:r>
        <w:rPr>
          <w:rFonts w:hint="eastAsia" w:ascii="宋体" w:hAnsi="宋体" w:eastAsia="宋体" w:cs="宋体"/>
          <w:color w:val="auto"/>
          <w:szCs w:val="21"/>
          <w:highlight w:val="none"/>
          <w:lang w:val="en-US" w:eastAsia="zh-CN" w:bidi="ar"/>
        </w:rPr>
        <w:t>招标</w:t>
      </w:r>
      <w:r>
        <w:rPr>
          <w:rFonts w:hint="eastAsia" w:ascii="宋体" w:hAnsi="宋体" w:eastAsia="宋体" w:cs="宋体"/>
          <w:color w:val="auto"/>
          <w:szCs w:val="21"/>
          <w:highlight w:val="none"/>
          <w:lang w:bidi="ar"/>
        </w:rPr>
        <w:t>范围主要为</w:t>
      </w:r>
      <w:r>
        <w:rPr>
          <w:rFonts w:hint="eastAsia" w:ascii="宋体" w:hAnsi="宋体" w:eastAsia="宋体" w:cs="宋体"/>
          <w:color w:val="auto"/>
          <w:kern w:val="0"/>
          <w:szCs w:val="21"/>
          <w:highlight w:val="none"/>
          <w:u w:val="none"/>
          <w:lang w:eastAsia="zh-CN" w:bidi="ar"/>
        </w:rPr>
        <w:t>长安新区污水处理厂</w:t>
      </w:r>
      <w:r>
        <w:rPr>
          <w:rFonts w:hint="eastAsia" w:ascii="宋体" w:hAnsi="宋体" w:eastAsia="宋体" w:cs="宋体"/>
          <w:color w:val="auto"/>
          <w:szCs w:val="21"/>
          <w:highlight w:val="none"/>
          <w:lang w:bidi="ar"/>
        </w:rPr>
        <w:t>现状老旧设备更换和原位技术</w:t>
      </w:r>
      <w:r>
        <w:rPr>
          <w:rFonts w:hint="eastAsia" w:ascii="宋体" w:hAnsi="宋体" w:eastAsia="宋体" w:cs="宋体"/>
          <w:color w:val="auto"/>
          <w:szCs w:val="21"/>
          <w:highlight w:val="none"/>
          <w:lang w:val="en-US" w:eastAsia="zh" w:bidi="ar"/>
        </w:rPr>
        <w:t>成套</w:t>
      </w:r>
      <w:r>
        <w:rPr>
          <w:rFonts w:hint="eastAsia" w:ascii="宋体" w:hAnsi="宋体" w:eastAsia="宋体" w:cs="宋体"/>
          <w:color w:val="auto"/>
          <w:szCs w:val="21"/>
          <w:highlight w:val="none"/>
          <w:lang w:bidi="ar"/>
        </w:rPr>
        <w:t>设备</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本项目内所有设备（含成套设备供应所需的配套管配件、阀门、连接件等）均为本次</w:t>
      </w:r>
      <w:r>
        <w:rPr>
          <w:rFonts w:hint="eastAsia" w:ascii="宋体" w:hAnsi="宋体" w:eastAsia="宋体" w:cs="宋体"/>
          <w:color w:val="auto"/>
          <w:szCs w:val="21"/>
          <w:highlight w:val="none"/>
          <w:lang w:val="en-US" w:eastAsia="zh-CN" w:bidi="ar"/>
        </w:rPr>
        <w:t>合同</w:t>
      </w:r>
      <w:r>
        <w:rPr>
          <w:rFonts w:hint="eastAsia" w:ascii="宋体" w:hAnsi="宋体" w:eastAsia="宋体" w:cs="宋体"/>
          <w:color w:val="auto"/>
          <w:szCs w:val="21"/>
          <w:highlight w:val="none"/>
          <w:lang w:bidi="ar"/>
        </w:rPr>
        <w:t>范围</w:t>
      </w:r>
      <w:r>
        <w:rPr>
          <w:rFonts w:hint="eastAsia" w:ascii="宋体" w:hAnsi="宋体" w:eastAsia="宋体" w:cs="宋体"/>
          <w:color w:val="auto"/>
          <w:szCs w:val="21"/>
          <w:highlight w:val="none"/>
          <w:lang w:eastAsia="zh-CN" w:bidi="ar"/>
        </w:rPr>
        <w:t>。</w:t>
      </w:r>
    </w:p>
    <w:p>
      <w:pPr>
        <w:numPr>
          <w:ilvl w:val="-1"/>
          <w:numId w:val="0"/>
        </w:num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本合同的交货</w:t>
      </w:r>
      <w:r>
        <w:rPr>
          <w:rFonts w:hint="eastAsia" w:ascii="宋体" w:hAnsi="宋体" w:eastAsia="宋体" w:cs="宋体"/>
          <w:color w:val="auto"/>
          <w:szCs w:val="21"/>
          <w:highlight w:val="none"/>
          <w:lang w:eastAsia="zh-CN" w:bidi="ar"/>
        </w:rPr>
        <w:t>安装、调试时间要求</w:t>
      </w:r>
      <w:r>
        <w:rPr>
          <w:rFonts w:hint="eastAsia" w:ascii="宋体" w:hAnsi="宋体" w:eastAsia="宋体" w:cs="宋体"/>
          <w:color w:val="auto"/>
          <w:szCs w:val="21"/>
          <w:highlight w:val="none"/>
          <w:lang w:bidi="ar"/>
        </w:rPr>
        <w:t>：</w:t>
      </w:r>
    </w:p>
    <w:p>
      <w:pPr>
        <w:spacing w:line="360" w:lineRule="auto"/>
        <w:ind w:firstLine="420" w:firstLineChars="20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（1）交货期限:乙方应自甲方发出的书面供货通知中载明的供货之日起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val="en-US" w:eastAsia="zh-CN" w:bidi="ar"/>
        </w:rPr>
        <w:t>日内完成现状老旧设备更换清单及原位技术成套设备清单等相关设备的现场到货及初步验收工作。乙方应在计划发货前至少7日向甲方提交书面发货通知，经甲方同意后方可发货。如有违反，由此造成的仓储与保管费用以及货物毁损灭失的风险由乙方全部承担。</w:t>
      </w:r>
    </w:p>
    <w:p>
      <w:pPr>
        <w:spacing w:line="360" w:lineRule="auto"/>
        <w:ind w:firstLine="420" w:firstLineChars="20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（2）安装工作的开始时间由甲方另行书面通知确定，乙方应在接到甲方书面通知后</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val="en-US" w:eastAsia="zh-CN" w:bidi="ar"/>
        </w:rPr>
        <w:t>日内完成全部安装工作。</w:t>
      </w:r>
    </w:p>
    <w:p>
      <w:pPr>
        <w:spacing w:line="360" w:lineRule="auto"/>
        <w:ind w:firstLine="420" w:firstLineChars="20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（3）调试工作的开始时间由甲方另行书面通知确定，乙方应在接到甲方书面通知后</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val="en-US" w:eastAsia="zh-CN" w:bidi="ar"/>
        </w:rPr>
        <w:t>日内完成全部调试工作（包含设备单机调试、系统联动调试、生产性调试等所有调试内容）。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sz w:val="21"/>
          <w:szCs w:val="21"/>
          <w:highlight w:val="none"/>
        </w:rPr>
        <w:t>交货地点：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本项目所有的设备交货地点为东莞市长安新区污水处理厂。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后续如需更改交货地点，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需在</w:t>
      </w:r>
      <w:r>
        <w:rPr>
          <w:rFonts w:hint="eastAsia" w:ascii="宋体" w:hAnsi="宋体" w:eastAsia="宋体" w:cs="宋体"/>
          <w:color w:val="auto"/>
          <w:sz w:val="21"/>
          <w:szCs w:val="21"/>
          <w:highlight w:val="none"/>
          <w:lang w:val="en-US" w:eastAsia="zh-CN"/>
        </w:rPr>
        <w:t>收到乙方书面发货通知后、</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实际</w:t>
      </w:r>
      <w:r>
        <w:rPr>
          <w:rFonts w:hint="eastAsia" w:ascii="宋体" w:hAnsi="宋体" w:eastAsia="宋体" w:cs="宋体"/>
          <w:color w:val="auto"/>
          <w:sz w:val="21"/>
          <w:szCs w:val="21"/>
          <w:highlight w:val="none"/>
        </w:rPr>
        <w:t>发货时间前5</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以书面形式通知</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负责所供设备运至</w:t>
      </w:r>
      <w:r>
        <w:rPr>
          <w:rFonts w:hint="eastAsia" w:ascii="宋体" w:hAnsi="宋体" w:eastAsia="宋体" w:cs="宋体"/>
          <w:color w:val="auto"/>
          <w:sz w:val="21"/>
          <w:szCs w:val="21"/>
          <w:highlight w:val="none"/>
          <w:lang w:val="zh-CN"/>
        </w:rPr>
        <w:t>交货地点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指定的位置，并负责到场设备的搬卸、安全措施等，相关费用由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w:t>
      </w:r>
    </w:p>
    <w:p>
      <w:pPr>
        <w:numPr>
          <w:ilvl w:val="0"/>
          <w:numId w:val="0"/>
        </w:numPr>
        <w:autoSpaceDE/>
        <w:autoSpaceDN/>
        <w:adjustRightInd/>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交货方式与风险承担：在货物移交给甲方并经甲方最终验收合格前，货物的毁损、灭失的风险和责任均由乙方承担。</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第二条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sz w:val="21"/>
          <w:szCs w:val="21"/>
          <w:highlight w:val="none"/>
        </w:rPr>
        <w:t>合同价款及销项税价</w:t>
      </w:r>
    </w:p>
    <w:p>
      <w:pPr>
        <w:keepNext w:val="0"/>
        <w:keepLines w:val="0"/>
        <w:widowControl w:val="0"/>
        <w:suppressLineNumbers w:val="0"/>
        <w:spacing w:before="0" w:beforeAutospacing="0" w:after="0" w:afterAutospacing="0"/>
        <w:ind w:left="420" w:leftChars="200" w:right="0"/>
        <w:jc w:val="both"/>
        <w:rPr>
          <w:rFonts w:hint="eastAsia" w:ascii="宋体" w:hAnsi="宋体" w:eastAsia="宋体" w:cs="宋体"/>
          <w:color w:val="auto"/>
          <w:kern w:val="0"/>
          <w:szCs w:val="21"/>
          <w:highlight w:val="none"/>
          <w:lang w:bidi="ar"/>
        </w:rPr>
      </w:pPr>
    </w:p>
    <w:p>
      <w:pPr>
        <w:autoSpaceDE w:val="0"/>
        <w:autoSpaceDN w:val="0"/>
        <w:adjustRightInd w:val="0"/>
        <w:spacing w:line="360" w:lineRule="auto"/>
        <w:ind w:firstLine="630" w:firstLineChars="3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 w:val="21"/>
          <w:szCs w:val="21"/>
          <w:highlight w:val="none"/>
          <w:lang w:bidi="ar"/>
        </w:rPr>
        <w:t>本合同价（即销售额，不含乙方销项税额）为¥</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元（大写人民币</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 w:bidi="ar"/>
        </w:rPr>
        <w:t>，其中（1）</w:t>
      </w:r>
      <w:r>
        <w:rPr>
          <w:rFonts w:hint="eastAsia" w:ascii="宋体" w:hAnsi="宋体" w:eastAsia="宋体" w:cs="宋体"/>
          <w:color w:val="auto"/>
          <w:kern w:val="0"/>
          <w:sz w:val="21"/>
          <w:szCs w:val="21"/>
          <w:highlight w:val="none"/>
          <w:lang w:val="en-US" w:eastAsia="zh-CN" w:bidi="ar"/>
        </w:rPr>
        <w:t>现状老旧设备更换</w:t>
      </w:r>
      <w:r>
        <w:rPr>
          <w:rFonts w:hint="eastAsia" w:ascii="宋体" w:hAnsi="宋体" w:eastAsia="宋体" w:cs="宋体"/>
          <w:color w:val="auto"/>
          <w:kern w:val="0"/>
          <w:sz w:val="21"/>
          <w:szCs w:val="21"/>
          <w:highlight w:val="none"/>
          <w:lang w:val="en-US" w:eastAsia="zh" w:bidi="ar"/>
        </w:rPr>
        <w:t>项目</w:t>
      </w:r>
      <w:r>
        <w:rPr>
          <w:rFonts w:hint="eastAsia" w:ascii="宋体" w:hAnsi="宋体" w:eastAsia="宋体" w:cs="宋体"/>
          <w:color w:val="auto"/>
          <w:kern w:val="0"/>
          <w:sz w:val="21"/>
          <w:szCs w:val="21"/>
          <w:highlight w:val="none"/>
          <w:lang w:bidi="ar"/>
        </w:rPr>
        <w:t>（即销售额，不含乙方销项税额）为¥</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元（大写人民币</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 w:bidi="ar"/>
        </w:rPr>
        <w:t>；（2）</w:t>
      </w:r>
      <w:r>
        <w:rPr>
          <w:rFonts w:hint="eastAsia" w:ascii="宋体" w:hAnsi="宋体" w:eastAsia="宋体" w:cs="宋体"/>
          <w:color w:val="auto"/>
          <w:kern w:val="0"/>
          <w:sz w:val="21"/>
          <w:szCs w:val="21"/>
          <w:highlight w:val="none"/>
          <w:lang w:val="en-US" w:eastAsia="zh-CN" w:bidi="ar"/>
        </w:rPr>
        <w:t>原位技术成套设备</w:t>
      </w:r>
      <w:r>
        <w:rPr>
          <w:rFonts w:hint="eastAsia" w:ascii="宋体" w:hAnsi="宋体" w:eastAsia="宋体" w:cs="宋体"/>
          <w:color w:val="auto"/>
          <w:kern w:val="0"/>
          <w:sz w:val="21"/>
          <w:szCs w:val="21"/>
          <w:highlight w:val="none"/>
          <w:lang w:val="en-US" w:eastAsia="zh" w:bidi="ar"/>
        </w:rPr>
        <w:t>项目</w:t>
      </w:r>
      <w:r>
        <w:rPr>
          <w:rFonts w:hint="eastAsia" w:ascii="宋体" w:hAnsi="宋体" w:eastAsia="宋体" w:cs="宋体"/>
          <w:color w:val="auto"/>
          <w:kern w:val="0"/>
          <w:sz w:val="21"/>
          <w:szCs w:val="21"/>
          <w:highlight w:val="none"/>
          <w:lang w:bidi="ar"/>
        </w:rPr>
        <w:t>（即销售额，不含乙方销项税额）为¥</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元（大写人民币</w:t>
      </w:r>
      <w:r>
        <w:rPr>
          <w:rFonts w:hint="eastAsia" w:ascii="宋体" w:hAnsi="宋体" w:eastAsia="宋体" w:cs="宋体"/>
          <w:color w:val="auto"/>
          <w:kern w:val="0"/>
          <w:sz w:val="21"/>
          <w:szCs w:val="21"/>
          <w:highlight w:val="none"/>
          <w:u w:val="none"/>
          <w:lang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 w:bidi="ar"/>
        </w:rPr>
        <w:t>。</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rPr>
        <w:t>合同价（即销售额，不含乙方销项税额）</w:t>
      </w:r>
      <w:r>
        <w:rPr>
          <w:rFonts w:hint="eastAsia" w:ascii="宋体" w:hAnsi="宋体" w:eastAsia="宋体" w:cs="宋体"/>
          <w:color w:val="auto"/>
          <w:sz w:val="21"/>
          <w:szCs w:val="21"/>
          <w:highlight w:val="none"/>
          <w:lang w:val="zh-CN"/>
        </w:rPr>
        <w:t>固定不变，不因材料、劳务成本、运输成本、货物等行业标准或国家标准的变动等其他理由予以变更。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pPr>
        <w:autoSpaceDE w:val="0"/>
        <w:autoSpaceDN w:val="0"/>
        <w:adjustRightInd w:val="0"/>
        <w:spacing w:line="360" w:lineRule="auto"/>
        <w:ind w:firstLine="476" w:firstLineChars="22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2、依法计得并根据本合同约定确定的销项税额由甲方承担。根据</w:t>
      </w:r>
      <w:r>
        <w:rPr>
          <w:rFonts w:hint="eastAsia" w:ascii="宋体" w:hAnsi="宋体" w:eastAsia="宋体" w:cs="宋体"/>
          <w:color w:val="auto"/>
          <w:szCs w:val="21"/>
          <w:highlight w:val="none"/>
          <w:lang w:bidi="ar"/>
        </w:rPr>
        <w:t>《中华人民共和国增值税暂行条例》（国务院令第691号修订版）及当前税务部门的相关规定，本合同项目的增值税税率为</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，对应的销项税额为</w:t>
      </w:r>
      <w:r>
        <w:rPr>
          <w:rFonts w:hint="eastAsia" w:ascii="宋体" w:hAnsi="宋体" w:eastAsia="宋体" w:cs="宋体"/>
          <w:color w:val="auto"/>
          <w:kern w:val="0"/>
          <w:szCs w:val="21"/>
          <w:highlight w:val="none"/>
          <w:u w:val="single"/>
          <w:lang w:bidi="ar"/>
        </w:rPr>
        <w:t>¥</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），其中（1）现状老旧设备更换项目的销项税额为¥        元（大写人民币                ）；（2）原位技术成套设备项目的销项税额为¥        元（大写人民币                ）。在本合同履行过程中，税收政策变动导致</w:t>
      </w:r>
      <w:r>
        <w:rPr>
          <w:rFonts w:hint="eastAsia" w:ascii="宋体" w:hAnsi="宋体" w:eastAsia="宋体" w:cs="宋体"/>
          <w:color w:val="auto"/>
          <w:szCs w:val="21"/>
          <w:highlight w:val="none"/>
          <w:lang w:bidi="ar"/>
        </w:rPr>
        <w:t>增值税</w:t>
      </w:r>
      <w:r>
        <w:rPr>
          <w:rFonts w:hint="eastAsia" w:ascii="宋体" w:hAnsi="宋体" w:eastAsia="宋体" w:cs="宋体"/>
          <w:color w:val="auto"/>
          <w:kern w:val="0"/>
          <w:szCs w:val="21"/>
          <w:highlight w:val="none"/>
          <w:lang w:bidi="ar"/>
        </w:rPr>
        <w:t>税率调整，依法应调整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pPr>
        <w:autoSpaceDE w:val="0"/>
        <w:autoSpaceDN w:val="0"/>
        <w:adjustRightInd w:val="0"/>
        <w:spacing w:line="360" w:lineRule="auto"/>
        <w:ind w:firstLine="476" w:firstLineChars="227"/>
        <w:jc w:val="left"/>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kern w:val="0"/>
          <w:szCs w:val="21"/>
          <w:highlight w:val="none"/>
          <w:lang w:bidi="ar"/>
        </w:rPr>
        <w:t>相应损失。</w:t>
      </w:r>
    </w:p>
    <w:p>
      <w:pPr>
        <w:numPr>
          <w:ilvl w:val="0"/>
          <w:numId w:val="0"/>
        </w:num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kern w:val="0"/>
          <w:szCs w:val="21"/>
          <w:highlight w:val="none"/>
          <w:lang w:bidi="ar"/>
        </w:rPr>
        <w:t>合同价税合计为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r>
        <w:rPr>
          <w:rFonts w:hint="eastAsia" w:ascii="宋体" w:hAnsi="宋体" w:eastAsia="宋体" w:cs="宋体"/>
          <w:color w:val="auto"/>
          <w:sz w:val="21"/>
          <w:szCs w:val="21"/>
          <w:highlight w:val="none"/>
          <w:lang w:eastAsia="zh"/>
        </w:rPr>
        <w:t>其中（1）</w:t>
      </w:r>
      <w:r>
        <w:rPr>
          <w:rFonts w:hint="eastAsia" w:ascii="宋体" w:hAnsi="宋体" w:eastAsia="宋体" w:cs="宋体"/>
          <w:color w:val="auto"/>
          <w:kern w:val="2"/>
          <w:sz w:val="21"/>
          <w:szCs w:val="21"/>
          <w:highlight w:val="none"/>
          <w:lang w:val="en-US" w:eastAsia="zh-CN" w:bidi="ar"/>
        </w:rPr>
        <w:t>现状老旧设备更换</w:t>
      </w:r>
      <w:r>
        <w:rPr>
          <w:rFonts w:hint="eastAsia" w:ascii="宋体" w:hAnsi="宋体" w:eastAsia="宋体" w:cs="宋体"/>
          <w:color w:val="auto"/>
          <w:kern w:val="0"/>
          <w:sz w:val="21"/>
          <w:szCs w:val="21"/>
          <w:highlight w:val="none"/>
          <w:lang w:val="en-US" w:eastAsia="zh" w:bidi="ar"/>
        </w:rPr>
        <w:t>项目</w:t>
      </w:r>
      <w:r>
        <w:rPr>
          <w:rFonts w:hint="eastAsia" w:ascii="宋体" w:hAnsi="宋体" w:eastAsia="宋体" w:cs="宋体"/>
          <w:color w:val="auto"/>
          <w:kern w:val="0"/>
          <w:szCs w:val="21"/>
          <w:highlight w:val="none"/>
          <w:lang w:bidi="ar"/>
        </w:rPr>
        <w:t>价税合</w:t>
      </w:r>
      <w:r>
        <w:rPr>
          <w:rFonts w:hint="eastAsia" w:ascii="宋体" w:hAnsi="宋体" w:eastAsia="宋体" w:cs="宋体"/>
          <w:color w:val="auto"/>
          <w:kern w:val="0"/>
          <w:szCs w:val="21"/>
          <w:highlight w:val="none"/>
          <w:lang w:eastAsia="zh" w:bidi="ar"/>
        </w:rPr>
        <w:t>计</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；（2）</w:t>
      </w:r>
      <w:r>
        <w:rPr>
          <w:rFonts w:hint="eastAsia" w:ascii="宋体" w:hAnsi="宋体" w:eastAsia="宋体" w:cs="宋体"/>
          <w:color w:val="auto"/>
          <w:kern w:val="2"/>
          <w:sz w:val="21"/>
          <w:szCs w:val="21"/>
          <w:highlight w:val="none"/>
          <w:lang w:val="en-US" w:eastAsia="zh-CN" w:bidi="ar"/>
        </w:rPr>
        <w:t>原位技术成套设备</w:t>
      </w:r>
      <w:r>
        <w:rPr>
          <w:rFonts w:hint="eastAsia" w:ascii="宋体" w:hAnsi="宋体" w:eastAsia="宋体" w:cs="宋体"/>
          <w:color w:val="auto"/>
          <w:kern w:val="0"/>
          <w:sz w:val="21"/>
          <w:szCs w:val="21"/>
          <w:highlight w:val="none"/>
          <w:lang w:val="en-US" w:eastAsia="zh" w:bidi="ar"/>
        </w:rPr>
        <w:t>项目</w:t>
      </w:r>
      <w:r>
        <w:rPr>
          <w:rFonts w:hint="eastAsia" w:ascii="宋体" w:hAnsi="宋体" w:eastAsia="宋体" w:cs="宋体"/>
          <w:color w:val="auto"/>
          <w:kern w:val="0"/>
          <w:szCs w:val="21"/>
          <w:highlight w:val="none"/>
          <w:lang w:bidi="ar"/>
        </w:rPr>
        <w:t>价税合</w:t>
      </w:r>
      <w:r>
        <w:rPr>
          <w:rFonts w:hint="eastAsia" w:ascii="宋体" w:hAnsi="宋体" w:eastAsia="宋体" w:cs="宋体"/>
          <w:color w:val="auto"/>
          <w:kern w:val="0"/>
          <w:szCs w:val="21"/>
          <w:highlight w:val="none"/>
          <w:lang w:eastAsia="zh" w:bidi="ar"/>
        </w:rPr>
        <w:t>计</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w:t>
      </w:r>
      <w:r>
        <w:rPr>
          <w:rFonts w:hint="eastAsia" w:ascii="宋体" w:hAnsi="宋体" w:eastAsia="宋体" w:cs="宋体"/>
          <w:color w:val="auto"/>
          <w:kern w:val="0"/>
          <w:szCs w:val="21"/>
          <w:highlight w:val="none"/>
          <w:lang w:bidi="ar"/>
        </w:rPr>
        <w:t>合同履行期间根据本条第2项规定调整销项税额的，合同价税合计对应调整。</w:t>
      </w:r>
    </w:p>
    <w:p>
      <w:pPr>
        <w:numPr>
          <w:ilvl w:val="0"/>
          <w:numId w:val="0"/>
        </w:numPr>
        <w:autoSpaceDE w:val="0"/>
        <w:autoSpaceDN w:val="0"/>
        <w:adjustRightInd w:val="0"/>
        <w:spacing w:line="360" w:lineRule="auto"/>
        <w:ind w:firstLine="476" w:firstLineChars="22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sz w:val="21"/>
          <w:szCs w:val="21"/>
          <w:highlight w:val="none"/>
        </w:rPr>
        <w:t>合同价</w:t>
      </w:r>
      <w:r>
        <w:rPr>
          <w:rFonts w:hint="eastAsia" w:ascii="宋体" w:hAnsi="宋体" w:eastAsia="宋体" w:cs="宋体"/>
          <w:color w:val="auto"/>
          <w:kern w:val="0"/>
          <w:szCs w:val="21"/>
          <w:highlight w:val="none"/>
          <w:lang w:bidi="ar"/>
        </w:rPr>
        <w:t>包含完成供货的全部费用，包括但不限于：（1）合同范围内所供货物及其配备的附件的</w:t>
      </w:r>
      <w:r>
        <w:rPr>
          <w:rFonts w:hint="eastAsia" w:ascii="宋体" w:hAnsi="宋体" w:eastAsia="宋体" w:cs="宋体"/>
          <w:color w:val="auto"/>
          <w:kern w:val="0"/>
          <w:szCs w:val="21"/>
          <w:highlight w:val="none"/>
          <w:lang w:val="en-US" w:eastAsia="zh-CN" w:bidi="ar"/>
        </w:rPr>
        <w:t>设计（含二次深化设计）、</w:t>
      </w:r>
      <w:r>
        <w:rPr>
          <w:rFonts w:hint="eastAsia" w:ascii="宋体" w:hAnsi="宋体" w:eastAsia="宋体" w:cs="宋体"/>
          <w:color w:val="auto"/>
          <w:kern w:val="0"/>
          <w:szCs w:val="21"/>
          <w:highlight w:val="none"/>
          <w:lang w:bidi="ar"/>
        </w:rPr>
        <w:t>采购、制造、检测、试验、送货、装卸（含二次搬运至甲方指定交货或仓储地点）、人工费、材料费、安装费(含安全防护、文明施工措施)、调试费、</w:t>
      </w:r>
      <w:r>
        <w:rPr>
          <w:rFonts w:hint="eastAsia" w:ascii="宋体" w:hAnsi="宋体" w:eastAsia="宋体" w:cs="宋体"/>
          <w:color w:val="auto"/>
          <w:kern w:val="0"/>
          <w:szCs w:val="21"/>
          <w:highlight w:val="none"/>
          <w:lang w:val="en-US" w:eastAsia="zh-CN" w:bidi="ar"/>
        </w:rPr>
        <w:t>施工措施费用（含水、电等）、</w:t>
      </w:r>
      <w:r>
        <w:rPr>
          <w:rFonts w:hint="eastAsia" w:ascii="宋体" w:hAnsi="宋体" w:eastAsia="宋体" w:cs="宋体"/>
          <w:color w:val="auto"/>
          <w:kern w:val="0"/>
          <w:szCs w:val="21"/>
          <w:highlight w:val="none"/>
          <w:lang w:bidi="ar"/>
        </w:rPr>
        <w:t>性能考核相关的人员投入、物质消耗等</w:t>
      </w:r>
      <w:r>
        <w:rPr>
          <w:rFonts w:hint="eastAsia" w:ascii="宋体" w:hAnsi="宋体" w:eastAsia="宋体" w:cs="宋体"/>
          <w:color w:val="auto"/>
          <w:kern w:val="0"/>
          <w:szCs w:val="21"/>
          <w:highlight w:val="none"/>
          <w:lang w:val="en-US" w:eastAsia="zh-CN" w:bidi="ar"/>
        </w:rPr>
        <w:t>费用</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运费、保险、质保期免费上门提供售后服务</w:t>
      </w:r>
      <w:r>
        <w:rPr>
          <w:rFonts w:hint="eastAsia" w:ascii="宋体" w:hAnsi="宋体" w:eastAsia="宋体" w:cs="宋体"/>
          <w:color w:val="auto"/>
          <w:kern w:val="0"/>
          <w:szCs w:val="21"/>
          <w:highlight w:val="none"/>
          <w:lang w:eastAsia="zh-CN" w:bidi="ar"/>
        </w:rPr>
        <w:t>、中标服务、技术服务、</w:t>
      </w:r>
      <w:r>
        <w:rPr>
          <w:rFonts w:hint="eastAsia" w:ascii="宋体" w:hAnsi="宋体" w:eastAsia="宋体" w:cs="宋体"/>
          <w:color w:val="auto"/>
          <w:kern w:val="0"/>
          <w:szCs w:val="21"/>
          <w:highlight w:val="none"/>
          <w:lang w:val="en-US" w:eastAsia="zh-CN" w:bidi="ar"/>
        </w:rPr>
        <w:t>验收</w:t>
      </w:r>
      <w:r>
        <w:rPr>
          <w:rFonts w:hint="eastAsia" w:ascii="宋体" w:hAnsi="宋体" w:eastAsia="宋体" w:cs="宋体"/>
          <w:color w:val="auto"/>
          <w:kern w:val="0"/>
          <w:szCs w:val="21"/>
          <w:highlight w:val="none"/>
          <w:lang w:bidi="ar"/>
        </w:rPr>
        <w:t>等相关服务的全部费用；</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（2）投标货物及其工艺所有制造方、使用方应支付的对专有技术、专利权和版权、设计或其他知识产权而需要向其他方支付的版税；</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（3）验收时为达到相关标准而可能增加的、不合格货物更换、零配件更换等费用；</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（4）设备备品备件（含零配件）、设备拆装维修所需特殊专用工具购置费；</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（5）日常技术指导，免费的质保期保修服务，包括但不限于对设备的运行指导，免费维修、保修或更换配件，在设备出现严重故障、影响正常运行、修复有困难的情况下，对设备进行免费更换的费用；</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采购</w:t>
      </w:r>
      <w:r>
        <w:rPr>
          <w:rFonts w:hint="eastAsia" w:ascii="宋体" w:hAnsi="宋体" w:eastAsia="宋体" w:cs="宋体"/>
          <w:bCs/>
          <w:color w:val="auto"/>
          <w:szCs w:val="21"/>
          <w:highlight w:val="none"/>
          <w:lang w:val="en-US" w:eastAsia="zh-CN"/>
        </w:rPr>
        <w:t>清单中</w:t>
      </w:r>
      <w:r>
        <w:rPr>
          <w:rFonts w:hint="eastAsia" w:ascii="宋体" w:hAnsi="宋体" w:eastAsia="宋体" w:cs="宋体"/>
          <w:color w:val="auto"/>
          <w:kern w:val="0"/>
          <w:szCs w:val="21"/>
          <w:highlight w:val="none"/>
          <w:lang w:bidi="ar"/>
        </w:rPr>
        <w:t>虽未列出，但为满足设计功能所必需的设备材料购置费；</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（7）合理利润、乙方销项税额以外的税费等；</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8）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w:t>
      </w:r>
      <w:r>
        <w:rPr>
          <w:rFonts w:hint="eastAsia" w:ascii="宋体" w:hAnsi="宋体" w:eastAsia="宋体" w:cs="宋体"/>
          <w:color w:val="auto"/>
          <w:sz w:val="21"/>
          <w:szCs w:val="21"/>
          <w:highlight w:val="none"/>
        </w:rPr>
        <w:t>合同价</w:t>
      </w:r>
      <w:r>
        <w:rPr>
          <w:rFonts w:hint="eastAsia" w:ascii="宋体" w:hAnsi="宋体" w:eastAsia="宋体" w:cs="宋体"/>
          <w:color w:val="auto"/>
          <w:kern w:val="0"/>
          <w:szCs w:val="21"/>
          <w:highlight w:val="none"/>
          <w:lang w:bidi="ar"/>
        </w:rPr>
        <w:t>中，甲方不另行向乙方支付费用；</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9）在合同履行期间，若发现乙方投标文件更改、删除或遗漏了招标文件用户需求书招标设备清单内的项目或数量等情况时，并不能免除乙方按照图纸、标准与规范实施合同的任何责任，并将视为该项费用已包括在</w:t>
      </w:r>
      <w:r>
        <w:rPr>
          <w:rFonts w:hint="eastAsia" w:ascii="宋体" w:hAnsi="宋体" w:eastAsia="宋体" w:cs="宋体"/>
          <w:color w:val="auto"/>
          <w:sz w:val="21"/>
          <w:szCs w:val="21"/>
          <w:highlight w:val="none"/>
        </w:rPr>
        <w:t>合同价</w:t>
      </w:r>
      <w:r>
        <w:rPr>
          <w:rFonts w:hint="eastAsia" w:ascii="宋体" w:hAnsi="宋体" w:eastAsia="宋体" w:cs="宋体"/>
          <w:color w:val="auto"/>
          <w:kern w:val="0"/>
          <w:szCs w:val="21"/>
          <w:highlight w:val="none"/>
          <w:lang w:bidi="ar"/>
        </w:rPr>
        <w:t>内，甲方不另行向乙方支付费用；</w:t>
      </w:r>
    </w:p>
    <w:p>
      <w:pPr>
        <w:autoSpaceDE w:val="0"/>
        <w:autoSpaceDN w:val="0"/>
        <w:adjustRightInd w:val="0"/>
        <w:spacing w:line="360" w:lineRule="auto"/>
        <w:ind w:firstLine="476" w:firstLineChars="22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（10）法律法规、商业公认、招标文件规定由乙方承担的其他直接及间接费用</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lang w:bidi="ar"/>
        </w:rPr>
        <w:t xml:space="preserve"> </w:t>
      </w:r>
    </w:p>
    <w:p>
      <w:pPr>
        <w:autoSpaceDE w:val="0"/>
        <w:autoSpaceDN w:val="0"/>
        <w:adjustRightInd w:val="0"/>
        <w:spacing w:line="360" w:lineRule="auto"/>
        <w:ind w:firstLine="476" w:firstLineChars="227"/>
        <w:jc w:val="left"/>
        <w:rPr>
          <w:rFonts w:hint="default"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default" w:ascii="宋体" w:hAnsi="宋体" w:eastAsia="宋体" w:cs="宋体"/>
          <w:color w:val="auto"/>
          <w:kern w:val="0"/>
          <w:szCs w:val="21"/>
          <w:highlight w:val="none"/>
          <w:lang w:bidi="ar"/>
        </w:rPr>
        <w:t>若在项目施工、安装、调试、试运行及验收阶段，因</w:t>
      </w:r>
      <w:r>
        <w:rPr>
          <w:rFonts w:hint="eastAsia" w:ascii="宋体" w:hAnsi="宋体" w:eastAsia="宋体" w:cs="宋体"/>
          <w:color w:val="auto"/>
          <w:kern w:val="0"/>
          <w:szCs w:val="21"/>
          <w:highlight w:val="none"/>
          <w:lang w:val="en-US" w:eastAsia="zh-CN" w:bidi="ar"/>
        </w:rPr>
        <w:t>乙方</w:t>
      </w:r>
      <w:r>
        <w:rPr>
          <w:rFonts w:hint="default" w:ascii="宋体" w:hAnsi="宋体" w:eastAsia="宋体" w:cs="宋体"/>
          <w:color w:val="auto"/>
          <w:kern w:val="0"/>
          <w:szCs w:val="21"/>
          <w:highlight w:val="none"/>
          <w:lang w:bidi="ar"/>
        </w:rPr>
        <w:t>设计缺陷、设备选型不当、漏报缺项等原因，需新增、替换、升级设备</w:t>
      </w:r>
      <w:r>
        <w:rPr>
          <w:rFonts w:hint="default" w:ascii="宋体" w:hAnsi="宋体" w:eastAsia="宋体" w:cs="宋体"/>
          <w:color w:val="auto"/>
          <w:kern w:val="0"/>
          <w:szCs w:val="21"/>
          <w:highlight w:val="none"/>
          <w:lang w:val="en-US" w:eastAsia="zh-CN" w:bidi="ar"/>
        </w:rPr>
        <w:t>/</w:t>
      </w:r>
      <w:r>
        <w:rPr>
          <w:rFonts w:hint="default" w:ascii="宋体" w:hAnsi="宋体" w:eastAsia="宋体" w:cs="宋体"/>
          <w:color w:val="auto"/>
          <w:kern w:val="0"/>
          <w:szCs w:val="21"/>
          <w:highlight w:val="none"/>
          <w:lang w:bidi="ar"/>
        </w:rPr>
        <w:t>元件，或需进行与设备直接相关的小型土建（如设备基础、预埋件、管沟修复等）相关费用均由</w:t>
      </w:r>
      <w:r>
        <w:rPr>
          <w:rFonts w:hint="eastAsia" w:ascii="宋体" w:hAnsi="宋体" w:eastAsia="宋体" w:cs="宋体"/>
          <w:color w:val="auto"/>
          <w:kern w:val="0"/>
          <w:szCs w:val="21"/>
          <w:highlight w:val="none"/>
          <w:lang w:val="en-US" w:eastAsia="zh-CN" w:bidi="ar"/>
        </w:rPr>
        <w:t>乙方</w:t>
      </w:r>
      <w:r>
        <w:rPr>
          <w:rFonts w:hint="default" w:ascii="宋体" w:hAnsi="宋体" w:eastAsia="宋体" w:cs="宋体"/>
          <w:color w:val="auto"/>
          <w:kern w:val="0"/>
          <w:szCs w:val="21"/>
          <w:highlight w:val="none"/>
          <w:lang w:bidi="ar"/>
        </w:rPr>
        <w:t>承担；</w:t>
      </w:r>
      <w:r>
        <w:rPr>
          <w:rFonts w:hint="eastAsia" w:ascii="宋体" w:hAnsi="宋体" w:eastAsia="宋体" w:cs="宋体"/>
          <w:color w:val="auto"/>
          <w:kern w:val="0"/>
          <w:szCs w:val="21"/>
          <w:highlight w:val="none"/>
          <w:lang w:val="en-US" w:eastAsia="zh-CN" w:bidi="ar"/>
        </w:rPr>
        <w:t>乙方</w:t>
      </w:r>
      <w:r>
        <w:rPr>
          <w:rFonts w:hint="default" w:ascii="宋体" w:hAnsi="宋体" w:eastAsia="宋体" w:cs="宋体"/>
          <w:color w:val="auto"/>
          <w:kern w:val="0"/>
          <w:szCs w:val="21"/>
          <w:highlight w:val="none"/>
          <w:lang w:bidi="ar"/>
        </w:rPr>
        <w:t>漏报的任何内容，视为已包含在</w:t>
      </w:r>
      <w:r>
        <w:rPr>
          <w:rFonts w:hint="eastAsia" w:ascii="宋体" w:hAnsi="宋体" w:eastAsia="宋体" w:cs="宋体"/>
          <w:color w:val="auto"/>
          <w:sz w:val="21"/>
          <w:szCs w:val="21"/>
          <w:highlight w:val="none"/>
        </w:rPr>
        <w:t>合同价</w:t>
      </w:r>
      <w:r>
        <w:rPr>
          <w:rFonts w:hint="default" w:ascii="宋体" w:hAnsi="宋体" w:eastAsia="宋体" w:cs="宋体"/>
          <w:color w:val="auto"/>
          <w:kern w:val="0"/>
          <w:szCs w:val="21"/>
          <w:highlight w:val="none"/>
          <w:lang w:bidi="ar"/>
        </w:rPr>
        <w:t>中，</w:t>
      </w:r>
      <w:r>
        <w:rPr>
          <w:rFonts w:hint="eastAsia" w:ascii="宋体" w:hAnsi="宋体" w:eastAsia="宋体" w:cs="宋体"/>
          <w:color w:val="auto"/>
          <w:kern w:val="0"/>
          <w:szCs w:val="21"/>
          <w:highlight w:val="none"/>
          <w:lang w:val="en-US" w:eastAsia="zh-CN" w:bidi="ar"/>
        </w:rPr>
        <w:t>甲方</w:t>
      </w:r>
      <w:r>
        <w:rPr>
          <w:rFonts w:hint="default" w:ascii="宋体" w:hAnsi="宋体" w:eastAsia="宋体" w:cs="宋体"/>
          <w:color w:val="auto"/>
          <w:kern w:val="0"/>
          <w:szCs w:val="21"/>
          <w:highlight w:val="none"/>
          <w:lang w:bidi="ar"/>
        </w:rPr>
        <w:t>不再支付任何额外费用。</w:t>
      </w:r>
    </w:p>
    <w:p>
      <w:pPr>
        <w:autoSpaceDE w:val="0"/>
        <w:autoSpaceDN w:val="0"/>
        <w:adjustRightInd w:val="0"/>
        <w:snapToGrid/>
        <w:spacing w:line="360" w:lineRule="auto"/>
        <w:ind w:firstLine="476" w:firstLineChars="227"/>
        <w:jc w:val="left"/>
        <w:rPr>
          <w:rFonts w:hint="default" w:ascii="宋体" w:hAnsi="宋体" w:eastAsia="宋体" w:cs="宋体"/>
          <w:b w:val="0"/>
          <w:color w:val="auto"/>
          <w:kern w:val="0"/>
          <w:szCs w:val="21"/>
          <w:highlight w:val="none"/>
          <w:lang w:eastAsia="zh-CN"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第三条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付款方式</w:t>
      </w:r>
    </w:p>
    <w:p>
      <w:pPr>
        <w:autoSpaceDE w:val="0"/>
        <w:autoSpaceDN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w:t>
      </w:r>
      <w:r>
        <w:rPr>
          <w:rFonts w:hint="eastAsia" w:ascii="宋体" w:hAnsi="宋体" w:eastAsia="宋体" w:cs="宋体"/>
          <w:color w:val="auto"/>
          <w:kern w:val="0"/>
          <w:szCs w:val="21"/>
          <w:highlight w:val="none"/>
          <w:lang w:val="en-US" w:eastAsia="zh-CN" w:bidi="ar"/>
        </w:rPr>
        <w:t>或预付款保函</w:t>
      </w:r>
      <w:r>
        <w:rPr>
          <w:rFonts w:hint="eastAsia" w:ascii="宋体" w:hAnsi="宋体" w:eastAsia="宋体" w:cs="宋体"/>
          <w:color w:val="auto"/>
          <w:kern w:val="0"/>
          <w:szCs w:val="21"/>
          <w:highlight w:val="none"/>
          <w:lang w:bidi="ar"/>
        </w:rPr>
        <w:t>或直接从未付合同款项、质量保证金中直接扣除前述款项，且乙方必须按照扣除前述款项前的合同价（销售额）开具增值税专用发票，保证增值税税额符合法律规定。</w:t>
      </w:r>
    </w:p>
    <w:p>
      <w:pPr>
        <w:autoSpaceDE w:val="0"/>
        <w:autoSpaceDN w:val="0"/>
        <w:spacing w:line="360" w:lineRule="auto"/>
        <w:ind w:firstLine="371" w:firstLineChars="177"/>
        <w:jc w:val="left"/>
        <w:rPr>
          <w:rFonts w:hint="eastAsia" w:ascii="宋体" w:hAnsi="宋体" w:eastAsia="宋体" w:cs="宋体"/>
          <w:bCs/>
          <w:color w:val="auto"/>
          <w:kern w:val="0"/>
          <w:szCs w:val="21"/>
          <w:highlight w:val="none"/>
          <w:lang w:bidi="ar"/>
        </w:rPr>
      </w:pPr>
      <w:r>
        <w:rPr>
          <w:rFonts w:hint="eastAsia" w:ascii="宋体" w:hAnsi="宋体" w:eastAsia="宋体" w:cs="宋体"/>
          <w:color w:val="auto"/>
          <w:kern w:val="0"/>
          <w:szCs w:val="21"/>
          <w:highlight w:val="none"/>
          <w:lang w:bidi="ar"/>
        </w:rPr>
        <w:t>2、</w:t>
      </w:r>
      <w:r>
        <w:rPr>
          <w:rFonts w:hint="eastAsia" w:ascii="宋体" w:hAnsi="宋体" w:eastAsia="宋体" w:cs="宋体"/>
          <w:bCs/>
          <w:color w:val="auto"/>
          <w:kern w:val="0"/>
          <w:szCs w:val="21"/>
          <w:highlight w:val="none"/>
          <w:lang w:bidi="ar"/>
        </w:rPr>
        <w:t>本合同生效后，乙方向甲方提交请款报告和请款金额等额的合法、有效的增值税专用发票，甲方在收到前述材料并确认无误后【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】个工作日内向乙方支付合同价30%</w:t>
      </w:r>
      <w:r>
        <w:rPr>
          <w:rFonts w:hint="eastAsia" w:ascii="宋体" w:hAnsi="宋体" w:eastAsia="宋体" w:cs="宋体"/>
          <w:bCs/>
          <w:color w:val="auto"/>
          <w:kern w:val="0"/>
          <w:szCs w:val="21"/>
          <w:highlight w:val="none"/>
          <w:lang w:val="en-US" w:eastAsia="zh-CN" w:bidi="ar"/>
        </w:rPr>
        <w:t>及</w:t>
      </w:r>
      <w:r>
        <w:rPr>
          <w:rFonts w:hint="eastAsia" w:ascii="宋体" w:hAnsi="宋体" w:eastAsia="宋体" w:cs="宋体"/>
          <w:bCs/>
          <w:color w:val="auto"/>
          <w:kern w:val="0"/>
          <w:szCs w:val="21"/>
          <w:highlight w:val="none"/>
          <w:lang w:bidi="ar"/>
        </w:rPr>
        <w:t>对应的税额作为预付款；</w:t>
      </w:r>
    </w:p>
    <w:p>
      <w:pPr>
        <w:autoSpaceDE w:val="0"/>
        <w:autoSpaceDN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bCs/>
          <w:color w:val="auto"/>
          <w:kern w:val="0"/>
          <w:szCs w:val="21"/>
          <w:highlight w:val="none"/>
          <w:lang w:eastAsia="zh" w:bidi="ar"/>
        </w:rPr>
        <w:t>3、本项目中现状老旧设备更换项目</w:t>
      </w:r>
      <w:r>
        <w:rPr>
          <w:rFonts w:hint="eastAsia" w:ascii="宋体" w:hAnsi="宋体" w:eastAsia="宋体" w:cs="宋体"/>
          <w:color w:val="auto"/>
          <w:kern w:val="0"/>
          <w:szCs w:val="21"/>
          <w:highlight w:val="none"/>
          <w:lang w:bidi="ar"/>
        </w:rPr>
        <w:t>在达到以下付款条件时，甲方通过以下方式以人民币支付合同款项给乙方：</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eastAsia="zh" w:bidi="ar"/>
        </w:rPr>
      </w:pPr>
      <w:r>
        <w:rPr>
          <w:rFonts w:hint="eastAsia" w:ascii="宋体" w:hAnsi="宋体" w:eastAsia="宋体" w:cs="宋体"/>
          <w:bCs/>
          <w:color w:val="auto"/>
          <w:kern w:val="0"/>
          <w:szCs w:val="21"/>
          <w:highlight w:val="none"/>
          <w:lang w:bidi="ar"/>
        </w:rPr>
        <w:t>（1）全部货物完成安装</w:t>
      </w:r>
      <w:r>
        <w:rPr>
          <w:rFonts w:hint="eastAsia" w:ascii="宋体" w:hAnsi="宋体" w:eastAsia="宋体" w:cs="宋体"/>
          <w:bCs/>
          <w:color w:val="auto"/>
          <w:kern w:val="0"/>
          <w:szCs w:val="21"/>
          <w:highlight w:val="none"/>
          <w:lang w:val="en-US" w:eastAsia="zh-CN" w:bidi="ar"/>
        </w:rPr>
        <w:t>及单机、系统联动调试、</w:t>
      </w:r>
      <w:r>
        <w:rPr>
          <w:rFonts w:hint="eastAsia" w:ascii="宋体" w:hAnsi="宋体" w:eastAsia="宋体" w:cs="宋体"/>
          <w:bCs/>
          <w:color w:val="auto"/>
          <w:kern w:val="0"/>
          <w:szCs w:val="21"/>
          <w:highlight w:val="none"/>
          <w:lang w:val="en-US" w:eastAsia="zh" w:bidi="ar"/>
        </w:rPr>
        <w:t>生产性调试</w:t>
      </w:r>
      <w:r>
        <w:rPr>
          <w:rFonts w:hint="eastAsia" w:ascii="宋体" w:hAnsi="宋体" w:eastAsia="宋体" w:cs="宋体"/>
          <w:bCs/>
          <w:color w:val="auto"/>
          <w:kern w:val="0"/>
          <w:szCs w:val="21"/>
          <w:highlight w:val="none"/>
          <w:lang w:bidi="ar"/>
        </w:rPr>
        <w:t>并按本合同第十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条约定完成对应的验收工作，乙方向甲方提交请款报告和请款金额等额的合法、有效的增值税专用发票，甲方在收到前述材料并确认无误后【30】个工作日内向乙方支付至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合同价的</w:t>
      </w:r>
      <w:r>
        <w:rPr>
          <w:rFonts w:hint="eastAsia" w:ascii="宋体" w:hAnsi="宋体" w:eastAsia="宋体" w:cs="宋体"/>
          <w:bCs/>
          <w:color w:val="auto"/>
          <w:kern w:val="0"/>
          <w:szCs w:val="21"/>
          <w:highlight w:val="none"/>
          <w:lang w:eastAsia="zh" w:bidi="ar"/>
        </w:rPr>
        <w:t>75</w:t>
      </w:r>
      <w:r>
        <w:rPr>
          <w:rFonts w:hint="eastAsia" w:ascii="宋体" w:hAnsi="宋体" w:eastAsia="宋体" w:cs="宋体"/>
          <w:bCs/>
          <w:color w:val="auto"/>
          <w:kern w:val="0"/>
          <w:szCs w:val="21"/>
          <w:highlight w:val="none"/>
          <w:lang w:bidi="ar"/>
        </w:rPr>
        <w:t>%及对应的税额（包含已支付的预付款）</w:t>
      </w:r>
      <w:r>
        <w:rPr>
          <w:rFonts w:hint="eastAsia" w:ascii="宋体" w:hAnsi="宋体" w:eastAsia="宋体" w:cs="宋体"/>
          <w:bCs/>
          <w:color w:val="auto"/>
          <w:kern w:val="0"/>
          <w:szCs w:val="21"/>
          <w:highlight w:val="none"/>
          <w:lang w:eastAsia="zh" w:bidi="ar"/>
        </w:rPr>
        <w:t>；</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eastAsia="zh" w:bidi="ar"/>
        </w:rPr>
        <w:t>（2）</w:t>
      </w:r>
      <w:r>
        <w:rPr>
          <w:rFonts w:hint="eastAsia" w:ascii="宋体" w:hAnsi="宋体" w:eastAsia="宋体" w:cs="宋体"/>
          <w:bCs/>
          <w:color w:val="auto"/>
          <w:kern w:val="0"/>
          <w:szCs w:val="21"/>
          <w:highlight w:val="none"/>
          <w:lang w:bidi="ar"/>
        </w:rPr>
        <w:t>最终验收合格</w:t>
      </w:r>
      <w:r>
        <w:rPr>
          <w:rFonts w:hint="eastAsia" w:ascii="宋体" w:hAnsi="宋体" w:eastAsia="宋体" w:cs="宋体"/>
          <w:bCs/>
          <w:color w:val="auto"/>
          <w:kern w:val="0"/>
          <w:szCs w:val="21"/>
          <w:highlight w:val="none"/>
          <w:lang w:eastAsia="zh" w:bidi="ar"/>
        </w:rPr>
        <w:t>后</w:t>
      </w:r>
      <w:r>
        <w:rPr>
          <w:rFonts w:hint="eastAsia" w:ascii="宋体" w:hAnsi="宋体" w:eastAsia="宋体" w:cs="宋体"/>
          <w:bCs/>
          <w:color w:val="auto"/>
          <w:kern w:val="0"/>
          <w:szCs w:val="21"/>
          <w:highlight w:val="none"/>
          <w:lang w:bidi="ar"/>
        </w:rPr>
        <w:t>，乙方按甲方要求提交竣工资料、结算资料、请款报告和请款金额等额的合法、有效的增值税专用发票等请款资料，甲方在收到前述材料并确认无误后【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】个工作日内向乙方支付至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价的【</w:t>
      </w:r>
      <w:r>
        <w:rPr>
          <w:rFonts w:hint="eastAsia" w:ascii="宋体" w:hAnsi="宋体" w:eastAsia="宋体" w:cs="宋体"/>
          <w:bCs/>
          <w:color w:val="auto"/>
          <w:kern w:val="0"/>
          <w:szCs w:val="21"/>
          <w:highlight w:val="none"/>
          <w:lang w:val="en-US" w:eastAsia="zh-CN" w:bidi="ar"/>
        </w:rPr>
        <w:t>95</w:t>
      </w:r>
      <w:r>
        <w:rPr>
          <w:rFonts w:hint="eastAsia" w:ascii="宋体" w:hAnsi="宋体" w:eastAsia="宋体" w:cs="宋体"/>
          <w:bCs/>
          <w:color w:val="auto"/>
          <w:kern w:val="0"/>
          <w:szCs w:val="21"/>
          <w:highlight w:val="none"/>
          <w:lang w:bidi="ar"/>
        </w:rPr>
        <w:t>】%及对应税额（包含已支付的预付款）；</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3</w:t>
      </w:r>
      <w:r>
        <w:rPr>
          <w:rFonts w:hint="eastAsia" w:ascii="宋体" w:hAnsi="宋体" w:eastAsia="宋体" w:cs="宋体"/>
          <w:bCs/>
          <w:color w:val="auto"/>
          <w:kern w:val="0"/>
          <w:szCs w:val="21"/>
          <w:highlight w:val="none"/>
          <w:lang w:bidi="ar"/>
        </w:rPr>
        <w:t>）剩余</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价的【</w:t>
      </w:r>
      <w:r>
        <w:rPr>
          <w:rFonts w:hint="eastAsia" w:ascii="宋体" w:hAnsi="宋体" w:eastAsia="宋体" w:cs="宋体"/>
          <w:bCs/>
          <w:color w:val="auto"/>
          <w:kern w:val="0"/>
          <w:szCs w:val="21"/>
          <w:highlight w:val="none"/>
          <w:lang w:val="en-US" w:eastAsia="zh-CN" w:bidi="ar"/>
        </w:rPr>
        <w:t>5</w:t>
      </w:r>
      <w:r>
        <w:rPr>
          <w:rFonts w:hint="eastAsia" w:ascii="宋体" w:hAnsi="宋体" w:eastAsia="宋体" w:cs="宋体"/>
          <w:bCs/>
          <w:color w:val="auto"/>
          <w:kern w:val="0"/>
          <w:szCs w:val="21"/>
          <w:highlight w:val="none"/>
          <w:lang w:bidi="ar"/>
        </w:rPr>
        <w:t>】%及对应税额作为质保金。质保期满后，项目无质量问题，由乙方按甲方要求提交竣工资料、结算资料、请款报告和请款金额等额的合法、有效的增值税专用发票等请款资料，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】个工作日内将质保金无息支付给乙方。如质保期内乙方未能按合同约定提供质保服务的，在质保期满后由甲方根据乙方实际履行质保服务情况与乙方</w:t>
      </w:r>
      <w:r>
        <w:rPr>
          <w:rFonts w:hint="eastAsia" w:ascii="宋体" w:hAnsi="宋体" w:eastAsia="宋体" w:cs="宋体"/>
          <w:bCs/>
          <w:color w:val="auto"/>
          <w:kern w:val="0"/>
          <w:szCs w:val="21"/>
          <w:highlight w:val="none"/>
          <w:lang w:eastAsia="zh" w:bidi="ar"/>
        </w:rPr>
        <w:t>结算</w:t>
      </w:r>
      <w:r>
        <w:rPr>
          <w:rFonts w:hint="eastAsia" w:ascii="宋体" w:hAnsi="宋体" w:eastAsia="宋体" w:cs="宋体"/>
          <w:bCs/>
          <w:color w:val="auto"/>
          <w:kern w:val="0"/>
          <w:szCs w:val="21"/>
          <w:highlight w:val="none"/>
          <w:lang w:bidi="ar"/>
        </w:rPr>
        <w:t>质保金。</w:t>
      </w:r>
    </w:p>
    <w:p>
      <w:pPr>
        <w:autoSpaceDE w:val="0"/>
        <w:autoSpaceDN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bCs/>
          <w:color w:val="auto"/>
          <w:kern w:val="0"/>
          <w:szCs w:val="21"/>
          <w:highlight w:val="none"/>
          <w:lang w:eastAsia="zh" w:bidi="ar"/>
        </w:rPr>
        <w:t>4、本项目中</w:t>
      </w:r>
      <w:r>
        <w:rPr>
          <w:rFonts w:hint="eastAsia" w:ascii="宋体" w:hAnsi="宋体" w:eastAsia="宋体" w:cs="宋体"/>
          <w:color w:val="auto"/>
          <w:kern w:val="2"/>
          <w:sz w:val="21"/>
          <w:szCs w:val="21"/>
          <w:highlight w:val="none"/>
          <w:lang w:val="en-US" w:eastAsia="zh-CN" w:bidi="ar"/>
        </w:rPr>
        <w:t>原位技术成套设备</w:t>
      </w:r>
      <w:r>
        <w:rPr>
          <w:rFonts w:hint="eastAsia" w:ascii="宋体" w:hAnsi="宋体" w:eastAsia="宋体" w:cs="宋体"/>
          <w:color w:val="auto"/>
          <w:kern w:val="0"/>
          <w:sz w:val="21"/>
          <w:szCs w:val="21"/>
          <w:highlight w:val="none"/>
          <w:lang w:val="en-US" w:eastAsia="zh" w:bidi="ar"/>
        </w:rPr>
        <w:t>项目</w:t>
      </w:r>
      <w:r>
        <w:rPr>
          <w:rFonts w:hint="eastAsia" w:ascii="宋体" w:hAnsi="宋体" w:eastAsia="宋体" w:cs="宋体"/>
          <w:color w:val="auto"/>
          <w:kern w:val="0"/>
          <w:szCs w:val="21"/>
          <w:highlight w:val="none"/>
          <w:lang w:bidi="ar"/>
        </w:rPr>
        <w:t>在达到以下付款条件时，甲方通过以下方式以人民币支付合同款项给乙方：</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1</w:t>
      </w:r>
      <w:r>
        <w:rPr>
          <w:rFonts w:hint="eastAsia" w:ascii="宋体" w:hAnsi="宋体" w:eastAsia="宋体" w:cs="宋体"/>
          <w:bCs/>
          <w:color w:val="auto"/>
          <w:kern w:val="0"/>
          <w:szCs w:val="21"/>
          <w:highlight w:val="none"/>
          <w:lang w:bidi="ar"/>
        </w:rPr>
        <w:t>）全部货物完成安装</w:t>
      </w:r>
      <w:r>
        <w:rPr>
          <w:rFonts w:hint="eastAsia" w:ascii="宋体" w:hAnsi="宋体" w:eastAsia="宋体" w:cs="宋体"/>
          <w:bCs/>
          <w:color w:val="auto"/>
          <w:kern w:val="0"/>
          <w:szCs w:val="21"/>
          <w:highlight w:val="none"/>
          <w:lang w:val="en-US" w:eastAsia="zh-CN" w:bidi="ar"/>
        </w:rPr>
        <w:t>及单机、系统联动调试、</w:t>
      </w:r>
      <w:r>
        <w:rPr>
          <w:rFonts w:hint="eastAsia" w:ascii="宋体" w:hAnsi="宋体" w:eastAsia="宋体" w:cs="宋体"/>
          <w:bCs/>
          <w:color w:val="auto"/>
          <w:kern w:val="0"/>
          <w:szCs w:val="21"/>
          <w:highlight w:val="none"/>
          <w:lang w:val="en-US" w:eastAsia="zh" w:bidi="ar"/>
        </w:rPr>
        <w:t>生产性调试</w:t>
      </w:r>
      <w:r>
        <w:rPr>
          <w:rFonts w:hint="eastAsia" w:ascii="宋体" w:hAnsi="宋体" w:eastAsia="宋体" w:cs="宋体"/>
          <w:bCs/>
          <w:color w:val="auto"/>
          <w:kern w:val="0"/>
          <w:szCs w:val="21"/>
          <w:highlight w:val="none"/>
          <w:lang w:bidi="ar"/>
        </w:rPr>
        <w:t>并按本合同第十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条约定完成对应的验收工作，乙方向甲方提交请款报告和请款金额等额的合法、有效的增值税专用发票，甲方在收到前述材料并确认无误后【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】个工作日内向乙方支付至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合同价的</w:t>
      </w:r>
      <w:r>
        <w:rPr>
          <w:rFonts w:hint="eastAsia" w:ascii="宋体" w:hAnsi="宋体" w:eastAsia="宋体" w:cs="宋体"/>
          <w:bCs/>
          <w:color w:val="auto"/>
          <w:kern w:val="0"/>
          <w:szCs w:val="21"/>
          <w:highlight w:val="none"/>
          <w:lang w:eastAsia="zh" w:bidi="ar"/>
        </w:rPr>
        <w:t>4</w:t>
      </w:r>
      <w:r>
        <w:rPr>
          <w:rFonts w:hint="eastAsia" w:ascii="宋体" w:hAnsi="宋体" w:eastAsia="宋体" w:cs="宋体"/>
          <w:bCs/>
          <w:color w:val="auto"/>
          <w:kern w:val="0"/>
          <w:szCs w:val="21"/>
          <w:highlight w:val="none"/>
          <w:lang w:bidi="ar"/>
        </w:rPr>
        <w:t>0%及对应的税额（包含已支付的预付款）；</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2</w:t>
      </w: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货物</w:t>
      </w:r>
      <w:r>
        <w:rPr>
          <w:rFonts w:hint="eastAsia" w:ascii="宋体" w:hAnsi="宋体" w:eastAsia="宋体" w:cs="宋体"/>
          <w:bCs/>
          <w:color w:val="auto"/>
          <w:kern w:val="0"/>
          <w:szCs w:val="21"/>
          <w:highlight w:val="none"/>
          <w:lang w:bidi="ar"/>
        </w:rPr>
        <w:t>120小时试运行按本合同第十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条约定完成对应的验收工作，乙方向甲方提交请款报告和请款金额等额的合法、有效的增值税专用发票，甲方在收到前述材料并确认无误后【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合同价</w:t>
      </w:r>
      <w:r>
        <w:rPr>
          <w:rFonts w:hint="eastAsia" w:ascii="宋体" w:hAnsi="宋体" w:eastAsia="宋体" w:cs="宋体"/>
          <w:bCs/>
          <w:color w:val="auto"/>
          <w:kern w:val="0"/>
          <w:szCs w:val="21"/>
          <w:highlight w:val="none"/>
          <w:lang w:eastAsia="zh" w:bidi="ar"/>
        </w:rPr>
        <w:t>5</w:t>
      </w:r>
      <w:r>
        <w:rPr>
          <w:rFonts w:hint="eastAsia" w:ascii="宋体" w:hAnsi="宋体" w:eastAsia="宋体" w:cs="宋体"/>
          <w:bCs/>
          <w:color w:val="auto"/>
          <w:kern w:val="0"/>
          <w:szCs w:val="21"/>
          <w:highlight w:val="none"/>
          <w:lang w:bidi="ar"/>
        </w:rPr>
        <w:t>0%及对应的税额（包含已支付的预付款）；</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3</w:t>
      </w:r>
      <w:r>
        <w:rPr>
          <w:rFonts w:hint="eastAsia" w:ascii="宋体" w:hAnsi="宋体" w:eastAsia="宋体" w:cs="宋体"/>
          <w:bCs/>
          <w:color w:val="auto"/>
          <w:kern w:val="0"/>
          <w:szCs w:val="21"/>
          <w:highlight w:val="none"/>
          <w:lang w:bidi="ar"/>
        </w:rPr>
        <w:t>）首年性能考核按本合同第十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条约定完成对应的验收工作，乙方向甲方提交请款报告和请款金额等额的合法、有效的增值税专用发票，甲方在收到前述材料并确认无误后【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】个工作日内向乙方支付至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w:t>
      </w:r>
      <w:r>
        <w:rPr>
          <w:rFonts w:hint="eastAsia" w:ascii="宋体" w:hAnsi="宋体" w:eastAsia="宋体" w:cs="宋体"/>
          <w:bCs/>
          <w:color w:val="auto"/>
          <w:kern w:val="0"/>
          <w:szCs w:val="21"/>
          <w:highlight w:val="none"/>
          <w:lang w:eastAsia="zh" w:bidi="ar"/>
        </w:rPr>
        <w:t>75</w:t>
      </w:r>
      <w:r>
        <w:rPr>
          <w:rFonts w:hint="eastAsia" w:ascii="宋体" w:hAnsi="宋体" w:eastAsia="宋体" w:cs="宋体"/>
          <w:bCs/>
          <w:color w:val="auto"/>
          <w:kern w:val="0"/>
          <w:szCs w:val="21"/>
          <w:highlight w:val="none"/>
          <w:lang w:bidi="ar"/>
        </w:rPr>
        <w:t>%及对应的税额（包含已支付的预付款）；</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4</w:t>
      </w:r>
      <w:r>
        <w:rPr>
          <w:rFonts w:hint="eastAsia" w:ascii="宋体" w:hAnsi="宋体" w:eastAsia="宋体" w:cs="宋体"/>
          <w:bCs/>
          <w:color w:val="auto"/>
          <w:kern w:val="0"/>
          <w:szCs w:val="21"/>
          <w:highlight w:val="none"/>
          <w:lang w:bidi="ar"/>
        </w:rPr>
        <w:t>）第二年性能考核按本合同第十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条约定完成对应的验收工作，乙方向甲方提交请款报告和请款金额等额的合法、有效的增值税专用发票，甲方在收到前述材料并确认无误后【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】个工作日内向乙方支付至</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w:t>
      </w:r>
      <w:r>
        <w:rPr>
          <w:rFonts w:hint="eastAsia" w:ascii="宋体" w:hAnsi="宋体" w:eastAsia="宋体" w:cs="宋体"/>
          <w:bCs/>
          <w:color w:val="auto"/>
          <w:kern w:val="0"/>
          <w:szCs w:val="21"/>
          <w:highlight w:val="none"/>
          <w:lang w:eastAsia="zh" w:bidi="ar"/>
        </w:rPr>
        <w:t>85</w:t>
      </w:r>
      <w:r>
        <w:rPr>
          <w:rFonts w:hint="eastAsia" w:ascii="宋体" w:hAnsi="宋体" w:eastAsia="宋体" w:cs="宋体"/>
          <w:bCs/>
          <w:color w:val="auto"/>
          <w:kern w:val="0"/>
          <w:szCs w:val="21"/>
          <w:highlight w:val="none"/>
          <w:lang w:bidi="ar"/>
        </w:rPr>
        <w:t>%及对应的税额（包含已支付的预付款）；</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eastAsia="zh" w:bidi="ar"/>
        </w:rPr>
        <w:t>5</w:t>
      </w:r>
      <w:r>
        <w:rPr>
          <w:rFonts w:hint="eastAsia" w:ascii="宋体" w:hAnsi="宋体" w:eastAsia="宋体" w:cs="宋体"/>
          <w:bCs/>
          <w:color w:val="auto"/>
          <w:kern w:val="0"/>
          <w:szCs w:val="21"/>
          <w:highlight w:val="none"/>
          <w:lang w:bidi="ar"/>
        </w:rPr>
        <w:t>）剩余</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bidi="ar"/>
        </w:rPr>
        <w:t>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价的</w:t>
      </w:r>
      <w:r>
        <w:rPr>
          <w:rFonts w:hint="eastAsia" w:ascii="宋体" w:hAnsi="宋体" w:eastAsia="宋体" w:cs="宋体"/>
          <w:bCs/>
          <w:color w:val="auto"/>
          <w:kern w:val="0"/>
          <w:szCs w:val="21"/>
          <w:highlight w:val="none"/>
          <w:lang w:val="en-US" w:eastAsia="zh-CN" w:bidi="ar"/>
        </w:rPr>
        <w:t>1</w:t>
      </w:r>
      <w:r>
        <w:rPr>
          <w:rFonts w:hint="eastAsia" w:ascii="宋体" w:hAnsi="宋体" w:eastAsia="宋体" w:cs="宋体"/>
          <w:bCs/>
          <w:color w:val="auto"/>
          <w:kern w:val="0"/>
          <w:szCs w:val="21"/>
          <w:highlight w:val="none"/>
          <w:lang w:bidi="ar"/>
        </w:rPr>
        <w:t>5%及对应税额，甲方以下列方式    向乙方支付:</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方式一:最终验收合格后，乙方按甲方要求提交竣工资料、结算资料、请款报告和请款金额等额的合法、有效的增值税专用发票等请款资料，甲方在收到前述材料并确认无误后【30】个工作日内向乙方支付至对应合同</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价的【95】%及对应税额（包含已支付的预付款）；剩余</w:t>
      </w:r>
      <w:r>
        <w:rPr>
          <w:rFonts w:hint="eastAsia" w:ascii="宋体" w:hAnsi="宋体" w:eastAsia="宋体" w:cs="宋体"/>
          <w:bCs/>
          <w:color w:val="auto"/>
          <w:kern w:val="0"/>
          <w:szCs w:val="21"/>
          <w:highlight w:val="none"/>
          <w:lang w:eastAsia="zh" w:bidi="ar"/>
        </w:rPr>
        <w:t>对应</w:t>
      </w:r>
      <w:r>
        <w:rPr>
          <w:rFonts w:hint="eastAsia" w:ascii="宋体" w:hAnsi="宋体" w:eastAsia="宋体" w:cs="宋体"/>
          <w:bCs/>
          <w:color w:val="auto"/>
          <w:kern w:val="0"/>
          <w:szCs w:val="21"/>
          <w:highlight w:val="none"/>
          <w:lang w:val="en-US" w:eastAsia="zh-CN" w:bidi="ar"/>
        </w:rPr>
        <w:t>结算</w:t>
      </w:r>
      <w:r>
        <w:rPr>
          <w:rFonts w:hint="eastAsia" w:ascii="宋体" w:hAnsi="宋体" w:eastAsia="宋体" w:cs="宋体"/>
          <w:bCs/>
          <w:color w:val="auto"/>
          <w:kern w:val="0"/>
          <w:szCs w:val="21"/>
          <w:highlight w:val="none"/>
          <w:lang w:bidi="ar"/>
        </w:rPr>
        <w:t>价的【</w:t>
      </w:r>
      <w:r>
        <w:rPr>
          <w:rFonts w:hint="eastAsia" w:ascii="宋体" w:hAnsi="宋体" w:eastAsia="宋体" w:cs="宋体"/>
          <w:bCs/>
          <w:color w:val="auto"/>
          <w:kern w:val="0"/>
          <w:szCs w:val="21"/>
          <w:highlight w:val="none"/>
          <w:lang w:val="en-US" w:eastAsia="zh-CN" w:bidi="ar"/>
        </w:rPr>
        <w:t>5</w:t>
      </w:r>
      <w:r>
        <w:rPr>
          <w:rFonts w:hint="eastAsia" w:ascii="宋体" w:hAnsi="宋体" w:eastAsia="宋体" w:cs="宋体"/>
          <w:bCs/>
          <w:color w:val="auto"/>
          <w:kern w:val="0"/>
          <w:szCs w:val="21"/>
          <w:highlight w:val="none"/>
          <w:lang w:bidi="ar"/>
        </w:rPr>
        <w:t>】%及对应税额作为质保金，质保期满后，项目无质量问题，由乙方按甲方要求提交竣工资料、结算资料、请款报告和请款金额等额的合法、有效的增值税专用发票等请款资料，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】个工作日内将质保金无息支付给乙方。如质保期内乙方未能按合同约定提供质保服务的，在质保期满后由甲方根据乙方实际履行质保服务情况与乙方</w:t>
      </w:r>
      <w:r>
        <w:rPr>
          <w:rFonts w:hint="eastAsia" w:ascii="宋体" w:hAnsi="宋体" w:eastAsia="宋体" w:cs="宋体"/>
          <w:bCs/>
          <w:color w:val="auto"/>
          <w:kern w:val="0"/>
          <w:szCs w:val="21"/>
          <w:highlight w:val="none"/>
          <w:lang w:eastAsia="zh" w:bidi="ar"/>
        </w:rPr>
        <w:t>结算</w:t>
      </w:r>
      <w:r>
        <w:rPr>
          <w:rFonts w:hint="eastAsia" w:ascii="宋体" w:hAnsi="宋体" w:eastAsia="宋体" w:cs="宋体"/>
          <w:bCs/>
          <w:color w:val="auto"/>
          <w:kern w:val="0"/>
          <w:szCs w:val="21"/>
          <w:highlight w:val="none"/>
          <w:lang w:bidi="ar"/>
        </w:rPr>
        <w:t>质保金。</w:t>
      </w:r>
    </w:p>
    <w:p>
      <w:pPr>
        <w:numPr>
          <w:ilvl w:val="-1"/>
          <w:numId w:val="0"/>
        </w:numPr>
        <w:autoSpaceDE w:val="0"/>
        <w:autoSpaceDN w:val="0"/>
        <w:adjustRightInd/>
        <w:snapToGrid/>
        <w:spacing w:line="360" w:lineRule="auto"/>
        <w:ind w:right="-23" w:rightChars="-11" w:firstLine="424" w:firstLineChars="202"/>
        <w:jc w:val="left"/>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方式二:最终验收合格后，乙方按甲方要求提交竣工资料、结算资料、请款报告和请款金额等额的合法、有效的增值税专用发票等请款资料，并提交甲方认可接收的银行出具的质量保函</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保函金额为</w:t>
      </w:r>
      <w:r>
        <w:rPr>
          <w:rFonts w:hint="eastAsia" w:ascii="宋体" w:hAnsi="宋体" w:eastAsia="宋体" w:cs="宋体"/>
          <w:bCs/>
          <w:color w:val="auto"/>
          <w:kern w:val="0"/>
          <w:szCs w:val="21"/>
          <w:highlight w:val="none"/>
          <w:lang w:val="en-US" w:eastAsia="zh-CN" w:bidi="ar"/>
        </w:rPr>
        <w:t>剩余对应合同结算价的</w:t>
      </w: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5</w:t>
      </w: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及对应税额</w:t>
      </w:r>
      <w:r>
        <w:rPr>
          <w:rFonts w:hint="eastAsia" w:ascii="宋体" w:hAnsi="宋体" w:eastAsia="宋体" w:cs="宋体"/>
          <w:bCs/>
          <w:color w:val="auto"/>
          <w:kern w:val="0"/>
          <w:szCs w:val="21"/>
          <w:highlight w:val="none"/>
          <w:lang w:bidi="ar"/>
        </w:rPr>
        <w:t>，保函有效期至全部货物</w:t>
      </w:r>
      <w:r>
        <w:rPr>
          <w:rFonts w:hint="eastAsia" w:ascii="宋体" w:hAnsi="宋体" w:eastAsia="宋体" w:cs="宋体"/>
          <w:bCs/>
          <w:color w:val="auto"/>
          <w:kern w:val="0"/>
          <w:szCs w:val="21"/>
          <w:highlight w:val="none"/>
          <w:lang w:val="en-US" w:eastAsia="zh-CN" w:bidi="ar"/>
        </w:rPr>
        <w:t>质保期届满</w:t>
      </w:r>
      <w:r>
        <w:rPr>
          <w:rFonts w:hint="eastAsia" w:ascii="宋体" w:hAnsi="宋体" w:eastAsia="宋体"/>
          <w:color w:val="auto"/>
          <w:szCs w:val="21"/>
          <w:highlight w:val="none"/>
        </w:rPr>
        <w:t>且</w:t>
      </w:r>
      <w:r>
        <w:rPr>
          <w:rFonts w:hint="eastAsia" w:ascii="宋体" w:hAnsi="宋体" w:eastAsia="宋体"/>
          <w:color w:val="auto"/>
          <w:szCs w:val="21"/>
          <w:highlight w:val="none"/>
          <w:lang w:val="en-US" w:eastAsia="zh-CN"/>
        </w:rPr>
        <w:t>受益人</w:t>
      </w:r>
      <w:r>
        <w:rPr>
          <w:rFonts w:hint="eastAsia" w:ascii="宋体" w:hAnsi="宋体" w:eastAsia="宋体"/>
          <w:color w:val="auto"/>
          <w:szCs w:val="21"/>
          <w:highlight w:val="none"/>
        </w:rPr>
        <w:t>出具</w:t>
      </w:r>
      <w:r>
        <w:rPr>
          <w:rFonts w:hint="eastAsia" w:ascii="宋体" w:hAnsi="宋体" w:eastAsia="宋体"/>
          <w:color w:val="auto"/>
          <w:szCs w:val="21"/>
          <w:highlight w:val="none"/>
          <w:lang w:val="en-US" w:eastAsia="zh-CN"/>
        </w:rPr>
        <w:t>相关</w:t>
      </w:r>
      <w:r>
        <w:rPr>
          <w:rFonts w:hint="eastAsia" w:ascii="宋体" w:hAnsi="宋体" w:eastAsia="宋体"/>
          <w:color w:val="auto"/>
          <w:szCs w:val="21"/>
          <w:highlight w:val="none"/>
        </w:rPr>
        <w:t>证明</w:t>
      </w:r>
      <w:r>
        <w:rPr>
          <w:rFonts w:hint="eastAsia" w:ascii="宋体" w:hAnsi="宋体" w:eastAsia="宋体"/>
          <w:color w:val="auto"/>
          <w:szCs w:val="21"/>
          <w:highlight w:val="none"/>
          <w:lang w:val="en-US" w:eastAsia="zh-CN"/>
        </w:rPr>
        <w:t>后第30日</w:t>
      </w:r>
      <w:r>
        <w:rPr>
          <w:rFonts w:hint="eastAsia" w:eastAsia="宋体"/>
          <w:lang w:eastAsia="zh-CN"/>
        </w:rPr>
        <w:t>），</w:t>
      </w:r>
      <w:r>
        <w:rPr>
          <w:rFonts w:hint="eastAsia" w:ascii="宋体" w:hAnsi="宋体" w:eastAsia="宋体" w:cs="宋体"/>
          <w:bCs/>
          <w:color w:val="auto"/>
          <w:kern w:val="0"/>
          <w:szCs w:val="21"/>
          <w:highlight w:val="none"/>
          <w:lang w:bidi="ar"/>
        </w:rPr>
        <w:t>甲方在收到前述材料并确认无误后【</w:t>
      </w:r>
      <w:r>
        <w:rPr>
          <w:rFonts w:hint="eastAsia" w:ascii="宋体" w:hAnsi="宋体" w:eastAsia="宋体" w:cs="宋体"/>
          <w:bCs/>
          <w:color w:val="auto"/>
          <w:kern w:val="0"/>
          <w:szCs w:val="21"/>
          <w:highlight w:val="none"/>
          <w:lang w:val="en-US" w:eastAsia="zh-CN" w:bidi="ar"/>
        </w:rPr>
        <w:t>30</w:t>
      </w:r>
      <w:r>
        <w:rPr>
          <w:rFonts w:hint="eastAsia" w:ascii="宋体" w:hAnsi="宋体" w:eastAsia="宋体" w:cs="宋体"/>
          <w:bCs/>
          <w:color w:val="auto"/>
          <w:kern w:val="0"/>
          <w:szCs w:val="21"/>
          <w:highlight w:val="none"/>
          <w:lang w:bidi="ar"/>
        </w:rPr>
        <w:t>】个工作日内，甲方向乙方支付完本合同剩余的合同款项。如质保期内乙方未能按合同约定提供质保服务的，在质保期满后由甲方根据乙方实际履行质保服务情况与乙方结算质保金，需扣除的款项甲方有权直接提取质量保函扣除。</w:t>
      </w:r>
    </w:p>
    <w:p>
      <w:pPr>
        <w:autoSpaceDE w:val="0"/>
        <w:autoSpaceDN w:val="0"/>
        <w:spacing w:line="360" w:lineRule="auto"/>
        <w:ind w:right="-23" w:rightChars="-11" w:firstLine="424" w:firstLineChars="202"/>
        <w:jc w:val="left"/>
        <w:rPr>
          <w:rFonts w:hint="eastAsia" w:ascii="宋体" w:hAnsi="宋体" w:eastAsia="宋体" w:cs="宋体"/>
          <w:color w:val="auto"/>
          <w:kern w:val="0"/>
          <w:szCs w:val="21"/>
          <w:highlight w:val="none"/>
          <w:lang w:bidi="ar"/>
        </w:rPr>
      </w:pPr>
      <w:r>
        <w:rPr>
          <w:rFonts w:hint="eastAsia" w:ascii="宋体" w:hAnsi="宋体" w:eastAsia="宋体" w:cs="宋体"/>
          <w:bCs/>
          <w:color w:val="auto"/>
          <w:kern w:val="0"/>
          <w:szCs w:val="21"/>
          <w:highlight w:val="none"/>
          <w:lang w:val="en-US" w:eastAsia="zh" w:bidi="ar"/>
        </w:rPr>
        <w:t>5</w:t>
      </w:r>
      <w:r>
        <w:rPr>
          <w:rFonts w:hint="eastAsia" w:ascii="宋体" w:hAnsi="宋体" w:eastAsia="宋体" w:cs="宋体"/>
          <w:bCs/>
          <w:color w:val="auto"/>
          <w:kern w:val="0"/>
          <w:szCs w:val="21"/>
          <w:highlight w:val="none"/>
          <w:lang w:val="en-US" w:eastAsia="zh-CN" w:bidi="ar"/>
        </w:rPr>
        <w:t>、</w:t>
      </w:r>
      <w:r>
        <w:rPr>
          <w:rFonts w:hint="eastAsia" w:ascii="宋体" w:hAnsi="宋体" w:eastAsia="宋体" w:cs="宋体"/>
          <w:bCs/>
          <w:color w:val="auto"/>
          <w:kern w:val="0"/>
          <w:szCs w:val="21"/>
          <w:highlight w:val="none"/>
          <w:lang w:bidi="ar"/>
        </w:rPr>
        <w:t>以上款项由甲方通过银行转账或银行承兑汇票方式支付相应款项至乙方银行账户中，汇票期限不超过三个月，每期款项支付方式由甲方决定。</w:t>
      </w:r>
      <w:r>
        <w:rPr>
          <w:rFonts w:hint="eastAsia" w:ascii="宋体" w:hAnsi="宋体" w:eastAsia="宋体" w:cs="宋体"/>
          <w:color w:val="auto"/>
          <w:kern w:val="0"/>
          <w:szCs w:val="21"/>
          <w:highlight w:val="none"/>
          <w:lang w:bidi="ar"/>
        </w:rPr>
        <w:t>乙方逾期提交请款资料及发票或提交资料、发票不符合甲方要求的，甲方付款时间顺延，并不承担逾期付款违约责任。由于乙方提供的发票不符合税法规定，给甲方造成的损失由乙方承担赔偿责任。</w:t>
      </w:r>
    </w:p>
    <w:p>
      <w:pPr>
        <w:autoSpaceDE w:val="0"/>
        <w:autoSpaceDN w:val="0"/>
        <w:adjustRightInd w:val="0"/>
        <w:snapToGrid w:val="0"/>
        <w:spacing w:line="360" w:lineRule="auto"/>
        <w:ind w:firstLine="0" w:firstLineChars="0"/>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第四条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合同组成</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技术说明及其它有关合同货物的特定信息可由合同附件说明。合同所有附件及本项目的招标文件、答疑文件、投标文件、补充通知及相关承诺、协议等均为本合同有效组成部分，与本合同同具法律效力，该等文件与本合同正文约定不一致的，以有利于甲方的约定为准。</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hint="eastAsia" w:ascii="宋体" w:hAnsi="宋体" w:eastAsia="宋体" w:cs="Times New Roman"/>
          <w:b/>
          <w:color w:val="auto"/>
          <w:kern w:val="0"/>
          <w:szCs w:val="21"/>
          <w:highlight w:val="none"/>
          <w:lang w:eastAsia="zh-CN"/>
        </w:rPr>
      </w:pPr>
      <w:r>
        <w:rPr>
          <w:rFonts w:hint="eastAsia" w:ascii="宋体" w:hAnsi="宋体" w:eastAsia="宋体" w:cs="宋体"/>
          <w:b/>
          <w:color w:val="auto"/>
          <w:kern w:val="0"/>
          <w:szCs w:val="21"/>
          <w:highlight w:val="none"/>
          <w:lang w:bidi="ar"/>
        </w:rPr>
        <w:t>第五条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技术要求</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质量要求</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autoSpaceDE w:val="0"/>
        <w:autoSpaceDN w:val="0"/>
        <w:adjustRightInd w:val="0"/>
        <w:snapToGrid w:val="0"/>
        <w:spacing w:line="360" w:lineRule="auto"/>
        <w:ind w:right="0" w:rightChars="0"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b/>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w:t>
      </w:r>
      <w:r>
        <w:rPr>
          <w:rFonts w:hint="eastAsia" w:ascii="宋体" w:hAnsi="宋体" w:eastAsia="宋体" w:cs="宋体"/>
          <w:b/>
          <w:color w:val="auto"/>
          <w:kern w:val="0"/>
          <w:szCs w:val="21"/>
          <w:highlight w:val="none"/>
          <w:lang w:val="en-US" w:eastAsia="zh-CN" w:bidi="ar"/>
        </w:rPr>
        <w:t>六</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施工安全及其他要求</w:t>
      </w:r>
    </w:p>
    <w:p>
      <w:pPr>
        <w:autoSpaceDE w:val="0"/>
        <w:autoSpaceDN w:val="0"/>
        <w:adjustRightIn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1、安全要求</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乙方在施工前需对施工人员做好施工安全培训、教育，施工期间严格执行有限空间作业、特种设备操作、用电安全等相关规范，并无条件接受甲方监督。</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乙方应当采取有效的职业卫生防护措施，为施工人员配备必要的防护用品（安全帽、防水手套、安全带、口罩、救生衣等）。</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施工人员需服从甲方管理，未经允许不能进入不相关的生产作业区。</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施工作业期间，施工人员严禁打闹嬉戏、抽烟，严禁酒后工作。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施工作业期间，施工人员需穿戴好安全防护用品，如安全帽、防水套装等。</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乙方须为每位施工人员购买足额的社会及商业保险。</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乙方做好施工的安全防护措施，施工过程中出现的安全事故由乙方自行承担。</w:t>
      </w:r>
    </w:p>
    <w:p>
      <w:pPr>
        <w:autoSpaceDE w:val="0"/>
        <w:autoSpaceDN w:val="0"/>
        <w:adjustRightIn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2、其他要求</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施工设备、工器具：由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自行解决。</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施</w:t>
      </w:r>
      <w:r>
        <w:rPr>
          <w:rFonts w:hint="eastAsia" w:ascii="宋体" w:hAnsi="宋体" w:eastAsia="宋体" w:cs="宋体"/>
          <w:color w:val="auto"/>
          <w:kern w:val="0"/>
          <w:szCs w:val="21"/>
          <w:highlight w:val="none"/>
          <w:lang w:eastAsia="zh-CN" w:bidi="ar"/>
        </w:rPr>
        <w:t>工中用水用电：甲方只负责提供接入点，乙方自行负责电缆线、水管及相关附属件的敷设，同时需做好用水、用电安全防护措施并无条件接受甲方监督。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eastAsia="zh-CN" w:bidi="ar"/>
        </w:rPr>
        <w:t>）施工安全：乙方做好施工的安全防护措施，施工过程中出现的安全事故由乙方自行承担。</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hint="default" w:ascii="宋体" w:hAnsi="宋体" w:eastAsia="宋体" w:cs="Times New Roman"/>
          <w:b/>
          <w:color w:val="auto"/>
          <w:kern w:val="0"/>
          <w:szCs w:val="21"/>
          <w:highlight w:val="none"/>
          <w:lang w:val="en-US" w:eastAsia="zh-CN"/>
        </w:rPr>
      </w:pPr>
      <w:r>
        <w:rPr>
          <w:rFonts w:hint="eastAsia" w:ascii="宋体" w:hAnsi="宋体" w:eastAsia="宋体" w:cs="宋体"/>
          <w:b/>
          <w:color w:val="auto"/>
          <w:kern w:val="0"/>
          <w:szCs w:val="21"/>
          <w:highlight w:val="none"/>
          <w:lang w:bidi="ar"/>
        </w:rPr>
        <w:t>第</w:t>
      </w:r>
      <w:r>
        <w:rPr>
          <w:rFonts w:hint="eastAsia" w:ascii="宋体" w:hAnsi="宋体" w:eastAsia="宋体" w:cs="宋体"/>
          <w:b/>
          <w:color w:val="auto"/>
          <w:kern w:val="0"/>
          <w:szCs w:val="21"/>
          <w:highlight w:val="none"/>
          <w:lang w:val="en-US" w:eastAsia="zh-CN" w:bidi="ar"/>
        </w:rPr>
        <w:t>七</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包装、运输</w:t>
      </w:r>
      <w:r>
        <w:rPr>
          <w:rFonts w:hint="eastAsia" w:ascii="宋体" w:hAnsi="宋体" w:eastAsia="宋体" w:cs="宋体"/>
          <w:b/>
          <w:color w:val="auto"/>
          <w:kern w:val="0"/>
          <w:szCs w:val="21"/>
          <w:highlight w:val="none"/>
          <w:lang w:val="en-US" w:eastAsia="zh-CN" w:bidi="ar"/>
        </w:rPr>
        <w:t>要求</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w:t>
      </w:r>
      <w:r>
        <w:rPr>
          <w:rFonts w:hint="eastAsia" w:ascii="宋体" w:hAnsi="宋体" w:eastAsia="宋体" w:cs="宋体"/>
          <w:b/>
          <w:color w:val="auto"/>
          <w:kern w:val="0"/>
          <w:szCs w:val="21"/>
          <w:highlight w:val="none"/>
          <w:lang w:val="en-US" w:eastAsia="zh-CN" w:bidi="ar"/>
        </w:rPr>
        <w:t>八</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保险</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一旦上述货物发生保险事故，乙方除依法向保险人请求赔偿保险金外，应继续依约按时向甲方提供满足本合同要求的货物，否则甲方有权按本合同第</w:t>
      </w:r>
      <w:r>
        <w:rPr>
          <w:rFonts w:hint="eastAsia" w:ascii="宋体" w:hAnsi="宋体" w:eastAsia="宋体" w:cs="宋体"/>
          <w:color w:val="auto"/>
          <w:kern w:val="0"/>
          <w:szCs w:val="21"/>
          <w:highlight w:val="none"/>
          <w:lang w:val="en-US" w:eastAsia="zh-CN" w:bidi="ar"/>
        </w:rPr>
        <w:t>十九</w:t>
      </w:r>
      <w:r>
        <w:rPr>
          <w:rFonts w:hint="eastAsia" w:ascii="宋体" w:hAnsi="宋体" w:eastAsia="宋体" w:cs="宋体"/>
          <w:color w:val="auto"/>
          <w:kern w:val="0"/>
          <w:szCs w:val="21"/>
          <w:highlight w:val="none"/>
          <w:lang w:bidi="ar"/>
        </w:rPr>
        <w:t>条</w:t>
      </w:r>
      <w:r>
        <w:rPr>
          <w:rFonts w:hint="eastAsia" w:ascii="宋体" w:hAnsi="宋体" w:eastAsia="宋体" w:cs="宋体"/>
          <w:color w:val="auto"/>
          <w:kern w:val="0"/>
          <w:szCs w:val="21"/>
          <w:highlight w:val="none"/>
          <w:lang w:val="en-US" w:eastAsia="zh-CN" w:bidi="ar"/>
        </w:rPr>
        <w:t>第一款</w:t>
      </w:r>
      <w:r>
        <w:rPr>
          <w:rFonts w:hint="eastAsia" w:ascii="宋体" w:hAnsi="宋体" w:eastAsia="宋体" w:cs="宋体"/>
          <w:color w:val="auto"/>
          <w:kern w:val="0"/>
          <w:szCs w:val="21"/>
          <w:highlight w:val="none"/>
          <w:lang w:bidi="ar"/>
        </w:rPr>
        <w:t>的约定要求乙方承担违约责任。</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r>
        <w:rPr>
          <w:rFonts w:hint="eastAsia" w:ascii="宋体" w:hAnsi="宋体" w:eastAsia="宋体" w:cs="Times New Roman"/>
          <w:b/>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hint="default" w:ascii="宋体" w:hAnsi="宋体" w:eastAsia="宋体" w:cs="Times New Roman"/>
          <w:b/>
          <w:color w:val="auto"/>
          <w:kern w:val="0"/>
          <w:szCs w:val="21"/>
          <w:highlight w:val="none"/>
          <w:lang w:val="en-US" w:eastAsia="zh-CN"/>
        </w:rPr>
      </w:pPr>
      <w:r>
        <w:rPr>
          <w:rFonts w:hint="eastAsia" w:ascii="宋体" w:hAnsi="宋体" w:eastAsia="宋体" w:cs="宋体"/>
          <w:b/>
          <w:color w:val="auto"/>
          <w:kern w:val="0"/>
          <w:szCs w:val="21"/>
          <w:highlight w:val="none"/>
          <w:lang w:bidi="ar"/>
        </w:rPr>
        <w:t>第</w:t>
      </w:r>
      <w:r>
        <w:rPr>
          <w:rFonts w:hint="eastAsia" w:ascii="宋体" w:hAnsi="宋体" w:eastAsia="宋体" w:cs="宋体"/>
          <w:b/>
          <w:color w:val="auto"/>
          <w:kern w:val="0"/>
          <w:szCs w:val="21"/>
          <w:highlight w:val="none"/>
          <w:lang w:val="en-US" w:eastAsia="zh-CN" w:bidi="ar"/>
        </w:rPr>
        <w:t>九</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供货及安装界限</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hint="default" w:ascii="宋体" w:hAnsi="宋体" w:eastAsia="宋体" w:cs="Times New Roman"/>
          <w:b/>
          <w:color w:val="auto"/>
          <w:kern w:val="0"/>
          <w:szCs w:val="21"/>
          <w:highlight w:val="none"/>
          <w:lang w:val="en-US" w:eastAsia="zh-CN"/>
        </w:rPr>
      </w:pPr>
      <w:r>
        <w:rPr>
          <w:rFonts w:hint="eastAsia" w:ascii="宋体" w:hAnsi="宋体" w:eastAsia="宋体" w:cs="宋体"/>
          <w:b/>
          <w:color w:val="auto"/>
          <w:kern w:val="0"/>
          <w:szCs w:val="21"/>
          <w:highlight w:val="none"/>
          <w:lang w:bidi="ar"/>
        </w:rPr>
        <w:t>第十条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安装、调试、维修</w:t>
      </w:r>
      <w:r>
        <w:rPr>
          <w:rFonts w:hint="eastAsia" w:ascii="宋体" w:hAnsi="宋体" w:eastAsia="宋体" w:cs="宋体"/>
          <w:b/>
          <w:color w:val="auto"/>
          <w:kern w:val="0"/>
          <w:szCs w:val="21"/>
          <w:highlight w:val="none"/>
          <w:lang w:val="en-US" w:eastAsia="zh-CN" w:bidi="ar"/>
        </w:rPr>
        <w:t>要求</w:t>
      </w:r>
    </w:p>
    <w:p>
      <w:pPr>
        <w:widowControl/>
        <w:spacing w:line="360" w:lineRule="auto"/>
        <w:ind w:firstLine="449" w:firstLineChars="214"/>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1、乙方应派专业技术人员（含制造商委派人员）到现场，进行设备及其配套货物等的安装，在甲方的组织安排下，负责完成供货、安装、调试、维修有关的技术工作。</w:t>
      </w:r>
    </w:p>
    <w:p>
      <w:pPr>
        <w:widowControl/>
        <w:spacing w:line="360" w:lineRule="auto"/>
        <w:ind w:firstLine="449" w:firstLineChars="214"/>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在货物安装、调试、维修过程中，乙方应遵守甲方现场的管理规定，并遵守工程施工、安全生产、消防安全的有关管理规定，采取必要的安全防范措施，消除事故隐患，并随时接受甲方安全检查人员的监督检查。在乙方搬运、拆卸、安装、调试、维修、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pPr>
        <w:widowControl/>
        <w:spacing w:line="360" w:lineRule="auto"/>
        <w:ind w:firstLine="449" w:firstLineChars="214"/>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3、由于乙方（含制造商）技术服务人员对安装的疏忽和错误以及乙方未按要求派人指导而造成的直接损失应由乙方负责。造成甲方损失的，乙方需足额赔偿。</w:t>
      </w:r>
    </w:p>
    <w:p>
      <w:pPr>
        <w:widowControl/>
        <w:spacing w:line="360" w:lineRule="auto"/>
        <w:ind w:firstLine="449" w:firstLineChars="214"/>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、乙方应严格按照国家有关安全文明施工的标准与规范制定安全文明施工操作规程，配备必要的安全生产和劳动保护设施，加强对施工作业人员的施工安全教育培训，对他们的安全负责。</w:t>
      </w:r>
    </w:p>
    <w:p>
      <w:pPr>
        <w:widowControl/>
        <w:spacing w:line="360" w:lineRule="auto"/>
        <w:ind w:firstLine="449" w:firstLineChars="214"/>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、乙方应对合同工程的安全文明施工负责，采取有效的安全措施消除安全事故隐患，并接受和配合依法实施的监督检查。</w:t>
      </w:r>
    </w:p>
    <w:p>
      <w:pPr>
        <w:widowControl/>
        <w:spacing w:line="360" w:lineRule="auto"/>
        <w:ind w:firstLine="449" w:firstLineChars="214"/>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pPr>
        <w:autoSpaceDE w:val="0"/>
        <w:autoSpaceDN w:val="0"/>
        <w:adjustRightInd w:val="0"/>
        <w:snapToGrid w:val="0"/>
        <w:spacing w:line="360" w:lineRule="auto"/>
        <w:ind w:firstLine="373" w:firstLineChars="177"/>
        <w:jc w:val="left"/>
        <w:rPr>
          <w:rFonts w:hint="eastAsia" w:ascii="宋体" w:hAnsi="宋体" w:eastAsia="宋体" w:cs="Times New Roman"/>
          <w:b/>
          <w:color w:val="auto"/>
          <w:kern w:val="0"/>
          <w:szCs w:val="21"/>
          <w:highlight w:val="none"/>
          <w:lang w:bidi="ar"/>
        </w:rPr>
      </w:pPr>
      <w:r>
        <w:rPr>
          <w:rFonts w:hint="eastAsia" w:ascii="宋体" w:hAnsi="宋体" w:eastAsia="宋体" w:cs="Times New Roman"/>
          <w:b/>
          <w:color w:val="auto"/>
          <w:kern w:val="0"/>
          <w:szCs w:val="21"/>
          <w:highlight w:val="none"/>
          <w:lang w:bidi="ar"/>
        </w:rPr>
        <w:t xml:space="preserve"> </w:t>
      </w:r>
    </w:p>
    <w:p>
      <w:pPr>
        <w:autoSpaceDE w:val="0"/>
        <w:autoSpaceDN w:val="0"/>
        <w:adjustRightInd w:val="0"/>
        <w:snapToGrid w:val="0"/>
        <w:spacing w:line="360" w:lineRule="auto"/>
        <w:ind w:firstLine="422" w:firstLineChars="200"/>
        <w:jc w:val="left"/>
        <w:rPr>
          <w:rFonts w:hint="eastAsia" w:ascii="宋体" w:hAnsi="宋体" w:eastAsia="宋体" w:cs="Times New Roman"/>
          <w:b/>
          <w:color w:val="auto"/>
          <w:kern w:val="0"/>
          <w:szCs w:val="21"/>
          <w:highlight w:val="none"/>
          <w:lang w:eastAsia="zh"/>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val="en-US" w:eastAsia="zh-CN" w:bidi="ar"/>
        </w:rPr>
        <w:t>一</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Times New Roman"/>
          <w:b/>
          <w:color w:val="auto"/>
          <w:kern w:val="0"/>
          <w:szCs w:val="21"/>
          <w:highlight w:val="none"/>
          <w:lang w:eastAsia="zh" w:bidi="ar"/>
        </w:rPr>
        <w:t>设备变更条款</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 w:val="21"/>
          <w:szCs w:val="21"/>
          <w:highlight w:val="none"/>
          <w:lang w:val="en-US" w:eastAsia="zh-CN" w:bidi="ar"/>
        </w:rPr>
        <w:t xml:space="preserve">合同履行期间，如发生下列情形之一，应按规定进行变更。 </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（1）设备及备品备件清单发生增减的，经</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Cs w:val="21"/>
          <w:highlight w:val="none"/>
          <w:lang w:eastAsia="zh-CN" w:bidi="ar"/>
        </w:rPr>
        <w:t>（含甲方委托的第三方）</w:t>
      </w:r>
      <w:r>
        <w:rPr>
          <w:rFonts w:hint="eastAsia" w:ascii="宋体" w:hAnsi="宋体" w:eastAsia="宋体" w:cs="宋体"/>
          <w:color w:val="auto"/>
          <w:kern w:val="0"/>
          <w:sz w:val="21"/>
          <w:szCs w:val="21"/>
          <w:highlight w:val="none"/>
          <w:lang w:val="en-US" w:eastAsia="zh-CN" w:bidi="ar"/>
        </w:rPr>
        <w:t xml:space="preserve">确认同意使用在该项目上的。 </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（2）设备及备品备件与招标文件及本合同规定的材质、型号、规格，参数、产地等特征发生变化的，经</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Cs w:val="21"/>
          <w:highlight w:val="none"/>
          <w:lang w:eastAsia="zh-CN" w:bidi="ar"/>
        </w:rPr>
        <w:t>（含甲方委托的第三方）</w:t>
      </w:r>
      <w:r>
        <w:rPr>
          <w:rFonts w:hint="eastAsia" w:ascii="宋体" w:hAnsi="宋体" w:eastAsia="宋体" w:cs="宋体"/>
          <w:color w:val="auto"/>
          <w:kern w:val="0"/>
          <w:sz w:val="21"/>
          <w:szCs w:val="21"/>
          <w:highlight w:val="none"/>
          <w:lang w:val="en-US" w:eastAsia="zh-CN" w:bidi="ar"/>
        </w:rPr>
        <w:t xml:space="preserve">确认同意的。 </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（3）设备及备品备件因设计图纸发生变化的而需要变更，经</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Cs w:val="21"/>
          <w:highlight w:val="none"/>
          <w:lang w:eastAsia="zh-CN" w:bidi="ar"/>
        </w:rPr>
        <w:t>（含甲方委托的第三方）</w:t>
      </w:r>
      <w:r>
        <w:rPr>
          <w:rFonts w:hint="eastAsia" w:ascii="宋体" w:hAnsi="宋体" w:eastAsia="宋体" w:cs="宋体"/>
          <w:color w:val="auto"/>
          <w:kern w:val="0"/>
          <w:sz w:val="21"/>
          <w:szCs w:val="21"/>
          <w:highlight w:val="none"/>
          <w:lang w:val="en-US" w:eastAsia="zh-CN" w:bidi="ar"/>
        </w:rPr>
        <w:t>确认同意的。</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2、因本款第</w:t>
      </w:r>
      <w:r>
        <w:rPr>
          <w:rFonts w:hint="eastAsia" w:ascii="宋体" w:hAnsi="宋体" w:eastAsia="宋体" w:cs="宋体"/>
          <w:color w:val="auto"/>
          <w:kern w:val="0"/>
          <w:sz w:val="21"/>
          <w:szCs w:val="21"/>
          <w:highlight w:val="none"/>
          <w:lang w:val="en-US" w:eastAsia="zh" w:bidi="ar"/>
        </w:rPr>
        <w:t>一款</w:t>
      </w:r>
      <w:r>
        <w:rPr>
          <w:rFonts w:hint="eastAsia" w:ascii="宋体" w:hAnsi="宋体" w:eastAsia="宋体" w:cs="宋体"/>
          <w:color w:val="auto"/>
          <w:kern w:val="0"/>
          <w:sz w:val="21"/>
          <w:szCs w:val="21"/>
          <w:highlight w:val="none"/>
          <w:lang w:val="en-US" w:eastAsia="zh-CN" w:bidi="ar"/>
        </w:rPr>
        <w:t>导致设备及备品备件变更的，价格按以下规定调整：</w:t>
      </w:r>
    </w:p>
    <w:p>
      <w:pPr>
        <w:widowControl/>
        <w:spacing w:line="360" w:lineRule="auto"/>
        <w:ind w:firstLine="449" w:firstLineChars="214"/>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Cs w:val="21"/>
          <w:highlight w:val="none"/>
          <w:lang w:bidi="ar"/>
        </w:rPr>
        <w:t>变更工作的子目货物与</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投标时的《分项报价明细表》有相同材质、型号、规格，参数、产地等特征时，应采用相应的子目货物价格。</w:t>
      </w:r>
    </w:p>
    <w:p>
      <w:pPr>
        <w:widowControl/>
        <w:spacing w:line="360" w:lineRule="auto"/>
        <w:ind w:firstLine="449" w:firstLineChars="214"/>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Cs w:val="21"/>
          <w:highlight w:val="none"/>
          <w:lang w:bidi="ar"/>
        </w:rPr>
        <w:t>变更工作的子目货物与</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投标时的《分项报价明细表》无相同子目货物单价，变更价款则由乙方提交价格组成或证明材料经甲方及甲方</w:t>
      </w:r>
      <w:r>
        <w:rPr>
          <w:rFonts w:hint="eastAsia" w:ascii="宋体" w:hAnsi="宋体" w:eastAsia="宋体" w:cs="宋体"/>
          <w:color w:val="auto"/>
          <w:kern w:val="0"/>
          <w:szCs w:val="21"/>
          <w:highlight w:val="none"/>
          <w:lang w:val="en-US" w:eastAsia="zh-CN" w:bidi="ar"/>
        </w:rPr>
        <w:t>委托</w:t>
      </w:r>
      <w:r>
        <w:rPr>
          <w:rFonts w:hint="eastAsia" w:ascii="宋体" w:hAnsi="宋体" w:eastAsia="宋体" w:cs="宋体"/>
          <w:color w:val="auto"/>
          <w:kern w:val="0"/>
          <w:szCs w:val="21"/>
          <w:highlight w:val="none"/>
          <w:lang w:bidi="ar"/>
        </w:rPr>
        <w:t>的第三方审核后协商确定</w:t>
      </w:r>
      <w:r>
        <w:rPr>
          <w:rFonts w:hint="eastAsia" w:ascii="宋体" w:hAnsi="宋体" w:eastAsia="宋体" w:cs="宋体"/>
          <w:color w:val="auto"/>
          <w:kern w:val="0"/>
          <w:szCs w:val="21"/>
          <w:highlight w:val="none"/>
          <w:lang w:eastAsia="zh-CN" w:bidi="ar"/>
        </w:rPr>
        <w:t>。</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3、因本款第</w:t>
      </w:r>
      <w:r>
        <w:rPr>
          <w:rFonts w:hint="eastAsia" w:ascii="宋体" w:hAnsi="宋体" w:eastAsia="宋体" w:cs="宋体"/>
          <w:color w:val="auto"/>
          <w:kern w:val="0"/>
          <w:sz w:val="21"/>
          <w:szCs w:val="21"/>
          <w:highlight w:val="none"/>
          <w:lang w:val="en-US" w:eastAsia="zh" w:bidi="ar"/>
        </w:rPr>
        <w:t>一款</w:t>
      </w:r>
      <w:r>
        <w:rPr>
          <w:rFonts w:hint="eastAsia" w:ascii="宋体" w:hAnsi="宋体" w:eastAsia="宋体" w:cs="宋体"/>
          <w:color w:val="auto"/>
          <w:kern w:val="0"/>
          <w:sz w:val="21"/>
          <w:szCs w:val="21"/>
          <w:highlight w:val="none"/>
          <w:lang w:val="en-US" w:eastAsia="zh-CN" w:bidi="ar"/>
        </w:rPr>
        <w:t xml:space="preserve">导致设备及备品备件变更的，合同金额按以下规定调整： </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（1）非</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 w:val="21"/>
          <w:szCs w:val="21"/>
          <w:highlight w:val="none"/>
          <w:lang w:val="en-US" w:eastAsia="zh-CN" w:bidi="ar"/>
        </w:rPr>
        <w:t>原因引起的设备变更，导致对应合同金额增加的不予调整。导致合同金额减少部分按本款第（3）项规定调整。</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CN" w:bidi="ar"/>
        </w:rPr>
        <w:t>（2）因</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 w:val="21"/>
          <w:szCs w:val="21"/>
          <w:highlight w:val="none"/>
          <w:lang w:val="en-US" w:eastAsia="zh-CN" w:bidi="ar"/>
        </w:rPr>
        <w:t>原因引起的设备变更，导致合同金额减少部分按本款第（3）项规定调整。</w:t>
      </w:r>
    </w:p>
    <w:p>
      <w:pPr>
        <w:keepNext w:val="0"/>
        <w:keepLines w:val="0"/>
        <w:widowControl/>
        <w:suppressLineNumbers w:val="0"/>
        <w:spacing w:line="360" w:lineRule="auto"/>
        <w:ind w:firstLine="449" w:firstLineChars="214"/>
        <w:jc w:val="left"/>
        <w:rPr>
          <w:color w:val="auto"/>
          <w:highlight w:val="none"/>
        </w:rPr>
      </w:pPr>
      <w:r>
        <w:rPr>
          <w:rFonts w:hint="eastAsia" w:ascii="宋体" w:hAnsi="宋体" w:eastAsia="宋体" w:cs="宋体"/>
          <w:color w:val="auto"/>
          <w:kern w:val="0"/>
          <w:sz w:val="21"/>
          <w:szCs w:val="21"/>
          <w:highlight w:val="none"/>
          <w:lang w:val="en-US" w:eastAsia="zh-CN" w:bidi="ar"/>
        </w:rPr>
        <w:t>（3）当发生设备变更，</w:t>
      </w:r>
      <w:r>
        <w:rPr>
          <w:rFonts w:hint="eastAsia" w:ascii="宋体" w:hAnsi="宋体" w:eastAsia="宋体" w:cs="宋体"/>
          <w:color w:val="auto"/>
          <w:kern w:val="0"/>
          <w:sz w:val="21"/>
          <w:szCs w:val="21"/>
          <w:highlight w:val="none"/>
          <w:lang w:val="en-US" w:eastAsia="zh" w:bidi="ar"/>
        </w:rPr>
        <w:t>甲方</w:t>
      </w:r>
      <w:r>
        <w:rPr>
          <w:rFonts w:hint="eastAsia" w:ascii="宋体" w:hAnsi="宋体" w:eastAsia="宋体" w:cs="宋体"/>
          <w:color w:val="auto"/>
          <w:kern w:val="0"/>
          <w:sz w:val="21"/>
          <w:szCs w:val="21"/>
          <w:highlight w:val="none"/>
          <w:lang w:val="en-US" w:eastAsia="zh-CN" w:bidi="ar"/>
        </w:rPr>
        <w:t>审定后出具审核意见书，并由</w:t>
      </w:r>
      <w:r>
        <w:rPr>
          <w:rFonts w:hint="eastAsia" w:ascii="宋体" w:hAnsi="宋体" w:eastAsia="宋体" w:cs="宋体"/>
          <w:color w:val="auto"/>
          <w:kern w:val="0"/>
          <w:sz w:val="21"/>
          <w:szCs w:val="21"/>
          <w:highlight w:val="none"/>
          <w:lang w:val="en-US" w:eastAsia="zh" w:bidi="ar"/>
        </w:rPr>
        <w:t>乙方</w:t>
      </w:r>
      <w:r>
        <w:rPr>
          <w:rFonts w:hint="eastAsia" w:ascii="宋体" w:hAnsi="宋体" w:eastAsia="宋体" w:cs="宋体"/>
          <w:color w:val="auto"/>
          <w:kern w:val="0"/>
          <w:sz w:val="21"/>
          <w:szCs w:val="21"/>
          <w:highlight w:val="none"/>
          <w:lang w:val="en-US" w:eastAsia="zh-CN" w:bidi="ar"/>
        </w:rPr>
        <w:t>对审核意见书进行确认，确认后作为结算参考依据。</w:t>
      </w:r>
    </w:p>
    <w:p>
      <w:pPr>
        <w:keepNext w:val="0"/>
        <w:keepLines w:val="0"/>
        <w:widowControl/>
        <w:suppressLineNumbers w:val="0"/>
        <w:spacing w:line="360" w:lineRule="auto"/>
        <w:ind w:firstLine="449" w:firstLineChars="214"/>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highlight w:val="none"/>
          <w:lang w:val="en-US" w:eastAsia="zh"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lang w:val="en-US" w:eastAsia="zh-CN"/>
        </w:rPr>
        <w:t>关于变更引起合同金额调整部分金额支付，在完成变更审批程序并在设备到达现场</w:t>
      </w:r>
      <w:r>
        <w:rPr>
          <w:rFonts w:hint="eastAsia" w:ascii="宋体" w:hAnsi="宋体" w:eastAsia="宋体" w:cs="宋体"/>
          <w:bCs/>
          <w:color w:val="auto"/>
          <w:kern w:val="0"/>
          <w:szCs w:val="21"/>
          <w:highlight w:val="none"/>
          <w:lang w:bidi="ar"/>
        </w:rPr>
        <w:t>按本合同第十</w:t>
      </w:r>
      <w:r>
        <w:rPr>
          <w:rFonts w:hint="eastAsia" w:ascii="宋体" w:hAnsi="宋体" w:eastAsia="宋体" w:cs="宋体"/>
          <w:bCs/>
          <w:color w:val="auto"/>
          <w:kern w:val="0"/>
          <w:szCs w:val="21"/>
          <w:highlight w:val="none"/>
          <w:lang w:eastAsia="zh" w:bidi="ar"/>
        </w:rPr>
        <w:t>二</w:t>
      </w:r>
      <w:r>
        <w:rPr>
          <w:rFonts w:hint="eastAsia" w:ascii="宋体" w:hAnsi="宋体" w:eastAsia="宋体" w:cs="宋体"/>
          <w:bCs/>
          <w:color w:val="auto"/>
          <w:kern w:val="0"/>
          <w:szCs w:val="21"/>
          <w:highlight w:val="none"/>
          <w:lang w:bidi="ar"/>
        </w:rPr>
        <w:t>条约定完成对应的验收工作</w:t>
      </w:r>
      <w:r>
        <w:rPr>
          <w:rFonts w:hint="eastAsia" w:ascii="宋体" w:hAnsi="宋体" w:eastAsia="宋体" w:cs="宋体"/>
          <w:bCs/>
          <w:color w:val="auto"/>
          <w:kern w:val="0"/>
          <w:szCs w:val="21"/>
          <w:highlight w:val="none"/>
          <w:lang w:val="en-US" w:eastAsia="zh-CN" w:bidi="ar"/>
        </w:rPr>
        <w:t>后，</w:t>
      </w:r>
      <w:r>
        <w:rPr>
          <w:rFonts w:hint="eastAsia" w:ascii="宋体" w:hAnsi="宋体" w:eastAsia="宋体" w:cs="宋体"/>
          <w:color w:val="auto"/>
          <w:lang w:val="en-US" w:eastAsia="zh-CN"/>
        </w:rPr>
        <w:t>支付至相应变更价款的40%及对应税额（包含变更前对应已支付的预付款部分）</w:t>
      </w:r>
      <w:r>
        <w:rPr>
          <w:rFonts w:hint="eastAsia"/>
          <w:color w:val="auto"/>
          <w:lang w:val="en-US" w:eastAsia="zh-CN"/>
        </w:rPr>
        <w:t>。</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二</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验收</w:t>
      </w:r>
    </w:p>
    <w:p>
      <w:pPr>
        <w:widowControl/>
        <w:spacing w:line="360" w:lineRule="auto"/>
        <w:ind w:firstLine="449" w:firstLineChars="214"/>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eastAsia="zh-CN" w:bidi="ar"/>
        </w:rPr>
        <w:t>、到货验收</w:t>
      </w:r>
    </w:p>
    <w:p>
      <w:pPr>
        <w:widowControl/>
        <w:spacing w:line="360" w:lineRule="auto"/>
        <w:ind w:firstLine="449" w:firstLineChars="214"/>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货物运抵交货地点后3日内，甲方（含甲方委托的第三方）、乙方代表共同开箱验货。甲方按照合同及采购文件、国家相关法律法规以及规范的要求等相关的规定，对货物的品种、品牌、产地、型号规格、数量、外观质量、资料等进行清点和全面的检验，并作详细的记录。初步验收如发现货物不符，或货物短缺、质次、损坏等问题，应作详细记录，甲方可拒绝收货，或由乙方在30日内立即、无条件为甲方调换或补齐，调换或补齐后的货物，甲方有权按照本条有关验收的规定进行验收，由此产生的制造、修理和运费及保险费等费用均应由乙方负担，与甲方无关。到货验收合格后，甲方、其他单位（不限于设计单位、技术服务单位）及乙方多方共同出具到货验收报告</w:t>
      </w:r>
      <w:r>
        <w:rPr>
          <w:rFonts w:hint="eastAsia" w:ascii="宋体" w:hAnsi="宋体" w:eastAsia="宋体" w:cs="宋体"/>
          <w:color w:val="auto"/>
          <w:kern w:val="0"/>
          <w:szCs w:val="21"/>
          <w:highlight w:val="none"/>
          <w:lang w:val="en-US" w:eastAsia="zh-CN" w:bidi="ar"/>
        </w:rPr>
        <w:t>并书面确认验收结果</w:t>
      </w:r>
      <w:r>
        <w:rPr>
          <w:rFonts w:hint="eastAsia" w:ascii="宋体" w:hAnsi="宋体" w:eastAsia="宋体" w:cs="宋体"/>
          <w:color w:val="auto"/>
          <w:kern w:val="0"/>
          <w:szCs w:val="21"/>
          <w:highlight w:val="none"/>
          <w:lang w:eastAsia="zh-CN" w:bidi="ar"/>
        </w:rPr>
        <w:t>。（到货验收报告模板</w:t>
      </w:r>
      <w:r>
        <w:rPr>
          <w:rFonts w:hint="eastAsia" w:ascii="宋体" w:hAnsi="宋体" w:eastAsia="宋体" w:cs="宋体"/>
          <w:color w:val="auto"/>
          <w:kern w:val="0"/>
          <w:szCs w:val="21"/>
          <w:highlight w:val="none"/>
          <w:lang w:val="en-US" w:eastAsia="zh-CN" w:bidi="ar"/>
        </w:rPr>
        <w:t>详见附件</w:t>
      </w:r>
      <w:r>
        <w:rPr>
          <w:rFonts w:hint="eastAsia" w:ascii="宋体" w:hAnsi="宋体" w:eastAsia="宋体" w:cs="宋体"/>
          <w:color w:val="auto"/>
          <w:kern w:val="0"/>
          <w:szCs w:val="21"/>
          <w:highlight w:val="none"/>
          <w:lang w:eastAsia="zh-CN" w:bidi="ar"/>
        </w:rPr>
        <w:t>，适用现状老旧设备更换清单、原位技术成套设备清单，最终到货验收报告文件格式以甲方确定为准）。</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2、安装、调试阶段</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（1）安装及单机调试</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所有设备安装完成并通过外观检查（部件完整、连接牢固、管路无泄漏、电气接线正确），相关基础资料（设备说明书、安装记录、电气原理图）齐全，现场安全防护措施到位（如接地可靠、警示标识清晰），方可启动单机调试。乙方应该根据项目设备清单（不限于动力设备、控制系统、仪表设备、原位技术成套设备等）确定各项设备调试标准及参数，乙方需在本阶段对每台设备的调试过程、参数数据、异常处理情况进行记录。单机调试过程如发现货物短缺、质次、损坏等问题，应作详细记录，甲方可认为单机调试失败，或由乙方在10日内立即、无条件为甲方调换或补齐，调换或补齐后的货物，甲方有权按照本条有关验收的规定进行验收，由此产生的违约费用、制造、修理和运费及保险费等费用均应由乙方负担，与甲方无关。单机调试验收合格后，甲方、甲方委派的技术服务单位及乙方多方共同出具单机调试报告并书面确认验收结果。</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（2）系统联动调试</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所有设备单机调试合格，管路系统压力试验合格，电气与自控系统通讯正常（设备状态、仪表数据可实时上传至PLC控制柜），工艺参数已按设计方案配置，方可启动系统联动调试。系统联动调试应确保全流程设备启停顺序正确、联动逻辑的准确性等，确保系统联动流程无中断、无逻辑冲突。调试过程中若发现设备安装缺陷、参数不达标或逻辑错误，乙方需在48小时内提出整改方案并实施，直至调试合格，相关费用由乙方承担。系统联动调试期间需配备专业技术人员全程值守，及时处理突发问题，确保调试安全有序。乙方需详细记录联动调试期间的工艺参数、设备状态及异常处理情况，联动调试合格后，由甲方组织验收，确认系统满足设计要求后方可进入试运行阶段，甲方、其他单位（不限于设计单位、技术服务单位）及乙方多方共同出具系统联动调试报告并书面确认验收结果。</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（安装及单机调试、系统联动调试验收报告模板详见附件，适用现状老旧设备更换清单、原位技术成套设备清单，最终安装及单机调试、系统联动调试验收报告格式以甲方确定为准）</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（3）生产性调试</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 w:bidi="ar"/>
        </w:rPr>
        <w:t>本项目</w:t>
      </w:r>
      <w:r>
        <w:rPr>
          <w:rFonts w:hint="eastAsia" w:ascii="宋体" w:hAnsi="宋体" w:eastAsia="宋体" w:cs="宋体"/>
          <w:color w:val="auto"/>
          <w:kern w:val="0"/>
          <w:szCs w:val="21"/>
          <w:highlight w:val="none"/>
          <w:lang w:val="en-US" w:eastAsia="zh-CN" w:bidi="ar"/>
        </w:rPr>
        <w:t>生产性调试需在</w:t>
      </w:r>
      <w:r>
        <w:rPr>
          <w:rFonts w:hint="eastAsia" w:ascii="宋体" w:hAnsi="宋体" w:eastAsia="宋体" w:cs="宋体"/>
          <w:color w:val="auto"/>
          <w:kern w:val="0"/>
          <w:szCs w:val="21"/>
          <w:highlight w:val="none"/>
          <w:lang w:val="en-US" w:eastAsia="zh" w:bidi="ar"/>
        </w:rPr>
        <w:t>所有设备</w:t>
      </w:r>
      <w:r>
        <w:rPr>
          <w:rFonts w:hint="eastAsia" w:ascii="宋体" w:hAnsi="宋体" w:eastAsia="宋体" w:cs="宋体"/>
          <w:color w:val="auto"/>
          <w:kern w:val="0"/>
          <w:szCs w:val="21"/>
          <w:highlight w:val="none"/>
          <w:lang w:val="en-US" w:eastAsia="zh-CN" w:bidi="ar"/>
        </w:rPr>
        <w:t>系统联动调试合格、物料储备满足调试需求且方案经甲方审核通过后启动，周期不少于72小时，调试方案应能覆盖设计负荷、冲击负荷、低负荷等多类工况；调试期间需维持工艺核心参数稳定（具体范围以生产性调试方案为准），通过自控系统自动调节，按要求监测出水水质（达标率100%）、设备运行状态（无严重故障），乙方应每日提交《生产性调试日报》，结束后3日内提交《生产性调试报告》；调试合格标准为出水全周期达标、工艺系统稳定、设备无故障停机、负荷切换顺畅，合格后经甲方同意后方可进入120小时试运行阶段，不合格需由乙方整改后重新调试，调试不合格产生的违约费用、制造、修理和运费及保险费等费用均应由乙方负担，与甲方无关。</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《生产性试验日报》及《生产性调试报告》内容要求及格式模板由甲方在完成所有设备安装及单机调试后3日内确定。生产性调试验收合格后，参与验收的各方应书面确认验收结果。</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3、120小时试运行</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 w:bidi="ar"/>
        </w:rPr>
        <w:t>原位技术成套设备</w:t>
      </w:r>
      <w:r>
        <w:rPr>
          <w:rFonts w:hint="eastAsia" w:ascii="宋体" w:hAnsi="宋体" w:eastAsia="宋体" w:cs="宋体"/>
          <w:color w:val="auto"/>
          <w:kern w:val="0"/>
          <w:szCs w:val="21"/>
          <w:highlight w:val="none"/>
          <w:lang w:val="en-US" w:eastAsia="zh-CN" w:bidi="ar"/>
        </w:rPr>
        <w:t>120小时试运行详细要求以</w:t>
      </w:r>
      <w:r>
        <w:rPr>
          <w:rFonts w:hint="eastAsia" w:ascii="宋体" w:hAnsi="宋体" w:eastAsia="宋体" w:cs="宋体"/>
          <w:color w:val="auto"/>
          <w:szCs w:val="21"/>
          <w:highlight w:val="none"/>
          <w:lang w:val="en-US" w:eastAsia="zh-CN" w:bidi="ar"/>
        </w:rPr>
        <w:t>用户需求书</w:t>
      </w:r>
      <w:r>
        <w:rPr>
          <w:rFonts w:hint="eastAsia" w:ascii="宋体" w:hAnsi="宋体" w:eastAsia="宋体" w:cs="宋体"/>
          <w:color w:val="auto"/>
          <w:kern w:val="0"/>
          <w:szCs w:val="21"/>
          <w:highlight w:val="none"/>
          <w:lang w:val="en-US" w:eastAsia="zh-CN" w:bidi="ar"/>
        </w:rPr>
        <w:t>“4.2设备调试及120小时试运行”为准，120小时试运行验收成果文件内容要求及格式模板由甲方在乙方生产性调试</w:t>
      </w:r>
      <w:r>
        <w:rPr>
          <w:rFonts w:hint="eastAsia" w:ascii="宋体" w:hAnsi="宋体" w:eastAsia="宋体" w:cs="宋体"/>
          <w:color w:val="auto"/>
          <w:kern w:val="0"/>
          <w:szCs w:val="21"/>
          <w:highlight w:val="none"/>
          <w:lang w:val="en-US" w:eastAsia="zh" w:bidi="ar"/>
        </w:rPr>
        <w:t>验收合格后3日内</w:t>
      </w:r>
      <w:r>
        <w:rPr>
          <w:rFonts w:hint="eastAsia" w:ascii="宋体" w:hAnsi="宋体" w:eastAsia="宋体" w:cs="宋体"/>
          <w:color w:val="auto"/>
          <w:kern w:val="0"/>
          <w:szCs w:val="21"/>
          <w:highlight w:val="none"/>
          <w:lang w:val="en-US" w:eastAsia="zh-CN" w:bidi="ar"/>
        </w:rPr>
        <w:t>确定，120小时试运行验收合格后，参与验收的各方应书面确认验收结果。</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4、性能考核及最终验收</w:t>
      </w:r>
    </w:p>
    <w:p>
      <w:pPr>
        <w:widowControl/>
        <w:spacing w:line="360" w:lineRule="auto"/>
        <w:ind w:firstLine="449" w:firstLineChars="214"/>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 w:bidi="ar"/>
        </w:rPr>
        <w:t>原位技术成套设备</w:t>
      </w:r>
      <w:r>
        <w:rPr>
          <w:rFonts w:hint="eastAsia" w:ascii="宋体" w:hAnsi="宋体" w:eastAsia="宋体" w:cs="宋体"/>
          <w:color w:val="auto"/>
          <w:kern w:val="0"/>
          <w:szCs w:val="21"/>
          <w:highlight w:val="none"/>
          <w:lang w:val="en-US" w:eastAsia="zh-CN" w:bidi="ar"/>
        </w:rPr>
        <w:t>性能考核详细要求以</w:t>
      </w:r>
      <w:r>
        <w:rPr>
          <w:rFonts w:hint="eastAsia" w:ascii="宋体" w:hAnsi="宋体" w:eastAsia="宋体" w:cs="宋体"/>
          <w:color w:val="auto"/>
          <w:szCs w:val="21"/>
          <w:highlight w:val="none"/>
          <w:lang w:val="en-US" w:eastAsia="zh-CN" w:bidi="ar"/>
        </w:rPr>
        <w:t>用户需求书</w:t>
      </w:r>
      <w:r>
        <w:rPr>
          <w:rFonts w:hint="eastAsia" w:ascii="宋体" w:hAnsi="宋体" w:eastAsia="宋体" w:cs="宋体"/>
          <w:color w:val="auto"/>
          <w:kern w:val="0"/>
          <w:szCs w:val="21"/>
          <w:highlight w:val="none"/>
          <w:lang w:val="en-US" w:eastAsia="zh-CN" w:bidi="ar"/>
        </w:rPr>
        <w:t>“4.3性能考核及最终验收”为准，本项目设备最终验收分为现状老旧设备更换清单最终验收</w:t>
      </w:r>
      <w:r>
        <w:rPr>
          <w:rFonts w:hint="eastAsia" w:ascii="宋体" w:hAnsi="宋体" w:eastAsia="宋体" w:cs="宋体"/>
          <w:color w:val="auto"/>
          <w:kern w:val="0"/>
          <w:szCs w:val="21"/>
          <w:highlight w:val="none"/>
          <w:lang w:val="en-US" w:eastAsia="zh" w:bidi="ar"/>
        </w:rPr>
        <w:t>和</w:t>
      </w:r>
      <w:r>
        <w:rPr>
          <w:rFonts w:hint="eastAsia" w:ascii="宋体" w:hAnsi="宋体" w:eastAsia="宋体" w:cs="宋体"/>
          <w:color w:val="auto"/>
          <w:kern w:val="0"/>
          <w:szCs w:val="21"/>
          <w:highlight w:val="none"/>
          <w:lang w:val="en-US" w:eastAsia="zh-CN" w:bidi="ar"/>
        </w:rPr>
        <w:t>原位技术成套设备清单最终验收。现状老旧设备更换清单最终验收自</w:t>
      </w:r>
      <w:r>
        <w:rPr>
          <w:rFonts w:hint="eastAsia" w:ascii="宋体" w:hAnsi="宋体" w:eastAsia="宋体" w:cs="宋体"/>
          <w:color w:val="auto"/>
          <w:kern w:val="0"/>
          <w:szCs w:val="21"/>
          <w:highlight w:val="none"/>
          <w:lang w:val="en-US" w:eastAsia="zh" w:bidi="ar"/>
        </w:rPr>
        <w:t>生产性调试验收合格</w:t>
      </w:r>
      <w:r>
        <w:rPr>
          <w:rFonts w:hint="eastAsia" w:ascii="宋体" w:hAnsi="宋体" w:eastAsia="宋体" w:cs="宋体"/>
          <w:color w:val="auto"/>
          <w:kern w:val="0"/>
          <w:szCs w:val="21"/>
          <w:highlight w:val="none"/>
          <w:lang w:val="en-US" w:eastAsia="zh-CN" w:bidi="ar"/>
        </w:rPr>
        <w:t>后方可开展，现状老旧设备更换清单最终验收模板详见附件，验收报告内容及格式最终以甲方确定为准，最终验收合格后，参与验收的各方应书面确认验收结果。</w:t>
      </w:r>
    </w:p>
    <w:p>
      <w:pPr>
        <w:widowControl/>
        <w:spacing w:line="360" w:lineRule="auto"/>
        <w:ind w:firstLine="449" w:firstLineChars="214"/>
        <w:rPr>
          <w:rFonts w:hint="default" w:ascii="宋体" w:hAnsi="宋体" w:cs="宋体" w:eastAsiaTheme="minorEastAsia"/>
          <w:color w:val="auto"/>
          <w:kern w:val="0"/>
          <w:szCs w:val="21"/>
          <w:highlight w:val="none"/>
          <w:lang w:val="en-US" w:eastAsia="zh-CN"/>
        </w:rPr>
      </w:pPr>
      <w:r>
        <w:rPr>
          <w:rFonts w:hint="eastAsia" w:ascii="宋体" w:hAnsi="宋体" w:eastAsia="宋体" w:cs="宋体"/>
          <w:color w:val="auto"/>
          <w:kern w:val="0"/>
          <w:szCs w:val="21"/>
          <w:highlight w:val="none"/>
          <w:lang w:val="en-US" w:eastAsia="zh" w:bidi="ar"/>
        </w:rPr>
        <w:t>原位技术成套设备</w:t>
      </w:r>
      <w:r>
        <w:rPr>
          <w:rFonts w:hint="eastAsia" w:ascii="宋体" w:hAnsi="宋体" w:eastAsia="宋体" w:cs="宋体"/>
          <w:color w:val="auto"/>
          <w:kern w:val="0"/>
          <w:szCs w:val="21"/>
          <w:highlight w:val="none"/>
          <w:lang w:val="en-US" w:eastAsia="zh-CN" w:bidi="ar"/>
        </w:rPr>
        <w:t>性能考核全部通过后，乙方可向甲方申请原位技术成套设备清单最终验收。原位技术成套设备最终验收成果文件内容要求及格式模板由甲方在完成第三年考核期前30日内结合乙方性能承诺及性能考核期内的完成情况确定。</w:t>
      </w:r>
      <w:r>
        <w:rPr>
          <w:rFonts w:hint="eastAsia" w:ascii="宋体" w:hAnsi="宋体" w:eastAsia="宋体" w:cs="宋体"/>
          <w:b/>
          <w:bCs/>
          <w:color w:val="auto"/>
          <w:kern w:val="0"/>
          <w:szCs w:val="21"/>
          <w:highlight w:val="none"/>
          <w:lang w:val="en-US" w:eastAsia="zh-CN" w:bidi="ar"/>
        </w:rPr>
        <w:t>现状老旧设备更换清单及原位技术成套设备清单</w:t>
      </w:r>
      <w:r>
        <w:rPr>
          <w:rFonts w:hint="eastAsia" w:ascii="宋体" w:hAnsi="宋体" w:eastAsia="宋体" w:cs="宋体"/>
          <w:b/>
          <w:bCs/>
          <w:color w:val="auto"/>
          <w:highlight w:val="none"/>
          <w:lang w:val="en-US" w:eastAsia="zh-CN"/>
        </w:rPr>
        <w:t>均通过最终验收视为本项目最终验收。</w:t>
      </w:r>
    </w:p>
    <w:p>
      <w:pPr>
        <w:widowControl/>
        <w:autoSpaceDE w:val="0"/>
        <w:spacing w:line="360" w:lineRule="auto"/>
        <w:ind w:firstLine="449" w:firstLineChars="214"/>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三</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权利保证</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四</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质量保证及售后服务</w:t>
      </w:r>
    </w:p>
    <w:p>
      <w:pPr>
        <w:widowControl/>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1、本</w:t>
      </w:r>
      <w:r>
        <w:rPr>
          <w:rFonts w:hint="eastAsia" w:ascii="宋体" w:hAnsi="宋体" w:eastAsia="宋体" w:cs="宋体"/>
          <w:color w:val="auto"/>
          <w:kern w:val="0"/>
          <w:szCs w:val="21"/>
          <w:highlight w:val="none"/>
          <w:lang w:val="en-US" w:eastAsia="zh-CN" w:bidi="ar"/>
        </w:rPr>
        <w:t>合同</w:t>
      </w:r>
      <w:r>
        <w:rPr>
          <w:rFonts w:hint="eastAsia" w:ascii="宋体" w:hAnsi="宋体" w:eastAsia="宋体" w:cs="宋体"/>
          <w:color w:val="auto"/>
          <w:kern w:val="0"/>
          <w:szCs w:val="21"/>
          <w:highlight w:val="none"/>
          <w:lang w:bidi="ar"/>
        </w:rPr>
        <w:t>下货物</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质保期为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个月，自项目最终验收合格之日起算。本项目设备的质保期内，</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对本项目提供进行免费维修等质保服务，免费质保服务包括但不限于由</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承担完成质保期的工作而产生的运费、购置费、测试费、人工费等各项费用。</w:t>
      </w:r>
      <w:r>
        <w:rPr>
          <w:rFonts w:hint="default" w:ascii="Times New Roman" w:hAnsi="Times New Roman" w:eastAsia="宋体" w:cs="Times New Roman"/>
          <w:color w:val="auto"/>
          <w:szCs w:val="21"/>
          <w:highlight w:val="none"/>
        </w:rPr>
        <w:t>在质保期内所发生的一切非操作原因而引起的设备质量问题均属于质保范围，由</w:t>
      </w:r>
      <w:r>
        <w:rPr>
          <w:rFonts w:hint="eastAsia" w:ascii="Times New Roman" w:hAnsi="Times New Roman" w:eastAsia="宋体" w:cs="Times New Roman"/>
          <w:color w:val="auto"/>
          <w:szCs w:val="21"/>
          <w:highlight w:val="none"/>
          <w:lang w:eastAsia="zh-CN"/>
        </w:rPr>
        <w:t>乙方</w:t>
      </w:r>
      <w:r>
        <w:rPr>
          <w:rFonts w:hint="default" w:ascii="Times New Roman" w:hAnsi="Times New Roman" w:eastAsia="宋体" w:cs="Times New Roman"/>
          <w:color w:val="auto"/>
          <w:szCs w:val="21"/>
          <w:highlight w:val="none"/>
        </w:rPr>
        <w:t>维修或更换。乙方若主张设备问题系甲方操作不当所致，应承担完全的举证责任</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对于质保期内由</w:t>
      </w:r>
      <w:r>
        <w:rPr>
          <w:rFonts w:hint="eastAsia" w:ascii="Times New Roman" w:hAnsi="Times New Roman" w:eastAsia="宋体" w:cs="Times New Roman"/>
          <w:color w:val="auto"/>
          <w:szCs w:val="21"/>
          <w:highlight w:val="none"/>
          <w:lang w:eastAsia="zh-CN"/>
        </w:rPr>
        <w:t>甲方</w:t>
      </w:r>
      <w:r>
        <w:rPr>
          <w:rFonts w:hint="default" w:ascii="Times New Roman" w:hAnsi="Times New Roman" w:eastAsia="宋体" w:cs="Times New Roman"/>
          <w:color w:val="auto"/>
          <w:szCs w:val="21"/>
          <w:highlight w:val="none"/>
        </w:rPr>
        <w:t>操作引起的设备损坏，</w:t>
      </w:r>
      <w:r>
        <w:rPr>
          <w:rFonts w:hint="eastAsia" w:ascii="Times New Roman" w:hAnsi="Times New Roman" w:eastAsia="宋体" w:cs="Times New Roman"/>
          <w:color w:val="auto"/>
          <w:szCs w:val="21"/>
          <w:highlight w:val="none"/>
          <w:lang w:eastAsia="zh-CN"/>
        </w:rPr>
        <w:t>乙方</w:t>
      </w:r>
      <w:r>
        <w:rPr>
          <w:rFonts w:hint="default" w:ascii="Times New Roman" w:hAnsi="Times New Roman" w:eastAsia="宋体" w:cs="Times New Roman"/>
          <w:color w:val="auto"/>
          <w:szCs w:val="21"/>
          <w:highlight w:val="none"/>
        </w:rPr>
        <w:t>应积极配合</w:t>
      </w:r>
      <w:r>
        <w:rPr>
          <w:rFonts w:hint="eastAsia" w:ascii="Times New Roman" w:hAnsi="Times New Roman" w:eastAsia="宋体" w:cs="Times New Roman"/>
          <w:color w:val="auto"/>
          <w:szCs w:val="21"/>
          <w:highlight w:val="none"/>
          <w:lang w:eastAsia="zh-CN"/>
        </w:rPr>
        <w:t>甲方</w:t>
      </w:r>
      <w:r>
        <w:rPr>
          <w:rFonts w:hint="default" w:ascii="Times New Roman" w:hAnsi="Times New Roman" w:eastAsia="宋体" w:cs="Times New Roman"/>
          <w:color w:val="auto"/>
          <w:szCs w:val="21"/>
          <w:highlight w:val="none"/>
        </w:rPr>
        <w:t>进行维修或额外采购。</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2、在合同规定的质保期内，乙方将在接到甲方的故障</w:t>
      </w:r>
      <w:r>
        <w:rPr>
          <w:rFonts w:hint="default" w:ascii="Times New Roman" w:hAnsi="Times New Roman" w:eastAsia="宋体" w:cs="Times New Roman"/>
          <w:color w:val="auto"/>
          <w:highlight w:val="none"/>
        </w:rPr>
        <w:t>报警</w:t>
      </w:r>
      <w:r>
        <w:rPr>
          <w:rFonts w:hint="eastAsia" w:ascii="宋体" w:hAnsi="宋体" w:eastAsia="宋体" w:cs="宋体"/>
          <w:color w:val="auto"/>
          <w:kern w:val="0"/>
          <w:szCs w:val="21"/>
          <w:highlight w:val="none"/>
          <w:lang w:bidi="ar"/>
        </w:rPr>
        <w:t>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小时内响应，</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小时内到达项目现场进行维修等服务。</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3、甲方在使用货物时所遇技术问题，乙方应按甲方要求及时向甲方无偿提供技术指导服务。</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质保期内，</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对所投设备供货、安装质量进行免费保修，免费保修包括但不限于由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承担完成质保期的工作而产生的运费、购置费、测试费、人工费等各项费用。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质保期内</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负有责任，对设备出现的不符合合同要求的、有问题的地方应进行免费维修、保修或更换配件，</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免费提供维护、维修以及其它售后服务，所有质保服务由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上门进行，且不得另行收取任何费用。</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在质保期内</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应负责设备的保养，并实施每年至少两次整体检查。质保期间如在正常操作情况下，任何机件因设计不当、材质缺陷或制造欠佳等因素而发生故障，</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应在接到通知后，毫不拖延地负责修复。如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未在规定的期限内修复，</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有权自行处理，其费用应由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负责支付，不得异议。</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有权拒绝使用带有缺陷的或与合同要求不符的设备或零件，这些设备或零件由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负责更换，</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不负担所增加费用。包括在质保期内，</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如发现产品的质量、规格、性能、数量等与本招标文件规定不符，或发现产品无论由于任何原因存在隐藏缺陷、工艺问题或使用不良的材料的，或产品出现质量问题的，</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应根据</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指示承担更换或退货责任。</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在设备出现严重故障、影响正常运行、修复有困难的情况下，应对设备进行免费更换。包括在质保期内，如发现故障（7日内）无法修复，或一个故障累计出现超过两次（含两次），或货物累计经三次维修后仍无法正常运行的，</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应无条件根据</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要求承担更换或退货责任，由此产生的费用由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承担。</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质保期内全部服务费（含更换零部件，达到招标文件及合同约定条件的更换货物或退货）和维修费用及</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技术服务人员的一切费用由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全部自理，包括但不限于为完成质保期的工作而产生的运费、购置费、测试费、人工、劳务等各项费用（包括进口关税和增值税等），上述所有费用由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自行承担，</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保留对其在质保期内因设备缺陷导致的损失向</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索赔的权利。</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10、</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应建立质量跟踪档案，对</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 xml:space="preserve">进行每月一次的定期回访（电话或现场），以保证货物的正常运行。 </w:t>
      </w:r>
    </w:p>
    <w:p>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bidi="ar"/>
        </w:rPr>
        <w:t>11</w:t>
      </w:r>
      <w:r>
        <w:rPr>
          <w:rFonts w:hint="eastAsia" w:ascii="宋体" w:hAnsi="宋体" w:eastAsia="宋体" w:cs="宋体"/>
          <w:color w:val="auto"/>
          <w:kern w:val="0"/>
          <w:szCs w:val="21"/>
          <w:highlight w:val="none"/>
          <w:lang w:bidi="ar"/>
        </w:rPr>
        <w:t>、人员培训</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所在地的考察和</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所在地及工地现场培训</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应按照经</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批准的培训计划对</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所指派的工作人员进行有关合同内设备的测试、操作和维修方面的培训，使其能对合同内所有设备的特性、结构、操作和维修要求获得充分的了解和掌握。</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B.进口设备由外籍技术人员给</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技术人员进行培训时，</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必须聘请专业的翻译人员，并提供相关的中英文资料。</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上述培训费用包含在</w:t>
      </w:r>
      <w:r>
        <w:rPr>
          <w:rFonts w:hint="eastAsia" w:ascii="宋体" w:hAnsi="宋体" w:eastAsia="宋体" w:cs="宋体"/>
          <w:color w:val="auto"/>
          <w:kern w:val="0"/>
          <w:szCs w:val="21"/>
          <w:highlight w:val="none"/>
          <w:lang w:val="en-US" w:eastAsia="zh-CN" w:bidi="ar"/>
        </w:rPr>
        <w:t>合同价</w:t>
      </w:r>
      <w:r>
        <w:rPr>
          <w:rFonts w:hint="eastAsia" w:ascii="宋体" w:hAnsi="宋体" w:eastAsia="宋体" w:cs="宋体"/>
          <w:color w:val="auto"/>
          <w:kern w:val="0"/>
          <w:szCs w:val="21"/>
          <w:highlight w:val="none"/>
          <w:lang w:bidi="ar"/>
        </w:rPr>
        <w:t>内，并提供培训计划。</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（2）现场培训</w:t>
      </w:r>
    </w:p>
    <w:p>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现场培训是在安装、试运转和检测期间，</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派专人对操作工人培训，务必使这些受训人员能胜任这些设备的运行和维护工作。</w:t>
      </w:r>
    </w:p>
    <w:p>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现场培训费用已包含</w:t>
      </w:r>
      <w:r>
        <w:rPr>
          <w:rFonts w:hint="eastAsia" w:ascii="Times New Roman" w:hAnsi="Times New Roman" w:eastAsia="宋体" w:cs="Times New Roman"/>
          <w:color w:val="auto"/>
          <w:highlight w:val="none"/>
          <w:lang w:val="en-US" w:eastAsia="zh-CN"/>
        </w:rPr>
        <w:t>合同价</w:t>
      </w:r>
      <w:r>
        <w:rPr>
          <w:rFonts w:hint="default" w:ascii="Times New Roman" w:hAnsi="Times New Roman" w:eastAsia="宋体" w:cs="Times New Roman"/>
          <w:color w:val="auto"/>
          <w:highlight w:val="none"/>
        </w:rPr>
        <w:t>中。</w:t>
      </w:r>
    </w:p>
    <w:p>
      <w:pPr>
        <w:autoSpaceDE w:val="0"/>
        <w:autoSpaceDN w:val="0"/>
        <w:adjustRightInd w:val="0"/>
        <w:snapToGrid w:val="0"/>
        <w:spacing w:line="360" w:lineRule="auto"/>
        <w:ind w:firstLine="420" w:firstLineChars="200"/>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12、乙方应保证本合同设备是全新的、未使用过的，能满足合同规定的质量和性能要求；需按设备属性提供对应质量证明资料：其中，质量保证体系认证文件（如ISO9001）、产品合格证、制造及检验记录为所有设备必备资料；针对涉及电气安全、计量、环保或特种设备范畴的设备，需提供产品认证文件（如3C、CPA、CCEP等）、设计制造许可证（如特种设备设计/制造许可）；主要配套件（如电机、计量泵、阀门等）需提供生产厂家出具的生产许可证明（若该配套件涉及监管要求）及产品合格证；对于原装进口设备、材料，还需额外提供原产地证明、完税证明及报关单等证明材料。</w:t>
      </w:r>
    </w:p>
    <w:p>
      <w:pPr>
        <w:autoSpaceDE w:val="0"/>
        <w:autoSpaceDN w:val="0"/>
        <w:adjustRightInd w:val="0"/>
        <w:snapToGrid w:val="0"/>
        <w:spacing w:line="360" w:lineRule="auto"/>
        <w:ind w:firstLine="420" w:firstLineChars="200"/>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13、对于安装工程，乙方应建立事前、事中、事后的全过程施工质量管控体系。</w:t>
      </w:r>
    </w:p>
    <w:p>
      <w:pPr>
        <w:autoSpaceDE w:val="0"/>
        <w:autoSpaceDN w:val="0"/>
        <w:adjustRightInd w:val="0"/>
        <w:snapToGrid w:val="0"/>
        <w:spacing w:line="360" w:lineRule="auto"/>
        <w:ind w:firstLine="420" w:firstLineChars="200"/>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14、乙方应以书面形式提供货物原厂家的质量保障承诺，该等承诺不应低于本合同约定的标准。当由制造商直接负责售后服务时，不免除乙方对货物的质量及售后服务责任，乙方与制造商就货物质量及售后服务向甲方承担连带责任。</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bidi="ar"/>
        </w:rPr>
        <w:t>、乙方未按上述要求提供售后服务的，甲方有权要求其他第三方提供相关服务，因此产生的费用全部由乙方承担，甲方有权从未支付的合同款项或履约担保中扣除前述费用。</w:t>
      </w:r>
    </w:p>
    <w:p>
      <w:pPr>
        <w:autoSpaceDE w:val="0"/>
        <w:autoSpaceDN w:val="0"/>
        <w:adjustRightInd w:val="0"/>
        <w:snapToGrid w:val="0"/>
        <w:spacing w:line="360" w:lineRule="auto"/>
        <w:jc w:val="left"/>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五</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履约担保</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1、乙方应当根据招标文件的规定在签订本合同前向甲方提供履约担保，履约担保形式及金额由乙方从以下方式中任选一种：</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□履约保证金（银行转账形式）金额为¥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□不可撤销银行履约保函金额为¥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□履约保证保险凭证金额为¥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□担保公司履约担保书金额为¥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ascii="等线" w:hAnsi="等线" w:eastAsia="等线" w:cs="Times New Roman"/>
          <w:color w:val="auto"/>
          <w:highlight w:val="none"/>
        </w:rPr>
      </w:pPr>
      <w:r>
        <w:rPr>
          <w:rFonts w:hint="eastAsia" w:ascii="宋体" w:hAnsi="宋体" w:eastAsia="宋体" w:cs="Arial"/>
          <w:bCs/>
          <w:color w:val="auto"/>
          <w:kern w:val="0"/>
          <w:szCs w:val="24"/>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给</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还应当对超过部分予以赔偿，</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的相应责任。</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2、履约担保用于补偿甲方因乙方不能完成</w:t>
      </w:r>
      <w:r>
        <w:rPr>
          <w:rFonts w:hint="eastAsia" w:ascii="宋体" w:hAnsi="宋体" w:eastAsia="宋体" w:cs="宋体"/>
          <w:color w:val="auto"/>
          <w:sz w:val="21"/>
          <w:szCs w:val="21"/>
          <w:highlight w:val="none"/>
        </w:rPr>
        <w:t>履行</w:t>
      </w:r>
      <w:r>
        <w:rPr>
          <w:rFonts w:hint="eastAsia" w:ascii="宋体" w:hAnsi="宋体" w:eastAsia="宋体" w:cs="宋体"/>
          <w:color w:val="auto"/>
          <w:kern w:val="0"/>
          <w:szCs w:val="21"/>
          <w:highlight w:val="none"/>
          <w:lang w:bidi="ar"/>
        </w:rPr>
        <w:t>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kern w:val="0"/>
          <w:szCs w:val="21"/>
          <w:highlight w:val="none"/>
          <w:lang w:bidi="ar"/>
        </w:rPr>
        <w:t>，如发生下列任一情况时，甲方除有权依合同追究乙方违约责任外，还有权提取履约担保并进行相应处理：</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（1）在合同履行期间，因乙方货物、服务质量问题造成损害、侵权损失（包括但不限于甲方经济损失、第三人人身财产损失等）</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w:t>
      </w:r>
      <w:r>
        <w:rPr>
          <w:rFonts w:hint="eastAsia" w:ascii="宋体" w:hAnsi="宋体" w:eastAsia="宋体" w:cs="宋体"/>
          <w:color w:val="auto"/>
          <w:kern w:val="0"/>
          <w:szCs w:val="21"/>
          <w:highlight w:val="none"/>
          <w:lang w:bidi="ar"/>
        </w:rPr>
        <w:t>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）在合同履行期间，乙方违约产生的违约金、赔偿、罚款或其他应付费用等款项，甲方有权直接从未付款项中直接扣除或使用履约担保予以支付。</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）合同期内，乙方不能及时完成某项合同义务的，甲方有权提取履约担保用于处理该项工作。</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）其他根据本合同约定或法律规定，甲方可使用履约担保的情形。</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号。</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w:t>
      </w:r>
      <w:r>
        <w:rPr>
          <w:rFonts w:hint="eastAsia" w:ascii="宋体" w:hAnsi="宋体" w:eastAsia="宋体" w:cs="宋体"/>
          <w:color w:val="auto"/>
          <w:kern w:val="0"/>
          <w:szCs w:val="21"/>
          <w:highlight w:val="none"/>
          <w:lang w:val="en-US" w:eastAsia="zh-CN" w:bidi="ar"/>
        </w:rPr>
        <w:t>甲方</w:t>
      </w:r>
      <w:r>
        <w:rPr>
          <w:rFonts w:hint="eastAsia" w:ascii="宋体" w:hAnsi="宋体" w:eastAsia="宋体" w:cs="宋体"/>
          <w:color w:val="auto"/>
          <w:kern w:val="0"/>
          <w:szCs w:val="21"/>
          <w:highlight w:val="none"/>
          <w:lang w:bidi="ar"/>
        </w:rPr>
        <w:t>有权要求乙方以履约担保金额为限承担违约金，违约金可直接从未付货款中扣除。在乙方重新提供前甲方无需向乙方支付合同款项，且不视为甲方违约。</w:t>
      </w:r>
    </w:p>
    <w:p>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在合同履行过程中，不论何种原因导致履约担保数额不符合招标文件要求的，乙方应当在5日内予以补足。逾期不予补足的，甲方有权按需补足的金额要求乙方承担违约金，并要求限期补足，在乙方补足前，甲方无需向乙方支付合同款项，且不视为甲方违约。如乙方仍不补足的，甲方有权单方解除合同</w:t>
      </w:r>
      <w:r>
        <w:rPr>
          <w:rFonts w:hint="eastAsia" w:ascii="宋体" w:hAnsi="宋体" w:eastAsia="宋体" w:cs="宋体"/>
          <w:color w:val="auto"/>
          <w:sz w:val="21"/>
          <w:szCs w:val="21"/>
          <w:highlight w:val="none"/>
        </w:rPr>
        <w:t>，违约金可直接从未付合同款或履约担保中扣除</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六</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技术资料</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七</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不可抗力</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八</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索赔</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3、如果乙方对甲方提出的异议及索赔负有责任，乙方应按照甲方同意的下列一种或多种方式解决索赔事宜：</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（1）根据甲方要求予以退货，在甲方发出退货通知后 7 日内将退货货物运回，返还甲方已支付的全部货款（含</w:t>
      </w:r>
      <w:r>
        <w:rPr>
          <w:rFonts w:hint="eastAsia" w:ascii="宋体" w:hAnsi="宋体" w:eastAsia="宋体" w:cs="宋体"/>
          <w:color w:val="auto"/>
          <w:kern w:val="0"/>
          <w:szCs w:val="21"/>
          <w:highlight w:val="none"/>
          <w:lang w:val="en-US" w:eastAsia="zh-CN" w:bidi="ar"/>
        </w:rPr>
        <w:t>合同价</w:t>
      </w:r>
      <w:r>
        <w:rPr>
          <w:rFonts w:hint="eastAsia" w:ascii="宋体" w:hAnsi="宋体" w:eastAsia="宋体" w:cs="宋体"/>
          <w:color w:val="auto"/>
          <w:kern w:val="0"/>
          <w:szCs w:val="21"/>
          <w:highlight w:val="none"/>
          <w:lang w:bidi="ar"/>
        </w:rPr>
        <w:t>款及税费），并承担因此产生的全部费用，以及赔偿因此给甲方造成的损失。</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（3）当甲方损失无法计算时，乙方同意按</w:t>
      </w:r>
      <w:r>
        <w:rPr>
          <w:rFonts w:hint="eastAsia" w:ascii="宋体" w:hAnsi="宋体" w:eastAsia="宋体" w:cs="宋体"/>
          <w:color w:val="auto"/>
          <w:kern w:val="0"/>
          <w:szCs w:val="21"/>
          <w:highlight w:val="none"/>
          <w:lang w:val="en-US" w:eastAsia="zh-CN" w:bidi="ar"/>
        </w:rPr>
        <w:t>合同价</w:t>
      </w:r>
      <w:r>
        <w:rPr>
          <w:rFonts w:hint="eastAsia" w:ascii="宋体" w:hAnsi="宋体" w:eastAsia="宋体" w:cs="宋体"/>
          <w:color w:val="auto"/>
          <w:kern w:val="0"/>
          <w:szCs w:val="21"/>
          <w:highlight w:val="none"/>
          <w:lang w:bidi="ar"/>
        </w:rPr>
        <w:t>的20%计算赔偿金。</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pPr>
        <w:autoSpaceDE/>
        <w:autoSpaceDN/>
        <w:adjustRightInd/>
        <w:snapToGrid/>
        <w:spacing w:line="360" w:lineRule="auto"/>
        <w:ind w:firstLine="371" w:firstLineChars="177"/>
        <w:jc w:val="both"/>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（5）索赔金额、甲方损失以及因索赔所发生的费用（包括但不限于由于乙方原因造成的停产减产等损失的费用），甲方有权启动履约担保支付或从未付货款或质保金中直接扣除，不足部分乙方应向甲方补足。</w:t>
      </w:r>
      <w:r>
        <w:rPr>
          <w:rFonts w:hint="eastAsia" w:ascii="宋体" w:hAnsi="宋体" w:eastAsia="宋体" w:cs="Times New Roman"/>
          <w:color w:val="auto"/>
          <w:kern w:val="0"/>
          <w:sz w:val="21"/>
          <w:szCs w:val="21"/>
          <w:highlight w:val="none"/>
          <w:lang w:val="en-US" w:eastAsia="zh-CN" w:bidi="ar"/>
        </w:rPr>
        <w:t xml:space="preserve"> </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第十</w:t>
      </w:r>
      <w:r>
        <w:rPr>
          <w:rFonts w:hint="eastAsia" w:ascii="宋体" w:hAnsi="宋体" w:eastAsia="宋体" w:cs="宋体"/>
          <w:b/>
          <w:color w:val="auto"/>
          <w:kern w:val="0"/>
          <w:szCs w:val="21"/>
          <w:highlight w:val="none"/>
          <w:lang w:eastAsia="zh" w:bidi="ar"/>
        </w:rPr>
        <w:t>九</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违约责任</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逾期供货或未能按合同约定履行设备安装或联动调试或生产性调试的，每逾期一日，</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应向</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支付金额为人民币10万元的违约金</w:t>
      </w:r>
      <w:r>
        <w:rPr>
          <w:rFonts w:hint="eastAsia" w:ascii="宋体" w:hAnsi="宋体" w:eastAsia="宋体" w:cs="宋体"/>
          <w:color w:val="auto"/>
          <w:kern w:val="0"/>
          <w:szCs w:val="21"/>
          <w:highlight w:val="none"/>
          <w:lang w:eastAsia="zh-CN" w:bidi="ar"/>
        </w:rPr>
        <w:t>，逾期违约金累计总额最高不超过合同价的</w:t>
      </w:r>
      <w:r>
        <w:rPr>
          <w:rFonts w:hint="eastAsia" w:ascii="宋体" w:hAnsi="宋体" w:eastAsia="宋体" w:cs="宋体"/>
          <w:color w:val="auto"/>
          <w:kern w:val="0"/>
          <w:szCs w:val="21"/>
          <w:highlight w:val="none"/>
          <w:lang w:val="en-US" w:eastAsia="zh-CN" w:bidi="ar"/>
        </w:rPr>
        <w:t>20</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逾期供货或完成本合同下其他服务超过30日的，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可单方解除本合同。该部分金额不足以弥补</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损失的，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还有权另行追偿。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所交货物（包括但不限于品种、型号、规格、质量、性能）不符合合同规定的，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有权拒收，并要求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免费予以更换或退货，同时</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应向</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支付人民币10万元的违约金。若因</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原因导致</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无法按照本合同约定供货的，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有权单方解除合同，且有权要求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向</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支付人民币50万元的违约金。</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3、乙方未按时通过120小时试运行验收的，乙方应按甲方通知载明的期限的时间内完成整改，若乙方未在甲方通知载明的期限内完成整改的，乙方应向甲方支付人民币50万元/次的违约金，违约金累计总额最高不超过合同价的20%。120小时试运行未按时通过验收次数达到10次的，甲方有权单方解除合同，并要求乙方向甲方赔偿合同价20%金额的违约金。该部分金额不足以弥补甲方损失的，甲方还有权另行追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4、因乙方自身原因导致未能按期通过性能考核，乙方应按甲方通知载明的期限的时间内完成整改。若乙方未在甲方通知载明的期限的时间内完成整改的，乙方应向甲方支付人民币50万元/次的违约金，违约金累计总额最高不超过合同价的20%。120小时试运行验收合格之日起2年后，乙方仍未能通过性能考核，甲方有权单方解除合同，并要求乙方向甲方赔偿合同价20%金额的违约金。该部分金额不足以弥补甲方损失的，甲方还有权另行追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未经</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书面同意，</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擅自变更设计或擅自变更设备（包括但不限于材料、备件）的，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有权要求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向</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支付人民币20万元/次的违约金，如因</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擅自变更设计或擅自变更设备造成</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损失的，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还有权另行追偿。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在质保期内，因</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原因导致本项目因不</w:t>
      </w:r>
      <w:r>
        <w:rPr>
          <w:rFonts w:hint="eastAsia" w:ascii="宋体" w:hAnsi="宋体" w:eastAsia="宋体" w:cs="宋体"/>
          <w:color w:val="auto"/>
          <w:kern w:val="0"/>
          <w:szCs w:val="21"/>
          <w:highlight w:val="none"/>
          <w:lang w:val="en-US" w:eastAsia="zh-CN" w:bidi="ar"/>
        </w:rPr>
        <w:t>符合</w:t>
      </w:r>
      <w:r>
        <w:rPr>
          <w:rFonts w:hint="eastAsia" w:ascii="宋体" w:hAnsi="宋体" w:eastAsia="宋体" w:cs="宋体"/>
          <w:color w:val="auto"/>
          <w:kern w:val="0"/>
          <w:szCs w:val="21"/>
          <w:highlight w:val="none"/>
          <w:lang w:bidi="ar"/>
        </w:rPr>
        <w:t>相关行政主管部门要求而被罚款的，</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val="en-US" w:eastAsia="zh-CN" w:bidi="ar"/>
        </w:rPr>
        <w:t>承担</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val="en-US" w:eastAsia="zh-CN" w:bidi="ar"/>
        </w:rPr>
        <w:t>因</w:t>
      </w:r>
      <w:r>
        <w:rPr>
          <w:rFonts w:hint="eastAsia" w:ascii="宋体" w:hAnsi="宋体" w:eastAsia="宋体" w:cs="宋体"/>
          <w:color w:val="auto"/>
          <w:kern w:val="0"/>
          <w:szCs w:val="21"/>
          <w:highlight w:val="none"/>
          <w:lang w:bidi="ar"/>
        </w:rPr>
        <w:t>支付罚款</w:t>
      </w:r>
      <w:r>
        <w:rPr>
          <w:rFonts w:hint="eastAsia" w:ascii="宋体" w:hAnsi="宋体" w:eastAsia="宋体" w:cs="宋体"/>
          <w:color w:val="auto"/>
          <w:kern w:val="0"/>
          <w:szCs w:val="21"/>
          <w:highlight w:val="none"/>
          <w:lang w:val="en-US" w:eastAsia="zh-CN" w:bidi="ar"/>
        </w:rPr>
        <w:t>而遭受的全部经济损失</w:t>
      </w:r>
      <w:r>
        <w:rPr>
          <w:rFonts w:hint="eastAsia" w:ascii="宋体" w:hAnsi="宋体" w:eastAsia="宋体" w:cs="宋体"/>
          <w:color w:val="auto"/>
          <w:kern w:val="0"/>
          <w:szCs w:val="21"/>
          <w:highlight w:val="none"/>
          <w:lang w:bidi="ar"/>
        </w:rPr>
        <w:t>，同时</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有权要求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另行支付10万元/次的违约金。</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 w:bidi="ar"/>
        </w:rPr>
        <w:t>7</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因违反本合同约定被</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单方解除合同的，</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有权要求</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在</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通知载明的期限内将已安装的设备拆卸，并将场地恢复原状，相关费用由</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自行承担。</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 w:bidi="ar"/>
        </w:rPr>
        <w:t>8</w:t>
      </w:r>
      <w:r>
        <w:rPr>
          <w:rFonts w:hint="eastAsia" w:ascii="宋体" w:hAnsi="宋体" w:eastAsia="宋体" w:cs="宋体"/>
          <w:color w:val="auto"/>
          <w:kern w:val="0"/>
          <w:szCs w:val="21"/>
          <w:highlight w:val="none"/>
          <w:lang w:bidi="ar"/>
        </w:rPr>
        <w:t>、无论是否在质保期内，因货物质量问题发生安全事故或引起其他损失、造成不良后果的，乙方应承担全部责任及损失赔偿。</w:t>
      </w:r>
    </w:p>
    <w:p>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 w:bidi="ar"/>
        </w:rPr>
        <w:t>9</w:t>
      </w:r>
      <w:r>
        <w:rPr>
          <w:rFonts w:hint="eastAsia" w:ascii="宋体" w:hAnsi="宋体" w:eastAsia="宋体" w:cs="宋体"/>
          <w:color w:val="auto"/>
          <w:kern w:val="0"/>
          <w:szCs w:val="21"/>
          <w:highlight w:val="none"/>
          <w:lang w:bidi="ar"/>
        </w:rPr>
        <w:t>、乙方不得拖欠第三方任何款项，否则，甲方有权从合同应付款中或启动履约担保直接支付给第三方。如因乙方原因，引发法律纠纷案件，并导致甲方被牵涉其中，成为需承担法律责任的诉讼参与方（无论第三人或被告），或因法律纠纷对造成社会负面影响的，视为乙方违约，甲方即有权对乙方收取违约金100000元；如造成甲方经济损失的（包括但不限于律师费、诉讼费、保全费、执行费、差旅费等损失），由乙方赔偿所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10、乙方将合同项下乙方的权利义务全部转让给第三方，或未经甲方书面同意将部分权利义务转让给第三方的，甲方有权要求乙方向甲方支付</w:t>
      </w:r>
      <w:r>
        <w:rPr>
          <w:rFonts w:hint="eastAsia" w:ascii="宋体" w:hAnsi="宋体" w:eastAsia="宋体" w:cs="宋体"/>
          <w:color w:val="auto"/>
          <w:kern w:val="0"/>
          <w:szCs w:val="21"/>
          <w:highlight w:val="none"/>
          <w:lang w:val="en-US" w:eastAsia="zh-CN" w:bidi="ar"/>
        </w:rPr>
        <w:t>10万元</w:t>
      </w:r>
      <w:r>
        <w:rPr>
          <w:rFonts w:hint="eastAsia" w:ascii="宋体" w:hAnsi="宋体" w:eastAsia="宋体" w:cs="宋体"/>
          <w:color w:val="auto"/>
          <w:kern w:val="0"/>
          <w:szCs w:val="21"/>
          <w:highlight w:val="none"/>
          <w:lang w:bidi="ar"/>
        </w:rPr>
        <w:t>作为违约金。</w:t>
      </w:r>
    </w:p>
    <w:p>
      <w:pPr>
        <w:autoSpaceDE/>
        <w:autoSpaceDN/>
        <w:adjustRightInd/>
        <w:snapToGrid w:val="0"/>
        <w:spacing w:line="360" w:lineRule="auto"/>
        <w:ind w:firstLine="371" w:firstLineChars="177"/>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11、乙方应在本合同签订后【</w:t>
      </w:r>
      <w:r>
        <w:rPr>
          <w:rFonts w:hint="eastAsia" w:ascii="Times New Roman" w:hAnsi="Times New Roman" w:eastAsia="宋体" w:cs="Times New Roman"/>
          <w:color w:val="auto"/>
          <w:kern w:val="2"/>
          <w:sz w:val="21"/>
          <w:szCs w:val="21"/>
          <w:highlight w:val="none"/>
          <w:lang w:val="en-US" w:eastAsia="zh-CN" w:bidi="ar-SA"/>
        </w:rPr>
        <w:t>10</w:t>
      </w:r>
      <w:r>
        <w:rPr>
          <w:rFonts w:hint="default" w:ascii="Times New Roman" w:hAnsi="Times New Roman" w:eastAsia="宋体" w:cs="Times New Roman"/>
          <w:color w:val="auto"/>
          <w:kern w:val="2"/>
          <w:sz w:val="21"/>
          <w:szCs w:val="21"/>
          <w:highlight w:val="none"/>
          <w:lang w:val="en-US" w:eastAsia="zh-CN" w:bidi="ar-SA"/>
        </w:rPr>
        <w:t>】个工作日内，向甲方提交拟投入本项目专业技术团队所有人员的名单，并将相关职称证书、劳动合同及社保证明等供甲方审核，因人员离职等情况确需变更团队人员的，乙方须提前【</w:t>
      </w:r>
      <w:r>
        <w:rPr>
          <w:rFonts w:hint="eastAsia" w:ascii="Times New Roman" w:hAnsi="Times New Roman" w:eastAsia="宋体" w:cs="Times New Roman"/>
          <w:color w:val="auto"/>
          <w:kern w:val="2"/>
          <w:sz w:val="21"/>
          <w:szCs w:val="21"/>
          <w:highlight w:val="none"/>
          <w:lang w:val="en-US" w:eastAsia="zh-CN" w:bidi="ar-SA"/>
        </w:rPr>
        <w:t>5</w:t>
      </w:r>
      <w:r>
        <w:rPr>
          <w:rFonts w:hint="default" w:ascii="Times New Roman" w:hAnsi="Times New Roman" w:eastAsia="宋体" w:cs="Times New Roman"/>
          <w:color w:val="auto"/>
          <w:kern w:val="2"/>
          <w:sz w:val="21"/>
          <w:szCs w:val="21"/>
          <w:highlight w:val="none"/>
          <w:lang w:val="en-US" w:eastAsia="zh-CN" w:bidi="ar-SA"/>
        </w:rPr>
        <w:t>】个工作日向甲方提交书面变更申请，替代人员的职称证需与原配置人员一致或高于原配置人员，且需提供有效的职称证书、劳动合同及社保证明等供甲方审核。若乙方未按前述要求落实人员配置及更换的，甲方有权要求乙方限期【</w:t>
      </w:r>
      <w:r>
        <w:rPr>
          <w:rFonts w:hint="eastAsia" w:ascii="Times New Roman" w:hAnsi="Times New Roman" w:eastAsia="宋体" w:cs="Times New Roman"/>
          <w:color w:val="auto"/>
          <w:kern w:val="2"/>
          <w:sz w:val="21"/>
          <w:szCs w:val="21"/>
          <w:highlight w:val="none"/>
          <w:lang w:val="en-US" w:eastAsia="zh-CN" w:bidi="ar-SA"/>
        </w:rPr>
        <w:t>5</w:t>
      </w:r>
      <w:r>
        <w:rPr>
          <w:rFonts w:hint="default" w:ascii="Times New Roman" w:hAnsi="Times New Roman" w:eastAsia="宋体" w:cs="Times New Roman"/>
          <w:color w:val="auto"/>
          <w:kern w:val="2"/>
          <w:sz w:val="21"/>
          <w:szCs w:val="21"/>
          <w:highlight w:val="none"/>
          <w:lang w:val="en-US" w:eastAsia="zh-CN" w:bidi="ar-SA"/>
        </w:rPr>
        <w:t>】个工作日整改；逾期未整改或整改后仍不符合要求的，每逾期一日，乙方应向甲方支付金额为人民币【</w:t>
      </w:r>
      <w:r>
        <w:rPr>
          <w:rFonts w:hint="eastAsia" w:ascii="Times New Roman" w:hAnsi="Times New Roman" w:eastAsia="宋体" w:cs="Times New Roman"/>
          <w:color w:val="auto"/>
          <w:kern w:val="2"/>
          <w:sz w:val="21"/>
          <w:szCs w:val="21"/>
          <w:highlight w:val="none"/>
          <w:lang w:val="en-US" w:eastAsia="zh-CN" w:bidi="ar-SA"/>
        </w:rPr>
        <w:t>50</w:t>
      </w:r>
      <w:r>
        <w:rPr>
          <w:rFonts w:hint="default" w:ascii="Times New Roman" w:hAnsi="Times New Roman" w:eastAsia="宋体" w:cs="Times New Roman"/>
          <w:color w:val="auto"/>
          <w:kern w:val="2"/>
          <w:sz w:val="21"/>
          <w:szCs w:val="21"/>
          <w:highlight w:val="none"/>
          <w:lang w:val="en-US" w:eastAsia="zh-CN" w:bidi="ar-SA"/>
        </w:rPr>
        <w:t>】万元的违约金，逾期违约金累计总额最高不超过合同价的20%。</w:t>
      </w:r>
    </w:p>
    <w:p>
      <w:pPr>
        <w:autoSpaceDE/>
        <w:autoSpaceDN/>
        <w:adjustRightInd/>
        <w:snapToGrid w:val="0"/>
        <w:spacing w:line="360" w:lineRule="auto"/>
        <w:ind w:firstLine="371" w:firstLineChars="177"/>
        <w:jc w:val="both"/>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12、甲方按本合同约定解除合同的，乙方应在收到解除合同书面通知之日起30日内与甲方共同确认已完成的供货量及金额，未经甲乙双方共同确认的供货不得再要求结算。</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bidi="ar"/>
        </w:rPr>
        <w:t>13</w:t>
      </w:r>
      <w:r>
        <w:rPr>
          <w:rFonts w:hint="eastAsia" w:ascii="宋体" w:hAnsi="宋体" w:eastAsia="宋体" w:cs="宋体"/>
          <w:color w:val="auto"/>
          <w:kern w:val="0"/>
          <w:szCs w:val="21"/>
          <w:highlight w:val="none"/>
          <w:lang w:bidi="ar"/>
        </w:rPr>
        <w:t>、</w:t>
      </w:r>
      <w:r>
        <w:rPr>
          <w:rFonts w:hint="eastAsia" w:ascii="宋体" w:hAnsi="宋体" w:eastAsia="宋体" w:cs="宋体"/>
          <w:color w:val="auto"/>
          <w:sz w:val="21"/>
          <w:szCs w:val="21"/>
          <w:highlight w:val="none"/>
        </w:rPr>
        <w:t>乙方车辆在甲方指定地点行驶时，必须严格遵守指定地点道路限行，限速和限重要求，如因乙方未遵守前述要求，对甲方（含其人员）、乙方人员、第三方造成损失的，乙方须承担赔偿责任。</w:t>
      </w:r>
    </w:p>
    <w:p>
      <w:pPr>
        <w:autoSpaceDE/>
        <w:autoSpaceDN/>
        <w:adjustRightInd/>
        <w:snapToGrid w:val="0"/>
        <w:spacing w:line="360" w:lineRule="auto"/>
        <w:ind w:firstLine="371" w:firstLineChars="177"/>
        <w:jc w:val="left"/>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14、乙方违反本合同约定或</w:t>
      </w:r>
      <w:r>
        <w:rPr>
          <w:rFonts w:hint="eastAsia" w:ascii="宋体" w:hAnsi="宋体" w:eastAsia="宋体" w:cs="Times New Roman"/>
          <w:color w:val="auto"/>
          <w:kern w:val="0"/>
          <w:szCs w:val="21"/>
          <w:highlight w:val="none"/>
          <w:lang w:val="en-US" w:eastAsia="zh-CN" w:bidi="ar"/>
        </w:rPr>
        <w:t>未按投标时投标文件中承诺的事项履约</w:t>
      </w:r>
      <w:r>
        <w:rPr>
          <w:rFonts w:hint="eastAsia" w:ascii="宋体" w:hAnsi="宋体" w:eastAsia="宋体" w:cs="宋体"/>
          <w:color w:val="auto"/>
          <w:kern w:val="0"/>
          <w:szCs w:val="21"/>
          <w:highlight w:val="none"/>
          <w:lang w:val="en-US" w:eastAsia="zh-CN" w:bidi="ar"/>
        </w:rPr>
        <w:t>，合同对违约责任有特别约定的，适用该特别约定；无特别约定的，甲方有权</w:t>
      </w:r>
      <w:r>
        <w:rPr>
          <w:rFonts w:hint="eastAsia" w:ascii="宋体" w:hAnsi="宋体" w:eastAsia="宋体" w:cs="宋体"/>
          <w:color w:val="auto"/>
          <w:kern w:val="0"/>
          <w:szCs w:val="21"/>
          <w:highlight w:val="none"/>
          <w:lang w:val="en-US" w:eastAsia="zh" w:bidi="ar"/>
        </w:rPr>
        <w:t>要求乙方向甲方支付</w:t>
      </w:r>
      <w:r>
        <w:rPr>
          <w:rFonts w:hint="eastAsia" w:ascii="宋体" w:hAnsi="宋体" w:eastAsia="宋体" w:cs="宋体"/>
          <w:color w:val="auto"/>
          <w:kern w:val="0"/>
          <w:szCs w:val="21"/>
          <w:highlight w:val="none"/>
          <w:lang w:val="en-US" w:eastAsia="zh-CN" w:bidi="ar"/>
        </w:rPr>
        <w:t>合同价5%作为违约金。违约金不足以弥补甲方因此所受损失的，乙方应予以补足。</w:t>
      </w:r>
    </w:p>
    <w:p>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lang w:bidi="ar"/>
        </w:rPr>
      </w:pP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w:t>
      </w:r>
      <w:r>
        <w:rPr>
          <w:rFonts w:hint="eastAsia" w:ascii="宋体" w:hAnsi="宋体" w:eastAsia="宋体" w:cs="宋体"/>
          <w:b/>
          <w:color w:val="auto"/>
          <w:kern w:val="0"/>
          <w:szCs w:val="21"/>
          <w:highlight w:val="none"/>
          <w:lang w:eastAsia="zh" w:bidi="ar"/>
        </w:rPr>
        <w:t>二十</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争议解决</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1、双方在履约中发生争执和分歧，双方应通过友好协商解决，如不能通过友好协商解决的，任何一方均可向甲方住所地有管辖权的人民法院提起诉讼解决。</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pPr>
        <w:autoSpaceDE w:val="0"/>
        <w:autoSpaceDN w:val="0"/>
        <w:adjustRightInd w:val="0"/>
        <w:snapToGrid w:val="0"/>
        <w:spacing w:line="360" w:lineRule="auto"/>
        <w:ind w:firstLine="371" w:firstLineChars="17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bidi="ar"/>
        </w:rPr>
        <w:t xml:space="preserve"> </w:t>
      </w:r>
    </w:p>
    <w:p>
      <w:pPr>
        <w:autoSpaceDE w:val="0"/>
        <w:autoSpaceDN w:val="0"/>
        <w:adjustRightInd w:val="0"/>
        <w:snapToGrid w:val="0"/>
        <w:spacing w:line="360" w:lineRule="auto"/>
        <w:ind w:firstLine="373" w:firstLineChars="177"/>
        <w:jc w:val="left"/>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第二十</w:t>
      </w:r>
      <w:r>
        <w:rPr>
          <w:rFonts w:hint="eastAsia" w:ascii="宋体" w:hAnsi="宋体" w:eastAsia="宋体" w:cs="宋体"/>
          <w:b/>
          <w:color w:val="auto"/>
          <w:kern w:val="0"/>
          <w:szCs w:val="21"/>
          <w:highlight w:val="none"/>
          <w:lang w:eastAsia="zh" w:bidi="ar"/>
        </w:rPr>
        <w:t>一</w:t>
      </w:r>
      <w:r>
        <w:rPr>
          <w:rFonts w:hint="eastAsia" w:ascii="宋体" w:hAnsi="宋体" w:eastAsia="宋体" w:cs="宋体"/>
          <w:b/>
          <w:color w:val="auto"/>
          <w:kern w:val="0"/>
          <w:szCs w:val="21"/>
          <w:highlight w:val="none"/>
          <w:lang w:bidi="ar"/>
        </w:rPr>
        <w:t>条</w:t>
      </w:r>
      <w:r>
        <w:rPr>
          <w:rFonts w:hint="eastAsia" w:ascii="宋体" w:hAnsi="宋体" w:eastAsia="宋体" w:cs="Times New Roman"/>
          <w:b/>
          <w:color w:val="auto"/>
          <w:kern w:val="0"/>
          <w:szCs w:val="21"/>
          <w:highlight w:val="none"/>
          <w:lang w:bidi="ar"/>
        </w:rPr>
        <w:t xml:space="preserve"> </w:t>
      </w:r>
      <w:r>
        <w:rPr>
          <w:rFonts w:hint="eastAsia" w:ascii="宋体" w:hAnsi="宋体" w:eastAsia="宋体" w:cs="宋体"/>
          <w:b/>
          <w:color w:val="auto"/>
          <w:kern w:val="0"/>
          <w:szCs w:val="21"/>
          <w:highlight w:val="none"/>
          <w:lang w:bidi="ar"/>
        </w:rPr>
        <w:t>其他</w:t>
      </w:r>
    </w:p>
    <w:p>
      <w:pPr>
        <w:autoSpaceDE w:val="0"/>
        <w:autoSpaceDN w:val="0"/>
        <w:adjustRightInd w:val="0"/>
        <w:spacing w:line="360" w:lineRule="auto"/>
        <w:ind w:firstLine="420" w:firstLineChars="200"/>
        <w:jc w:val="left"/>
        <w:rPr>
          <w:rFonts w:ascii="宋体" w:hAnsi="宋体" w:eastAsia="宋体" w:cs="楷体"/>
          <w:color w:val="auto"/>
          <w:kern w:val="0"/>
          <w:szCs w:val="21"/>
          <w:highlight w:val="none"/>
        </w:rPr>
      </w:pPr>
      <w:r>
        <w:rPr>
          <w:rFonts w:hint="eastAsia" w:ascii="宋体" w:hAnsi="宋体" w:eastAsia="宋体" w:cs="宋体"/>
          <w:color w:val="auto"/>
          <w:kern w:val="0"/>
          <w:szCs w:val="21"/>
          <w:highlight w:val="none"/>
          <w:lang w:bidi="ar"/>
        </w:rPr>
        <w:t>1、基于乙方的专业特长，甲方代表（合同签字者）对关于产品质量指标的确认、变更等，仅是程序性行为，并非就是对乙方产品质量责任的免除，乙方仍要对所供的产品承担全部责任。</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2、</w:t>
      </w:r>
      <w:r>
        <w:rPr>
          <w:rFonts w:hint="eastAsia" w:ascii="宋体" w:hAnsi="宋体" w:eastAsia="宋体" w:cs="宋体"/>
          <w:b/>
          <w:bCs/>
          <w:color w:val="auto"/>
          <w:kern w:val="0"/>
          <w:szCs w:val="21"/>
          <w:highlight w:val="none"/>
          <w:lang w:bidi="ar"/>
        </w:rPr>
        <w:t>合同履约过程中，若发现</w:t>
      </w:r>
      <w:r>
        <w:rPr>
          <w:rFonts w:hint="eastAsia" w:ascii="宋体" w:hAnsi="宋体" w:eastAsia="宋体" w:cs="宋体"/>
          <w:b/>
          <w:bCs/>
          <w:color w:val="auto"/>
          <w:szCs w:val="21"/>
          <w:highlight w:val="none"/>
          <w:lang w:bidi="ar"/>
        </w:rPr>
        <w:t>同一种货物或服务存在有选择性的报价或</w:t>
      </w:r>
      <w:r>
        <w:rPr>
          <w:rFonts w:hint="eastAsia" w:ascii="宋体" w:hAnsi="宋体" w:eastAsia="宋体" w:cs="宋体"/>
          <w:b/>
          <w:bCs/>
          <w:color w:val="auto"/>
          <w:kern w:val="0"/>
          <w:szCs w:val="21"/>
          <w:highlight w:val="none"/>
          <w:lang w:bidi="ar"/>
        </w:rPr>
        <w:t>不是固定的报价的</w:t>
      </w:r>
      <w:r>
        <w:rPr>
          <w:rFonts w:hint="eastAsia" w:ascii="宋体" w:hAnsi="宋体" w:eastAsia="宋体" w:cs="宋体"/>
          <w:b/>
          <w:bCs/>
          <w:color w:val="auto"/>
          <w:szCs w:val="21"/>
          <w:highlight w:val="none"/>
          <w:lang w:bidi="ar"/>
        </w:rPr>
        <w:t>，或存在</w:t>
      </w:r>
      <w:r>
        <w:rPr>
          <w:rFonts w:hint="eastAsia" w:ascii="宋体" w:hAnsi="宋体" w:eastAsia="宋体" w:cs="宋体"/>
          <w:b/>
          <w:bCs/>
          <w:color w:val="auto"/>
          <w:kern w:val="0"/>
          <w:szCs w:val="21"/>
          <w:highlight w:val="none"/>
          <w:lang w:bidi="ar"/>
        </w:rPr>
        <w:t>多种理解方式的情况发生时，按最有利甲方的方式解释。</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4、本合同壹式</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份，甲方执</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份，乙方执</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份，招标代理机构执</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壹</w:t>
      </w: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份，均具有同等法律效力。</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5、本合同经双方盖章、并由</w:t>
      </w:r>
      <w:r>
        <w:rPr>
          <w:rFonts w:hint="eastAsia" w:ascii="宋体" w:hAnsi="宋体" w:eastAsia="宋体" w:cs="宋体"/>
          <w:color w:val="auto"/>
          <w:kern w:val="0"/>
          <w:szCs w:val="21"/>
          <w:highlight w:val="none"/>
          <w:lang w:val="en-US" w:eastAsia="zh-CN" w:bidi="ar"/>
        </w:rPr>
        <w:t>甲方法定代表人或负责人或授权代表及乙方</w:t>
      </w:r>
      <w:r>
        <w:rPr>
          <w:rFonts w:hint="eastAsia" w:ascii="宋体" w:hAnsi="宋体" w:eastAsia="宋体" w:cs="宋体"/>
          <w:color w:val="auto"/>
          <w:kern w:val="0"/>
          <w:szCs w:val="21"/>
          <w:highlight w:val="none"/>
          <w:lang w:bidi="ar"/>
        </w:rPr>
        <w:t>法定代表人签字后生效，至全部合同义务履行完毕时终止。</w:t>
      </w:r>
    </w:p>
    <w:p>
      <w:pPr>
        <w:autoSpaceDE w:val="0"/>
        <w:autoSpaceDN w:val="0"/>
        <w:adjustRightInd w:val="0"/>
        <w:snapToGri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6、本合同未尽事宜，由双方协商处理，协商后所签订的补充协议与本合同具有同等效力。</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附件：1.用户需求书；</w:t>
      </w:r>
      <w:r>
        <w:rPr>
          <w:rFonts w:hint="eastAsia" w:ascii="宋体" w:hAnsi="宋体" w:eastAsia="宋体" w:cs="宋体"/>
          <w:color w:val="auto"/>
          <w:kern w:val="0"/>
          <w:szCs w:val="21"/>
          <w:highlight w:val="none"/>
          <w:lang w:val="en-US" w:eastAsia="zh-CN" w:bidi="ar"/>
        </w:rPr>
        <w:t>2.设备到货验收报告；3.设备安装及单机/系统联动调试报告；4.设备整体验收报告（现状老旧设备更换清单适用）；5</w:t>
      </w:r>
      <w:r>
        <w:rPr>
          <w:rFonts w:hint="eastAsia" w:ascii="宋体" w:hAnsi="宋体" w:eastAsia="宋体" w:cs="宋体"/>
          <w:color w:val="auto"/>
          <w:kern w:val="0"/>
          <w:szCs w:val="21"/>
          <w:highlight w:val="none"/>
          <w:lang w:bidi="ar"/>
        </w:rPr>
        <w:t>.廉洁协议书；</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.安全生产管理协议。</w:t>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lang w:bidi="ar"/>
        </w:rPr>
      </w:pPr>
    </w:p>
    <w:p>
      <w:pP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br w:type="page"/>
      </w:r>
    </w:p>
    <w:p>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（以下无正文内容为签字盖章页）</w:t>
      </w:r>
    </w:p>
    <w:p>
      <w:pPr>
        <w:pStyle w:val="19"/>
        <w:rPr>
          <w:rFonts w:hint="eastAsia"/>
          <w:color w:val="auto"/>
          <w:highlight w:val="none"/>
        </w:rPr>
      </w:pPr>
    </w:p>
    <w:tbl>
      <w:tblPr>
        <w:tblStyle w:val="4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5"/>
        <w:gridCol w:w="5185"/>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甲方：</w:t>
            </w:r>
          </w:p>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p>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乙方：</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lang w:val="en-US" w:eastAsia="zh-CN" w:bidi="ar"/>
              </w:rPr>
              <w:t>或负责人或授权代表</w:t>
            </w:r>
            <w:r>
              <w:rPr>
                <w:rFonts w:hint="eastAsia" w:ascii="宋体" w:hAnsi="宋体" w:eastAsia="宋体" w:cs="宋体"/>
                <w:color w:val="auto"/>
                <w:kern w:val="0"/>
                <w:szCs w:val="21"/>
                <w:highlight w:val="none"/>
                <w:lang w:bidi="ar"/>
              </w:rPr>
              <w:t>：</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法定代表人：</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b/>
                <w:color w:val="auto"/>
                <w:kern w:val="0"/>
                <w:szCs w:val="21"/>
                <w:highlight w:val="none"/>
                <w:lang w:bidi="ar"/>
              </w:rPr>
              <w:t xml:space="preserve"> </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b/>
                <w:color w:val="auto"/>
                <w:kern w:val="0"/>
                <w:szCs w:val="21"/>
                <w:highlight w:val="none"/>
                <w:lang w:bidi="ar"/>
              </w:rPr>
              <w:t xml:space="preserve"> </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电话：</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电话：</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传真：</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传真：</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开户银行：</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开户银行：</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银行账户：</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银行账户：</w:t>
            </w:r>
          </w:p>
        </w:tc>
      </w:tr>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银行账号：</w:t>
            </w:r>
          </w:p>
        </w:tc>
        <w:tc>
          <w:tcPr>
            <w:tcW w:w="5185" w:type="dxa"/>
            <w:tcBorders>
              <w:top w:val="nil"/>
              <w:left w:val="nil"/>
              <w:bottom w:val="nil"/>
              <w:right w:val="nil"/>
            </w:tcBorders>
            <w:shd w:val="clear" w:color="auto" w:fill="auto"/>
          </w:tcPr>
          <w:p>
            <w:pPr>
              <w:keepNext w:val="0"/>
              <w:keepLines w:val="0"/>
              <w:suppressLineNumbers w:val="0"/>
              <w:autoSpaceDE w:val="0"/>
              <w:autoSpaceDN w:val="0"/>
              <w:adjustRightInd w:val="0"/>
              <w:spacing w:before="0" w:beforeAutospacing="0" w:after="0" w:afterAutospacing="0" w:line="480" w:lineRule="auto"/>
              <w:ind w:left="0" w:right="0"/>
              <w:jc w:val="left"/>
              <w:rPr>
                <w:rFonts w:hint="default" w:ascii="宋体" w:hAnsi="宋体" w:eastAsia="宋体" w:cs="Times New Roman"/>
                <w:b/>
                <w:color w:val="auto"/>
                <w:kern w:val="0"/>
                <w:szCs w:val="21"/>
                <w:highlight w:val="none"/>
              </w:rPr>
            </w:pPr>
            <w:r>
              <w:rPr>
                <w:rFonts w:hint="eastAsia" w:ascii="宋体" w:hAnsi="宋体" w:eastAsia="宋体" w:cs="宋体"/>
                <w:color w:val="auto"/>
                <w:kern w:val="0"/>
                <w:szCs w:val="21"/>
                <w:highlight w:val="none"/>
                <w:lang w:bidi="ar"/>
              </w:rPr>
              <w:t>银行账号：</w:t>
            </w:r>
          </w:p>
        </w:tc>
      </w:tr>
    </w:tbl>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签约日期：</w:t>
      </w:r>
    </w:p>
    <w:p>
      <w:pPr>
        <w:jc w:val="left"/>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签约地点：广东省东莞市</w:t>
      </w: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jc w:val="left"/>
        <w:rPr>
          <w:rFonts w:hint="eastAsia" w:ascii="宋体" w:hAnsi="宋体" w:eastAsia="宋体" w:cs="宋体"/>
          <w:b/>
          <w:bCs/>
          <w:color w:val="auto"/>
          <w:kern w:val="0"/>
          <w:szCs w:val="21"/>
          <w:highlight w:val="none"/>
          <w:lang w:bidi="ar"/>
        </w:rPr>
      </w:pPr>
    </w:p>
    <w:p>
      <w:pPr>
        <w:ind w:firstLine="0" w:firstLineChars="0"/>
        <w:jc w:val="left"/>
        <w:rPr>
          <w:rFonts w:hint="eastAsia" w:ascii="宋体" w:hAnsi="宋体" w:eastAsia="宋体" w:cs="宋体"/>
          <w:b/>
          <w:bCs/>
          <w:color w:val="auto"/>
          <w:kern w:val="0"/>
          <w:szCs w:val="21"/>
          <w:highlight w:val="none"/>
          <w:lang w:bidi="ar"/>
        </w:rPr>
      </w:pPr>
    </w:p>
    <w:p>
      <w:pPr>
        <w:ind w:firstLine="0" w:firstLineChars="0"/>
        <w:jc w:val="left"/>
        <w:rPr>
          <w:rFonts w:hint="eastAsia" w:ascii="宋体" w:hAnsi="宋体" w:eastAsia="宋体" w:cs="宋体"/>
          <w:b/>
          <w:bCs/>
          <w:color w:val="auto"/>
          <w:kern w:val="0"/>
          <w:szCs w:val="21"/>
          <w:highlight w:val="none"/>
          <w:lang w:bidi="ar"/>
        </w:rPr>
      </w:pPr>
    </w:p>
    <w:p>
      <w:pPr>
        <w:ind w:firstLine="0" w:firstLineChars="0"/>
        <w:jc w:val="left"/>
        <w:rPr>
          <w:rFonts w:hint="eastAsia" w:ascii="宋体" w:hAnsi="宋体" w:eastAsia="宋体" w:cs="宋体"/>
          <w:b/>
          <w:bCs/>
          <w:color w:val="auto"/>
          <w:kern w:val="0"/>
          <w:szCs w:val="21"/>
          <w:highlight w:val="none"/>
          <w:lang w:bidi="ar"/>
        </w:rPr>
      </w:pPr>
    </w:p>
    <w:p>
      <w:pPr>
        <w:ind w:firstLine="0" w:firstLineChars="0"/>
        <w:jc w:val="left"/>
        <w:rPr>
          <w:rFonts w:hint="eastAsia" w:ascii="宋体" w:hAnsi="宋体" w:eastAsia="宋体" w:cs="宋体"/>
          <w:b/>
          <w:bCs/>
          <w:color w:val="auto"/>
          <w:kern w:val="0"/>
          <w:szCs w:val="21"/>
          <w:highlight w:val="none"/>
          <w:lang w:bidi="ar"/>
        </w:rPr>
      </w:pPr>
    </w:p>
    <w:p>
      <w:pPr>
        <w:spacing w:line="240" w:lineRule="auto"/>
        <w:ind w:firstLine="0" w:firstLineChars="0"/>
        <w:jc w:val="left"/>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br w:type="page"/>
      </w:r>
    </w:p>
    <w:p>
      <w:pPr>
        <w:spacing w:line="240" w:lineRule="auto"/>
        <w:ind w:firstLine="0" w:firstLineChars="0"/>
        <w:jc w:val="left"/>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附件2：</w:t>
      </w:r>
    </w:p>
    <w:p>
      <w:pPr>
        <w:spacing w:line="600" w:lineRule="exact"/>
        <w:ind w:firstLine="0" w:firstLineChars="0"/>
        <w:jc w:val="center"/>
        <w:rPr>
          <w:rFonts w:hint="eastAsia" w:ascii="宋体" w:hAnsi="宋体" w:eastAsia="宋体" w:cs="宋体"/>
          <w:bCs/>
          <w:color w:val="auto"/>
          <w:spacing w:val="-10"/>
          <w:sz w:val="44"/>
          <w:szCs w:val="44"/>
          <w:highlight w:val="none"/>
        </w:rPr>
      </w:pPr>
      <w:r>
        <w:rPr>
          <w:rFonts w:hint="eastAsia" w:ascii="宋体" w:hAnsi="宋体" w:eastAsia="宋体" w:cs="宋体"/>
          <w:bCs/>
          <w:color w:val="auto"/>
          <w:spacing w:val="-10"/>
          <w:sz w:val="44"/>
          <w:szCs w:val="44"/>
          <w:highlight w:val="none"/>
        </w:rPr>
        <w:t>设备到货验收报告</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b/>
          <w:color w:val="auto"/>
          <w:sz w:val="22"/>
          <w:szCs w:val="22"/>
          <w:highlight w:val="none"/>
          <w:lang w:eastAsia="zh"/>
        </w:rPr>
      </w:pPr>
      <w:r>
        <w:rPr>
          <w:rFonts w:hint="eastAsia" w:ascii="宋体" w:hAnsi="宋体" w:eastAsia="宋体" w:cs="宋体"/>
          <w:b/>
          <w:color w:val="auto"/>
          <w:sz w:val="22"/>
          <w:szCs w:val="22"/>
          <w:highlight w:val="none"/>
        </w:rPr>
        <w:t>编号：</w:t>
      </w:r>
    </w:p>
    <w:tbl>
      <w:tblPr>
        <w:tblStyle w:val="44"/>
        <w:tblW w:w="4999" w:type="pct"/>
        <w:tblInd w:w="0" w:type="dxa"/>
        <w:tblLayout w:type="autofit"/>
        <w:tblCellMar>
          <w:top w:w="0" w:type="dxa"/>
          <w:left w:w="108" w:type="dxa"/>
          <w:bottom w:w="0" w:type="dxa"/>
          <w:right w:w="108" w:type="dxa"/>
        </w:tblCellMar>
      </w:tblPr>
      <w:tblGrid>
        <w:gridCol w:w="1329"/>
        <w:gridCol w:w="885"/>
        <w:gridCol w:w="2181"/>
        <w:gridCol w:w="1802"/>
        <w:gridCol w:w="1064"/>
        <w:gridCol w:w="852"/>
        <w:gridCol w:w="968"/>
        <w:gridCol w:w="1287"/>
      </w:tblGrid>
      <w:tr>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合同名称</w:t>
            </w:r>
          </w:p>
        </w:tc>
        <w:tc>
          <w:tcPr>
            <w:tcW w:w="4358" w:type="pct"/>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r>
      <w:tr>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年月日</w:t>
            </w:r>
          </w:p>
        </w:tc>
      </w:tr>
      <w:tr>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年月日</w:t>
            </w:r>
          </w:p>
        </w:tc>
      </w:tr>
      <w:tr>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105" w:leftChars="-50" w:right="-105" w:rightChars="-5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到货</w:t>
            </w:r>
          </w:p>
          <w:p>
            <w:pPr>
              <w:keepNext w:val="0"/>
              <w:keepLines w:val="0"/>
              <w:widowControl/>
              <w:suppressLineNumbers w:val="0"/>
              <w:spacing w:before="0" w:beforeAutospacing="0" w:after="0" w:afterAutospacing="0" w:line="240" w:lineRule="auto"/>
              <w:ind w:left="-105" w:leftChars="-50" w:right="-105" w:rightChars="-5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清单</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货物名称</w:t>
            </w: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品牌</w:t>
            </w: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8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eastAsia="宋体" w:cs="宋体"/>
                <w:b/>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1"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进场</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检查</w:t>
            </w:r>
          </w:p>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货物数量是否齐全，如否请备注缺货或错货情况</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货物是否完好无损，如否请备注货损情况</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随货物备品备件和专用工具情况，如有缺请备注</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货物和配件材质是否相符，如否请备注情况</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货物和配件性能参数是否相符，如否请备注情况</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1"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其他问题</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20" w:type="pct"/>
            <w:gridSpan w:val="3"/>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现场到货验收意见</w:t>
            </w:r>
          </w:p>
        </w:tc>
        <w:tc>
          <w:tcPr>
            <w:tcW w:w="2879" w:type="pct"/>
            <w:gridSpan w:val="5"/>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bCs/>
                <w:color w:val="auto"/>
                <w:highlight w:val="none"/>
              </w:rPr>
            </w:pPr>
          </w:p>
          <w:p>
            <w:pPr>
              <w:keepNext w:val="0"/>
              <w:keepLines w:val="0"/>
              <w:suppressLineNumbers w:val="0"/>
              <w:spacing w:before="0" w:beforeAutospacing="0" w:after="0" w:afterAutospacing="0" w:line="240" w:lineRule="auto"/>
              <w:ind w:left="0" w:right="-25" w:rightChars="-12" w:firstLine="0" w:firstLineChars="0"/>
              <w:jc w:val="both"/>
              <w:rPr>
                <w:rFonts w:hint="default" w:ascii="宋体" w:hAnsi="宋体" w:eastAsia="宋体" w:cs="宋体"/>
                <w:b/>
                <w:bCs/>
                <w:color w:val="auto"/>
                <w:sz w:val="3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8"/>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参加验收的单位和代表（签章）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5" w:hRule="atLeast"/>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23" w:hRule="atLeast"/>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8" w:hRule="atLeast"/>
        </w:trPr>
        <w:tc>
          <w:tcPr>
            <w:tcW w:w="5000" w:type="pct"/>
            <w:gridSpan w:val="8"/>
            <w:tcBorders>
              <w:top w:val="single" w:color="auto" w:sz="6" w:space="0"/>
              <w:left w:val="single" w:color="auto" w:sz="6" w:space="0"/>
              <w:bottom w:val="single" w:color="auto" w:sz="6" w:space="0"/>
              <w:right w:val="single" w:color="auto" w:sz="6" w:space="0"/>
            </w:tcBorders>
            <w:noWrap/>
            <w:vAlign w:val="top"/>
          </w:tcPr>
          <w:p>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autoSpaceDE/>
        <w:autoSpaceDN/>
        <w:spacing w:line="240" w:lineRule="auto"/>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p>
      <w:pP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附件3：</w:t>
      </w:r>
    </w:p>
    <w:p>
      <w:pPr>
        <w:rPr>
          <w:rFonts w:hint="eastAsia" w:ascii="宋体" w:hAnsi="宋体" w:eastAsia="宋体" w:cs="宋体"/>
          <w:b/>
          <w:bCs/>
          <w:color w:val="auto"/>
          <w:kern w:val="0"/>
          <w:szCs w:val="21"/>
          <w:highlight w:val="none"/>
          <w:lang w:val="en-US" w:eastAsia="zh-CN" w:bidi="ar"/>
        </w:rPr>
      </w:pPr>
    </w:p>
    <w:p>
      <w:pPr>
        <w:widowControl w:val="0"/>
        <w:spacing w:after="0" w:line="600" w:lineRule="exact"/>
        <w:jc w:val="center"/>
        <w:rPr>
          <w:rFonts w:hint="eastAsia" w:ascii="宋体" w:hAnsi="宋体" w:eastAsia="宋体" w:cs="宋体"/>
          <w:bCs/>
          <w:color w:val="auto"/>
          <w:kern w:val="2"/>
          <w:sz w:val="44"/>
          <w:szCs w:val="44"/>
          <w:highlight w:val="none"/>
          <w:lang w:val="en-US" w:eastAsia="zh-CN" w:bidi="ar-SA"/>
        </w:rPr>
      </w:pPr>
      <w:r>
        <w:rPr>
          <w:rFonts w:hint="eastAsia" w:ascii="宋体" w:hAnsi="宋体" w:eastAsia="宋体" w:cs="宋体"/>
          <w:bCs/>
          <w:color w:val="auto"/>
          <w:kern w:val="2"/>
          <w:sz w:val="44"/>
          <w:szCs w:val="44"/>
          <w:highlight w:val="none"/>
          <w:lang w:val="en-US" w:eastAsia="zh-CN" w:bidi="ar-SA"/>
        </w:rPr>
        <w:t>设备安装及单机/系统联动调试报告</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color w:val="auto"/>
          <w:highlight w:val="none"/>
          <w:lang w:eastAsia="zh"/>
        </w:rPr>
      </w:pPr>
      <w:r>
        <w:rPr>
          <w:rFonts w:hint="eastAsia" w:ascii="宋体" w:hAnsi="宋体" w:eastAsia="宋体" w:cs="宋体"/>
          <w:b/>
          <w:color w:val="auto"/>
          <w:sz w:val="22"/>
          <w:szCs w:val="22"/>
          <w:highlight w:val="none"/>
        </w:rPr>
        <w:t>编号：</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70"/>
        <w:gridCol w:w="166"/>
        <w:gridCol w:w="151"/>
        <w:gridCol w:w="481"/>
        <w:gridCol w:w="464"/>
        <w:gridCol w:w="887"/>
        <w:gridCol w:w="236"/>
        <w:gridCol w:w="359"/>
        <w:gridCol w:w="630"/>
        <w:gridCol w:w="157"/>
        <w:gridCol w:w="790"/>
        <w:gridCol w:w="518"/>
        <w:gridCol w:w="77"/>
        <w:gridCol w:w="1006"/>
        <w:gridCol w:w="1360"/>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6" w:type="pct"/>
            <w:gridSpan w:val="15"/>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c>
          <w:tcPr>
            <w:tcW w:w="1716" w:type="pct"/>
            <w:gridSpan w:val="8"/>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9" w:type="pct"/>
            <w:gridSpan w:val="4"/>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2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3"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c>
          <w:tcPr>
            <w:tcW w:w="1716" w:type="pct"/>
            <w:gridSpan w:val="8"/>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9" w:type="pct"/>
            <w:gridSpan w:val="4"/>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调试日期</w:t>
            </w:r>
          </w:p>
        </w:tc>
        <w:tc>
          <w:tcPr>
            <w:tcW w:w="2020" w:type="pct"/>
            <w:gridSpan w:val="3"/>
            <w:noWrap/>
            <w:vAlign w:val="center"/>
          </w:tcPr>
          <w:p>
            <w:pPr>
              <w:keepNext w:val="0"/>
              <w:keepLines w:val="0"/>
              <w:widowControl w:val="0"/>
              <w:suppressLineNumbers w:val="0"/>
              <w:spacing w:before="0" w:beforeAutospacing="0" w:after="120" w:afterAutospacing="0" w:line="360" w:lineRule="auto"/>
              <w:ind w:left="0" w:right="0"/>
              <w:jc w:val="both"/>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年月日至</w:t>
            </w:r>
          </w:p>
          <w:p>
            <w:pPr>
              <w:keepNext w:val="0"/>
              <w:keepLines w:val="0"/>
              <w:widowControl w:val="0"/>
              <w:suppressLineNumbers w:val="0"/>
              <w:spacing w:before="0" w:beforeAutospacing="0" w:after="120" w:afterAutospacing="0"/>
              <w:ind w:left="0" w:right="0"/>
              <w:jc w:val="both"/>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b/>
                <w:color w:val="auto"/>
                <w:kern w:val="2"/>
                <w:sz w:val="22"/>
                <w:szCs w:val="22"/>
                <w:highlight w:val="none"/>
                <w:lang w:val="en-US" w:eastAsia="zh-CN" w:bidi="ar-SA"/>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一、货物调试列表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9"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003"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二、设备调试情况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8"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4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62"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27"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24"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8"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2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94"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6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1"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8" w:type="pct"/>
            <w:gridSpan w:val="1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9"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单机调试</w:t>
            </w: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09" w:type="pct"/>
            <w:vMerge w:val="restar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联合调试</w:t>
            </w: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调试项目</w:t>
            </w: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标准指标</w:t>
            </w: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实际测量指标</w:t>
            </w: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124"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7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1402"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c>
          <w:tcPr>
            <w:tcW w:w="85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三、存在问题</w:t>
            </w:r>
          </w:p>
          <w:p>
            <w:pPr>
              <w:keepNext w:val="0"/>
              <w:keepLines w:val="0"/>
              <w:suppressLineNumbers w:val="0"/>
              <w:spacing w:before="0" w:beforeAutospacing="0" w:after="0" w:afterAutospacing="0" w:line="240" w:lineRule="exact"/>
              <w:ind w:left="0" w:right="0" w:firstLine="462" w:firstLineChars="21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（填写设备存在问题。）</w:t>
            </w:r>
          </w:p>
          <w:p>
            <w:pPr>
              <w:keepNext w:val="0"/>
              <w:keepLines w:val="0"/>
              <w:suppressLineNumbers w:val="0"/>
              <w:spacing w:before="0" w:beforeAutospacing="0" w:after="0" w:afterAutospacing="0" w:line="360" w:lineRule="auto"/>
              <w:ind w:left="0" w:right="0" w:firstLine="464" w:firstLineChars="21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四、问题整改情况</w:t>
            </w: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（填写设备问题的整改情况。）</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7"/>
            <w:noWrap w:val="0"/>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4"/>
                <w:highlight w:val="none"/>
              </w:rPr>
              <w:t>五、调试意见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参加调试的单位和代表（签章）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p>
      <w:pP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附件4：</w:t>
      </w:r>
    </w:p>
    <w:p>
      <w:pPr>
        <w:rPr>
          <w:rFonts w:hint="eastAsia" w:ascii="宋体" w:hAnsi="宋体" w:eastAsia="宋体" w:cs="宋体"/>
          <w:b/>
          <w:bCs/>
          <w:color w:val="auto"/>
          <w:kern w:val="0"/>
          <w:szCs w:val="21"/>
          <w:highlight w:val="none"/>
          <w:lang w:val="en-US" w:eastAsia="zh-CN" w:bidi="ar"/>
        </w:rPr>
      </w:pPr>
    </w:p>
    <w:p>
      <w:pPr>
        <w:widowControl w:val="0"/>
        <w:spacing w:after="0" w:line="600" w:lineRule="exact"/>
        <w:jc w:val="center"/>
        <w:rPr>
          <w:rFonts w:hint="eastAsia" w:ascii="宋体" w:hAnsi="宋体" w:eastAsia="宋体" w:cs="宋体"/>
          <w:bCs/>
          <w:color w:val="auto"/>
          <w:spacing w:val="-20"/>
          <w:kern w:val="2"/>
          <w:sz w:val="44"/>
          <w:szCs w:val="44"/>
          <w:highlight w:val="none"/>
          <w:lang w:val="en-US" w:eastAsia="zh-CN" w:bidi="ar-SA"/>
        </w:rPr>
      </w:pPr>
      <w:r>
        <w:rPr>
          <w:rFonts w:hint="eastAsia" w:ascii="宋体" w:hAnsi="宋体" w:eastAsia="宋体" w:cs="宋体"/>
          <w:bCs/>
          <w:color w:val="auto"/>
          <w:spacing w:val="-20"/>
          <w:kern w:val="2"/>
          <w:sz w:val="44"/>
          <w:szCs w:val="44"/>
          <w:highlight w:val="none"/>
          <w:lang w:val="en-US" w:eastAsia="zh-CN" w:bidi="ar-SA"/>
        </w:rPr>
        <w:t>设备整体验收报告</w:t>
      </w:r>
    </w:p>
    <w:p>
      <w:pPr>
        <w:widowControl w:val="0"/>
        <w:spacing w:after="0" w:line="600" w:lineRule="exact"/>
        <w:jc w:val="center"/>
        <w:rPr>
          <w:rFonts w:hint="eastAsia" w:ascii="宋体" w:hAnsi="宋体" w:eastAsia="宋体" w:cs="宋体"/>
          <w:bCs/>
          <w:color w:val="auto"/>
          <w:kern w:val="2"/>
          <w:sz w:val="40"/>
          <w:szCs w:val="40"/>
          <w:highlight w:val="none"/>
          <w:lang w:val="en-US" w:eastAsia="zh-CN" w:bidi="ar-SA"/>
        </w:rPr>
      </w:pPr>
      <w:r>
        <w:rPr>
          <w:rFonts w:hint="eastAsia" w:ascii="宋体" w:hAnsi="宋体" w:eastAsia="宋体" w:cs="宋体"/>
          <w:bCs/>
          <w:color w:val="auto"/>
          <w:kern w:val="2"/>
          <w:sz w:val="40"/>
          <w:szCs w:val="40"/>
          <w:highlight w:val="none"/>
          <w:lang w:val="en-US" w:eastAsia="zh-CN" w:bidi="ar-SA"/>
        </w:rPr>
        <w:t>（现状老旧设备更换清单适用）</w:t>
      </w:r>
    </w:p>
    <w:p>
      <w:pPr>
        <w:spacing w:line="240" w:lineRule="auto"/>
        <w:ind w:firstLine="0" w:firstLineChars="0"/>
        <w:jc w:val="both"/>
        <w:rPr>
          <w:rFonts w:hint="eastAsia" w:ascii="宋体" w:hAnsi="宋体" w:eastAsia="宋体" w:cs="宋体"/>
          <w:b/>
          <w:color w:val="auto"/>
          <w:sz w:val="22"/>
          <w:szCs w:val="22"/>
          <w:highlight w:val="none"/>
        </w:rPr>
      </w:pPr>
    </w:p>
    <w:p>
      <w:pPr>
        <w:spacing w:line="240" w:lineRule="auto"/>
        <w:ind w:firstLine="0" w:firstLineChars="0"/>
        <w:jc w:val="both"/>
        <w:rPr>
          <w:rFonts w:hint="eastAsia" w:ascii="宋体" w:hAnsi="宋体" w:eastAsia="宋体" w:cs="宋体"/>
          <w:b/>
          <w:color w:val="auto"/>
          <w:sz w:val="22"/>
          <w:szCs w:val="22"/>
          <w:highlight w:val="none"/>
          <w:lang w:eastAsia="zh"/>
        </w:rPr>
      </w:pPr>
      <w:r>
        <w:rPr>
          <w:rFonts w:hint="eastAsia" w:ascii="宋体" w:hAnsi="宋体" w:eastAsia="宋体" w:cs="宋体"/>
          <w:b/>
          <w:color w:val="auto"/>
          <w:sz w:val="22"/>
          <w:szCs w:val="22"/>
          <w:highlight w:val="none"/>
        </w:rPr>
        <w:t>编号：</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665"/>
        <w:gridCol w:w="339"/>
        <w:gridCol w:w="492"/>
        <w:gridCol w:w="451"/>
        <w:gridCol w:w="874"/>
        <w:gridCol w:w="212"/>
        <w:gridCol w:w="382"/>
        <w:gridCol w:w="594"/>
        <w:gridCol w:w="193"/>
        <w:gridCol w:w="224"/>
        <w:gridCol w:w="532"/>
        <w:gridCol w:w="563"/>
        <w:gridCol w:w="30"/>
        <w:gridCol w:w="1042"/>
        <w:gridCol w:w="1336"/>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2"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合同名称</w:t>
            </w:r>
          </w:p>
        </w:tc>
        <w:tc>
          <w:tcPr>
            <w:tcW w:w="4357" w:type="pct"/>
            <w:gridSpan w:val="15"/>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2" w:type="pct"/>
            <w:gridSpan w:val="2"/>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c>
          <w:tcPr>
            <w:tcW w:w="1701" w:type="pct"/>
            <w:gridSpan w:val="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4"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到货验收日期</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2" w:type="pct"/>
            <w:gridSpan w:val="2"/>
            <w:vMerge w:val="restar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c>
          <w:tcPr>
            <w:tcW w:w="1701" w:type="pct"/>
            <w:gridSpan w:val="7"/>
            <w:vMerge w:val="restar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4"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联动调试验收</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42" w:type="pct"/>
            <w:gridSpan w:val="2"/>
            <w:vMerge w:val="continue"/>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701" w:type="pct"/>
            <w:gridSpan w:val="7"/>
            <w:vMerge w:val="continue"/>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14" w:type="pct"/>
            <w:gridSpan w:val="5"/>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整体验收日期</w:t>
            </w:r>
          </w:p>
        </w:tc>
        <w:tc>
          <w:tcPr>
            <w:tcW w:w="2040" w:type="pct"/>
            <w:gridSpan w:val="3"/>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一、货物列表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主要规格参数</w:t>
            </w: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9" w:type="pct"/>
            <w:noWrap/>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98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434"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7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1620"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867" w:type="pct"/>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二、货物信息及到货验收、调试情况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2-1XXXX设备/货物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8" w:type="pct"/>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w:t>
            </w:r>
          </w:p>
        </w:tc>
        <w:tc>
          <w:tcPr>
            <w:tcW w:w="1029"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73"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制造国</w:t>
            </w:r>
          </w:p>
        </w:tc>
        <w:tc>
          <w:tcPr>
            <w:tcW w:w="525" w:type="pct"/>
            <w:gridSpan w:val="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527"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制造厂</w:t>
            </w:r>
          </w:p>
        </w:tc>
        <w:tc>
          <w:tcPr>
            <w:tcW w:w="1525" w:type="pct"/>
            <w:gridSpan w:val="2"/>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8" w:type="pct"/>
            <w:gridSpan w:val="3"/>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安装位置</w:t>
            </w:r>
          </w:p>
        </w:tc>
        <w:tc>
          <w:tcPr>
            <w:tcW w:w="1226"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c>
          <w:tcPr>
            <w:tcW w:w="677" w:type="pct"/>
            <w:gridSpan w:val="4"/>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出厂编号</w:t>
            </w:r>
          </w:p>
        </w:tc>
        <w:tc>
          <w:tcPr>
            <w:tcW w:w="2277" w:type="pct"/>
            <w:gridSpan w:val="5"/>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主要参数</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到货验收情况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各阶段</w:t>
            </w:r>
            <w:r>
              <w:rPr>
                <w:rFonts w:hint="eastAsia" w:ascii="宋体" w:hAnsi="宋体" w:eastAsia="宋体" w:cs="宋体"/>
                <w:b/>
                <w:color w:val="auto"/>
                <w:sz w:val="22"/>
                <w:szCs w:val="22"/>
                <w:highlight w:val="none"/>
              </w:rPr>
              <w:t>调试情况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068" w:type="pct"/>
            <w:gridSpan w:val="4"/>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考核期运行情况</w:t>
            </w:r>
          </w:p>
        </w:tc>
        <w:tc>
          <w:tcPr>
            <w:tcW w:w="3931" w:type="pct"/>
            <w:gridSpan w:val="13"/>
            <w:noWrap w:val="0"/>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szCs w:val="22"/>
                <w:highlight w:val="none"/>
              </w:rPr>
            </w:pPr>
            <w:r>
              <w:rPr>
                <w:rFonts w:hint="eastAsia" w:ascii="宋体" w:hAnsi="宋体" w:eastAsia="宋体" w:cs="宋体"/>
                <w:b/>
                <w:color w:val="auto"/>
                <w:sz w:val="24"/>
                <w:highlight w:val="none"/>
              </w:rPr>
              <w:t>三、随机资料及备品备件、专用工具</w:t>
            </w:r>
          </w:p>
          <w:p>
            <w:pPr>
              <w:keepNext w:val="0"/>
              <w:keepLines w:val="0"/>
              <w:suppressLineNumbers w:val="0"/>
              <w:spacing w:before="0" w:beforeAutospacing="0" w:after="0" w:afterAutospacing="0" w:line="360" w:lineRule="auto"/>
              <w:ind w:left="0" w:right="0" w:firstLine="1760" w:firstLineChars="800"/>
              <w:jc w:val="both"/>
              <w:rPr>
                <w:rFonts w:hint="default" w:ascii="宋体" w:hAnsi="宋体" w:eastAsia="宋体" w:cs="宋体"/>
                <w:color w:val="auto"/>
                <w:sz w:val="22"/>
                <w:highlight w:val="none"/>
              </w:rPr>
            </w:pPr>
            <w:r>
              <w:rPr>
                <w:rFonts w:hint="eastAsia" w:ascii="宋体" w:hAnsi="宋体" w:eastAsia="宋体" w:cs="宋体"/>
                <w:color w:val="auto"/>
                <w:sz w:val="22"/>
                <w:highlight w:val="none"/>
              </w:rPr>
              <w:t>（填写移交资料及货物的详细清单、数量）</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szCs w:val="22"/>
                <w:highlight w:val="none"/>
              </w:rPr>
            </w:pPr>
          </w:p>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color w:val="auto"/>
                <w:sz w:val="22"/>
                <w:szCs w:val="22"/>
                <w:highlight w:val="none"/>
              </w:rPr>
              <w:t>移交人：清点人：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四、人员培训</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1760" w:firstLineChars="800"/>
              <w:jc w:val="both"/>
              <w:rPr>
                <w:rFonts w:hint="default" w:ascii="宋体" w:hAnsi="宋体" w:eastAsia="宋体" w:cs="宋体"/>
                <w:color w:val="auto"/>
                <w:sz w:val="22"/>
                <w:highlight w:val="none"/>
              </w:rPr>
            </w:pPr>
            <w:r>
              <w:rPr>
                <w:rFonts w:hint="eastAsia" w:ascii="宋体" w:hAnsi="宋体" w:eastAsia="宋体" w:cs="宋体"/>
                <w:color w:val="auto"/>
                <w:sz w:val="22"/>
                <w:highlight w:val="none"/>
              </w:rPr>
              <w:t>（填写培训时间、培训人员数量、简述培训内容）</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五、存在问题</w:t>
            </w:r>
          </w:p>
          <w:p>
            <w:pPr>
              <w:keepNext w:val="0"/>
              <w:keepLines w:val="0"/>
              <w:suppressLineNumbers w:val="0"/>
              <w:spacing w:before="0" w:beforeAutospacing="0" w:after="0" w:afterAutospacing="0" w:line="240" w:lineRule="exact"/>
              <w:ind w:left="0" w:right="0" w:firstLine="462" w:firstLineChars="210"/>
              <w:jc w:val="both"/>
              <w:rPr>
                <w:rFonts w:hint="default" w:ascii="宋体" w:hAnsi="宋体" w:eastAsia="宋体" w:cs="宋体"/>
                <w:color w:val="auto"/>
                <w:sz w:val="22"/>
                <w:highlight w:val="none"/>
              </w:rPr>
            </w:pP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（填写设备存在问题。）</w:t>
            </w:r>
          </w:p>
          <w:p>
            <w:pPr>
              <w:keepNext w:val="0"/>
              <w:keepLines w:val="0"/>
              <w:suppressLineNumbers w:val="0"/>
              <w:spacing w:before="0" w:beforeAutospacing="0" w:after="0" w:afterAutospacing="0" w:line="360" w:lineRule="auto"/>
              <w:ind w:left="0" w:right="0" w:firstLine="464" w:firstLineChars="21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000" w:type="pct"/>
            <w:gridSpan w:val="17"/>
            <w:noWrap w:val="0"/>
            <w:vAlign w:val="top"/>
          </w:tcPr>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4"/>
                <w:highlight w:val="none"/>
              </w:rPr>
            </w:pPr>
            <w:r>
              <w:rPr>
                <w:rFonts w:hint="eastAsia" w:ascii="宋体" w:hAnsi="宋体" w:eastAsia="宋体" w:cs="宋体"/>
                <w:b/>
                <w:color w:val="auto"/>
                <w:sz w:val="24"/>
                <w:highlight w:val="none"/>
              </w:rPr>
              <w:t>六、问题整改情况</w:t>
            </w:r>
          </w:p>
          <w:p>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auto"/>
                <w:sz w:val="22"/>
                <w:highlight w:val="none"/>
              </w:rPr>
            </w:pPr>
            <w:r>
              <w:rPr>
                <w:rFonts w:hint="eastAsia" w:ascii="宋体" w:hAnsi="宋体" w:eastAsia="宋体" w:cs="宋体"/>
                <w:color w:val="auto"/>
                <w:sz w:val="22"/>
                <w:highlight w:val="none"/>
              </w:rPr>
              <w:t>（填写设备问题的整改情况。）</w:t>
            </w:r>
          </w:p>
          <w:p>
            <w:pPr>
              <w:keepNext w:val="0"/>
              <w:keepLines w:val="0"/>
              <w:suppressLineNumbers w:val="0"/>
              <w:spacing w:before="0" w:beforeAutospacing="0" w:after="0" w:afterAutospacing="0" w:line="360" w:lineRule="auto"/>
              <w:ind w:left="0" w:right="0" w:firstLine="0" w:firstLineChars="0"/>
              <w:jc w:val="both"/>
              <w:rPr>
                <w:rFonts w:hint="default" w:ascii="宋体" w:hAnsi="宋体" w:eastAsia="宋体" w:cs="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000" w:type="pct"/>
            <w:gridSpan w:val="17"/>
            <w:noWrap w:val="0"/>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4"/>
                <w:highlight w:val="none"/>
              </w:rPr>
              <w:t>七、整体验收意见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gridSpan w:val="17"/>
            <w:noWrap/>
            <w:vAlign w:val="center"/>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参加整体验收的单位和代表（签章）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技术服务单位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5000" w:type="pct"/>
            <w:gridSpan w:val="17"/>
            <w:noWrap/>
            <w:vAlign w:val="top"/>
          </w:tcPr>
          <w:p>
            <w:pPr>
              <w:keepNext w:val="0"/>
              <w:keepLines w:val="0"/>
              <w:suppressLineNumbers w:val="0"/>
              <w:spacing w:before="0" w:beforeAutospacing="0" w:after="0" w:afterAutospacing="0" w:line="240" w:lineRule="auto"/>
              <w:ind w:left="0" w:right="0" w:firstLine="0" w:firstLineChars="0"/>
              <w:jc w:val="both"/>
              <w:rPr>
                <w:rFonts w:hint="default"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使用单位</w:t>
            </w:r>
          </w:p>
        </w:tc>
      </w:tr>
    </w:tbl>
    <w:p>
      <w:pP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br w:type="page"/>
      </w:r>
    </w:p>
    <w:p>
      <w:pPr>
        <w:autoSpaceDE w:val="0"/>
        <w:autoSpaceDN w:val="0"/>
        <w:spacing w:line="360" w:lineRule="auto"/>
        <w:jc w:val="left"/>
        <w:rPr>
          <w:rFonts w:ascii="宋体" w:hAnsi="宋体" w:eastAsia="宋体" w:cs="Times New Roman"/>
          <w:b/>
          <w:bCs/>
          <w:color w:val="auto"/>
          <w:kern w:val="0"/>
          <w:szCs w:val="21"/>
          <w:highlight w:val="none"/>
        </w:rPr>
      </w:pPr>
      <w:r>
        <w:rPr>
          <w:rFonts w:hint="eastAsia" w:ascii="宋体" w:hAnsi="宋体" w:eastAsia="宋体" w:cs="宋体"/>
          <w:b/>
          <w:bCs/>
          <w:color w:val="auto"/>
          <w:kern w:val="0"/>
          <w:szCs w:val="21"/>
          <w:highlight w:val="none"/>
          <w:lang w:bidi="ar"/>
        </w:rPr>
        <w:t>附件</w:t>
      </w:r>
      <w:r>
        <w:rPr>
          <w:rFonts w:hint="eastAsia" w:ascii="宋体" w:hAnsi="宋体" w:eastAsia="宋体" w:cs="宋体"/>
          <w:b/>
          <w:bCs/>
          <w:color w:val="auto"/>
          <w:kern w:val="0"/>
          <w:szCs w:val="21"/>
          <w:highlight w:val="none"/>
          <w:lang w:val="en-US" w:eastAsia="zh-CN" w:bidi="ar"/>
        </w:rPr>
        <w:t>5</w:t>
      </w:r>
      <w:r>
        <w:rPr>
          <w:rFonts w:hint="eastAsia" w:ascii="宋体" w:hAnsi="宋体" w:eastAsia="宋体" w:cs="宋体"/>
          <w:b/>
          <w:bCs/>
          <w:color w:val="auto"/>
          <w:kern w:val="0"/>
          <w:szCs w:val="21"/>
          <w:highlight w:val="none"/>
          <w:lang w:bidi="ar"/>
        </w:rPr>
        <w:t>：廉洁协议书</w:t>
      </w:r>
    </w:p>
    <w:p>
      <w:pPr>
        <w:keepNext w:val="0"/>
        <w:keepLines w:val="0"/>
        <w:pageBreakBefore w:val="0"/>
        <w:widowControl w:val="0"/>
        <w:kinsoku/>
        <w:wordWrap/>
        <w:overflowPunct/>
        <w:topLinePunct w:val="0"/>
        <w:autoSpaceDE/>
        <w:autoSpaceDN/>
        <w:bidi w:val="0"/>
        <w:adjustRightInd/>
        <w:snapToGrid/>
        <w:spacing w:line="360" w:lineRule="auto"/>
        <w:ind w:right="31" w:rightChars="15"/>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pPr>
        <w:keepNext w:val="0"/>
        <w:keepLines w:val="0"/>
        <w:pageBreakBefore w:val="0"/>
        <w:widowControl w:val="0"/>
        <w:kinsoku/>
        <w:wordWrap/>
        <w:overflowPunct/>
        <w:topLinePunct w:val="0"/>
        <w:autoSpaceDE/>
        <w:autoSpaceDN/>
        <w:bidi w:val="0"/>
        <w:adjustRightInd/>
        <w:snapToGrid/>
        <w:spacing w:line="360" w:lineRule="auto"/>
        <w:ind w:right="31" w:rightChars="15"/>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（一）举报受理部门：</w:t>
      </w:r>
      <w:r>
        <w:rPr>
          <w:rFonts w:hint="eastAsia" w:ascii="宋体" w:hAnsi="宋体" w:eastAsia="宋体" w:cs="宋体"/>
          <w:color w:val="auto"/>
          <w:szCs w:val="21"/>
          <w:highlight w:val="none"/>
          <w:lang w:eastAsia="zh-CN" w:bidi="ar"/>
        </w:rPr>
        <w:t>东莞市水务环境投资控股集团有限公司</w:t>
      </w:r>
      <w:r>
        <w:rPr>
          <w:rFonts w:hint="eastAsia" w:ascii="宋体" w:hAnsi="宋体" w:eastAsia="宋体" w:cs="宋体"/>
          <w:color w:val="auto"/>
          <w:szCs w:val="21"/>
          <w:highlight w:val="none"/>
          <w:lang w:bidi="ar"/>
        </w:rPr>
        <w:t>纪检监察部。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（二）举报电话：（0769）23076092。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1"/>
          <w:szCs w:val="21"/>
          <w:highlight w:val="none"/>
          <w:u w:val="none"/>
        </w:rPr>
        <w:t>jcsj@dgswjt.cn。</w:t>
      </w:r>
      <w:r>
        <w:rPr>
          <w:rFonts w:hint="eastAsia" w:ascii="宋体" w:hAnsi="宋体" w:eastAsia="宋体" w:cs="宋体"/>
          <w:color w:val="auto"/>
          <w:sz w:val="21"/>
          <w:szCs w:val="21"/>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（四）信访地址：广东省东莞市东城街道育华路1号。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本协议有效期为甲乙双方盖章、并由甲方法定代表人或负责人或授权代表及乙方法定代表人签字之日起至该工程/采购项目竣工验收完毕，质保期/服务期满后止。本协议一式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乙方（盖章）：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法定代表人或负责人或授权代表：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签订日期：    年  月  日</w:t>
      </w:r>
      <w:r>
        <w:rPr>
          <w:rFonts w:hint="eastAsia" w:ascii="宋体" w:hAnsi="宋体" w:eastAsia="宋体" w:cs="Times New Roman"/>
          <w:color w:val="auto"/>
          <w:kern w:val="0"/>
          <w:szCs w:val="21"/>
          <w:highlight w:val="none"/>
          <w:lang w:bidi="ar"/>
        </w:rPr>
        <w:br w:type="page"/>
      </w:r>
    </w:p>
    <w:p>
      <w:pPr>
        <w:autoSpaceDE w:val="0"/>
        <w:autoSpaceDN w:val="0"/>
        <w:adjustRightInd w:val="0"/>
        <w:spacing w:line="360" w:lineRule="auto"/>
        <w:jc w:val="left"/>
        <w:rPr>
          <w:rFonts w:ascii="宋体" w:hAnsi="宋体" w:eastAsia="宋体" w:cs="仿宋"/>
          <w:bCs/>
          <w:color w:val="auto"/>
          <w:kern w:val="0"/>
          <w:sz w:val="28"/>
          <w:szCs w:val="28"/>
          <w:highlight w:val="none"/>
        </w:rPr>
      </w:pPr>
      <w:r>
        <w:rPr>
          <w:rFonts w:hint="eastAsia" w:ascii="宋体" w:hAnsi="宋体" w:eastAsia="宋体" w:cs="宋体"/>
          <w:b/>
          <w:color w:val="auto"/>
          <w:kern w:val="0"/>
          <w:sz w:val="21"/>
          <w:szCs w:val="21"/>
          <w:highlight w:val="none"/>
          <w:lang w:bidi="ar"/>
        </w:rPr>
        <w:t>附件</w:t>
      </w:r>
      <w:r>
        <w:rPr>
          <w:rFonts w:hint="eastAsia" w:ascii="宋体" w:hAnsi="宋体" w:eastAsia="宋体" w:cs="宋体"/>
          <w:b/>
          <w:color w:val="auto"/>
          <w:kern w:val="0"/>
          <w:sz w:val="21"/>
          <w:szCs w:val="21"/>
          <w:highlight w:val="none"/>
          <w:lang w:val="en-US" w:eastAsia="zh-CN" w:bidi="ar"/>
        </w:rPr>
        <w:t>6</w:t>
      </w:r>
      <w:r>
        <w:rPr>
          <w:rFonts w:hint="eastAsia" w:ascii="宋体" w:hAnsi="宋体" w:eastAsia="宋体" w:cs="宋体"/>
          <w:b/>
          <w:color w:val="auto"/>
          <w:kern w:val="0"/>
          <w:sz w:val="21"/>
          <w:szCs w:val="21"/>
          <w:highlight w:val="none"/>
          <w:lang w:bidi="ar"/>
        </w:rPr>
        <w:t>：安全生产管理协议</w:t>
      </w:r>
      <w:r>
        <w:rPr>
          <w:rFonts w:hint="eastAsia" w:ascii="宋体" w:hAnsi="宋体" w:eastAsia="宋体" w:cs="仿宋"/>
          <w:bCs/>
          <w:color w:val="auto"/>
          <w:kern w:val="0"/>
          <w:sz w:val="28"/>
          <w:szCs w:val="28"/>
          <w:highlight w:val="none"/>
          <w:lang w:bidi="ar"/>
        </w:rPr>
        <w:t xml:space="preserve"> </w:t>
      </w:r>
    </w:p>
    <w:p>
      <w:pPr>
        <w:jc w:val="center"/>
        <w:rPr>
          <w:rFonts w:ascii="宋体" w:hAnsi="宋体" w:eastAsia="宋体" w:cs="仿宋"/>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pPr>
        <w:jc w:val="center"/>
        <w:rPr>
          <w:rFonts w:ascii="宋体" w:hAnsi="宋体" w:eastAsia="宋体" w:cs="仿宋"/>
          <w:bCs/>
          <w:color w:val="auto"/>
          <w:sz w:val="28"/>
          <w:szCs w:val="28"/>
          <w:highlight w:val="none"/>
        </w:rPr>
      </w:pPr>
      <w:r>
        <w:rPr>
          <w:rFonts w:hint="eastAsia" w:ascii="宋体" w:hAnsi="宋体" w:eastAsia="宋体" w:cs="仿宋"/>
          <w:bCs/>
          <w:color w:val="auto"/>
          <w:sz w:val="28"/>
          <w:szCs w:val="28"/>
          <w:highlight w:val="none"/>
          <w:lang w:bidi="ar"/>
        </w:rPr>
        <w:t xml:space="preserve"> </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 xml:space="preserve">电话:                </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乙方：</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电话:</w:t>
      </w:r>
    </w:p>
    <w:p>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7、乙方依法参加工伤保险，为从业人员缴纳保险费，并应当为从事危险作业的人员办理意外伤害保险。</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14、因乙方原因，造成乙方损失，由乙方自负，给甲方造成财产损失和人员伤害，乙方要负全部责任，并全额赔偿甲方。</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15、非因甲方原因，造成乙方损失的，甲方不承担任何责任，由乙方自行承担全部责任。</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①禁火区内严禁吸烟、动火。有火灾危险的作业区域，乙方必须配置足够的灭火设施。</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②焊接、气割作业时两瓶距离必须达到5M及以上，气瓶距可能产生火花的电器、设备和其它火源的间距必须达到10M及以上。</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③严禁在厂内道路、消防通道内搭建临时建筑或堆放物资。</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④施工场所的电动工具、电焊机等须有漏电保护器和相应的安全防护装置。</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⑥防雷、防静电设施及用电设施要有良好接地。</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spacing w:line="360" w:lineRule="auto"/>
        <w:ind w:firstLine="424" w:firstLineChars="202"/>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17、乙方必须接受甲方的检查与监督，并应主动配合，做好安全工作，凡有违反上述协议的即视为乙方违约，甲方有权视情况从工程结算款/服务价款中扣除2000元/次作为违约金。</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w:t>
      </w:r>
      <w:r>
        <w:rPr>
          <w:rFonts w:hint="eastAsia" w:ascii="宋体" w:hAnsi="宋体" w:eastAsia="宋体" w:cs="宋体"/>
          <w:color w:val="auto"/>
          <w:szCs w:val="21"/>
          <w:highlight w:val="none"/>
          <w:lang w:val="en-US" w:eastAsia="zh-CN" w:bidi="ar"/>
        </w:rPr>
        <w:t>合同价</w:t>
      </w:r>
      <w:r>
        <w:rPr>
          <w:rFonts w:hint="eastAsia" w:ascii="宋体" w:hAnsi="宋体" w:eastAsia="宋体" w:cs="宋体"/>
          <w:color w:val="auto"/>
          <w:szCs w:val="21"/>
          <w:highlight w:val="none"/>
          <w:lang w:bidi="ar"/>
        </w:rPr>
        <w:t>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19、乙方对施工过程中潜在的安全风险不明确的，不可盲目施工，否则，造成的不良后果由乙方独自承担。</w:t>
      </w:r>
    </w:p>
    <w:p>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20、本协议自双方双方盖章、并由甲方法定代表人或负责人或授权代表及乙方法定代表人签字</w:t>
      </w:r>
      <w:r>
        <w:rPr>
          <w:rFonts w:hint="eastAsia" w:ascii="宋体" w:hAnsi="宋体" w:eastAsia="宋体" w:cs="宋体"/>
          <w:color w:val="auto"/>
          <w:szCs w:val="21"/>
          <w:highlight w:val="none"/>
          <w:lang w:val="en-US" w:eastAsia="zh-CN" w:bidi="ar"/>
        </w:rPr>
        <w:t>之日起</w:t>
      </w:r>
      <w:r>
        <w:rPr>
          <w:rFonts w:hint="eastAsia" w:ascii="宋体" w:hAnsi="宋体" w:eastAsia="宋体" w:cs="宋体"/>
          <w:color w:val="auto"/>
          <w:szCs w:val="21"/>
          <w:highlight w:val="none"/>
          <w:lang w:bidi="ar"/>
        </w:rPr>
        <w:t>生效。</w:t>
      </w:r>
    </w:p>
    <w:p>
      <w:pPr>
        <w:spacing w:line="360" w:lineRule="auto"/>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乙方声明：</w:t>
      </w:r>
    </w:p>
    <w:p>
      <w:pPr>
        <w:spacing w:line="360" w:lineRule="auto"/>
        <w:ind w:firstLine="479" w:firstLineChars="227"/>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eastAsia="zh-CN" w:bidi="ar"/>
        </w:rPr>
        <w:t>东莞市长安新区污水处理厂原位技术升级设备采购及安装项目</w:t>
      </w:r>
      <w:r>
        <w:rPr>
          <w:rFonts w:hint="eastAsia" w:ascii="宋体" w:hAnsi="宋体" w:eastAsia="宋体" w:cs="宋体"/>
          <w:b/>
          <w:bCs/>
          <w:color w:val="auto"/>
          <w:szCs w:val="21"/>
          <w:highlight w:val="none"/>
          <w:lang w:bidi="ar"/>
        </w:rPr>
        <w:t>的安全管理要求、安全风险充分理解，并自愿承担因违约造成的一切后果。</w:t>
      </w:r>
    </w:p>
    <w:p>
      <w:pPr>
        <w:spacing w:line="360" w:lineRule="auto"/>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仿宋"/>
          <w:color w:val="auto"/>
          <w:szCs w:val="21"/>
          <w:highlight w:val="none"/>
          <w:lang w:bidi="ar"/>
        </w:rPr>
        <w:t xml:space="preserve"> </w:t>
      </w:r>
    </w:p>
    <w:p>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法定代表人或负责人或授权代表：</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法定代表人：</w:t>
      </w:r>
    </w:p>
    <w:p>
      <w:pPr>
        <w:spacing w:line="360" w:lineRule="auto"/>
        <w:ind w:firstLine="476" w:firstLineChars="227"/>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签订日期：</w:t>
      </w:r>
    </w:p>
    <w:p>
      <w:pPr>
        <w:spacing w:line="360" w:lineRule="auto"/>
        <w:ind w:firstLine="476" w:firstLineChars="227"/>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签订地点：广东省东莞市</w:t>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本保函应从合同签订之日起至合同期限届满并全部货物经最终验收合格，受益人向申请人支付全部款项（除质保金）后二十八（28）日内保持有效。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pPr>
        <w:autoSpaceDE w:val="0"/>
        <w:autoSpaceDN w:val="0"/>
        <w:adjustRightInd w:val="0"/>
        <w:jc w:val="center"/>
        <w:rPr>
          <w:rFonts w:ascii="宋体" w:hAnsi="宋体" w:eastAsia="宋体" w:cs="Times New Roman"/>
          <w:b/>
          <w:color w:val="auto"/>
          <w:kern w:val="0"/>
          <w:sz w:val="30"/>
          <w:szCs w:val="30"/>
          <w:highlight w:val="none"/>
        </w:rPr>
      </w:pP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pPr>
        <w:autoSpaceDE w:val="0"/>
        <w:autoSpaceDN w:val="0"/>
        <w:adjustRightInd w:val="0"/>
        <w:spacing w:line="360" w:lineRule="auto"/>
        <w:ind w:firstLine="437"/>
        <w:jc w:val="left"/>
        <w:rPr>
          <w:rFonts w:ascii="宋体" w:hAnsi="宋体" w:eastAsia="宋体" w:cs="宋体"/>
          <w:color w:val="auto"/>
          <w:kern w:val="0"/>
          <w:szCs w:val="21"/>
          <w:highlight w:val="none"/>
        </w:rPr>
      </w:pP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color w:val="auto"/>
          <w:highlight w:val="none"/>
        </w:rPr>
      </w:pP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附：《XXX</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本担保书应从合同签订之日起至合同期限届满并全部货物经最终验收合格，受益人向申请人支付全部款项（除质保金）后二十八（28）日内保持有效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jc w:val="left"/>
        <w:rPr>
          <w:rFonts w:ascii="宋体" w:hAnsi="宋体" w:eastAsia="宋体"/>
          <w:b/>
          <w:color w:val="auto"/>
          <w:kern w:val="0"/>
          <w:sz w:val="28"/>
          <w:szCs w:val="28"/>
          <w:highlight w:val="none"/>
        </w:rPr>
      </w:pPr>
      <w:r>
        <w:rPr>
          <w:rFonts w:ascii="宋体" w:hAnsi="宋体" w:eastAsia="宋体"/>
          <w:b/>
          <w:color w:val="auto"/>
          <w:kern w:val="0"/>
          <w:sz w:val="28"/>
          <w:szCs w:val="28"/>
          <w:highlight w:val="none"/>
        </w:rPr>
        <w:br w:type="page"/>
      </w:r>
    </w:p>
    <w:p>
      <w:pPr>
        <w:autoSpaceDE w:val="0"/>
        <w:autoSpaceDN w:val="0"/>
        <w:adjustRightInd w:val="0"/>
        <w:jc w:val="left"/>
        <w:rPr>
          <w:rFonts w:ascii="宋体" w:hAnsi="宋体" w:eastAsia="宋体"/>
          <w:b/>
          <w:color w:val="auto"/>
          <w:kern w:val="0"/>
          <w:sz w:val="30"/>
          <w:szCs w:val="30"/>
          <w:highlight w:val="none"/>
        </w:rPr>
      </w:pPr>
      <w:r>
        <w:rPr>
          <w:rFonts w:ascii="宋体" w:hAnsi="宋体" w:eastAsia="宋体"/>
          <w:b/>
          <w:color w:val="auto"/>
          <w:kern w:val="0"/>
          <w:sz w:val="28"/>
          <w:szCs w:val="28"/>
          <w:highlight w:val="none"/>
        </w:rPr>
        <w:t>四、预付款银行保</w:t>
      </w:r>
      <w:r>
        <w:rPr>
          <w:rFonts w:ascii="宋体" w:hAnsi="宋体" w:eastAsia="宋体"/>
          <w:b/>
          <w:color w:val="auto"/>
          <w:kern w:val="0"/>
          <w:sz w:val="30"/>
          <w:szCs w:val="30"/>
          <w:highlight w:val="none"/>
        </w:rPr>
        <w:t>函格式</w:t>
      </w:r>
    </w:p>
    <w:p>
      <w:pPr>
        <w:autoSpaceDE w:val="0"/>
        <w:autoSpaceDN w:val="0"/>
        <w:jc w:val="center"/>
        <w:rPr>
          <w:rFonts w:ascii="宋体" w:hAnsi="宋体" w:eastAsia="宋体"/>
          <w:b/>
          <w:color w:val="auto"/>
          <w:kern w:val="0"/>
          <w:sz w:val="30"/>
          <w:szCs w:val="30"/>
          <w:highlight w:val="none"/>
        </w:rPr>
      </w:pPr>
      <w:r>
        <w:rPr>
          <w:rFonts w:ascii="宋体" w:hAnsi="宋体" w:eastAsia="宋体"/>
          <w:b/>
          <w:color w:val="auto"/>
          <w:kern w:val="0"/>
          <w:sz w:val="30"/>
          <w:szCs w:val="30"/>
          <w:highlight w:val="none"/>
        </w:rPr>
        <w:t>预付款银行保函</w:t>
      </w:r>
    </w:p>
    <w:p>
      <w:pPr>
        <w:pStyle w:val="42"/>
        <w:ind w:firstLine="210"/>
        <w:rPr>
          <w:rFonts w:ascii="宋体" w:hAnsi="宋体" w:eastAsia="宋体"/>
          <w:color w:val="auto"/>
          <w:szCs w:val="21"/>
          <w:highlight w:val="none"/>
        </w:rPr>
      </w:pPr>
    </w:p>
    <w:p>
      <w:pPr>
        <w:pStyle w:val="42"/>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pPr>
        <w:pStyle w:val="42"/>
        <w:ind w:firstLineChars="200"/>
        <w:rPr>
          <w:rFonts w:ascii="宋体" w:hAnsi="宋体" w:eastAsia="宋体"/>
          <w:color w:val="auto"/>
          <w:szCs w:val="21"/>
          <w:highlight w:val="none"/>
        </w:rPr>
      </w:pP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预付款；受益人在合同中要求申请人应通过经认可的银行提交合同指定的与预付款等额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如果申请人在履行合同过程中发生违约或违背合同约定时，我行保证在担保金额额度内偿还或偿清受益人因该项违约或违背所造成的经济损失（无论该事实是否成立），并在接到受益人要求的第 10 天内予以支付。</w:t>
      </w: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pPr>
        <w:pStyle w:val="42"/>
        <w:spacing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w:t>
      </w:r>
      <w:r>
        <w:rPr>
          <w:rFonts w:hint="eastAsia" w:ascii="宋体" w:hAnsi="宋体" w:eastAsia="宋体"/>
          <w:color w:val="auto"/>
          <w:szCs w:val="21"/>
          <w:highlight w:val="none"/>
        </w:rPr>
        <w:t>合同完成</w:t>
      </w:r>
      <w:r>
        <w:rPr>
          <w:rFonts w:hint="eastAsia" w:ascii="宋体" w:hAnsi="宋体" w:eastAsia="宋体"/>
          <w:color w:val="auto"/>
          <w:szCs w:val="21"/>
          <w:highlight w:val="none"/>
          <w:lang w:val="en-US" w:eastAsia="zh-CN"/>
        </w:rPr>
        <w:t>到货验收</w:t>
      </w:r>
      <w:r>
        <w:rPr>
          <w:rFonts w:hint="eastAsia" w:ascii="宋体" w:hAnsi="宋体" w:eastAsia="宋体"/>
          <w:color w:val="auto"/>
          <w:szCs w:val="21"/>
          <w:highlight w:val="none"/>
        </w:rPr>
        <w:t>并且</w:t>
      </w:r>
      <w:r>
        <w:rPr>
          <w:rFonts w:hint="eastAsia" w:ascii="宋体" w:hAnsi="宋体" w:eastAsia="宋体"/>
          <w:color w:val="auto"/>
          <w:szCs w:val="21"/>
          <w:highlight w:val="none"/>
          <w:lang w:val="en-US" w:eastAsia="zh-CN"/>
        </w:rPr>
        <w:t>受益人</w:t>
      </w:r>
      <w:r>
        <w:rPr>
          <w:rFonts w:hint="eastAsia" w:ascii="宋体" w:hAnsi="宋体" w:eastAsia="宋体"/>
          <w:color w:val="auto"/>
          <w:szCs w:val="21"/>
          <w:highlight w:val="none"/>
        </w:rPr>
        <w:t>出具验收证明后第30</w:t>
      </w:r>
      <w:r>
        <w:rPr>
          <w:rFonts w:hint="eastAsia" w:ascii="宋体" w:hAnsi="宋体" w:eastAsia="宋体"/>
          <w:color w:val="auto"/>
          <w:szCs w:val="21"/>
          <w:highlight w:val="none"/>
          <w:lang w:val="en-US" w:eastAsia="zh-CN"/>
        </w:rPr>
        <w:t>日</w:t>
      </w:r>
      <w:r>
        <w:rPr>
          <w:rFonts w:hint="eastAsia" w:ascii="宋体" w:hAnsi="宋体" w:eastAsia="宋体"/>
          <w:color w:val="auto"/>
          <w:szCs w:val="21"/>
          <w:highlight w:val="none"/>
        </w:rPr>
        <w:t>起失效</w:t>
      </w:r>
      <w:r>
        <w:rPr>
          <w:rFonts w:ascii="宋体" w:hAnsi="宋体" w:eastAsia="宋体"/>
          <w:color w:val="auto"/>
          <w:szCs w:val="21"/>
          <w:highlight w:val="none"/>
        </w:rPr>
        <w:t>。</w:t>
      </w:r>
    </w:p>
    <w:p>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lang w:val="en-US" w:eastAsia="zh-CN"/>
        </w:rPr>
        <w:t xml:space="preserve">                 </w:t>
      </w:r>
      <w:r>
        <w:rPr>
          <w:rFonts w:ascii="宋体" w:hAnsi="宋体" w:eastAsia="宋体"/>
          <w:color w:val="auto"/>
          <w:szCs w:val="21"/>
          <w:highlight w:val="none"/>
        </w:rPr>
        <w:t xml:space="preserve">法定代表人或其授权的代理人：       （签字或盖私章）      </w:t>
      </w:r>
    </w:p>
    <w:p>
      <w:pPr>
        <w:pStyle w:val="42"/>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pPr>
        <w:pStyle w:val="42"/>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pPr>
        <w:pStyle w:val="19"/>
        <w:rPr>
          <w:color w:val="auto"/>
          <w:highlight w:val="none"/>
        </w:rPr>
      </w:pPr>
    </w:p>
    <w:p>
      <w:pPr>
        <w:widowControl/>
        <w:jc w:val="left"/>
        <w:rPr>
          <w:rFonts w:ascii="宋体" w:hAnsi="宋体" w:eastAsia="宋体" w:cs="宋体"/>
          <w:color w:val="auto"/>
          <w:szCs w:val="24"/>
          <w:highlight w:val="none"/>
          <w:lang w:val="zh-CN"/>
        </w:rPr>
      </w:pPr>
    </w:p>
    <w:p>
      <w:pPr>
        <w:pStyle w:val="19"/>
        <w:rPr>
          <w:color w:val="auto"/>
          <w:highlight w:val="none"/>
        </w:rPr>
      </w:pPr>
    </w:p>
    <w:bookmarkEnd w:id="425"/>
    <w:bookmarkEnd w:id="426"/>
    <w:bookmarkEnd w:id="427"/>
    <w:bookmarkEnd w:id="428"/>
    <w:bookmarkEnd w:id="429"/>
    <w:bookmarkEnd w:id="430"/>
    <w:bookmarkEnd w:id="431"/>
    <w:bookmarkEnd w:id="432"/>
    <w:bookmarkEnd w:id="433"/>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34" w:name="_Toc142508361"/>
      <w:bookmarkStart w:id="435" w:name="_Toc9840"/>
      <w:bookmarkStart w:id="436" w:name="_Toc486167708"/>
      <w:bookmarkStart w:id="437" w:name="_Toc32761_WPSOffice_Level1"/>
      <w:bookmarkStart w:id="438" w:name="_Toc9056"/>
      <w:bookmarkStart w:id="439" w:name="_Toc450662895"/>
      <w:bookmarkStart w:id="440" w:name="_Toc24799"/>
      <w:bookmarkStart w:id="441" w:name="_Toc195714372"/>
      <w:bookmarkStart w:id="442" w:name="_Toc15817"/>
      <w:r>
        <w:rPr>
          <w:rFonts w:hint="eastAsia" w:ascii="宋体" w:hAnsi="宋体" w:eastAsia="宋体" w:cs="宋体"/>
          <w:b/>
          <w:bCs/>
          <w:color w:val="auto"/>
          <w:kern w:val="44"/>
          <w:sz w:val="32"/>
          <w:szCs w:val="32"/>
          <w:highlight w:val="none"/>
          <w:lang w:val="zh-CN"/>
        </w:rPr>
        <w:t>第六篇 投标文件格式</w:t>
      </w:r>
      <w:bookmarkEnd w:id="434"/>
      <w:bookmarkEnd w:id="435"/>
      <w:bookmarkEnd w:id="436"/>
      <w:bookmarkEnd w:id="437"/>
      <w:bookmarkEnd w:id="438"/>
      <w:bookmarkEnd w:id="439"/>
      <w:bookmarkEnd w:id="440"/>
      <w:bookmarkEnd w:id="441"/>
      <w:bookmarkEnd w:id="442"/>
    </w:p>
    <w:p>
      <w:pPr>
        <w:jc w:val="center"/>
        <w:outlineLvl w:val="1"/>
        <w:rPr>
          <w:rFonts w:ascii="宋体" w:hAnsi="宋体" w:eastAsia="宋体" w:cs="宋体"/>
          <w:b/>
          <w:color w:val="auto"/>
          <w:kern w:val="0"/>
          <w:sz w:val="32"/>
          <w:szCs w:val="32"/>
          <w:highlight w:val="none"/>
        </w:rPr>
      </w:pPr>
      <w:bookmarkStart w:id="443" w:name="_Toc27232"/>
      <w:bookmarkStart w:id="444" w:name="_Toc195714373"/>
      <w:bookmarkStart w:id="445" w:name="_Toc19718"/>
      <w:bookmarkStart w:id="446" w:name="_Toc31978"/>
      <w:bookmarkStart w:id="447" w:name="_Toc104991868"/>
      <w:bookmarkStart w:id="448" w:name="_Toc21133_WPSOffice_Level2"/>
      <w:bookmarkStart w:id="449" w:name="_Toc142508362"/>
      <w:bookmarkStart w:id="450" w:name="_Toc102860411"/>
      <w:bookmarkStart w:id="451" w:name="_Toc140596921"/>
      <w:bookmarkStart w:id="452" w:name="_Toc486167709"/>
      <w:bookmarkStart w:id="453" w:name="_Toc102860067"/>
      <w:bookmarkStart w:id="454" w:name="_Toc533708121"/>
      <w:bookmarkStart w:id="455" w:name="_Toc1977721"/>
      <w:bookmarkStart w:id="456" w:name="_Toc94107202"/>
      <w:r>
        <w:rPr>
          <w:rFonts w:hint="eastAsia" w:ascii="宋体" w:hAnsi="宋体" w:eastAsia="宋体" w:cs="宋体"/>
          <w:b/>
          <w:color w:val="auto"/>
          <w:kern w:val="0"/>
          <w:sz w:val="32"/>
          <w:szCs w:val="32"/>
          <w:highlight w:val="none"/>
        </w:rPr>
        <w:t>一  商务标格式</w:t>
      </w:r>
      <w:bookmarkEnd w:id="443"/>
      <w:bookmarkEnd w:id="444"/>
      <w:bookmarkEnd w:id="445"/>
      <w:bookmarkEnd w:id="446"/>
    </w:p>
    <w:p>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pPr>
        <w:pStyle w:val="20"/>
        <w:spacing w:line="360" w:lineRule="auto"/>
        <w:jc w:val="center"/>
        <w:rPr>
          <w:rFonts w:ascii="宋体" w:hAnsi="宋体" w:cs="宋体"/>
          <w:color w:val="auto"/>
          <w:sz w:val="84"/>
          <w:highlight w:val="none"/>
        </w:rPr>
      </w:pPr>
    </w:p>
    <w:p>
      <w:pPr>
        <w:pStyle w:val="20"/>
        <w:spacing w:line="360" w:lineRule="auto"/>
        <w:jc w:val="center"/>
        <w:rPr>
          <w:rFonts w:ascii="宋体" w:hAnsi="宋体" w:cs="宋体"/>
          <w:color w:val="auto"/>
          <w:sz w:val="84"/>
          <w:highlight w:val="none"/>
        </w:rPr>
      </w:pPr>
    </w:p>
    <w:p>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pStyle w:val="20"/>
        <w:spacing w:line="360" w:lineRule="auto"/>
        <w:ind w:left="0" w:leftChars="0" w:firstLine="0" w:firstLineChars="0"/>
        <w:jc w:val="center"/>
        <w:rPr>
          <w:rFonts w:hint="eastAsia" w:ascii="宋体" w:hAnsi="宋体" w:eastAsia="宋体" w:cs="宋体"/>
          <w:b/>
          <w:bCs/>
          <w:color w:val="auto"/>
          <w:sz w:val="24"/>
          <w:szCs w:val="22"/>
          <w:highlight w:val="none"/>
          <w:lang w:val="en-US" w:eastAsia="zh-CN"/>
        </w:rPr>
      </w:pPr>
      <w:r>
        <w:rPr>
          <w:rFonts w:hint="eastAsia" w:ascii="宋体" w:hAnsi="宋体" w:cs="宋体"/>
          <w:b/>
          <w:bCs/>
          <w:color w:val="auto"/>
          <w:sz w:val="24"/>
          <w:szCs w:val="22"/>
          <w:highlight w:val="none"/>
          <w:lang w:val="en-US" w:eastAsia="zh-CN"/>
        </w:rPr>
        <w:t>目 录</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rPr>
        <w:t>一、投标函；</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rPr>
        <w:t>二、投标承诺书；</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rPr>
        <w:t>三、供货及/或提供服务过程承诺函；</w:t>
      </w:r>
    </w:p>
    <w:p>
      <w:pPr>
        <w:pStyle w:val="20"/>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四</w:t>
      </w:r>
      <w:r>
        <w:rPr>
          <w:rFonts w:hint="eastAsia" w:ascii="宋体" w:hAnsi="宋体" w:cs="宋体"/>
          <w:color w:val="auto"/>
          <w:highlight w:val="none"/>
        </w:rPr>
        <w:t>、分项报价表</w:t>
      </w:r>
      <w:r>
        <w:rPr>
          <w:rFonts w:hint="eastAsia" w:ascii="宋体" w:hAnsi="宋体" w:cs="宋体"/>
          <w:color w:val="auto"/>
          <w:highlight w:val="none"/>
          <w:lang w:eastAsia="zh-CN"/>
        </w:rPr>
        <w:t>；</w:t>
      </w:r>
    </w:p>
    <w:p>
      <w:pPr>
        <w:pStyle w:val="20"/>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五、</w:t>
      </w:r>
      <w:r>
        <w:rPr>
          <w:rFonts w:hint="eastAsia" w:ascii="宋体" w:hAnsi="宋体" w:cs="宋体"/>
          <w:color w:val="auto"/>
          <w:highlight w:val="none"/>
        </w:rPr>
        <w:t>投标人资格证明文件</w:t>
      </w:r>
      <w:r>
        <w:rPr>
          <w:rFonts w:hint="eastAsia" w:ascii="宋体" w:hAnsi="宋体" w:cs="宋体"/>
          <w:color w:val="auto"/>
          <w:highlight w:val="none"/>
          <w:lang w:eastAsia="zh-CN"/>
        </w:rPr>
        <w:t>；</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lang w:val="en-US" w:eastAsia="zh-CN"/>
        </w:rPr>
        <w:t>六</w:t>
      </w:r>
      <w:r>
        <w:rPr>
          <w:rFonts w:hint="eastAsia" w:ascii="宋体" w:hAnsi="宋体" w:cs="宋体"/>
          <w:color w:val="auto"/>
          <w:highlight w:val="none"/>
        </w:rPr>
        <w:t>、投标人基本情况一览表；</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lang w:val="en-US" w:eastAsia="zh-CN"/>
        </w:rPr>
        <w:t>七</w:t>
      </w:r>
      <w:r>
        <w:rPr>
          <w:rFonts w:hint="eastAsia" w:ascii="宋体" w:hAnsi="宋体" w:cs="宋体"/>
          <w:color w:val="auto"/>
          <w:highlight w:val="none"/>
        </w:rPr>
        <w:t>、投标人财务状况表；</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lang w:val="en-US" w:eastAsia="zh-CN"/>
        </w:rPr>
        <w:t>八</w:t>
      </w:r>
      <w:r>
        <w:rPr>
          <w:rFonts w:hint="eastAsia" w:ascii="宋体" w:hAnsi="宋体" w:cs="宋体"/>
          <w:color w:val="auto"/>
          <w:highlight w:val="none"/>
        </w:rPr>
        <w:t>、合同条款响应程度（合同条款偏离表）；</w:t>
      </w:r>
    </w:p>
    <w:p>
      <w:pPr>
        <w:pStyle w:val="20"/>
        <w:spacing w:line="360" w:lineRule="auto"/>
        <w:ind w:left="0" w:leftChars="0" w:firstLine="0" w:firstLineChars="0"/>
        <w:rPr>
          <w:rFonts w:hint="eastAsia" w:ascii="宋体" w:hAnsi="宋体" w:cs="宋体"/>
          <w:color w:val="auto"/>
          <w:highlight w:val="none"/>
        </w:rPr>
      </w:pPr>
      <w:r>
        <w:rPr>
          <w:rFonts w:hint="eastAsia" w:ascii="宋体" w:hAnsi="宋体" w:cs="宋体"/>
          <w:color w:val="auto"/>
          <w:highlight w:val="none"/>
          <w:lang w:val="en-US" w:eastAsia="zh-CN"/>
        </w:rPr>
        <w:t>九</w:t>
      </w:r>
      <w:r>
        <w:rPr>
          <w:rFonts w:hint="eastAsia" w:ascii="宋体" w:hAnsi="宋体" w:cs="宋体"/>
          <w:color w:val="auto"/>
          <w:highlight w:val="none"/>
        </w:rPr>
        <w:t>、业绩表；</w:t>
      </w:r>
    </w:p>
    <w:p>
      <w:pPr>
        <w:pStyle w:val="20"/>
        <w:spacing w:line="360" w:lineRule="auto"/>
        <w:ind w:left="0" w:leftChars="0" w:firstLine="0" w:firstLineChars="0"/>
        <w:rPr>
          <w:rFonts w:ascii="宋体" w:hAnsi="宋体" w:cs="宋体"/>
          <w:color w:val="auto"/>
          <w:highlight w:val="none"/>
        </w:rPr>
      </w:pPr>
      <w:r>
        <w:rPr>
          <w:rFonts w:hint="eastAsia" w:ascii="宋体" w:hAnsi="宋体" w:cs="宋体"/>
          <w:color w:val="auto"/>
          <w:highlight w:val="none"/>
          <w:lang w:val="en-US" w:eastAsia="zh-CN"/>
        </w:rPr>
        <w:t>十</w:t>
      </w:r>
      <w:r>
        <w:rPr>
          <w:rFonts w:hint="eastAsia" w:ascii="宋体" w:hAnsi="宋体" w:cs="宋体"/>
          <w:color w:val="auto"/>
          <w:highlight w:val="none"/>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pPr>
        <w:pStyle w:val="20"/>
        <w:spacing w:line="360" w:lineRule="auto"/>
        <w:ind w:left="0" w:leftChars="0" w:firstLine="0" w:firstLineChars="0"/>
        <w:rPr>
          <w:rFonts w:ascii="宋体" w:hAnsi="宋体" w:cs="宋体"/>
          <w:color w:val="auto"/>
          <w:highlight w:val="none"/>
        </w:rPr>
      </w:pPr>
    </w:p>
    <w:p>
      <w:pPr>
        <w:pStyle w:val="20"/>
        <w:spacing w:line="360" w:lineRule="auto"/>
        <w:ind w:left="0" w:leftChars="0" w:firstLine="0" w:firstLineChars="0"/>
        <w:rPr>
          <w:rFonts w:ascii="宋体" w:hAnsi="宋体" w:cs="宋体"/>
          <w:color w:val="auto"/>
          <w:highlight w:val="none"/>
        </w:rPr>
      </w:pPr>
    </w:p>
    <w:p>
      <w:pPr>
        <w:pStyle w:val="20"/>
        <w:spacing w:line="360" w:lineRule="auto"/>
        <w:ind w:left="0" w:leftChars="0" w:firstLine="0" w:firstLineChars="0"/>
        <w:rPr>
          <w:rFonts w:ascii="宋体" w:hAnsi="宋体" w:cs="宋体"/>
          <w:color w:val="auto"/>
          <w:highlight w:val="none"/>
        </w:rPr>
      </w:pPr>
    </w:p>
    <w:p>
      <w:pPr>
        <w:pStyle w:val="20"/>
        <w:spacing w:line="360" w:lineRule="auto"/>
        <w:rPr>
          <w:rFonts w:ascii="宋体" w:hAnsi="宋体" w:cs="宋体"/>
          <w:color w:val="auto"/>
          <w:highlight w:val="none"/>
        </w:rPr>
      </w:pPr>
      <w:r>
        <w:rPr>
          <w:rFonts w:hint="eastAsia" w:ascii="宋体" w:hAnsi="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57" w:name="_Toc13281"/>
      <w:bookmarkStart w:id="458" w:name="_Toc23782"/>
      <w:bookmarkStart w:id="459" w:name="_Toc27679"/>
      <w:bookmarkStart w:id="460" w:name="_Toc17613"/>
      <w:bookmarkStart w:id="461" w:name="_Toc195714375"/>
      <w:bookmarkStart w:id="462" w:name="_Toc30269"/>
      <w:bookmarkStart w:id="463" w:name="_Toc16832"/>
      <w:r>
        <w:rPr>
          <w:rFonts w:hint="eastAsia" w:ascii="宋体" w:hAnsi="宋体" w:eastAsia="宋体" w:cs="宋体"/>
          <w:b/>
          <w:color w:val="auto"/>
          <w:kern w:val="0"/>
          <w:sz w:val="32"/>
          <w:szCs w:val="32"/>
          <w:highlight w:val="none"/>
        </w:rPr>
        <w:t>一、投标函格式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464" w:name="_Toc16695_WPSOffice_Level3"/>
      <w:r>
        <w:rPr>
          <w:rFonts w:hint="eastAsia" w:ascii="宋体" w:hAnsi="宋体" w:eastAsia="宋体" w:cs="宋体"/>
          <w:b/>
          <w:bCs/>
          <w:color w:val="auto"/>
          <w:sz w:val="30"/>
          <w:szCs w:val="30"/>
          <w:highlight w:val="none"/>
          <w:lang w:val="zh-CN"/>
        </w:rPr>
        <w:t>投 标 函</w:t>
      </w:r>
      <w:bookmarkEnd w:id="464"/>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东莞市石鼓净水有限公司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东莞市长安新区污水处理厂原位技术升级设备采购及安装项目</w:t>
      </w:r>
      <w:r>
        <w:rPr>
          <w:rFonts w:hint="eastAsia" w:ascii="宋体" w:hAnsi="宋体" w:eastAsia="宋体" w:cs="宋体"/>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)的投标邀请，我方</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5" w:name="_Toc28613_WPSOffice_Level2"/>
      <w:bookmarkStart w:id="466" w:name="_Toc16653"/>
      <w:bookmarkStart w:id="467" w:name="_Toc30995"/>
      <w:bookmarkStart w:id="468" w:name="_Toc142508363"/>
      <w:bookmarkStart w:id="469" w:name="_Toc1977722"/>
      <w:bookmarkStart w:id="470" w:name="_Toc102860412"/>
      <w:bookmarkStart w:id="471" w:name="_Toc486167710"/>
      <w:bookmarkStart w:id="472" w:name="_Toc533708122"/>
      <w:bookmarkStart w:id="473" w:name="_Toc94107203"/>
      <w:bookmarkStart w:id="474" w:name="_Toc102860068"/>
      <w:bookmarkStart w:id="475" w:name="_Toc3104"/>
      <w:bookmarkStart w:id="476" w:name="_Toc24901"/>
      <w:bookmarkStart w:id="477" w:name="_Toc18956"/>
      <w:bookmarkStart w:id="478" w:name="_Toc104991869"/>
      <w:bookmarkStart w:id="479" w:name="_Toc140596922"/>
      <w:bookmarkStart w:id="480" w:name="_Toc195714376"/>
      <w:bookmarkStart w:id="481" w:name="_Toc12417"/>
      <w:r>
        <w:rPr>
          <w:rFonts w:hint="eastAsia" w:ascii="宋体" w:hAnsi="宋体" w:eastAsia="宋体" w:cs="宋体"/>
          <w:b/>
          <w:color w:val="auto"/>
          <w:kern w:val="0"/>
          <w:sz w:val="32"/>
          <w:szCs w:val="32"/>
          <w:highlight w:val="none"/>
        </w:rPr>
        <w:t>二、投标承诺书格式</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东莞市长安新区污水处理厂原位技术升级设备采购及安装项目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82" w:name="_Toc311032584"/>
      <w:bookmarkStart w:id="483" w:name="_Toc316896755"/>
      <w:bookmarkStart w:id="484" w:name="_Toc326768876"/>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85" w:name="_Toc142508364"/>
      <w:bookmarkStart w:id="486" w:name="_Toc140596923"/>
      <w:bookmarkStart w:id="487" w:name="_Toc104991870"/>
      <w:bookmarkStart w:id="488" w:name="_Toc5075"/>
      <w:bookmarkStart w:id="489" w:name="_Toc94107204"/>
      <w:bookmarkStart w:id="490" w:name="_Toc24336"/>
      <w:bookmarkStart w:id="491" w:name="_Toc86764083"/>
      <w:bookmarkStart w:id="492" w:name="_Toc102860069"/>
      <w:bookmarkStart w:id="493" w:name="_Toc29910"/>
      <w:bookmarkStart w:id="494" w:name="_Toc82182546"/>
      <w:bookmarkStart w:id="495" w:name="_Toc3108"/>
      <w:bookmarkStart w:id="496" w:name="_Toc8056"/>
      <w:bookmarkStart w:id="497" w:name="_Toc195714377"/>
      <w:bookmarkStart w:id="498" w:name="_Toc102860413"/>
      <w:bookmarkStart w:id="499" w:name="_Toc20009"/>
      <w:bookmarkStart w:id="500" w:name="_Toc1977723"/>
      <w:bookmarkStart w:id="501" w:name="_Toc7024_WPSOffice_Level2"/>
      <w:bookmarkStart w:id="502" w:name="_Toc533708123"/>
      <w:bookmarkStart w:id="503" w:name="_Toc486167711"/>
      <w:r>
        <w:rPr>
          <w:rFonts w:hint="eastAsia" w:ascii="宋体" w:hAnsi="宋体" w:eastAsia="宋体" w:cs="宋体"/>
          <w:b/>
          <w:color w:val="auto"/>
          <w:kern w:val="44"/>
          <w:sz w:val="32"/>
          <w:szCs w:val="32"/>
          <w:highlight w:val="none"/>
        </w:rPr>
        <w:t>三、供货及/或提供服务过程承诺函格式</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东莞市长安新区污水处理厂原位技术升级设备采购及安装项目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500"/>
    <w:bookmarkEnd w:id="501"/>
    <w:bookmarkEnd w:id="502"/>
    <w:bookmarkEnd w:id="503"/>
    <w:p>
      <w:pPr>
        <w:autoSpaceDE w:val="0"/>
        <w:autoSpaceDN w:val="0"/>
        <w:adjustRightInd w:val="0"/>
        <w:spacing w:line="360" w:lineRule="auto"/>
        <w:ind w:firstLine="4960" w:firstLineChars="2362"/>
        <w:rPr>
          <w:rFonts w:ascii="宋体" w:hAnsi="宋体" w:eastAsia="宋体" w:cs="宋体"/>
          <w:color w:val="auto"/>
          <w:szCs w:val="21"/>
          <w:highlight w:val="none"/>
          <w:lang w:bidi="ar"/>
        </w:rPr>
      </w:pPr>
    </w:p>
    <w:p>
      <w:pPr>
        <w:widowControl/>
        <w:jc w:val="left"/>
        <w:rPr>
          <w:rFonts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rPr>
      </w:pPr>
      <w:bookmarkStart w:id="504" w:name="_Toc104991875"/>
      <w:bookmarkStart w:id="505" w:name="_Toc140596928"/>
      <w:bookmarkStart w:id="506" w:name="_Toc48"/>
      <w:bookmarkStart w:id="507" w:name="_Toc142508369"/>
      <w:bookmarkStart w:id="508" w:name="_Toc25034"/>
      <w:bookmarkStart w:id="509" w:name="_Toc102860418"/>
      <w:bookmarkStart w:id="510" w:name="_Toc23083"/>
      <w:bookmarkStart w:id="511" w:name="_Toc24435"/>
      <w:bookmarkStart w:id="512" w:name="_Toc1977725"/>
      <w:bookmarkStart w:id="513" w:name="_Toc26516"/>
      <w:bookmarkStart w:id="514" w:name="_Toc195714382"/>
      <w:bookmarkStart w:id="515" w:name="_Toc102860074"/>
      <w:bookmarkStart w:id="516" w:name="_Toc6190"/>
      <w:bookmarkStart w:id="517" w:name="_Toc94107209"/>
      <w:bookmarkStart w:id="518" w:name="_Toc20759_WPSOffice_Level2"/>
      <w:bookmarkStart w:id="519" w:name="_Toc533708124"/>
      <w:bookmarkStart w:id="520" w:name="_Toc486167712"/>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、分项报价表</w:t>
      </w:r>
    </w:p>
    <w:p>
      <w:pPr>
        <w:pStyle w:val="23"/>
        <w:snapToGrid w:val="0"/>
        <w:spacing w:line="360" w:lineRule="auto"/>
        <w:jc w:val="center"/>
        <w:rPr>
          <w:rFonts w:hint="eastAsia" w:hAnsi="宋体"/>
          <w:b/>
          <w:bCs/>
          <w:color w:val="auto"/>
          <w:szCs w:val="21"/>
          <w:highlight w:val="none"/>
        </w:rPr>
      </w:pPr>
      <w:r>
        <w:rPr>
          <w:rFonts w:hint="eastAsia" w:ascii="宋体" w:hAnsi="宋体" w:eastAsia="宋体" w:cs="宋体"/>
          <w:b/>
          <w:bCs/>
          <w:color w:val="auto"/>
          <w:sz w:val="24"/>
          <w:szCs w:val="24"/>
          <w:highlight w:val="none"/>
          <w:lang w:val="en-US" w:eastAsia="zh-CN"/>
        </w:rPr>
        <w:t xml:space="preserve">4.1 </w:t>
      </w:r>
      <w:r>
        <w:rPr>
          <w:rFonts w:hint="eastAsia" w:ascii="宋体" w:hAnsi="宋体"/>
          <w:b/>
          <w:bCs/>
          <w:color w:val="auto"/>
          <w:sz w:val="24"/>
          <w:szCs w:val="24"/>
          <w:highlight w:val="none"/>
        </w:rPr>
        <w:t>分项报价表</w:t>
      </w:r>
    </w:p>
    <w:p>
      <w:pPr>
        <w:pStyle w:val="23"/>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Cs w:val="21"/>
          <w:highlight w:val="none"/>
          <w:u w:val="single"/>
          <w:lang w:eastAsia="zh-CN"/>
        </w:rPr>
        <w:t>东莞市长安新区污水处理厂原位技术升级设备采购及安装项目</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招标编号：</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p>
      <w:pPr>
        <w:pStyle w:val="23"/>
        <w:snapToGrid w:val="0"/>
        <w:spacing w:line="360" w:lineRule="auto"/>
        <w:ind w:firstLine="6405" w:firstLineChars="30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单位：人民币元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3946"/>
        <w:gridCol w:w="3291"/>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89"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02"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586"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投标报价金额（不含税）</w:t>
            </w:r>
          </w:p>
        </w:tc>
        <w:tc>
          <w:tcPr>
            <w:tcW w:w="1021"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89"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2" w:type="pct"/>
            <w:noWrap w:val="0"/>
            <w:vAlign w:val="center"/>
          </w:tcPr>
          <w:p>
            <w:pPr>
              <w:pStyle w:val="201"/>
              <w:keepNext w:val="0"/>
              <w:keepLines w:val="0"/>
              <w:suppressLineNumbers w:val="0"/>
              <w:snapToGrid w:val="0"/>
              <w:spacing w:before="0" w:beforeAutospacing="0" w:after="0" w:afterAutospacing="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现状老旧设备更换</w:t>
            </w:r>
          </w:p>
        </w:tc>
        <w:tc>
          <w:tcPr>
            <w:tcW w:w="1586"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w:t>
            </w:r>
          </w:p>
        </w:tc>
        <w:tc>
          <w:tcPr>
            <w:tcW w:w="1021"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89" w:type="pc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2" w:type="pct"/>
            <w:noWrap w:val="0"/>
            <w:vAlign w:val="center"/>
          </w:tcPr>
          <w:p>
            <w:pPr>
              <w:pStyle w:val="201"/>
              <w:keepNext w:val="0"/>
              <w:keepLines w:val="0"/>
              <w:suppressLineNumbers w:val="0"/>
              <w:snapToGrid w:val="0"/>
              <w:spacing w:before="0" w:beforeAutospacing="0" w:after="0" w:afterAutospacing="0"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原位技术成套设备</w:t>
            </w:r>
          </w:p>
        </w:tc>
        <w:tc>
          <w:tcPr>
            <w:tcW w:w="1586"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w:t>
            </w:r>
          </w:p>
        </w:tc>
        <w:tc>
          <w:tcPr>
            <w:tcW w:w="1021"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391" w:type="pct"/>
            <w:gridSpan w:val="2"/>
            <w:noWrap w:val="0"/>
            <w:vAlign w:val="center"/>
          </w:tcPr>
          <w:p>
            <w:pPr>
              <w:pStyle w:val="201"/>
              <w:keepNext w:val="0"/>
              <w:keepLines w:val="0"/>
              <w:suppressLineNumbers w:val="0"/>
              <w:snapToGrid w:val="0"/>
              <w:spacing w:before="0" w:beforeAutospacing="0" w:after="0" w:afterAutospacing="0" w:line="360" w:lineRule="auto"/>
              <w:ind w:lef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1586"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¥____________</w:t>
            </w:r>
          </w:p>
        </w:tc>
        <w:tc>
          <w:tcPr>
            <w:tcW w:w="1021" w:type="pct"/>
            <w:noWrap w:val="0"/>
            <w:vAlign w:val="center"/>
          </w:tcPr>
          <w:p>
            <w:pPr>
              <w:pStyle w:val="23"/>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pPr>
        <w:snapToGrid w:val="0"/>
        <w:spacing w:line="360" w:lineRule="auto"/>
        <w:ind w:left="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p>
    <w:p>
      <w:pPr>
        <w:snapToGrid w:val="0"/>
        <w:spacing w:line="360" w:lineRule="auto"/>
        <w:ind w:left="210" w:hanging="210" w:hanging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是指不含本采购项目投标人的销项税额，包含了投标人完成合同义务（含投标人代缴代扣、分包及委外服务、安装、采购货物等所产生的价税）的其他全部费用。本采购项目的销项税额由招标人承担，不计入投标报价。</w:t>
      </w:r>
    </w:p>
    <w:p>
      <w:pPr>
        <w:snapToGrid w:val="0"/>
        <w:spacing w:line="360" w:lineRule="auto"/>
        <w:ind w:left="211" w:hanging="211" w:hangingChars="1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u w:val="single"/>
          <w:lang w:val="zh-CN"/>
        </w:rPr>
        <w:t>2.此表的合计指所有需</w:t>
      </w:r>
      <w:r>
        <w:rPr>
          <w:rFonts w:hint="eastAsia" w:ascii="宋体" w:hAnsi="宋体" w:eastAsia="宋体" w:cs="宋体"/>
          <w:b/>
          <w:color w:val="auto"/>
          <w:sz w:val="21"/>
          <w:szCs w:val="21"/>
          <w:highlight w:val="none"/>
          <w:u w:val="single"/>
          <w:lang w:eastAsia="zh-CN"/>
        </w:rPr>
        <w:t>招标人</w:t>
      </w:r>
      <w:r>
        <w:rPr>
          <w:rFonts w:hint="eastAsia" w:ascii="宋体" w:hAnsi="宋体" w:eastAsia="宋体" w:cs="宋体"/>
          <w:b/>
          <w:color w:val="auto"/>
          <w:sz w:val="21"/>
          <w:szCs w:val="21"/>
          <w:highlight w:val="none"/>
          <w:u w:val="single"/>
          <w:lang w:val="zh-CN"/>
        </w:rPr>
        <w:t>支付的本次招标范围内所有内容的金额总数即报价信封中的投标值</w:t>
      </w:r>
      <w:r>
        <w:rPr>
          <w:rFonts w:hint="eastAsia" w:ascii="宋体" w:hAnsi="宋体" w:eastAsia="宋体" w:cs="宋体"/>
          <w:color w:val="auto"/>
          <w:sz w:val="21"/>
          <w:szCs w:val="21"/>
          <w:highlight w:val="none"/>
          <w:lang w:val="zh-CN"/>
        </w:rPr>
        <w:t>。</w:t>
      </w:r>
    </w:p>
    <w:p>
      <w:pPr>
        <w:snapToGrid w:val="0"/>
        <w:spacing w:line="360" w:lineRule="auto"/>
        <w:ind w:left="210" w:hanging="210" w:hangingChars="1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3.</w:t>
      </w:r>
      <w:r>
        <w:rPr>
          <w:rFonts w:hint="eastAsia" w:ascii="宋体" w:hAnsi="宋体" w:eastAsia="宋体" w:cs="宋体"/>
          <w:b/>
          <w:color w:val="auto"/>
          <w:sz w:val="21"/>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eastAsia="宋体" w:cs="宋体"/>
          <w:b/>
          <w:color w:val="auto"/>
          <w:sz w:val="21"/>
          <w:szCs w:val="21"/>
          <w:highlight w:val="none"/>
          <w:lang w:val="zh-CN"/>
        </w:rPr>
        <w:t>。</w:t>
      </w:r>
    </w:p>
    <w:p>
      <w:pPr>
        <w:snapToGrid w:val="0"/>
        <w:spacing w:line="360" w:lineRule="auto"/>
        <w:ind w:left="210" w:hanging="210" w:hangingChars="1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b/>
          <w:color w:val="auto"/>
          <w:sz w:val="21"/>
          <w:szCs w:val="21"/>
          <w:highlight w:val="none"/>
          <w:u w:val="single"/>
          <w:lang w:val="zh-CN"/>
        </w:rPr>
        <w:t>本表内各子项目的投标报价之和应等于报价信封中的投标值。若本表内各子项目的投标报价之和不等于报价信封中的投标值时，以报价信封中的投标值为准，同比例修</w:t>
      </w:r>
      <w:r>
        <w:rPr>
          <w:rFonts w:hint="eastAsia" w:ascii="宋体" w:hAnsi="宋体" w:eastAsia="宋体" w:cs="宋体"/>
          <w:b/>
          <w:color w:val="auto"/>
          <w:sz w:val="21"/>
          <w:szCs w:val="21"/>
          <w:highlight w:val="none"/>
          <w:u w:val="single"/>
        </w:rPr>
        <w:t>正</w:t>
      </w:r>
      <w:r>
        <w:rPr>
          <w:rFonts w:hint="eastAsia" w:ascii="宋体" w:hAnsi="宋体" w:eastAsia="宋体" w:cs="宋体"/>
          <w:b/>
          <w:color w:val="auto"/>
          <w:sz w:val="21"/>
          <w:szCs w:val="21"/>
          <w:highlight w:val="none"/>
          <w:u w:val="single"/>
          <w:lang w:val="zh-CN"/>
        </w:rPr>
        <w:t>表内各子项目的投标报价</w:t>
      </w:r>
      <w:r>
        <w:rPr>
          <w:rFonts w:hint="eastAsia" w:ascii="宋体" w:hAnsi="宋体" w:eastAsia="宋体" w:cs="宋体"/>
          <w:b/>
          <w:color w:val="auto"/>
          <w:sz w:val="21"/>
          <w:szCs w:val="21"/>
          <w:highlight w:val="none"/>
          <w:lang w:val="zh-CN"/>
        </w:rPr>
        <w:t>。</w:t>
      </w:r>
    </w:p>
    <w:p>
      <w:pPr>
        <w:snapToGrid w:val="0"/>
        <w:spacing w:line="360" w:lineRule="auto"/>
        <w:ind w:left="210" w:hanging="210" w:hangingChars="100"/>
        <w:rPr>
          <w:rFonts w:hint="eastAsia" w:ascii="宋体" w:hAnsi="宋体" w:eastAsia="宋体" w:cs="宋体"/>
          <w:b/>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
          <w:color w:val="auto"/>
          <w:sz w:val="21"/>
          <w:szCs w:val="21"/>
          <w:highlight w:val="none"/>
          <w:lang w:val="zh-CN"/>
        </w:rPr>
        <w:t>由投标人使用投标人的企业数字证书，法定代表人数字证书电子签名。</w:t>
      </w:r>
    </w:p>
    <w:p>
      <w:pPr>
        <w:snapToGrid w:val="0"/>
        <w:spacing w:line="360" w:lineRule="auto"/>
        <w:ind w:firstLine="3465" w:firstLineChars="1650"/>
        <w:rPr>
          <w:rFonts w:hint="eastAsia" w:ascii="宋体" w:hAnsi="宋体" w:eastAsia="宋体" w:cs="宋体"/>
          <w:color w:val="auto"/>
          <w:kern w:val="3"/>
          <w:sz w:val="21"/>
          <w:szCs w:val="21"/>
          <w:highlight w:val="none"/>
        </w:rPr>
      </w:pP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投 标 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u w:val="single"/>
        </w:rPr>
        <w:t>（企业数字证书电子签名）</w:t>
      </w: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法定代表人：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rPr>
        <w:t>（电子签名）</w:t>
      </w:r>
    </w:p>
    <w:p>
      <w:pPr>
        <w:snapToGrid w:val="0"/>
        <w:spacing w:line="360" w:lineRule="auto"/>
        <w:ind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widowControl/>
        <w:autoSpaceDE w:val="0"/>
        <w:autoSpaceDN w:val="0"/>
        <w:adjustRightInd w:val="0"/>
        <w:spacing w:line="360" w:lineRule="auto"/>
        <w:jc w:val="center"/>
        <w:rPr>
          <w:rFonts w:hint="eastAsia" w:ascii="宋体" w:hAnsi="宋体" w:eastAsia="宋体" w:cs="Times New Roman"/>
          <w:b/>
          <w:bCs/>
          <w:color w:val="auto"/>
          <w:szCs w:val="24"/>
          <w:highlight w:val="none"/>
          <w:lang w:val="zh-CN"/>
        </w:rPr>
      </w:pPr>
    </w:p>
    <w:p>
      <w:pPr>
        <w:pStyle w:val="19"/>
        <w:rPr>
          <w:rFonts w:hint="eastAsia"/>
          <w:color w:val="auto"/>
          <w:highlight w:val="none"/>
        </w:rPr>
      </w:pPr>
    </w:p>
    <w:p>
      <w:pPr>
        <w:pStyle w:val="23"/>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r>
        <w:rPr>
          <w:rFonts w:hint="eastAsia" w:ascii="宋体" w:hAnsi="宋体" w:eastAsia="宋体" w:cstheme="minorBidi"/>
          <w:b/>
          <w:bCs/>
          <w:color w:val="auto"/>
          <w:kern w:val="2"/>
          <w:sz w:val="24"/>
          <w:szCs w:val="24"/>
          <w:highlight w:val="none"/>
          <w:lang w:val="en-US" w:eastAsia="zh-CN"/>
        </w:rPr>
        <w:t>4.2现状老旧设备更换分项报价明细表</w:t>
      </w:r>
    </w:p>
    <w:p>
      <w:pPr>
        <w:pStyle w:val="23"/>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Cs w:val="21"/>
          <w:highlight w:val="none"/>
          <w:u w:val="single"/>
          <w:lang w:eastAsia="zh-CN"/>
        </w:rPr>
        <w:t>东莞市长安新区污水处理厂原位技术升级设备采购及安装项目</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招标编号：</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p>
      <w:pPr>
        <w:pStyle w:val="23"/>
        <w:snapToGrid w:val="0"/>
        <w:spacing w:line="360" w:lineRule="auto"/>
        <w:ind w:firstLine="6405" w:firstLineChars="30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单位：人民币元</w:t>
      </w:r>
    </w:p>
    <w:tbl>
      <w:tblPr>
        <w:tblStyle w:val="4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1565"/>
        <w:gridCol w:w="3577"/>
        <w:gridCol w:w="762"/>
        <w:gridCol w:w="762"/>
        <w:gridCol w:w="1483"/>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序号</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设备名称</w:t>
            </w:r>
          </w:p>
        </w:tc>
        <w:tc>
          <w:tcPr>
            <w:tcW w:w="17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规格、型号</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单位</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数量</w:t>
            </w:r>
          </w:p>
        </w:tc>
        <w:tc>
          <w:tcPr>
            <w:tcW w:w="7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 w:val="0"/>
                <w:bCs/>
                <w:i w:val="0"/>
                <w:iCs w:val="0"/>
                <w:color w:val="auto"/>
                <w:kern w:val="0"/>
                <w:sz w:val="20"/>
                <w:szCs w:val="20"/>
                <w:highlight w:val="none"/>
                <w:u w:val="none"/>
                <w:lang w:val="en-US" w:eastAsia="zh-CN" w:bidi="ar"/>
              </w:rPr>
              <w:t>单价（不含税）</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 w:val="0"/>
                <w:bCs/>
                <w:i w:val="0"/>
                <w:iCs w:val="0"/>
                <w:color w:val="auto"/>
                <w:kern w:val="0"/>
                <w:sz w:val="20"/>
                <w:szCs w:val="20"/>
                <w:highlight w:val="none"/>
                <w:u w:val="none"/>
                <w:lang w:val="en-US" w:eastAsia="zh-CN" w:bidi="ar"/>
              </w:rPr>
              <w:t>总价（不含税）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17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一</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预处理类设备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内进流细格栅</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渠道宽度1850mm，渠深1550mm，有效水深950mm，b≤5mm，P=1.5kW，单套过流量≥1808m3/h，格栅过栅水损小于0.3m，水下部分SS316L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高排水螺旋压榨机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螺旋外径Φ350，L≈11.5m，P=2.2kW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自冲洗系统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罗茨风机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Q=9.33m³/min，压力45kpa</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链板式刮砂机</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宽1.0m，长37.5m，P=0.375kW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吸砂泵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Q=22m3/h，H-7m，P=1.4kw，电缆长度15米，配套吸砂口锥形管、可移动悬臂起吊架、提升装置、导杆、吊链、耦合装置等。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电动渠道闸门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1850×1800mm，P=2.2kW，SS316L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联通阀圆闸门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H=7.9m，DN1400，P=2.2kW，SS316L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9</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电动调节</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left"/>
              <w:textAlignment w:val="auto"/>
              <w:rPr>
                <w:rFonts w:hint="default" w:ascii="宋体" w:hAnsi="宋体" w:eastAsia="宋体" w:cs="宋体"/>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4000</w:t>
            </w:r>
            <w:r>
              <w:rPr>
                <w:rFonts w:hint="default" w:ascii="Times New Roman" w:hAnsi="Times New Roman" w:eastAsia="宋体" w:cs="Times New Roman"/>
                <w:bCs/>
                <w:i w:val="0"/>
                <w:iCs w:val="0"/>
                <w:color w:val="auto"/>
                <w:kern w:val="2"/>
                <w:sz w:val="20"/>
                <w:szCs w:val="20"/>
                <w:highlight w:val="none"/>
                <w:u w:val="none"/>
                <w:lang w:val="en-US" w:eastAsia="zh-CN" w:bidi="ar"/>
              </w:rPr>
              <w:t>×</w:t>
            </w:r>
            <w:r>
              <w:rPr>
                <w:rFonts w:hint="eastAsia" w:ascii="Times New Roman" w:hAnsi="Times New Roman" w:eastAsia="宋体" w:cs="Times New Roman"/>
                <w:bCs/>
                <w:i w:val="0"/>
                <w:iCs w:val="0"/>
                <w:color w:val="auto"/>
                <w:kern w:val="2"/>
                <w:sz w:val="20"/>
                <w:szCs w:val="20"/>
                <w:highlight w:val="none"/>
                <w:u w:val="none"/>
                <w:lang w:val="en-US" w:eastAsia="zh-CN" w:bidi="ar"/>
              </w:rPr>
              <w:t>1000mm</w:t>
            </w:r>
            <w:r>
              <w:rPr>
                <w:rFonts w:hint="eastAsia" w:ascii="宋体" w:hAnsi="宋体" w:eastAsia="宋体" w:cs="宋体"/>
                <w:bCs/>
                <w:i w:val="0"/>
                <w:iCs w:val="0"/>
                <w:color w:val="auto"/>
                <w:kern w:val="2"/>
                <w:sz w:val="20"/>
                <w:szCs w:val="20"/>
                <w:highlight w:val="none"/>
                <w:u w:val="none"/>
                <w:lang w:val="en-US" w:eastAsia="zh-CN" w:bidi="ar"/>
              </w:rPr>
              <w:t>，P=2.2kw，配套手电两用启闭机，双向止水，SS316L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电动配水</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left"/>
              <w:textAlignment w:val="auto"/>
              <w:rPr>
                <w:rFonts w:hint="default" w:ascii="宋体" w:hAnsi="宋体" w:eastAsia="宋体" w:cs="宋体"/>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lang w:val="en-US" w:eastAsia="zh-CN" w:bidi="ar"/>
              </w:rPr>
              <w:t>3000×500mm</w:t>
            </w:r>
            <w:r>
              <w:rPr>
                <w:rFonts w:hint="eastAsia" w:ascii="宋体" w:hAnsi="宋体" w:eastAsia="宋体" w:cs="宋体"/>
                <w:bCs/>
                <w:i w:val="0"/>
                <w:iCs w:val="0"/>
                <w:color w:val="auto"/>
                <w:kern w:val="2"/>
                <w:sz w:val="20"/>
                <w:szCs w:val="20"/>
                <w:highlight w:val="none"/>
                <w:u w:val="none"/>
                <w:lang w:val="en-US" w:eastAsia="zh-CN" w:bidi="ar"/>
              </w:rPr>
              <w:t>，P=1.5kw，配套手电两用启闭机，双向止水，SS316L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排泥井闸门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D=700</w:t>
            </w:r>
            <w:r>
              <w:rPr>
                <w:rFonts w:hint="eastAsia" w:ascii="宋体" w:hAnsi="宋体" w:eastAsia="宋体" w:cs="宋体"/>
                <w:bCs/>
                <w:i w:val="0"/>
                <w:iCs w:val="0"/>
                <w:color w:val="auto"/>
                <w:kern w:val="2"/>
                <w:sz w:val="20"/>
                <w:szCs w:val="20"/>
                <w:highlight w:val="none"/>
                <w:u w:val="none"/>
                <w:lang w:val="en-US" w:eastAsia="zh-CN" w:bidi="ar"/>
              </w:rPr>
              <w:t>，配套手动启闭机，双向止水，SS316L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集渣斗及撇渣管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含DN300排渣管约6m，及管道配件、支撑架等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二</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提升泵房水泵类设备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潜污泵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Q=1808m3/h，H=23.2m，N≤200kW，cosφ=0.85，变频，附导轨、耦合器、底座等配件，配套控制柜、变频器，要求耐高浓度氯离子，叶轮SS316L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三</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污泥泵及搅拌器设备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潜水搅拌器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4kW≤N≤5.5kW，D≥650mm，配套导轨、起吊装置、控制箱等，SS316L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24</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剩余污泥泵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Q=200m3/h，H=10m，N=11kW，带自耦装置，变频，配套阀门、止回阀、伸缩节、控制柜等，叶轮SS316L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潜水搅拌器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4kW≤N≤5.5kW，D≥650mm，配套导轨、起吊装置、控制箱等，SS316L</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回流污泥泵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Q=1390m</w:t>
            </w:r>
            <w:r>
              <w:rPr>
                <w:rFonts w:hint="eastAsia" w:ascii="宋体" w:hAnsi="宋体" w:eastAsia="宋体" w:cs="宋体"/>
                <w:bCs/>
                <w:i w:val="0"/>
                <w:iCs w:val="0"/>
                <w:color w:val="auto"/>
                <w:kern w:val="2"/>
                <w:sz w:val="20"/>
                <w:szCs w:val="20"/>
                <w:highlight w:val="none"/>
                <w:u w:val="none"/>
                <w:vertAlign w:val="baseline"/>
                <w:lang w:val="en-US" w:eastAsia="zh-CN" w:bidi="ar"/>
              </w:rPr>
              <w:t>3</w:t>
            </w:r>
            <w:r>
              <w:rPr>
                <w:rFonts w:hint="eastAsia" w:ascii="宋体" w:hAnsi="宋体" w:eastAsia="宋体" w:cs="宋体"/>
                <w:bCs/>
                <w:i w:val="0"/>
                <w:iCs w:val="0"/>
                <w:color w:val="auto"/>
                <w:kern w:val="2"/>
                <w:sz w:val="20"/>
                <w:szCs w:val="20"/>
                <w:highlight w:val="none"/>
                <w:u w:val="none"/>
                <w:lang w:val="en-US" w:eastAsia="zh-CN" w:bidi="ar"/>
              </w:rPr>
              <w:t>/h，H=5.5m，N=45KW</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四</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综合池泵类设备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剩余污泥泵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Q=20m3/h，H=20m，P=3.0kW，变频，配套阀门、止回阀、伸缩节、控制柜等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污泥输送泵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Q=32m3/h，H=20m，P=11kW，变频，配套阀门、止回阀、伸缩节、控制柜等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污泥回流泵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Q=120m3/h，H=12m，P=7.5kW，变频，配套阀门、止回阀、伸缩节、控制柜等</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斜管冲洗泵</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Q=15m3/h，H=30m，P=3.0kW，配套控制柜</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五</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综合池搅拌设备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bidi="ar"/>
              </w:rPr>
            </w:pPr>
            <w:r>
              <w:rPr>
                <w:rFonts w:hint="eastAsia" w:ascii="宋体" w:hAnsi="宋体" w:eastAsia="宋体" w:cs="宋体"/>
                <w:bCs/>
                <w:i w:val="0"/>
                <w:iCs w:val="0"/>
                <w:color w:val="auto"/>
                <w:kern w:val="2"/>
                <w:sz w:val="20"/>
                <w:szCs w:val="20"/>
                <w:highlight w:val="none"/>
                <w:u w:val="none"/>
                <w:lang w:val="en-US" w:eastAsia="zh-CN" w:bidi="ar"/>
              </w:rPr>
              <w:t>反应搅拌机A</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DN1550，转速30-60rpm，</w:t>
            </w:r>
            <w:r>
              <w:rPr>
                <w:rFonts w:hint="eastAsia" w:ascii="宋体" w:hAnsi="宋体" w:eastAsia="宋体" w:cs="宋体"/>
                <w:bCs/>
                <w:i w:val="0"/>
                <w:iCs w:val="0"/>
                <w:color w:val="auto"/>
                <w:kern w:val="2"/>
                <w:sz w:val="20"/>
                <w:szCs w:val="20"/>
                <w:highlight w:val="none"/>
                <w:u w:val="none"/>
                <w:lang w:val="en-US" w:eastAsia="zh-CN" w:bidi="ar"/>
              </w:rPr>
              <w:t>P=2.2kW，变频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bidi="ar"/>
              </w:rPr>
            </w:pPr>
            <w:r>
              <w:rPr>
                <w:rFonts w:hint="eastAsia" w:ascii="宋体" w:hAnsi="宋体" w:eastAsia="宋体" w:cs="宋体"/>
                <w:bCs/>
                <w:i w:val="0"/>
                <w:iCs w:val="0"/>
                <w:color w:val="auto"/>
                <w:kern w:val="2"/>
                <w:sz w:val="20"/>
                <w:szCs w:val="20"/>
                <w:highlight w:val="none"/>
                <w:u w:val="none"/>
                <w:lang w:val="en-US" w:eastAsia="zh-CN" w:bidi="ar"/>
              </w:rPr>
              <w:t>反应搅拌机B</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DN2000，转速20-50rpm，</w:t>
            </w:r>
            <w:r>
              <w:rPr>
                <w:rFonts w:hint="eastAsia" w:ascii="宋体" w:hAnsi="宋体" w:eastAsia="宋体" w:cs="宋体"/>
                <w:bCs/>
                <w:i w:val="0"/>
                <w:iCs w:val="0"/>
                <w:color w:val="auto"/>
                <w:kern w:val="2"/>
                <w:sz w:val="20"/>
                <w:szCs w:val="20"/>
                <w:highlight w:val="none"/>
                <w:u w:val="none"/>
                <w:lang w:val="en-US" w:eastAsia="zh-CN" w:bidi="ar"/>
              </w:rPr>
              <w:t>P=3.0kW，变频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bidi="ar"/>
              </w:rPr>
            </w:pPr>
            <w:r>
              <w:rPr>
                <w:rFonts w:hint="eastAsia" w:ascii="宋体" w:hAnsi="宋体" w:eastAsia="宋体" w:cs="宋体"/>
                <w:bCs/>
                <w:i w:val="0"/>
                <w:iCs w:val="0"/>
                <w:color w:val="auto"/>
                <w:kern w:val="2"/>
                <w:sz w:val="20"/>
                <w:szCs w:val="20"/>
                <w:highlight w:val="none"/>
                <w:u w:val="none"/>
                <w:lang w:val="en-US" w:eastAsia="zh-CN" w:bidi="ar"/>
              </w:rPr>
              <w:t>反应搅拌机C</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DN3300，转速20-40rpm，</w:t>
            </w:r>
            <w:r>
              <w:rPr>
                <w:rFonts w:hint="eastAsia" w:ascii="宋体" w:hAnsi="宋体" w:eastAsia="宋体" w:cs="宋体"/>
                <w:bCs/>
                <w:i w:val="0"/>
                <w:iCs w:val="0"/>
                <w:color w:val="auto"/>
                <w:kern w:val="2"/>
                <w:sz w:val="20"/>
                <w:szCs w:val="20"/>
                <w:highlight w:val="none"/>
                <w:u w:val="none"/>
                <w:lang w:val="en-US" w:eastAsia="zh-CN" w:bidi="ar"/>
              </w:rPr>
              <w:t>P=5.5kW，变频</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六</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仪表设备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超声波液位差计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变送器+传感器；0～20m，IP68；4～20mA，四线制，配套304不锈钢仪表箱及相关附件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超声波液位差计</w:t>
            </w:r>
          </w:p>
        </w:tc>
        <w:tc>
          <w:tcPr>
            <w:tcW w:w="17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变送器+传感器；0～5m，IP68；4～20mA，四线制，配套304不锈钢仪表箱及相关附件</w:t>
            </w:r>
          </w:p>
        </w:tc>
        <w:tc>
          <w:tcPr>
            <w:tcW w:w="36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6</w:t>
            </w:r>
          </w:p>
        </w:tc>
        <w:tc>
          <w:tcPr>
            <w:tcW w:w="7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17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36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ORP仪表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ORP差分电极，含控制器，-1500~1500mV，4~20mA，RS485，IP68，配套304不锈钢仪表箱及相关附件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DO仪表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含控制器，0～20mg/L，4~20mA，RS485，IP68，配套304不锈钢仪表箱及相关附件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5</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MLSS仪表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传感器：0~20g/l，IP68；变送器：4～20mA，220VAC，IP65，配套304不锈钢仪表箱及相关附件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6</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超声波液位计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变送器+传感器，0～8m，IP68；4～20mA，四线制，配套304不锈钢仪表箱及相关附件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MLSS仪表</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传感器：0~50g/l，IP68；变送器：4～20mA，220VAC，IP65，配套304不锈钢仪表箱及相关附件</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8</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渠道流量计</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非接触式，速度面积法:分体式:传感器:由液位传感器+速度传感器组成,IP68:变送器:4~20mA,220VAC,IP65,配套304不锈钢仪表箱</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七</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其他设备设施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不锈钢</w:t>
            </w:r>
            <w:r>
              <w:rPr>
                <w:rFonts w:hint="eastAsia" w:ascii="宋体" w:hAnsi="宋体" w:eastAsia="宋体" w:cs="宋体"/>
                <w:bCs/>
                <w:i w:val="0"/>
                <w:iCs w:val="0"/>
                <w:color w:val="auto"/>
                <w:kern w:val="2"/>
                <w:sz w:val="20"/>
                <w:szCs w:val="20"/>
                <w:highlight w:val="none"/>
                <w:u w:val="none"/>
                <w:lang w:val="en-US" w:eastAsia="zh-CN" w:bidi="ar"/>
              </w:rPr>
              <w:t>集水槽</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bidi="ar"/>
              </w:rPr>
            </w:pPr>
            <w:r>
              <w:rPr>
                <w:rFonts w:hint="eastAsia" w:ascii="宋体" w:hAnsi="宋体" w:eastAsia="宋体" w:cs="宋体"/>
                <w:bCs/>
                <w:i w:val="0"/>
                <w:iCs w:val="0"/>
                <w:color w:val="auto"/>
                <w:kern w:val="2"/>
                <w:sz w:val="20"/>
                <w:szCs w:val="20"/>
                <w:highlight w:val="none"/>
                <w:u w:val="none"/>
                <w:lang w:val="en-US" w:eastAsia="zh-CN" w:bidi="ar"/>
              </w:rPr>
              <w:t>5100×300×300mm，厚5mm,304不锈钢</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48</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不锈钢可调出水堰板</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5100</w:t>
            </w:r>
            <w:r>
              <w:rPr>
                <w:rFonts w:hint="default" w:ascii="Times New Roman" w:hAnsi="Times New Roman" w:eastAsia="宋体" w:cs="Times New Roman"/>
                <w:bCs/>
                <w:i w:val="0"/>
                <w:iCs w:val="0"/>
                <w:color w:val="auto"/>
                <w:kern w:val="2"/>
                <w:sz w:val="20"/>
                <w:szCs w:val="20"/>
                <w:highlight w:val="none"/>
                <w:u w:val="none"/>
                <w:lang w:val="en-US" w:eastAsia="zh-CN" w:bidi="ar"/>
              </w:rPr>
              <w:t>×</w:t>
            </w:r>
            <w:r>
              <w:rPr>
                <w:rFonts w:hint="eastAsia" w:ascii="Times New Roman" w:hAnsi="Times New Roman" w:eastAsia="宋体" w:cs="Times New Roman"/>
                <w:bCs/>
                <w:i w:val="0"/>
                <w:iCs w:val="0"/>
                <w:color w:val="auto"/>
                <w:kern w:val="2"/>
                <w:sz w:val="20"/>
                <w:szCs w:val="20"/>
                <w:highlight w:val="none"/>
                <w:u w:val="none"/>
                <w:lang w:val="en-US" w:eastAsia="zh-CN" w:bidi="ar"/>
              </w:rPr>
              <w:t>200mm，厚4mm，附30mm调整孔、螺栓等附件</w:t>
            </w:r>
            <w:r>
              <w:rPr>
                <w:rFonts w:hint="eastAsia" w:ascii="宋体" w:hAnsi="宋体" w:eastAsia="宋体" w:cs="宋体"/>
                <w:bCs/>
                <w:i w:val="0"/>
                <w:iCs w:val="0"/>
                <w:color w:val="auto"/>
                <w:kern w:val="2"/>
                <w:sz w:val="20"/>
                <w:szCs w:val="20"/>
                <w:highlight w:val="none"/>
                <w:u w:val="none"/>
                <w:lang w:val="en-US" w:eastAsia="zh-CN" w:bidi="ar"/>
              </w:rPr>
              <w:t>,304不锈钢</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bCs/>
                <w:i w:val="0"/>
                <w:iCs w:val="0"/>
                <w:color w:val="auto"/>
                <w:kern w:val="2"/>
                <w:sz w:val="20"/>
                <w:szCs w:val="20"/>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96</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八</w:t>
            </w:r>
          </w:p>
        </w:tc>
        <w:tc>
          <w:tcPr>
            <w:tcW w:w="4687"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71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244"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val="en-US" w:eastAsia="zh-CN" w:bidi="ar"/>
              </w:rPr>
            </w:pPr>
            <w:r>
              <w:rPr>
                <w:rFonts w:hint="eastAsia" w:ascii="宋体" w:hAnsi="宋体" w:eastAsia="宋体" w:cs="宋体"/>
                <w:bCs/>
                <w:i w:val="0"/>
                <w:iCs w:val="0"/>
                <w:color w:val="auto"/>
                <w:sz w:val="20"/>
                <w:szCs w:val="20"/>
                <w:highlight w:val="none"/>
                <w:u w:val="none"/>
                <w:lang w:val="en-US" w:eastAsia="zh-CN" w:bidi="ar"/>
              </w:rPr>
              <w:t>合计</w:t>
            </w:r>
          </w:p>
        </w:tc>
        <w:tc>
          <w:tcPr>
            <w:tcW w:w="75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p>
        </w:tc>
      </w:tr>
    </w:tbl>
    <w:p>
      <w:pPr>
        <w:tabs>
          <w:tab w:val="left" w:pos="567"/>
        </w:tabs>
        <w:snapToGrid w:val="0"/>
        <w:spacing w:line="36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1.此表乃分项报价</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的明细表，投标人应根据子项目招标范围内分项内容的数量扩展报价表；</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子项目</w:t>
      </w:r>
      <w:r>
        <w:rPr>
          <w:rFonts w:hint="eastAsia" w:ascii="宋体" w:hAnsi="宋体" w:eastAsia="宋体" w:cs="宋体"/>
          <w:color w:val="auto"/>
          <w:sz w:val="21"/>
          <w:szCs w:val="21"/>
          <w:highlight w:val="none"/>
          <w:lang w:val="en-US" w:eastAsia="zh-CN"/>
        </w:rPr>
        <w:t>一个</w:t>
      </w:r>
      <w:r>
        <w:rPr>
          <w:rFonts w:hint="eastAsia" w:ascii="宋体" w:hAnsi="宋体" w:eastAsia="宋体" w:cs="宋体"/>
          <w:color w:val="auto"/>
          <w:sz w:val="21"/>
          <w:szCs w:val="21"/>
          <w:highlight w:val="none"/>
        </w:rPr>
        <w:t>分项</w:t>
      </w:r>
      <w:r>
        <w:rPr>
          <w:rFonts w:hint="eastAsia" w:ascii="宋体" w:hAnsi="宋体" w:eastAsia="宋体" w:cs="宋体"/>
          <w:color w:val="auto"/>
          <w:sz w:val="21"/>
          <w:szCs w:val="21"/>
          <w:highlight w:val="none"/>
          <w:lang w:val="en-US" w:eastAsia="zh-CN"/>
        </w:rPr>
        <w:t>清单包含多种设备或服务的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每一种设备或服务</w:t>
      </w:r>
      <w:r>
        <w:rPr>
          <w:rFonts w:hint="eastAsia" w:ascii="宋体" w:hAnsi="宋体" w:eastAsia="宋体" w:cs="宋体"/>
          <w:color w:val="auto"/>
          <w:sz w:val="21"/>
          <w:szCs w:val="21"/>
          <w:highlight w:val="none"/>
        </w:rPr>
        <w:t>单独列表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细</w:t>
      </w:r>
      <w:r>
        <w:rPr>
          <w:rFonts w:hint="eastAsia" w:ascii="宋体" w:hAnsi="宋体" w:eastAsia="宋体" w:cs="宋体"/>
          <w:color w:val="auto"/>
          <w:sz w:val="21"/>
          <w:szCs w:val="21"/>
          <w:highlight w:val="none"/>
          <w:lang w:eastAsia="zh-CN"/>
        </w:rPr>
        <w:t>化</w:t>
      </w:r>
      <w:r>
        <w:rPr>
          <w:rFonts w:hint="eastAsia" w:ascii="宋体" w:hAnsi="宋体" w:eastAsia="宋体" w:cs="宋体"/>
          <w:color w:val="auto"/>
          <w:sz w:val="21"/>
          <w:szCs w:val="21"/>
          <w:highlight w:val="none"/>
          <w:lang w:val="en-US" w:eastAsia="zh-CN"/>
        </w:rPr>
        <w:t>拓展</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使用在本项目的每一种设备或服务应均能体现报价</w:t>
      </w:r>
      <w:r>
        <w:rPr>
          <w:rFonts w:hint="eastAsia" w:ascii="宋体" w:hAnsi="宋体" w:eastAsia="宋体" w:cs="宋体"/>
          <w:color w:val="auto"/>
          <w:sz w:val="21"/>
          <w:szCs w:val="21"/>
          <w:highlight w:val="none"/>
        </w:rPr>
        <w:t>。</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2.投标人应列明按“用户需求书”所要求的该子项目招标范围内全部货物（含软件）及其服务的价格明细。投标人未填单价或合价或漏量或漏项的项目，在实施后，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将不予以支付，并视为该项费用已包括在其他有价款的单价或合价内。</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不再另行支付费用。</w:t>
      </w:r>
      <w:r>
        <w:rPr>
          <w:rFonts w:hint="eastAsia" w:ascii="宋体" w:hAnsi="宋体" w:eastAsia="宋体" w:cs="宋体"/>
          <w:color w:val="auto"/>
          <w:sz w:val="21"/>
          <w:szCs w:val="21"/>
          <w:highlight w:val="none"/>
        </w:rPr>
        <w:t xml:space="preserve"> </w:t>
      </w:r>
    </w:p>
    <w:p>
      <w:pPr>
        <w:snapToGrid w:val="0"/>
        <w:spacing w:line="360" w:lineRule="auto"/>
        <w:ind w:left="210" w:hanging="210" w:hangingChars="1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b/>
          <w:color w:val="auto"/>
          <w:sz w:val="21"/>
          <w:szCs w:val="21"/>
          <w:highlight w:val="none"/>
          <w:u w:val="single"/>
          <w:lang w:val="zh-CN"/>
        </w:rPr>
        <w:t>本</w:t>
      </w:r>
      <w:r>
        <w:rPr>
          <w:rFonts w:hint="eastAsia" w:ascii="宋体" w:hAnsi="宋体" w:eastAsia="宋体" w:cs="宋体"/>
          <w:b/>
          <w:color w:val="auto"/>
          <w:sz w:val="21"/>
          <w:szCs w:val="21"/>
          <w:highlight w:val="none"/>
          <w:u w:val="single"/>
        </w:rPr>
        <w:t>分项报价明细表内的“</w:t>
      </w:r>
      <w:r>
        <w:rPr>
          <w:rFonts w:hint="eastAsia" w:ascii="宋体" w:hAnsi="宋体" w:eastAsia="宋体" w:cs="宋体"/>
          <w:b/>
          <w:color w:val="auto"/>
          <w:sz w:val="21"/>
          <w:szCs w:val="21"/>
          <w:highlight w:val="none"/>
          <w:u w:val="single"/>
          <w:lang w:val="zh-CN"/>
        </w:rPr>
        <w:t>合计”金额应与分项报价表内对应子项目的投标报价金额一致，若两者不一致时，以分项报价表内对应子项目的投标报价为准，并参照第</w:t>
      </w:r>
      <w:r>
        <w:rPr>
          <w:rFonts w:hint="eastAsia" w:ascii="宋体" w:hAnsi="宋体" w:eastAsia="宋体" w:cs="宋体"/>
          <w:b/>
          <w:color w:val="auto"/>
          <w:sz w:val="21"/>
          <w:szCs w:val="21"/>
          <w:highlight w:val="none"/>
          <w:u w:val="single"/>
          <w:lang w:val="en-US" w:eastAsia="zh-CN"/>
        </w:rPr>
        <w:t xml:space="preserve">二篇 </w:t>
      </w:r>
      <w:r>
        <w:rPr>
          <w:rFonts w:hint="eastAsia" w:ascii="宋体" w:hAnsi="宋体" w:eastAsia="宋体" w:cs="宋体"/>
          <w:b/>
          <w:color w:val="auto"/>
          <w:sz w:val="21"/>
          <w:szCs w:val="21"/>
          <w:highlight w:val="none"/>
          <w:u w:val="single"/>
          <w:lang w:val="zh-CN"/>
        </w:rPr>
        <w:t>投标</w:t>
      </w:r>
      <w:r>
        <w:rPr>
          <w:rFonts w:hint="eastAsia" w:ascii="宋体" w:hAnsi="宋体" w:eastAsia="宋体" w:cs="宋体"/>
          <w:b/>
          <w:color w:val="auto"/>
          <w:sz w:val="21"/>
          <w:szCs w:val="21"/>
          <w:highlight w:val="none"/>
          <w:u w:val="single"/>
          <w:lang w:val="en-US" w:eastAsia="zh-CN"/>
        </w:rPr>
        <w:t>人</w:t>
      </w:r>
      <w:r>
        <w:rPr>
          <w:rFonts w:hint="eastAsia" w:ascii="宋体" w:hAnsi="宋体" w:eastAsia="宋体" w:cs="宋体"/>
          <w:b/>
          <w:color w:val="auto"/>
          <w:sz w:val="21"/>
          <w:szCs w:val="21"/>
          <w:highlight w:val="none"/>
          <w:u w:val="single"/>
          <w:lang w:val="zh-CN"/>
        </w:rPr>
        <w:t>须知第3</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lang w:val="zh-CN"/>
        </w:rPr>
        <w:t>.2款修正详细报价</w:t>
      </w:r>
      <w:r>
        <w:rPr>
          <w:rFonts w:hint="eastAsia" w:ascii="宋体" w:hAnsi="宋体" w:eastAsia="宋体" w:cs="宋体"/>
          <w:b/>
          <w:color w:val="auto"/>
          <w:sz w:val="21"/>
          <w:szCs w:val="21"/>
          <w:highlight w:val="none"/>
          <w:lang w:val="zh-CN"/>
        </w:rPr>
        <w:t>。</w:t>
      </w:r>
    </w:p>
    <w:p>
      <w:pPr>
        <w:snapToGrid w:val="0"/>
        <w:spacing w:line="360" w:lineRule="auto"/>
        <w:ind w:left="210" w:hanging="210" w:hanging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5. </w:t>
      </w:r>
      <w:r>
        <w:rPr>
          <w:rFonts w:hint="eastAsia" w:ascii="宋体" w:hAnsi="宋体" w:eastAsia="宋体" w:cs="宋体"/>
          <w:b/>
          <w:bCs/>
          <w:color w:val="auto"/>
          <w:sz w:val="21"/>
          <w:szCs w:val="21"/>
          <w:highlight w:val="none"/>
          <w:lang w:val="zh-CN"/>
        </w:rPr>
        <w:t>由投标人使用投标人的企业数字证书，法定代表人数字证书电子签名。</w:t>
      </w:r>
    </w:p>
    <w:p>
      <w:pPr>
        <w:rPr>
          <w:rFonts w:hint="eastAsia" w:ascii="宋体" w:hAnsi="宋体" w:eastAsia="宋体" w:cs="宋体"/>
          <w:color w:val="auto"/>
          <w:sz w:val="21"/>
          <w:szCs w:val="21"/>
          <w:highlight w:val="none"/>
        </w:rPr>
      </w:pP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投 标 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u w:val="single"/>
        </w:rPr>
        <w:t>（企业数字证书电子签名）</w:t>
      </w: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法定代表人：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rPr>
        <w:t>（电子签名）</w:t>
      </w:r>
    </w:p>
    <w:p>
      <w:pPr>
        <w:snapToGrid w:val="0"/>
        <w:spacing w:line="360" w:lineRule="auto"/>
        <w:ind w:firstLine="3465" w:firstLineChars="1650"/>
        <w:rPr>
          <w:rFonts w:hint="eastAsia"/>
          <w:color w:val="auto"/>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autoSpaceDE/>
        <w:autoSpaceDN/>
        <w:adjustRightInd/>
        <w:spacing w:line="240" w:lineRule="auto"/>
        <w:jc w:val="left"/>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pPr>
        <w:pStyle w:val="23"/>
        <w:snapToGrid w:val="0"/>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theme="minorBidi"/>
          <w:b/>
          <w:bCs/>
          <w:color w:val="auto"/>
          <w:kern w:val="2"/>
          <w:sz w:val="24"/>
          <w:szCs w:val="24"/>
          <w:highlight w:val="none"/>
          <w:lang w:val="en-US" w:eastAsia="zh-CN"/>
        </w:rPr>
        <w:t>4.3原位技术成套设备分项报价明细表</w:t>
      </w:r>
    </w:p>
    <w:p>
      <w:pPr>
        <w:pStyle w:val="23"/>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Cs w:val="21"/>
          <w:highlight w:val="none"/>
          <w:u w:val="single"/>
          <w:lang w:eastAsia="zh-CN"/>
        </w:rPr>
        <w:t>东莞市长安新区污水处理厂原位技术升级设备采购及安装项目</w:t>
      </w:r>
    </w:p>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招标编号：</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p>
      <w:pPr>
        <w:pStyle w:val="23"/>
        <w:snapToGrid w:val="0"/>
        <w:spacing w:line="360" w:lineRule="auto"/>
        <w:ind w:firstLine="6405" w:firstLineChars="30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单位：人民币元</w:t>
      </w:r>
    </w:p>
    <w:tbl>
      <w:tblPr>
        <w:tblStyle w:val="4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
        <w:gridCol w:w="1582"/>
        <w:gridCol w:w="3922"/>
        <w:gridCol w:w="825"/>
        <w:gridCol w:w="825"/>
        <w:gridCol w:w="1321"/>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 w:val="0"/>
                <w:bCs/>
                <w:i w:val="0"/>
                <w:iCs w:val="0"/>
                <w:color w:val="auto"/>
                <w:sz w:val="20"/>
                <w:szCs w:val="20"/>
                <w:highlight w:val="none"/>
                <w:u w:val="none"/>
                <w:lang w:bidi="ar"/>
              </w:rPr>
            </w:pPr>
            <w:r>
              <w:rPr>
                <w:rFonts w:hint="eastAsia" w:ascii="宋体" w:hAnsi="宋体" w:eastAsia="宋体" w:cs="宋体"/>
                <w:b w:val="0"/>
                <w:bCs/>
                <w:i w:val="0"/>
                <w:iCs w:val="0"/>
                <w:color w:val="auto"/>
                <w:kern w:val="2"/>
                <w:sz w:val="20"/>
                <w:szCs w:val="20"/>
                <w:highlight w:val="none"/>
                <w:u w:val="none"/>
                <w:lang w:val="en-US" w:eastAsia="zh-CN" w:bidi="ar"/>
              </w:rPr>
              <w:t>序号</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 w:val="0"/>
                <w:bCs/>
                <w:i w:val="0"/>
                <w:iCs w:val="0"/>
                <w:color w:val="auto"/>
                <w:sz w:val="20"/>
                <w:szCs w:val="20"/>
                <w:highlight w:val="none"/>
                <w:u w:val="none"/>
                <w:lang w:bidi="ar"/>
              </w:rPr>
            </w:pPr>
            <w:r>
              <w:rPr>
                <w:rFonts w:hint="eastAsia" w:ascii="宋体" w:hAnsi="宋体" w:eastAsia="宋体" w:cs="宋体"/>
                <w:b w:val="0"/>
                <w:bCs/>
                <w:i w:val="0"/>
                <w:iCs w:val="0"/>
                <w:color w:val="auto"/>
                <w:kern w:val="2"/>
                <w:sz w:val="20"/>
                <w:szCs w:val="20"/>
                <w:highlight w:val="none"/>
                <w:u w:val="none"/>
                <w:lang w:val="en-US" w:eastAsia="zh-CN" w:bidi="ar"/>
              </w:rPr>
              <w:t>设备名称</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 w:val="0"/>
                <w:bCs/>
                <w:i w:val="0"/>
                <w:iCs w:val="0"/>
                <w:color w:val="auto"/>
                <w:sz w:val="20"/>
                <w:szCs w:val="20"/>
                <w:highlight w:val="none"/>
                <w:u w:val="none"/>
                <w:lang w:bidi="ar"/>
              </w:rPr>
            </w:pPr>
            <w:r>
              <w:rPr>
                <w:rFonts w:hint="eastAsia" w:ascii="宋体" w:hAnsi="宋体" w:eastAsia="宋体" w:cs="宋体"/>
                <w:b w:val="0"/>
                <w:bCs/>
                <w:i w:val="0"/>
                <w:iCs w:val="0"/>
                <w:color w:val="auto"/>
                <w:kern w:val="2"/>
                <w:sz w:val="20"/>
                <w:szCs w:val="20"/>
                <w:highlight w:val="none"/>
                <w:u w:val="none"/>
                <w:lang w:val="en-US" w:eastAsia="zh-CN" w:bidi="ar"/>
              </w:rPr>
              <w:t>规格</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 w:val="0"/>
                <w:bCs/>
                <w:i w:val="0"/>
                <w:iCs w:val="0"/>
                <w:color w:val="auto"/>
                <w:sz w:val="20"/>
                <w:szCs w:val="20"/>
                <w:highlight w:val="none"/>
                <w:u w:val="none"/>
                <w:lang w:bidi="ar"/>
              </w:rPr>
            </w:pPr>
            <w:r>
              <w:rPr>
                <w:rFonts w:hint="eastAsia" w:ascii="宋体" w:hAnsi="宋体" w:eastAsia="宋体" w:cs="宋体"/>
                <w:b w:val="0"/>
                <w:bCs/>
                <w:i w:val="0"/>
                <w:iCs w:val="0"/>
                <w:color w:val="auto"/>
                <w:kern w:val="2"/>
                <w:sz w:val="20"/>
                <w:szCs w:val="20"/>
                <w:highlight w:val="none"/>
                <w:u w:val="none"/>
                <w:lang w:val="en-US" w:eastAsia="zh-CN" w:bidi="ar"/>
              </w:rPr>
              <w:t>单位</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 w:val="0"/>
                <w:bCs/>
                <w:i w:val="0"/>
                <w:iCs w:val="0"/>
                <w:color w:val="auto"/>
                <w:sz w:val="20"/>
                <w:szCs w:val="20"/>
                <w:highlight w:val="none"/>
                <w:u w:val="none"/>
                <w:lang w:bidi="ar"/>
              </w:rPr>
            </w:pPr>
            <w:r>
              <w:rPr>
                <w:rFonts w:hint="eastAsia" w:ascii="宋体" w:hAnsi="宋体" w:eastAsia="宋体" w:cs="宋体"/>
                <w:b w:val="0"/>
                <w:bCs/>
                <w:i w:val="0"/>
                <w:iCs w:val="0"/>
                <w:color w:val="auto"/>
                <w:kern w:val="2"/>
                <w:sz w:val="20"/>
                <w:szCs w:val="20"/>
                <w:highlight w:val="none"/>
                <w:u w:val="none"/>
                <w:lang w:val="en-US" w:eastAsia="zh-CN" w:bidi="ar"/>
              </w:rPr>
              <w:t>数量</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 w:val="0"/>
                <w:bCs/>
                <w:i w:val="0"/>
                <w:iCs w:val="0"/>
                <w:color w:val="auto"/>
                <w:kern w:val="2"/>
                <w:sz w:val="20"/>
                <w:szCs w:val="20"/>
                <w:highlight w:val="none"/>
                <w:u w:val="none"/>
                <w:lang w:val="en-US" w:eastAsia="zh-CN" w:bidi="ar"/>
              </w:rPr>
            </w:pPr>
            <w:r>
              <w:rPr>
                <w:rFonts w:hint="eastAsia" w:ascii="宋体" w:hAnsi="宋体" w:eastAsia="宋体" w:cs="宋体"/>
                <w:b w:val="0"/>
                <w:bCs/>
                <w:i w:val="0"/>
                <w:iCs w:val="0"/>
                <w:color w:val="auto"/>
                <w:kern w:val="0"/>
                <w:sz w:val="20"/>
                <w:szCs w:val="20"/>
                <w:highlight w:val="none"/>
                <w:u w:val="none"/>
                <w:lang w:val="en-US" w:eastAsia="zh-CN" w:bidi="ar"/>
              </w:rPr>
              <w:t>单价（不含税）</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宋体" w:hAnsi="宋体" w:eastAsia="宋体" w:cs="宋体"/>
                <w:b w:val="0"/>
                <w:bCs/>
                <w:i w:val="0"/>
                <w:iCs w:val="0"/>
                <w:color w:val="auto"/>
                <w:kern w:val="2"/>
                <w:sz w:val="20"/>
                <w:szCs w:val="20"/>
                <w:highlight w:val="none"/>
                <w:u w:val="none"/>
                <w:lang w:val="en-US" w:eastAsia="zh-CN" w:bidi="ar"/>
              </w:rPr>
            </w:pPr>
            <w:r>
              <w:rPr>
                <w:rFonts w:hint="eastAsia" w:ascii="宋体" w:hAnsi="宋体" w:eastAsia="宋体" w:cs="宋体"/>
                <w:b w:val="0"/>
                <w:bCs/>
                <w:i w:val="0"/>
                <w:iCs w:val="0"/>
                <w:color w:val="auto"/>
                <w:kern w:val="0"/>
                <w:sz w:val="20"/>
                <w:szCs w:val="20"/>
                <w:highlight w:val="none"/>
                <w:u w:val="none"/>
                <w:lang w:val="en-US" w:eastAsia="zh-CN" w:bidi="ar"/>
              </w:rPr>
              <w:t>总价（不含税）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载体投加、筛分回收系统</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系统</w:t>
            </w:r>
            <w:r>
              <w:rPr>
                <w:rFonts w:hint="eastAsia" w:ascii="宋体" w:hAnsi="宋体" w:eastAsia="宋体" w:cs="宋体"/>
                <w:bCs/>
                <w:i w:val="0"/>
                <w:iCs w:val="0"/>
                <w:color w:val="auto"/>
                <w:kern w:val="2"/>
                <w:sz w:val="20"/>
                <w:szCs w:val="20"/>
                <w:highlight w:val="none"/>
                <w:u w:val="none"/>
                <w:lang w:val="en-US" w:eastAsia="zh" w:bidi="ar"/>
              </w:rPr>
              <w:t>含</w:t>
            </w:r>
            <w:r>
              <w:rPr>
                <w:rFonts w:hint="eastAsia" w:ascii="宋体" w:hAnsi="宋体" w:eastAsia="宋体" w:cs="宋体"/>
                <w:bCs/>
                <w:i w:val="0"/>
                <w:iCs w:val="0"/>
                <w:color w:val="auto"/>
                <w:kern w:val="2"/>
                <w:sz w:val="20"/>
                <w:szCs w:val="20"/>
                <w:highlight w:val="none"/>
                <w:u w:val="none"/>
                <w:lang w:val="en-US" w:eastAsia="zh-CN" w:bidi="ar"/>
              </w:rPr>
              <w:t>载体</w:t>
            </w:r>
            <w:r>
              <w:rPr>
                <w:rFonts w:hint="eastAsia" w:ascii="宋体" w:hAnsi="宋体" w:eastAsia="宋体" w:cs="宋体"/>
                <w:bCs/>
                <w:i w:val="0"/>
                <w:iCs w:val="0"/>
                <w:color w:val="auto"/>
                <w:kern w:val="2"/>
                <w:sz w:val="20"/>
                <w:szCs w:val="20"/>
                <w:highlight w:val="none"/>
                <w:u w:val="none"/>
                <w:lang w:val="en-US" w:eastAsia="zh" w:bidi="ar"/>
              </w:rPr>
              <w:t>且具备</w:t>
            </w:r>
            <w:r>
              <w:rPr>
                <w:rFonts w:hint="eastAsia" w:ascii="宋体" w:hAnsi="宋体" w:eastAsia="宋体" w:cs="宋体"/>
                <w:bCs/>
                <w:i w:val="0"/>
                <w:iCs w:val="0"/>
                <w:color w:val="auto"/>
                <w:kern w:val="2"/>
                <w:sz w:val="20"/>
                <w:szCs w:val="20"/>
                <w:highlight w:val="none"/>
                <w:u w:val="none"/>
                <w:lang w:val="en-US" w:eastAsia="zh-CN" w:bidi="ar"/>
              </w:rPr>
              <w:t>投加、筛分回收功能，成套设备，子系统应</w:t>
            </w:r>
            <w:r>
              <w:rPr>
                <w:rFonts w:hint="eastAsia" w:ascii="宋体" w:hAnsi="宋体" w:eastAsia="宋体" w:cs="宋体"/>
                <w:bCs/>
                <w:i w:val="0"/>
                <w:iCs w:val="0"/>
                <w:color w:val="auto"/>
                <w:kern w:val="2"/>
                <w:sz w:val="20"/>
                <w:szCs w:val="20"/>
                <w:highlight w:val="none"/>
                <w:u w:val="none"/>
                <w:lang w:val="en-US" w:eastAsia="zh" w:bidi="ar"/>
              </w:rPr>
              <w:t>包含</w:t>
            </w:r>
            <w:r>
              <w:rPr>
                <w:rFonts w:hint="eastAsia" w:ascii="宋体" w:hAnsi="宋体" w:eastAsia="宋体" w:cs="宋体"/>
                <w:bCs/>
                <w:i w:val="0"/>
                <w:iCs w:val="0"/>
                <w:color w:val="auto"/>
                <w:kern w:val="2"/>
                <w:sz w:val="20"/>
                <w:szCs w:val="20"/>
                <w:highlight w:val="none"/>
                <w:u w:val="none"/>
                <w:lang w:val="en-US" w:eastAsia="zh-CN" w:bidi="ar"/>
              </w:rPr>
              <w:t>粉末载体、投加系统（不限于上料、配药、搅拌等装置）、预处理区域（配套冲洗系统）、调节系统、载体筛分装置、进料装置、回收装置、剩余污泥系统（如有）配套阀门管道</w:t>
            </w:r>
            <w:r>
              <w:rPr>
                <w:rFonts w:hint="eastAsia" w:ascii="宋体" w:hAnsi="宋体" w:eastAsia="宋体" w:cs="宋体"/>
                <w:bCs/>
                <w:i w:val="0"/>
                <w:iCs w:val="0"/>
                <w:kern w:val="2"/>
                <w:sz w:val="20"/>
                <w:szCs w:val="20"/>
                <w:lang w:val="en-US" w:eastAsia="zh-CN" w:bidi="ar"/>
              </w:rPr>
              <w:t>及电气自控系统</w:t>
            </w:r>
            <w:r>
              <w:rPr>
                <w:rFonts w:hint="eastAsia" w:ascii="宋体" w:hAnsi="宋体" w:eastAsia="宋体" w:cs="宋体"/>
                <w:bCs/>
                <w:i w:val="0"/>
                <w:iCs w:val="0"/>
                <w:color w:val="auto"/>
                <w:kern w:val="2"/>
                <w:sz w:val="20"/>
                <w:szCs w:val="20"/>
                <w:highlight w:val="none"/>
                <w:u w:val="none"/>
                <w:lang w:val="en-US" w:eastAsia="zh-CN" w:bidi="ar"/>
              </w:rPr>
              <w:t>等</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2.1</w:t>
            </w:r>
          </w:p>
        </w:tc>
        <w:tc>
          <w:tcPr>
            <w:tcW w:w="7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bCs/>
                <w:i w:val="0"/>
                <w:iCs w:val="0"/>
                <w:color w:val="auto"/>
                <w:kern w:val="2"/>
                <w:sz w:val="20"/>
                <w:szCs w:val="20"/>
                <w:highlight w:val="none"/>
                <w:u w:val="none"/>
                <w:lang w:val="en-US" w:eastAsia="zh-CN" w:bidi="ar"/>
              </w:rPr>
              <w:t>系统</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含精确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bCs/>
                <w:i w:val="0"/>
                <w:iCs w:val="0"/>
                <w:color w:val="auto"/>
                <w:kern w:val="2"/>
                <w:sz w:val="20"/>
                <w:szCs w:val="20"/>
                <w:highlight w:val="none"/>
                <w:u w:val="none"/>
                <w:lang w:val="en-US" w:eastAsia="zh-CN" w:bidi="ar"/>
              </w:rPr>
              <w:t>PLC柜、精确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bCs/>
                <w:i w:val="0"/>
                <w:iCs w:val="0"/>
                <w:color w:val="auto"/>
                <w:kern w:val="2"/>
                <w:sz w:val="20"/>
                <w:szCs w:val="20"/>
                <w:highlight w:val="none"/>
                <w:u w:val="none"/>
                <w:lang w:val="en-US" w:eastAsia="zh-CN" w:bidi="ar"/>
              </w:rPr>
              <w:t>系统软件、精确</w:t>
            </w:r>
            <w:r>
              <w:rPr>
                <w:rFonts w:hint="eastAsia" w:ascii="Times New Roman" w:hAnsi="Times New Roman" w:eastAsia="宋体" w:cs="Times New Roman"/>
                <w:bCs/>
                <w:i w:val="0"/>
                <w:iCs w:val="0"/>
                <w:color w:val="auto"/>
                <w:kern w:val="2"/>
                <w:sz w:val="20"/>
                <w:szCs w:val="20"/>
                <w:highlight w:val="none"/>
                <w:u w:val="none"/>
                <w:lang w:val="en-US" w:eastAsia="zh-CN" w:bidi="ar"/>
              </w:rPr>
              <w:t>加药</w:t>
            </w:r>
            <w:r>
              <w:rPr>
                <w:rFonts w:hint="eastAsia" w:ascii="宋体" w:hAnsi="宋体" w:eastAsia="宋体" w:cs="宋体"/>
                <w:bCs/>
                <w:i w:val="0"/>
                <w:iCs w:val="0"/>
                <w:color w:val="auto"/>
                <w:kern w:val="2"/>
                <w:sz w:val="20"/>
                <w:szCs w:val="20"/>
                <w:highlight w:val="none"/>
                <w:u w:val="none"/>
                <w:lang w:val="en-US" w:eastAsia="zh-CN" w:bidi="ar"/>
              </w:rPr>
              <w:t>相关检测仪表；含</w:t>
            </w:r>
            <w:r>
              <w:rPr>
                <w:rFonts w:hint="default" w:ascii="Times New Roman" w:hAnsi="Times New Roman" w:eastAsia="宋体" w:cs="Times New Roman"/>
                <w:bCs/>
                <w:i w:val="0"/>
                <w:iCs w:val="0"/>
                <w:color w:val="auto"/>
                <w:kern w:val="2"/>
                <w:sz w:val="20"/>
                <w:szCs w:val="20"/>
                <w:highlight w:val="none"/>
                <w:u w:val="none"/>
                <w:lang w:val="en-US" w:eastAsia="zh-CN" w:bidi="ar"/>
              </w:rPr>
              <w:t>投加</w:t>
            </w:r>
            <w:r>
              <w:rPr>
                <w:rFonts w:hint="eastAsia" w:ascii="宋体" w:hAnsi="宋体" w:eastAsia="宋体" w:cs="宋体"/>
                <w:bCs/>
                <w:i w:val="0"/>
                <w:iCs w:val="0"/>
                <w:color w:val="auto"/>
                <w:kern w:val="2"/>
                <w:sz w:val="20"/>
                <w:szCs w:val="20"/>
                <w:highlight w:val="none"/>
                <w:u w:val="none"/>
                <w:lang w:val="en-US" w:eastAsia="zh-CN" w:bidi="ar"/>
              </w:rPr>
              <w:t>量精确计算模块、</w:t>
            </w:r>
            <w:r>
              <w:rPr>
                <w:rFonts w:hint="eastAsia" w:ascii="宋体" w:hAnsi="宋体" w:eastAsia="宋体" w:cs="宋体"/>
                <w:bCs/>
                <w:i w:val="0"/>
                <w:iCs w:val="0"/>
                <w:color w:val="auto"/>
                <w:kern w:val="2"/>
                <w:sz w:val="20"/>
                <w:szCs w:val="20"/>
                <w:highlight w:val="none"/>
                <w:u w:val="none"/>
                <w:lang w:val="en-US" w:eastAsia="zh" w:bidi="ar"/>
              </w:rPr>
              <w:t>投加</w:t>
            </w:r>
            <w:r>
              <w:rPr>
                <w:rFonts w:hint="eastAsia" w:ascii="宋体" w:hAnsi="宋体" w:eastAsia="宋体" w:cs="宋体"/>
                <w:bCs/>
                <w:i w:val="0"/>
                <w:iCs w:val="0"/>
                <w:color w:val="auto"/>
                <w:kern w:val="2"/>
                <w:sz w:val="20"/>
                <w:szCs w:val="20"/>
                <w:highlight w:val="none"/>
                <w:u w:val="none"/>
                <w:lang w:val="en-US" w:eastAsia="zh-CN" w:bidi="ar"/>
              </w:rPr>
              <w:t>流量反馈控制系统模块等</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2.2</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firstLine="0" w:firstLineChars="0"/>
              <w:jc w:val="center"/>
              <w:textAlignment w:val="auto"/>
              <w:rPr>
                <w:rFonts w:hint="default" w:ascii="宋体" w:hAnsi="宋体" w:eastAsia="宋体" w:cs="宋体"/>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lang w:val="en-US" w:eastAsia="zh-CN" w:bidi="ar"/>
              </w:rPr>
              <w:t>PAC</w:t>
            </w:r>
            <w:r>
              <w:rPr>
                <w:rFonts w:hint="eastAsia" w:ascii="宋体" w:hAnsi="宋体" w:eastAsia="宋体" w:cs="宋体"/>
                <w:bCs/>
                <w:i w:val="0"/>
                <w:iCs w:val="0"/>
                <w:color w:val="auto"/>
                <w:kern w:val="2"/>
                <w:sz w:val="20"/>
                <w:szCs w:val="20"/>
                <w:highlight w:val="none"/>
                <w:lang w:val="en-US" w:eastAsia="zh-CN" w:bidi="ar"/>
              </w:rPr>
              <w:t>药剂储罐</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lang w:val="en-US" w:eastAsia="zh-CN" w:bidi="ar"/>
              </w:rPr>
              <w:t>V=20m3</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N=2.2kW</w:t>
            </w:r>
            <w:r>
              <w:rPr>
                <w:rFonts w:hint="eastAsia" w:ascii="宋体" w:hAnsi="宋体" w:eastAsia="宋体" w:cs="宋体"/>
                <w:bCs/>
                <w:i w:val="0"/>
                <w:iCs w:val="0"/>
                <w:color w:val="auto"/>
                <w:kern w:val="2"/>
                <w:sz w:val="20"/>
                <w:szCs w:val="20"/>
                <w:highlight w:val="none"/>
                <w:lang w:val="en-US" w:eastAsia="zh-CN" w:bidi="ar"/>
              </w:rPr>
              <w:t>，耐腐蚀，配套超声波液位计、爬梯等</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 w:bidi="ar"/>
              </w:rPr>
              <w:t>2</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2.3</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right="0" w:firstLine="0" w:firstLineChars="0"/>
              <w:jc w:val="center"/>
              <w:textAlignment w:val="auto"/>
              <w:rPr>
                <w:rFonts w:hint="default" w:ascii="宋体" w:hAnsi="宋体" w:eastAsia="宋体" w:cs="宋体"/>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lang w:val="en-US" w:eastAsia="zh-CN" w:bidi="ar"/>
              </w:rPr>
              <w:t>PAC</w:t>
            </w:r>
            <w:r>
              <w:rPr>
                <w:rFonts w:hint="eastAsia" w:ascii="宋体" w:hAnsi="宋体" w:eastAsia="宋体" w:cs="宋体"/>
                <w:bCs/>
                <w:i w:val="0"/>
                <w:iCs w:val="0"/>
                <w:color w:val="auto"/>
                <w:kern w:val="2"/>
                <w:sz w:val="20"/>
                <w:szCs w:val="20"/>
                <w:highlight w:val="none"/>
                <w:lang w:val="en-US" w:eastAsia="zh-CN" w:bidi="ar"/>
              </w:rPr>
              <w:t>加药泵</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default" w:ascii="Times New Roman" w:hAnsi="Times New Roman" w:eastAsia="宋体" w:cs="Times New Roman"/>
                <w:bCs/>
                <w:i w:val="0"/>
                <w:iCs w:val="0"/>
                <w:color w:val="auto"/>
                <w:kern w:val="2"/>
                <w:sz w:val="20"/>
                <w:szCs w:val="20"/>
                <w:highlight w:val="none"/>
                <w:lang w:val="en-US" w:eastAsia="zh-CN" w:bidi="ar"/>
              </w:rPr>
              <w:t>Q=0~1500L/h</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H=30m</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N=1.5kW</w:t>
            </w:r>
            <w:r>
              <w:rPr>
                <w:rFonts w:hint="eastAsia" w:ascii="宋体" w:hAnsi="宋体" w:eastAsia="宋体" w:cs="宋体"/>
                <w:bCs/>
                <w:i w:val="0"/>
                <w:iCs w:val="0"/>
                <w:color w:val="auto"/>
                <w:kern w:val="2"/>
                <w:sz w:val="20"/>
                <w:szCs w:val="20"/>
                <w:highlight w:val="none"/>
                <w:lang w:val="en-US" w:eastAsia="zh-CN" w:bidi="ar"/>
              </w:rPr>
              <w:t>，隔膜计量泵，变频，配套阀门、</w:t>
            </w:r>
            <w:r>
              <w:rPr>
                <w:rFonts w:hint="default" w:ascii="Times New Roman" w:hAnsi="Times New Roman" w:eastAsia="宋体" w:cs="Times New Roman"/>
                <w:bCs/>
                <w:i w:val="0"/>
                <w:iCs w:val="0"/>
                <w:color w:val="auto"/>
                <w:kern w:val="2"/>
                <w:sz w:val="20"/>
                <w:szCs w:val="20"/>
                <w:highlight w:val="none"/>
                <w:lang w:val="en-US" w:eastAsia="zh-CN" w:bidi="ar"/>
              </w:rPr>
              <w:t>Y</w:t>
            </w:r>
            <w:r>
              <w:rPr>
                <w:rFonts w:hint="eastAsia" w:ascii="宋体" w:hAnsi="宋体" w:eastAsia="宋体" w:cs="宋体"/>
                <w:bCs/>
                <w:i w:val="0"/>
                <w:iCs w:val="0"/>
                <w:color w:val="auto"/>
                <w:kern w:val="2"/>
                <w:sz w:val="20"/>
                <w:szCs w:val="20"/>
                <w:highlight w:val="none"/>
                <w:lang w:val="en-US" w:eastAsia="zh-CN" w:bidi="ar"/>
              </w:rPr>
              <w:t>型过滤器、泄压阀、脉冲阻尼器、压力表、电磁流量计、控制柜等，撬装</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 w:bidi="ar"/>
              </w:rPr>
              <w:t>6</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2.4</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leftChars="0" w:right="0" w:firstLine="0" w:firstLineChars="0"/>
              <w:jc w:val="center"/>
              <w:textAlignment w:val="auto"/>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lang w:val="en-US" w:eastAsia="zh-CN" w:bidi="ar"/>
              </w:rPr>
              <w:t>碳源药剂储罐</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lang w:val="en-US" w:eastAsia="zh-CN" w:bidi="ar"/>
              </w:rPr>
              <w:t>V=30m3</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N=2.2kW</w:t>
            </w:r>
            <w:r>
              <w:rPr>
                <w:rFonts w:hint="eastAsia" w:ascii="宋体" w:hAnsi="宋体" w:eastAsia="宋体" w:cs="宋体"/>
                <w:bCs/>
                <w:i w:val="0"/>
                <w:iCs w:val="0"/>
                <w:color w:val="auto"/>
                <w:kern w:val="2"/>
                <w:sz w:val="20"/>
                <w:szCs w:val="20"/>
                <w:highlight w:val="none"/>
                <w:lang w:val="en-US" w:eastAsia="zh-CN" w:bidi="ar"/>
              </w:rPr>
              <w:t>，耐腐蚀，配套超声波液位计、爬梯等</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2.5</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leftChars="0" w:right="0" w:firstLine="0" w:firstLineChars="0"/>
              <w:jc w:val="center"/>
              <w:textAlignment w:val="auto"/>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lang w:val="en-US" w:eastAsia="zh-CN" w:bidi="ar"/>
              </w:rPr>
              <w:t>碳源加药</w:t>
            </w:r>
            <w:r>
              <w:rPr>
                <w:rFonts w:hint="eastAsia" w:ascii="宋体" w:hAnsi="宋体" w:eastAsia="宋体" w:cs="宋体"/>
                <w:bCs/>
                <w:i w:val="0"/>
                <w:iCs w:val="0"/>
                <w:color w:val="auto"/>
                <w:kern w:val="2"/>
                <w:sz w:val="20"/>
                <w:szCs w:val="20"/>
                <w:highlight w:val="none"/>
                <w:lang w:val="en-US" w:eastAsia="zh" w:bidi="ar"/>
              </w:rPr>
              <w:t>泵</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default" w:ascii="Times New Roman" w:hAnsi="Times New Roman" w:eastAsia="宋体" w:cs="Times New Roman"/>
                <w:bCs/>
                <w:i w:val="0"/>
                <w:iCs w:val="0"/>
                <w:color w:val="auto"/>
                <w:kern w:val="2"/>
                <w:sz w:val="20"/>
                <w:szCs w:val="20"/>
                <w:highlight w:val="none"/>
                <w:lang w:val="en-US" w:eastAsia="zh-CN" w:bidi="ar"/>
              </w:rPr>
              <w:t>Q=0~2000L/h</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H=30m</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N=2.2kW</w:t>
            </w:r>
            <w:r>
              <w:rPr>
                <w:rFonts w:hint="eastAsia" w:ascii="宋体" w:hAnsi="宋体" w:eastAsia="宋体" w:cs="宋体"/>
                <w:bCs/>
                <w:i w:val="0"/>
                <w:iCs w:val="0"/>
                <w:color w:val="auto"/>
                <w:kern w:val="2"/>
                <w:sz w:val="20"/>
                <w:szCs w:val="20"/>
                <w:highlight w:val="none"/>
                <w:lang w:val="en-US" w:eastAsia="zh-CN" w:bidi="ar"/>
              </w:rPr>
              <w:t>，隔膜计量泵，变频，配套阀门、</w:t>
            </w:r>
            <w:r>
              <w:rPr>
                <w:rFonts w:hint="default" w:ascii="Times New Roman" w:hAnsi="Times New Roman" w:eastAsia="宋体" w:cs="Times New Roman"/>
                <w:bCs/>
                <w:i w:val="0"/>
                <w:iCs w:val="0"/>
                <w:color w:val="auto"/>
                <w:kern w:val="2"/>
                <w:sz w:val="20"/>
                <w:szCs w:val="20"/>
                <w:highlight w:val="none"/>
                <w:lang w:val="en-US" w:eastAsia="zh-CN" w:bidi="ar"/>
              </w:rPr>
              <w:t>Y</w:t>
            </w:r>
            <w:r>
              <w:rPr>
                <w:rFonts w:hint="eastAsia" w:ascii="宋体" w:hAnsi="宋体" w:eastAsia="宋体" w:cs="宋体"/>
                <w:bCs/>
                <w:i w:val="0"/>
                <w:iCs w:val="0"/>
                <w:color w:val="auto"/>
                <w:kern w:val="2"/>
                <w:sz w:val="20"/>
                <w:szCs w:val="20"/>
                <w:highlight w:val="none"/>
                <w:lang w:val="en-US" w:eastAsia="zh-CN" w:bidi="ar"/>
              </w:rPr>
              <w:t>型过滤器、泄压阀、脉冲阻尼器、压力表、电磁流量计、控制柜等，撬装</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6</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2.6</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leftChars="0" w:right="0" w:firstLine="0" w:firstLineChars="0"/>
              <w:jc w:val="center"/>
              <w:textAlignment w:val="auto"/>
              <w:rPr>
                <w:rFonts w:hint="default" w:ascii="宋体" w:hAnsi="宋体" w:eastAsia="宋体" w:cs="宋体"/>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lang w:val="en-US" w:eastAsia="zh-CN" w:bidi="ar"/>
              </w:rPr>
              <w:t>PAM</w:t>
            </w:r>
            <w:r>
              <w:rPr>
                <w:rFonts w:hint="eastAsia" w:ascii="宋体" w:hAnsi="宋体" w:eastAsia="宋体" w:cs="宋体"/>
                <w:bCs/>
                <w:i w:val="0"/>
                <w:iCs w:val="0"/>
                <w:color w:val="auto"/>
                <w:kern w:val="2"/>
                <w:sz w:val="20"/>
                <w:szCs w:val="20"/>
                <w:highlight w:val="none"/>
                <w:lang w:val="en-US" w:eastAsia="zh-CN" w:bidi="ar"/>
              </w:rPr>
              <w:t>加药泵</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default" w:ascii="Times New Roman" w:hAnsi="Times New Roman" w:eastAsia="宋体" w:cs="Times New Roman"/>
                <w:bCs/>
                <w:i w:val="0"/>
                <w:iCs w:val="0"/>
                <w:color w:val="auto"/>
                <w:kern w:val="2"/>
                <w:sz w:val="20"/>
                <w:szCs w:val="20"/>
                <w:highlight w:val="none"/>
                <w:lang w:val="en-US" w:eastAsia="zh-CN" w:bidi="ar"/>
              </w:rPr>
              <w:t>Q=1500~3000L/h</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H=0.3MPa</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N=4kW</w:t>
            </w:r>
            <w:r>
              <w:rPr>
                <w:rFonts w:hint="eastAsia" w:ascii="宋体" w:hAnsi="宋体" w:eastAsia="宋体" w:cs="宋体"/>
                <w:bCs/>
                <w:i w:val="0"/>
                <w:iCs w:val="0"/>
                <w:color w:val="auto"/>
                <w:kern w:val="2"/>
                <w:sz w:val="20"/>
                <w:szCs w:val="20"/>
                <w:highlight w:val="none"/>
                <w:lang w:val="en-US" w:eastAsia="zh-CN" w:bidi="ar"/>
              </w:rPr>
              <w:t>，变频，配套阀门、</w:t>
            </w:r>
            <w:r>
              <w:rPr>
                <w:rFonts w:hint="default" w:ascii="Times New Roman" w:hAnsi="Times New Roman" w:eastAsia="宋体" w:cs="Times New Roman"/>
                <w:bCs/>
                <w:i w:val="0"/>
                <w:iCs w:val="0"/>
                <w:color w:val="auto"/>
                <w:kern w:val="2"/>
                <w:sz w:val="20"/>
                <w:szCs w:val="20"/>
                <w:highlight w:val="none"/>
                <w:lang w:val="en-US" w:eastAsia="zh-CN" w:bidi="ar"/>
              </w:rPr>
              <w:t>Y</w:t>
            </w:r>
            <w:r>
              <w:rPr>
                <w:rFonts w:hint="eastAsia" w:ascii="宋体" w:hAnsi="宋体" w:eastAsia="宋体" w:cs="宋体"/>
                <w:bCs/>
                <w:i w:val="0"/>
                <w:iCs w:val="0"/>
                <w:color w:val="auto"/>
                <w:kern w:val="2"/>
                <w:sz w:val="20"/>
                <w:szCs w:val="20"/>
                <w:highlight w:val="none"/>
                <w:lang w:val="en-US" w:eastAsia="zh-CN" w:bidi="ar"/>
              </w:rPr>
              <w:t>型过滤器、泄压阀、脉冲阻尼器、压力表、电磁流量计、控制柜等，撬装</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3</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2.7</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spacing w:before="0" w:beforeAutospacing="0" w:after="0" w:afterAutospacing="0"/>
              <w:ind w:left="0" w:leftChars="0" w:right="0" w:firstLine="0" w:firstLineChars="0"/>
              <w:jc w:val="center"/>
              <w:textAlignment w:val="auto"/>
              <w:rPr>
                <w:rFonts w:hint="default" w:ascii="Times New Roman" w:hAnsi="Times New Roman" w:eastAsia="宋体" w:cs="Times New Roman"/>
                <w:bCs/>
                <w:i w:val="0"/>
                <w:iCs w:val="0"/>
                <w:color w:val="auto"/>
                <w:kern w:val="2"/>
                <w:sz w:val="20"/>
                <w:szCs w:val="20"/>
                <w:highlight w:val="none"/>
                <w:lang w:val="en-US" w:eastAsia="zh" w:bidi="ar"/>
              </w:rPr>
            </w:pPr>
            <w:r>
              <w:rPr>
                <w:rFonts w:hint="eastAsia" w:ascii="Times New Roman" w:hAnsi="Times New Roman" w:eastAsia="宋体" w:cs="Times New Roman"/>
                <w:bCs/>
                <w:i w:val="0"/>
                <w:iCs w:val="0"/>
                <w:color w:val="auto"/>
                <w:kern w:val="2"/>
                <w:sz w:val="20"/>
                <w:szCs w:val="20"/>
                <w:highlight w:val="none"/>
                <w:lang w:val="en-US" w:eastAsia="zh" w:bidi="ar"/>
              </w:rPr>
              <w:t>絮凝剂制备装置</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lang w:val="en-US" w:eastAsia="zh-CN" w:bidi="ar"/>
              </w:rPr>
              <w:t>配置能力</w:t>
            </w:r>
            <w:r>
              <w:rPr>
                <w:rFonts w:hint="default" w:ascii="Times New Roman" w:hAnsi="Times New Roman" w:eastAsia="宋体" w:cs="Times New Roman"/>
                <w:bCs/>
                <w:i w:val="0"/>
                <w:iCs w:val="0"/>
                <w:color w:val="auto"/>
                <w:kern w:val="2"/>
                <w:sz w:val="20"/>
                <w:szCs w:val="20"/>
                <w:highlight w:val="none"/>
                <w:lang w:val="en-US" w:eastAsia="zh-CN" w:bidi="ar"/>
              </w:rPr>
              <w:t>6-22kg/h</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4.0kW</w:t>
            </w:r>
            <w:r>
              <w:rPr>
                <w:rFonts w:hint="eastAsia" w:ascii="宋体" w:hAnsi="宋体" w:eastAsia="宋体" w:cs="宋体"/>
                <w:bCs/>
                <w:i w:val="0"/>
                <w:iCs w:val="0"/>
                <w:color w:val="auto"/>
                <w:kern w:val="2"/>
                <w:sz w:val="20"/>
                <w:szCs w:val="20"/>
                <w:highlight w:val="none"/>
                <w:lang w:val="en-US" w:eastAsia="zh-CN" w:bidi="ar"/>
              </w:rPr>
              <w:t>，配套箱体、储料仓、自动给料机、阀门、搅拌机、液位计、控制柜等</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1</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 w:bidi="ar"/>
              </w:rPr>
            </w:pPr>
            <w:r>
              <w:rPr>
                <w:rFonts w:hint="eastAsia" w:ascii="宋体" w:hAnsi="宋体" w:eastAsia="宋体" w:cs="宋体"/>
                <w:bCs/>
                <w:i w:val="0"/>
                <w:iCs w:val="0"/>
                <w:color w:val="auto"/>
                <w:kern w:val="2"/>
                <w:sz w:val="20"/>
                <w:szCs w:val="20"/>
                <w:highlight w:val="none"/>
                <w:u w:val="none"/>
                <w:lang w:val="en-US" w:eastAsia="zh" w:bidi="ar"/>
              </w:rPr>
              <w:t>2.8</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Times New Roman" w:hAnsi="Times New Roman" w:eastAsia="宋体" w:cs="Times New Roman"/>
                <w:bCs/>
                <w:i w:val="0"/>
                <w:iCs w:val="0"/>
                <w:color w:val="auto"/>
                <w:kern w:val="2"/>
                <w:sz w:val="20"/>
                <w:szCs w:val="20"/>
                <w:highlight w:val="none"/>
                <w:lang w:val="en-US" w:eastAsia="zh-CN" w:bidi="ar"/>
              </w:rPr>
            </w:pPr>
            <w:r>
              <w:rPr>
                <w:rFonts w:hint="eastAsia" w:ascii="宋体" w:hAnsi="宋体" w:eastAsia="宋体" w:cs="宋体"/>
                <w:bCs/>
                <w:i w:val="0"/>
                <w:iCs w:val="0"/>
                <w:color w:val="auto"/>
                <w:kern w:val="2"/>
                <w:sz w:val="20"/>
                <w:szCs w:val="20"/>
                <w:highlight w:val="none"/>
                <w:lang w:val="en-US" w:eastAsia="zh-CN" w:bidi="ar"/>
              </w:rPr>
              <w:t>卸料泵</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lang w:val="en-US" w:eastAsia="zh-CN" w:bidi="ar"/>
              </w:rPr>
              <w:t>Q=20m3/h</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H=15m</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P=2.2kW</w:t>
            </w:r>
            <w:r>
              <w:rPr>
                <w:rFonts w:hint="eastAsia" w:ascii="宋体" w:hAnsi="宋体" w:eastAsia="宋体" w:cs="宋体"/>
                <w:bCs/>
                <w:i w:val="0"/>
                <w:iCs w:val="0"/>
                <w:color w:val="auto"/>
                <w:kern w:val="2"/>
                <w:sz w:val="20"/>
                <w:szCs w:val="20"/>
                <w:highlight w:val="none"/>
                <w:lang w:val="en-US" w:eastAsia="zh-CN" w:bidi="ar"/>
              </w:rPr>
              <w:t>；</w:t>
            </w:r>
            <w:r>
              <w:rPr>
                <w:rFonts w:hint="default" w:ascii="Times New Roman" w:hAnsi="Times New Roman" w:eastAsia="宋体" w:cs="Times New Roman"/>
                <w:bCs/>
                <w:i w:val="0"/>
                <w:iCs w:val="0"/>
                <w:color w:val="auto"/>
                <w:kern w:val="2"/>
                <w:sz w:val="20"/>
                <w:szCs w:val="20"/>
                <w:highlight w:val="none"/>
                <w:lang w:val="en-US" w:eastAsia="zh-CN" w:bidi="ar"/>
              </w:rPr>
              <w:t>1</w:t>
            </w:r>
            <w:r>
              <w:rPr>
                <w:rFonts w:hint="eastAsia" w:ascii="宋体" w:hAnsi="宋体" w:eastAsia="宋体" w:cs="宋体"/>
                <w:bCs/>
                <w:i w:val="0"/>
                <w:iCs w:val="0"/>
                <w:color w:val="auto"/>
                <w:kern w:val="2"/>
                <w:sz w:val="20"/>
                <w:szCs w:val="20"/>
                <w:highlight w:val="none"/>
                <w:lang w:val="en-US" w:eastAsia="zh-CN" w:bidi="ar"/>
              </w:rPr>
              <w:t>用</w:t>
            </w:r>
            <w:r>
              <w:rPr>
                <w:rFonts w:hint="default" w:ascii="Times New Roman" w:hAnsi="Times New Roman" w:eastAsia="宋体" w:cs="Times New Roman"/>
                <w:bCs/>
                <w:i w:val="0"/>
                <w:iCs w:val="0"/>
                <w:color w:val="auto"/>
                <w:kern w:val="2"/>
                <w:sz w:val="20"/>
                <w:szCs w:val="20"/>
                <w:highlight w:val="none"/>
                <w:lang w:val="en-US" w:eastAsia="zh-CN" w:bidi="ar"/>
              </w:rPr>
              <w:t>1</w:t>
            </w:r>
            <w:r>
              <w:rPr>
                <w:rFonts w:hint="eastAsia" w:ascii="宋体" w:hAnsi="宋体" w:eastAsia="宋体" w:cs="宋体"/>
                <w:bCs/>
                <w:i w:val="0"/>
                <w:iCs w:val="0"/>
                <w:color w:val="auto"/>
                <w:kern w:val="2"/>
                <w:sz w:val="20"/>
                <w:szCs w:val="20"/>
                <w:highlight w:val="none"/>
                <w:lang w:val="en-US" w:eastAsia="zh-CN" w:bidi="ar"/>
              </w:rPr>
              <w:t>备</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default" w:ascii="Times New Roman" w:hAnsi="Times New Roman" w:eastAsia="宋体" w:cs="Times New Roman"/>
                <w:bCs/>
                <w:i w:val="0"/>
                <w:iCs w:val="0"/>
                <w:color w:val="auto"/>
                <w:kern w:val="2"/>
                <w:sz w:val="20"/>
                <w:szCs w:val="20"/>
                <w:highlight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过程仪表</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包括但不限于水质监测仪表、工艺过程控制参数仪表、流量、液位、浓度等，适配粉末载体工艺监测需求，含安装附件，需与PLC无缝对接，确保仪表适配所选工艺特性。</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项</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3.1</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氨氮测量仪</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传感器：量程0～100mg/L，连续测量，防护等级：IP68</w:t>
            </w:r>
            <w:r>
              <w:rPr>
                <w:rFonts w:hint="eastAsia" w:ascii="宋体" w:hAnsi="宋体" w:eastAsia="宋体" w:cs="宋体"/>
                <w:bCs/>
                <w:i w:val="0"/>
                <w:iCs w:val="0"/>
                <w:color w:val="auto"/>
                <w:kern w:val="2"/>
                <w:sz w:val="20"/>
                <w:szCs w:val="20"/>
                <w:highlight w:val="none"/>
                <w:u w:val="none"/>
                <w:lang w:val="en-US" w:eastAsia="zh-CN" w:bidi="ar"/>
              </w:rPr>
              <w:br w:type="textWrapping"/>
            </w:r>
            <w:r>
              <w:rPr>
                <w:rFonts w:hint="eastAsia" w:ascii="宋体" w:hAnsi="宋体" w:eastAsia="宋体" w:cs="宋体"/>
                <w:bCs/>
                <w:i w:val="0"/>
                <w:iCs w:val="0"/>
                <w:color w:val="auto"/>
                <w:kern w:val="2"/>
                <w:sz w:val="20"/>
                <w:szCs w:val="20"/>
                <w:highlight w:val="none"/>
                <w:u w:val="none"/>
                <w:lang w:val="en-US" w:eastAsia="zh-CN" w:bidi="ar"/>
              </w:rPr>
              <w:t>变送器：AC220V供电，4～20mA输出，继电器故障报警，防护等级：IP55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3.2</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硝酸盐在线分析仪</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传感器：量程0～50mg/L，UV紫外光，连续测量，防护等级：IP68变送器：AC220V供电，4～20mA输出，继电器故障报警，防护等级：IP66仪器与精确加药系统通讯</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3.3</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MLSS仪表</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传感器：0~50g/l，IP68；变送器：4～20mA，220VAC，IP65，配套SS304仪表箱及相关附件</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3.4</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DO仪表</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0～20mg/L，4~20mA，RS485，IP68，配套SS304仪表箱及相关附件</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3.5</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正磷酸盐分析仪</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量程1：0.05~15mg/L，量程2：1~50mg/L，配套取样泵及控制设备；仪器与精确加药系统通讯</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3.6</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污泥界面仪</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传感器：0.2～12m，分辨率小于0.04m，防护等级：IP68</w:t>
            </w:r>
            <w:r>
              <w:rPr>
                <w:rFonts w:hint="eastAsia" w:ascii="宋体" w:hAnsi="宋体" w:eastAsia="宋体" w:cs="宋体"/>
                <w:bCs/>
                <w:i w:val="0"/>
                <w:iCs w:val="0"/>
                <w:color w:val="auto"/>
                <w:kern w:val="2"/>
                <w:sz w:val="20"/>
                <w:szCs w:val="20"/>
                <w:highlight w:val="none"/>
                <w:u w:val="none"/>
                <w:lang w:val="en-US" w:eastAsia="zh-CN" w:bidi="ar"/>
              </w:rPr>
              <w:br w:type="textWrapping"/>
            </w:r>
            <w:r>
              <w:rPr>
                <w:rFonts w:hint="eastAsia" w:ascii="宋体" w:hAnsi="宋体" w:eastAsia="宋体" w:cs="宋体"/>
                <w:bCs/>
                <w:i w:val="0"/>
                <w:iCs w:val="0"/>
                <w:color w:val="auto"/>
                <w:kern w:val="2"/>
                <w:sz w:val="20"/>
                <w:szCs w:val="20"/>
                <w:highlight w:val="none"/>
                <w:u w:val="none"/>
                <w:lang w:val="en-US" w:eastAsia="zh-CN" w:bidi="ar"/>
              </w:rPr>
              <w:t>变送器：AC220V供电，4～20mA输出，继电器故障报警，防护等级：IP65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2</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3.7</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分体式超声波液位计</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传感器：0～20m,防护等级：IP68</w:t>
            </w:r>
            <w:r>
              <w:rPr>
                <w:rFonts w:hint="eastAsia" w:ascii="宋体" w:hAnsi="宋体" w:eastAsia="宋体" w:cs="宋体"/>
                <w:bCs/>
                <w:i w:val="0"/>
                <w:iCs w:val="0"/>
                <w:color w:val="auto"/>
                <w:kern w:val="2"/>
                <w:sz w:val="20"/>
                <w:szCs w:val="20"/>
                <w:highlight w:val="none"/>
                <w:u w:val="none"/>
                <w:lang w:val="en-US" w:eastAsia="zh-CN" w:bidi="ar"/>
              </w:rPr>
              <w:br w:type="textWrapping"/>
            </w:r>
            <w:r>
              <w:rPr>
                <w:rFonts w:hint="eastAsia" w:ascii="宋体" w:hAnsi="宋体" w:eastAsia="宋体" w:cs="宋体"/>
                <w:bCs/>
                <w:i w:val="0"/>
                <w:iCs w:val="0"/>
                <w:color w:val="auto"/>
                <w:kern w:val="2"/>
                <w:sz w:val="20"/>
                <w:szCs w:val="20"/>
                <w:highlight w:val="none"/>
                <w:u w:val="none"/>
                <w:lang w:val="en-US" w:eastAsia="zh-CN" w:bidi="ar"/>
              </w:rPr>
              <w:t>变送器：AC220V供电，4～20mA输出，继电器故障报警，防护等级：IP65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3.8</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压力变送器</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两线制仪表，量程：0～2bar，4～20mA，防护等级：IP68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1</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3.9</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仪表箱</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304不锈钢材质，根据变送器尺寸定制，IP65，带1套信道SPD防雷装置、1套电源SPD防雷装置，内设变送器电源</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套</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8</w:t>
            </w:r>
            <w:r>
              <w:rPr>
                <w:rFonts w:hint="eastAsia" w:ascii="宋体" w:hAnsi="宋体" w:eastAsia="宋体" w:cs="宋体"/>
                <w:bCs/>
                <w:i w:val="0"/>
                <w:iCs w:val="0"/>
                <w:color w:val="auto"/>
                <w:kern w:val="2"/>
                <w:sz w:val="20"/>
                <w:szCs w:val="20"/>
                <w:highlight w:val="none"/>
                <w:u w:val="none"/>
                <w:lang w:val="en-US" w:eastAsia="zh-CN" w:bidi="ar"/>
              </w:rPr>
              <w:br w:type="textWrapping"/>
            </w:r>
            <w:r>
              <w:rPr>
                <w:rFonts w:hint="eastAsia" w:ascii="宋体" w:hAnsi="宋体" w:eastAsia="宋体" w:cs="宋体"/>
                <w:bCs/>
                <w:i w:val="0"/>
                <w:iCs w:val="0"/>
                <w:color w:val="auto"/>
                <w:kern w:val="2"/>
                <w:sz w:val="20"/>
                <w:szCs w:val="20"/>
                <w:highlight w:val="none"/>
                <w:u w:val="none"/>
                <w:lang w:val="en-US" w:eastAsia="zh-CN" w:bidi="ar"/>
              </w:rPr>
              <w:t>暂定数量，按需配备。</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污泥泵</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工艺配套提供，Q=200m3/h，H=10m，N=11kW，变频，配套阀门、止回阀、伸缩节、控制柜等</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台</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sz w:val="20"/>
                <w:szCs w:val="20"/>
                <w:highlight w:val="none"/>
                <w:u w:val="none"/>
                <w:lang w:bidi="ar"/>
              </w:rPr>
            </w:pPr>
            <w:r>
              <w:rPr>
                <w:rFonts w:hint="eastAsia" w:ascii="宋体" w:hAnsi="宋体" w:eastAsia="宋体" w:cs="宋体"/>
                <w:bCs/>
                <w:i w:val="0"/>
                <w:iCs w:val="0"/>
                <w:color w:val="auto"/>
                <w:kern w:val="2"/>
                <w:sz w:val="20"/>
                <w:szCs w:val="20"/>
                <w:highlight w:val="none"/>
                <w:u w:val="none"/>
                <w:lang w:val="en-US" w:eastAsia="zh-CN" w:bidi="ar"/>
              </w:rPr>
              <w:t>4</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5</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其他费用</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18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w:t>
            </w:r>
          </w:p>
        </w:tc>
        <w:tc>
          <w:tcPr>
            <w:tcW w:w="6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356"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r>
              <w:rPr>
                <w:rFonts w:hint="eastAsia" w:ascii="宋体" w:hAnsi="宋体" w:eastAsia="宋体" w:cs="宋体"/>
                <w:bCs/>
                <w:i w:val="0"/>
                <w:iCs w:val="0"/>
                <w:color w:val="auto"/>
                <w:kern w:val="2"/>
                <w:sz w:val="20"/>
                <w:szCs w:val="20"/>
                <w:highlight w:val="none"/>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0"/>
                <w:szCs w:val="20"/>
                <w:highlight w:val="none"/>
                <w:u w:val="none"/>
                <w:lang w:val="en-US" w:eastAsia="zh-CN" w:bidi="ar"/>
              </w:rPr>
            </w:pPr>
          </w:p>
        </w:tc>
      </w:tr>
    </w:tbl>
    <w:p>
      <w:pPr>
        <w:tabs>
          <w:tab w:val="left" w:pos="567"/>
        </w:tabs>
        <w:snapToGrid w:val="0"/>
        <w:spacing w:line="360" w:lineRule="auto"/>
        <w:ind w:left="630" w:hanging="630" w:hanging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1.此表乃分项报价</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的明细表，投标人应根据子项目招标范围内分项内容的数量扩展报价表；</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子项目</w:t>
      </w:r>
      <w:r>
        <w:rPr>
          <w:rFonts w:hint="eastAsia" w:ascii="宋体" w:hAnsi="宋体" w:eastAsia="宋体" w:cs="宋体"/>
          <w:color w:val="auto"/>
          <w:sz w:val="21"/>
          <w:szCs w:val="21"/>
          <w:highlight w:val="none"/>
          <w:lang w:val="en-US" w:eastAsia="zh-CN"/>
        </w:rPr>
        <w:t>一个</w:t>
      </w:r>
      <w:r>
        <w:rPr>
          <w:rFonts w:hint="eastAsia" w:ascii="宋体" w:hAnsi="宋体" w:eastAsia="宋体" w:cs="宋体"/>
          <w:color w:val="auto"/>
          <w:sz w:val="21"/>
          <w:szCs w:val="21"/>
          <w:highlight w:val="none"/>
        </w:rPr>
        <w:t>分项</w:t>
      </w:r>
      <w:r>
        <w:rPr>
          <w:rFonts w:hint="eastAsia" w:ascii="宋体" w:hAnsi="宋体" w:eastAsia="宋体" w:cs="宋体"/>
          <w:color w:val="auto"/>
          <w:sz w:val="21"/>
          <w:szCs w:val="21"/>
          <w:highlight w:val="none"/>
          <w:lang w:val="en-US" w:eastAsia="zh-CN"/>
        </w:rPr>
        <w:t>清单包含多种设备或服务的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每一种设备或服务</w:t>
      </w:r>
      <w:r>
        <w:rPr>
          <w:rFonts w:hint="eastAsia" w:ascii="宋体" w:hAnsi="宋体" w:eastAsia="宋体" w:cs="宋体"/>
          <w:color w:val="auto"/>
          <w:sz w:val="21"/>
          <w:szCs w:val="21"/>
          <w:highlight w:val="none"/>
        </w:rPr>
        <w:t>单独列表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细</w:t>
      </w:r>
      <w:r>
        <w:rPr>
          <w:rFonts w:hint="eastAsia" w:ascii="宋体" w:hAnsi="宋体" w:eastAsia="宋体" w:cs="宋体"/>
          <w:color w:val="auto"/>
          <w:sz w:val="21"/>
          <w:szCs w:val="21"/>
          <w:highlight w:val="none"/>
          <w:lang w:eastAsia="zh-CN"/>
        </w:rPr>
        <w:t>化</w:t>
      </w:r>
      <w:r>
        <w:rPr>
          <w:rFonts w:hint="eastAsia" w:ascii="宋体" w:hAnsi="宋体" w:eastAsia="宋体" w:cs="宋体"/>
          <w:color w:val="auto"/>
          <w:sz w:val="21"/>
          <w:szCs w:val="21"/>
          <w:highlight w:val="none"/>
          <w:lang w:val="en-US" w:eastAsia="zh-CN"/>
        </w:rPr>
        <w:t>拓展</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使用在本项目的每一种设备或服务应均能体现报价</w:t>
      </w:r>
      <w:r>
        <w:rPr>
          <w:rFonts w:hint="eastAsia" w:ascii="宋体" w:hAnsi="宋体" w:eastAsia="宋体" w:cs="宋体"/>
          <w:color w:val="auto"/>
          <w:sz w:val="21"/>
          <w:szCs w:val="21"/>
          <w:highlight w:val="none"/>
        </w:rPr>
        <w:t>。</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2.投标人应列明按“用户需求书”所要求的该子项目招标范围内全部货物（含软件）及其服务的价格明细。投标人未填单价或合价或漏量或漏项的项目，在实施后，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将不予以支付，并视为该项费用已包括在其他有价款的单价或合价内。</w:t>
      </w:r>
    </w:p>
    <w:p>
      <w:pPr>
        <w:snapToGrid w:val="0"/>
        <w:spacing w:line="360" w:lineRule="auto"/>
        <w:ind w:left="210"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不再另行支付费用。</w:t>
      </w:r>
      <w:r>
        <w:rPr>
          <w:rFonts w:hint="eastAsia" w:ascii="宋体" w:hAnsi="宋体" w:eastAsia="宋体" w:cs="宋体"/>
          <w:color w:val="auto"/>
          <w:sz w:val="21"/>
          <w:szCs w:val="21"/>
          <w:highlight w:val="none"/>
        </w:rPr>
        <w:t xml:space="preserve"> </w:t>
      </w:r>
    </w:p>
    <w:p>
      <w:pPr>
        <w:snapToGrid w:val="0"/>
        <w:spacing w:line="360" w:lineRule="auto"/>
        <w:ind w:left="210" w:hanging="210" w:hangingChars="1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4.</w:t>
      </w:r>
      <w:r>
        <w:rPr>
          <w:rFonts w:hint="eastAsia" w:ascii="宋体" w:hAnsi="宋体" w:eastAsia="宋体" w:cs="宋体"/>
          <w:b/>
          <w:color w:val="auto"/>
          <w:sz w:val="21"/>
          <w:szCs w:val="21"/>
          <w:highlight w:val="none"/>
          <w:u w:val="single"/>
          <w:lang w:val="zh-CN"/>
        </w:rPr>
        <w:t>本</w:t>
      </w:r>
      <w:r>
        <w:rPr>
          <w:rFonts w:hint="eastAsia" w:ascii="宋体" w:hAnsi="宋体" w:eastAsia="宋体" w:cs="宋体"/>
          <w:b/>
          <w:color w:val="auto"/>
          <w:sz w:val="21"/>
          <w:szCs w:val="21"/>
          <w:highlight w:val="none"/>
          <w:u w:val="single"/>
        </w:rPr>
        <w:t>分项报价明细表内的“</w:t>
      </w:r>
      <w:r>
        <w:rPr>
          <w:rFonts w:hint="eastAsia" w:ascii="宋体" w:hAnsi="宋体" w:eastAsia="宋体" w:cs="宋体"/>
          <w:b/>
          <w:color w:val="auto"/>
          <w:sz w:val="21"/>
          <w:szCs w:val="21"/>
          <w:highlight w:val="none"/>
          <w:u w:val="single"/>
          <w:lang w:val="zh-CN"/>
        </w:rPr>
        <w:t>合计”金额应与分项报价表内对应子项目的投标报价金额一致，若两者不一致时，以分项报价表内对应子项目的投标报价为准，并参照第</w:t>
      </w:r>
      <w:r>
        <w:rPr>
          <w:rFonts w:hint="eastAsia" w:ascii="宋体" w:hAnsi="宋体" w:eastAsia="宋体" w:cs="宋体"/>
          <w:b/>
          <w:color w:val="auto"/>
          <w:sz w:val="21"/>
          <w:szCs w:val="21"/>
          <w:highlight w:val="none"/>
          <w:u w:val="single"/>
          <w:lang w:val="en-US" w:eastAsia="zh-CN"/>
        </w:rPr>
        <w:t xml:space="preserve">二篇 </w:t>
      </w:r>
      <w:r>
        <w:rPr>
          <w:rFonts w:hint="eastAsia" w:ascii="宋体" w:hAnsi="宋体" w:eastAsia="宋体" w:cs="宋体"/>
          <w:b/>
          <w:color w:val="auto"/>
          <w:sz w:val="21"/>
          <w:szCs w:val="21"/>
          <w:highlight w:val="none"/>
          <w:u w:val="single"/>
          <w:lang w:val="zh-CN"/>
        </w:rPr>
        <w:t>投标</w:t>
      </w:r>
      <w:r>
        <w:rPr>
          <w:rFonts w:hint="eastAsia" w:ascii="宋体" w:hAnsi="宋体" w:eastAsia="宋体" w:cs="宋体"/>
          <w:b/>
          <w:color w:val="auto"/>
          <w:sz w:val="21"/>
          <w:szCs w:val="21"/>
          <w:highlight w:val="none"/>
          <w:u w:val="single"/>
          <w:lang w:val="en-US" w:eastAsia="zh-CN"/>
        </w:rPr>
        <w:t>人</w:t>
      </w:r>
      <w:r>
        <w:rPr>
          <w:rFonts w:hint="eastAsia" w:ascii="宋体" w:hAnsi="宋体" w:eastAsia="宋体" w:cs="宋体"/>
          <w:b/>
          <w:color w:val="auto"/>
          <w:sz w:val="21"/>
          <w:szCs w:val="21"/>
          <w:highlight w:val="none"/>
          <w:u w:val="single"/>
          <w:lang w:val="zh-CN"/>
        </w:rPr>
        <w:t>须知第3</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lang w:val="zh-CN"/>
        </w:rPr>
        <w:t>.2款修正详细报价</w:t>
      </w:r>
      <w:r>
        <w:rPr>
          <w:rFonts w:hint="eastAsia" w:ascii="宋体" w:hAnsi="宋体" w:eastAsia="宋体" w:cs="宋体"/>
          <w:b/>
          <w:color w:val="auto"/>
          <w:sz w:val="21"/>
          <w:szCs w:val="21"/>
          <w:highlight w:val="none"/>
          <w:lang w:val="zh-CN"/>
        </w:rPr>
        <w:t>。</w:t>
      </w:r>
    </w:p>
    <w:p>
      <w:pPr>
        <w:snapToGrid w:val="0"/>
        <w:spacing w:line="360" w:lineRule="auto"/>
        <w:ind w:left="210" w:hanging="210" w:hanging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5. </w:t>
      </w:r>
      <w:r>
        <w:rPr>
          <w:rFonts w:hint="eastAsia" w:ascii="宋体" w:hAnsi="宋体" w:eastAsia="宋体" w:cs="宋体"/>
          <w:b/>
          <w:bCs/>
          <w:color w:val="auto"/>
          <w:sz w:val="21"/>
          <w:szCs w:val="21"/>
          <w:highlight w:val="none"/>
          <w:lang w:val="zh-CN"/>
        </w:rPr>
        <w:t>由投标人使用投标人的企业数字证书，法定代表人数字证书电子签名。</w:t>
      </w:r>
    </w:p>
    <w:p>
      <w:pPr>
        <w:rPr>
          <w:rFonts w:hint="eastAsia" w:ascii="宋体" w:hAnsi="宋体" w:eastAsia="宋体" w:cs="宋体"/>
          <w:color w:val="auto"/>
          <w:sz w:val="21"/>
          <w:szCs w:val="21"/>
          <w:highlight w:val="none"/>
        </w:rPr>
      </w:pP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投 标 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u w:val="single"/>
        </w:rPr>
        <w:t>（企业数字证书电子签名）</w:t>
      </w:r>
    </w:p>
    <w:p>
      <w:pPr>
        <w:snapToGrid w:val="0"/>
        <w:spacing w:line="360" w:lineRule="auto"/>
        <w:ind w:firstLine="3465" w:firstLineChars="1650"/>
        <w:rPr>
          <w:rFonts w:hint="eastAsia" w:ascii="宋体" w:hAnsi="宋体" w:eastAsia="宋体" w:cs="宋体"/>
          <w:color w:val="auto"/>
          <w:kern w:val="3"/>
          <w:sz w:val="21"/>
          <w:szCs w:val="21"/>
          <w:highlight w:val="none"/>
          <w:u w:val="single"/>
        </w:rPr>
      </w:pPr>
      <w:r>
        <w:rPr>
          <w:rFonts w:hint="eastAsia" w:ascii="宋体" w:hAnsi="宋体" w:eastAsia="宋体" w:cs="宋体"/>
          <w:color w:val="auto"/>
          <w:kern w:val="3"/>
          <w:sz w:val="21"/>
          <w:szCs w:val="21"/>
          <w:highlight w:val="none"/>
        </w:rPr>
        <w:t>法定代表人：</w:t>
      </w:r>
      <w:r>
        <w:rPr>
          <w:rFonts w:hint="eastAsia" w:ascii="宋体" w:hAnsi="宋体" w:eastAsia="宋体" w:cs="宋体"/>
          <w:color w:val="auto"/>
          <w:kern w:val="3"/>
          <w:sz w:val="21"/>
          <w:szCs w:val="21"/>
          <w:highlight w:val="none"/>
          <w:u w:val="single"/>
        </w:rPr>
        <w:t xml:space="preserve">                       </w:t>
      </w:r>
      <w:r>
        <w:rPr>
          <w:rFonts w:hint="eastAsia" w:ascii="宋体" w:hAnsi="宋体" w:eastAsia="宋体" w:cs="宋体"/>
          <w:color w:val="auto"/>
          <w:sz w:val="21"/>
          <w:szCs w:val="21"/>
          <w:highlight w:val="none"/>
        </w:rPr>
        <w:t>（电子签名）</w:t>
      </w:r>
    </w:p>
    <w:p>
      <w:pPr>
        <w:snapToGrid w:val="0"/>
        <w:spacing w:line="360" w:lineRule="auto"/>
        <w:ind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autoSpaceDE/>
        <w:autoSpaceDN/>
        <w:adjustRightInd/>
        <w:spacing w:line="240" w:lineRule="auto"/>
        <w:jc w:val="left"/>
        <w:outlineLvl w:val="9"/>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21" w:name="_Toc94107210"/>
      <w:bookmarkStart w:id="522" w:name="_Toc17358"/>
      <w:bookmarkStart w:id="523" w:name="_Toc29874"/>
      <w:bookmarkStart w:id="524" w:name="_Toc140596929"/>
      <w:bookmarkStart w:id="525" w:name="_Toc104991876"/>
      <w:bookmarkStart w:id="526" w:name="_Toc102860075"/>
      <w:bookmarkStart w:id="527" w:name="_Toc25267"/>
      <w:bookmarkStart w:id="528" w:name="_Toc3094"/>
      <w:bookmarkStart w:id="529" w:name="_Toc102860419"/>
      <w:bookmarkStart w:id="530" w:name="_Toc5002"/>
      <w:bookmarkStart w:id="531" w:name="_Toc8232"/>
      <w:bookmarkStart w:id="532" w:name="_Toc195714383"/>
      <w:bookmarkStart w:id="533" w:name="_Toc142508370"/>
      <w:bookmarkStart w:id="53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多证合一营业执照（或事业单位法人证书）原件扫描件</w:t>
      </w:r>
      <w:bookmarkEnd w:id="521"/>
      <w:bookmarkEnd w:id="522"/>
      <w:bookmarkEnd w:id="523"/>
      <w:bookmarkEnd w:id="524"/>
      <w:bookmarkEnd w:id="525"/>
      <w:bookmarkEnd w:id="526"/>
      <w:bookmarkEnd w:id="527"/>
      <w:bookmarkEnd w:id="528"/>
      <w:bookmarkEnd w:id="529"/>
      <w:bookmarkEnd w:id="530"/>
      <w:bookmarkEnd w:id="531"/>
      <w:bookmarkEnd w:id="532"/>
      <w:bookmarkEnd w:id="533"/>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7" w:type="first"/>
          <w:headerReference r:id="rId5" w:type="default"/>
          <w:footerReference r:id="rId6" w:type="default"/>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5" w:name="_Toc25013"/>
      <w:bookmarkStart w:id="536" w:name="_Toc142508371"/>
      <w:bookmarkStart w:id="537" w:name="_Toc6691"/>
      <w:bookmarkStart w:id="538" w:name="_Toc94107211"/>
      <w:bookmarkStart w:id="539" w:name="_Toc195714384"/>
      <w:bookmarkStart w:id="540" w:name="_Toc140596930"/>
      <w:bookmarkStart w:id="541" w:name="_Toc7756"/>
      <w:bookmarkStart w:id="542" w:name="_Toc102860420"/>
      <w:bookmarkStart w:id="543" w:name="_Toc102860076"/>
      <w:bookmarkStart w:id="544" w:name="_Toc18165"/>
      <w:bookmarkStart w:id="545" w:name="_Toc27861"/>
      <w:bookmarkStart w:id="546" w:name="_Toc104991877"/>
      <w:bookmarkStart w:id="547" w:name="_Toc910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35"/>
      <w:bookmarkEnd w:id="536"/>
      <w:bookmarkEnd w:id="537"/>
      <w:bookmarkEnd w:id="538"/>
      <w:bookmarkEnd w:id="539"/>
      <w:bookmarkEnd w:id="540"/>
      <w:bookmarkEnd w:id="541"/>
      <w:bookmarkEnd w:id="542"/>
      <w:bookmarkEnd w:id="543"/>
      <w:bookmarkEnd w:id="544"/>
      <w:bookmarkEnd w:id="545"/>
      <w:bookmarkEnd w:id="546"/>
      <w:bookmarkEnd w:id="547"/>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48" w:name="_Toc195714385"/>
      <w:bookmarkStart w:id="549" w:name="_Toc7441"/>
      <w:bookmarkStart w:id="550" w:name="_Toc104991878"/>
      <w:bookmarkStart w:id="551" w:name="_Toc9132"/>
      <w:bookmarkStart w:id="552" w:name="_Toc142508372"/>
      <w:bookmarkStart w:id="553" w:name="_Toc4538"/>
      <w:bookmarkStart w:id="554" w:name="_Toc17499"/>
      <w:bookmarkStart w:id="555" w:name="_Toc94107212"/>
      <w:bookmarkStart w:id="556" w:name="_Toc2018"/>
      <w:bookmarkStart w:id="557" w:name="_Toc140596931"/>
      <w:bookmarkStart w:id="558" w:name="_Toc20119"/>
      <w:bookmarkStart w:id="559" w:name="_Toc102860077"/>
      <w:bookmarkStart w:id="560"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bookmarkEnd w:id="548"/>
      <w:bookmarkEnd w:id="549"/>
      <w:bookmarkEnd w:id="550"/>
      <w:bookmarkEnd w:id="551"/>
      <w:bookmarkEnd w:id="552"/>
      <w:bookmarkEnd w:id="553"/>
      <w:bookmarkEnd w:id="554"/>
      <w:bookmarkEnd w:id="555"/>
      <w:bookmarkEnd w:id="556"/>
      <w:bookmarkEnd w:id="557"/>
      <w:bookmarkEnd w:id="558"/>
      <w:bookmarkEnd w:id="559"/>
      <w:bookmarkEnd w:id="560"/>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18"/>
      <w:bookmarkEnd w:id="519"/>
      <w:bookmarkEnd w:id="520"/>
      <w:bookmarkEnd w:id="534"/>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61" w:name="_Toc11033_WPSOffice_Level3"/>
      <w:r>
        <w:rPr>
          <w:rFonts w:hint="eastAsia" w:ascii="宋体" w:hAnsi="宋体" w:eastAsia="宋体" w:cs="宋体"/>
          <w:b/>
          <w:color w:val="auto"/>
          <w:sz w:val="30"/>
          <w:szCs w:val="30"/>
          <w:highlight w:val="none"/>
        </w:rPr>
        <w:t>法定代</w:t>
      </w:r>
      <w:bookmarkStart w:id="562" w:name="_Toc36971359"/>
      <w:bookmarkStart w:id="563" w:name="_Toc45995270"/>
      <w:r>
        <w:rPr>
          <w:rFonts w:hint="eastAsia" w:ascii="宋体" w:hAnsi="宋体" w:eastAsia="宋体" w:cs="宋体"/>
          <w:b/>
          <w:color w:val="auto"/>
          <w:sz w:val="30"/>
          <w:szCs w:val="30"/>
          <w:highlight w:val="none"/>
        </w:rPr>
        <w:t>表人身份证明书</w:t>
      </w:r>
      <w:bookmarkEnd w:id="561"/>
    </w:p>
    <w:bookmarkEnd w:id="562"/>
    <w:bookmarkEnd w:id="563"/>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pPr>
        <w:snapToGrid w:val="0"/>
        <w:spacing w:line="360" w:lineRule="auto"/>
        <w:ind w:firstLine="3465" w:firstLineChars="1650"/>
        <w:rPr>
          <w:rFonts w:ascii="宋体" w:hAnsi="宋体" w:eastAsia="宋体" w:cs="Times New Roman"/>
          <w:color w:val="auto"/>
          <w:kern w:val="3"/>
          <w:szCs w:val="24"/>
          <w:highlight w:val="none"/>
        </w:rPr>
      </w:pPr>
    </w:p>
    <w:p>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hint="eastAsia" w:ascii="宋体" w:hAnsi="宋体" w:eastAsia="宋体" w:cs="宋体"/>
          <w:b/>
          <w:color w:val="auto"/>
          <w:kern w:val="0"/>
          <w:szCs w:val="21"/>
          <w:highlight w:val="none"/>
        </w:rPr>
      </w:pPr>
    </w:p>
    <w:p>
      <w:pPr>
        <w:autoSpaceDE w:val="0"/>
        <w:autoSpaceDN w:val="0"/>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bookmarkEnd w:id="482"/>
      <w:bookmarkEnd w:id="483"/>
      <w:bookmarkEnd w:id="484"/>
      <w:bookmarkStart w:id="564" w:name="_Toc6240_WPSOffice_Level2"/>
      <w:bookmarkStart w:id="565" w:name="_Toc486167713"/>
      <w:bookmarkStart w:id="566" w:name="_Toc1977727"/>
      <w:bookmarkStart w:id="567" w:name="_Toc533708125"/>
    </w:p>
    <w:p>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2</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法定代表人授权书格式</w:t>
      </w:r>
      <w:bookmarkEnd w:id="564"/>
      <w:bookmarkEnd w:id="565"/>
      <w:bookmarkEnd w:id="566"/>
      <w:bookmarkEnd w:id="567"/>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68" w:name="_Toc29146_WPSOffice_Level3"/>
      <w:r>
        <w:rPr>
          <w:rFonts w:hint="eastAsia" w:ascii="宋体" w:hAnsi="宋体" w:eastAsia="宋体" w:cs="宋体"/>
          <w:b/>
          <w:bCs/>
          <w:color w:val="auto"/>
          <w:sz w:val="30"/>
          <w:szCs w:val="30"/>
          <w:highlight w:val="none"/>
          <w:lang w:val="zh-CN"/>
        </w:rPr>
        <w:t>法定代表人授权书</w:t>
      </w:r>
      <w:bookmarkEnd w:id="568"/>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东莞市长安新区污水处理厂原位技术升级设备采购及安装项目</w:t>
      </w:r>
      <w:r>
        <w:rPr>
          <w:rFonts w:hint="eastAsia" w:ascii="宋体" w:hAnsi="宋体" w:eastAsia="宋体" w:cs="宋体"/>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pPr>
        <w:spacing w:line="360" w:lineRule="auto"/>
        <w:jc w:val="center"/>
        <w:rPr>
          <w:color w:val="auto"/>
          <w:highlight w:val="none"/>
        </w:rPr>
      </w:pPr>
      <w:r>
        <w:rPr>
          <w:rFonts w:hint="eastAsia" w:ascii="宋体" w:hAnsi="宋体" w:eastAsia="宋体" w:cs="宋体"/>
          <w:b/>
          <w:bCs/>
          <w:color w:val="auto"/>
          <w:szCs w:val="21"/>
          <w:highlight w:val="none"/>
          <w:u w:val="single"/>
          <w:lang w:bidi="ar"/>
        </w:rPr>
        <w:t>说明：由投标人使用投标人的企业数字证书，法定代表人</w:t>
      </w:r>
      <w:r>
        <w:rPr>
          <w:rFonts w:hint="eastAsia" w:ascii="宋体" w:hAnsi="宋体" w:eastAsia="宋体" w:cs="宋体"/>
          <w:b/>
          <w:bCs/>
          <w:color w:val="auto"/>
          <w:szCs w:val="21"/>
          <w:highlight w:val="none"/>
          <w:u w:val="single"/>
          <w:lang w:eastAsia="zh-CN" w:bidi="ar"/>
        </w:rPr>
        <w:t>、</w:t>
      </w:r>
      <w:r>
        <w:rPr>
          <w:rFonts w:hint="eastAsia" w:ascii="宋体" w:hAnsi="宋体" w:eastAsia="宋体" w:cs="宋体"/>
          <w:b/>
          <w:bCs/>
          <w:color w:val="auto"/>
          <w:szCs w:val="21"/>
          <w:highlight w:val="none"/>
          <w:u w:val="single"/>
          <w:lang w:bidi="ar"/>
        </w:rPr>
        <w:t>其授权代表数字证书电子签名。</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9" w:type="first"/>
          <w:footerReference r:id="rId8"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2"/>
        <w:pageBreakBefore/>
        <w:spacing w:line="360" w:lineRule="auto"/>
        <w:rPr>
          <w:rFonts w:hAnsi="宋体"/>
          <w:b/>
          <w:color w:val="auto"/>
          <w:sz w:val="30"/>
          <w:szCs w:val="30"/>
          <w:highlight w:val="none"/>
          <w:lang w:val="zh-CN"/>
        </w:rPr>
      </w:pPr>
      <w:bookmarkStart w:id="569" w:name="_Toc12400"/>
      <w:bookmarkStart w:id="570" w:name="_Toc15716"/>
      <w:bookmarkStart w:id="571" w:name="_Toc32328"/>
      <w:bookmarkStart w:id="572" w:name="_Toc23563"/>
      <w:bookmarkStart w:id="573" w:name="_Toc24784"/>
      <w:bookmarkStart w:id="574" w:name="_Toc21507"/>
      <w:bookmarkStart w:id="575" w:name="_Toc195714386"/>
      <w:bookmarkStart w:id="576" w:name="_Toc140596933"/>
      <w:bookmarkStart w:id="577" w:name="_Toc142508373"/>
      <w:bookmarkStart w:id="578" w:name="_Toc104991880"/>
      <w:bookmarkStart w:id="579" w:name="_Toc94107214"/>
      <w:bookmarkStart w:id="580" w:name="_Toc1977730"/>
      <w:r>
        <w:rPr>
          <w:rFonts w:hint="eastAsia" w:hAnsi="宋体" w:cs="宋体"/>
          <w:b/>
          <w:color w:val="auto"/>
          <w:sz w:val="30"/>
          <w:szCs w:val="30"/>
          <w:highlight w:val="none"/>
          <w:lang w:val="en-US" w:eastAsia="zh-CN"/>
        </w:rPr>
        <w:t>5</w:t>
      </w:r>
      <w:r>
        <w:rPr>
          <w:rFonts w:hint="eastAsia" w:hAnsi="宋体" w:cs="宋体"/>
          <w:b/>
          <w:color w:val="auto"/>
          <w:sz w:val="30"/>
          <w:szCs w:val="30"/>
          <w:highlight w:val="none"/>
        </w:rPr>
        <w:t>.</w:t>
      </w:r>
      <w:r>
        <w:rPr>
          <w:rFonts w:hint="eastAsia" w:hAnsi="宋体" w:cs="宋体"/>
          <w:b/>
          <w:color w:val="auto"/>
          <w:sz w:val="30"/>
          <w:szCs w:val="30"/>
          <w:highlight w:val="none"/>
          <w:lang w:val="en-US" w:eastAsia="zh-CN"/>
        </w:rPr>
        <w:t>4</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w:t>
      </w:r>
      <w:bookmarkEnd w:id="569"/>
      <w:bookmarkEnd w:id="570"/>
      <w:bookmarkEnd w:id="571"/>
      <w:r>
        <w:rPr>
          <w:rFonts w:hint="eastAsia" w:hAnsi="宋体"/>
          <w:b/>
          <w:bCs/>
          <w:color w:val="auto"/>
          <w:sz w:val="32"/>
          <w:szCs w:val="32"/>
          <w:highlight w:val="none"/>
          <w:lang w:val="en-US" w:eastAsia="zh-CN"/>
        </w:rPr>
        <w:t>投标人2022年1月1日以来具有一份用于污水处理扩容的技术改造及其成套设备在国内的供货业绩</w:t>
      </w:r>
      <w:r>
        <w:rPr>
          <w:rFonts w:hint="eastAsia" w:hAnsi="宋体"/>
          <w:b/>
          <w:bCs/>
          <w:color w:val="auto"/>
          <w:sz w:val="32"/>
          <w:szCs w:val="32"/>
          <w:highlight w:val="none"/>
        </w:rPr>
        <w:t>（</w:t>
      </w:r>
      <w:r>
        <w:rPr>
          <w:rFonts w:hint="eastAsia" w:hAnsi="宋体"/>
          <w:b/>
          <w:bCs/>
          <w:color w:val="auto"/>
          <w:sz w:val="32"/>
          <w:szCs w:val="32"/>
          <w:highlight w:val="none"/>
          <w:lang w:val="en-US" w:eastAsia="zh-CN"/>
        </w:rPr>
        <w:t>合同签订日期为2022年1月1日或以后</w:t>
      </w:r>
      <w:r>
        <w:rPr>
          <w:rFonts w:hint="eastAsia" w:hAnsi="宋体"/>
          <w:b/>
          <w:bCs/>
          <w:color w:val="auto"/>
          <w:sz w:val="32"/>
          <w:szCs w:val="32"/>
          <w:highlight w:val="none"/>
        </w:rPr>
        <w:t>）】</w:t>
      </w:r>
      <w:bookmarkEnd w:id="572"/>
      <w:bookmarkEnd w:id="573"/>
      <w:bookmarkEnd w:id="574"/>
      <w:bookmarkEnd w:id="575"/>
    </w:p>
    <w:p>
      <w:pPr>
        <w:spacing w:line="360" w:lineRule="auto"/>
        <w:rPr>
          <w:rFonts w:ascii="宋体" w:hAnsi="宋体" w:eastAsia="宋体" w:cs="宋体"/>
          <w:b/>
          <w:color w:val="auto"/>
          <w:szCs w:val="21"/>
          <w:highlight w:val="none"/>
          <w:lang w:val="zh-CN"/>
        </w:rPr>
      </w:pPr>
    </w:p>
    <w:tbl>
      <w:tblPr>
        <w:tblStyle w:val="44"/>
        <w:tblW w:w="481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1477"/>
        <w:gridCol w:w="1291"/>
        <w:gridCol w:w="1199"/>
        <w:gridCol w:w="861"/>
        <w:gridCol w:w="861"/>
        <w:gridCol w:w="1402"/>
        <w:gridCol w:w="9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w:t>
            </w:r>
            <w:r>
              <w:rPr>
                <w:rFonts w:hint="eastAsia" w:ascii="宋体" w:hAnsi="宋体" w:eastAsia="宋体" w:cs="宋体"/>
                <w:color w:val="auto"/>
                <w:kern w:val="0"/>
                <w:szCs w:val="21"/>
                <w:highlight w:val="none"/>
                <w:lang w:val="en-US" w:eastAsia="zh-CN"/>
              </w:rPr>
              <w:t>主要技术改造设备</w:t>
            </w:r>
            <w:r>
              <w:rPr>
                <w:rFonts w:hint="eastAsia" w:ascii="宋体" w:hAnsi="宋体" w:eastAsia="宋体" w:cs="宋体"/>
                <w:color w:val="auto"/>
                <w:kern w:val="0"/>
                <w:szCs w:val="21"/>
                <w:highlight w:val="none"/>
              </w:rPr>
              <w:t>名称</w:t>
            </w: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技术改造项目前原污水处理规模</w:t>
            </w: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扩容后的污水处理规模</w:t>
            </w: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8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8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8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8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8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2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8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pPr>
        <w:spacing w:line="360" w:lineRule="auto"/>
        <w:ind w:left="424" w:hanging="424" w:hangingChars="201"/>
        <w:rPr>
          <w:rFonts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业绩须附合同原件扫描件及合同对应的技术设备</w:t>
      </w:r>
      <w:r>
        <w:rPr>
          <w:rFonts w:hint="eastAsia" w:ascii="宋体" w:hAnsi="宋体" w:eastAsia="宋体" w:cs="宋体"/>
          <w:color w:val="auto"/>
          <w:szCs w:val="21"/>
          <w:highlight w:val="none"/>
          <w:lang w:val="en-US" w:eastAsia="zh-CN"/>
        </w:rPr>
        <w:t>供货</w:t>
      </w:r>
      <w:r>
        <w:rPr>
          <w:rFonts w:hint="eastAsia" w:ascii="宋体" w:hAnsi="宋体" w:eastAsia="宋体" w:cs="宋体"/>
          <w:color w:val="auto"/>
          <w:szCs w:val="21"/>
          <w:highlight w:val="none"/>
        </w:rPr>
        <w:t>清单(合同</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提供方为投标人)；</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）若合同无法反映</w:t>
      </w:r>
      <w:r>
        <w:rPr>
          <w:rFonts w:hint="eastAsia" w:ascii="宋体" w:hAnsi="宋体" w:eastAsia="宋体" w:cs="Times New Roman"/>
          <w:color w:val="auto"/>
          <w:szCs w:val="24"/>
          <w:highlight w:val="none"/>
        </w:rPr>
        <w:t>资格要求</w:t>
      </w:r>
      <w:r>
        <w:rPr>
          <w:rFonts w:hint="eastAsia" w:ascii="宋体" w:hAnsi="宋体" w:eastAsia="宋体" w:cs="宋体"/>
          <w:color w:val="auto"/>
          <w:szCs w:val="21"/>
          <w:highlight w:val="none"/>
          <w:lang w:val="zh-CN"/>
        </w:rPr>
        <w:t>条件</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zh-CN" w:eastAsia="zh-CN"/>
        </w:rPr>
        <w:t>合同签订日期为2022年1月1日或以后</w:t>
      </w:r>
      <w:r>
        <w:rPr>
          <w:rFonts w:hint="eastAsia" w:ascii="宋体" w:hAnsi="宋体" w:eastAsia="宋体" w:cs="宋体"/>
          <w:b/>
          <w:bCs/>
          <w:color w:val="auto"/>
          <w:szCs w:val="21"/>
          <w:highlight w:val="none"/>
          <w:lang w:val="zh-CN"/>
        </w:rPr>
        <w:t>、</w:t>
      </w:r>
      <w:r>
        <w:rPr>
          <w:rFonts w:hint="eastAsia" w:ascii="宋体" w:hAnsi="宋体" w:eastAsia="宋体" w:cs="宋体"/>
          <w:b/>
          <w:bCs/>
          <w:color w:val="auto"/>
          <w:kern w:val="2"/>
          <w:sz w:val="21"/>
          <w:szCs w:val="21"/>
          <w:highlight w:val="none"/>
          <w:lang w:val="en-US" w:eastAsia="zh-CN" w:bidi="ar"/>
        </w:rPr>
        <w:t>设备用于污水处理扩容</w:t>
      </w:r>
      <w:r>
        <w:rPr>
          <w:rFonts w:hint="eastAsia" w:ascii="宋体" w:hAnsi="宋体" w:eastAsia="宋体" w:cs="宋体"/>
          <w:b/>
          <w:bCs/>
          <w:color w:val="auto"/>
          <w:szCs w:val="21"/>
          <w:highlight w:val="none"/>
          <w:lang w:val="zh-CN"/>
        </w:rPr>
        <w:t>），</w:t>
      </w:r>
      <w:r>
        <w:rPr>
          <w:rFonts w:hint="eastAsia" w:ascii="宋体" w:hAnsi="宋体" w:eastAsia="宋体" w:cs="宋体"/>
          <w:b/>
          <w:color w:val="auto"/>
          <w:szCs w:val="21"/>
          <w:highlight w:val="none"/>
          <w:lang w:val="zh-CN"/>
        </w:rPr>
        <w:t>还需同时提供</w:t>
      </w:r>
      <w:r>
        <w:rPr>
          <w:rFonts w:hint="eastAsia" w:ascii="宋体" w:hAnsi="宋体" w:eastAsia="宋体" w:cs="宋体"/>
          <w:b/>
          <w:color w:val="auto"/>
          <w:szCs w:val="21"/>
          <w:highlight w:val="none"/>
          <w:lang w:val="zh-CN" w:eastAsia="zh-CN"/>
        </w:rPr>
        <w:t>设备</w:t>
      </w:r>
      <w:r>
        <w:rPr>
          <w:rFonts w:hint="eastAsia" w:ascii="宋体" w:hAnsi="宋体" w:eastAsia="宋体" w:cs="宋体"/>
          <w:b/>
          <w:color w:val="auto"/>
          <w:szCs w:val="21"/>
          <w:highlight w:val="none"/>
          <w:lang w:val="zh-CN"/>
        </w:rPr>
        <w:t>购买方出具的书面补充情况说明文件</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lang w:val="zh-CN"/>
        </w:rPr>
        <w:t>(书面补充说明文件</w:t>
      </w:r>
      <w:r>
        <w:rPr>
          <w:rFonts w:hint="eastAsia" w:ascii="宋体" w:hAnsi="宋体" w:eastAsia="宋体" w:cs="宋体"/>
          <w:b/>
          <w:color w:val="auto"/>
          <w:szCs w:val="21"/>
          <w:highlight w:val="none"/>
          <w:lang w:val="en-US" w:eastAsia="zh-CN"/>
        </w:rPr>
        <w:t>扫描件</w:t>
      </w:r>
      <w:r>
        <w:rPr>
          <w:rFonts w:hint="eastAsia" w:ascii="宋体" w:hAnsi="宋体" w:eastAsia="宋体" w:cs="宋体"/>
          <w:b/>
          <w:color w:val="auto"/>
          <w:szCs w:val="21"/>
          <w:highlight w:val="none"/>
          <w:lang w:val="zh-CN"/>
        </w:rPr>
        <w:t>能显示合同</w:t>
      </w:r>
      <w:r>
        <w:rPr>
          <w:rFonts w:hint="eastAsia" w:ascii="宋体" w:hAnsi="宋体" w:eastAsia="宋体" w:cs="宋体"/>
          <w:b/>
          <w:color w:val="auto"/>
          <w:szCs w:val="21"/>
          <w:highlight w:val="none"/>
          <w:lang w:val="zh-CN" w:eastAsia="zh-CN"/>
        </w:rPr>
        <w:t>设备</w:t>
      </w:r>
      <w:r>
        <w:rPr>
          <w:rFonts w:hint="eastAsia" w:ascii="宋体" w:hAnsi="宋体" w:eastAsia="宋体" w:cs="宋体"/>
          <w:b/>
          <w:color w:val="auto"/>
          <w:szCs w:val="21"/>
          <w:highlight w:val="none"/>
          <w:lang w:val="zh-CN"/>
        </w:rPr>
        <w:t>购买方公章)；</w:t>
      </w:r>
    </w:p>
    <w:p>
      <w:pPr>
        <w:spacing w:line="360" w:lineRule="auto"/>
        <w:ind w:left="424" w:hanging="424" w:hangingChars="201"/>
        <w:rPr>
          <w:rFonts w:hint="eastAsia" w:ascii="宋体" w:hAnsi="宋体" w:eastAsia="宋体" w:cs="宋体"/>
          <w:b/>
          <w:color w:val="auto"/>
          <w:szCs w:val="21"/>
          <w:highlight w:val="none"/>
          <w:lang w:val="zh-CN"/>
        </w:rPr>
      </w:pPr>
      <w:bookmarkStart w:id="581" w:name="_Toc12931"/>
      <w:bookmarkStart w:id="582" w:name="_Toc24862"/>
      <w:bookmarkStart w:id="583"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581"/>
      <w:bookmarkEnd w:id="582"/>
      <w:bookmarkEnd w:id="583"/>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spacing w:line="360" w:lineRule="auto"/>
        <w:ind w:left="418" w:leftChars="199" w:firstLine="2940" w:firstLineChars="1400"/>
        <w:rPr>
          <w:rFonts w:hint="eastAsia" w:ascii="宋体" w:hAnsi="宋体" w:eastAsia="宋体" w:cs="宋体"/>
          <w:color w:val="auto"/>
          <w:szCs w:val="21"/>
          <w:highlight w:val="none"/>
          <w:lang w:val="zh-CN"/>
        </w:rPr>
      </w:pPr>
    </w:p>
    <w:p>
      <w:pPr>
        <w:spacing w:line="360" w:lineRule="auto"/>
        <w:ind w:left="418" w:leftChars="199" w:firstLine="2940" w:firstLineChars="1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pPr>
        <w:rPr>
          <w:rFonts w:ascii="宋体" w:hAnsi="宋体" w:eastAsia="宋体" w:cs="宋体"/>
          <w:b/>
          <w:color w:val="auto"/>
          <w:kern w:val="0"/>
          <w:sz w:val="30"/>
          <w:szCs w:val="30"/>
          <w:highlight w:val="none"/>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584" w:name="_Toc195714387"/>
      <w:bookmarkStart w:id="585" w:name="_Toc24235"/>
      <w:bookmarkStart w:id="586" w:name="_Toc8599"/>
      <w:bookmarkStart w:id="587" w:name="_Toc8041"/>
      <w:bookmarkStart w:id="588" w:name="_Toc21843"/>
      <w:bookmarkStart w:id="589" w:name="_Toc8121"/>
      <w:bookmarkStart w:id="590" w:name="_Toc7508"/>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最近3年投标人牵涉的其他（失信和违法）处罚说明格式</w:t>
      </w:r>
      <w:bookmarkEnd w:id="576"/>
      <w:bookmarkEnd w:id="577"/>
      <w:bookmarkEnd w:id="578"/>
      <w:bookmarkEnd w:id="579"/>
      <w:bookmarkEnd w:id="580"/>
      <w:bookmarkEnd w:id="584"/>
      <w:bookmarkEnd w:id="585"/>
      <w:bookmarkEnd w:id="586"/>
      <w:bookmarkEnd w:id="587"/>
      <w:bookmarkEnd w:id="588"/>
      <w:bookmarkEnd w:id="589"/>
      <w:bookmarkEnd w:id="590"/>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pPr>
        <w:rPr>
          <w:rFonts w:ascii="宋体" w:hAnsi="宋体" w:eastAsia="宋体" w:cs="宋体"/>
          <w:color w:val="auto"/>
          <w:szCs w:val="24"/>
          <w:highlight w:val="none"/>
          <w:lang w:val="zh-CN"/>
        </w:rPr>
      </w:pPr>
      <w:bookmarkStart w:id="591" w:name="_Toc1977731"/>
      <w:bookmarkStart w:id="592" w:name="_Toc6412"/>
      <w:bookmarkStart w:id="593" w:name="_Toc104991881"/>
      <w:bookmarkStart w:id="594" w:name="_Toc486167714"/>
      <w:bookmarkStart w:id="595" w:name="_Toc102860079"/>
      <w:bookmarkStart w:id="596" w:name="_Toc533708126"/>
      <w:bookmarkStart w:id="597" w:name="_Toc30939"/>
      <w:bookmarkStart w:id="598" w:name="_Toc140596934"/>
      <w:bookmarkStart w:id="599" w:name="_Toc2031_WPSOffice_Level2"/>
      <w:bookmarkStart w:id="600" w:name="_Toc142508374"/>
      <w:bookmarkStart w:id="601" w:name="_Toc102860423"/>
      <w:bookmarkStart w:id="602" w:name="_Toc94107215"/>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03" w:name="_Toc17508"/>
      <w:bookmarkStart w:id="604" w:name="_Toc18145"/>
      <w:bookmarkStart w:id="605" w:name="_Toc15794"/>
      <w:bookmarkStart w:id="606" w:name="_Toc195714388"/>
      <w:bookmarkStart w:id="607" w:name="_Toc3212"/>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608" w:name="_Toc2773_WPSOffice_Level3"/>
      <w:r>
        <w:rPr>
          <w:rFonts w:hint="eastAsia" w:ascii="宋体" w:hAnsi="宋体" w:eastAsia="宋体" w:cs="宋体"/>
          <w:b/>
          <w:bCs/>
          <w:color w:val="auto"/>
          <w:sz w:val="30"/>
          <w:szCs w:val="30"/>
          <w:highlight w:val="none"/>
          <w:lang w:val="zh-CN"/>
        </w:rPr>
        <w:t>投标人基本情况一览表</w:t>
      </w:r>
      <w:bookmarkEnd w:id="60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09" w:name="_Toc28703"/>
      <w:bookmarkStart w:id="610" w:name="_Toc195714389"/>
      <w:bookmarkStart w:id="611" w:name="_Toc94107216"/>
      <w:bookmarkStart w:id="612" w:name="_Toc142508375"/>
      <w:bookmarkStart w:id="613" w:name="_Toc29014"/>
      <w:bookmarkStart w:id="614" w:name="_Toc285"/>
      <w:bookmarkStart w:id="615" w:name="_Toc10443"/>
      <w:bookmarkStart w:id="616" w:name="_Toc140596935"/>
      <w:bookmarkStart w:id="617" w:name="_Toc2314"/>
      <w:bookmarkStart w:id="618" w:name="_Toc102860080"/>
      <w:bookmarkStart w:id="619" w:name="_Toc4023"/>
      <w:bookmarkStart w:id="620" w:name="_Toc104991882"/>
      <w:bookmarkStart w:id="621" w:name="_Toc102860424"/>
      <w:bookmarkStart w:id="622" w:name="_Toc1977733"/>
      <w:bookmarkStart w:id="623" w:name="_Toc9051_WPSOffice_Level2"/>
      <w:bookmarkStart w:id="624" w:name="_Toc486167715"/>
      <w:bookmarkStart w:id="625"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09"/>
      <w:bookmarkEnd w:id="610"/>
      <w:bookmarkEnd w:id="611"/>
      <w:bookmarkEnd w:id="612"/>
      <w:bookmarkEnd w:id="613"/>
      <w:bookmarkEnd w:id="614"/>
      <w:bookmarkEnd w:id="615"/>
      <w:bookmarkEnd w:id="616"/>
      <w:bookmarkEnd w:id="617"/>
      <w:bookmarkEnd w:id="618"/>
      <w:bookmarkEnd w:id="619"/>
      <w:bookmarkEnd w:id="620"/>
      <w:bookmarkEnd w:id="621"/>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2022</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2023</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2024</w:t>
            </w:r>
          </w:p>
        </w:tc>
        <w:tc>
          <w:tcPr>
            <w:tcW w:w="1944"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10" w:type="default"/>
          <w:pgSz w:w="11907" w:h="16840"/>
          <w:pgMar w:top="1701" w:right="1418" w:bottom="851" w:left="1418" w:header="720" w:footer="720" w:gutter="0"/>
          <w:cols w:space="720" w:num="1"/>
          <w:titlePg/>
          <w:docGrid w:linePitch="326" w:charSpace="0"/>
        </w:sectPr>
      </w:pPr>
    </w:p>
    <w:bookmarkEnd w:id="622"/>
    <w:bookmarkEnd w:id="623"/>
    <w:bookmarkEnd w:id="624"/>
    <w:bookmarkEnd w:id="625"/>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26" w:name="_Toc195714390"/>
      <w:bookmarkStart w:id="627" w:name="_Toc102860081"/>
      <w:bookmarkStart w:id="628" w:name="_Toc17995"/>
      <w:bookmarkStart w:id="629" w:name="_Toc104991883"/>
      <w:bookmarkStart w:id="630" w:name="_Toc333"/>
      <w:bookmarkStart w:id="631" w:name="_Toc486167716"/>
      <w:bookmarkStart w:id="632" w:name="_Toc6028"/>
      <w:bookmarkStart w:id="633" w:name="_Toc739_WPSOffice_Level2"/>
      <w:bookmarkStart w:id="634" w:name="_Toc1977736"/>
      <w:bookmarkStart w:id="635" w:name="_Toc533708130"/>
      <w:bookmarkStart w:id="636" w:name="_Toc4710"/>
      <w:bookmarkStart w:id="637" w:name="_Toc22319"/>
      <w:bookmarkStart w:id="638" w:name="_Toc94107217"/>
      <w:bookmarkStart w:id="639" w:name="_Toc26821"/>
      <w:bookmarkStart w:id="640" w:name="_Toc142508376"/>
      <w:bookmarkStart w:id="641" w:name="_Toc102860425"/>
      <w:bookmarkStart w:id="642" w:name="_Toc14059693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43" w:name="_Toc26412_WPSOffice_Level3"/>
      <w:r>
        <w:rPr>
          <w:rFonts w:hint="eastAsia" w:ascii="宋体" w:hAnsi="宋体" w:eastAsia="宋体" w:cs="宋体"/>
          <w:b/>
          <w:bCs/>
          <w:color w:val="auto"/>
          <w:kern w:val="0"/>
          <w:sz w:val="28"/>
          <w:szCs w:val="30"/>
          <w:highlight w:val="none"/>
          <w:lang w:val="zh-CN"/>
        </w:rPr>
        <w:t>东莞市长安新区污水处理厂原位技术升级设备采购及安装项目合同条款偏离表</w:t>
      </w:r>
      <w:bookmarkEnd w:id="643"/>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第二条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第三条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第四条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第六条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施工安全及其他要求</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第八条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保险</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第十条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安装、调试、维修要求</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1425" w:type="dxa"/>
            <w:vAlign w:val="center"/>
          </w:tcPr>
          <w:p>
            <w:pPr>
              <w:pStyle w:val="70"/>
              <w:keepNext w:val="0"/>
              <w:keepLines w:val="0"/>
              <w:suppressLineNumbers w:val="0"/>
              <w:snapToGrid w:val="0"/>
              <w:spacing w:before="0" w:beforeAutospacing="0" w:after="0" w:afterAutospacing="0" w:line="240" w:lineRule="auto"/>
              <w:ind w:left="0" w:leftChars="0" w:right="0" w:firstLine="0" w:firstLineChars="0"/>
              <w:jc w:val="center"/>
              <w:rPr>
                <w:rFonts w:hint="eastAsia" w:ascii="宋体" w:eastAsia="宋体"/>
                <w:color w:val="auto"/>
                <w:sz w:val="21"/>
                <w:szCs w:val="21"/>
                <w:highlight w:val="none"/>
              </w:rPr>
            </w:pPr>
            <w:r>
              <w:rPr>
                <w:rFonts w:hint="eastAsia" w:ascii="宋体" w:eastAsia="宋体"/>
                <w:color w:val="auto"/>
                <w:sz w:val="21"/>
                <w:szCs w:val="21"/>
                <w:highlight w:val="none"/>
              </w:rPr>
              <w:t>第十一条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leftChars="0" w:right="0" w:firstLine="0" w:firstLineChars="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eastAsia="zh"/>
              </w:rPr>
              <w:t>设备变更</w:t>
            </w:r>
            <w:r>
              <w:rPr>
                <w:rFonts w:hint="eastAsia" w:ascii="宋体" w:hAnsi="宋体" w:eastAsia="宋体" w:cs="Times New Roman"/>
                <w:color w:val="auto"/>
                <w:kern w:val="0"/>
                <w:szCs w:val="21"/>
                <w:highlight w:val="none"/>
                <w:lang w:val="en-US" w:eastAsia="zh-CN"/>
              </w:rPr>
              <w:t>条款</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leftChars="0" w:right="0" w:firstLine="0" w:firstLineChars="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leftChars="0" w:right="0" w:firstLine="0" w:firstLineChars="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第十二条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10</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第十三条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第十四条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第十</w:t>
            </w:r>
            <w:r>
              <w:rPr>
                <w:rFonts w:hint="eastAsia" w:ascii="宋体" w:eastAsia="宋体"/>
                <w:color w:val="auto"/>
                <w:sz w:val="21"/>
                <w:szCs w:val="21"/>
                <w:highlight w:val="none"/>
                <w:lang w:eastAsia="zh"/>
              </w:rPr>
              <w:t>五</w:t>
            </w:r>
            <w:r>
              <w:rPr>
                <w:rFonts w:hint="eastAsia" w:ascii="宋体" w:eastAsia="宋体"/>
                <w:color w:val="auto"/>
                <w:sz w:val="21"/>
                <w:szCs w:val="21"/>
                <w:highlight w:val="none"/>
              </w:rPr>
              <w:t>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pPr>
              <w:pStyle w:val="70"/>
              <w:keepNext w:val="0"/>
              <w:keepLines w:val="0"/>
              <w:suppressLineNumbers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CN"/>
              </w:rPr>
            </w:pPr>
            <w:r>
              <w:rPr>
                <w:rFonts w:hint="eastAsia" w:ascii="宋体" w:eastAsia="宋体"/>
                <w:color w:val="auto"/>
                <w:sz w:val="21"/>
                <w:szCs w:val="21"/>
                <w:highlight w:val="none"/>
              </w:rPr>
              <w:t>第十七条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425" w:type="dxa"/>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第十</w:t>
            </w: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lang w:eastAsia="zh-CN"/>
              </w:rPr>
              <w:t>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索赔</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第十九条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争议解决</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70"/>
              <w:keepNext w:val="0"/>
              <w:keepLines w:val="0"/>
              <w:suppressLineNumbers w:val="0"/>
              <w:autoSpaceDE w:val="0"/>
              <w:autoSpaceDN w:val="0"/>
              <w:adjustRightInd w:val="0"/>
              <w:snapToGrid w:val="0"/>
              <w:spacing w:before="0" w:beforeAutospacing="0" w:after="0" w:afterAutospacing="0" w:line="240" w:lineRule="auto"/>
              <w:ind w:left="0" w:right="0" w:firstLine="0" w:firstLineChars="0"/>
              <w:jc w:val="center"/>
              <w:rPr>
                <w:rFonts w:hint="eastAsia" w:ascii="宋体" w:hAnsi="宋体" w:eastAsia="宋体" w:cs="宋体"/>
                <w:color w:val="auto"/>
                <w:kern w:val="0"/>
                <w:szCs w:val="21"/>
                <w:highlight w:val="none"/>
                <w:lang w:eastAsia="zh"/>
              </w:rPr>
            </w:pPr>
            <w:r>
              <w:rPr>
                <w:rFonts w:hint="eastAsia" w:ascii="宋体" w:hAnsi="宋体" w:eastAsia="宋体" w:cs="宋体"/>
                <w:color w:val="auto"/>
                <w:kern w:val="0"/>
                <w:sz w:val="21"/>
                <w:szCs w:val="21"/>
                <w:highlight w:val="none"/>
              </w:rPr>
              <w:t>第二十</w:t>
            </w:r>
            <w:r>
              <w:rPr>
                <w:rFonts w:hint="eastAsia" w:ascii="宋体" w:hAnsi="宋体" w:eastAsia="宋体" w:cs="宋体"/>
                <w:color w:val="auto"/>
                <w:kern w:val="0"/>
                <w:sz w:val="21"/>
                <w:szCs w:val="21"/>
                <w:highlight w:val="none"/>
                <w:lang w:eastAsia="zh"/>
              </w:rPr>
              <w:t>一</w:t>
            </w:r>
            <w:r>
              <w:rPr>
                <w:rFonts w:hint="eastAsia" w:ascii="宋体" w:hAnsi="宋体" w:eastAsia="宋体" w:cs="宋体"/>
                <w:color w:val="auto"/>
                <w:kern w:val="0"/>
                <w:sz w:val="21"/>
                <w:szCs w:val="21"/>
                <w:highlight w:val="none"/>
              </w:rPr>
              <w:t>条</w:t>
            </w:r>
          </w:p>
        </w:tc>
        <w:tc>
          <w:tcPr>
            <w:tcW w:w="305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2</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设备到货验收报告</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3</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设备安装及单机/系统联动调试报告</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4</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Cs w:val="21"/>
                <w:highlight w:val="none"/>
              </w:rPr>
              <w:t>设备整体验收报告（现状老旧设备更换清单适用）</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5</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Cs/>
                <w:color w:val="auto"/>
                <w:kern w:val="0"/>
                <w:szCs w:val="21"/>
                <w:highlight w:val="none"/>
              </w:rPr>
              <w:t>廉洁协议书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附件6</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安全生产管理协议</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Cs w:val="21"/>
                <w:highlight w:val="none"/>
              </w:rPr>
              <w:t>不可撤销银行履约保函</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Cs w:val="21"/>
                <w:highlight w:val="none"/>
              </w:rPr>
              <w:t>履约保证保险凭证</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三</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Cs w:val="21"/>
                <w:highlight w:val="none"/>
              </w:rPr>
              <w:t>担保公司履约担保书</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
              </w:rPr>
              <w:t>26</w:t>
            </w: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预付款银行保函</w:t>
            </w:r>
          </w:p>
        </w:tc>
        <w:tc>
          <w:tcPr>
            <w:tcW w:w="1346"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服务商务条件不满足或不完全满足招标文件的要求；无偏离是指投标人提供的货物及有关服务服务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44" w:name="_Toc104991884"/>
      <w:bookmarkStart w:id="645" w:name="_Toc102860426"/>
      <w:bookmarkStart w:id="646" w:name="_Toc24551"/>
      <w:bookmarkStart w:id="647" w:name="_Toc142508377"/>
      <w:bookmarkStart w:id="648" w:name="_Toc6848"/>
      <w:bookmarkStart w:id="649" w:name="_Toc5473"/>
      <w:bookmarkStart w:id="650" w:name="_Toc102860082"/>
      <w:bookmarkStart w:id="651" w:name="_Toc140596937"/>
      <w:bookmarkStart w:id="652" w:name="_Toc13179"/>
      <w:bookmarkStart w:id="653" w:name="_Toc31371"/>
      <w:bookmarkStart w:id="654" w:name="_Toc195714391"/>
      <w:bookmarkStart w:id="655" w:name="_Toc94107218"/>
      <w:bookmarkStart w:id="656" w:name="_Toc29505"/>
      <w:bookmarkStart w:id="657" w:name="_Toc27980_WPSOffice_Level2"/>
      <w:bookmarkStart w:id="658"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44"/>
      <w:bookmarkEnd w:id="645"/>
      <w:bookmarkEnd w:id="646"/>
      <w:bookmarkEnd w:id="647"/>
      <w:bookmarkEnd w:id="648"/>
      <w:bookmarkEnd w:id="649"/>
      <w:bookmarkEnd w:id="650"/>
      <w:bookmarkEnd w:id="651"/>
      <w:bookmarkEnd w:id="652"/>
      <w:bookmarkEnd w:id="653"/>
      <w:bookmarkEnd w:id="654"/>
      <w:bookmarkEnd w:id="655"/>
      <w:bookmarkEnd w:id="656"/>
    </w:p>
    <w:p>
      <w:pPr>
        <w:autoSpaceDE w:val="0"/>
        <w:autoSpaceDN w:val="0"/>
        <w:adjustRightInd w:val="0"/>
        <w:spacing w:line="360" w:lineRule="auto"/>
        <w:jc w:val="center"/>
        <w:outlineLvl w:val="2"/>
        <w:rPr>
          <w:rFonts w:ascii="宋体" w:hAnsi="宋体" w:eastAsia="宋体" w:cs="Times New Roman"/>
          <w:b/>
          <w:bCs/>
          <w:color w:val="auto"/>
          <w:sz w:val="30"/>
          <w:szCs w:val="30"/>
          <w:highlight w:val="none"/>
        </w:rPr>
      </w:pPr>
      <w:bookmarkStart w:id="659" w:name="_Toc15773"/>
      <w:bookmarkStart w:id="660" w:name="_Toc29072"/>
      <w:bookmarkStart w:id="661" w:name="_Toc195714392"/>
      <w:bookmarkStart w:id="662" w:name="_Toc8501"/>
      <w:r>
        <w:rPr>
          <w:rFonts w:hint="eastAsia" w:ascii="宋体" w:hAnsi="宋体" w:eastAsia="宋体" w:cs="Times New Roman"/>
          <w:b/>
          <w:bCs/>
          <w:color w:val="auto"/>
          <w:sz w:val="30"/>
          <w:szCs w:val="30"/>
          <w:highlight w:val="none"/>
          <w:lang w:val="zh-CN" w:eastAsia="zh-CN"/>
        </w:rPr>
        <w:t>投标人</w:t>
      </w:r>
      <w:r>
        <w:rPr>
          <w:rFonts w:hint="eastAsia" w:ascii="宋体" w:hAnsi="宋体" w:eastAsia="宋体" w:cs="Times New Roman"/>
          <w:b/>
          <w:bCs/>
          <w:color w:val="auto"/>
          <w:sz w:val="30"/>
          <w:szCs w:val="30"/>
          <w:highlight w:val="none"/>
          <w:lang w:val="zh-CN"/>
        </w:rPr>
        <w:t>2022年1月1日</w:t>
      </w:r>
      <w:r>
        <w:rPr>
          <w:rFonts w:hint="eastAsia" w:ascii="宋体" w:hAnsi="宋体" w:eastAsia="宋体" w:cs="Times New Roman"/>
          <w:b/>
          <w:bCs/>
          <w:color w:val="auto"/>
          <w:sz w:val="30"/>
          <w:szCs w:val="30"/>
          <w:highlight w:val="none"/>
          <w:lang w:val="en-US" w:eastAsia="zh-CN"/>
        </w:rPr>
        <w:t>以来</w:t>
      </w:r>
      <w:r>
        <w:rPr>
          <w:rFonts w:hint="eastAsia" w:ascii="宋体" w:hAnsi="宋体" w:eastAsia="宋体" w:cs="Times New Roman"/>
          <w:b/>
          <w:bCs/>
          <w:color w:val="auto"/>
          <w:sz w:val="30"/>
          <w:szCs w:val="30"/>
          <w:highlight w:val="none"/>
          <w:lang w:val="zh-CN" w:eastAsia="zh-CN"/>
        </w:rPr>
        <w:t>具有的用于污水处理扩容的技术改造及其成套设备在国内的供货业绩</w:t>
      </w:r>
      <w:r>
        <w:rPr>
          <w:rFonts w:hint="eastAsia" w:ascii="宋体" w:hAnsi="宋体" w:eastAsia="宋体" w:cs="Times New Roman"/>
          <w:b/>
          <w:bCs/>
          <w:color w:val="auto"/>
          <w:sz w:val="30"/>
          <w:szCs w:val="30"/>
          <w:highlight w:val="none"/>
          <w:lang w:val="zh-CN"/>
        </w:rPr>
        <w:t>（合同</w:t>
      </w:r>
      <w:r>
        <w:rPr>
          <w:rFonts w:hint="eastAsia" w:ascii="宋体" w:hAnsi="宋体" w:eastAsia="宋体" w:cs="Times New Roman"/>
          <w:b/>
          <w:bCs/>
          <w:color w:val="auto"/>
          <w:sz w:val="30"/>
          <w:szCs w:val="30"/>
          <w:highlight w:val="none"/>
          <w:lang w:val="en-US" w:eastAsia="zh-CN"/>
        </w:rPr>
        <w:t>签订</w:t>
      </w:r>
      <w:r>
        <w:rPr>
          <w:rFonts w:hint="eastAsia" w:ascii="宋体" w:hAnsi="宋体" w:eastAsia="宋体" w:cs="Times New Roman"/>
          <w:b/>
          <w:bCs/>
          <w:color w:val="auto"/>
          <w:sz w:val="30"/>
          <w:szCs w:val="30"/>
          <w:highlight w:val="none"/>
          <w:lang w:val="zh-CN"/>
        </w:rPr>
        <w:t>日期为2022年1月1日或以后）表</w:t>
      </w:r>
      <w:bookmarkEnd w:id="659"/>
      <w:bookmarkEnd w:id="660"/>
      <w:bookmarkEnd w:id="661"/>
      <w:bookmarkEnd w:id="662"/>
    </w:p>
    <w:tbl>
      <w:tblPr>
        <w:tblStyle w:val="44"/>
        <w:tblW w:w="445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4"/>
        <w:gridCol w:w="1334"/>
        <w:gridCol w:w="993"/>
        <w:gridCol w:w="993"/>
        <w:gridCol w:w="1431"/>
        <w:gridCol w:w="1431"/>
        <w:gridCol w:w="828"/>
        <w:gridCol w:w="943"/>
        <w:gridCol w:w="6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w:t>
            </w:r>
            <w:r>
              <w:rPr>
                <w:rFonts w:hint="eastAsia" w:ascii="宋体" w:hAnsi="宋体" w:eastAsia="宋体" w:cs="宋体"/>
                <w:color w:val="auto"/>
                <w:kern w:val="0"/>
                <w:szCs w:val="21"/>
                <w:highlight w:val="none"/>
                <w:lang w:val="en-US" w:eastAsia="zh-CN"/>
              </w:rPr>
              <w:t>主要技术改造设备</w:t>
            </w:r>
            <w:r>
              <w:rPr>
                <w:rFonts w:hint="eastAsia" w:ascii="宋体" w:hAnsi="宋体" w:eastAsia="宋体" w:cs="宋体"/>
                <w:color w:val="auto"/>
                <w:kern w:val="0"/>
                <w:szCs w:val="21"/>
                <w:highlight w:val="none"/>
              </w:rPr>
              <w:t>名称</w:t>
            </w: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lang w:val="en-US" w:eastAsia="zh-CN"/>
              </w:rPr>
              <w:t>技术改造项目前原污水处理规模</w:t>
            </w: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en-US" w:eastAsia="zh-CN"/>
              </w:rPr>
              <w:t>扩容后的污水处理规模</w:t>
            </w: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应用的改造技术</w:t>
            </w:r>
          </w:p>
        </w:tc>
        <w:tc>
          <w:tcPr>
            <w:tcW w:w="44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7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7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7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72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3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7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4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1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3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）业绩须附合同原件扫描件及合同对应的技术设备</w:t>
      </w:r>
      <w:r>
        <w:rPr>
          <w:rFonts w:hint="eastAsia" w:ascii="宋体" w:hAnsi="宋体" w:eastAsia="宋体" w:cs="Times New Roman"/>
          <w:color w:val="auto"/>
          <w:szCs w:val="24"/>
          <w:highlight w:val="none"/>
          <w:lang w:val="en-US" w:eastAsia="zh-CN"/>
        </w:rPr>
        <w:t>供货</w:t>
      </w:r>
      <w:r>
        <w:rPr>
          <w:rFonts w:hint="eastAsia" w:ascii="宋体" w:hAnsi="宋体" w:eastAsia="宋体" w:cs="Times New Roman"/>
          <w:color w:val="auto"/>
          <w:szCs w:val="24"/>
          <w:highlight w:val="none"/>
          <w:lang w:val="zh-CN"/>
        </w:rPr>
        <w:t>清单(合同</w:t>
      </w:r>
      <w:r>
        <w:rPr>
          <w:rFonts w:hint="eastAsia" w:ascii="宋体" w:hAnsi="宋体" w:eastAsia="宋体" w:cs="Times New Roman"/>
          <w:color w:val="auto"/>
          <w:szCs w:val="24"/>
          <w:highlight w:val="none"/>
          <w:lang w:val="en-US" w:eastAsia="zh-CN"/>
        </w:rPr>
        <w:t>设备</w:t>
      </w:r>
      <w:r>
        <w:rPr>
          <w:rFonts w:hint="eastAsia" w:ascii="宋体" w:hAnsi="宋体" w:eastAsia="宋体" w:cs="Times New Roman"/>
          <w:color w:val="auto"/>
          <w:szCs w:val="24"/>
          <w:highlight w:val="none"/>
          <w:lang w:val="zh-CN"/>
        </w:rPr>
        <w:t>提供方为投标人)</w:t>
      </w:r>
      <w:r>
        <w:rPr>
          <w:rFonts w:hint="eastAsia" w:ascii="宋体" w:hAnsi="宋体" w:eastAsia="宋体" w:cs="宋体"/>
          <w:b/>
          <w:bCs/>
          <w:color w:val="auto"/>
          <w:kern w:val="2"/>
          <w:sz w:val="21"/>
          <w:szCs w:val="21"/>
          <w:highlight w:val="none"/>
          <w:lang w:val="en-US" w:eastAsia="zh-CN" w:bidi="ar"/>
        </w:rPr>
        <w:t>，否则不得分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w:t>
      </w:r>
      <w:r>
        <w:rPr>
          <w:rFonts w:hint="eastAsia" w:ascii="宋体" w:hAnsi="宋体" w:eastAsia="宋体" w:cs="Times New Roman"/>
          <w:color w:val="auto"/>
          <w:szCs w:val="24"/>
          <w:highlight w:val="none"/>
          <w:lang w:val="en-US" w:eastAsia="zh-CN"/>
        </w:rPr>
        <w:t>签订</w:t>
      </w:r>
      <w:r>
        <w:rPr>
          <w:rFonts w:hint="eastAsia" w:ascii="宋体" w:hAnsi="宋体" w:eastAsia="宋体" w:cs="Times New Roman"/>
          <w:color w:val="auto"/>
          <w:szCs w:val="24"/>
          <w:highlight w:val="none"/>
          <w:lang w:val="zh-CN"/>
        </w:rPr>
        <w:t>日期为2022年1月1日或以后，</w:t>
      </w:r>
      <w:r>
        <w:rPr>
          <w:rFonts w:hint="eastAsia" w:ascii="宋体" w:hAnsi="宋体" w:eastAsia="宋体" w:cs="宋体"/>
          <w:b w:val="0"/>
          <w:bCs w:val="0"/>
          <w:color w:val="auto"/>
          <w:kern w:val="2"/>
          <w:sz w:val="21"/>
          <w:szCs w:val="21"/>
          <w:highlight w:val="none"/>
          <w:lang w:val="en-US" w:eastAsia="zh-CN" w:bidi="ar"/>
        </w:rPr>
        <w:t>设备用于污水处理扩</w:t>
      </w:r>
      <w:r>
        <w:rPr>
          <w:rFonts w:hint="eastAsia" w:ascii="宋体" w:hAnsi="宋体" w:eastAsia="宋体" w:cs="宋体"/>
          <w:color w:val="auto"/>
          <w:kern w:val="2"/>
          <w:sz w:val="21"/>
          <w:szCs w:val="21"/>
          <w:highlight w:val="none"/>
          <w:lang w:val="en-US" w:eastAsia="zh-CN" w:bidi="ar"/>
        </w:rPr>
        <w:t>容</w:t>
      </w:r>
      <w:r>
        <w:rPr>
          <w:rFonts w:hint="eastAsia" w:ascii="宋体" w:hAnsi="宋体" w:eastAsia="宋体" w:cs="宋体"/>
          <w:b/>
          <w:bCs/>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扩容后的污水处理规模</w:t>
      </w:r>
      <w:r>
        <w:rPr>
          <w:rFonts w:hint="eastAsia" w:ascii="宋体" w:hAnsi="宋体" w:eastAsia="宋体" w:cs="Times New Roman"/>
          <w:color w:val="auto"/>
          <w:szCs w:val="24"/>
          <w:highlight w:val="none"/>
          <w:lang w:val="en-US" w:eastAsia="zh-CN"/>
        </w:rPr>
        <w:t>）</w:t>
      </w:r>
      <w:r>
        <w:rPr>
          <w:rFonts w:hint="eastAsia" w:ascii="宋体" w:hAnsi="宋体" w:eastAsia="宋体" w:cs="Times New Roman"/>
          <w:color w:val="auto"/>
          <w:szCs w:val="24"/>
          <w:highlight w:val="none"/>
          <w:lang w:val="zh-CN"/>
        </w:rPr>
        <w:t>，还需同时提供货物购买方出具的书面补充情况说明文件</w:t>
      </w:r>
      <w:r>
        <w:rPr>
          <w:rFonts w:hint="eastAsia" w:ascii="宋体" w:hAnsi="宋体" w:eastAsia="宋体" w:cs="Times New Roman"/>
          <w:color w:val="auto"/>
          <w:szCs w:val="24"/>
          <w:highlight w:val="none"/>
          <w:lang w:val="en-US" w:eastAsia="zh-CN"/>
        </w:rPr>
        <w:t>扫描件</w:t>
      </w:r>
      <w:r>
        <w:rPr>
          <w:rFonts w:hint="eastAsia" w:ascii="宋体" w:hAnsi="宋体" w:eastAsia="宋体" w:cs="Times New Roman"/>
          <w:color w:val="auto"/>
          <w:szCs w:val="24"/>
          <w:highlight w:val="none"/>
          <w:lang w:val="zh-CN"/>
        </w:rPr>
        <w:t>(书面补充说明文件</w:t>
      </w:r>
      <w:r>
        <w:rPr>
          <w:rFonts w:hint="eastAsia" w:ascii="宋体" w:hAnsi="宋体" w:eastAsia="宋体" w:cs="Times New Roman"/>
          <w:color w:val="auto"/>
          <w:szCs w:val="24"/>
          <w:highlight w:val="none"/>
          <w:lang w:val="en-US" w:eastAsia="zh-CN"/>
        </w:rPr>
        <w:t>扫描件</w:t>
      </w:r>
      <w:r>
        <w:rPr>
          <w:rFonts w:hint="eastAsia" w:ascii="宋体" w:hAnsi="宋体" w:eastAsia="宋体" w:cs="Times New Roman"/>
          <w:color w:val="auto"/>
          <w:szCs w:val="24"/>
          <w:highlight w:val="none"/>
          <w:lang w:val="zh-CN"/>
        </w:rPr>
        <w:t>能显示合同</w:t>
      </w:r>
      <w:r>
        <w:rPr>
          <w:rFonts w:hint="eastAsia" w:ascii="宋体" w:hAnsi="宋体" w:eastAsia="宋体" w:cs="Times New Roman"/>
          <w:color w:val="auto"/>
          <w:szCs w:val="24"/>
          <w:highlight w:val="none"/>
          <w:lang w:val="en-US" w:eastAsia="zh-CN"/>
        </w:rPr>
        <w:t>设备</w:t>
      </w:r>
      <w:r>
        <w:rPr>
          <w:rFonts w:hint="eastAsia" w:ascii="宋体" w:hAnsi="宋体" w:eastAsia="宋体" w:cs="Times New Roman"/>
          <w:color w:val="auto"/>
          <w:szCs w:val="24"/>
          <w:highlight w:val="none"/>
          <w:lang w:val="zh-CN"/>
        </w:rPr>
        <w:t>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val="zh-CN"/>
        </w:rPr>
        <w:t>）若单个业绩合同中包含多个污水处理运营项目，评分时按合同中单个运营项目扩容后的污水处理规模最高的计算该业绩合同得分；</w:t>
      </w:r>
    </w:p>
    <w:p>
      <w:pPr>
        <w:autoSpaceDE w:val="0"/>
        <w:autoSpaceDN w:val="0"/>
        <w:adjustRightInd w:val="0"/>
        <w:snapToGrid w:val="0"/>
        <w:spacing w:line="360" w:lineRule="auto"/>
        <w:ind w:left="483" w:leftChars="-41" w:hanging="569" w:hangingChars="270"/>
        <w:jc w:val="left"/>
        <w:rPr>
          <w:rFonts w:ascii="宋体" w:hAnsi="宋体" w:eastAsia="宋体" w:cs="宋体"/>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autoSpaceDE w:val="0"/>
        <w:autoSpaceDN w:val="0"/>
        <w:adjustRightInd w:val="0"/>
        <w:spacing w:line="360" w:lineRule="auto"/>
        <w:jc w:val="center"/>
        <w:rPr>
          <w:rFonts w:ascii="宋体" w:hAnsi="宋体" w:eastAsia="宋体" w:cs="Times New Roman"/>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bookmarkEnd w:id="657"/>
    <w:bookmarkEnd w:id="658"/>
    <w:p>
      <w:pPr>
        <w:widowControl/>
        <w:autoSpaceDE/>
        <w:autoSpaceDN/>
        <w:adjustRightInd/>
        <w:spacing w:line="240" w:lineRule="auto"/>
        <w:jc w:val="left"/>
        <w:rPr>
          <w:rFonts w:ascii="宋体" w:hAnsi="宋体" w:eastAsia="宋体" w:cs="宋体"/>
          <w:b/>
          <w:bCs/>
          <w:color w:val="auto"/>
          <w:kern w:val="0"/>
          <w:sz w:val="32"/>
          <w:szCs w:val="32"/>
          <w:highlight w:val="none"/>
          <w:lang w:val="zh-CN"/>
        </w:rPr>
      </w:pPr>
      <w:bookmarkStart w:id="663" w:name="_Toc104991886"/>
      <w:bookmarkStart w:id="664" w:name="_Toc29652"/>
      <w:bookmarkStart w:id="665" w:name="_Toc102860428"/>
      <w:bookmarkStart w:id="666" w:name="_Toc24616"/>
      <w:bookmarkStart w:id="667" w:name="_Toc140596939"/>
      <w:bookmarkStart w:id="668" w:name="_Toc2007"/>
      <w:bookmarkStart w:id="669" w:name="_Toc1977738"/>
      <w:bookmarkStart w:id="670" w:name="_Toc142508379"/>
      <w:bookmarkStart w:id="671" w:name="_Toc94107221"/>
      <w:bookmarkStart w:id="672" w:name="_Toc102860084"/>
      <w:bookmarkStart w:id="673" w:name="_Toc533708134"/>
      <w:bookmarkStart w:id="674" w:name="_Toc486167721"/>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75" w:name="_Toc195714398"/>
      <w:bookmarkStart w:id="676" w:name="_Toc28042"/>
      <w:bookmarkStart w:id="677" w:name="_Toc15222"/>
      <w:bookmarkStart w:id="678" w:name="_Toc2803"/>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lang w:val="zh-CN"/>
        </w:rPr>
        <w:t>、</w:t>
      </w:r>
      <w:bookmarkEnd w:id="663"/>
      <w:bookmarkEnd w:id="664"/>
      <w:bookmarkEnd w:id="665"/>
      <w:bookmarkEnd w:id="666"/>
      <w:bookmarkEnd w:id="667"/>
      <w:bookmarkEnd w:id="668"/>
      <w:bookmarkEnd w:id="669"/>
      <w:bookmarkEnd w:id="670"/>
      <w:bookmarkEnd w:id="671"/>
      <w:bookmarkEnd w:id="672"/>
      <w:bookmarkEnd w:id="675"/>
      <w:bookmarkEnd w:id="676"/>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677"/>
      <w:bookmarkEnd w:id="678"/>
    </w:p>
    <w:p>
      <w:pPr>
        <w:jc w:val="center"/>
        <w:outlineLvl w:val="1"/>
        <w:rPr>
          <w:rFonts w:ascii="宋体" w:hAnsi="宋体" w:eastAsia="宋体" w:cs="宋体"/>
          <w:b/>
          <w:color w:val="auto"/>
          <w:kern w:val="0"/>
          <w:sz w:val="32"/>
          <w:szCs w:val="32"/>
          <w:highlight w:val="none"/>
        </w:rPr>
      </w:pPr>
      <w:bookmarkStart w:id="679" w:name="_Toc26608"/>
      <w:bookmarkStart w:id="680" w:name="_Toc7391"/>
      <w:bookmarkStart w:id="681" w:name="_Toc4972"/>
      <w:bookmarkStart w:id="682" w:name="_Toc195714399"/>
      <w:bookmarkStart w:id="683" w:name="_Toc104991887"/>
      <w:bookmarkStart w:id="684" w:name="_Toc102860429"/>
      <w:bookmarkStart w:id="685" w:name="_Toc18038"/>
      <w:bookmarkStart w:id="686" w:name="_Toc27482"/>
      <w:bookmarkStart w:id="687" w:name="_Toc102860085"/>
      <w:bookmarkStart w:id="688" w:name="_Toc31916"/>
      <w:bookmarkStart w:id="689" w:name="_Toc142508380"/>
      <w:bookmarkStart w:id="690" w:name="_Toc140596940"/>
      <w:bookmarkStart w:id="691" w:name="_Toc94107222"/>
      <w:bookmarkStart w:id="692" w:name="_Toc1977739"/>
      <w:r>
        <w:rPr>
          <w:rFonts w:hint="eastAsia" w:ascii="宋体" w:hAnsi="宋体" w:eastAsia="宋体" w:cs="宋体"/>
          <w:b/>
          <w:color w:val="auto"/>
          <w:kern w:val="0"/>
          <w:sz w:val="32"/>
          <w:szCs w:val="32"/>
          <w:highlight w:val="none"/>
        </w:rPr>
        <w:t>二  技术标格式</w:t>
      </w:r>
      <w:bookmarkEnd w:id="679"/>
      <w:bookmarkEnd w:id="680"/>
      <w:bookmarkEnd w:id="681"/>
      <w:bookmarkEnd w:id="682"/>
    </w:p>
    <w:p>
      <w:pPr>
        <w:jc w:val="left"/>
        <w:rPr>
          <w:rFonts w:ascii="宋体" w:hAnsi="宋体" w:eastAsia="宋体" w:cs="宋体"/>
          <w:b/>
          <w:color w:val="auto"/>
          <w:kern w:val="0"/>
          <w:sz w:val="32"/>
          <w:szCs w:val="32"/>
          <w:highlight w:val="none"/>
        </w:rPr>
      </w:pPr>
    </w:p>
    <w:bookmarkEnd w:id="673"/>
    <w:bookmarkEnd w:id="683"/>
    <w:bookmarkEnd w:id="684"/>
    <w:bookmarkEnd w:id="685"/>
    <w:bookmarkEnd w:id="686"/>
    <w:bookmarkEnd w:id="687"/>
    <w:bookmarkEnd w:id="688"/>
    <w:bookmarkEnd w:id="689"/>
    <w:bookmarkEnd w:id="690"/>
    <w:bookmarkEnd w:id="691"/>
    <w:bookmarkEnd w:id="692"/>
    <w:p>
      <w:pPr>
        <w:pStyle w:val="2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674"/>
      <w:bookmarkStart w:id="693" w:name="_Toc1977740"/>
      <w:bookmarkStart w:id="694" w:name="_Toc94107223"/>
      <w:bookmarkStart w:id="695" w:name="_Toc140596941"/>
      <w:bookmarkStart w:id="696" w:name="_Toc104991888"/>
      <w:bookmarkStart w:id="697" w:name="_Toc102860086"/>
      <w:bookmarkStart w:id="698" w:name="_Toc102860430"/>
      <w:bookmarkStart w:id="699" w:name="_Toc142508381"/>
      <w:bookmarkStart w:id="700" w:name="_Toc533708135"/>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b/>
          <w:color w:val="auto"/>
          <w:kern w:val="0"/>
          <w:szCs w:val="21"/>
          <w:highlight w:val="none"/>
        </w:rPr>
      </w:pPr>
    </w:p>
    <w:p>
      <w:pPr>
        <w:pStyle w:val="20"/>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pPr>
        <w:pStyle w:val="20"/>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pPr>
        <w:pStyle w:val="20"/>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20"/>
        <w:spacing w:line="360" w:lineRule="auto"/>
        <w:rPr>
          <w:rFonts w:ascii="宋体" w:hAnsi="宋体" w:cs="宋体"/>
          <w:color w:val="auto"/>
          <w:highlight w:val="none"/>
        </w:rPr>
      </w:pPr>
    </w:p>
    <w:p>
      <w:pPr>
        <w:pStyle w:val="20"/>
        <w:spacing w:line="360" w:lineRule="auto"/>
        <w:rPr>
          <w:rFonts w:ascii="宋体" w:hAnsi="宋体" w:cs="宋体"/>
          <w:color w:val="auto"/>
          <w:highlight w:val="none"/>
        </w:rPr>
      </w:pPr>
      <w:r>
        <w:rPr>
          <w:rFonts w:hint="eastAsia" w:ascii="宋体" w:hAnsi="宋体" w:cs="宋体"/>
          <w:color w:val="auto"/>
          <w:highlight w:val="none"/>
        </w:rPr>
        <w:br w:type="page"/>
      </w:r>
    </w:p>
    <w:p>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701" w:name="_Toc195714400"/>
      <w:bookmarkStart w:id="702" w:name="_Toc13279"/>
      <w:bookmarkStart w:id="703" w:name="_Toc14054"/>
      <w:bookmarkStart w:id="704" w:name="_Toc21189"/>
      <w:r>
        <w:rPr>
          <w:rFonts w:hint="eastAsia" w:ascii="宋体" w:hAnsi="宋体" w:eastAsia="宋体" w:cs="宋体"/>
          <w:b/>
          <w:color w:val="auto"/>
          <w:kern w:val="0"/>
          <w:sz w:val="24"/>
          <w:szCs w:val="24"/>
          <w:highlight w:val="none"/>
        </w:rPr>
        <w:t>目录</w:t>
      </w:r>
      <w:bookmarkEnd w:id="701"/>
      <w:bookmarkEnd w:id="702"/>
      <w:bookmarkEnd w:id="703"/>
      <w:bookmarkEnd w:id="704"/>
    </w:p>
    <w:p>
      <w:pPr>
        <w:spacing w:line="360" w:lineRule="auto"/>
        <w:ind w:left="443" w:leftChars="77" w:hanging="281" w:hangingChars="134"/>
        <w:rPr>
          <w:rFonts w:hint="eastAsia" w:ascii="宋体" w:hAnsi="宋体" w:eastAsia="宋体" w:cs="宋体"/>
          <w:color w:val="auto"/>
          <w:kern w:val="0"/>
          <w:szCs w:val="21"/>
          <w:highlight w:val="none"/>
        </w:rPr>
      </w:pP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一、用户需求的响应程度（用户需求偏离表）；</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、供货货物清单表；</w:t>
      </w:r>
    </w:p>
    <w:p>
      <w:pPr>
        <w:spacing w:line="360" w:lineRule="auto"/>
        <w:ind w:left="443" w:leftChars="77" w:hanging="281" w:hangingChars="134"/>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、设备安装必需的配件供货清单；</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总体技术方案；</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default"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技术性能承诺表；</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en-US" w:eastAsia="zh-CN"/>
        </w:rPr>
        <w:t>、</w:t>
      </w:r>
      <w:r>
        <w:rPr>
          <w:rFonts w:hint="eastAsia" w:ascii="宋体" w:hAnsi="宋体" w:eastAsia="宋体" w:cs="宋体"/>
          <w:b w:val="0"/>
          <w:bCs w:val="0"/>
          <w:color w:val="auto"/>
          <w:sz w:val="21"/>
          <w:szCs w:val="21"/>
          <w:highlight w:val="none"/>
          <w:lang w:val="en-US" w:eastAsia="zh-CN"/>
        </w:rPr>
        <w:t>专利技术</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lang w:eastAsia="zh-CN"/>
        </w:rPr>
        <w:t>专业人员配备表；</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八、</w:t>
      </w:r>
      <w:r>
        <w:rPr>
          <w:rFonts w:hint="eastAsia" w:ascii="宋体" w:hAnsi="宋体" w:eastAsia="宋体" w:cs="宋体"/>
          <w:color w:val="auto"/>
          <w:kern w:val="0"/>
          <w:szCs w:val="21"/>
          <w:highlight w:val="none"/>
          <w:lang w:eastAsia="zh-CN"/>
        </w:rPr>
        <w:t>供货、安装计划及进度保证措施；</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lang w:eastAsia="zh-CN"/>
        </w:rPr>
        <w:t>质保期、维修响应时间承诺表；</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十、</w:t>
      </w:r>
      <w:r>
        <w:rPr>
          <w:rFonts w:hint="eastAsia" w:ascii="宋体" w:hAnsi="宋体" w:eastAsia="宋体" w:cs="宋体"/>
          <w:color w:val="auto"/>
          <w:kern w:val="0"/>
          <w:szCs w:val="21"/>
          <w:highlight w:val="none"/>
          <w:lang w:eastAsia="zh-CN"/>
        </w:rPr>
        <w:t>投标人认为有必要提供的其它材料（不做强制要求）。</w:t>
      </w:r>
    </w:p>
    <w:p>
      <w:pPr>
        <w:spacing w:line="360" w:lineRule="auto"/>
        <w:ind w:left="443" w:leftChars="77" w:hanging="281" w:hangingChars="134"/>
        <w:rPr>
          <w:rFonts w:hint="eastAsia" w:ascii="宋体" w:hAnsi="宋体" w:eastAsia="宋体" w:cs="宋体"/>
          <w:color w:val="auto"/>
          <w:kern w:val="0"/>
          <w:szCs w:val="21"/>
          <w:highlight w:val="none"/>
          <w:lang w:eastAsia="zh-CN"/>
        </w:rPr>
      </w:pPr>
    </w:p>
    <w:p>
      <w:pPr>
        <w:spacing w:line="360" w:lineRule="auto"/>
        <w:ind w:left="443" w:leftChars="77" w:hanging="281" w:hangingChars="134"/>
        <w:rPr>
          <w:rFonts w:hint="eastAsia" w:ascii="宋体" w:hAnsi="宋体" w:eastAsia="宋体" w:cs="宋体"/>
          <w:color w:val="auto"/>
          <w:kern w:val="0"/>
          <w:szCs w:val="21"/>
          <w:highlight w:val="none"/>
        </w:rPr>
      </w:pP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p>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5" w:name="_Toc195714401"/>
      <w:bookmarkStart w:id="706" w:name="_Toc16814"/>
      <w:bookmarkStart w:id="707" w:name="_Toc24129"/>
      <w:bookmarkStart w:id="708" w:name="_Toc30448"/>
      <w:bookmarkStart w:id="709" w:name="_Toc27934"/>
      <w:bookmarkStart w:id="710" w:name="_Toc18941"/>
      <w:bookmarkStart w:id="711" w:name="_Toc18999"/>
      <w:r>
        <w:rPr>
          <w:rFonts w:hint="eastAsia" w:ascii="宋体" w:hAnsi="宋体" w:eastAsia="宋体" w:cs="宋体"/>
          <w:b/>
          <w:color w:val="auto"/>
          <w:kern w:val="0"/>
          <w:sz w:val="30"/>
          <w:szCs w:val="30"/>
          <w:highlight w:val="none"/>
        </w:rPr>
        <w:t>一、用户需求偏离表</w:t>
      </w:r>
      <w:bookmarkEnd w:id="693"/>
      <w:bookmarkEnd w:id="694"/>
      <w:bookmarkEnd w:id="695"/>
      <w:bookmarkEnd w:id="696"/>
      <w:bookmarkEnd w:id="697"/>
      <w:bookmarkEnd w:id="698"/>
      <w:bookmarkEnd w:id="699"/>
      <w:bookmarkEnd w:id="700"/>
      <w:bookmarkEnd w:id="705"/>
      <w:bookmarkEnd w:id="706"/>
      <w:bookmarkEnd w:id="707"/>
      <w:bookmarkEnd w:id="708"/>
      <w:bookmarkEnd w:id="709"/>
      <w:bookmarkEnd w:id="710"/>
      <w:bookmarkEnd w:id="711"/>
    </w:p>
    <w:p>
      <w:pPr>
        <w:spacing w:before="120" w:after="120" w:line="360" w:lineRule="auto"/>
        <w:jc w:val="center"/>
        <w:rPr>
          <w:rFonts w:hint="default" w:ascii="宋体" w:hAnsi="宋体" w:eastAsia="宋体" w:cs="Times New Roman"/>
          <w:color w:val="auto"/>
          <w:kern w:val="0"/>
          <w:szCs w:val="21"/>
          <w:highlight w:val="none"/>
          <w:lang w:val="en-US" w:eastAsia="zh-CN"/>
        </w:rPr>
      </w:pPr>
      <w:bookmarkStart w:id="712" w:name="_Toc17449_WPSOffice_Level3"/>
      <w:r>
        <w:rPr>
          <w:rFonts w:hint="eastAsia" w:ascii="宋体" w:hAnsi="宋体" w:eastAsia="宋体" w:cs="宋体"/>
          <w:b/>
          <w:color w:val="auto"/>
          <w:kern w:val="0"/>
          <w:sz w:val="30"/>
          <w:szCs w:val="30"/>
          <w:highlight w:val="none"/>
          <w:lang w:val="zh-CN"/>
        </w:rPr>
        <w:t>用户需求偏离表</w:t>
      </w:r>
      <w:bookmarkEnd w:id="712"/>
      <w:r>
        <w:rPr>
          <w:rFonts w:hint="eastAsia" w:ascii="宋体" w:hAnsi="宋体" w:eastAsia="宋体" w:cs="宋体"/>
          <w:b/>
          <w:color w:val="auto"/>
          <w:kern w:val="0"/>
          <w:sz w:val="30"/>
          <w:szCs w:val="30"/>
          <w:highlight w:val="none"/>
          <w:lang w:val="en-US" w:eastAsia="zh-CN"/>
        </w:rPr>
        <w:t>(一)</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952"/>
        <w:gridCol w:w="6413"/>
        <w:gridCol w:w="722"/>
        <w:gridCol w:w="86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restar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70" w:type="pct"/>
            <w:gridSpan w:val="3"/>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continue"/>
            <w:vAlign w:val="center"/>
          </w:tcPr>
          <w:p>
            <w:pPr>
              <w:keepNext/>
              <w:keepLines/>
              <w:suppressLineNumbers w:val="0"/>
              <w:spacing w:before="0" w:beforeAutospacing="0" w:after="0" w:afterAutospacing="0" w:line="400" w:lineRule="exact"/>
              <w:ind w:left="0" w:right="0"/>
              <w:jc w:val="center"/>
              <w:outlineLvl w:val="0"/>
              <w:rPr>
                <w:rFonts w:hint="eastAsia" w:ascii="宋体" w:hAnsi="宋体" w:eastAsia="宋体" w:cs="宋体"/>
                <w:color w:val="auto"/>
                <w:kern w:val="0"/>
                <w:sz w:val="21"/>
                <w:szCs w:val="21"/>
                <w:highlight w:val="none"/>
              </w:rPr>
            </w:pPr>
          </w:p>
        </w:tc>
        <w:tc>
          <w:tcPr>
            <w:tcW w:w="459"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4"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val="en-US" w:eastAsia="zh-CN"/>
              </w:rPr>
              <w:t>一</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项目的基本情况及实施目标</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zh-CN" w:eastAsia="zh-CN"/>
              </w:rPr>
            </w:pPr>
            <w:r>
              <w:rPr>
                <w:rFonts w:hint="eastAsia" w:ascii="宋体" w:hAnsi="宋体" w:eastAsia="宋体" w:cs="宋体"/>
                <w:bCs/>
                <w:color w:val="auto"/>
                <w:kern w:val="0"/>
                <w:sz w:val="21"/>
                <w:szCs w:val="21"/>
                <w:highlight w:val="none"/>
                <w:lang w:val="en-US" w:eastAsia="zh-CN"/>
              </w:rPr>
              <w:t>二</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总体技术要求</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en-US" w:eastAsia="zh-CN"/>
              </w:rPr>
              <w:t>三</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设备详细技术要求</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bookmarkStart w:id="713" w:name="_Toc32583"/>
            <w:bookmarkStart w:id="714" w:name="_Toc195714402"/>
            <w:r>
              <w:rPr>
                <w:rFonts w:hint="eastAsia" w:ascii="宋体" w:hAnsi="宋体" w:eastAsia="宋体" w:cs="宋体"/>
                <w:color w:val="auto"/>
                <w:kern w:val="0"/>
                <w:sz w:val="21"/>
                <w:szCs w:val="21"/>
                <w:highlight w:val="none"/>
                <w:lang w:val="en-US" w:eastAsia="zh-CN"/>
              </w:rPr>
              <w:t>4</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设备安装、调试及移交要求</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性能考核及质量保证</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六</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设备其他要求</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bookmarkStart w:id="715" w:name="_Toc9766"/>
            <w:bookmarkStart w:id="716" w:name="_Toc22002"/>
            <w:r>
              <w:rPr>
                <w:rFonts w:hint="eastAsia" w:ascii="宋体" w:hAnsi="宋体" w:eastAsia="宋体" w:cs="宋体"/>
                <w:color w:val="auto"/>
                <w:kern w:val="0"/>
                <w:sz w:val="21"/>
                <w:szCs w:val="21"/>
                <w:highlight w:val="none"/>
                <w:lang w:val="en-US" w:eastAsia="zh-CN"/>
              </w:rPr>
              <w:t>7</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七</w:t>
            </w:r>
          </w:p>
        </w:tc>
        <w:tc>
          <w:tcPr>
            <w:tcW w:w="3092" w:type="pct"/>
            <w:vAlign w:val="center"/>
          </w:tcPr>
          <w:p>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资料要求及招标设计图纸目录</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uppressLineNumbers w:val="0"/>
              <w:spacing w:before="0" w:beforeAutospacing="0" w:after="0" w:afterAutospacing="0" w:line="400" w:lineRule="exact"/>
              <w:ind w:left="0" w:right="0"/>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用户需求书“★”条款汇总：</w:t>
            </w:r>
            <w:bookmarkEnd w:id="713"/>
            <w:bookmarkEnd w:id="714"/>
            <w:bookmarkEnd w:id="715"/>
            <w:bookmarkEnd w:id="7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3092" w:type="pct"/>
            <w:vAlign w:val="center"/>
          </w:tcPr>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总体要求</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项目应满足实施目标原则，核心工艺采用粉末载体原位技术，不预设固定原位技术种类、粉末载体种类、生化段工艺参数、设备配置方案、控制系统方案及变配电系统方案，投标人结合自身技术优势与项目实际（现有构筑物设计条件、处理能力提升目标、进出水水质要求），提出符合“原位提标扩容（不得新建永久构筑物）、安全可靠、节能降耗、运维便捷”核心目标的完整技术方案（含原位技术路线、设备配置、控制系统、变配电适配方案等）</w:t>
            </w:r>
            <w:r>
              <w:rPr>
                <w:rFonts w:hint="eastAsia" w:ascii="宋体" w:hAnsi="宋体" w:eastAsia="宋体" w:cs="宋体"/>
                <w:color w:val="auto"/>
                <w:sz w:val="21"/>
                <w:szCs w:val="21"/>
                <w:highlight w:val="none"/>
              </w:rPr>
              <w:t>。</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2.3.4</w:t>
            </w:r>
          </w:p>
        </w:tc>
        <w:tc>
          <w:tcPr>
            <w:tcW w:w="3092" w:type="pct"/>
            <w:vAlign w:val="center"/>
          </w:tcPr>
          <w:p>
            <w:pPr>
              <w:keepNext w:val="0"/>
              <w:keepLines w:val="0"/>
              <w:numPr>
                <w:ilvl w:val="-1"/>
                <w:numId w:val="0"/>
              </w:numPr>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（2）交货地点</w:t>
            </w:r>
          </w:p>
          <w:p>
            <w:pPr>
              <w:keepNext w:val="0"/>
              <w:keepLines w:val="0"/>
              <w:numPr>
                <w:ilvl w:val="-1"/>
                <w:numId w:val="0"/>
              </w:numPr>
              <w:suppressLineNumbers w:val="0"/>
              <w:spacing w:before="0" w:beforeAutospacing="0" w:after="0" w:afterAutospacing="0" w:line="360" w:lineRule="auto"/>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★本项目所有的设备交货地点为东莞市长安新区污水处理厂现场招标人指定地点。</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2.3.4</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（3）运输</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人的要求，投标人应按时告知设备的运输情况。投标人应负责将合同所供设备运至招标人指定位置，包括到场设备搬卸和采取安全措施。设备相关运输、装卸、保险、关税（进口设备）等费用已包含在投标报价总价中。</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2.3.5</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设备安装及调试</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派专业技术人员到现场，进行设备、配套连接管道、电气等的安装，在招标人的组织安排下，负责完成单机机械试车、联合试运转、性能考核的技术工作。另外，设备控制系统（含仪表）由投标人自行调试。上述的技术服务费已包含在投标报价中。</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2.3.7</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质保期工作</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★（1）质保期内，投标人对所投设备供货、安装质量进行免费保修，免费保修包括但不限于由投标人承担完成质保期的工作而产生的运费、购置费、测试费、人工费等各项费用。</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3.1.1.2</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2、★原位技术工艺性能要求</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原位技术成套设备为外装形式，作用于长安新区污水处理厂现状生物反应池，提高污染物去除效率达到提标扩容目的，同时确保出水水质稳定达标排放，具体如下：</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长安新区污水处理厂在原位技术升级时无需减停产配合改造。</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在设计正常进水条件下（SS除外），长安新区污水处理厂超负荷运行时平均处理能力稳定提升至23万吨/日，最大处理能力可达到26万吨/日。</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出水水质满足《城镇污水处理厂污染物排放标准》（GB18918-2002）一级A标准、广东省地方标准《水污染物排放限值》（DB44/26-2001）的第二时段一级标准、《茅洲河流域水污染物排放标准》（DB44/2130-2018）的较严值。</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投标人提供的原位技术所配的粉末载体及其相关的药剂可实现自动投加。</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长安新区污水处理厂各工艺系统及配套设备不因本项目实施产生故障。</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原位技术成套设备（粉末载体、投加系统，筛分回收系统及自控系统等）应由核心技术供应商统一设计、供货、安装等。</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3.2.6.1</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分体式、一体化超声波液位计/超声波液位差计</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2）性能</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★测量精度：≤±1mm+0.17％；</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pH/T检测仪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2）传感器</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★精度：≤0.02pH；</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ORP测量仪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2）ORP传感器</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★精度：±5mV；</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.4</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DO检测仪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2）传感器</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★精度：＜5mg/l时，±0.1mg/l；＞5mg/l时±2%；</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.5</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MLSS检测仪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2）传感器：</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★精度：＜读数5%；</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.6</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电磁流量计</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2）传感器</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★测量精度：0.2%±1mm/s；</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.7</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TN测量仪</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★重复性：0~5/10/20mg/L：0.05mg/L或3%（取较大值）；</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3.2.7.2</w:t>
            </w:r>
          </w:p>
        </w:tc>
        <w:tc>
          <w:tcPr>
            <w:tcW w:w="3092" w:type="pct"/>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大型潜水离心泵主要结构及性能要求</w:t>
            </w:r>
          </w:p>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（3）密封系统</w:t>
            </w:r>
          </w:p>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★机械密封的设计寿命不低于3万小时。</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4.1.1</w:t>
            </w:r>
          </w:p>
        </w:tc>
        <w:tc>
          <w:tcPr>
            <w:tcW w:w="3092" w:type="pct"/>
            <w:vAlign w:val="center"/>
          </w:tcPr>
          <w:p>
            <w:pPr>
              <w:keepNext w:val="0"/>
              <w:keepLines w:val="0"/>
              <w:numPr>
                <w:ilvl w:val="0"/>
                <w:numId w:val="0"/>
              </w:numPr>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总的要求</w:t>
            </w:r>
          </w:p>
          <w:p>
            <w:pPr>
              <w:keepNext w:val="0"/>
              <w:keepLines w:val="0"/>
              <w:numPr>
                <w:ilvl w:val="0"/>
                <w:numId w:val="0"/>
              </w:numPr>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（1）安装单位应具有</w:t>
            </w:r>
            <w:r>
              <w:rPr>
                <w:rFonts w:hint="eastAsia" w:ascii="宋体" w:hAnsi="宋体" w:eastAsia="宋体" w:cs="宋体"/>
                <w:color w:val="auto"/>
                <w:sz w:val="21"/>
                <w:szCs w:val="21"/>
                <w:highlight w:val="none"/>
                <w:lang w:val="en-US" w:eastAsia="zh"/>
              </w:rPr>
              <w:t>施工综合资质（或换证前施工总承包企业特级资质）或机电工程施工总承包甲级（一级）资质或建筑机电工程专业承包甲级（或换证前建筑机电安装工程专业承包一级）资质或市政公用工程施工总承包甲级（一级）资质</w:t>
            </w:r>
            <w:r>
              <w:rPr>
                <w:rFonts w:hint="default" w:ascii="宋体" w:hAnsi="宋体" w:eastAsia="宋体" w:cs="宋体"/>
                <w:color w:val="auto"/>
                <w:sz w:val="21"/>
                <w:szCs w:val="21"/>
                <w:highlight w:val="none"/>
                <w:lang w:val="en-US" w:eastAsia="zh-CN"/>
              </w:rPr>
              <w:t>，投标人应在本项目中标通知书发出之日起30</w:t>
            </w:r>
            <w:r>
              <w:rPr>
                <w:rFonts w:hint="eastAsia" w:ascii="宋体" w:hAnsi="宋体" w:eastAsia="宋体" w:cs="宋体"/>
                <w:color w:val="auto"/>
                <w:sz w:val="21"/>
                <w:szCs w:val="21"/>
                <w:highlight w:val="none"/>
                <w:lang w:val="en-US" w:eastAsia="zh-CN"/>
              </w:rPr>
              <w:t>日</w:t>
            </w:r>
            <w:r>
              <w:rPr>
                <w:rFonts w:hint="default" w:ascii="宋体" w:hAnsi="宋体" w:eastAsia="宋体" w:cs="宋体"/>
                <w:color w:val="auto"/>
                <w:sz w:val="21"/>
                <w:szCs w:val="21"/>
                <w:highlight w:val="none"/>
                <w:lang w:val="en-US" w:eastAsia="zh-CN"/>
              </w:rPr>
              <w:t>内将前述资料报招标人备案，如投标人委托第三方安装单位对货物进行安装的，投标人应该在前述约定的时间内，将委托的第三方安装单位具有的资质提交给招标人审核，相关资料报招标人备案后，投标人或投标人委托的第三方安装单位方可进场实施安装工作。</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w:t>
            </w:r>
          </w:p>
        </w:tc>
        <w:tc>
          <w:tcPr>
            <w:tcW w:w="3092" w:type="pct"/>
            <w:vAlign w:val="center"/>
          </w:tcPr>
          <w:p>
            <w:pPr>
              <w:keepNext w:val="0"/>
              <w:keepLines w:val="0"/>
              <w:numPr>
                <w:ilvl w:val="0"/>
                <w:numId w:val="0"/>
              </w:numPr>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交货期限：投标人应自招标人发出的书面供货通知中载明的供货之日起45日内完成现状老旧设备更换清单及原位技术成套设备清单等相关设备的现场到货及初步验收工作。投标人应在计划发货前至少7日向招标人提交书面发货通知，经招标人同意后方可发货。如有违反，由此造成的仓储与保管费用以及货物毁损灭失的风险由投标人全部承担。</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w:t>
            </w:r>
          </w:p>
        </w:tc>
        <w:tc>
          <w:tcPr>
            <w:tcW w:w="3092" w:type="pct"/>
            <w:vAlign w:val="center"/>
          </w:tcPr>
          <w:p>
            <w:pPr>
              <w:keepNext w:val="0"/>
              <w:keepLines w:val="0"/>
              <w:numPr>
                <w:ilvl w:val="0"/>
                <w:numId w:val="0"/>
              </w:numPr>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★（2）安装工作的开始时间由招标人另行书面通知确定，投标人</w:t>
            </w:r>
            <w:r>
              <w:rPr>
                <w:rFonts w:hint="eastAsia" w:ascii="宋体" w:hAnsi="宋体" w:eastAsia="宋体" w:cs="宋体"/>
                <w:color w:val="auto"/>
                <w:kern w:val="0"/>
                <w:szCs w:val="21"/>
                <w:highlight w:val="none"/>
                <w:lang w:val="en-US" w:eastAsia="zh-CN" w:bidi="ar"/>
              </w:rPr>
              <w:t>应在接到招标人书面通知后</w:t>
            </w:r>
            <w:r>
              <w:rPr>
                <w:rFonts w:hint="eastAsia" w:ascii="宋体" w:hAnsi="宋体" w:eastAsia="宋体" w:cs="宋体"/>
                <w:color w:val="auto"/>
                <w:sz w:val="21"/>
                <w:szCs w:val="21"/>
                <w:highlight w:val="none"/>
                <w:lang w:val="en-US" w:eastAsia="zh-CN"/>
              </w:rPr>
              <w:t>30日内完成</w:t>
            </w:r>
            <w:r>
              <w:rPr>
                <w:rFonts w:hint="eastAsia" w:ascii="宋体" w:hAnsi="宋体" w:eastAsia="宋体" w:cs="宋体"/>
                <w:color w:val="auto"/>
                <w:kern w:val="0"/>
                <w:szCs w:val="21"/>
                <w:highlight w:val="none"/>
                <w:lang w:val="en-US" w:eastAsia="zh-CN" w:bidi="ar"/>
              </w:rPr>
              <w:t>全部安装工作</w:t>
            </w:r>
            <w:r>
              <w:rPr>
                <w:rFonts w:hint="eastAsia" w:ascii="宋体" w:hAnsi="宋体" w:eastAsia="宋体" w:cs="宋体"/>
                <w:color w:val="auto"/>
                <w:sz w:val="21"/>
                <w:szCs w:val="21"/>
                <w:highlight w:val="none"/>
                <w:lang w:val="en-US" w:eastAsia="zh-CN"/>
              </w:rPr>
              <w:t>。</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45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4.1.2</w:t>
            </w:r>
          </w:p>
        </w:tc>
        <w:tc>
          <w:tcPr>
            <w:tcW w:w="3092"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（3）调试工作的开始时间由招标人另行书面通知确定，投标人应在接到招标人书面通知后30日内完成全部调试工作（包含设备单机调试、系统联动调试、生产性调试等所有调试内容）。</w:t>
            </w:r>
          </w:p>
        </w:tc>
        <w:tc>
          <w:tcPr>
            <w:tcW w:w="34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18"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c>
          <w:tcPr>
            <w:tcW w:w="404" w:type="pct"/>
            <w:vAlign w:val="center"/>
          </w:tcPr>
          <w:p>
            <w:pPr>
              <w:keepNext/>
              <w:keepLines/>
              <w:suppressLineNumbers w:val="0"/>
              <w:spacing w:before="0" w:beforeAutospacing="0" w:after="0" w:afterAutospacing="0" w:line="400" w:lineRule="exact"/>
              <w:ind w:left="0" w:right="0"/>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b/>
          <w:color w:val="auto"/>
          <w:kern w:val="0"/>
          <w:sz w:val="30"/>
          <w:szCs w:val="30"/>
          <w:highlight w:val="none"/>
          <w:lang w:val="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kern w:val="0"/>
          <w:sz w:val="30"/>
          <w:szCs w:val="30"/>
          <w:highlight w:val="none"/>
          <w:lang w:val="zh-CN"/>
        </w:rPr>
        <w:t>用户需求偏离表</w:t>
      </w:r>
      <w:r>
        <w:rPr>
          <w:rFonts w:hint="eastAsia" w:ascii="宋体" w:hAnsi="宋体" w:eastAsia="宋体" w:cs="宋体"/>
          <w:color w:val="auto"/>
          <w:sz w:val="32"/>
          <w:szCs w:val="32"/>
          <w:highlight w:val="none"/>
          <w:lang w:val="en-US" w:eastAsia="zh-CN"/>
        </w:rPr>
        <w:t>（二）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原位技术成套设备及系统性能考核指标</w:t>
      </w:r>
    </w:p>
    <w:p>
      <w:pPr>
        <w:pStyle w:val="19"/>
        <w:rPr>
          <w:rFonts w:hint="eastAsia"/>
          <w:color w:val="auto"/>
          <w:sz w:val="18"/>
          <w:szCs w:val="18"/>
          <w:highlight w:val="none"/>
          <w:lang w:val="en-US" w:eastAsia="zh-CN"/>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956"/>
        <w:gridCol w:w="1265"/>
        <w:gridCol w:w="1728"/>
        <w:gridCol w:w="1728"/>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4"/>
                <w:highlight w:val="none"/>
                <w:vertAlign w:val="baseline"/>
              </w:rPr>
              <w:t>考核项</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单位</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要求保证值</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投标人响应值</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偏离情况</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kern w:val="2"/>
                <w:sz w:val="21"/>
                <w:szCs w:val="24"/>
                <w:highlight w:val="none"/>
                <w:lang w:bidi="ar-SA"/>
              </w:rPr>
              <w:t>测试要求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载体首次投加量</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rPr>
              <w:t>/</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每月载体补充量</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rPr>
              <w:t>/</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按月均值统计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每月载体回收率</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≥95</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按月均值统计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在不超过设计进出水水质（进水SS除外），承诺长安新区污水处理厂日均污水处理规模</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万吨/日</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≥23</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i w:val="0"/>
                <w:iCs w:val="0"/>
                <w:color w:val="auto"/>
                <w:sz w:val="21"/>
                <w:szCs w:val="24"/>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CN"/>
              </w:rPr>
              <w:t>按日均值统计，</w:t>
            </w:r>
            <w:r>
              <w:rPr>
                <w:rFonts w:hint="eastAsia" w:ascii="宋体" w:hAnsi="宋体" w:eastAsia="宋体" w:cs="宋体"/>
                <w:b w:val="0"/>
                <w:bCs w:val="0"/>
                <w:color w:val="auto"/>
                <w:sz w:val="21"/>
                <w:szCs w:val="24"/>
                <w:highlight w:val="none"/>
                <w:vertAlign w:val="baseline"/>
                <w:lang w:val="en-US" w:eastAsia="zh-CN"/>
              </w:rPr>
              <w:t>日均最大处理规模不超出26万吨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2"/>
                <w:sz w:val="21"/>
                <w:szCs w:val="21"/>
                <w:highlight w:val="none"/>
                <w:lang w:val="en-US" w:eastAsia="zh-CN" w:bidi="ar"/>
              </w:rPr>
              <w:t>在不超过设计进出水水质（进水SS除外），</w:t>
            </w:r>
            <w:r>
              <w:rPr>
                <w:rFonts w:hint="eastAsia" w:ascii="宋体" w:hAnsi="宋体" w:eastAsia="宋体" w:cs="宋体"/>
                <w:color w:val="auto"/>
                <w:sz w:val="21"/>
                <w:szCs w:val="24"/>
                <w:highlight w:val="none"/>
                <w:vertAlign w:val="baseline"/>
                <w:lang w:val="en-US" w:eastAsia="zh-CN"/>
              </w:rPr>
              <w:t>承诺长安新区污水处理厂日均处理量达到26万吨的日数</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Cs w:val="0"/>
                <w:color w:val="auto"/>
                <w:kern w:val="2"/>
                <w:sz w:val="21"/>
                <w:szCs w:val="24"/>
                <w:highlight w:val="none"/>
                <w:vertAlign w:val="baseline"/>
                <w:lang w:val="en-US" w:eastAsia="zh-CN" w:bidi="ar-SA"/>
              </w:rPr>
              <w:t>日</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≥60</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i w:val="0"/>
                <w:iCs w:val="0"/>
                <w:color w:val="auto"/>
                <w:sz w:val="21"/>
                <w:szCs w:val="24"/>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CN"/>
              </w:rPr>
              <w:t>按日均值统计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生化段气水比</w:t>
            </w:r>
          </w:p>
        </w:tc>
        <w:tc>
          <w:tcPr>
            <w:tcW w:w="95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c>
          <w:tcPr>
            <w:tcW w:w="12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4"/>
                <w:highlight w:val="none"/>
                <w:vertAlign w:val="baseline"/>
                <w:lang w:val="en-US" w:eastAsia="zh-CN"/>
              </w:rPr>
              <w:t>≤3.2：1</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由投标人填写</w:t>
            </w: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val="0"/>
                <w:bCs w:val="0"/>
                <w:i w:val="0"/>
                <w:iCs w:val="0"/>
                <w:color w:val="auto"/>
                <w:sz w:val="21"/>
                <w:szCs w:val="24"/>
                <w:highlight w:val="none"/>
                <w:vertAlign w:val="baseline"/>
                <w:lang w:val="en-US" w:eastAsia="zh-CN"/>
              </w:rPr>
            </w:pPr>
          </w:p>
        </w:tc>
        <w:tc>
          <w:tcPr>
            <w:tcW w:w="17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i w:val="0"/>
                <w:iCs w:val="0"/>
                <w:color w:val="auto"/>
                <w:sz w:val="21"/>
                <w:szCs w:val="24"/>
                <w:highlight w:val="none"/>
                <w:vertAlign w:val="baseline"/>
                <w:lang w:val="en-US" w:eastAsia="zh"/>
              </w:rPr>
              <w:t>按年均值统计</w:t>
            </w:r>
          </w:p>
        </w:tc>
      </w:tr>
    </w:tbl>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outlineLvl w:val="9"/>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w:t>
      </w:r>
      <w:r>
        <w:rPr>
          <w:rFonts w:hint="eastAsia" w:ascii="宋体" w:hAnsi="宋体" w:eastAsia="宋体" w:cs="宋体"/>
          <w:b/>
          <w:color w:val="auto"/>
          <w:kern w:val="0"/>
          <w:szCs w:val="21"/>
          <w:highlight w:val="none"/>
          <w:u w:val="single"/>
        </w:rPr>
        <w:t>投标人可将反映</w:t>
      </w:r>
      <w:r>
        <w:rPr>
          <w:rFonts w:hint="eastAsia" w:ascii="宋体" w:hAnsi="宋体" w:eastAsia="宋体" w:cs="Times New Roman"/>
          <w:b/>
          <w:color w:val="auto"/>
          <w:kern w:val="0"/>
          <w:szCs w:val="21"/>
          <w:highlight w:val="none"/>
          <w:u w:val="single"/>
        </w:rPr>
        <w:t>投标货物技术参数、性能、功能</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4"/>
          <w:highlight w:val="none"/>
          <w:lang w:val="zh-CN"/>
        </w:rPr>
      </w:pPr>
    </w:p>
    <w:p>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pPr>
        <w:autoSpaceDE w:val="0"/>
        <w:autoSpaceDN w:val="0"/>
        <w:adjustRightInd w:val="0"/>
        <w:ind w:left="15" w:leftChars="-50" w:hanging="120"/>
        <w:jc w:val="left"/>
        <w:rPr>
          <w:rFonts w:ascii="宋体" w:hAnsi="宋体" w:eastAsia="宋体" w:cs="宋体"/>
          <w:color w:val="auto"/>
          <w:kern w:val="0"/>
          <w:szCs w:val="21"/>
          <w:highlight w:val="none"/>
        </w:rPr>
      </w:pPr>
    </w:p>
    <w:p>
      <w:pPr>
        <w:autoSpaceDE/>
        <w:autoSpaceDN/>
        <w:adjustRightInd/>
        <w:spacing w:line="240" w:lineRule="auto"/>
        <w:jc w:val="left"/>
        <w:outlineLvl w:val="9"/>
        <w:rPr>
          <w:rFonts w:hint="eastAsia" w:ascii="宋体" w:hAnsi="宋体" w:eastAsia="宋体" w:cs="宋体"/>
          <w:b/>
          <w:color w:val="auto"/>
          <w:kern w:val="0"/>
          <w:sz w:val="30"/>
          <w:szCs w:val="30"/>
          <w:highlight w:val="none"/>
        </w:rPr>
      </w:pPr>
      <w:bookmarkStart w:id="717" w:name="_Toc104991896"/>
      <w:bookmarkStart w:id="718" w:name="_Toc140596949"/>
      <w:bookmarkStart w:id="719" w:name="_Toc102860438"/>
      <w:bookmarkStart w:id="720" w:name="_Toc142508389"/>
      <w:bookmarkStart w:id="721" w:name="_Toc102860094"/>
      <w:bookmarkStart w:id="722" w:name="_Toc533708139"/>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23" w:name="_Toc26320"/>
      <w:bookmarkStart w:id="724" w:name="_Toc23192"/>
      <w:r>
        <w:rPr>
          <w:rFonts w:hint="default"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、供货货物清单表</w:t>
      </w:r>
      <w:bookmarkEnd w:id="723"/>
      <w:bookmarkEnd w:id="724"/>
    </w:p>
    <w:p>
      <w:pPr>
        <w:tabs>
          <w:tab w:val="left" w:pos="567"/>
        </w:tabs>
        <w:autoSpaceDE w:val="0"/>
        <w:autoSpaceDN w:val="0"/>
        <w:adjustRightInd w:val="0"/>
        <w:spacing w:line="360" w:lineRule="auto"/>
        <w:jc w:val="center"/>
        <w:outlineLvl w:val="2"/>
        <w:rPr>
          <w:rFonts w:hint="eastAsia" w:ascii="宋体" w:hAnsi="宋体" w:eastAsia="宋体" w:cs="宋体"/>
          <w:b/>
          <w:color w:val="auto"/>
          <w:kern w:val="0"/>
          <w:sz w:val="30"/>
          <w:szCs w:val="30"/>
          <w:highlight w:val="none"/>
        </w:rPr>
      </w:pPr>
      <w:bookmarkStart w:id="725" w:name="_Toc5517"/>
      <w:bookmarkStart w:id="726" w:name="_Toc22725"/>
      <w:bookmarkStart w:id="727" w:name="_Toc25329"/>
      <w:bookmarkStart w:id="728" w:name="_Toc195714407"/>
      <w:r>
        <w:rPr>
          <w:rFonts w:hint="eastAsia" w:ascii="宋体" w:hAnsi="宋体" w:eastAsia="宋体" w:cs="宋体"/>
          <w:b/>
          <w:color w:val="auto"/>
          <w:sz w:val="30"/>
          <w:szCs w:val="30"/>
          <w:highlight w:val="none"/>
          <w:lang w:bidi="ar"/>
        </w:rPr>
        <w:t>供货货物清单表</w:t>
      </w:r>
      <w:bookmarkEnd w:id="725"/>
      <w:bookmarkEnd w:id="726"/>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942"/>
        <w:gridCol w:w="633"/>
        <w:gridCol w:w="720"/>
        <w:gridCol w:w="1199"/>
        <w:gridCol w:w="637"/>
        <w:gridCol w:w="693"/>
        <w:gridCol w:w="1087"/>
        <w:gridCol w:w="208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规格、型号</w:t>
            </w: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生产厂家</w:t>
            </w: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主要技术参数</w:t>
            </w: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w:t>
            </w:r>
            <w:r>
              <w:rPr>
                <w:rFonts w:hint="eastAsia" w:ascii="宋体" w:hAnsi="宋体" w:eastAsia="宋体" w:cs="宋体"/>
                <w:color w:val="auto"/>
                <w:kern w:val="0"/>
                <w:sz w:val="21"/>
                <w:szCs w:val="21"/>
                <w:highlight w:val="none"/>
                <w:lang w:eastAsia="zh-CN" w:bidi="ar"/>
              </w:rPr>
              <w:t>、现状老旧设备更换清单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预处理类设备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bCs/>
                <w:i w:val="0"/>
                <w:iCs w:val="0"/>
                <w:color w:val="auto"/>
                <w:kern w:val="2"/>
                <w:sz w:val="21"/>
                <w:szCs w:val="21"/>
                <w:highlight w:val="none"/>
                <w:u w:val="none"/>
                <w:lang w:val="en-US" w:eastAsia="zh-CN" w:bidi="ar"/>
              </w:rPr>
              <w:t>内进流细格栅</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i w:val="0"/>
                <w:iCs w:val="0"/>
                <w:color w:val="auto"/>
                <w:kern w:val="2"/>
                <w:sz w:val="21"/>
                <w:szCs w:val="21"/>
                <w:highlight w:val="none"/>
                <w:u w:val="none"/>
                <w:lang w:val="en-US" w:eastAsia="zh-CN" w:bidi="ar"/>
              </w:rPr>
              <w:t>高排水螺旋压榨机</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自冲洗系统</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
              </w:rPr>
              <w:t>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罗茨风机</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
              </w:rPr>
              <w:t>5</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链板式刮砂机</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bidi="ar"/>
              </w:rPr>
              <w:t>6</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吸砂泵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电动渠道闸门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联通阀圆闸门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9</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电动调节</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电动配水</w:t>
            </w:r>
            <w:r>
              <w:rPr>
                <w:rFonts w:hint="eastAsia" w:ascii="Times New Roman" w:hAnsi="Times New Roman" w:eastAsia="宋体" w:cs="Times New Roman"/>
                <w:bCs/>
                <w:i w:val="0"/>
                <w:iCs w:val="0"/>
                <w:color w:val="auto"/>
                <w:kern w:val="2"/>
                <w:sz w:val="20"/>
                <w:szCs w:val="20"/>
                <w:highlight w:val="none"/>
                <w:u w:val="none"/>
                <w:lang w:val="en-US" w:eastAsia="zh-CN" w:bidi="ar"/>
              </w:rPr>
              <w:t>堰门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排泥井闸门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集渣斗及撇渣管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lang w:eastAsia="zh-CN"/>
              </w:rPr>
              <w:t>）提升泵房水泵类设备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pStyle w:val="216"/>
              <w:keepNext w:val="0"/>
              <w:keepLines w:val="0"/>
              <w:suppressLineNumbers w:val="0"/>
              <w:spacing w:before="0" w:beforeAutospacing="0" w:after="0" w:afterAutospacing="0"/>
              <w:ind w:left="0" w:right="0" w:firstLine="0" w:firstLineChars="0"/>
              <w:rPr>
                <w:rFonts w:hint="eastAsia" w:ascii="宋体" w:hAnsi="宋体" w:eastAsia="宋体"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潜污泵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lang w:eastAsia="zh-CN"/>
              </w:rPr>
              <w:t>）污泥泵及搅拌器设备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潜水搅拌器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剩余污泥泵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潜水搅拌器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回流污泥泵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lang w:eastAsia="zh-CN"/>
              </w:rPr>
              <w:t>）综合池泵类设备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剩余污泥泵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污泥输送泵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污泥回流泵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斜管冲洗泵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lang w:eastAsia="zh-CN"/>
              </w:rPr>
              <w:t>）综合池搅拌设备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反应搅拌机A</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反应搅拌机B</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反应搅拌机C</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仪表设备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超声波液位差计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超声波液位差计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ORP仪表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DO仪表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MLSS仪表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超声波液位计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MLSS仪表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渠道流量计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其他设备设施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不锈钢集水槽</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bCs/>
                <w:i w:val="0"/>
                <w:iCs w:val="0"/>
                <w:color w:val="auto"/>
                <w:kern w:val="2"/>
                <w:sz w:val="21"/>
                <w:szCs w:val="21"/>
                <w:highlight w:val="none"/>
                <w:u w:val="none"/>
                <w:lang w:val="en-US" w:eastAsia="zh-CN" w:bidi="ar"/>
              </w:rPr>
            </w:pPr>
            <w:r>
              <w:rPr>
                <w:rFonts w:hint="eastAsia" w:ascii="Times New Roman" w:hAnsi="Times New Roman" w:eastAsia="宋体" w:cs="Times New Roman"/>
                <w:bCs/>
                <w:i w:val="0"/>
                <w:iCs w:val="0"/>
                <w:color w:val="auto"/>
                <w:kern w:val="2"/>
                <w:sz w:val="20"/>
                <w:szCs w:val="20"/>
                <w:highlight w:val="none"/>
                <w:u w:val="none"/>
                <w:lang w:val="en-US" w:eastAsia="zh-CN" w:bidi="ar"/>
              </w:rPr>
              <w:t>不锈钢可调出水堰板</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w:t>
            </w:r>
          </w:p>
        </w:tc>
        <w:tc>
          <w:tcPr>
            <w:tcW w:w="937" w:type="pct"/>
            <w:tcBorders>
              <w:top w:val="single" w:color="auto" w:sz="4" w:space="0"/>
              <w:left w:val="nil"/>
              <w:bottom w:val="single" w:color="auto" w:sz="4" w:space="0"/>
              <w:right w:val="single" w:color="auto" w:sz="4" w:space="0"/>
            </w:tcBorders>
            <w:shd w:val="clear" w:color="auto" w:fill="auto"/>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w:t>
            </w:r>
            <w:r>
              <w:rPr>
                <w:rFonts w:hint="eastAsia" w:ascii="宋体" w:hAnsi="宋体" w:eastAsia="宋体" w:cs="宋体"/>
                <w:color w:val="auto"/>
                <w:kern w:val="0"/>
                <w:sz w:val="21"/>
                <w:szCs w:val="21"/>
                <w:highlight w:val="none"/>
                <w:lang w:eastAsia="zh-CN" w:bidi="ar"/>
              </w:rPr>
              <w:t>、原位技术成套设备清单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i w:val="0"/>
                <w:iCs w:val="0"/>
                <w:color w:val="auto"/>
                <w:kern w:val="2"/>
                <w:sz w:val="21"/>
                <w:szCs w:val="21"/>
                <w:highlight w:val="none"/>
                <w:u w:val="none"/>
                <w:lang w:val="en-US" w:eastAsia="zh-CN" w:bidi="ar"/>
              </w:rPr>
              <w:t>载体投加、筛分回收系统</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2.1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Cs/>
                <w:i w:val="0"/>
                <w:iCs w:val="0"/>
                <w:color w:val="auto"/>
                <w:kern w:val="2"/>
                <w:sz w:val="21"/>
                <w:szCs w:val="21"/>
                <w:highlight w:val="none"/>
                <w:u w:val="none"/>
                <w:lang w:val="en-US" w:eastAsia="zh-CN" w:bidi="ar"/>
              </w:rPr>
              <w:t>精确</w:t>
            </w:r>
            <w:r>
              <w:rPr>
                <w:rFonts w:hint="eastAsia" w:ascii="Times New Roman" w:hAnsi="Times New Roman" w:eastAsia="宋体" w:cs="Times New Roman"/>
                <w:bCs/>
                <w:i w:val="0"/>
                <w:iCs w:val="0"/>
                <w:color w:val="auto"/>
                <w:kern w:val="2"/>
                <w:sz w:val="21"/>
                <w:szCs w:val="21"/>
                <w:highlight w:val="none"/>
                <w:u w:val="none"/>
                <w:lang w:val="en-US" w:eastAsia="zh-CN" w:bidi="ar"/>
              </w:rPr>
              <w:t>加药</w:t>
            </w:r>
            <w:r>
              <w:rPr>
                <w:rFonts w:hint="eastAsia" w:ascii="宋体" w:hAnsi="宋体" w:eastAsia="宋体" w:cs="宋体"/>
                <w:bCs/>
                <w:i w:val="0"/>
                <w:iCs w:val="0"/>
                <w:color w:val="auto"/>
                <w:kern w:val="2"/>
                <w:sz w:val="21"/>
                <w:szCs w:val="21"/>
                <w:highlight w:val="none"/>
                <w:u w:val="none"/>
                <w:lang w:val="en-US" w:eastAsia="zh-CN" w:bidi="ar"/>
              </w:rPr>
              <w:t>系统</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2.2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color w:val="auto"/>
                <w:sz w:val="21"/>
                <w:szCs w:val="21"/>
                <w:highlight w:val="none"/>
                <w:u w:val="none"/>
                <w:lang w:bidi="ar"/>
              </w:rPr>
            </w:pPr>
            <w:r>
              <w:rPr>
                <w:rFonts w:hint="eastAsia" w:ascii="宋体" w:hAnsi="宋体" w:eastAsia="宋体" w:cs="宋体"/>
                <w:bCs/>
                <w:i w:val="0"/>
                <w:iCs w:val="0"/>
                <w:color w:val="auto"/>
                <w:kern w:val="2"/>
                <w:sz w:val="21"/>
                <w:szCs w:val="21"/>
                <w:highlight w:val="none"/>
                <w:u w:val="none"/>
                <w:lang w:val="en-US" w:eastAsia="zh-CN" w:bidi="ar"/>
              </w:rPr>
              <w:t>PAC药剂储罐</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color w:val="auto"/>
                <w:kern w:val="2"/>
                <w:sz w:val="21"/>
                <w:szCs w:val="21"/>
                <w:highlight w:val="none"/>
                <w:u w:val="none"/>
                <w:lang w:bidi="ar"/>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2.3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color w:val="auto"/>
                <w:sz w:val="21"/>
                <w:szCs w:val="21"/>
                <w:highlight w:val="none"/>
                <w:u w:val="none"/>
                <w:lang w:bidi="ar"/>
              </w:rPr>
            </w:pPr>
            <w:r>
              <w:rPr>
                <w:rFonts w:hint="eastAsia" w:ascii="宋体" w:hAnsi="宋体" w:eastAsia="宋体" w:cs="宋体"/>
                <w:bCs/>
                <w:i w:val="0"/>
                <w:iCs w:val="0"/>
                <w:color w:val="auto"/>
                <w:kern w:val="2"/>
                <w:sz w:val="21"/>
                <w:szCs w:val="21"/>
                <w:highlight w:val="none"/>
                <w:u w:val="none"/>
                <w:lang w:val="en-US" w:eastAsia="zh-CN" w:bidi="ar"/>
              </w:rPr>
              <w:t>PAC加药泵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color w:val="auto"/>
                <w:kern w:val="2"/>
                <w:sz w:val="21"/>
                <w:szCs w:val="21"/>
                <w:highlight w:val="none"/>
                <w:u w:val="none"/>
                <w:lang w:bidi="ar"/>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bCs/>
                <w:i w:val="0"/>
                <w:iCs w:val="0"/>
                <w:color w:val="auto"/>
                <w:kern w:val="2"/>
                <w:sz w:val="21"/>
                <w:szCs w:val="21"/>
                <w:highlight w:val="none"/>
                <w:u w:val="none"/>
                <w:lang w:val="en-US" w:eastAsia="zh-CN" w:bidi="ar"/>
              </w:rPr>
              <w:t>2.4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color w:val="auto"/>
                <w:sz w:val="21"/>
                <w:szCs w:val="21"/>
                <w:highlight w:val="none"/>
                <w:u w:val="none"/>
                <w:lang w:bidi="ar"/>
              </w:rPr>
            </w:pPr>
            <w:r>
              <w:rPr>
                <w:rFonts w:hint="eastAsia" w:ascii="宋体" w:hAnsi="宋体" w:eastAsia="宋体" w:cs="宋体"/>
                <w:bCs/>
                <w:i w:val="0"/>
                <w:iCs w:val="0"/>
                <w:color w:val="auto"/>
                <w:kern w:val="2"/>
                <w:sz w:val="21"/>
                <w:szCs w:val="21"/>
                <w:highlight w:val="none"/>
                <w:u w:val="none"/>
                <w:lang w:val="en-US" w:eastAsia="zh-CN" w:bidi="ar"/>
              </w:rPr>
              <w:t>碳源药剂储罐</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color w:val="auto"/>
                <w:kern w:val="2"/>
                <w:sz w:val="21"/>
                <w:szCs w:val="21"/>
                <w:highlight w:val="none"/>
                <w:u w:val="none"/>
                <w:lang w:bidi="ar"/>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eastAsia="zh" w:bidi="ar"/>
              </w:rPr>
            </w:pPr>
            <w:r>
              <w:rPr>
                <w:rFonts w:hint="eastAsia" w:ascii="宋体" w:hAnsi="宋体" w:eastAsia="宋体" w:cs="宋体"/>
                <w:bCs/>
                <w:i w:val="0"/>
                <w:iCs w:val="0"/>
                <w:color w:val="auto"/>
                <w:kern w:val="2"/>
                <w:sz w:val="21"/>
                <w:szCs w:val="21"/>
                <w:highlight w:val="none"/>
                <w:u w:val="none"/>
                <w:lang w:val="en-US" w:eastAsia="zh" w:bidi="ar"/>
              </w:rPr>
              <w:t>2.5</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bCs/>
                <w:color w:val="auto"/>
                <w:kern w:val="2"/>
                <w:sz w:val="21"/>
                <w:szCs w:val="21"/>
                <w:highlight w:val="none"/>
                <w:u w:val="none"/>
                <w:lang w:bidi="ar"/>
              </w:rPr>
            </w:pPr>
            <w:r>
              <w:rPr>
                <w:rFonts w:hint="eastAsia" w:ascii="宋体" w:hAnsi="宋体" w:eastAsia="宋体" w:cs="宋体"/>
                <w:bCs/>
                <w:i w:val="0"/>
                <w:iCs w:val="0"/>
                <w:color w:val="auto"/>
                <w:kern w:val="2"/>
                <w:sz w:val="21"/>
                <w:szCs w:val="21"/>
                <w:highlight w:val="none"/>
                <w:u w:val="none"/>
                <w:lang w:val="en-US" w:eastAsia="zh-CN" w:bidi="ar"/>
              </w:rPr>
              <w:t>碳源加药泵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color w:val="auto"/>
                <w:kern w:val="2"/>
                <w:sz w:val="21"/>
                <w:szCs w:val="21"/>
                <w:highlight w:val="none"/>
                <w:u w:val="none"/>
                <w:lang w:bidi="ar"/>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 w:bidi="ar"/>
              </w:rPr>
            </w:pPr>
            <w:r>
              <w:rPr>
                <w:rFonts w:hint="eastAsia" w:ascii="宋体" w:hAnsi="宋体" w:eastAsia="宋体" w:cs="宋体"/>
                <w:bCs/>
                <w:i w:val="0"/>
                <w:iCs w:val="0"/>
                <w:color w:val="auto"/>
                <w:kern w:val="2"/>
                <w:sz w:val="21"/>
                <w:szCs w:val="21"/>
                <w:highlight w:val="none"/>
                <w:u w:val="none"/>
                <w:lang w:val="en-US" w:eastAsia="zh" w:bidi="ar"/>
              </w:rPr>
              <w:t>2.6</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PAM加药泵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default" w:ascii="宋体" w:hAnsi="宋体" w:eastAsia="宋体" w:cs="宋体"/>
                <w:bCs/>
                <w:color w:val="auto"/>
                <w:kern w:val="2"/>
                <w:sz w:val="21"/>
                <w:szCs w:val="21"/>
                <w:highlight w:val="none"/>
                <w:u w:val="none"/>
                <w:lang w:bidi="ar"/>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 w:bidi="ar"/>
              </w:rPr>
            </w:pPr>
            <w:r>
              <w:rPr>
                <w:rFonts w:hint="eastAsia" w:ascii="宋体" w:hAnsi="宋体" w:eastAsia="宋体" w:cs="宋体"/>
                <w:bCs/>
                <w:i w:val="0"/>
                <w:iCs w:val="0"/>
                <w:color w:val="auto"/>
                <w:kern w:val="2"/>
                <w:sz w:val="21"/>
                <w:szCs w:val="21"/>
                <w:highlight w:val="none"/>
                <w:u w:val="none"/>
                <w:lang w:val="en-US" w:eastAsia="zh" w:bidi="ar"/>
              </w:rPr>
              <w:t>2.7</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絮凝剂制备装置</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 w:bidi="ar"/>
              </w:rPr>
            </w:pPr>
            <w:r>
              <w:rPr>
                <w:rFonts w:hint="eastAsia" w:ascii="宋体" w:hAnsi="宋体" w:eastAsia="宋体" w:cs="宋体"/>
                <w:bCs/>
                <w:i w:val="0"/>
                <w:iCs w:val="0"/>
                <w:color w:val="auto"/>
                <w:kern w:val="2"/>
                <w:sz w:val="21"/>
                <w:szCs w:val="21"/>
                <w:highlight w:val="none"/>
                <w:u w:val="none"/>
                <w:lang w:val="en-US" w:eastAsia="zh" w:bidi="ar"/>
              </w:rPr>
              <w:t>2.8</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eastAsia="宋体" w:cs="宋体"/>
                <w:bCs/>
                <w:i w:val="0"/>
                <w:iCs w:val="0"/>
                <w:color w:val="auto"/>
                <w:kern w:val="2"/>
                <w:sz w:val="21"/>
                <w:szCs w:val="21"/>
                <w:highlight w:val="none"/>
                <w:u w:val="none"/>
                <w:lang w:val="en-US" w:eastAsia="zh" w:bidi="ar"/>
              </w:rPr>
            </w:pPr>
            <w:r>
              <w:rPr>
                <w:rFonts w:hint="eastAsia" w:ascii="宋体" w:hAnsi="宋体" w:eastAsia="宋体" w:cs="宋体"/>
                <w:bCs/>
                <w:i w:val="0"/>
                <w:iCs w:val="0"/>
                <w:color w:val="auto"/>
                <w:kern w:val="2"/>
                <w:sz w:val="21"/>
                <w:szCs w:val="21"/>
                <w:highlight w:val="none"/>
                <w:u w:val="none"/>
                <w:lang w:val="en-US" w:eastAsia="zh" w:bidi="ar"/>
              </w:rPr>
              <w:t>卸料泵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leftChars="0" w:right="0" w:firstLine="0" w:firstLineChars="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过程仪表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3.1</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氨氮测量仪</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3.2</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硝酸盐在线分析仪</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3.3</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MLSS仪表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DO仪表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3.5</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正磷酸盐分析仪</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3.6</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污泥界面仪</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3.7</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分体式超声波液位计</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3.8</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压力变送器</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3.9</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仪表箱</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4</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i w:val="0"/>
                <w:iCs w:val="0"/>
                <w:color w:val="auto"/>
                <w:kern w:val="2"/>
                <w:sz w:val="21"/>
                <w:szCs w:val="21"/>
                <w:highlight w:val="none"/>
                <w:u w:val="none"/>
                <w:lang w:val="en-US" w:eastAsia="zh-CN" w:bidi="ar"/>
              </w:rPr>
              <w:t>污泥泵</w:t>
            </w: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bidi="ar"/>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1"/>
                <w:szCs w:val="21"/>
                <w:highlight w:val="none"/>
                <w:lang w:bidi="ar"/>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p>
        </w:tc>
        <w:tc>
          <w:tcPr>
            <w:tcW w:w="93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305"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4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78"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07"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3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52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100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r>
    </w:tbl>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bookmarkEnd w:id="727"/>
    <w:bookmarkEnd w:id="728"/>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rPr>
          <w:rFonts w:hint="eastAsia" w:ascii="宋体" w:hAnsi="宋体" w:eastAsia="宋体" w:cs="Times New Roman"/>
          <w:b/>
          <w:bCs/>
          <w:color w:val="auto"/>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2</w:t>
      </w:r>
      <w:r>
        <w:rPr>
          <w:rFonts w:hint="eastAsia" w:ascii="宋体" w:hAnsi="宋体" w:eastAsia="宋体" w:cs="宋体"/>
          <w:color w:val="auto"/>
          <w:kern w:val="0"/>
          <w:szCs w:val="21"/>
          <w:highlight w:val="none"/>
          <w:lang w:bidi="ar"/>
        </w:rPr>
        <w:t>）表格可根据实际货物种类自行扩展。</w:t>
      </w:r>
    </w:p>
    <w:p>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bidi="ar"/>
        </w:rPr>
        <w:t xml:space="preserve"> </w:t>
      </w:r>
    </w:p>
    <w:p>
      <w:pPr>
        <w:widowControl/>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pP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br w:type="page"/>
      </w:r>
    </w:p>
    <w:p>
      <w:pPr>
        <w:widowControl/>
        <w:autoSpaceDE w:val="0"/>
        <w:autoSpaceDN w:val="0"/>
        <w:adjustRightInd w:val="0"/>
        <w:spacing w:line="360" w:lineRule="auto"/>
        <w:jc w:val="left"/>
        <w:rPr>
          <w:rFonts w:ascii="宋体" w:hAnsi="宋体" w:eastAsia="宋体" w:cs="宋体"/>
          <w:b/>
          <w:color w:val="auto"/>
          <w:kern w:val="0"/>
          <w:sz w:val="30"/>
          <w:szCs w:val="30"/>
          <w:highlight w:val="none"/>
        </w:rPr>
      </w:pPr>
      <w:r>
        <w:rPr>
          <w:rFonts w:hint="default" w:ascii="宋体" w:hAnsi="宋体" w:eastAsia="宋体" w:cs="宋体"/>
          <w:b/>
          <w:color w:val="auto"/>
          <w:kern w:val="0"/>
          <w:sz w:val="30"/>
          <w:szCs w:val="30"/>
          <w:highlight w:val="none"/>
          <w:lang w:val="en-US" w:eastAsia="zh-CN"/>
        </w:rPr>
        <w:t>三</w:t>
      </w:r>
      <w:r>
        <w:rPr>
          <w:rFonts w:hint="eastAsia" w:ascii="宋体" w:hAnsi="宋体" w:eastAsia="宋体" w:cs="宋体"/>
          <w:b/>
          <w:color w:val="auto"/>
          <w:kern w:val="0"/>
          <w:sz w:val="30"/>
          <w:szCs w:val="30"/>
          <w:highlight w:val="none"/>
        </w:rPr>
        <w:t>、设备安装必需的配件供货清单</w:t>
      </w:r>
    </w:p>
    <w:p>
      <w:pPr>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bidi="ar"/>
        </w:rPr>
        <w:t>设备安装必需的配件供货清单</w:t>
      </w:r>
    </w:p>
    <w:p>
      <w:pPr>
        <w:rPr>
          <w:rFonts w:hint="eastAsia" w:ascii="宋体" w:hAnsi="宋体" w:eastAsia="宋体" w:cs="宋体"/>
          <w:b/>
          <w:color w:val="auto"/>
          <w:kern w:val="0"/>
          <w:sz w:val="30"/>
          <w:szCs w:val="30"/>
          <w:highlight w:val="none"/>
        </w:rPr>
      </w:pPr>
      <w:bookmarkStart w:id="729" w:name="_Toc29450"/>
      <w:bookmarkStart w:id="730" w:name="_Toc19571440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86"/>
        <w:gridCol w:w="838"/>
        <w:gridCol w:w="838"/>
        <w:gridCol w:w="838"/>
        <w:gridCol w:w="838"/>
        <w:gridCol w:w="838"/>
        <w:gridCol w:w="3623"/>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序号</w:t>
            </w:r>
          </w:p>
        </w:tc>
        <w:tc>
          <w:tcPr>
            <w:tcW w:w="62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配件名称</w:t>
            </w: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品牌</w:t>
            </w: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产地</w:t>
            </w: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单位</w:t>
            </w: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数量</w:t>
            </w: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规格</w:t>
            </w:r>
          </w:p>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型号</w:t>
            </w:r>
          </w:p>
        </w:tc>
        <w:tc>
          <w:tcPr>
            <w:tcW w:w="174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主要技术参数</w:t>
            </w:r>
          </w:p>
        </w:tc>
        <w:tc>
          <w:tcPr>
            <w:tcW w:w="30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w:t>
            </w:r>
          </w:p>
        </w:tc>
        <w:tc>
          <w:tcPr>
            <w:tcW w:w="62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174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30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62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174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30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w:t>
            </w:r>
          </w:p>
        </w:tc>
        <w:tc>
          <w:tcPr>
            <w:tcW w:w="62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174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30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p>
        </w:tc>
        <w:tc>
          <w:tcPr>
            <w:tcW w:w="620"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404"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174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c>
          <w:tcPr>
            <w:tcW w:w="306"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p>
        </w:tc>
      </w:tr>
    </w:tbl>
    <w:p>
      <w:pPr>
        <w:spacing w:line="360" w:lineRule="auto"/>
        <w:rPr>
          <w:rFonts w:hint="eastAsia" w:ascii="宋体" w:hAnsi="宋体" w:eastAsia="宋体" w:cs="宋体"/>
          <w:color w:val="auto"/>
          <w:kern w:val="0"/>
          <w:szCs w:val="21"/>
          <w:highlight w:val="none"/>
          <w:lang w:bidi="ar"/>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注：</w:t>
      </w:r>
    </w:p>
    <w:p>
      <w:pPr>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1、本表内所有的配件费用已计入投标报价；</w:t>
      </w:r>
    </w:p>
    <w:p>
      <w:pPr>
        <w:spacing w:line="360" w:lineRule="auto"/>
        <w:ind w:firstLine="420" w:firstLineChars="200"/>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、本表配件包括但不限于螺母、地脚螺栓、紧固件、连接件等其他配件；</w:t>
      </w:r>
    </w:p>
    <w:p>
      <w:pPr>
        <w:spacing w:line="360" w:lineRule="auto"/>
        <w:ind w:firstLine="420" w:firstLineChars="200"/>
        <w:rPr>
          <w:rFonts w:hint="eastAsia" w:ascii="宋体" w:hAnsi="宋体" w:eastAsia="宋体" w:cs="宋体"/>
          <w:b/>
          <w:color w:val="auto"/>
          <w:kern w:val="0"/>
          <w:sz w:val="30"/>
          <w:szCs w:val="30"/>
          <w:highlight w:val="none"/>
        </w:rPr>
      </w:pPr>
      <w:r>
        <w:rPr>
          <w:rFonts w:hint="eastAsia" w:ascii="宋体" w:hAnsi="宋体" w:eastAsia="宋体" w:cs="宋体"/>
          <w:color w:val="auto"/>
          <w:kern w:val="0"/>
          <w:szCs w:val="21"/>
          <w:highlight w:val="none"/>
          <w:lang w:bidi="ar"/>
        </w:rPr>
        <w:t>3、表格可根据实际货物种类自行扩展。</w:t>
      </w: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bidi="ar"/>
        </w:rPr>
        <w:t xml:space="preserve"> </w:t>
      </w:r>
    </w:p>
    <w:p>
      <w:pPr>
        <w:widowControl/>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731" w:name="_Toc18010"/>
      <w:bookmarkStart w:id="732" w:name="_Toc26834"/>
      <w:r>
        <w:rPr>
          <w:rFonts w:hint="default"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总体技术方案</w:t>
      </w:r>
      <w:r>
        <w:rPr>
          <w:rFonts w:hint="eastAsia" w:hAnsi="宋体" w:cs="宋体"/>
          <w:b/>
          <w:bCs/>
          <w:color w:val="auto"/>
          <w:kern w:val="0"/>
          <w:sz w:val="28"/>
          <w:szCs w:val="30"/>
          <w:highlight w:val="none"/>
          <w:lang w:val="en-US" w:eastAsia="zh-CN"/>
        </w:rPr>
        <w:t>（</w:t>
      </w:r>
      <w:r>
        <w:rPr>
          <w:rFonts w:hint="eastAsia" w:ascii="宋体" w:hAnsi="宋体" w:eastAsia="宋体" w:cs="宋体"/>
          <w:b/>
          <w:color w:val="auto"/>
          <w:kern w:val="0"/>
          <w:sz w:val="28"/>
          <w:szCs w:val="30"/>
          <w:highlight w:val="none"/>
          <w:lang w:val="en-US" w:eastAsia="zh-CN"/>
        </w:rPr>
        <w:t>投标人自行编写）</w:t>
      </w:r>
    </w:p>
    <w:p>
      <w:pPr>
        <w:tabs>
          <w:tab w:val="left" w:pos="567"/>
        </w:tabs>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p>
    <w:p>
      <w:pPr>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eastAsia="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default" w:ascii="宋体" w:hAnsi="宋体" w:eastAsia="宋体" w:cs="宋体"/>
          <w:b/>
          <w:color w:val="auto"/>
          <w:kern w:val="0"/>
          <w:sz w:val="30"/>
          <w:szCs w:val="30"/>
          <w:highlight w:val="none"/>
          <w:lang w:val="en-US" w:eastAsia="zh-CN"/>
        </w:rPr>
        <w:t>五</w:t>
      </w:r>
      <w:r>
        <w:rPr>
          <w:rFonts w:hint="eastAsia" w:ascii="宋体" w:hAnsi="宋体" w:eastAsia="宋体" w:cs="宋体"/>
          <w:b/>
          <w:color w:val="auto"/>
          <w:kern w:val="0"/>
          <w:sz w:val="30"/>
          <w:szCs w:val="30"/>
          <w:highlight w:val="none"/>
        </w:rPr>
        <w:t>、</w:t>
      </w:r>
      <w:bookmarkEnd w:id="729"/>
      <w:bookmarkEnd w:id="730"/>
      <w:bookmarkEnd w:id="731"/>
      <w:bookmarkEnd w:id="732"/>
      <w:r>
        <w:rPr>
          <w:rFonts w:hint="eastAsia" w:ascii="宋体" w:hAnsi="宋体" w:eastAsia="宋体" w:cs="宋体"/>
          <w:b/>
          <w:color w:val="auto"/>
          <w:kern w:val="0"/>
          <w:sz w:val="30"/>
          <w:szCs w:val="30"/>
          <w:highlight w:val="none"/>
        </w:rPr>
        <w:t>技术性能承诺</w:t>
      </w:r>
      <w:r>
        <w:rPr>
          <w:rFonts w:hint="eastAsia" w:ascii="宋体" w:hAnsi="宋体" w:eastAsia="宋体" w:cs="宋体"/>
          <w:b/>
          <w:color w:val="auto"/>
          <w:kern w:val="0"/>
          <w:sz w:val="30"/>
          <w:szCs w:val="30"/>
          <w:highlight w:val="none"/>
          <w:lang w:val="en-US" w:eastAsia="zh-CN"/>
        </w:rPr>
        <w:t>表</w:t>
      </w:r>
    </w:p>
    <w:p>
      <w:pPr>
        <w:tabs>
          <w:tab w:val="left" w:pos="567"/>
        </w:tabs>
        <w:spacing w:line="360" w:lineRule="auto"/>
        <w:jc w:val="center"/>
        <w:outlineLvl w:val="2"/>
        <w:rPr>
          <w:color w:val="auto"/>
          <w:highlight w:val="none"/>
        </w:rPr>
      </w:pPr>
      <w:r>
        <w:rPr>
          <w:rFonts w:hint="eastAsia" w:ascii="宋体" w:hAnsi="宋体" w:eastAsia="宋体" w:cs="宋体"/>
          <w:b/>
          <w:color w:val="auto"/>
          <w:kern w:val="0"/>
          <w:sz w:val="28"/>
          <w:szCs w:val="30"/>
          <w:highlight w:val="none"/>
          <w:lang w:val="en-US" w:eastAsia="zh-CN"/>
        </w:rPr>
        <w:t>技术性能承诺表</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9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序号</w:t>
            </w:r>
          </w:p>
        </w:tc>
        <w:tc>
          <w:tcPr>
            <w:tcW w:w="434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bCs/>
                <w:color w:val="auto"/>
                <w:kern w:val="0"/>
                <w:szCs w:val="21"/>
                <w:highlight w:val="none"/>
                <w:lang w:val="en-US" w:eastAsia="zh-CN"/>
              </w:rPr>
            </w:pPr>
            <w:r>
              <w:rPr>
                <w:rFonts w:hint="default" w:ascii="宋体" w:hAnsi="宋体" w:eastAsia="宋体" w:cs="Times New Roman"/>
                <w:bCs/>
                <w:color w:val="auto"/>
                <w:kern w:val="0"/>
                <w:szCs w:val="21"/>
                <w:highlight w:val="none"/>
                <w:lang w:val="en-US" w:eastAsia="zh-CN"/>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1</w:t>
            </w:r>
          </w:p>
        </w:tc>
        <w:tc>
          <w:tcPr>
            <w:tcW w:w="434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left"/>
              <w:rPr>
                <w:rFonts w:hint="default" w:ascii="宋体" w:hAnsi="宋体" w:eastAsia="宋体" w:cs="Times New Roman"/>
                <w:color w:val="auto"/>
                <w:kern w:val="0"/>
                <w:szCs w:val="21"/>
                <w:highlight w:val="none"/>
                <w:lang w:val="en-US" w:eastAsia="zh-CN"/>
              </w:rPr>
            </w:pPr>
            <w:r>
              <w:rPr>
                <w:rFonts w:hint="eastAsia" w:ascii="宋体" w:hAnsi="宋体" w:eastAsia="宋体" w:cs="宋体"/>
                <w:b/>
                <w:bCs/>
                <w:color w:val="auto"/>
                <w:kern w:val="2"/>
                <w:sz w:val="21"/>
                <w:szCs w:val="21"/>
                <w:highlight w:val="none"/>
                <w:lang w:val="en-US" w:eastAsia="zh-CN" w:bidi="ar"/>
              </w:rPr>
              <w:t>处理水量提升目标：</w:t>
            </w:r>
            <w:r>
              <w:rPr>
                <w:rFonts w:hint="eastAsia" w:ascii="宋体" w:hAnsi="宋体" w:eastAsia="宋体" w:cs="Times New Roman"/>
                <w:color w:val="auto"/>
                <w:kern w:val="0"/>
                <w:szCs w:val="21"/>
                <w:highlight w:val="none"/>
              </w:rPr>
              <w:t>进入性能考核期，在不超过设计进出水水质</w:t>
            </w:r>
            <w:r>
              <w:rPr>
                <w:rFonts w:hint="eastAsia" w:ascii="宋体" w:hAnsi="宋体" w:eastAsia="宋体" w:cs="宋体"/>
                <w:color w:val="auto"/>
                <w:sz w:val="21"/>
                <w:szCs w:val="24"/>
                <w:highlight w:val="none"/>
                <w:vertAlign w:val="baseline"/>
                <w:lang w:val="en-US" w:eastAsia="zh-CN"/>
              </w:rPr>
              <w:t>（进水SS除外）</w:t>
            </w:r>
            <w:r>
              <w:rPr>
                <w:rFonts w:hint="eastAsia" w:ascii="宋体" w:hAnsi="宋体" w:eastAsia="宋体" w:cs="Times New Roman"/>
                <w:color w:val="auto"/>
                <w:kern w:val="0"/>
                <w:szCs w:val="21"/>
                <w:highlight w:val="none"/>
              </w:rPr>
              <w:t>时，</w:t>
            </w:r>
            <w:r>
              <w:rPr>
                <w:rFonts w:hint="eastAsia" w:ascii="宋体" w:hAnsi="宋体" w:eastAsia="宋体" w:cs="Times New Roman"/>
                <w:color w:val="auto"/>
                <w:kern w:val="0"/>
                <w:szCs w:val="21"/>
                <w:highlight w:val="none"/>
                <w:lang w:val="en-US" w:eastAsia="zh-CN"/>
              </w:rPr>
              <w:t>我方</w:t>
            </w:r>
            <w:r>
              <w:rPr>
                <w:rFonts w:hint="eastAsia" w:ascii="宋体" w:hAnsi="宋体" w:eastAsia="宋体" w:cs="Times New Roman"/>
                <w:color w:val="auto"/>
                <w:kern w:val="0"/>
                <w:szCs w:val="21"/>
                <w:highlight w:val="none"/>
              </w:rPr>
              <w:t>承诺保证长安新区污水处理厂</w:t>
            </w:r>
            <w:r>
              <w:rPr>
                <w:rFonts w:hint="eastAsia" w:ascii="宋体" w:hAnsi="宋体" w:eastAsia="宋体" w:cs="宋体"/>
                <w:b w:val="0"/>
                <w:bCs w:val="0"/>
                <w:color w:val="auto"/>
                <w:kern w:val="2"/>
                <w:sz w:val="21"/>
                <w:szCs w:val="21"/>
                <w:highlight w:val="none"/>
                <w:lang w:val="en-US" w:eastAsia="zh-CN" w:bidi="ar"/>
              </w:rPr>
              <w:t>原位技术升级后</w:t>
            </w:r>
            <w:r>
              <w:rPr>
                <w:rFonts w:hint="eastAsia" w:ascii="宋体" w:hAnsi="宋体" w:eastAsia="宋体" w:cs="Times New Roman"/>
                <w:color w:val="auto"/>
                <w:kern w:val="0"/>
                <w:szCs w:val="21"/>
                <w:highlight w:val="none"/>
              </w:rPr>
              <w:t>日均处理水量</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val="en-US" w:eastAsia="zh-CN"/>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434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left"/>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原位扩容潜力：</w:t>
            </w:r>
            <w:r>
              <w:rPr>
                <w:rFonts w:hint="eastAsia" w:ascii="宋体" w:hAnsi="宋体" w:eastAsia="宋体" w:cs="宋体"/>
                <w:b w:val="0"/>
                <w:bCs w:val="0"/>
                <w:color w:val="auto"/>
                <w:kern w:val="2"/>
                <w:sz w:val="21"/>
                <w:szCs w:val="21"/>
                <w:highlight w:val="none"/>
                <w:lang w:val="en-US" w:eastAsia="zh-CN" w:bidi="ar"/>
              </w:rPr>
              <w:t>每个性能考核期内，在不超过设计进出水水质</w:t>
            </w:r>
            <w:r>
              <w:rPr>
                <w:rFonts w:hint="eastAsia" w:ascii="宋体" w:hAnsi="宋体" w:eastAsia="宋体" w:cs="宋体"/>
                <w:color w:val="auto"/>
                <w:sz w:val="21"/>
                <w:szCs w:val="24"/>
                <w:highlight w:val="none"/>
                <w:vertAlign w:val="baseline"/>
                <w:lang w:val="en-US" w:eastAsia="zh-CN"/>
              </w:rPr>
              <w:t>（进水SS除外）</w:t>
            </w:r>
            <w:r>
              <w:rPr>
                <w:rFonts w:hint="eastAsia" w:ascii="宋体" w:hAnsi="宋体" w:eastAsia="宋体" w:cs="宋体"/>
                <w:b w:val="0"/>
                <w:bCs w:val="0"/>
                <w:color w:val="auto"/>
                <w:kern w:val="2"/>
                <w:sz w:val="21"/>
                <w:szCs w:val="21"/>
                <w:highlight w:val="none"/>
                <w:lang w:val="en-US" w:eastAsia="zh-CN" w:bidi="ar"/>
              </w:rPr>
              <w:t>时，我方承诺长安新区污水处理厂原位技术升级后日均处理量可提升至26万吨的</w:t>
            </w:r>
            <w:r>
              <w:rPr>
                <w:rFonts w:hint="eastAsia" w:ascii="宋体" w:hAnsi="宋体" w:eastAsia="宋体" w:cs="Times New Roman"/>
                <w:b w:val="0"/>
                <w:bCs w:val="0"/>
                <w:color w:val="auto"/>
                <w:kern w:val="0"/>
                <w:szCs w:val="21"/>
                <w:highlight w:val="none"/>
                <w:lang w:val="en-US" w:eastAsia="zh-CN"/>
              </w:rPr>
              <w:t>日</w:t>
            </w:r>
            <w:r>
              <w:rPr>
                <w:rFonts w:hint="eastAsia" w:ascii="宋体" w:hAnsi="宋体" w:eastAsia="宋体" w:cs="宋体"/>
                <w:b w:val="0"/>
                <w:bCs w:val="0"/>
                <w:color w:val="auto"/>
                <w:kern w:val="2"/>
                <w:sz w:val="21"/>
                <w:szCs w:val="21"/>
                <w:highlight w:val="none"/>
                <w:lang w:val="en-US" w:eastAsia="zh-CN" w:bidi="ar"/>
              </w:rPr>
              <w:t>数：</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Times New Roman"/>
                <w:b w:val="0"/>
                <w:bCs w:val="0"/>
                <w:color w:val="auto"/>
                <w:kern w:val="0"/>
                <w:szCs w:val="21"/>
                <w:highlight w:val="none"/>
                <w:lang w:val="en-US" w:eastAsia="zh-CN"/>
              </w:rPr>
              <w:t>日</w:t>
            </w:r>
            <w:r>
              <w:rPr>
                <w:rFonts w:hint="eastAsia" w:ascii="宋体" w:hAnsi="宋体" w:eastAsia="宋体" w:cs="宋体"/>
                <w:b w:val="0"/>
                <w:bCs w:val="0"/>
                <w:color w:val="auto"/>
                <w:kern w:val="2"/>
                <w:sz w:val="21"/>
                <w:szCs w:val="21"/>
                <w:highlight w:val="none"/>
                <w:lang w:val="en-US" w:eastAsia="zh-CN" w:bidi="ar"/>
              </w:rPr>
              <w:t>。</w:t>
            </w:r>
          </w:p>
          <w:p>
            <w:pPr>
              <w:keepNext w:val="0"/>
              <w:keepLines w:val="0"/>
              <w:suppressLineNumbers w:val="0"/>
              <w:spacing w:before="0" w:beforeAutospacing="0" w:after="0" w:afterAutospacing="0" w:line="300" w:lineRule="auto"/>
              <w:ind w:left="0" w:right="0"/>
              <w:jc w:val="left"/>
              <w:rPr>
                <w:rFonts w:hint="default" w:ascii="宋体" w:hAnsi="宋体" w:eastAsia="宋体" w:cs="Times New Roman"/>
                <w:color w:val="auto"/>
                <w:kern w:val="0"/>
                <w:szCs w:val="21"/>
                <w:highlight w:val="none"/>
                <w:lang w:val="en-US"/>
              </w:rPr>
            </w:pPr>
            <w:r>
              <w:rPr>
                <w:rFonts w:hint="eastAsia" w:ascii="宋体" w:hAnsi="宋体" w:eastAsia="宋体" w:cs="宋体"/>
                <w:b w:val="0"/>
                <w:bCs w:val="0"/>
                <w:color w:val="auto"/>
                <w:kern w:val="2"/>
                <w:sz w:val="21"/>
                <w:szCs w:val="21"/>
                <w:highlight w:val="none"/>
                <w:lang w:val="en-US" w:eastAsia="zh-CN" w:bidi="ar"/>
              </w:rPr>
              <w:t>本表承诺的原位技术升级后日均处理量可提升至26万吨的日数需按日（整数）填写，若填写数值为非整数，我方同意去小数点后的数字，按日（整数）调整承诺的时间数值。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宋体"/>
                <w:color w:val="auto"/>
                <w:kern w:val="0"/>
                <w:szCs w:val="21"/>
                <w:highlight w:val="none"/>
                <w:lang w:val="en-US" w:eastAsia="zh-CN" w:bidi="ar"/>
              </w:rPr>
              <w:t>3</w:t>
            </w:r>
          </w:p>
        </w:tc>
        <w:tc>
          <w:tcPr>
            <w:tcW w:w="4343"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00" w:lineRule="auto"/>
              <w:ind w:left="0" w:right="0"/>
              <w:jc w:val="left"/>
              <w:rPr>
                <w:rFonts w:hint="default" w:ascii="宋体" w:hAnsi="宋体" w:eastAsia="宋体" w:cs="Times New Roman"/>
                <w:color w:val="auto"/>
                <w:kern w:val="0"/>
                <w:szCs w:val="21"/>
                <w:highlight w:val="none"/>
                <w:lang w:val="en-US"/>
              </w:rPr>
            </w:pPr>
            <w:r>
              <w:rPr>
                <w:rFonts w:hint="eastAsia" w:ascii="宋体" w:hAnsi="宋体" w:eastAsia="宋体" w:cs="宋体"/>
                <w:b/>
                <w:bCs/>
                <w:color w:val="auto"/>
                <w:kern w:val="2"/>
                <w:sz w:val="21"/>
                <w:szCs w:val="21"/>
                <w:highlight w:val="none"/>
                <w:lang w:val="en-US" w:eastAsia="zh-CN" w:bidi="ar"/>
              </w:rPr>
              <w:t>运行条件优化：</w:t>
            </w:r>
            <w:r>
              <w:rPr>
                <w:rFonts w:hint="eastAsia" w:ascii="宋体" w:hAnsi="宋体" w:eastAsia="宋体" w:cs="宋体"/>
                <w:b w:val="0"/>
                <w:bCs w:val="0"/>
                <w:color w:val="auto"/>
                <w:kern w:val="2"/>
                <w:sz w:val="21"/>
                <w:szCs w:val="21"/>
                <w:highlight w:val="none"/>
                <w:lang w:val="en-US" w:eastAsia="zh-CN" w:bidi="ar"/>
              </w:rPr>
              <w:t>每个性能考核期内，我方承诺在不超过设计进出水水质</w:t>
            </w:r>
            <w:r>
              <w:rPr>
                <w:rFonts w:hint="eastAsia" w:ascii="宋体" w:hAnsi="宋体" w:eastAsia="宋体" w:cs="宋体"/>
                <w:color w:val="auto"/>
                <w:sz w:val="21"/>
                <w:szCs w:val="24"/>
                <w:highlight w:val="none"/>
                <w:vertAlign w:val="baseline"/>
                <w:lang w:val="en-US" w:eastAsia="zh-CN"/>
              </w:rPr>
              <w:t>（进水SS除外）</w:t>
            </w:r>
            <w:r>
              <w:rPr>
                <w:rFonts w:hint="eastAsia" w:ascii="宋体" w:hAnsi="宋体" w:eastAsia="宋体" w:cs="宋体"/>
                <w:b w:val="0"/>
                <w:bCs w:val="0"/>
                <w:color w:val="auto"/>
                <w:kern w:val="2"/>
                <w:sz w:val="21"/>
                <w:szCs w:val="21"/>
                <w:highlight w:val="none"/>
                <w:lang w:val="en-US" w:eastAsia="zh-CN" w:bidi="ar"/>
              </w:rPr>
              <w:t>，可保证长安新区污水处理厂生物反应池的平均气水比</w:t>
            </w:r>
            <w:r>
              <w:rPr>
                <w:rFonts w:hint="eastAsia" w:ascii="宋体" w:hAnsi="宋体" w:eastAsia="宋体" w:cs="宋体"/>
                <w:b w:val="0"/>
                <w:bCs w:val="0"/>
                <w:color w:val="auto"/>
                <w:kern w:val="2"/>
                <w:sz w:val="21"/>
                <w:szCs w:val="21"/>
                <w:highlight w:val="none"/>
                <w:u w:val="single"/>
                <w:lang w:val="en-US" w:eastAsia="zh-CN" w:bidi="ar"/>
              </w:rPr>
              <w:t xml:space="preserve">   ：  </w:t>
            </w:r>
            <w:r>
              <w:rPr>
                <w:rFonts w:hint="eastAsia" w:ascii="宋体" w:hAnsi="宋体" w:eastAsia="宋体" w:cs="宋体"/>
                <w:b w:val="0"/>
                <w:bCs w:val="0"/>
                <w:color w:val="auto"/>
                <w:kern w:val="2"/>
                <w:sz w:val="21"/>
                <w:szCs w:val="21"/>
                <w:highlight w:val="none"/>
                <w:u w:val="none"/>
                <w:lang w:val="en-US" w:eastAsia="zh-CN" w:bidi="ar"/>
              </w:rPr>
              <w:t>。</w:t>
            </w: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Cs w:val="21"/>
          <w:highlight w:val="none"/>
          <w:lang w:eastAsia="zh-CN"/>
        </w:rPr>
      </w:pPr>
    </w:p>
    <w:p>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pPr>
        <w:autoSpaceDE w:val="0"/>
        <w:autoSpaceDN w:val="0"/>
        <w:adjustRightInd w:val="0"/>
        <w:spacing w:line="360" w:lineRule="auto"/>
        <w:ind w:firstLine="424" w:firstLineChars="201"/>
        <w:jc w:val="left"/>
        <w:rPr>
          <w:rFonts w:hint="default"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3.投标人可自行选择是否参与本项承诺，投标人中标后按本承诺表事项作为验收要求。</w:t>
      </w:r>
    </w:p>
    <w:p>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rPr>
      </w:pPr>
    </w:p>
    <w:p>
      <w:pPr>
        <w:pStyle w:val="19"/>
        <w:rPr>
          <w:rFonts w:hint="eastAsia" w:eastAsia="宋体"/>
          <w:color w:val="auto"/>
          <w:highlight w:val="none"/>
          <w:lang w:val="en-US" w:eastAsia="zh-CN"/>
        </w:rPr>
      </w:pP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pPr>
        <w:tabs>
          <w:tab w:val="left" w:pos="567"/>
        </w:tabs>
        <w:autoSpaceDE w:val="0"/>
        <w:autoSpaceDN w:val="0"/>
        <w:adjustRightInd w:val="0"/>
        <w:spacing w:line="360" w:lineRule="auto"/>
        <w:jc w:val="left"/>
        <w:outlineLvl w:val="2"/>
        <w:rPr>
          <w:rFonts w:hint="eastAsia" w:ascii="宋体" w:hAnsi="宋体" w:eastAsia="宋体" w:cs="宋体"/>
          <w:b/>
          <w:bCs/>
          <w:color w:val="auto"/>
          <w:kern w:val="0"/>
          <w:sz w:val="32"/>
          <w:szCs w:val="32"/>
          <w:highlight w:val="none"/>
          <w:lang w:val="en-US" w:eastAsia="zh-CN"/>
        </w:rPr>
      </w:pPr>
      <w:bookmarkStart w:id="733" w:name="_Toc195714395"/>
      <w:bookmarkStart w:id="734" w:name="_Toc29650"/>
    </w:p>
    <w:p>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r>
        <w:rPr>
          <w:rFonts w:hint="default"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szCs w:val="32"/>
          <w:highlight w:val="none"/>
          <w:lang w:val="zh-CN"/>
        </w:rPr>
        <w:t>、专利技术</w:t>
      </w:r>
    </w:p>
    <w:p>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Times New Roman"/>
          <w:b w:val="0"/>
          <w:bCs w:val="0"/>
          <w:color w:val="auto"/>
          <w:kern w:val="0"/>
          <w:sz w:val="21"/>
          <w:szCs w:val="21"/>
          <w:highlight w:val="none"/>
          <w:lang w:val="en-US" w:eastAsia="zh-CN" w:bidi="ar-SA"/>
        </w:rPr>
        <w:t>（投标人具有的应用于污水处理工艺相关的专利证书）</w:t>
      </w:r>
      <w:r>
        <w:rPr>
          <w:rFonts w:hint="eastAsia" w:ascii="宋体" w:hAnsi="宋体" w:eastAsia="宋体" w:cs="宋体"/>
          <w:b/>
          <w:bCs/>
          <w:color w:val="auto"/>
          <w:kern w:val="0"/>
          <w:sz w:val="32"/>
          <w:szCs w:val="32"/>
          <w:highlight w:val="none"/>
          <w:lang w:val="zh-CN"/>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七、专业</w:t>
      </w:r>
      <w:r>
        <w:rPr>
          <w:rFonts w:hint="eastAsia" w:ascii="宋体" w:hAnsi="宋体" w:eastAsia="宋体" w:cs="宋体"/>
          <w:b/>
          <w:bCs/>
          <w:color w:val="auto"/>
          <w:kern w:val="0"/>
          <w:sz w:val="32"/>
          <w:szCs w:val="32"/>
          <w:highlight w:val="none"/>
          <w:lang w:val="zh-CN"/>
        </w:rPr>
        <w:t>人员配备表</w:t>
      </w:r>
      <w:bookmarkEnd w:id="733"/>
      <w:bookmarkEnd w:id="734"/>
    </w:p>
    <w:p>
      <w:pPr>
        <w:spacing w:line="360" w:lineRule="auto"/>
        <w:jc w:val="center"/>
        <w:outlineLvl w:val="2"/>
        <w:rPr>
          <w:rFonts w:ascii="宋体" w:hAnsi="宋体" w:eastAsia="宋体" w:cs="宋体"/>
          <w:b/>
          <w:bCs/>
          <w:color w:val="auto"/>
          <w:kern w:val="0"/>
          <w:sz w:val="30"/>
          <w:szCs w:val="30"/>
          <w:highlight w:val="none"/>
          <w:lang w:val="zh-CN"/>
        </w:rPr>
      </w:pPr>
      <w:bookmarkStart w:id="735" w:name="_Toc195714396"/>
      <w:bookmarkStart w:id="736" w:name="_Toc21295"/>
      <w:r>
        <w:rPr>
          <w:rFonts w:hint="eastAsia" w:ascii="宋体" w:hAnsi="宋体" w:eastAsia="宋体" w:cs="宋体"/>
          <w:b/>
          <w:bCs/>
          <w:color w:val="auto"/>
          <w:kern w:val="0"/>
          <w:sz w:val="30"/>
          <w:szCs w:val="30"/>
          <w:highlight w:val="none"/>
          <w:lang w:val="en-US" w:eastAsia="zh-CN"/>
        </w:rPr>
        <w:t>专业人员</w:t>
      </w:r>
      <w:r>
        <w:rPr>
          <w:rFonts w:hint="eastAsia" w:ascii="宋体" w:hAnsi="宋体" w:eastAsia="宋体" w:cs="宋体"/>
          <w:b/>
          <w:bCs/>
          <w:color w:val="auto"/>
          <w:kern w:val="0"/>
          <w:sz w:val="30"/>
          <w:szCs w:val="30"/>
          <w:highlight w:val="none"/>
          <w:lang w:val="zh-CN"/>
        </w:rPr>
        <w:t>配备表</w:t>
      </w:r>
      <w:bookmarkEnd w:id="735"/>
      <w:bookmarkEnd w:id="736"/>
    </w:p>
    <w:tbl>
      <w:tblPr>
        <w:tblStyle w:val="44"/>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8"/>
        <w:gridCol w:w="851"/>
        <w:gridCol w:w="709"/>
        <w:gridCol w:w="708"/>
        <w:gridCol w:w="1425"/>
        <w:gridCol w:w="1410"/>
        <w:gridCol w:w="1800"/>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bookmarkStart w:id="737" w:name="_Hlk80886262"/>
            <w:r>
              <w:rPr>
                <w:rFonts w:hint="eastAsia" w:ascii="宋体" w:hAnsi="宋体" w:eastAsia="宋体" w:cs="宋体"/>
                <w:color w:val="auto"/>
                <w:szCs w:val="21"/>
                <w:highlight w:val="none"/>
              </w:rPr>
              <w:t>序号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证书级别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本项目拟担任职务/岗位</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szCs w:val="21"/>
                <w:highlight w:val="none"/>
              </w:rPr>
            </w:pPr>
          </w:p>
        </w:tc>
      </w:tr>
      <w:bookmarkEnd w:id="737"/>
    </w:tbl>
    <w:p>
      <w:pPr>
        <w:keepNext w:val="0"/>
        <w:keepLines w:val="0"/>
        <w:pageBreakBefore w:val="0"/>
        <w:widowControl/>
        <w:kinsoku/>
        <w:wordWrap/>
        <w:overflowPunct/>
        <w:topLinePunct w:val="0"/>
        <w:autoSpaceDE w:val="0"/>
        <w:autoSpaceDN w:val="0"/>
        <w:bidi w:val="0"/>
        <w:adjustRightInd w:val="0"/>
        <w:spacing w:line="360" w:lineRule="auto"/>
        <w:textAlignment w:val="auto"/>
        <w:rPr>
          <w:rFonts w:hint="eastAsia" w:ascii="宋体" w:hAnsi="Times New Roman" w:eastAsia="宋体" w:cs="Times New Roman"/>
          <w:color w:val="auto"/>
          <w:kern w:val="0"/>
          <w:szCs w:val="21"/>
          <w:highlight w:val="none"/>
          <w:lang w:bidi="ar"/>
        </w:rPr>
      </w:pPr>
    </w:p>
    <w:p>
      <w:pPr>
        <w:keepNext w:val="0"/>
        <w:keepLines w:val="0"/>
        <w:pageBreakBefore w:val="0"/>
        <w:widowControl/>
        <w:kinsoku/>
        <w:wordWrap/>
        <w:overflowPunct/>
        <w:topLinePunct w:val="0"/>
        <w:autoSpaceDE w:val="0"/>
        <w:autoSpaceDN w:val="0"/>
        <w:bidi w:val="0"/>
        <w:adjustRightInd w:val="0"/>
        <w:spacing w:line="36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Times New Roman" w:eastAsia="宋体" w:cs="Times New Roman"/>
          <w:color w:val="auto"/>
          <w:kern w:val="0"/>
          <w:szCs w:val="21"/>
          <w:highlight w:val="none"/>
          <w:lang w:bidi="ar"/>
        </w:rPr>
        <w:t>备注：</w:t>
      </w:r>
    </w:p>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eastAsia="zh-CN" w:bidi="ar"/>
        </w:rPr>
        <w:t>）上述人员一人具有多个证书的不重复计分(按得分较高的进行评分)；</w:t>
      </w:r>
    </w:p>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Cs w:val="21"/>
          <w:highlight w:val="none"/>
          <w:lang w:eastAsia="zh-CN" w:bidi="ar"/>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bidi="ar"/>
        </w:rPr>
        <w:t>上述人员须提供有效的身份证、职称证书原件扫描件</w:t>
      </w:r>
      <w:r>
        <w:rPr>
          <w:rFonts w:hint="eastAsia" w:ascii="宋体" w:hAnsi="宋体" w:eastAsia="宋体" w:cs="宋体"/>
          <w:b/>
          <w:bCs/>
          <w:color w:val="auto"/>
          <w:szCs w:val="21"/>
          <w:highlight w:val="none"/>
          <w:lang w:eastAsia="zh-CN" w:bidi="ar"/>
        </w:rPr>
        <w:t>；</w:t>
      </w:r>
    </w:p>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3</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 w:val="21"/>
          <w:szCs w:val="21"/>
          <w:highlight w:val="none"/>
        </w:rPr>
        <w:t>提供投标人202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月为上述人员缴纳的社保证明</w:t>
      </w:r>
      <w:r>
        <w:rPr>
          <w:rFonts w:hint="eastAsia" w:ascii="宋体" w:hAnsi="宋体" w:eastAsia="宋体" w:cs="宋体"/>
          <w:b/>
          <w:bCs/>
          <w:color w:val="auto"/>
          <w:sz w:val="21"/>
          <w:szCs w:val="21"/>
          <w:highlight w:val="none"/>
          <w:lang w:val="en-US" w:eastAsia="zh-CN"/>
        </w:rPr>
        <w:t>原件扫描件</w:t>
      </w:r>
      <w:r>
        <w:rPr>
          <w:rFonts w:hint="eastAsia" w:ascii="宋体" w:hAnsi="宋体" w:eastAsia="宋体" w:cs="宋体"/>
          <w:b/>
          <w:bCs w:val="0"/>
          <w:color w:val="auto"/>
          <w:kern w:val="2"/>
          <w:sz w:val="21"/>
          <w:szCs w:val="21"/>
          <w:highlight w:val="none"/>
          <w:lang w:val="en-US" w:eastAsia="zh-CN" w:bidi="ar-SA"/>
        </w:rPr>
        <w:t>；</w:t>
      </w:r>
    </w:p>
    <w:p>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（4）未按要求提供上述资料的，不得分。</w:t>
      </w:r>
    </w:p>
    <w:p>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pPr>
        <w:autoSpaceDE w:val="0"/>
        <w:autoSpaceDN w:val="0"/>
        <w:adjustRightInd w:val="0"/>
        <w:spacing w:line="360" w:lineRule="auto"/>
        <w:ind w:firstLine="4320" w:firstLineChars="18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u w:val="single"/>
          <w:lang w:val="zh-CN"/>
        </w:rPr>
        <w:t xml:space="preserve">             （企业数字证书电子签名）</w:t>
      </w:r>
    </w:p>
    <w:p>
      <w:pPr>
        <w:autoSpaceDE w:val="0"/>
        <w:autoSpaceDN w:val="0"/>
        <w:adjustRightInd w:val="0"/>
        <w:spacing w:line="360" w:lineRule="auto"/>
        <w:ind w:firstLine="4320" w:firstLineChars="1800"/>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val="zh-CN"/>
        </w:rPr>
        <w:t>日</w:t>
      </w:r>
      <w:r>
        <w:rPr>
          <w:rFonts w:hint="eastAsia" w:ascii="宋体" w:hAnsi="宋体" w:eastAsia="宋体" w:cs="Times New Roman"/>
          <w:color w:val="auto"/>
          <w:sz w:val="24"/>
          <w:szCs w:val="24"/>
          <w:highlight w:val="none"/>
          <w:lang w:val="zh-CN"/>
        </w:rPr>
        <w:t>期：   年   月   日</w:t>
      </w:r>
    </w:p>
    <w:p>
      <w:pPr>
        <w:autoSpaceDE w:val="0"/>
        <w:autoSpaceDN w:val="0"/>
        <w:adjustRightInd w:val="0"/>
        <w:spacing w:line="360" w:lineRule="auto"/>
        <w:jc w:val="center"/>
        <w:rPr>
          <w:rFonts w:ascii="宋体" w:hAnsi="宋体" w:eastAsia="宋体" w:cs="Times New Roman"/>
          <w:b/>
          <w:bCs/>
          <w:color w:val="auto"/>
          <w:sz w:val="24"/>
          <w:szCs w:val="24"/>
          <w:highlight w:val="none"/>
          <w:lang w:val="zh-CN"/>
        </w:rPr>
      </w:pPr>
    </w:p>
    <w:p>
      <w:pPr>
        <w:widowControl/>
        <w:autoSpaceDE w:val="0"/>
        <w:autoSpaceDN w:val="0"/>
        <w:adjustRightInd w:val="0"/>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zh-CN"/>
        </w:rPr>
        <w:t>说明：由投标人使用投标人的企业数字证书电子签名。</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br w:type="page"/>
      </w: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bookmarkStart w:id="738" w:name="_Toc10948"/>
      <w:bookmarkStart w:id="739" w:name="_Toc3648"/>
      <w:r>
        <w:rPr>
          <w:rFonts w:hint="eastAsia" w:ascii="宋体" w:hAnsi="宋体" w:eastAsia="宋体" w:cs="宋体"/>
          <w:b/>
          <w:color w:val="auto"/>
          <w:kern w:val="0"/>
          <w:sz w:val="30"/>
          <w:szCs w:val="30"/>
          <w:highlight w:val="none"/>
          <w:lang w:val="en-US" w:eastAsia="zh-CN"/>
        </w:rPr>
        <w:t>八</w:t>
      </w:r>
      <w:r>
        <w:rPr>
          <w:rFonts w:hint="eastAsia" w:ascii="宋体" w:hAnsi="宋体" w:eastAsia="宋体" w:cs="宋体"/>
          <w:b/>
          <w:color w:val="auto"/>
          <w:kern w:val="0"/>
          <w:sz w:val="30"/>
          <w:szCs w:val="30"/>
          <w:highlight w:val="none"/>
        </w:rPr>
        <w:t>、</w:t>
      </w:r>
      <w:bookmarkEnd w:id="738"/>
      <w:bookmarkEnd w:id="739"/>
      <w:r>
        <w:rPr>
          <w:rFonts w:hint="eastAsia" w:ascii="宋体" w:hAnsi="宋体" w:eastAsia="宋体" w:cs="宋体"/>
          <w:b/>
          <w:color w:val="auto"/>
          <w:kern w:val="0"/>
          <w:sz w:val="30"/>
          <w:szCs w:val="30"/>
          <w:highlight w:val="none"/>
        </w:rPr>
        <w:t>供货、安装计划及进度保证措施</w:t>
      </w:r>
      <w:r>
        <w:rPr>
          <w:rFonts w:hint="eastAsia" w:hAnsi="宋体" w:cs="宋体"/>
          <w:bCs w:val="0"/>
          <w:color w:val="auto"/>
          <w:kern w:val="0"/>
          <w:sz w:val="28"/>
          <w:szCs w:val="30"/>
          <w:highlight w:val="none"/>
          <w:lang w:val="en-US" w:eastAsia="zh-CN"/>
        </w:rPr>
        <w:t>（</w:t>
      </w:r>
      <w:r>
        <w:rPr>
          <w:rFonts w:hint="eastAsia" w:ascii="宋体" w:hAnsi="宋体" w:eastAsia="宋体" w:cs="宋体"/>
          <w:b/>
          <w:color w:val="auto"/>
          <w:kern w:val="0"/>
          <w:sz w:val="28"/>
          <w:szCs w:val="30"/>
          <w:highlight w:val="none"/>
          <w:lang w:val="en-US" w:eastAsia="zh-CN"/>
        </w:rPr>
        <w:t>投标人自行编写）</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p>
    <w:p>
      <w:pPr>
        <w:autoSpaceDE/>
        <w:autoSpaceDN/>
        <w:adjustRightInd/>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jc w:val="center"/>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val="en-US" w:eastAsia="zh-CN"/>
        </w:rPr>
        <w:t>8.1 供货、</w:t>
      </w:r>
      <w:r>
        <w:rPr>
          <w:rFonts w:hint="eastAsia" w:ascii="宋体" w:hAnsi="宋体" w:eastAsia="宋体" w:cs="宋体"/>
          <w:b/>
          <w:color w:val="auto"/>
          <w:kern w:val="0"/>
          <w:sz w:val="30"/>
          <w:szCs w:val="30"/>
          <w:highlight w:val="none"/>
          <w:lang w:eastAsia="zh-CN"/>
        </w:rPr>
        <w:t>安装时间承诺表</w:t>
      </w:r>
    </w:p>
    <w:p>
      <w:pPr>
        <w:pStyle w:val="19"/>
        <w:rPr>
          <w:rFonts w:hint="eastAsia" w:ascii="宋体" w:hAnsi="宋体" w:eastAsia="宋体" w:cs="宋体"/>
          <w:b/>
          <w:color w:val="auto"/>
          <w:kern w:val="0"/>
          <w:sz w:val="30"/>
          <w:szCs w:val="30"/>
          <w:highlight w:val="none"/>
          <w:lang w:eastAsia="zh-CN"/>
        </w:rPr>
      </w:pPr>
    </w:p>
    <w:p>
      <w:pPr>
        <w:pStyle w:val="1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val="en-US" w:eastAsia="zh-CN"/>
        </w:rPr>
        <w:t>供货、</w:t>
      </w:r>
      <w:r>
        <w:rPr>
          <w:rFonts w:hint="eastAsia" w:ascii="宋体" w:hAnsi="宋体" w:eastAsia="宋体" w:cs="宋体"/>
          <w:b/>
          <w:color w:val="auto"/>
          <w:kern w:val="0"/>
          <w:sz w:val="30"/>
          <w:szCs w:val="30"/>
          <w:highlight w:val="none"/>
          <w:lang w:eastAsia="zh-CN"/>
        </w:rPr>
        <w:t>安装时间承诺表</w:t>
      </w:r>
    </w:p>
    <w:p>
      <w:pPr>
        <w:pStyle w:val="19"/>
        <w:rPr>
          <w:rFonts w:hint="eastAsia" w:ascii="宋体" w:hAnsi="宋体" w:eastAsia="宋体" w:cs="宋体"/>
          <w:b/>
          <w:color w:val="auto"/>
          <w:kern w:val="0"/>
          <w:sz w:val="30"/>
          <w:szCs w:val="30"/>
          <w:highlight w:val="none"/>
          <w:lang w:eastAsia="zh-CN"/>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1</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w:t>
            </w:r>
            <w:r>
              <w:rPr>
                <w:rFonts w:hint="eastAsia" w:ascii="宋体" w:hAnsi="宋体" w:eastAsia="宋体" w:cs="宋体"/>
                <w:color w:val="auto"/>
                <w:kern w:val="0"/>
                <w:szCs w:val="21"/>
                <w:highlight w:val="none"/>
                <w:shd w:val="clear" w:color="auto" w:fill="FFFFFF"/>
                <w:lang w:val="en-US" w:eastAsia="zh-CN"/>
              </w:rPr>
              <w:t>本项目</w:t>
            </w:r>
            <w:r>
              <w:rPr>
                <w:rFonts w:hint="eastAsia" w:ascii="宋体" w:hAnsi="宋体" w:eastAsia="宋体" w:cs="宋体"/>
                <w:color w:val="auto"/>
                <w:kern w:val="0"/>
                <w:szCs w:val="21"/>
                <w:highlight w:val="none"/>
                <w:shd w:val="clear" w:color="auto" w:fill="FFFFFF"/>
              </w:rPr>
              <w:t>所投设备</w:t>
            </w:r>
            <w:r>
              <w:rPr>
                <w:rFonts w:hint="eastAsia" w:ascii="宋体" w:hAnsi="宋体" w:eastAsia="宋体" w:cs="宋体"/>
                <w:color w:val="auto"/>
                <w:kern w:val="0"/>
                <w:szCs w:val="21"/>
                <w:highlight w:val="none"/>
                <w:lang w:val="en-US" w:eastAsia="zh-CN"/>
              </w:rPr>
              <w:t>供货</w:t>
            </w:r>
            <w:r>
              <w:rPr>
                <w:rFonts w:hint="eastAsia" w:ascii="宋体" w:hAnsi="宋体" w:eastAsia="宋体" w:cs="宋体"/>
                <w:color w:val="auto"/>
                <w:kern w:val="0"/>
                <w:szCs w:val="21"/>
                <w:highlight w:val="none"/>
              </w:rPr>
              <w:t>时间</w:t>
            </w:r>
            <w:r>
              <w:rPr>
                <w:rFonts w:hint="default" w:ascii="宋体" w:hAnsi="宋体" w:eastAsia="宋体" w:cs="宋体"/>
                <w:color w:val="auto"/>
                <w:kern w:val="0"/>
                <w:szCs w:val="21"/>
                <w:highlight w:val="none"/>
                <w:shd w:val="clear" w:color="auto" w:fill="FFFFFF"/>
              </w:rPr>
              <w:t>为</w:t>
            </w:r>
            <w:r>
              <w:rPr>
                <w:rFonts w:hint="default"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日</w:t>
            </w:r>
            <w:r>
              <w:rPr>
                <w:rFonts w:hint="default" w:ascii="宋体" w:hAnsi="宋体" w:eastAsia="宋体" w:cs="宋体"/>
                <w:color w:val="auto"/>
                <w:kern w:val="0"/>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w:t>
            </w:r>
            <w:r>
              <w:rPr>
                <w:rFonts w:hint="eastAsia" w:ascii="宋体" w:hAnsi="宋体" w:eastAsia="宋体" w:cs="宋体"/>
                <w:color w:val="auto"/>
                <w:kern w:val="0"/>
                <w:szCs w:val="21"/>
                <w:highlight w:val="none"/>
                <w:shd w:val="clear" w:color="auto" w:fill="FFFFFF"/>
                <w:lang w:val="en-US" w:eastAsia="zh-CN"/>
              </w:rPr>
              <w:t>本项目</w:t>
            </w:r>
            <w:r>
              <w:rPr>
                <w:rFonts w:hint="eastAsia" w:ascii="宋体" w:hAnsi="宋体" w:eastAsia="宋体" w:cs="宋体"/>
                <w:color w:val="auto"/>
                <w:kern w:val="0"/>
                <w:szCs w:val="21"/>
                <w:highlight w:val="none"/>
                <w:shd w:val="clear" w:color="auto" w:fill="FFFFFF"/>
              </w:rPr>
              <w:t>所投设备</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时间</w:t>
            </w:r>
            <w:r>
              <w:rPr>
                <w:rFonts w:hint="default" w:ascii="宋体" w:hAnsi="宋体" w:eastAsia="宋体" w:cs="宋体"/>
                <w:color w:val="auto"/>
                <w:kern w:val="0"/>
                <w:szCs w:val="21"/>
                <w:highlight w:val="none"/>
                <w:shd w:val="clear" w:color="auto" w:fill="FFFFFF"/>
              </w:rPr>
              <w:t>为</w:t>
            </w:r>
            <w:r>
              <w:rPr>
                <w:rFonts w:hint="default"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日</w:t>
            </w:r>
            <w:r>
              <w:rPr>
                <w:rFonts w:hint="default" w:ascii="宋体" w:hAnsi="宋体" w:eastAsia="宋体" w:cs="宋体"/>
                <w:color w:val="auto"/>
                <w:kern w:val="0"/>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lang w:val="en-US" w:eastAsia="zh-CN"/>
              </w:rPr>
              <w:t>本表承诺的供货时间和安装时间需按日（整数）填写，若填写数值为非整数，我方同意去小数点后的数字，按日（整数）调整承诺的供货时间和安装时间数值。</w:t>
            </w:r>
          </w:p>
        </w:tc>
      </w:tr>
    </w:tbl>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pPr>
        <w:pStyle w:val="19"/>
        <w:rPr>
          <w:rFonts w:hint="eastAsia" w:ascii="宋体" w:hAnsi="宋体" w:eastAsia="宋体" w:cs="宋体"/>
          <w:b/>
          <w:color w:val="auto"/>
          <w:kern w:val="0"/>
          <w:sz w:val="28"/>
          <w:szCs w:val="30"/>
          <w:highlight w:val="none"/>
          <w:lang w:val="en-US" w:eastAsia="zh-CN"/>
        </w:rPr>
      </w:pPr>
    </w:p>
    <w:p>
      <w:pPr>
        <w:rPr>
          <w:rFonts w:hint="eastAsia" w:ascii="宋体" w:hAnsi="宋体" w:eastAsia="宋体" w:cs="宋体"/>
          <w:b/>
          <w:color w:val="auto"/>
          <w:kern w:val="0"/>
          <w:sz w:val="28"/>
          <w:szCs w:val="30"/>
          <w:highlight w:val="none"/>
          <w:lang w:val="en-US" w:eastAsia="zh-CN"/>
        </w:rPr>
      </w:pPr>
    </w:p>
    <w:p>
      <w:pPr>
        <w:pStyle w:val="19"/>
        <w:rPr>
          <w:rFonts w:hint="eastAsia" w:ascii="宋体" w:hAnsi="宋体" w:eastAsia="宋体" w:cs="宋体"/>
          <w:b/>
          <w:color w:val="auto"/>
          <w:kern w:val="0"/>
          <w:sz w:val="28"/>
          <w:szCs w:val="30"/>
          <w:highlight w:val="none"/>
          <w:lang w:val="en-US" w:eastAsia="zh-CN"/>
        </w:rPr>
      </w:pPr>
    </w:p>
    <w:p>
      <w:pPr>
        <w:rPr>
          <w:rFonts w:hint="eastAsia" w:ascii="宋体" w:hAnsi="宋体" w:eastAsia="宋体" w:cs="宋体"/>
          <w:b/>
          <w:color w:val="auto"/>
          <w:kern w:val="0"/>
          <w:sz w:val="28"/>
          <w:szCs w:val="30"/>
          <w:highlight w:val="none"/>
          <w:lang w:val="en-US" w:eastAsia="zh-CN"/>
        </w:rPr>
      </w:pPr>
    </w:p>
    <w:p>
      <w:pPr>
        <w:pStyle w:val="19"/>
        <w:rPr>
          <w:rFonts w:hint="eastAsia" w:ascii="宋体" w:hAnsi="宋体" w:eastAsia="宋体" w:cs="宋体"/>
          <w:b/>
          <w:color w:val="auto"/>
          <w:kern w:val="0"/>
          <w:sz w:val="28"/>
          <w:szCs w:val="30"/>
          <w:highlight w:val="none"/>
          <w:lang w:val="en-US" w:eastAsia="zh-CN"/>
        </w:rPr>
      </w:pPr>
    </w:p>
    <w:p>
      <w:pPr>
        <w:rPr>
          <w:rFonts w:hint="eastAsia"/>
          <w:color w:val="auto"/>
          <w:highlight w:val="none"/>
          <w:lang w:val="en-US" w:eastAsia="zh-CN"/>
        </w:rPr>
      </w:pP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jc w:val="left"/>
        <w:rPr>
          <w:rFonts w:hint="eastAsia" w:ascii="宋体" w:hAnsi="宋体" w:eastAsia="宋体" w:cs="宋体"/>
          <w:b/>
          <w:color w:val="auto"/>
          <w:kern w:val="0"/>
          <w:sz w:val="28"/>
          <w:szCs w:val="30"/>
          <w:highlight w:val="none"/>
          <w:lang w:val="en-US" w:eastAsia="zh-CN"/>
        </w:rPr>
      </w:pPr>
    </w:p>
    <w:p>
      <w:pPr>
        <w:autoSpaceDE w:val="0"/>
        <w:autoSpaceDN w:val="0"/>
        <w:adjustRightInd w:val="0"/>
        <w:spacing w:line="360" w:lineRule="auto"/>
        <w:jc w:val="left"/>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val="en-US" w:eastAsia="zh-CN"/>
        </w:rPr>
        <w:t>九</w:t>
      </w:r>
      <w:r>
        <w:rPr>
          <w:rFonts w:hint="eastAsia" w:ascii="宋体" w:hAnsi="宋体" w:eastAsia="宋体" w:cs="宋体"/>
          <w:b/>
          <w:color w:val="auto"/>
          <w:kern w:val="0"/>
          <w:sz w:val="30"/>
          <w:szCs w:val="30"/>
          <w:highlight w:val="none"/>
          <w:lang w:eastAsia="zh-CN"/>
        </w:rPr>
        <w:t>、质保期、</w:t>
      </w:r>
      <w:r>
        <w:rPr>
          <w:rFonts w:hint="eastAsia" w:ascii="宋体" w:hAnsi="宋体" w:eastAsia="宋体" w:cs="宋体"/>
          <w:b/>
          <w:color w:val="auto"/>
          <w:kern w:val="0"/>
          <w:sz w:val="30"/>
          <w:szCs w:val="30"/>
          <w:highlight w:val="none"/>
          <w:lang w:val="en-US" w:eastAsia="zh-CN"/>
        </w:rPr>
        <w:t>维修响应时间</w:t>
      </w:r>
      <w:r>
        <w:rPr>
          <w:rFonts w:hint="eastAsia" w:ascii="宋体" w:hAnsi="宋体" w:eastAsia="宋体" w:cs="宋体"/>
          <w:b/>
          <w:color w:val="auto"/>
          <w:kern w:val="0"/>
          <w:sz w:val="30"/>
          <w:szCs w:val="30"/>
          <w:highlight w:val="none"/>
          <w:lang w:eastAsia="zh-CN"/>
        </w:rPr>
        <w:t>承诺表</w:t>
      </w:r>
    </w:p>
    <w:p>
      <w:pPr>
        <w:autoSpaceDE w:val="0"/>
        <w:autoSpaceDN w:val="0"/>
        <w:adjustRightInd w:val="0"/>
        <w:jc w:val="center"/>
        <w:rPr>
          <w:rFonts w:hint="eastAsia" w:ascii="宋体" w:hAnsi="宋体" w:eastAsia="宋体" w:cs="宋体"/>
          <w:b/>
          <w:color w:val="auto"/>
          <w:kern w:val="0"/>
          <w:sz w:val="28"/>
          <w:szCs w:val="30"/>
          <w:highlight w:val="none"/>
          <w:lang w:eastAsia="zh-CN"/>
        </w:rPr>
      </w:pPr>
      <w:r>
        <w:rPr>
          <w:rFonts w:hint="eastAsia" w:ascii="宋体" w:hAnsi="宋体" w:eastAsia="宋体" w:cs="宋体"/>
          <w:b/>
          <w:color w:val="auto"/>
          <w:kern w:val="0"/>
          <w:sz w:val="30"/>
          <w:szCs w:val="30"/>
          <w:highlight w:val="none"/>
          <w:lang w:eastAsia="zh-CN"/>
        </w:rPr>
        <w:t>质保期、</w:t>
      </w:r>
      <w:r>
        <w:rPr>
          <w:rFonts w:hint="eastAsia" w:ascii="宋体" w:hAnsi="宋体" w:eastAsia="宋体" w:cs="宋体"/>
          <w:b/>
          <w:color w:val="auto"/>
          <w:kern w:val="0"/>
          <w:sz w:val="30"/>
          <w:szCs w:val="30"/>
          <w:highlight w:val="none"/>
          <w:lang w:val="en-US" w:eastAsia="zh-CN"/>
        </w:rPr>
        <w:t>维修响应时间</w:t>
      </w:r>
      <w:r>
        <w:rPr>
          <w:rFonts w:hint="eastAsia" w:ascii="宋体" w:hAnsi="宋体" w:eastAsia="宋体" w:cs="宋体"/>
          <w:b/>
          <w:color w:val="auto"/>
          <w:kern w:val="0"/>
          <w:sz w:val="30"/>
          <w:szCs w:val="30"/>
          <w:highlight w:val="none"/>
          <w:lang w:eastAsia="zh-CN"/>
        </w:rPr>
        <w:t>承诺表</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9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序号</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1</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w:t>
            </w:r>
            <w:r>
              <w:rPr>
                <w:rFonts w:hint="eastAsia" w:ascii="宋体" w:hAnsi="宋体" w:eastAsia="宋体" w:cs="宋体"/>
                <w:color w:val="auto"/>
                <w:kern w:val="0"/>
                <w:szCs w:val="21"/>
                <w:highlight w:val="none"/>
                <w:shd w:val="clear" w:color="auto" w:fill="FFFFFF"/>
                <w:lang w:val="en-US" w:eastAsia="zh-CN"/>
              </w:rPr>
              <w:t>本项目</w:t>
            </w:r>
            <w:r>
              <w:rPr>
                <w:rFonts w:hint="eastAsia" w:ascii="宋体" w:hAnsi="宋体" w:eastAsia="宋体" w:cs="宋体"/>
                <w:color w:val="auto"/>
                <w:kern w:val="0"/>
                <w:szCs w:val="21"/>
                <w:highlight w:val="none"/>
                <w:shd w:val="clear" w:color="auto" w:fill="FFFFFF"/>
              </w:rPr>
              <w:t>所投设备</w:t>
            </w:r>
            <w:r>
              <w:rPr>
                <w:rFonts w:hint="default" w:ascii="宋体" w:hAnsi="宋体" w:eastAsia="宋体" w:cs="宋体"/>
                <w:color w:val="auto"/>
                <w:kern w:val="0"/>
                <w:szCs w:val="21"/>
                <w:highlight w:val="none"/>
                <w:shd w:val="clear" w:color="auto" w:fill="FFFFFF"/>
              </w:rPr>
              <w:t>质保期为</w:t>
            </w:r>
            <w:r>
              <w:rPr>
                <w:rFonts w:hint="default" w:ascii="宋体" w:hAnsi="宋体" w:eastAsia="宋体" w:cs="宋体"/>
                <w:b/>
                <w:bCs/>
                <w:color w:val="auto"/>
                <w:kern w:val="0"/>
                <w:szCs w:val="21"/>
                <w:highlight w:val="none"/>
                <w:u w:val="single"/>
                <w:shd w:val="clear" w:color="auto" w:fill="FFFFFF"/>
              </w:rPr>
              <w:t xml:space="preserve">     </w:t>
            </w:r>
            <w:r>
              <w:rPr>
                <w:rFonts w:hint="default" w:ascii="宋体" w:hAnsi="宋体" w:eastAsia="宋体" w:cs="宋体"/>
                <w:b/>
                <w:color w:val="auto"/>
                <w:kern w:val="0"/>
                <w:szCs w:val="21"/>
                <w:highlight w:val="none"/>
                <w:shd w:val="clear" w:color="auto" w:fill="FFFFFF"/>
              </w:rPr>
              <w:t>个月</w:t>
            </w:r>
            <w:r>
              <w:rPr>
                <w:rFonts w:hint="default" w:ascii="宋体" w:hAnsi="宋体" w:eastAsia="宋体" w:cs="宋体"/>
                <w:color w:val="auto"/>
                <w:kern w:val="0"/>
                <w:szCs w:val="21"/>
                <w:highlight w:val="none"/>
                <w:shd w:val="clear" w:color="auto" w:fill="FFFFFF"/>
              </w:rPr>
              <w:t>，</w:t>
            </w:r>
            <w:r>
              <w:rPr>
                <w:rFonts w:hint="eastAsia" w:ascii="宋体" w:hAnsi="宋体" w:eastAsia="宋体" w:cs="Times New Roman"/>
                <w:color w:val="auto"/>
                <w:kern w:val="0"/>
                <w:szCs w:val="21"/>
                <w:highlight w:val="none"/>
              </w:rPr>
              <w:t>质保期自项目最终验收合格之日起算</w:t>
            </w:r>
            <w:r>
              <w:rPr>
                <w:rFonts w:hint="default" w:ascii="宋体" w:hAnsi="宋体" w:eastAsia="宋体" w:cs="宋体"/>
                <w:color w:val="auto"/>
                <w:kern w:val="0"/>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2</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对本项目质保期内接到招标人的故障</w:t>
            </w:r>
            <w:r>
              <w:rPr>
                <w:rFonts w:hint="eastAsia" w:ascii="宋体" w:hAnsi="宋体" w:eastAsia="宋体" w:cs="宋体"/>
                <w:color w:val="auto"/>
                <w:kern w:val="0"/>
                <w:szCs w:val="21"/>
                <w:highlight w:val="none"/>
                <w:shd w:val="clear" w:color="auto" w:fill="FFFFFF"/>
                <w:lang w:val="en-US" w:eastAsia="zh-CN"/>
              </w:rPr>
              <w:t>报警</w:t>
            </w:r>
            <w:r>
              <w:rPr>
                <w:rFonts w:hint="eastAsia" w:ascii="宋体" w:hAnsi="宋体" w:eastAsia="宋体" w:cs="宋体"/>
                <w:color w:val="auto"/>
                <w:kern w:val="0"/>
                <w:szCs w:val="21"/>
                <w:highlight w:val="none"/>
                <w:shd w:val="clear" w:color="auto" w:fill="FFFFFF"/>
              </w:rPr>
              <w:t>后维修响应时间</w:t>
            </w:r>
            <w:r>
              <w:rPr>
                <w:rFonts w:hint="default" w:ascii="宋体" w:hAnsi="宋体" w:eastAsia="宋体" w:cs="宋体"/>
                <w:color w:val="auto"/>
                <w:kern w:val="0"/>
                <w:szCs w:val="21"/>
                <w:highlight w:val="none"/>
                <w:shd w:val="clear" w:color="auto" w:fill="FFFFFF"/>
              </w:rPr>
              <w:t>为</w:t>
            </w:r>
            <w:r>
              <w:rPr>
                <w:rFonts w:hint="default"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小时</w:t>
            </w:r>
            <w:r>
              <w:rPr>
                <w:rFonts w:hint="default" w:ascii="宋体" w:hAnsi="宋体" w:eastAsia="宋体" w:cs="宋体"/>
                <w:color w:val="auto"/>
                <w:kern w:val="0"/>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3</w:t>
            </w:r>
          </w:p>
        </w:tc>
        <w:tc>
          <w:tcPr>
            <w:tcW w:w="4528" w:type="pct"/>
            <w:vAlign w:val="center"/>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rPr>
              <w:t>我方承诺</w:t>
            </w:r>
            <w:r>
              <w:rPr>
                <w:rFonts w:hint="eastAsia" w:ascii="宋体" w:hAnsi="宋体" w:eastAsia="宋体" w:cs="宋体"/>
                <w:color w:val="auto"/>
                <w:kern w:val="0"/>
                <w:szCs w:val="21"/>
                <w:highlight w:val="none"/>
                <w:shd w:val="clear" w:color="auto" w:fill="FFFFFF"/>
              </w:rPr>
              <w:t>对本项目质保期内接到招标人的故障</w:t>
            </w:r>
            <w:r>
              <w:rPr>
                <w:rFonts w:hint="eastAsia" w:ascii="宋体" w:hAnsi="宋体" w:eastAsia="宋体" w:cs="宋体"/>
                <w:color w:val="auto"/>
                <w:kern w:val="0"/>
                <w:szCs w:val="21"/>
                <w:highlight w:val="none"/>
                <w:shd w:val="clear" w:color="auto" w:fill="FFFFFF"/>
                <w:lang w:val="en-US" w:eastAsia="zh-CN"/>
              </w:rPr>
              <w:t>报警</w:t>
            </w:r>
            <w:r>
              <w:rPr>
                <w:rFonts w:hint="eastAsia" w:ascii="宋体" w:hAnsi="宋体" w:eastAsia="宋体" w:cs="宋体"/>
                <w:color w:val="auto"/>
                <w:kern w:val="0"/>
                <w:szCs w:val="21"/>
                <w:highlight w:val="none"/>
                <w:shd w:val="clear" w:color="auto" w:fill="FFFFFF"/>
              </w:rPr>
              <w:t>后到达项目现场</w:t>
            </w:r>
            <w:r>
              <w:rPr>
                <w:rFonts w:hint="eastAsia" w:ascii="宋体" w:hAnsi="宋体" w:eastAsia="宋体" w:cs="宋体"/>
                <w:color w:val="auto"/>
                <w:kern w:val="0"/>
                <w:szCs w:val="21"/>
                <w:highlight w:val="none"/>
                <w:shd w:val="clear" w:color="auto" w:fill="FFFFFF"/>
                <w:lang w:val="en-US" w:eastAsia="zh-CN"/>
              </w:rPr>
              <w:t>提供</w:t>
            </w:r>
            <w:r>
              <w:rPr>
                <w:rFonts w:hint="eastAsia" w:ascii="宋体" w:hAnsi="宋体" w:eastAsia="宋体" w:cs="宋体"/>
                <w:color w:val="auto"/>
                <w:kern w:val="0"/>
                <w:szCs w:val="21"/>
                <w:highlight w:val="none"/>
                <w:shd w:val="clear" w:color="auto" w:fill="FFFFFF"/>
              </w:rPr>
              <w:t>维修等服务的时间</w:t>
            </w:r>
            <w:r>
              <w:rPr>
                <w:rFonts w:hint="default" w:ascii="宋体" w:hAnsi="宋体" w:eastAsia="宋体" w:cs="宋体"/>
                <w:color w:val="auto"/>
                <w:kern w:val="0"/>
                <w:szCs w:val="21"/>
                <w:highlight w:val="none"/>
                <w:shd w:val="clear" w:color="auto" w:fill="FFFFFF"/>
              </w:rPr>
              <w:t>为</w:t>
            </w:r>
            <w:r>
              <w:rPr>
                <w:rFonts w:hint="default" w:ascii="宋体" w:hAnsi="宋体" w:eastAsia="宋体" w:cs="宋体"/>
                <w:b/>
                <w:bCs/>
                <w:color w:val="auto"/>
                <w:kern w:val="0"/>
                <w:szCs w:val="21"/>
                <w:highlight w:val="none"/>
                <w:u w:val="single"/>
                <w:shd w:val="clear" w:color="auto" w:fill="FFFFFF"/>
              </w:rPr>
              <w:t xml:space="preserve">     </w:t>
            </w:r>
            <w:r>
              <w:rPr>
                <w:rFonts w:hint="eastAsia" w:ascii="宋体" w:hAnsi="宋体" w:eastAsia="宋体" w:cs="宋体"/>
                <w:b/>
                <w:color w:val="auto"/>
                <w:kern w:val="0"/>
                <w:szCs w:val="21"/>
                <w:highlight w:val="none"/>
                <w:shd w:val="clear" w:color="auto" w:fill="FFFFFF"/>
                <w:lang w:val="en-US" w:eastAsia="zh-CN"/>
              </w:rPr>
              <w:t>小时</w:t>
            </w:r>
            <w:r>
              <w:rPr>
                <w:rFonts w:hint="default" w:ascii="宋体" w:hAnsi="宋体" w:eastAsia="宋体" w:cs="宋体"/>
                <w:color w:val="auto"/>
                <w:kern w:val="0"/>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00" w:type="pct"/>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firstLine="630" w:firstLineChars="300"/>
              <w:jc w:val="left"/>
              <w:rPr>
                <w:rFonts w:hint="default" w:ascii="宋体" w:hAnsi="宋体" w:eastAsia="宋体" w:cs="宋体"/>
                <w:color w:val="auto"/>
                <w:kern w:val="0"/>
                <w:szCs w:val="21"/>
                <w:highlight w:val="none"/>
                <w:shd w:val="clear" w:color="auto" w:fill="FFFFFF"/>
              </w:rPr>
            </w:pPr>
            <w:r>
              <w:rPr>
                <w:rFonts w:hint="default" w:ascii="宋体" w:hAnsi="宋体" w:eastAsia="宋体" w:cs="宋体"/>
                <w:color w:val="auto"/>
                <w:kern w:val="0"/>
                <w:szCs w:val="21"/>
                <w:highlight w:val="none"/>
                <w:shd w:val="clear" w:color="auto" w:fill="FFFFFF"/>
                <w:lang w:val="en-US" w:eastAsia="zh-CN"/>
              </w:rPr>
              <w:t>本表承诺的质保期和响应时间需按月或按小时（整数）填写，若填写数值为非整数，我方同意去小数点后的数字，按月或按小时（整数）调整承诺的质保期和响应时间数值。</w:t>
            </w:r>
          </w:p>
        </w:tc>
      </w:tr>
    </w:tbl>
    <w:p>
      <w:pPr>
        <w:rPr>
          <w:rFonts w:ascii="宋体" w:hAnsi="宋体" w:eastAsia="宋体" w:cs="Times New Roman"/>
          <w:color w:val="auto"/>
          <w:highlight w:val="none"/>
        </w:rPr>
      </w:pPr>
    </w:p>
    <w:p>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p>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1.本表承诺事项若未填或漏填的，视为投标人按用户需求书响应。</w:t>
      </w:r>
    </w:p>
    <w:p>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r>
        <w:rPr>
          <w:rFonts w:hint="eastAsia" w:ascii="宋体" w:hAnsi="宋体" w:eastAsia="宋体" w:cs="Times New Roman"/>
          <w:b/>
          <w:color w:val="auto"/>
          <w:kern w:val="0"/>
          <w:szCs w:val="21"/>
          <w:highlight w:val="none"/>
        </w:rPr>
        <w:t>本表承诺事项若与投标文件其他地方表述不一致的，以本承诺表为准。</w:t>
      </w:r>
    </w:p>
    <w:p>
      <w:pPr>
        <w:pStyle w:val="19"/>
        <w:spacing w:line="360" w:lineRule="auto"/>
        <w:jc w:val="both"/>
        <w:rPr>
          <w:rFonts w:hint="default" w:hAnsi="宋体" w:eastAsia="宋体" w:cs="Times New Roman"/>
          <w:bCs w:val="0"/>
          <w:color w:val="auto"/>
          <w:kern w:val="0"/>
          <w:sz w:val="21"/>
          <w:szCs w:val="21"/>
          <w:highlight w:val="none"/>
          <w:lang w:val="en-US" w:eastAsia="zh-CN"/>
        </w:rPr>
      </w:pP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pPr>
        <w:autoSpaceDE w:val="0"/>
        <w:autoSpaceDN w:val="0"/>
        <w:adjustRightInd w:val="0"/>
        <w:spacing w:line="360" w:lineRule="auto"/>
        <w:ind w:firstLine="3780" w:firstLineChars="1800"/>
        <w:jc w:val="right"/>
        <w:rPr>
          <w:rFonts w:hint="eastAsia" w:ascii="宋体" w:hAnsi="宋体" w:eastAsia="宋体" w:cs="宋体"/>
          <w:color w:val="auto"/>
          <w:szCs w:val="21"/>
          <w:highlight w:val="none"/>
          <w:lang w:val="zh-CN"/>
        </w:rPr>
      </w:pPr>
    </w:p>
    <w:p>
      <w:pPr>
        <w:autoSpaceDE w:val="0"/>
        <w:autoSpaceDN w:val="0"/>
        <w:adjustRightInd w:val="0"/>
        <w:spacing w:line="360" w:lineRule="auto"/>
        <w:ind w:firstLine="3780" w:firstLineChars="1800"/>
        <w:jc w:val="righ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p>
    <w:p>
      <w:pPr>
        <w:autoSpaceDE w:val="0"/>
        <w:autoSpaceDN w:val="0"/>
        <w:adjustRightInd w:val="0"/>
        <w:spacing w:line="360" w:lineRule="auto"/>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说明：由投标人使用投标人的企业数字证书电子签名。</w:t>
      </w:r>
    </w:p>
    <w:p>
      <w:pPr>
        <w:pStyle w:val="16"/>
        <w:rPr>
          <w:color w:val="auto"/>
          <w:highlight w:val="none"/>
          <w:lang w:val="zh-CN"/>
        </w:rPr>
      </w:pPr>
    </w:p>
    <w:p>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717"/>
    <w:bookmarkEnd w:id="718"/>
    <w:bookmarkEnd w:id="719"/>
    <w:bookmarkEnd w:id="720"/>
    <w:bookmarkEnd w:id="721"/>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40" w:name="_Toc195714409"/>
      <w:bookmarkStart w:id="741" w:name="_Toc31805"/>
      <w:bookmarkStart w:id="742" w:name="_Toc20557"/>
      <w:bookmarkStart w:id="743" w:name="_Toc18981"/>
      <w:r>
        <w:rPr>
          <w:rFonts w:hint="eastAsia" w:ascii="宋体" w:hAnsi="宋体" w:eastAsia="宋体" w:cs="宋体"/>
          <w:b/>
          <w:color w:val="auto"/>
          <w:kern w:val="0"/>
          <w:sz w:val="30"/>
          <w:szCs w:val="30"/>
          <w:highlight w:val="none"/>
          <w:lang w:val="en-US" w:eastAsia="zh-CN"/>
        </w:rPr>
        <w:t>十</w:t>
      </w:r>
      <w:r>
        <w:rPr>
          <w:rFonts w:hint="eastAsia" w:ascii="宋体" w:hAnsi="宋体" w:eastAsia="宋体" w:cs="宋体"/>
          <w:b/>
          <w:color w:val="auto"/>
          <w:kern w:val="0"/>
          <w:sz w:val="30"/>
          <w:szCs w:val="30"/>
          <w:highlight w:val="none"/>
        </w:rPr>
        <w:t>、投标人认为有必要提供的其它材料（不做强制要求）</w:t>
      </w:r>
      <w:bookmarkEnd w:id="740"/>
      <w:bookmarkEnd w:id="741"/>
      <w:bookmarkEnd w:id="742"/>
      <w:bookmarkEnd w:id="743"/>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jc w:val="center"/>
        <w:outlineLvl w:val="1"/>
        <w:rPr>
          <w:rFonts w:ascii="宋体" w:hAnsi="宋体" w:eastAsia="宋体" w:cs="宋体"/>
          <w:b/>
          <w:color w:val="auto"/>
          <w:kern w:val="0"/>
          <w:sz w:val="32"/>
          <w:szCs w:val="32"/>
          <w:highlight w:val="none"/>
        </w:rPr>
      </w:pPr>
      <w:bookmarkStart w:id="744" w:name="_Toc13980"/>
      <w:bookmarkStart w:id="745" w:name="_Toc195714410"/>
      <w:bookmarkStart w:id="746" w:name="_Toc20068"/>
      <w:bookmarkStart w:id="747" w:name="_Toc29525"/>
      <w:r>
        <w:rPr>
          <w:rFonts w:hint="eastAsia" w:ascii="宋体" w:hAnsi="宋体" w:eastAsia="宋体" w:cs="宋体"/>
          <w:b/>
          <w:color w:val="auto"/>
          <w:kern w:val="0"/>
          <w:sz w:val="32"/>
          <w:szCs w:val="32"/>
          <w:highlight w:val="none"/>
        </w:rPr>
        <w:t>三  投标文件报价信封格式</w:t>
      </w:r>
      <w:bookmarkEnd w:id="744"/>
      <w:bookmarkEnd w:id="745"/>
      <w:bookmarkEnd w:id="746"/>
      <w:bookmarkEnd w:id="747"/>
    </w:p>
    <w:p>
      <w:pPr>
        <w:jc w:val="center"/>
        <w:rPr>
          <w:rFonts w:ascii="宋体" w:hAnsi="宋体" w:eastAsia="宋体" w:cs="宋体"/>
          <w:b/>
          <w:color w:val="auto"/>
          <w:kern w:val="0"/>
          <w:sz w:val="32"/>
          <w:szCs w:val="32"/>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48" w:name="_Toc15947"/>
      <w:bookmarkStart w:id="749" w:name="_Toc142508390"/>
      <w:bookmarkStart w:id="750" w:name="_Toc21059"/>
      <w:bookmarkStart w:id="751" w:name="_Toc195714411"/>
      <w:bookmarkStart w:id="752" w:name="_Toc5891"/>
      <w:bookmarkStart w:id="753" w:name="_Toc14977"/>
      <w:bookmarkStart w:id="754" w:name="_Toc522047402"/>
      <w:bookmarkStart w:id="755" w:name="_Toc22601_WPSOffice_Level1"/>
      <w:bookmarkStart w:id="756" w:name="_Toc521918141"/>
      <w:r>
        <w:rPr>
          <w:rFonts w:hint="eastAsia" w:ascii="宋体" w:hAnsi="宋体" w:eastAsia="宋体" w:cs="宋体"/>
          <w:b/>
          <w:bCs/>
          <w:color w:val="auto"/>
          <w:kern w:val="44"/>
          <w:sz w:val="32"/>
          <w:szCs w:val="32"/>
          <w:highlight w:val="none"/>
          <w:lang w:val="zh-CN"/>
        </w:rPr>
        <w:t>附件一：评标工作大纲</w:t>
      </w:r>
      <w:bookmarkEnd w:id="748"/>
      <w:bookmarkEnd w:id="749"/>
      <w:bookmarkEnd w:id="750"/>
      <w:bookmarkEnd w:id="751"/>
      <w:bookmarkEnd w:id="752"/>
      <w:bookmarkEnd w:id="753"/>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东莞市长安新区污水处理厂原位技术升级设备采购及安装项目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57"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b/>
          <w:bCs/>
          <w:color w:val="auto"/>
          <w:sz w:val="36"/>
          <w:szCs w:val="36"/>
          <w:highlight w:val="none"/>
          <w:lang w:val="zh-CN"/>
        </w:rPr>
        <w:t>）</w:t>
      </w:r>
      <w:bookmarkEnd w:id="757"/>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58" w:name="_Toc18947_WPSOffice_Level2"/>
      <w:r>
        <w:rPr>
          <w:rFonts w:hint="eastAsia" w:ascii="宋体" w:hAnsi="宋体" w:eastAsia="宋体" w:cs="宋体"/>
          <w:b/>
          <w:bCs/>
          <w:color w:val="auto"/>
          <w:sz w:val="72"/>
          <w:szCs w:val="72"/>
          <w:highlight w:val="none"/>
          <w:lang w:val="zh-CN"/>
        </w:rPr>
        <w:t>评标工作大纲</w:t>
      </w:r>
      <w:bookmarkEnd w:id="758"/>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59" w:name="_Toc32395_WPSOffice_Level1"/>
      <w:r>
        <w:rPr>
          <w:rFonts w:hint="eastAsia" w:ascii="宋体" w:hAnsi="宋体" w:eastAsia="宋体" w:cs="宋体"/>
          <w:b/>
          <w:bCs/>
          <w:color w:val="auto"/>
          <w:sz w:val="36"/>
          <w:szCs w:val="36"/>
          <w:highlight w:val="none"/>
          <w:lang w:val="zh-CN"/>
        </w:rPr>
        <w:t>目录</w:t>
      </w:r>
      <w:bookmarkEnd w:id="759"/>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6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0"/>
    </w:p>
    <w:p>
      <w:pPr>
        <w:autoSpaceDE w:val="0"/>
        <w:autoSpaceDN w:val="0"/>
        <w:adjustRightInd w:val="0"/>
        <w:spacing w:line="360" w:lineRule="auto"/>
        <w:ind w:left="567" w:hanging="567"/>
        <w:rPr>
          <w:rFonts w:ascii="宋体" w:hAnsi="宋体" w:eastAsia="宋体" w:cs="宋体"/>
          <w:color w:val="auto"/>
          <w:szCs w:val="30"/>
          <w:highlight w:val="none"/>
        </w:rPr>
      </w:pPr>
      <w:bookmarkStart w:id="76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1"/>
    </w:p>
    <w:p>
      <w:pPr>
        <w:autoSpaceDE w:val="0"/>
        <w:autoSpaceDN w:val="0"/>
        <w:adjustRightInd w:val="0"/>
        <w:spacing w:line="360" w:lineRule="auto"/>
        <w:ind w:left="567" w:hanging="567"/>
        <w:rPr>
          <w:rFonts w:ascii="宋体" w:hAnsi="宋体" w:eastAsia="宋体" w:cs="宋体"/>
          <w:color w:val="auto"/>
          <w:szCs w:val="30"/>
          <w:highlight w:val="none"/>
        </w:rPr>
      </w:pPr>
      <w:bookmarkStart w:id="76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62"/>
    </w:p>
    <w:p>
      <w:pPr>
        <w:autoSpaceDE w:val="0"/>
        <w:autoSpaceDN w:val="0"/>
        <w:adjustRightInd w:val="0"/>
        <w:spacing w:line="360" w:lineRule="auto"/>
        <w:ind w:left="567" w:hanging="567"/>
        <w:rPr>
          <w:rFonts w:ascii="宋体" w:hAnsi="宋体" w:eastAsia="宋体" w:cs="宋体"/>
          <w:color w:val="auto"/>
          <w:szCs w:val="30"/>
          <w:highlight w:val="none"/>
        </w:rPr>
      </w:pPr>
      <w:bookmarkStart w:id="763" w:name="_Toc1206_WPSOffice_Level1"/>
      <w:r>
        <w:rPr>
          <w:rFonts w:hint="eastAsia" w:ascii="宋体" w:hAnsi="宋体" w:eastAsia="宋体" w:cs="宋体"/>
          <w:color w:val="auto"/>
          <w:szCs w:val="30"/>
          <w:highlight w:val="none"/>
        </w:rPr>
        <w:t>四、 比较和评价</w:t>
      </w:r>
      <w:bookmarkEnd w:id="763"/>
    </w:p>
    <w:p>
      <w:pPr>
        <w:autoSpaceDE w:val="0"/>
        <w:autoSpaceDN w:val="0"/>
        <w:adjustRightInd w:val="0"/>
        <w:spacing w:line="360" w:lineRule="auto"/>
        <w:ind w:left="567" w:hanging="567"/>
        <w:rPr>
          <w:rFonts w:ascii="宋体" w:hAnsi="宋体" w:eastAsia="宋体" w:cs="宋体"/>
          <w:color w:val="auto"/>
          <w:szCs w:val="30"/>
          <w:highlight w:val="none"/>
        </w:rPr>
      </w:pPr>
      <w:bookmarkStart w:id="76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64"/>
    </w:p>
    <w:p>
      <w:pPr>
        <w:autoSpaceDE w:val="0"/>
        <w:autoSpaceDN w:val="0"/>
        <w:adjustRightInd w:val="0"/>
        <w:spacing w:line="360" w:lineRule="auto"/>
        <w:ind w:left="567" w:hanging="567"/>
        <w:rPr>
          <w:rFonts w:ascii="宋体" w:hAnsi="宋体" w:eastAsia="宋体" w:cs="宋体"/>
          <w:color w:val="auto"/>
          <w:szCs w:val="30"/>
          <w:highlight w:val="none"/>
        </w:rPr>
      </w:pPr>
      <w:bookmarkStart w:id="76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65"/>
    </w:p>
    <w:p>
      <w:pPr>
        <w:autoSpaceDE w:val="0"/>
        <w:autoSpaceDN w:val="0"/>
        <w:adjustRightInd w:val="0"/>
        <w:spacing w:line="360" w:lineRule="auto"/>
        <w:ind w:left="567" w:hanging="567"/>
        <w:rPr>
          <w:rFonts w:ascii="宋体" w:hAnsi="宋体" w:eastAsia="宋体" w:cs="宋体"/>
          <w:color w:val="auto"/>
          <w:szCs w:val="30"/>
          <w:highlight w:val="none"/>
        </w:rPr>
      </w:pPr>
      <w:bookmarkStart w:id="76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66"/>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7"/>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东莞市长安新区污水处理厂原位技术升级设备采购及安装项目</w:t>
      </w:r>
      <w:r>
        <w:rPr>
          <w:rFonts w:hint="eastAsia" w:ascii="宋体" w:hAnsi="宋体" w:eastAsia="宋体" w:cs="宋体"/>
          <w:color w:val="auto"/>
          <w:szCs w:val="21"/>
          <w:highlight w:val="none"/>
          <w:lang w:val="zh-CN"/>
        </w:rPr>
        <w:t>(招标编号：</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1"/>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人以上（含</w:t>
      </w:r>
      <w:r>
        <w:rPr>
          <w:rFonts w:hint="eastAsia" w:ascii="宋体" w:hAnsi="宋体" w:eastAsia="宋体" w:cs="宋体"/>
          <w:color w:val="auto"/>
          <w:kern w:val="0"/>
          <w:szCs w:val="24"/>
          <w:highlight w:val="none"/>
          <w:lang w:val="en-US" w:eastAsia="zh-CN"/>
        </w:rPr>
        <w:t>7</w:t>
      </w:r>
      <w:r>
        <w:rPr>
          <w:rFonts w:ascii="宋体" w:hAnsi="宋体" w:eastAsia="宋体" w:cs="宋体"/>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68" w:name="_Toc19435_WPSOffice_Level1"/>
      <w:r>
        <w:rPr>
          <w:rFonts w:hint="eastAsia" w:ascii="宋体" w:hAnsi="宋体" w:eastAsia="宋体" w:cs="宋体"/>
          <w:b/>
          <w:bCs/>
          <w:color w:val="auto"/>
          <w:sz w:val="28"/>
          <w:szCs w:val="28"/>
          <w:highlight w:val="none"/>
          <w:lang w:val="zh-CN"/>
        </w:rPr>
        <w:t>二、投标文件的初审</w:t>
      </w:r>
      <w:bookmarkEnd w:id="768"/>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供货及服务范围、质量和性能，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pPr>
        <w:autoSpaceDE w:val="0"/>
        <w:autoSpaceDN w:val="0"/>
        <w:adjustRightInd w:val="0"/>
        <w:spacing w:line="360" w:lineRule="auto"/>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eastAsia="zh-CN"/>
        </w:rPr>
        <w:t>.3 投标文件中使用的本项目招标文件版本，与交易系统上发布的本项目招标文件的最新版本不一致的；</w:t>
      </w:r>
    </w:p>
    <w:p>
      <w:pPr>
        <w:autoSpaceDE w:val="0"/>
        <w:autoSpaceDN w:val="0"/>
        <w:adjustRightInd w:val="0"/>
        <w:spacing w:line="360" w:lineRule="auto"/>
        <w:outlineLvl w:val="9"/>
        <w:rPr>
          <w:rFonts w:hint="eastAsia"/>
          <w:color w:val="auto"/>
          <w:highlight w:val="none"/>
          <w:lang w:val="zh-CN" w:eastAsia="zh-CN"/>
        </w:rPr>
      </w:pPr>
      <w:r>
        <w:rPr>
          <w:rFonts w:hint="eastAsia" w:ascii="宋体" w:hAnsi="宋体" w:eastAsia="宋体" w:cs="宋体"/>
          <w:b/>
          <w:color w:val="auto"/>
          <w:szCs w:val="21"/>
          <w:highlight w:val="none"/>
          <w:lang w:val="en-US" w:eastAsia="zh-CN"/>
        </w:rPr>
        <w:t>7.4 投标文件未使用企业数字证书签名的；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投标文件附有招标人不能接受的条件的；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投标文件报价信封中填报的投标报价高于不含税最高限价或投标人的分项报价表子项目投标报价高于对应子项目的不含税最高限价的；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投标有效期限不符合要求；</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未填写或虚假填写《用户需求偏离表》的；</w:t>
      </w:r>
    </w:p>
    <w:p>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18</w:t>
      </w:r>
      <w:r>
        <w:rPr>
          <w:rFonts w:hint="eastAsia" w:ascii="宋体" w:hAnsi="宋体" w:eastAsia="宋体" w:cs="宋体"/>
          <w:b/>
          <w:color w:val="auto"/>
          <w:szCs w:val="21"/>
          <w:highlight w:val="none"/>
          <w:lang w:val="zh-CN"/>
        </w:rPr>
        <w:t xml:space="preserve"> 未响应招标文件提出的实质性要求和条件（标注★的条款）；</w:t>
      </w:r>
    </w:p>
    <w:p>
      <w:pPr>
        <w:spacing w:line="360" w:lineRule="auto"/>
        <w:ind w:left="413" w:hanging="413" w:hangingChars="196"/>
        <w:rPr>
          <w:rFonts w:hint="eastAsia" w:ascii="宋体" w:hAnsi="宋体" w:eastAsia="宋体" w:cs="宋体"/>
          <w:b/>
          <w:color w:val="auto"/>
          <w:szCs w:val="21"/>
          <w:highlight w:val="none"/>
          <w:lang w:val="zh-CN" w:eastAsia="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69" w:name="_Toc4109_WPSOffice_Level1"/>
      <w:r>
        <w:rPr>
          <w:rFonts w:hint="eastAsia" w:ascii="宋体" w:hAnsi="宋体" w:eastAsia="宋体" w:cs="宋体"/>
          <w:b/>
          <w:bCs/>
          <w:color w:val="auto"/>
          <w:sz w:val="28"/>
          <w:szCs w:val="28"/>
          <w:highlight w:val="none"/>
          <w:lang w:val="zh-CN"/>
        </w:rPr>
        <w:t>三、澄清有关问题</w:t>
      </w:r>
      <w:bookmarkEnd w:id="769"/>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70"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70"/>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w:t>
      </w:r>
      <w:r>
        <w:rPr>
          <w:rFonts w:hint="eastAsia" w:ascii="宋体" w:hAnsi="宋体" w:eastAsia="宋体" w:cs="宋体"/>
          <w:color w:val="auto"/>
          <w:szCs w:val="21"/>
          <w:highlight w:val="none"/>
          <w:lang w:val="en-US" w:eastAsia="zh-CN"/>
        </w:rPr>
        <w:t>良、</w:t>
      </w:r>
      <w:r>
        <w:rPr>
          <w:rFonts w:hint="eastAsia" w:ascii="宋体" w:hAnsi="宋体" w:eastAsia="宋体" w:cs="宋体"/>
          <w:color w:val="auto"/>
          <w:szCs w:val="21"/>
          <w:highlight w:val="none"/>
        </w:rPr>
        <w:t>中、差”</w:t>
      </w:r>
      <w:r>
        <w:rPr>
          <w:rFonts w:hint="eastAsia" w:ascii="宋体" w:hAnsi="宋体" w:eastAsia="宋体" w:cs="宋体"/>
          <w:color w:val="auto"/>
          <w:szCs w:val="21"/>
          <w:highlight w:val="none"/>
          <w:lang w:val="en-US" w:eastAsia="zh-CN"/>
        </w:rPr>
        <w:t>区间</w:t>
      </w:r>
      <w:r>
        <w:rPr>
          <w:rFonts w:hint="eastAsia" w:ascii="宋体" w:hAnsi="宋体" w:eastAsia="宋体" w:cs="宋体"/>
          <w:color w:val="auto"/>
          <w:szCs w:val="21"/>
          <w:highlight w:val="none"/>
        </w:rPr>
        <w:t>评审的评分因素的评分低于权重分值60%的，应在评标报告中作出说明。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25分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45分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274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30分</w:t>
            </w:r>
          </w:p>
        </w:tc>
      </w:tr>
    </w:tbl>
    <w:p>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（1）商务：总分</w:t>
      </w:r>
      <w:r>
        <w:rPr>
          <w:rFonts w:hint="eastAsia" w:ascii="宋体" w:hAnsi="宋体" w:eastAsia="宋体" w:cs="宋体"/>
          <w:b/>
          <w:color w:val="auto"/>
          <w:szCs w:val="21"/>
          <w:highlight w:val="none"/>
          <w:lang w:val="en-US" w:eastAsia="zh-CN" w:bidi="ar"/>
        </w:rPr>
        <w:t>25</w:t>
      </w:r>
      <w:r>
        <w:rPr>
          <w:rFonts w:hint="eastAsia" w:ascii="宋体" w:hAnsi="宋体" w:eastAsia="宋体" w:cs="宋体"/>
          <w:b/>
          <w:color w:val="auto"/>
          <w:szCs w:val="21"/>
          <w:highlight w:val="none"/>
          <w:lang w:bidi="ar"/>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083"/>
        <w:gridCol w:w="867"/>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22"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418"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c>
          <w:tcPr>
            <w:tcW w:w="3716" w:type="pc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 w:type="pct"/>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522" w:type="pct"/>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财务状况</w:t>
            </w:r>
          </w:p>
        </w:tc>
        <w:tc>
          <w:tcPr>
            <w:tcW w:w="418" w:type="pct"/>
            <w:vAlign w:val="center"/>
          </w:tcPr>
          <w:p>
            <w:pPr>
              <w:keepNext w:val="0"/>
              <w:keepLines w:val="0"/>
              <w:pageBreakBefore w:val="0"/>
              <w:widowControl w:val="0"/>
              <w:suppressLineNumbers w:val="0"/>
              <w:tabs>
                <w:tab w:val="left" w:pos="134"/>
              </w:tabs>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37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投</w:t>
            </w:r>
            <w:r>
              <w:rPr>
                <w:rFonts w:hint="eastAsia" w:ascii="宋体" w:hAnsi="宋体" w:eastAsia="宋体" w:cs="宋体"/>
                <w:b w:val="0"/>
                <w:bCs/>
                <w:color w:val="auto"/>
                <w:sz w:val="21"/>
                <w:szCs w:val="21"/>
                <w:highlight w:val="none"/>
              </w:rPr>
              <w:t>标人2022年-2024年三个年度，每具有1个年度盈利的得1分，满分3分。</w:t>
            </w:r>
          </w:p>
          <w:p>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盈利指净利润为正数（非零、非负数），投标人应提供2022年、2023年、2024年三个年度的财务报表，净利润以对应年度经审计的财务报表为准，应提供经独立会计师事务所审计过的有效的财务报表复印件；未提供前述财务报表或财务报表未能反映净利润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7" w:hRule="atLeast"/>
        </w:trPr>
        <w:tc>
          <w:tcPr>
            <w:tcW w:w="343" w:type="pct"/>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w:t>
            </w:r>
          </w:p>
        </w:tc>
        <w:tc>
          <w:tcPr>
            <w:tcW w:w="522" w:type="pct"/>
            <w:vAlign w:val="center"/>
          </w:tcPr>
          <w:p>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418" w:type="pct"/>
            <w:vAlign w:val="center"/>
          </w:tcPr>
          <w:p>
            <w:pPr>
              <w:keepNext w:val="0"/>
              <w:keepLines w:val="0"/>
              <w:pageBreakBefore w:val="0"/>
              <w:widowControl w:val="0"/>
              <w:suppressLineNumbers w:val="0"/>
              <w:tabs>
                <w:tab w:val="left" w:pos="134"/>
              </w:tabs>
              <w:kinsoku/>
              <w:wordWrap/>
              <w:overflowPunct/>
              <w:topLinePunct w:val="0"/>
              <w:bidi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22分</w:t>
            </w:r>
          </w:p>
        </w:tc>
        <w:tc>
          <w:tcPr>
            <w:tcW w:w="37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（1）投标人2022年以来具有的用于污水处理扩容的技术改造及其成套设备在国内的供货业绩，</w:t>
            </w:r>
            <w:r>
              <w:rPr>
                <w:rFonts w:hint="eastAsia" w:ascii="宋体" w:hAnsi="宋体" w:eastAsia="宋体" w:cs="宋体"/>
                <w:color w:val="auto"/>
                <w:sz w:val="21"/>
                <w:szCs w:val="21"/>
                <w:highlight w:val="none"/>
              </w:rPr>
              <w:t>按下列情况评分，</w:t>
            </w:r>
            <w:r>
              <w:rPr>
                <w:rFonts w:hint="eastAsia" w:ascii="宋体" w:hAnsi="宋体" w:eastAsia="宋体" w:cs="宋体"/>
                <w:b/>
                <w:color w:val="auto"/>
                <w:sz w:val="21"/>
                <w:szCs w:val="21"/>
                <w:highlight w:val="none"/>
              </w:rPr>
              <w:t>本</w:t>
            </w:r>
            <w:r>
              <w:rPr>
                <w:rFonts w:hint="eastAsia" w:ascii="宋体" w:hAnsi="宋体" w:eastAsia="宋体" w:cs="宋体"/>
                <w:b/>
                <w:color w:val="auto"/>
                <w:sz w:val="21"/>
                <w:szCs w:val="21"/>
                <w:highlight w:val="none"/>
                <w:lang w:val="en-US" w:eastAsia="zh-CN"/>
              </w:rPr>
              <w:t>子</w:t>
            </w:r>
            <w:r>
              <w:rPr>
                <w:rFonts w:hint="eastAsia" w:ascii="宋体" w:hAnsi="宋体" w:eastAsia="宋体" w:cs="宋体"/>
                <w:b/>
                <w:color w:val="auto"/>
                <w:sz w:val="21"/>
                <w:szCs w:val="21"/>
                <w:highlight w:val="none"/>
              </w:rPr>
              <w:t>项满分</w:t>
            </w: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color w:val="auto"/>
                <w:sz w:val="21"/>
                <w:szCs w:val="21"/>
                <w:highlight w:val="none"/>
              </w:rPr>
              <w:t>①</w:t>
            </w:r>
            <w:r>
              <w:rPr>
                <w:rFonts w:hint="eastAsia" w:ascii="宋体" w:hAnsi="宋体" w:eastAsia="宋体" w:cs="宋体"/>
                <w:color w:val="auto"/>
                <w:kern w:val="2"/>
                <w:sz w:val="21"/>
                <w:szCs w:val="21"/>
                <w:highlight w:val="none"/>
                <w:lang w:val="en-US" w:eastAsia="zh-CN" w:bidi="ar"/>
              </w:rPr>
              <w:t>每提供一个【技术改造后污水处理规模≥20万吨/日（或立方米/日）】的前述业绩合同的，</w:t>
            </w:r>
            <w:r>
              <w:rPr>
                <w:rFonts w:hint="eastAsia" w:ascii="宋体" w:hAnsi="宋体" w:eastAsia="宋体" w:cs="宋体"/>
                <w:color w:val="auto"/>
                <w:sz w:val="21"/>
                <w:szCs w:val="21"/>
                <w:highlight w:val="none"/>
                <w:lang w:val="en-US" w:eastAsia="zh-CN"/>
              </w:rPr>
              <w:t>得4</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color w:val="auto"/>
                <w:sz w:val="21"/>
                <w:szCs w:val="21"/>
                <w:highlight w:val="none"/>
              </w:rPr>
              <w:t>②</w:t>
            </w:r>
            <w:r>
              <w:rPr>
                <w:rFonts w:hint="eastAsia" w:ascii="宋体" w:hAnsi="宋体" w:eastAsia="宋体" w:cs="宋体"/>
                <w:color w:val="auto"/>
                <w:kern w:val="2"/>
                <w:sz w:val="21"/>
                <w:szCs w:val="21"/>
                <w:highlight w:val="none"/>
                <w:lang w:val="en-US" w:eastAsia="zh-CN" w:bidi="ar"/>
              </w:rPr>
              <w:t>每提供一个【10万吨/日（或立方米/日）≤技术改造后污水处理规模&lt;20万吨/日（或立方米/日）】的前述业绩合同的，</w:t>
            </w:r>
            <w:r>
              <w:rPr>
                <w:rFonts w:hint="eastAsia" w:ascii="宋体" w:hAnsi="宋体" w:eastAsia="宋体" w:cs="宋体"/>
                <w:color w:val="auto"/>
                <w:sz w:val="21"/>
                <w:szCs w:val="21"/>
                <w:highlight w:val="none"/>
                <w:lang w:val="en-US" w:eastAsia="zh-CN"/>
              </w:rPr>
              <w:t>得3</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color w:val="auto"/>
                <w:sz w:val="21"/>
                <w:szCs w:val="21"/>
                <w:highlight w:val="none"/>
              </w:rPr>
              <w:t>③</w:t>
            </w:r>
            <w:r>
              <w:rPr>
                <w:rFonts w:hint="eastAsia" w:ascii="宋体" w:hAnsi="宋体" w:eastAsia="宋体" w:cs="宋体"/>
                <w:color w:val="auto"/>
                <w:kern w:val="2"/>
                <w:sz w:val="21"/>
                <w:szCs w:val="21"/>
                <w:highlight w:val="none"/>
                <w:lang w:val="en-US" w:eastAsia="zh-CN" w:bidi="ar"/>
              </w:rPr>
              <w:t>每提供一个【5万吨/日（或立方米/日）≤技术改造后污水处理规模&lt;10万吨/日（或立方米/日）】的前述业绩合同的，</w:t>
            </w:r>
            <w:r>
              <w:rPr>
                <w:rFonts w:hint="eastAsia" w:ascii="宋体" w:hAnsi="宋体" w:eastAsia="宋体" w:cs="宋体"/>
                <w:color w:val="auto"/>
                <w:sz w:val="21"/>
                <w:szCs w:val="21"/>
                <w:highlight w:val="none"/>
                <w:lang w:val="en-US" w:eastAsia="zh-CN"/>
              </w:rPr>
              <w:t>得2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④</w:t>
            </w:r>
            <w:r>
              <w:rPr>
                <w:rFonts w:hint="eastAsia" w:ascii="宋体" w:hAnsi="宋体" w:eastAsia="宋体" w:cs="宋体"/>
                <w:color w:val="auto"/>
                <w:kern w:val="2"/>
                <w:sz w:val="21"/>
                <w:szCs w:val="21"/>
                <w:highlight w:val="none"/>
                <w:lang w:val="en-US" w:eastAsia="zh-CN" w:bidi="ar"/>
              </w:rPr>
              <w:t>每提供一个【技术改造后污水处理规模&lt;5万吨/日（或立方米/日）】的前述业绩合同的，</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
              </w:rPr>
              <w:t>，本小项最高得4分。</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备注：</w:t>
            </w:r>
          </w:p>
          <w:p>
            <w:pPr>
              <w:keepNext w:val="0"/>
              <w:keepLines w:val="0"/>
              <w:suppressLineNumbers w:val="0"/>
              <w:autoSpaceDE w:val="0"/>
              <w:autoSpaceDN w:val="0"/>
              <w:spacing w:before="0" w:beforeAutospacing="0" w:after="0" w:afterAutospacing="0" w:line="400" w:lineRule="exact"/>
              <w:ind w:left="0" w:leftChars="0" w:right="0" w:firstLineChars="0"/>
              <w:jc w:val="left"/>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bCs/>
                <w:color w:val="auto"/>
                <w:kern w:val="2"/>
                <w:sz w:val="21"/>
                <w:szCs w:val="21"/>
                <w:highlight w:val="none"/>
                <w:lang w:val="en-US" w:eastAsia="zh-CN" w:bidi="ar"/>
              </w:rPr>
              <w:t>业绩须附合同原件扫描件及合同对应的技术设备供货清单(合同设备提供方为投标人)，否则不得分；</w:t>
            </w:r>
          </w:p>
          <w:p>
            <w:pPr>
              <w:pStyle w:val="19"/>
              <w:keepNext w:val="0"/>
              <w:keepLines w:val="0"/>
              <w:suppressLineNumbers w:val="0"/>
              <w:spacing w:before="0" w:beforeAutospacing="0" w:after="0" w:afterAutospacing="0"/>
              <w:ind w:left="0"/>
              <w:jc w:val="both"/>
              <w:rPr>
                <w:rFonts w:hint="default"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）第</w:t>
            </w:r>
            <w:r>
              <w:rPr>
                <w:rFonts w:hint="eastAsia" w:ascii="宋体" w:hAnsi="宋体" w:eastAsia="宋体" w:cs="宋体"/>
                <w:b w:val="0"/>
                <w:bCs/>
                <w:color w:val="auto"/>
                <w:sz w:val="21"/>
                <w:szCs w:val="21"/>
                <w:highlight w:val="none"/>
              </w:rPr>
              <w:t>②</w:t>
            </w:r>
            <w:r>
              <w:rPr>
                <w:rFonts w:hint="eastAsia" w:ascii="宋体" w:hAnsi="宋体" w:eastAsia="宋体" w:cs="宋体"/>
                <w:b/>
                <w:color w:val="auto"/>
                <w:sz w:val="21"/>
                <w:szCs w:val="21"/>
                <w:highlight w:val="none"/>
                <w:lang w:val="en-US" w:eastAsia="zh-CN"/>
              </w:rPr>
              <w:t>项、第</w:t>
            </w:r>
            <w:r>
              <w:rPr>
                <w:rFonts w:hint="eastAsia" w:ascii="宋体" w:hAnsi="宋体" w:eastAsia="宋体" w:cs="宋体"/>
                <w:b w:val="0"/>
                <w:bCs/>
                <w:color w:val="auto"/>
                <w:sz w:val="21"/>
                <w:szCs w:val="21"/>
                <w:highlight w:val="none"/>
              </w:rPr>
              <w:t>③</w:t>
            </w:r>
            <w:r>
              <w:rPr>
                <w:rFonts w:hint="eastAsia" w:ascii="宋体" w:hAnsi="宋体" w:eastAsia="宋体" w:cs="宋体"/>
                <w:b/>
                <w:color w:val="auto"/>
                <w:sz w:val="21"/>
                <w:szCs w:val="21"/>
                <w:highlight w:val="none"/>
                <w:lang w:val="en-US" w:eastAsia="zh-CN"/>
              </w:rPr>
              <w:t>项和第</w:t>
            </w:r>
            <w:r>
              <w:rPr>
                <w:rFonts w:hint="eastAsia" w:ascii="宋体" w:hAnsi="宋体" w:eastAsia="宋体" w:cs="宋体"/>
                <w:b w:val="0"/>
                <w:bCs w:val="0"/>
                <w:color w:val="auto"/>
                <w:kern w:val="2"/>
                <w:sz w:val="21"/>
                <w:szCs w:val="21"/>
                <w:highlight w:val="none"/>
                <w:lang w:val="en-US" w:eastAsia="zh-CN" w:bidi="ar"/>
              </w:rPr>
              <w:t>④</w:t>
            </w:r>
            <w:r>
              <w:rPr>
                <w:rFonts w:hint="eastAsia" w:ascii="宋体" w:hAnsi="宋体" w:eastAsia="宋体" w:cs="宋体"/>
                <w:b/>
                <w:color w:val="auto"/>
                <w:sz w:val="21"/>
                <w:szCs w:val="21"/>
                <w:highlight w:val="none"/>
                <w:lang w:val="en-US" w:eastAsia="zh-CN"/>
              </w:rPr>
              <w:t>项业绩</w:t>
            </w:r>
            <w:r>
              <w:rPr>
                <w:rFonts w:hint="eastAsia" w:hAnsi="宋体" w:cs="宋体"/>
                <w:b/>
                <w:color w:val="auto"/>
                <w:sz w:val="21"/>
                <w:szCs w:val="21"/>
                <w:highlight w:val="none"/>
                <w:lang w:val="en-US" w:eastAsia="zh-CN"/>
              </w:rPr>
              <w:t>共计得分</w:t>
            </w:r>
            <w:r>
              <w:rPr>
                <w:rFonts w:hint="eastAsia" w:ascii="宋体" w:hAnsi="宋体" w:eastAsia="宋体" w:cs="宋体"/>
                <w:b/>
                <w:color w:val="auto"/>
                <w:sz w:val="21"/>
                <w:szCs w:val="21"/>
                <w:highlight w:val="none"/>
                <w:lang w:val="en-US" w:eastAsia="zh-CN"/>
              </w:rPr>
              <w:t>不超过</w:t>
            </w:r>
            <w:r>
              <w:rPr>
                <w:rFonts w:hint="eastAsia" w:hAnsi="宋体" w:cs="宋体"/>
                <w:b/>
                <w:color w:val="auto"/>
                <w:sz w:val="21"/>
                <w:szCs w:val="21"/>
                <w:highlight w:val="none"/>
                <w:lang w:val="en-US" w:eastAsia="zh-CN"/>
              </w:rPr>
              <w:t>14</w:t>
            </w:r>
            <w:r>
              <w:rPr>
                <w:rFonts w:hint="eastAsia" w:ascii="宋体" w:hAnsi="宋体" w:eastAsia="宋体" w:cs="宋体"/>
                <w:b/>
                <w:color w:val="auto"/>
                <w:sz w:val="21"/>
                <w:szCs w:val="21"/>
                <w:highlight w:val="none"/>
                <w:lang w:val="en-US" w:eastAsia="zh-CN"/>
              </w:rPr>
              <w:t>分；</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szCs w:val="24"/>
                <w:highlight w:val="none"/>
                <w:lang w:val="zh-CN"/>
              </w:rPr>
              <w:t>若合同无法反映评分要求条件</w:t>
            </w:r>
            <w:r>
              <w:rPr>
                <w:rFonts w:hint="eastAsia" w:ascii="宋体" w:hAnsi="宋体" w:eastAsia="宋体" w:cs="宋体"/>
                <w:b/>
                <w:bCs/>
                <w:color w:val="auto"/>
                <w:kern w:val="2"/>
                <w:sz w:val="21"/>
                <w:szCs w:val="21"/>
                <w:highlight w:val="none"/>
                <w:lang w:val="en-US" w:eastAsia="zh-CN" w:bidi="ar"/>
              </w:rPr>
              <w:t>【合同签订日期为2022年1月1日或以后、设备用于污水处理扩容、扩容后的污水处理规模】，还需同时提供设备购买方出具的书面补充情况说明文件扫描件(</w:t>
            </w:r>
            <w:r>
              <w:rPr>
                <w:rFonts w:hint="eastAsia" w:ascii="宋体" w:hAnsi="宋体" w:eastAsia="宋体" w:cs="宋体"/>
                <w:b/>
                <w:bCs/>
                <w:color w:val="auto"/>
                <w:szCs w:val="24"/>
                <w:highlight w:val="none"/>
                <w:lang w:val="zh-CN"/>
              </w:rPr>
              <w:t>书面补充说明文件</w:t>
            </w:r>
            <w:r>
              <w:rPr>
                <w:rFonts w:hint="eastAsia" w:ascii="宋体" w:hAnsi="宋体" w:eastAsia="宋体" w:cs="宋体"/>
                <w:b/>
                <w:bCs/>
                <w:color w:val="auto"/>
                <w:szCs w:val="24"/>
                <w:highlight w:val="none"/>
                <w:lang w:val="en-US" w:eastAsia="zh-CN"/>
              </w:rPr>
              <w:t>扫描</w:t>
            </w:r>
            <w:r>
              <w:rPr>
                <w:rFonts w:hint="eastAsia" w:ascii="宋体" w:hAnsi="宋体" w:eastAsia="宋体" w:cs="宋体"/>
                <w:b/>
                <w:bCs/>
                <w:color w:val="auto"/>
                <w:szCs w:val="24"/>
                <w:highlight w:val="none"/>
                <w:lang w:val="zh-CN"/>
              </w:rPr>
              <w:t>件能显示合同</w:t>
            </w:r>
            <w:r>
              <w:rPr>
                <w:rFonts w:hint="eastAsia" w:ascii="宋体" w:hAnsi="宋体" w:eastAsia="宋体" w:cs="宋体"/>
                <w:b/>
                <w:bCs/>
                <w:color w:val="auto"/>
                <w:kern w:val="2"/>
                <w:sz w:val="21"/>
                <w:szCs w:val="21"/>
                <w:highlight w:val="none"/>
                <w:lang w:val="en-US" w:eastAsia="zh-CN" w:bidi="ar"/>
              </w:rPr>
              <w:t>设备</w:t>
            </w:r>
            <w:r>
              <w:rPr>
                <w:rFonts w:hint="eastAsia" w:ascii="宋体" w:hAnsi="宋体" w:eastAsia="宋体" w:cs="宋体"/>
                <w:b/>
                <w:bCs/>
                <w:color w:val="auto"/>
                <w:szCs w:val="24"/>
                <w:highlight w:val="none"/>
                <w:lang w:val="zh-CN"/>
              </w:rPr>
              <w:t>购买方公章</w:t>
            </w:r>
            <w:r>
              <w:rPr>
                <w:rFonts w:hint="eastAsia" w:ascii="宋体" w:hAnsi="宋体" w:eastAsia="宋体" w:cs="宋体"/>
                <w:b/>
                <w:bCs/>
                <w:color w:val="auto"/>
                <w:kern w:val="2"/>
                <w:sz w:val="21"/>
                <w:szCs w:val="21"/>
                <w:highlight w:val="none"/>
                <w:lang w:val="en-US" w:eastAsia="zh-CN" w:bidi="ar"/>
              </w:rPr>
              <w:t>)，否则不得分；</w:t>
            </w:r>
          </w:p>
          <w:p>
            <w:pPr>
              <w:keepNext w:val="0"/>
              <w:keepLines w:val="0"/>
              <w:widowControl/>
              <w:suppressLineNumbers w:val="0"/>
              <w:autoSpaceDE/>
              <w:autoSpaceDN/>
              <w:spacing w:before="0" w:beforeAutospacing="0" w:after="0" w:afterAutospacing="0" w:line="240" w:lineRule="auto"/>
              <w:ind w:left="0" w:leftChars="0" w:right="0" w:rightChars="0"/>
              <w:jc w:val="left"/>
              <w:rPr>
                <w:rFonts w:hint="eastAsia" w:ascii="宋体" w:hAnsi="宋体" w:eastAsia="宋体" w:cs="宋体"/>
                <w:b/>
                <w:bCs/>
                <w:color w:val="auto"/>
                <w:kern w:val="2"/>
                <w:sz w:val="21"/>
                <w:szCs w:val="21"/>
                <w:highlight w:val="none"/>
                <w:lang w:val="en-US" w:eastAsia="zh-CN" w:bidi="ar"/>
              </w:rPr>
            </w:pP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若单个业绩合同中包含多个污水处理运营项目，评分时按合同中单个运营项目扩容后的污水处理规模最高的计算该业绩合同得分；</w:t>
            </w:r>
          </w:p>
          <w:p>
            <w:pPr>
              <w:keepNext w:val="0"/>
              <w:keepLines w:val="0"/>
              <w:suppressLineNumbers w:val="0"/>
              <w:spacing w:before="0" w:beforeAutospacing="0" w:after="0" w:afterAutospacing="0" w:line="400" w:lineRule="exact"/>
              <w:ind w:left="0" w:right="0"/>
              <w:jc w:val="left"/>
              <w:rPr>
                <w:rFonts w:hint="default"/>
                <w:color w:val="auto"/>
                <w:highlight w:val="none"/>
                <w:lang w:val="en-US" w:eastAsia="zh-CN"/>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kern w:val="2"/>
                <w:sz w:val="21"/>
                <w:szCs w:val="21"/>
                <w:highlight w:val="none"/>
                <w:lang w:val="en-US" w:eastAsia="zh-CN" w:bidi="ar"/>
              </w:rPr>
              <w:t>未按上述要求提供证明材料的业绩，或所附材料无法证明填报项目符合本项评分要求的业绩，在评标时将不予考虑。</w:t>
            </w:r>
          </w:p>
          <w:p>
            <w:pPr>
              <w:keepNext w:val="0"/>
              <w:keepLines w:val="0"/>
              <w:widowControl w:val="0"/>
              <w:suppressLineNumbers w:val="0"/>
              <w:autoSpaceDE w:val="0"/>
              <w:autoSpaceDN w:val="0"/>
              <w:spacing w:before="0" w:beforeAutospacing="0" w:after="0" w:afterAutospacing="0" w:line="400" w:lineRule="exact"/>
              <w:ind w:left="0" w:leftChars="0" w:right="0" w:rightChars="0"/>
              <w:jc w:val="left"/>
              <w:rPr>
                <w:rFonts w:hint="default" w:ascii="宋体" w:hAnsi="宋体" w:eastAsia="宋体" w:cs="宋体"/>
                <w:b w:val="0"/>
                <w:bCs/>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（2）投标人上述业绩使用的核心技术所配载体为“粉末载体”的，</w:t>
            </w:r>
            <w:r>
              <w:rPr>
                <w:rFonts w:hint="eastAsia" w:ascii="宋体" w:hAnsi="宋体" w:eastAsia="宋体" w:cs="宋体"/>
                <w:color w:val="auto"/>
                <w:kern w:val="2"/>
                <w:sz w:val="21"/>
                <w:szCs w:val="21"/>
                <w:highlight w:val="none"/>
                <w:lang w:val="en-US" w:eastAsia="zh-CN" w:bidi="ar"/>
              </w:rPr>
              <w:t>每个加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kern w:val="2"/>
                <w:sz w:val="21"/>
                <w:szCs w:val="21"/>
                <w:highlight w:val="none"/>
                <w:lang w:val="en-US" w:eastAsia="zh-CN" w:bidi="ar"/>
              </w:rPr>
              <w:t>，本</w:t>
            </w:r>
            <w:r>
              <w:rPr>
                <w:rFonts w:hint="eastAsia" w:ascii="宋体" w:hAnsi="宋体" w:eastAsia="宋体" w:cs="宋体"/>
                <w:b w:val="0"/>
                <w:bCs/>
                <w:color w:val="auto"/>
                <w:sz w:val="21"/>
                <w:szCs w:val="21"/>
                <w:highlight w:val="none"/>
                <w:lang w:val="en-US" w:eastAsia="zh-CN"/>
              </w:rPr>
              <w:t>子</w:t>
            </w:r>
            <w:r>
              <w:rPr>
                <w:rFonts w:hint="eastAsia" w:ascii="宋体" w:hAnsi="宋体" w:eastAsia="宋体" w:cs="宋体"/>
                <w:b w:val="0"/>
                <w:bCs/>
                <w:color w:val="auto"/>
                <w:sz w:val="21"/>
                <w:szCs w:val="21"/>
                <w:highlight w:val="none"/>
              </w:rPr>
              <w:t>项满分</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kern w:val="2"/>
                <w:sz w:val="21"/>
                <w:szCs w:val="21"/>
                <w:highlight w:val="none"/>
                <w:lang w:val="en-US" w:eastAsia="zh-CN" w:bidi="ar"/>
              </w:rPr>
              <w:t>。</w:t>
            </w:r>
          </w:p>
          <w:p>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
              </w:rPr>
              <w:t>备注：投标人需提供使用的核心技术所配载体为“粉末载体”的必要说明材料以及“证明材料”（须加盖公章），投标人所提供的资料须确保与对应业绩关联清晰。因未作说明导致证明材料与业绩无法佐证关联的，评标不予计分的，责任由投标人自行承担。</w:t>
            </w:r>
          </w:p>
        </w:tc>
      </w:tr>
    </w:tbl>
    <w:p>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w:t>
      </w:r>
      <w:r>
        <w:rPr>
          <w:rFonts w:hint="eastAsia" w:ascii="宋体" w:hAnsi="宋体" w:eastAsia="宋体" w:cs="宋体"/>
          <w:b/>
          <w:color w:val="auto"/>
          <w:szCs w:val="21"/>
          <w:highlight w:val="none"/>
          <w:lang w:val="en-US" w:eastAsia="zh-CN" w:bidi="ar"/>
        </w:rPr>
        <w:t>45</w:t>
      </w:r>
      <w:r>
        <w:rPr>
          <w:rFonts w:hint="eastAsia" w:ascii="宋体" w:hAnsi="宋体" w:eastAsia="宋体" w:cs="宋体"/>
          <w:b/>
          <w:color w:val="auto"/>
          <w:szCs w:val="21"/>
          <w:highlight w:val="none"/>
          <w:lang w:bidi="ar"/>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3"/>
        <w:gridCol w:w="867"/>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4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52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评审项目</w:t>
            </w:r>
          </w:p>
        </w:tc>
        <w:tc>
          <w:tcPr>
            <w:tcW w:w="418"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满分值</w:t>
            </w:r>
          </w:p>
        </w:tc>
        <w:tc>
          <w:tcPr>
            <w:tcW w:w="371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44"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522"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用户需求响应程度</w:t>
            </w:r>
          </w:p>
        </w:tc>
        <w:tc>
          <w:tcPr>
            <w:tcW w:w="418"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3715"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分；本项最低分为0分。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44" w:type="pct"/>
            <w:vMerge w:val="continue"/>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522" w:type="pct"/>
            <w:vMerge w:val="continue"/>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418" w:type="pct"/>
            <w:vMerge w:val="continue"/>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3715"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34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总体技术方案</w:t>
            </w:r>
          </w:p>
        </w:tc>
        <w:tc>
          <w:tcPr>
            <w:tcW w:w="418"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3715" w:type="pc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根据投标人结合自身技术优势与项目实际（现有构筑物设计条件、处理能力提升目标、进出水水质要求）制定的总体技术方案（含原位技术路线、设备配置、控制系统、变配电适配方案等）</w:t>
            </w:r>
            <w:r>
              <w:rPr>
                <w:rFonts w:hint="eastAsia" w:ascii="宋体" w:hAnsi="宋体" w:eastAsia="宋体" w:cs="宋体"/>
                <w:color w:val="auto"/>
                <w:szCs w:val="21"/>
                <w:highlight w:val="none"/>
                <w:lang w:val="zh-CN"/>
              </w:rPr>
              <w:t>进行评审</w:t>
            </w:r>
            <w:r>
              <w:rPr>
                <w:rFonts w:hint="eastAsia" w:ascii="宋体" w:hAnsi="宋体" w:eastAsia="宋体" w:cs="宋体"/>
                <w:color w:val="auto"/>
                <w:szCs w:val="21"/>
                <w:highlight w:val="none"/>
                <w:lang w:val="en-US"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优：</w:t>
            </w:r>
            <w:r>
              <w:rPr>
                <w:rFonts w:hint="eastAsia" w:ascii="宋体" w:hAnsi="宋体" w:eastAsia="宋体" w:cs="宋体"/>
                <w:color w:val="auto"/>
                <w:szCs w:val="21"/>
                <w:highlight w:val="none"/>
                <w:lang w:val="en-US" w:eastAsia="zh-CN"/>
              </w:rPr>
              <w:t>总体技术方案</w:t>
            </w:r>
            <w:r>
              <w:rPr>
                <w:rFonts w:hint="eastAsia" w:ascii="宋体" w:hAnsi="宋体" w:eastAsia="宋体" w:cs="宋体"/>
                <w:color w:val="auto"/>
                <w:szCs w:val="21"/>
                <w:highlight w:val="none"/>
                <w:lang w:val="zh-CN"/>
              </w:rPr>
              <w:t>完全满足或优于本项目需求</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能与</w:t>
            </w:r>
            <w:r>
              <w:rPr>
                <w:rFonts w:hint="eastAsia" w:ascii="宋体" w:hAnsi="宋体" w:eastAsia="宋体" w:cs="宋体"/>
                <w:color w:val="auto"/>
                <w:szCs w:val="21"/>
                <w:highlight w:val="none"/>
                <w:lang w:val="zh-CN"/>
              </w:rPr>
              <w:t>现有污水处理系统无缝兼容</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有</w:t>
            </w:r>
            <w:r>
              <w:rPr>
                <w:rFonts w:hint="eastAsia" w:ascii="宋体" w:hAnsi="宋体" w:eastAsia="宋体" w:cs="宋体"/>
                <w:color w:val="auto"/>
                <w:szCs w:val="21"/>
                <w:highlight w:val="none"/>
                <w:lang w:val="zh-CN"/>
              </w:rPr>
              <w:t>明确技术路径，重点说明载体的作用机理、投加与</w:t>
            </w:r>
            <w:r>
              <w:rPr>
                <w:rFonts w:hint="eastAsia" w:ascii="宋体" w:hAnsi="宋体" w:eastAsia="宋体" w:cs="宋体"/>
                <w:color w:val="auto"/>
                <w:szCs w:val="21"/>
                <w:highlight w:val="none"/>
                <w:lang w:val="zh-CN" w:eastAsia="zh"/>
              </w:rPr>
              <w:t>筛分</w:t>
            </w:r>
            <w:r>
              <w:rPr>
                <w:rFonts w:hint="eastAsia" w:ascii="宋体" w:hAnsi="宋体" w:eastAsia="宋体" w:cs="宋体"/>
                <w:color w:val="auto"/>
                <w:szCs w:val="21"/>
                <w:highlight w:val="none"/>
                <w:lang w:val="zh-CN"/>
              </w:rPr>
              <w:t>回收逻辑及对</w:t>
            </w:r>
            <w:r>
              <w:rPr>
                <w:rFonts w:hint="eastAsia" w:ascii="宋体" w:hAnsi="宋体" w:eastAsia="宋体" w:cs="宋体"/>
                <w:color w:val="auto"/>
                <w:szCs w:val="21"/>
                <w:highlight w:val="none"/>
                <w:lang w:val="en-US" w:eastAsia="zh-CN"/>
              </w:rPr>
              <w:t>处理能力提升和</w:t>
            </w:r>
            <w:r>
              <w:rPr>
                <w:rFonts w:hint="eastAsia" w:ascii="宋体" w:hAnsi="宋体" w:eastAsia="宋体" w:cs="宋体"/>
                <w:color w:val="auto"/>
                <w:szCs w:val="21"/>
                <w:highlight w:val="none"/>
                <w:lang w:val="zh-CN"/>
              </w:rPr>
              <w:t>污染物去除效率的保障措施</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lang w:val="zh-CN"/>
              </w:rPr>
              <w:t>完整设备</w:t>
            </w:r>
            <w:r>
              <w:rPr>
                <w:rFonts w:hint="eastAsia" w:ascii="宋体" w:hAnsi="宋体" w:eastAsia="宋体" w:cs="宋体"/>
                <w:color w:val="auto"/>
                <w:szCs w:val="21"/>
                <w:highlight w:val="none"/>
                <w:lang w:val="zh-CN" w:eastAsia="zh"/>
              </w:rPr>
              <w:t>系统</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老旧</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更换</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
              </w:rPr>
              <w:t>原位技术</w:t>
            </w:r>
            <w:r>
              <w:rPr>
                <w:rFonts w:hint="eastAsia" w:ascii="宋体" w:hAnsi="宋体" w:eastAsia="宋体" w:cs="宋体"/>
                <w:color w:val="auto"/>
                <w:szCs w:val="21"/>
                <w:highlight w:val="none"/>
                <w:lang w:val="en-US" w:eastAsia="zh-CN"/>
              </w:rPr>
              <w:t>成套</w:t>
            </w:r>
            <w:r>
              <w:rPr>
                <w:rFonts w:hint="eastAsia" w:ascii="宋体" w:hAnsi="宋体" w:eastAsia="宋体" w:cs="宋体"/>
                <w:color w:val="auto"/>
                <w:szCs w:val="21"/>
                <w:highlight w:val="none"/>
                <w:lang w:val="en-US" w:eastAsia="zh"/>
              </w:rPr>
              <w:t>设备的</w:t>
            </w:r>
            <w:r>
              <w:rPr>
                <w:rFonts w:hint="eastAsia" w:ascii="宋体" w:hAnsi="宋体" w:eastAsia="宋体" w:cs="宋体"/>
                <w:color w:val="auto"/>
                <w:szCs w:val="21"/>
                <w:highlight w:val="none"/>
                <w:lang w:val="zh-CN"/>
              </w:rPr>
              <w:t>投加</w:t>
            </w:r>
            <w:r>
              <w:rPr>
                <w:rFonts w:hint="eastAsia" w:ascii="宋体" w:hAnsi="宋体" w:eastAsia="宋体" w:cs="宋体"/>
                <w:color w:val="auto"/>
                <w:szCs w:val="21"/>
                <w:highlight w:val="none"/>
                <w:lang w:val="zh-CN" w:eastAsia="zh"/>
              </w:rPr>
              <w:t>系统、筛分回收</w:t>
            </w:r>
            <w:r>
              <w:rPr>
                <w:rFonts w:hint="eastAsia" w:ascii="宋体" w:hAnsi="宋体" w:eastAsia="宋体" w:cs="宋体"/>
                <w:color w:val="auto"/>
                <w:szCs w:val="21"/>
                <w:highlight w:val="none"/>
                <w:lang w:val="zh-CN"/>
              </w:rPr>
              <w:t>系统、控制系统、辅助设备等）及</w:t>
            </w:r>
            <w:r>
              <w:rPr>
                <w:rFonts w:hint="eastAsia" w:ascii="宋体" w:hAnsi="宋体" w:eastAsia="宋体" w:cs="宋体"/>
                <w:color w:val="auto"/>
                <w:szCs w:val="21"/>
                <w:highlight w:val="none"/>
                <w:lang w:val="zh-CN" w:eastAsia="zh"/>
              </w:rPr>
              <w:t>全</w:t>
            </w:r>
            <w:r>
              <w:rPr>
                <w:rFonts w:hint="eastAsia" w:ascii="宋体" w:hAnsi="宋体" w:eastAsia="宋体" w:cs="宋体"/>
                <w:color w:val="auto"/>
                <w:szCs w:val="21"/>
                <w:highlight w:val="none"/>
                <w:lang w:val="zh-CN"/>
              </w:rPr>
              <w:t>周期运行</w:t>
            </w:r>
            <w:r>
              <w:rPr>
                <w:rFonts w:hint="eastAsia" w:ascii="宋体" w:hAnsi="宋体" w:eastAsia="宋体" w:cs="宋体"/>
                <w:color w:val="auto"/>
                <w:szCs w:val="21"/>
                <w:highlight w:val="none"/>
                <w:lang w:val="zh-CN" w:eastAsia="zh"/>
              </w:rPr>
              <w:t>方案</w:t>
            </w:r>
            <w:r>
              <w:rPr>
                <w:rFonts w:hint="eastAsia" w:ascii="宋体" w:hAnsi="宋体" w:eastAsia="宋体" w:cs="宋体"/>
                <w:color w:val="auto"/>
                <w:szCs w:val="21"/>
                <w:highlight w:val="none"/>
                <w:lang w:val="zh-CN"/>
              </w:rPr>
              <w:t>（含</w:t>
            </w:r>
            <w:r>
              <w:rPr>
                <w:rFonts w:hint="eastAsia" w:ascii="宋体" w:hAnsi="宋体" w:eastAsia="宋体" w:cs="宋体"/>
                <w:color w:val="auto"/>
                <w:szCs w:val="21"/>
                <w:highlight w:val="none"/>
                <w:lang w:val="zh-CN" w:eastAsia="zh"/>
              </w:rPr>
              <w:t>调试、试运行、性能考核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维护保养</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总体技术方案的</w:t>
            </w:r>
            <w:r>
              <w:rPr>
                <w:rFonts w:hint="eastAsia" w:ascii="宋体" w:hAnsi="宋体" w:eastAsia="宋体" w:cs="宋体"/>
                <w:color w:val="auto"/>
                <w:szCs w:val="21"/>
                <w:highlight w:val="none"/>
                <w:lang w:val="zh-CN"/>
              </w:rPr>
              <w:t>可实施性与经济性</w:t>
            </w:r>
            <w:r>
              <w:rPr>
                <w:rFonts w:hint="eastAsia" w:ascii="宋体" w:hAnsi="宋体" w:eastAsia="宋体" w:cs="宋体"/>
                <w:color w:val="auto"/>
                <w:szCs w:val="21"/>
                <w:highlight w:val="none"/>
                <w:lang w:val="en-US" w:eastAsia="zh-CN"/>
              </w:rPr>
              <w:t>强，</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良：</w:t>
            </w:r>
            <w:r>
              <w:rPr>
                <w:rFonts w:hint="eastAsia" w:ascii="宋体" w:hAnsi="宋体" w:eastAsia="宋体" w:cs="宋体"/>
                <w:color w:val="auto"/>
                <w:szCs w:val="21"/>
                <w:highlight w:val="none"/>
                <w:lang w:val="en-US" w:eastAsia="zh-CN"/>
              </w:rPr>
              <w:t>总体技术方案</w:t>
            </w:r>
            <w:r>
              <w:rPr>
                <w:rFonts w:hint="eastAsia" w:ascii="宋体" w:hAnsi="宋体" w:eastAsia="宋体" w:cs="宋体"/>
                <w:color w:val="auto"/>
                <w:szCs w:val="21"/>
                <w:highlight w:val="none"/>
                <w:lang w:val="zh-CN"/>
              </w:rPr>
              <w:t>满足本项目需求</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能与</w:t>
            </w:r>
            <w:r>
              <w:rPr>
                <w:rFonts w:hint="eastAsia" w:ascii="宋体" w:hAnsi="宋体" w:eastAsia="宋体" w:cs="宋体"/>
                <w:color w:val="auto"/>
                <w:szCs w:val="21"/>
                <w:highlight w:val="none"/>
                <w:lang w:val="zh-CN"/>
              </w:rPr>
              <w:t>现有污水处理系统兼容</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有较</w:t>
            </w:r>
            <w:r>
              <w:rPr>
                <w:rFonts w:hint="eastAsia" w:ascii="宋体" w:hAnsi="宋体" w:eastAsia="宋体" w:cs="宋体"/>
                <w:color w:val="auto"/>
                <w:szCs w:val="21"/>
                <w:highlight w:val="none"/>
                <w:lang w:val="zh-CN"/>
              </w:rPr>
              <w:t>明确技术路径，</w:t>
            </w:r>
            <w:r>
              <w:rPr>
                <w:rFonts w:hint="eastAsia" w:ascii="宋体" w:hAnsi="宋体" w:eastAsia="宋体" w:cs="宋体"/>
                <w:color w:val="auto"/>
                <w:szCs w:val="21"/>
                <w:highlight w:val="none"/>
                <w:lang w:val="en-US" w:eastAsia="zh-CN"/>
              </w:rPr>
              <w:t>能</w:t>
            </w:r>
            <w:r>
              <w:rPr>
                <w:rFonts w:hint="eastAsia" w:ascii="宋体" w:hAnsi="宋体" w:eastAsia="宋体" w:cs="宋体"/>
                <w:color w:val="auto"/>
                <w:szCs w:val="21"/>
                <w:highlight w:val="none"/>
                <w:lang w:val="zh-CN"/>
              </w:rPr>
              <w:t>重点说明载体的作用机理、投加与</w:t>
            </w:r>
            <w:r>
              <w:rPr>
                <w:rFonts w:hint="eastAsia" w:ascii="宋体" w:hAnsi="宋体" w:eastAsia="宋体" w:cs="宋体"/>
                <w:color w:val="auto"/>
                <w:szCs w:val="21"/>
                <w:highlight w:val="none"/>
                <w:lang w:val="zh-CN" w:eastAsia="zh"/>
              </w:rPr>
              <w:t>筛分</w:t>
            </w:r>
            <w:r>
              <w:rPr>
                <w:rFonts w:hint="eastAsia" w:ascii="宋体" w:hAnsi="宋体" w:eastAsia="宋体" w:cs="宋体"/>
                <w:color w:val="auto"/>
                <w:szCs w:val="21"/>
                <w:highlight w:val="none"/>
                <w:lang w:val="zh-CN"/>
              </w:rPr>
              <w:t>回收逻辑及对</w:t>
            </w:r>
            <w:r>
              <w:rPr>
                <w:rFonts w:hint="eastAsia" w:ascii="宋体" w:hAnsi="宋体" w:eastAsia="宋体" w:cs="宋体"/>
                <w:color w:val="auto"/>
                <w:szCs w:val="21"/>
                <w:highlight w:val="none"/>
                <w:lang w:val="en-US" w:eastAsia="zh-CN"/>
              </w:rPr>
              <w:t>处理能力提升和</w:t>
            </w:r>
            <w:r>
              <w:rPr>
                <w:rFonts w:hint="eastAsia" w:ascii="宋体" w:hAnsi="宋体" w:eastAsia="宋体" w:cs="宋体"/>
                <w:color w:val="auto"/>
                <w:szCs w:val="21"/>
                <w:highlight w:val="none"/>
                <w:lang w:val="zh-CN"/>
              </w:rPr>
              <w:t>污染物去除效率的保障措施</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具有较</w:t>
            </w:r>
            <w:r>
              <w:rPr>
                <w:rFonts w:hint="eastAsia" w:ascii="宋体" w:hAnsi="宋体" w:eastAsia="宋体" w:cs="宋体"/>
                <w:color w:val="auto"/>
                <w:szCs w:val="21"/>
                <w:highlight w:val="none"/>
                <w:lang w:val="zh-CN"/>
              </w:rPr>
              <w:t>完整设备</w:t>
            </w:r>
            <w:r>
              <w:rPr>
                <w:rFonts w:hint="eastAsia" w:ascii="宋体" w:hAnsi="宋体" w:eastAsia="宋体" w:cs="宋体"/>
                <w:color w:val="auto"/>
                <w:szCs w:val="21"/>
                <w:highlight w:val="none"/>
                <w:lang w:val="zh-CN" w:eastAsia="zh"/>
              </w:rPr>
              <w:t>系统</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老旧</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更换</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
              </w:rPr>
              <w:t>原位技术设备的</w:t>
            </w:r>
            <w:r>
              <w:rPr>
                <w:rFonts w:hint="eastAsia" w:ascii="宋体" w:hAnsi="宋体" w:eastAsia="宋体" w:cs="宋体"/>
                <w:color w:val="auto"/>
                <w:szCs w:val="21"/>
                <w:highlight w:val="none"/>
                <w:lang w:val="zh-CN"/>
              </w:rPr>
              <w:t>投加</w:t>
            </w:r>
            <w:r>
              <w:rPr>
                <w:rFonts w:hint="eastAsia" w:ascii="宋体" w:hAnsi="宋体" w:eastAsia="宋体" w:cs="宋体"/>
                <w:color w:val="auto"/>
                <w:szCs w:val="21"/>
                <w:highlight w:val="none"/>
                <w:lang w:val="zh-CN" w:eastAsia="zh"/>
              </w:rPr>
              <w:t>系统、筛分回收</w:t>
            </w:r>
            <w:r>
              <w:rPr>
                <w:rFonts w:hint="eastAsia" w:ascii="宋体" w:hAnsi="宋体" w:eastAsia="宋体" w:cs="宋体"/>
                <w:color w:val="auto"/>
                <w:szCs w:val="21"/>
                <w:highlight w:val="none"/>
                <w:lang w:val="zh-CN"/>
              </w:rPr>
              <w:t>系统、控制系统、辅助设备等）及</w:t>
            </w:r>
            <w:r>
              <w:rPr>
                <w:rFonts w:hint="eastAsia" w:ascii="宋体" w:hAnsi="宋体" w:eastAsia="宋体" w:cs="宋体"/>
                <w:color w:val="auto"/>
                <w:szCs w:val="21"/>
                <w:highlight w:val="none"/>
                <w:lang w:val="zh-CN" w:eastAsia="zh"/>
              </w:rPr>
              <w:t>全</w:t>
            </w:r>
            <w:r>
              <w:rPr>
                <w:rFonts w:hint="eastAsia" w:ascii="宋体" w:hAnsi="宋体" w:eastAsia="宋体" w:cs="宋体"/>
                <w:color w:val="auto"/>
                <w:szCs w:val="21"/>
                <w:highlight w:val="none"/>
                <w:lang w:val="zh-CN"/>
              </w:rPr>
              <w:t>周期运行</w:t>
            </w:r>
            <w:r>
              <w:rPr>
                <w:rFonts w:hint="eastAsia" w:ascii="宋体" w:hAnsi="宋体" w:eastAsia="宋体" w:cs="宋体"/>
                <w:color w:val="auto"/>
                <w:szCs w:val="21"/>
                <w:highlight w:val="none"/>
                <w:lang w:val="zh-CN" w:eastAsia="zh"/>
              </w:rPr>
              <w:t>方案</w:t>
            </w:r>
            <w:r>
              <w:rPr>
                <w:rFonts w:hint="eastAsia" w:ascii="宋体" w:hAnsi="宋体" w:eastAsia="宋体" w:cs="宋体"/>
                <w:color w:val="auto"/>
                <w:szCs w:val="21"/>
                <w:highlight w:val="none"/>
                <w:lang w:val="zh-CN"/>
              </w:rPr>
              <w:t>（含</w:t>
            </w:r>
            <w:r>
              <w:rPr>
                <w:rFonts w:hint="eastAsia" w:ascii="宋体" w:hAnsi="宋体" w:eastAsia="宋体" w:cs="宋体"/>
                <w:color w:val="auto"/>
                <w:szCs w:val="21"/>
                <w:highlight w:val="none"/>
                <w:lang w:val="zh-CN" w:eastAsia="zh"/>
              </w:rPr>
              <w:t>调试、试运行、性能考核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维护保养</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总体技术方案的</w:t>
            </w:r>
            <w:r>
              <w:rPr>
                <w:rFonts w:hint="eastAsia" w:ascii="宋体" w:hAnsi="宋体" w:eastAsia="宋体" w:cs="宋体"/>
                <w:color w:val="auto"/>
                <w:szCs w:val="21"/>
                <w:highlight w:val="none"/>
                <w:lang w:val="zh-CN"/>
              </w:rPr>
              <w:t>可实施性与经济性</w:t>
            </w:r>
            <w:r>
              <w:rPr>
                <w:rFonts w:hint="eastAsia" w:ascii="宋体" w:hAnsi="宋体" w:eastAsia="宋体" w:cs="宋体"/>
                <w:color w:val="auto"/>
                <w:szCs w:val="21"/>
                <w:highlight w:val="none"/>
                <w:lang w:val="en-US" w:eastAsia="zh-CN"/>
              </w:rPr>
              <w:t>较强，</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中：</w:t>
            </w:r>
            <w:r>
              <w:rPr>
                <w:rFonts w:hint="eastAsia" w:ascii="宋体" w:hAnsi="宋体" w:eastAsia="宋体" w:cs="宋体"/>
                <w:color w:val="auto"/>
                <w:szCs w:val="21"/>
                <w:highlight w:val="none"/>
                <w:lang w:val="en-US" w:eastAsia="zh-CN"/>
              </w:rPr>
              <w:t>总体技术方案基本</w:t>
            </w:r>
            <w:r>
              <w:rPr>
                <w:rFonts w:hint="eastAsia" w:ascii="宋体" w:hAnsi="宋体" w:eastAsia="宋体" w:cs="宋体"/>
                <w:color w:val="auto"/>
                <w:szCs w:val="21"/>
                <w:highlight w:val="none"/>
                <w:lang w:val="zh-CN"/>
              </w:rPr>
              <w:t>满足本项目需求</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基本能与</w:t>
            </w:r>
            <w:r>
              <w:rPr>
                <w:rFonts w:hint="eastAsia" w:ascii="宋体" w:hAnsi="宋体" w:eastAsia="宋体" w:cs="宋体"/>
                <w:color w:val="auto"/>
                <w:szCs w:val="21"/>
                <w:highlight w:val="none"/>
                <w:lang w:val="zh-CN"/>
              </w:rPr>
              <w:t>现有污水处理系统兼容</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有一定的</w:t>
            </w:r>
            <w:r>
              <w:rPr>
                <w:rFonts w:hint="eastAsia" w:ascii="宋体" w:hAnsi="宋体" w:eastAsia="宋体" w:cs="宋体"/>
                <w:color w:val="auto"/>
                <w:szCs w:val="21"/>
                <w:highlight w:val="none"/>
                <w:lang w:val="zh-CN"/>
              </w:rPr>
              <w:t>技术路径，</w:t>
            </w:r>
            <w:r>
              <w:rPr>
                <w:rFonts w:hint="eastAsia" w:ascii="宋体" w:hAnsi="宋体" w:eastAsia="宋体" w:cs="宋体"/>
                <w:color w:val="auto"/>
                <w:szCs w:val="21"/>
                <w:highlight w:val="none"/>
                <w:lang w:val="en-US" w:eastAsia="zh-CN"/>
              </w:rPr>
              <w:t>能基本</w:t>
            </w:r>
            <w:r>
              <w:rPr>
                <w:rFonts w:hint="eastAsia" w:ascii="宋体" w:hAnsi="宋体" w:eastAsia="宋体" w:cs="宋体"/>
                <w:color w:val="auto"/>
                <w:szCs w:val="21"/>
                <w:highlight w:val="none"/>
                <w:lang w:val="zh-CN"/>
              </w:rPr>
              <w:t>说明载体的作用机理、投加与</w:t>
            </w:r>
            <w:r>
              <w:rPr>
                <w:rFonts w:hint="eastAsia" w:ascii="宋体" w:hAnsi="宋体" w:eastAsia="宋体" w:cs="宋体"/>
                <w:color w:val="auto"/>
                <w:szCs w:val="21"/>
                <w:highlight w:val="none"/>
                <w:lang w:val="zh-CN" w:eastAsia="zh"/>
              </w:rPr>
              <w:t>筛分</w:t>
            </w:r>
            <w:r>
              <w:rPr>
                <w:rFonts w:hint="eastAsia" w:ascii="宋体" w:hAnsi="宋体" w:eastAsia="宋体" w:cs="宋体"/>
                <w:color w:val="auto"/>
                <w:szCs w:val="21"/>
                <w:highlight w:val="none"/>
                <w:lang w:val="zh-CN"/>
              </w:rPr>
              <w:t>回收逻辑及对</w:t>
            </w:r>
            <w:r>
              <w:rPr>
                <w:rFonts w:hint="eastAsia" w:ascii="宋体" w:hAnsi="宋体" w:eastAsia="宋体" w:cs="宋体"/>
                <w:color w:val="auto"/>
                <w:szCs w:val="21"/>
                <w:highlight w:val="none"/>
                <w:lang w:val="en-US" w:eastAsia="zh-CN"/>
              </w:rPr>
              <w:t>处理能力提升和</w:t>
            </w:r>
            <w:r>
              <w:rPr>
                <w:rFonts w:hint="eastAsia" w:ascii="宋体" w:hAnsi="宋体" w:eastAsia="宋体" w:cs="宋体"/>
                <w:color w:val="auto"/>
                <w:szCs w:val="21"/>
                <w:highlight w:val="none"/>
                <w:lang w:val="zh-CN"/>
              </w:rPr>
              <w:t>污染物去除效率的保障措施</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具有基本的</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系统</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老旧</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更换</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
              </w:rPr>
              <w:t>原位技术</w:t>
            </w:r>
            <w:r>
              <w:rPr>
                <w:rFonts w:hint="eastAsia" w:ascii="宋体" w:hAnsi="宋体" w:eastAsia="宋体" w:cs="宋体"/>
                <w:color w:val="auto"/>
                <w:szCs w:val="21"/>
                <w:highlight w:val="none"/>
                <w:lang w:val="en-US" w:eastAsia="zh-CN"/>
              </w:rPr>
              <w:t>成套</w:t>
            </w:r>
            <w:r>
              <w:rPr>
                <w:rFonts w:hint="eastAsia" w:ascii="宋体" w:hAnsi="宋体" w:eastAsia="宋体" w:cs="宋体"/>
                <w:color w:val="auto"/>
                <w:szCs w:val="21"/>
                <w:highlight w:val="none"/>
                <w:lang w:val="en-US" w:eastAsia="zh"/>
              </w:rPr>
              <w:t>设备的</w:t>
            </w:r>
            <w:r>
              <w:rPr>
                <w:rFonts w:hint="eastAsia" w:ascii="宋体" w:hAnsi="宋体" w:eastAsia="宋体" w:cs="宋体"/>
                <w:color w:val="auto"/>
                <w:szCs w:val="21"/>
                <w:highlight w:val="none"/>
                <w:lang w:val="zh-CN"/>
              </w:rPr>
              <w:t>投加</w:t>
            </w:r>
            <w:r>
              <w:rPr>
                <w:rFonts w:hint="eastAsia" w:ascii="宋体" w:hAnsi="宋体" w:eastAsia="宋体" w:cs="宋体"/>
                <w:color w:val="auto"/>
                <w:szCs w:val="21"/>
                <w:highlight w:val="none"/>
                <w:lang w:val="zh-CN" w:eastAsia="zh"/>
              </w:rPr>
              <w:t>系统、筛分回收</w:t>
            </w:r>
            <w:r>
              <w:rPr>
                <w:rFonts w:hint="eastAsia" w:ascii="宋体" w:hAnsi="宋体" w:eastAsia="宋体" w:cs="宋体"/>
                <w:color w:val="auto"/>
                <w:szCs w:val="21"/>
                <w:highlight w:val="none"/>
                <w:lang w:val="zh-CN"/>
              </w:rPr>
              <w:t>系统、控制系统、辅助设备等）及</w:t>
            </w:r>
            <w:r>
              <w:rPr>
                <w:rFonts w:hint="eastAsia" w:ascii="宋体" w:hAnsi="宋体" w:eastAsia="宋体" w:cs="宋体"/>
                <w:color w:val="auto"/>
                <w:szCs w:val="21"/>
                <w:highlight w:val="none"/>
                <w:lang w:val="zh-CN" w:eastAsia="zh"/>
              </w:rPr>
              <w:t>全</w:t>
            </w:r>
            <w:r>
              <w:rPr>
                <w:rFonts w:hint="eastAsia" w:ascii="宋体" w:hAnsi="宋体" w:eastAsia="宋体" w:cs="宋体"/>
                <w:color w:val="auto"/>
                <w:szCs w:val="21"/>
                <w:highlight w:val="none"/>
                <w:lang w:val="zh-CN"/>
              </w:rPr>
              <w:t>周期运行</w:t>
            </w:r>
            <w:r>
              <w:rPr>
                <w:rFonts w:hint="eastAsia" w:ascii="宋体" w:hAnsi="宋体" w:eastAsia="宋体" w:cs="宋体"/>
                <w:color w:val="auto"/>
                <w:szCs w:val="21"/>
                <w:highlight w:val="none"/>
                <w:lang w:val="zh-CN" w:eastAsia="zh"/>
              </w:rPr>
              <w:t>方案</w:t>
            </w:r>
            <w:r>
              <w:rPr>
                <w:rFonts w:hint="eastAsia" w:ascii="宋体" w:hAnsi="宋体" w:eastAsia="宋体" w:cs="宋体"/>
                <w:color w:val="auto"/>
                <w:szCs w:val="21"/>
                <w:highlight w:val="none"/>
                <w:lang w:val="zh-CN"/>
              </w:rPr>
              <w:t>（含</w:t>
            </w:r>
            <w:r>
              <w:rPr>
                <w:rFonts w:hint="eastAsia" w:ascii="宋体" w:hAnsi="宋体" w:eastAsia="宋体" w:cs="宋体"/>
                <w:color w:val="auto"/>
                <w:szCs w:val="21"/>
                <w:highlight w:val="none"/>
                <w:lang w:val="zh-CN" w:eastAsia="zh"/>
              </w:rPr>
              <w:t>调试、试运行、性能考核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维护保养</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总体技术方案的</w:t>
            </w:r>
            <w:r>
              <w:rPr>
                <w:rFonts w:hint="eastAsia" w:ascii="宋体" w:hAnsi="宋体" w:eastAsia="宋体" w:cs="宋体"/>
                <w:color w:val="auto"/>
                <w:szCs w:val="21"/>
                <w:highlight w:val="none"/>
                <w:lang w:val="zh-CN"/>
              </w:rPr>
              <w:t>可实施性与经济性</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总体技术方案不能完全</w:t>
            </w:r>
            <w:r>
              <w:rPr>
                <w:rFonts w:hint="eastAsia" w:ascii="宋体" w:hAnsi="宋体" w:eastAsia="宋体" w:cs="宋体"/>
                <w:color w:val="auto"/>
                <w:szCs w:val="21"/>
                <w:highlight w:val="none"/>
                <w:lang w:val="zh-CN"/>
              </w:rPr>
              <w:t>满足本项目需求</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不能完全与</w:t>
            </w:r>
            <w:r>
              <w:rPr>
                <w:rFonts w:hint="eastAsia" w:ascii="宋体" w:hAnsi="宋体" w:eastAsia="宋体" w:cs="宋体"/>
                <w:color w:val="auto"/>
                <w:szCs w:val="21"/>
                <w:highlight w:val="none"/>
                <w:lang w:val="zh-CN"/>
              </w:rPr>
              <w:t>现有污水处理系统</w:t>
            </w:r>
            <w:r>
              <w:rPr>
                <w:rFonts w:hint="eastAsia" w:ascii="宋体" w:hAnsi="宋体" w:eastAsia="宋体" w:cs="宋体"/>
                <w:color w:val="auto"/>
                <w:szCs w:val="21"/>
                <w:highlight w:val="none"/>
                <w:lang w:val="en-US" w:eastAsia="zh-CN"/>
              </w:rPr>
              <w:t>无缝</w:t>
            </w:r>
            <w:r>
              <w:rPr>
                <w:rFonts w:hint="eastAsia" w:ascii="宋体" w:hAnsi="宋体" w:eastAsia="宋体" w:cs="宋体"/>
                <w:color w:val="auto"/>
                <w:szCs w:val="21"/>
                <w:highlight w:val="none"/>
                <w:lang w:val="zh-CN"/>
              </w:rPr>
              <w:t>兼容</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技术路径</w:t>
            </w:r>
            <w:r>
              <w:rPr>
                <w:rFonts w:hint="eastAsia" w:ascii="宋体" w:hAnsi="宋体" w:eastAsia="宋体" w:cs="宋体"/>
                <w:color w:val="auto"/>
                <w:szCs w:val="21"/>
                <w:highlight w:val="none"/>
                <w:lang w:val="en-US" w:eastAsia="zh-CN"/>
              </w:rPr>
              <w:t>不够明确</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不能重点</w:t>
            </w:r>
            <w:r>
              <w:rPr>
                <w:rFonts w:hint="eastAsia" w:ascii="宋体" w:hAnsi="宋体" w:eastAsia="宋体" w:cs="宋体"/>
                <w:color w:val="auto"/>
                <w:szCs w:val="21"/>
                <w:highlight w:val="none"/>
                <w:lang w:val="zh-CN"/>
              </w:rPr>
              <w:t>说明载体的作用机理、投加与</w:t>
            </w:r>
            <w:r>
              <w:rPr>
                <w:rFonts w:hint="eastAsia" w:ascii="宋体" w:hAnsi="宋体" w:eastAsia="宋体" w:cs="宋体"/>
                <w:color w:val="auto"/>
                <w:szCs w:val="21"/>
                <w:highlight w:val="none"/>
                <w:lang w:val="zh-CN" w:eastAsia="zh"/>
              </w:rPr>
              <w:t>筛分</w:t>
            </w:r>
            <w:r>
              <w:rPr>
                <w:rFonts w:hint="eastAsia" w:ascii="宋体" w:hAnsi="宋体" w:eastAsia="宋体" w:cs="宋体"/>
                <w:color w:val="auto"/>
                <w:szCs w:val="21"/>
                <w:highlight w:val="none"/>
                <w:lang w:val="zh-CN"/>
              </w:rPr>
              <w:t>回收逻辑及对</w:t>
            </w:r>
            <w:r>
              <w:rPr>
                <w:rFonts w:hint="eastAsia" w:ascii="宋体" w:hAnsi="宋体" w:eastAsia="宋体" w:cs="宋体"/>
                <w:color w:val="auto"/>
                <w:szCs w:val="21"/>
                <w:highlight w:val="none"/>
                <w:lang w:val="en-US" w:eastAsia="zh-CN"/>
              </w:rPr>
              <w:t>处理能力提升和</w:t>
            </w:r>
            <w:r>
              <w:rPr>
                <w:rFonts w:hint="eastAsia" w:ascii="宋体" w:hAnsi="宋体" w:eastAsia="宋体" w:cs="宋体"/>
                <w:color w:val="auto"/>
                <w:szCs w:val="21"/>
                <w:highlight w:val="none"/>
                <w:lang w:val="zh-CN"/>
              </w:rPr>
              <w:t>污染物去除效率的保障措施</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系统</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老旧</w:t>
            </w:r>
            <w:r>
              <w:rPr>
                <w:rFonts w:hint="eastAsia" w:ascii="宋体" w:hAnsi="宋体" w:eastAsia="宋体" w:cs="宋体"/>
                <w:color w:val="auto"/>
                <w:szCs w:val="21"/>
                <w:highlight w:val="none"/>
                <w:lang w:val="zh-CN"/>
              </w:rPr>
              <w:t>设备</w:t>
            </w:r>
            <w:r>
              <w:rPr>
                <w:rFonts w:hint="eastAsia" w:ascii="宋体" w:hAnsi="宋体" w:eastAsia="宋体" w:cs="宋体"/>
                <w:color w:val="auto"/>
                <w:szCs w:val="21"/>
                <w:highlight w:val="none"/>
                <w:lang w:val="zh-CN" w:eastAsia="zh"/>
              </w:rPr>
              <w:t>更换</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
              </w:rPr>
              <w:t>原位技术</w:t>
            </w:r>
            <w:r>
              <w:rPr>
                <w:rFonts w:hint="eastAsia" w:ascii="宋体" w:hAnsi="宋体" w:eastAsia="宋体" w:cs="宋体"/>
                <w:color w:val="auto"/>
                <w:szCs w:val="21"/>
                <w:highlight w:val="none"/>
                <w:lang w:val="en-US" w:eastAsia="zh-CN"/>
              </w:rPr>
              <w:t>成套</w:t>
            </w:r>
            <w:r>
              <w:rPr>
                <w:rFonts w:hint="eastAsia" w:ascii="宋体" w:hAnsi="宋体" w:eastAsia="宋体" w:cs="宋体"/>
                <w:color w:val="auto"/>
                <w:szCs w:val="21"/>
                <w:highlight w:val="none"/>
                <w:lang w:val="en-US" w:eastAsia="zh"/>
              </w:rPr>
              <w:t>设备的</w:t>
            </w:r>
            <w:r>
              <w:rPr>
                <w:rFonts w:hint="eastAsia" w:ascii="宋体" w:hAnsi="宋体" w:eastAsia="宋体" w:cs="宋体"/>
                <w:color w:val="auto"/>
                <w:szCs w:val="21"/>
                <w:highlight w:val="none"/>
                <w:lang w:val="zh-CN"/>
              </w:rPr>
              <w:t>投加</w:t>
            </w:r>
            <w:r>
              <w:rPr>
                <w:rFonts w:hint="eastAsia" w:ascii="宋体" w:hAnsi="宋体" w:eastAsia="宋体" w:cs="宋体"/>
                <w:color w:val="auto"/>
                <w:szCs w:val="21"/>
                <w:highlight w:val="none"/>
                <w:lang w:val="zh-CN" w:eastAsia="zh"/>
              </w:rPr>
              <w:t>系统、筛分回收</w:t>
            </w:r>
            <w:r>
              <w:rPr>
                <w:rFonts w:hint="eastAsia" w:ascii="宋体" w:hAnsi="宋体" w:eastAsia="宋体" w:cs="宋体"/>
                <w:color w:val="auto"/>
                <w:szCs w:val="21"/>
                <w:highlight w:val="none"/>
                <w:lang w:val="zh-CN"/>
              </w:rPr>
              <w:t>系统、控制系统、辅助设备等）及</w:t>
            </w:r>
            <w:r>
              <w:rPr>
                <w:rFonts w:hint="eastAsia" w:ascii="宋体" w:hAnsi="宋体" w:eastAsia="宋体" w:cs="宋体"/>
                <w:color w:val="auto"/>
                <w:szCs w:val="21"/>
                <w:highlight w:val="none"/>
                <w:lang w:val="zh-CN" w:eastAsia="zh"/>
              </w:rPr>
              <w:t>全</w:t>
            </w:r>
            <w:r>
              <w:rPr>
                <w:rFonts w:hint="eastAsia" w:ascii="宋体" w:hAnsi="宋体" w:eastAsia="宋体" w:cs="宋体"/>
                <w:color w:val="auto"/>
                <w:szCs w:val="21"/>
                <w:highlight w:val="none"/>
                <w:lang w:val="zh-CN"/>
              </w:rPr>
              <w:t>周期运行</w:t>
            </w:r>
            <w:r>
              <w:rPr>
                <w:rFonts w:hint="eastAsia" w:ascii="宋体" w:hAnsi="宋体" w:eastAsia="宋体" w:cs="宋体"/>
                <w:color w:val="auto"/>
                <w:szCs w:val="21"/>
                <w:highlight w:val="none"/>
                <w:lang w:val="zh-CN" w:eastAsia="zh"/>
              </w:rPr>
              <w:t>方案</w:t>
            </w:r>
            <w:r>
              <w:rPr>
                <w:rFonts w:hint="eastAsia" w:ascii="宋体" w:hAnsi="宋体" w:eastAsia="宋体" w:cs="宋体"/>
                <w:color w:val="auto"/>
                <w:szCs w:val="21"/>
                <w:highlight w:val="none"/>
                <w:lang w:val="zh-CN"/>
              </w:rPr>
              <w:t>（含</w:t>
            </w:r>
            <w:r>
              <w:rPr>
                <w:rFonts w:hint="eastAsia" w:ascii="宋体" w:hAnsi="宋体" w:eastAsia="宋体" w:cs="宋体"/>
                <w:color w:val="auto"/>
                <w:szCs w:val="21"/>
                <w:highlight w:val="none"/>
                <w:lang w:val="zh-CN" w:eastAsia="zh"/>
              </w:rPr>
              <w:t>调试、试运行、性能考核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
              </w:rPr>
              <w:t>维护保养</w:t>
            </w:r>
            <w:r>
              <w:rPr>
                <w:rFonts w:hint="eastAsia" w:ascii="宋体" w:hAnsi="宋体" w:eastAsia="宋体" w:cs="宋体"/>
                <w:color w:val="auto"/>
                <w:szCs w:val="21"/>
                <w:highlight w:val="none"/>
                <w:lang w:val="zh-CN"/>
              </w:rPr>
              <w:t>等）</w:t>
            </w:r>
            <w:r>
              <w:rPr>
                <w:rFonts w:hint="eastAsia" w:ascii="宋体" w:hAnsi="宋体" w:eastAsia="宋体" w:cs="宋体"/>
                <w:color w:val="auto"/>
                <w:szCs w:val="21"/>
                <w:highlight w:val="none"/>
                <w:lang w:val="en-US" w:eastAsia="zh-CN"/>
              </w:rPr>
              <w:t>不够完整</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总体技术方案的</w:t>
            </w:r>
            <w:r>
              <w:rPr>
                <w:rFonts w:hint="eastAsia" w:ascii="宋体" w:hAnsi="宋体" w:eastAsia="宋体" w:cs="宋体"/>
                <w:color w:val="auto"/>
                <w:szCs w:val="21"/>
                <w:highlight w:val="none"/>
                <w:lang w:val="zh-CN"/>
              </w:rPr>
              <w:t>可实施性与经济性</w:t>
            </w:r>
            <w:r>
              <w:rPr>
                <w:rFonts w:hint="eastAsia" w:ascii="宋体" w:hAnsi="宋体" w:eastAsia="宋体" w:cs="宋体"/>
                <w:color w:val="auto"/>
                <w:szCs w:val="21"/>
                <w:highlight w:val="none"/>
                <w:lang w:val="en-US" w:eastAsia="zh-CN"/>
              </w:rPr>
              <w:t>差，</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技术性能承诺</w:t>
            </w:r>
          </w:p>
        </w:tc>
        <w:tc>
          <w:tcPr>
            <w:tcW w:w="418"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10分</w:t>
            </w:r>
          </w:p>
        </w:tc>
        <w:tc>
          <w:tcPr>
            <w:tcW w:w="3715"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1、处理水量提升目标（4分）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进入性能考核期，在不超过设计进出水水质（进水SS除外）时，根据投标人承诺保证长安新区污水处理厂原位技术升级后日均处理水量进行评分：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（1）24万吨≤承诺日均处理水量＜25万吨，得2分；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（2）25万吨≤承诺日均处理水量＜26万吨，得4分。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2、原位扩容潜力（3分）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每个性能考核期内，在不超过设计进出水水质（进水SS除外）时，根据投标人承诺长安新区污水处理厂原位技术升级后日均处理量可提升至26万吨的日数进行评分：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（1）90日≤承诺达到日均处理水量提升至26万吨的日数＜120日，得1分；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（2）120日≤承诺达到日均处理水量提升至26万吨的日数＜150日，得2分；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（3）150日≤承诺达到日均处理水量提升至26万吨的日数，得3分。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3、运行条件优化（3分）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每个性能考核期内，根据投标人承诺在不超过设计进出水水质（进水SS除外），可保证长安新区污水处理厂生物反应池的平均气水比进行评分：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（1）3.0：1≤承诺生物反应池平均气水比＜3.2：1，得0.5分；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（2）2.8：1≤承诺生物反应池平均气水比＜3.0：1，得1分；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（3）2.6：1≤承诺生物反应池平均气水比＜2.8：1，得2分；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（4）承诺生物反应池平均气水比＜2.6：1，得3分。</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color w:val="auto"/>
                <w:highlight w:val="none"/>
                <w:lang w:val="en-US" w:eastAsia="zh-CN"/>
              </w:rPr>
            </w:pPr>
            <w:r>
              <w:rPr>
                <w:rFonts w:hint="eastAsia" w:ascii="宋体" w:hAnsi="宋体" w:eastAsia="宋体" w:cs="宋体"/>
                <w:b/>
                <w:bCs w:val="0"/>
                <w:color w:val="auto"/>
                <w:kern w:val="2"/>
                <w:sz w:val="21"/>
                <w:szCs w:val="21"/>
                <w:highlight w:val="none"/>
                <w:lang w:val="en-US" w:eastAsia="zh-CN" w:bidi="ar-SA"/>
              </w:rPr>
              <w:t>根据《</w:t>
            </w:r>
            <w:r>
              <w:rPr>
                <w:rFonts w:hint="eastAsia" w:hAnsi="宋体" w:cs="宋体"/>
                <w:b/>
                <w:bCs/>
                <w:color w:val="auto"/>
                <w:sz w:val="21"/>
                <w:szCs w:val="21"/>
                <w:highlight w:val="none"/>
                <w:lang w:eastAsia="zh-CN"/>
              </w:rPr>
              <w:t>技术性能承诺</w:t>
            </w:r>
            <w:r>
              <w:rPr>
                <w:rFonts w:hint="eastAsia" w:ascii="宋体" w:hAnsi="宋体" w:eastAsia="宋体" w:cs="宋体"/>
                <w:b/>
                <w:bCs w:val="0"/>
                <w:color w:val="auto"/>
                <w:kern w:val="2"/>
                <w:sz w:val="21"/>
                <w:szCs w:val="21"/>
                <w:highlight w:val="none"/>
                <w:lang w:val="en-US" w:eastAsia="zh-CN" w:bidi="ar-SA"/>
              </w:rPr>
              <w:t>表》进行评审。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53" w:leftChars="-25" w:right="-38" w:rightChars="-18" w:firstLine="2"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专利技术</w:t>
            </w:r>
          </w:p>
        </w:tc>
        <w:tc>
          <w:tcPr>
            <w:tcW w:w="418"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4分</w:t>
            </w:r>
          </w:p>
        </w:tc>
        <w:tc>
          <w:tcPr>
            <w:tcW w:w="3715" w:type="pct"/>
            <w:tcBorders>
              <w:top w:val="single" w:color="auto" w:sz="4" w:space="0"/>
              <w:left w:val="single" w:color="auto" w:sz="4" w:space="0"/>
              <w:right w:val="single" w:color="auto" w:sz="4" w:space="0"/>
            </w:tcBorders>
            <w:shd w:val="clear" w:color="auto" w:fill="auto"/>
            <w:vAlign w:val="center"/>
          </w:tcPr>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default" w:hAnsi="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对投标人具有的应用于污水处理工艺相关的专利进行评审：</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default" w:hAnsi="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（1）投标人每提供一个有效的专利证书（专利类别为发明专利）得1分，本子项满分2分。</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default" w:hAnsi="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（2）投标人每提供一个有效的专利证书（专利类别为实用新型）得0.5分，本子项满分2分。</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hAnsi="宋体" w:cs="宋体"/>
                <w:b/>
                <w:bCs w:val="0"/>
                <w:color w:val="auto"/>
                <w:kern w:val="2"/>
                <w:sz w:val="21"/>
                <w:szCs w:val="21"/>
                <w:highlight w:val="none"/>
                <w:lang w:val="en-US" w:eastAsia="zh-CN" w:bidi="ar-SA"/>
              </w:rPr>
            </w:pPr>
            <w:r>
              <w:rPr>
                <w:rFonts w:hint="eastAsia" w:hAnsi="宋体" w:cs="宋体"/>
                <w:b/>
                <w:bCs w:val="0"/>
                <w:color w:val="auto"/>
                <w:kern w:val="2"/>
                <w:sz w:val="21"/>
                <w:szCs w:val="21"/>
                <w:highlight w:val="none"/>
                <w:lang w:val="en-US" w:eastAsia="zh-CN" w:bidi="ar-SA"/>
              </w:rPr>
              <w:t>备注：专利须提供由国家知识产权局颁发的专利证书扫描件，且专利申请(专利权)人须为投标人，专利名称必须体现与污水处理工艺相关，否则不得分。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44"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522"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专业技术团队配备</w:t>
            </w:r>
          </w:p>
        </w:tc>
        <w:tc>
          <w:tcPr>
            <w:tcW w:w="418"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4分</w:t>
            </w:r>
          </w:p>
        </w:tc>
        <w:tc>
          <w:tcPr>
            <w:tcW w:w="3715"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根据投标人提供的</w:t>
            </w:r>
            <w:r>
              <w:rPr>
                <w:rFonts w:hint="eastAsia" w:ascii="宋体" w:hAnsi="宋体" w:eastAsia="宋体" w:cs="宋体"/>
                <w:color w:val="auto"/>
                <w:highlight w:val="none"/>
                <w:lang w:val="en-US" w:eastAsia="zh-CN"/>
              </w:rPr>
              <w:t>专业</w:t>
            </w:r>
            <w:r>
              <w:rPr>
                <w:rFonts w:hint="eastAsia" w:ascii="宋体" w:hAnsi="宋体" w:eastAsia="宋体" w:cs="宋体"/>
                <w:color w:val="auto"/>
                <w:highlight w:val="none"/>
              </w:rPr>
              <w:t>技术团队</w:t>
            </w:r>
            <w:r>
              <w:rPr>
                <w:rFonts w:hint="eastAsia" w:ascii="宋体" w:hAnsi="宋体" w:eastAsia="宋体" w:cs="宋体"/>
                <w:b w:val="0"/>
                <w:bCs w:val="0"/>
                <w:color w:val="auto"/>
                <w:kern w:val="0"/>
                <w:sz w:val="21"/>
                <w:szCs w:val="21"/>
                <w:highlight w:val="none"/>
                <w:lang w:val="en-US" w:eastAsia="zh-CN" w:bidi="ar-SA"/>
              </w:rPr>
              <w:t>配备情况进行评审，</w:t>
            </w:r>
            <w:r>
              <w:rPr>
                <w:rFonts w:hint="eastAsia" w:ascii="宋体" w:hAnsi="宋体" w:eastAsia="宋体" w:cs="宋体"/>
                <w:color w:val="auto"/>
                <w:kern w:val="0"/>
                <w:szCs w:val="21"/>
                <w:highlight w:val="none"/>
              </w:rPr>
              <w:t>本项</w:t>
            </w:r>
            <w:r>
              <w:rPr>
                <w:rFonts w:hint="eastAsia" w:ascii="宋体" w:hAnsi="宋体" w:eastAsia="宋体" w:cs="宋体"/>
                <w:color w:val="auto"/>
                <w:kern w:val="0"/>
                <w:szCs w:val="21"/>
                <w:highlight w:val="none"/>
                <w:lang w:val="en-US" w:eastAsia="zh-CN"/>
              </w:rPr>
              <w:t>满分4</w:t>
            </w:r>
            <w:r>
              <w:rPr>
                <w:rFonts w:hint="eastAsia" w:ascii="宋体" w:hAnsi="宋体" w:eastAsia="宋体" w:cs="宋体"/>
                <w:color w:val="auto"/>
                <w:kern w:val="0"/>
                <w:szCs w:val="21"/>
                <w:highlight w:val="none"/>
              </w:rPr>
              <w:t>分</w:t>
            </w:r>
            <w:r>
              <w:rPr>
                <w:rFonts w:hint="eastAsia" w:ascii="宋体" w:hAnsi="宋体" w:eastAsia="宋体" w:cs="宋体"/>
                <w:b w:val="0"/>
                <w:bCs w:val="0"/>
                <w:color w:val="auto"/>
                <w:kern w:val="0"/>
                <w:sz w:val="21"/>
                <w:szCs w:val="21"/>
                <w:highlight w:val="none"/>
                <w:lang w:val="en-US" w:eastAsia="zh-CN" w:bidi="ar-SA"/>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（1）投标人拟投入本项目的</w:t>
            </w:r>
            <w:r>
              <w:rPr>
                <w:rFonts w:hint="eastAsia" w:ascii="宋体" w:hAnsi="宋体" w:eastAsia="宋体" w:cs="宋体"/>
                <w:color w:val="auto"/>
                <w:highlight w:val="none"/>
                <w:lang w:val="en-US" w:eastAsia="zh-CN"/>
              </w:rPr>
              <w:t>专业</w:t>
            </w:r>
            <w:r>
              <w:rPr>
                <w:rFonts w:hint="eastAsia" w:ascii="宋体" w:hAnsi="宋体" w:eastAsia="宋体" w:cs="宋体"/>
                <w:color w:val="auto"/>
                <w:highlight w:val="none"/>
              </w:rPr>
              <w:t>技术团队</w:t>
            </w:r>
            <w:r>
              <w:rPr>
                <w:rFonts w:hint="eastAsia" w:ascii="宋体" w:hAnsi="宋体" w:eastAsia="宋体" w:cs="宋体"/>
                <w:b w:val="0"/>
                <w:bCs w:val="0"/>
                <w:color w:val="auto"/>
                <w:kern w:val="0"/>
                <w:sz w:val="21"/>
                <w:szCs w:val="21"/>
                <w:highlight w:val="none"/>
                <w:lang w:val="en-US" w:eastAsia="zh-CN" w:bidi="ar-SA"/>
              </w:rPr>
              <w:t>中，每配备有1名机械类或电气类或环境类高级或以上</w:t>
            </w:r>
            <w:r>
              <w:rPr>
                <w:rFonts w:hint="eastAsia" w:ascii="宋体" w:hAnsi="宋体" w:eastAsia="宋体" w:cs="宋体"/>
                <w:color w:val="auto"/>
                <w:szCs w:val="21"/>
                <w:highlight w:val="none"/>
                <w:lang w:eastAsia="zh-CN"/>
              </w:rPr>
              <w:t>职称证</w:t>
            </w:r>
            <w:r>
              <w:rPr>
                <w:rFonts w:hint="eastAsia" w:ascii="宋体" w:hAnsi="宋体" w:eastAsia="宋体" w:cs="宋体"/>
                <w:color w:val="auto"/>
                <w:szCs w:val="21"/>
                <w:highlight w:val="none"/>
                <w:lang w:val="en-US" w:eastAsia="zh-CN"/>
              </w:rPr>
              <w:t>的人员</w:t>
            </w:r>
            <w:r>
              <w:rPr>
                <w:rFonts w:hint="eastAsia" w:ascii="宋体" w:hAnsi="宋体" w:eastAsia="宋体" w:cs="宋体"/>
                <w:b w:val="0"/>
                <w:bCs w:val="0"/>
                <w:color w:val="auto"/>
                <w:kern w:val="0"/>
                <w:sz w:val="21"/>
                <w:szCs w:val="21"/>
                <w:highlight w:val="none"/>
                <w:lang w:val="en-US" w:eastAsia="zh-CN" w:bidi="ar-SA"/>
              </w:rPr>
              <w:t>，得2分</w:t>
            </w:r>
            <w:r>
              <w:rPr>
                <w:rFonts w:hint="eastAsia" w:ascii="宋体" w:hAnsi="宋体" w:eastAsia="宋体" w:cs="宋体"/>
                <w:color w:val="auto"/>
                <w:kern w:val="0"/>
                <w:szCs w:val="21"/>
                <w:highlight w:val="none"/>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（2）投标人拟投入本项目的</w:t>
            </w:r>
            <w:r>
              <w:rPr>
                <w:rFonts w:hint="eastAsia" w:ascii="宋体" w:hAnsi="宋体" w:eastAsia="宋体" w:cs="宋体"/>
                <w:color w:val="auto"/>
                <w:highlight w:val="none"/>
                <w:lang w:val="en-US" w:eastAsia="zh-CN"/>
              </w:rPr>
              <w:t>专业</w:t>
            </w:r>
            <w:r>
              <w:rPr>
                <w:rFonts w:hint="eastAsia" w:ascii="宋体" w:hAnsi="宋体" w:eastAsia="宋体" w:cs="宋体"/>
                <w:color w:val="auto"/>
                <w:highlight w:val="none"/>
              </w:rPr>
              <w:t>技术团队</w:t>
            </w:r>
            <w:r>
              <w:rPr>
                <w:rFonts w:hint="eastAsia" w:ascii="宋体" w:hAnsi="宋体" w:eastAsia="宋体" w:cs="宋体"/>
                <w:b w:val="0"/>
                <w:bCs w:val="0"/>
                <w:color w:val="auto"/>
                <w:kern w:val="0"/>
                <w:sz w:val="21"/>
                <w:szCs w:val="21"/>
                <w:highlight w:val="none"/>
                <w:lang w:val="en-US" w:eastAsia="zh-CN" w:bidi="ar-SA"/>
              </w:rPr>
              <w:t>中，每配备有1名机械类或电气类或环境类中级</w:t>
            </w:r>
            <w:r>
              <w:rPr>
                <w:rFonts w:hint="eastAsia" w:ascii="宋体" w:hAnsi="宋体" w:eastAsia="宋体" w:cs="宋体"/>
                <w:color w:val="auto"/>
                <w:szCs w:val="21"/>
                <w:highlight w:val="none"/>
                <w:lang w:eastAsia="zh-CN"/>
              </w:rPr>
              <w:t>职称证</w:t>
            </w:r>
            <w:r>
              <w:rPr>
                <w:rFonts w:hint="eastAsia" w:ascii="宋体" w:hAnsi="宋体" w:eastAsia="宋体" w:cs="宋体"/>
                <w:color w:val="auto"/>
                <w:szCs w:val="21"/>
                <w:highlight w:val="none"/>
                <w:lang w:val="en-US" w:eastAsia="zh-CN"/>
              </w:rPr>
              <w:t>的人员</w:t>
            </w:r>
            <w:r>
              <w:rPr>
                <w:rFonts w:hint="eastAsia" w:ascii="宋体" w:hAnsi="宋体" w:eastAsia="宋体" w:cs="宋体"/>
                <w:b w:val="0"/>
                <w:bCs w:val="0"/>
                <w:color w:val="auto"/>
                <w:kern w:val="0"/>
                <w:sz w:val="21"/>
                <w:szCs w:val="21"/>
                <w:highlight w:val="none"/>
                <w:lang w:val="en-US" w:eastAsia="zh-CN" w:bidi="ar-SA"/>
              </w:rPr>
              <w:t>，得1分，</w:t>
            </w: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子项满分2</w:t>
            </w:r>
            <w:r>
              <w:rPr>
                <w:rFonts w:hint="eastAsia" w:ascii="宋体" w:hAnsi="宋体" w:eastAsia="宋体" w:cs="宋体"/>
                <w:color w:val="auto"/>
                <w:kern w:val="0"/>
                <w:szCs w:val="21"/>
                <w:highlight w:val="none"/>
              </w:rPr>
              <w:t>分</w:t>
            </w:r>
            <w:r>
              <w:rPr>
                <w:rFonts w:hint="eastAsia" w:ascii="宋体" w:hAnsi="宋体" w:eastAsia="宋体" w:cs="宋体"/>
                <w:b w:val="0"/>
                <w:bCs w:val="0"/>
                <w:color w:val="auto"/>
                <w:kern w:val="0"/>
                <w:sz w:val="21"/>
                <w:szCs w:val="21"/>
                <w:highlight w:val="none"/>
                <w:lang w:val="en-US" w:eastAsia="zh-CN" w:bidi="ar-SA"/>
              </w:rPr>
              <w:t>。</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①上述</w:t>
            </w:r>
            <w:r>
              <w:rPr>
                <w:rFonts w:hint="eastAsia" w:ascii="宋体" w:hAnsi="宋体" w:eastAsia="宋体" w:cs="宋体"/>
                <w:b/>
                <w:bCs/>
                <w:color w:val="auto"/>
                <w:sz w:val="21"/>
                <w:szCs w:val="21"/>
                <w:highlight w:val="none"/>
              </w:rPr>
              <w:t>人员一人具有多个证书的不重复计分</w:t>
            </w:r>
            <w:r>
              <w:rPr>
                <w:rFonts w:hint="eastAsia" w:ascii="宋体" w:hAnsi="宋体" w:eastAsia="宋体" w:cs="宋体"/>
                <w:b/>
                <w:bCs/>
                <w:color w:val="auto"/>
                <w:sz w:val="21"/>
                <w:szCs w:val="21"/>
                <w:highlight w:val="none"/>
                <w:lang w:val="en-US" w:eastAsia="zh-CN"/>
              </w:rPr>
              <w:t>(按得分较高的进行评分)；</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②上述</w:t>
            </w:r>
            <w:r>
              <w:rPr>
                <w:rFonts w:hint="eastAsia" w:ascii="宋体" w:hAnsi="宋体" w:eastAsia="宋体" w:cs="宋体"/>
                <w:b/>
                <w:bCs/>
                <w:color w:val="auto"/>
                <w:sz w:val="21"/>
                <w:szCs w:val="21"/>
                <w:highlight w:val="none"/>
              </w:rPr>
              <w:t>人员须提供有效的身份证、职称证书原件扫描件</w:t>
            </w:r>
            <w:r>
              <w:rPr>
                <w:rFonts w:hint="eastAsia" w:ascii="宋体" w:hAnsi="宋体" w:eastAsia="宋体" w:cs="宋体"/>
                <w:b/>
                <w:bCs/>
                <w:color w:val="auto"/>
                <w:sz w:val="21"/>
                <w:szCs w:val="21"/>
                <w:highlight w:val="none"/>
                <w:lang w:val="en-US" w:eastAsia="zh-CN"/>
              </w:rPr>
              <w:t>；</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bCs/>
                <w:color w:val="auto"/>
                <w:sz w:val="21"/>
                <w:szCs w:val="21"/>
                <w:highlight w:val="none"/>
              </w:rPr>
              <w:t>提供投标人202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月为上述人员缴纳的社保证明</w:t>
            </w:r>
            <w:r>
              <w:rPr>
                <w:rFonts w:hint="eastAsia" w:ascii="宋体" w:hAnsi="宋体" w:eastAsia="宋体" w:cs="宋体"/>
                <w:b/>
                <w:bCs/>
                <w:color w:val="auto"/>
                <w:sz w:val="21"/>
                <w:szCs w:val="21"/>
                <w:highlight w:val="none"/>
                <w:lang w:val="en-US" w:eastAsia="zh-CN"/>
              </w:rPr>
              <w:t>原件扫描件；</w:t>
            </w:r>
          </w:p>
          <w:p>
            <w:pPr>
              <w:pStyle w:val="19"/>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④未按要求提供上述资料的，不得分。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44" w:type="pct"/>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供货、安装计划及进度保证措施</w:t>
            </w:r>
          </w:p>
        </w:tc>
        <w:tc>
          <w:tcPr>
            <w:tcW w:w="418"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6分</w:t>
            </w:r>
          </w:p>
        </w:tc>
        <w:tc>
          <w:tcPr>
            <w:tcW w:w="37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（1）根据投标人对所投设备承诺的供货、安装时间进行评审，本子项满分4分：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szCs w:val="21"/>
                <w:highlight w:val="none"/>
                <w:lang w:val="en-US" w:eastAsia="zh-CN"/>
              </w:rPr>
              <w:t>根据投标人对所投设备承诺的供货时间进行评审</w:t>
            </w:r>
            <w:r>
              <w:rPr>
                <w:rFonts w:hint="eastAsia" w:ascii="宋体" w:hAnsi="宋体" w:eastAsia="宋体" w:cs="宋体"/>
                <w:b w:val="0"/>
                <w:bCs/>
                <w:color w:val="auto"/>
                <w:kern w:val="2"/>
                <w:sz w:val="21"/>
                <w:szCs w:val="21"/>
                <w:highlight w:val="none"/>
                <w:lang w:val="en-US" w:eastAsia="zh-CN" w:bidi="ar-SA"/>
              </w:rPr>
              <w:t>，本子项满分2分：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①</w:t>
            </w:r>
            <w:r>
              <w:rPr>
                <w:rFonts w:hint="eastAsia" w:ascii="宋体" w:hAnsi="宋体" w:eastAsia="宋体" w:cs="宋体"/>
                <w:color w:val="auto"/>
                <w:kern w:val="0"/>
                <w:szCs w:val="21"/>
                <w:highlight w:val="none"/>
                <w:lang w:val="en-US" w:eastAsia="zh-CN"/>
              </w:rPr>
              <w:t>43日＜</w:t>
            </w:r>
            <w:r>
              <w:rPr>
                <w:rFonts w:hint="eastAsia" w:ascii="宋体" w:hAnsi="宋体" w:eastAsia="宋体" w:cs="宋体"/>
                <w:color w:val="auto"/>
                <w:szCs w:val="21"/>
                <w:highlight w:val="none"/>
                <w:lang w:val="en-US" w:eastAsia="zh-CN"/>
              </w:rPr>
              <w:t>供货时间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44日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w:t>
            </w:r>
            <w:r>
              <w:rPr>
                <w:rFonts w:hint="eastAsia" w:ascii="宋体" w:hAnsi="宋体" w:eastAsia="宋体" w:cs="宋体"/>
                <w:color w:val="auto"/>
                <w:kern w:val="0"/>
                <w:szCs w:val="21"/>
                <w:highlight w:val="none"/>
                <w:lang w:val="en-US" w:eastAsia="zh-CN"/>
              </w:rPr>
              <w:t>42日＜</w:t>
            </w:r>
            <w:r>
              <w:rPr>
                <w:rFonts w:hint="eastAsia" w:ascii="宋体" w:hAnsi="宋体" w:eastAsia="宋体" w:cs="宋体"/>
                <w:color w:val="auto"/>
                <w:szCs w:val="21"/>
                <w:highlight w:val="none"/>
                <w:lang w:val="en-US" w:eastAsia="zh-CN"/>
              </w:rPr>
              <w:t>供货时间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43日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③41日＜</w:t>
            </w:r>
            <w:r>
              <w:rPr>
                <w:rFonts w:hint="eastAsia" w:ascii="宋体" w:hAnsi="宋体" w:eastAsia="宋体" w:cs="宋体"/>
                <w:color w:val="auto"/>
                <w:szCs w:val="21"/>
                <w:highlight w:val="none"/>
                <w:lang w:val="en-US" w:eastAsia="zh-CN"/>
              </w:rPr>
              <w:t>供货时间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42日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szCs w:val="21"/>
                <w:highlight w:val="none"/>
                <w:lang w:val="en-US" w:eastAsia="zh-CN"/>
              </w:rPr>
              <w:t>供货时间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41日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default"/>
                <w:color w:val="auto"/>
                <w:highlight w:val="none"/>
              </w:rPr>
            </w:pPr>
            <w:r>
              <w:rPr>
                <w:rFonts w:hint="eastAsia" w:ascii="宋体" w:hAnsi="宋体" w:eastAsia="宋体" w:cs="宋体"/>
                <w:b w:val="0"/>
                <w:bCs/>
                <w:color w:val="auto"/>
                <w:kern w:val="2"/>
                <w:sz w:val="21"/>
                <w:szCs w:val="21"/>
                <w:highlight w:val="none"/>
                <w:lang w:val="en-US" w:eastAsia="zh-CN" w:bidi="ar-SA"/>
              </w:rPr>
              <w:t>⑤其他情况不得分。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szCs w:val="21"/>
                <w:highlight w:val="none"/>
                <w:lang w:val="en-US" w:eastAsia="zh-CN"/>
              </w:rPr>
              <w:t>根据投标人对所投设备承诺的安装时间进行评审</w:t>
            </w:r>
            <w:r>
              <w:rPr>
                <w:rFonts w:hint="eastAsia" w:ascii="宋体" w:hAnsi="宋体" w:eastAsia="宋体" w:cs="宋体"/>
                <w:b w:val="0"/>
                <w:bCs/>
                <w:color w:val="auto"/>
                <w:kern w:val="2"/>
                <w:sz w:val="21"/>
                <w:szCs w:val="21"/>
                <w:highlight w:val="none"/>
                <w:lang w:val="en-US" w:eastAsia="zh-CN" w:bidi="ar-SA"/>
              </w:rPr>
              <w:t>，本子项满分2分：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①</w:t>
            </w:r>
            <w:r>
              <w:rPr>
                <w:rFonts w:hint="eastAsia" w:ascii="宋体" w:hAnsi="宋体" w:eastAsia="宋体" w:cs="宋体"/>
                <w:color w:val="auto"/>
                <w:kern w:val="0"/>
                <w:szCs w:val="21"/>
                <w:highlight w:val="none"/>
                <w:lang w:val="en-US" w:eastAsia="zh-CN"/>
              </w:rPr>
              <w:t>26日＜</w:t>
            </w:r>
            <w:r>
              <w:rPr>
                <w:rFonts w:hint="eastAsia" w:ascii="宋体" w:hAnsi="宋体" w:eastAsia="宋体" w:cs="宋体"/>
                <w:color w:val="auto"/>
                <w:szCs w:val="21"/>
                <w:highlight w:val="none"/>
                <w:lang w:val="en-US" w:eastAsia="zh-CN"/>
              </w:rPr>
              <w:t>安装时间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28日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w:t>
            </w:r>
            <w:r>
              <w:rPr>
                <w:rFonts w:hint="eastAsia" w:ascii="宋体" w:hAnsi="宋体" w:eastAsia="宋体" w:cs="宋体"/>
                <w:color w:val="auto"/>
                <w:kern w:val="0"/>
                <w:szCs w:val="21"/>
                <w:highlight w:val="none"/>
                <w:lang w:val="en-US" w:eastAsia="zh-CN"/>
              </w:rPr>
              <w:t>24日＜</w:t>
            </w:r>
            <w:r>
              <w:rPr>
                <w:rFonts w:hint="eastAsia" w:ascii="宋体" w:hAnsi="宋体" w:eastAsia="宋体" w:cs="宋体"/>
                <w:color w:val="auto"/>
                <w:szCs w:val="21"/>
                <w:highlight w:val="none"/>
                <w:lang w:val="en-US" w:eastAsia="zh-CN"/>
              </w:rPr>
              <w:t>安装时间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26日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③22日＜</w:t>
            </w:r>
            <w:r>
              <w:rPr>
                <w:rFonts w:hint="eastAsia" w:ascii="宋体" w:hAnsi="宋体" w:eastAsia="宋体" w:cs="宋体"/>
                <w:color w:val="auto"/>
                <w:szCs w:val="21"/>
                <w:highlight w:val="none"/>
                <w:lang w:val="en-US" w:eastAsia="zh-CN"/>
              </w:rPr>
              <w:t>安装时间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24日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szCs w:val="21"/>
                <w:highlight w:val="none"/>
                <w:lang w:val="en-US" w:eastAsia="zh-CN"/>
              </w:rPr>
              <w:t>安装时间</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22日</w:t>
            </w:r>
            <w:r>
              <w:rPr>
                <w:rFonts w:hint="eastAsia" w:ascii="宋体" w:hAnsi="宋体" w:eastAsia="宋体" w:cs="宋体"/>
                <w:color w:val="auto"/>
                <w:kern w:val="0"/>
                <w:szCs w:val="21"/>
                <w:highlight w:val="none"/>
              </w:rPr>
              <w:t>，得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default"/>
                <w:color w:val="auto"/>
                <w:highlight w:val="none"/>
              </w:rPr>
            </w:pPr>
            <w:r>
              <w:rPr>
                <w:rFonts w:hint="eastAsia" w:ascii="宋体" w:hAnsi="宋体" w:eastAsia="宋体" w:cs="宋体"/>
                <w:b w:val="0"/>
                <w:bCs/>
                <w:color w:val="auto"/>
                <w:kern w:val="2"/>
                <w:sz w:val="21"/>
                <w:szCs w:val="21"/>
                <w:highlight w:val="none"/>
                <w:lang w:val="en-US" w:eastAsia="zh-CN" w:bidi="ar-SA"/>
              </w:rPr>
              <w:t>⑤其他情况不得分。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备注：根据《供货、安装时间承诺表》进行评审。</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对各投标人所提供的供货、安装计划是否实质性满足或优于</w:t>
            </w:r>
            <w:r>
              <w:rPr>
                <w:rFonts w:hint="eastAsia" w:ascii="宋体" w:hAnsi="宋体" w:eastAsia="宋体" w:cs="宋体"/>
                <w:b w:val="0"/>
                <w:bCs w:val="0"/>
                <w:color w:val="auto"/>
                <w:szCs w:val="21"/>
                <w:highlight w:val="none"/>
              </w:rPr>
              <w:t>本项目需求，对原设备的拆除、设备安装、管道安装、电气安装、自控安装以及系统调试</w:t>
            </w:r>
            <w:r>
              <w:rPr>
                <w:rFonts w:hint="eastAsia" w:ascii="宋体" w:hAnsi="宋体" w:eastAsia="宋体" w:cs="宋体"/>
                <w:color w:val="auto"/>
                <w:szCs w:val="21"/>
                <w:highlight w:val="none"/>
              </w:rPr>
              <w:t>等相关的进度保证措施具体、可行性进行评审</w:t>
            </w:r>
            <w:r>
              <w:rPr>
                <w:rFonts w:hint="eastAsia" w:ascii="宋体" w:hAnsi="宋体" w:eastAsia="宋体" w:cs="宋体"/>
                <w:color w:val="auto"/>
                <w:szCs w:val="21"/>
                <w:highlight w:val="none"/>
                <w:lang w:val="en-US" w:eastAsia="zh-CN"/>
              </w:rPr>
              <w:t>，本子项满分2分</w:t>
            </w:r>
            <w:r>
              <w:rPr>
                <w:rFonts w:hint="eastAsia" w:ascii="宋体" w:hAnsi="宋体" w:eastAsia="宋体" w:cs="宋体"/>
                <w:color w:val="auto"/>
                <w:szCs w:val="21"/>
                <w:highlight w:val="none"/>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优：</w:t>
            </w:r>
            <w:r>
              <w:rPr>
                <w:rFonts w:hint="eastAsia" w:ascii="宋体" w:hAnsi="宋体" w:eastAsia="宋体" w:cs="宋体"/>
                <w:color w:val="auto"/>
                <w:szCs w:val="21"/>
                <w:highlight w:val="none"/>
              </w:rPr>
              <w:t>计划完全满足或优于本项目需求，进度计划表规划非常清晰，原设备的拆除、设备安装、管道安装、电气安装、自控安装以及系统调试等相关进度保证措施非常具体、可行性高</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良：</w:t>
            </w:r>
            <w:r>
              <w:rPr>
                <w:rFonts w:hint="eastAsia" w:ascii="宋体" w:hAnsi="宋体" w:eastAsia="宋体" w:cs="宋体"/>
                <w:color w:val="auto"/>
                <w:szCs w:val="21"/>
                <w:highlight w:val="none"/>
              </w:rPr>
              <w:t>计划比较符合本项目需求，进度计划表规划较清晰，原设备的拆除、设备安装、管道安装、电气安装、自控安装以及系统调试等相关进度保证措施较具体、可行性较高</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中：</w:t>
            </w:r>
            <w:r>
              <w:rPr>
                <w:rFonts w:hint="eastAsia" w:ascii="宋体" w:hAnsi="宋体" w:eastAsia="宋体" w:cs="宋体"/>
                <w:color w:val="auto"/>
                <w:szCs w:val="21"/>
                <w:highlight w:val="none"/>
              </w:rPr>
              <w:t>计划基本符合本项目需求，进度计划表规划一般，原设备的拆除、设备安装、管道安装、电气安装、自控安装以及系统调试等相关进度保证措施一般、可行性一般</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差：</w:t>
            </w:r>
            <w:r>
              <w:rPr>
                <w:rFonts w:hint="eastAsia" w:ascii="宋体" w:hAnsi="宋体" w:eastAsia="宋体" w:cs="宋体"/>
                <w:color w:val="auto"/>
                <w:szCs w:val="21"/>
                <w:highlight w:val="none"/>
              </w:rPr>
              <w:t>计划内容缺失，进度计划表规划较差，原设备的拆除、设备安装、管道安装、电气安装、自控安装以及系统调试等相关进度保证措施较少、可行性较差</w:t>
            </w:r>
            <w:r>
              <w:rPr>
                <w:rFonts w:hint="eastAsia" w:ascii="宋体" w:hAnsi="宋体" w:eastAsia="宋体" w:cs="宋体"/>
                <w:color w:val="auto"/>
                <w:kern w:val="0"/>
                <w:szCs w:val="21"/>
                <w:highlight w:val="none"/>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44" w:type="pct"/>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53" w:leftChars="-25" w:right="-38" w:rightChars="-18" w:firstLine="2"/>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2" w:type="pct"/>
            <w:shd w:val="clear" w:color="auto" w:fill="auto"/>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质保期、维修响应时间承诺</w:t>
            </w:r>
          </w:p>
        </w:tc>
        <w:tc>
          <w:tcPr>
            <w:tcW w:w="418" w:type="pct"/>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5分</w:t>
            </w:r>
          </w:p>
        </w:tc>
        <w:tc>
          <w:tcPr>
            <w:tcW w:w="3715" w:type="pc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0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w:t>
            </w: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lang w:val="en-US" w:eastAsia="zh-CN"/>
              </w:rPr>
              <w:t>对所投设备</w:t>
            </w:r>
            <w:r>
              <w:rPr>
                <w:rFonts w:hint="eastAsia" w:ascii="宋体" w:hAnsi="宋体" w:eastAsia="宋体" w:cs="宋体"/>
                <w:color w:val="auto"/>
                <w:kern w:val="2"/>
                <w:sz w:val="21"/>
                <w:szCs w:val="21"/>
                <w:highlight w:val="none"/>
                <w:lang w:val="en-US" w:eastAsia="zh-CN" w:bidi="ar-SA"/>
              </w:rPr>
              <w:t>承诺的质保期进行评审</w:t>
            </w:r>
            <w:r>
              <w:rPr>
                <w:rFonts w:hint="eastAsia" w:ascii="宋体" w:hAnsi="宋体" w:eastAsia="宋体" w:cs="宋体"/>
                <w:color w:val="auto"/>
                <w:kern w:val="0"/>
                <w:szCs w:val="21"/>
                <w:highlight w:val="none"/>
                <w:lang w:eastAsia="zh-CN"/>
              </w:rPr>
              <w:t>，</w:t>
            </w:r>
            <w:r>
              <w:rPr>
                <w:rFonts w:hint="eastAsia" w:ascii="宋体" w:hAnsi="宋体" w:eastAsia="宋体" w:cs="宋体"/>
                <w:b w:val="0"/>
                <w:bCs/>
                <w:color w:val="auto"/>
                <w:kern w:val="2"/>
                <w:sz w:val="21"/>
                <w:szCs w:val="21"/>
                <w:highlight w:val="none"/>
                <w:lang w:val="en-US" w:eastAsia="zh-CN" w:bidi="ar-SA"/>
              </w:rPr>
              <w:t>本子项满分3分</w:t>
            </w:r>
            <w:r>
              <w:rPr>
                <w:rFonts w:hint="eastAsia" w:ascii="宋体" w:hAnsi="宋体" w:eastAsia="宋体" w:cs="宋体"/>
                <w:color w:val="auto"/>
                <w:kern w:val="0"/>
                <w:szCs w:val="21"/>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w:t>
            </w:r>
            <w:r>
              <w:rPr>
                <w:rFonts w:hint="eastAsia" w:ascii="宋体" w:hAnsi="宋体" w:eastAsia="宋体" w:cs="宋体"/>
                <w:color w:val="auto"/>
                <w:kern w:val="0"/>
                <w:szCs w:val="21"/>
                <w:highlight w:val="none"/>
                <w:lang w:val="en-US" w:eastAsia="zh-CN"/>
              </w:rPr>
              <w:t>26</w:t>
            </w:r>
            <w:r>
              <w:rPr>
                <w:rFonts w:hint="eastAsia" w:ascii="宋体" w:hAnsi="宋体" w:eastAsia="宋体" w:cs="宋体"/>
                <w:color w:val="auto"/>
                <w:kern w:val="0"/>
                <w:szCs w:val="21"/>
                <w:highlight w:val="none"/>
              </w:rPr>
              <w:t>个月≤质保期</w:t>
            </w: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个月，得</w:t>
            </w:r>
            <w:r>
              <w:rPr>
                <w:rFonts w:hint="eastAsia" w:ascii="宋体" w:hAnsi="宋体" w:eastAsia="宋体" w:cs="宋体"/>
                <w:color w:val="auto"/>
                <w:kern w:val="0"/>
                <w:szCs w:val="21"/>
                <w:highlight w:val="none"/>
                <w:lang w:val="en-US" w:eastAsia="zh-CN"/>
              </w:rPr>
              <w:t>0.5</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w:t>
            </w:r>
            <w:r>
              <w:rPr>
                <w:rFonts w:hint="eastAsia" w:ascii="宋体" w:hAnsi="宋体" w:eastAsia="宋体" w:cs="宋体"/>
                <w:color w:val="auto"/>
                <w:kern w:val="0"/>
                <w:szCs w:val="21"/>
                <w:highlight w:val="none"/>
                <w:lang w:val="en-US" w:eastAsia="zh-CN"/>
              </w:rPr>
              <w:t>28</w:t>
            </w:r>
            <w:r>
              <w:rPr>
                <w:rFonts w:hint="eastAsia" w:ascii="宋体" w:hAnsi="宋体" w:eastAsia="宋体" w:cs="宋体"/>
                <w:color w:val="auto"/>
                <w:kern w:val="0"/>
                <w:szCs w:val="21"/>
                <w:highlight w:val="none"/>
              </w:rPr>
              <w:t>个月≤质保期</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个月，得</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color w:val="auto"/>
              </w:rPr>
            </w:pPr>
            <w:r>
              <w:rPr>
                <w:rFonts w:hint="eastAsia" w:ascii="宋体" w:hAnsi="宋体" w:eastAsia="宋体" w:cs="宋体"/>
                <w:b w:val="0"/>
                <w:bCs/>
                <w:color w:val="auto"/>
                <w:kern w:val="2"/>
                <w:sz w:val="21"/>
                <w:szCs w:val="21"/>
                <w:highlight w:val="none"/>
                <w:lang w:val="en-US" w:eastAsia="zh-CN" w:bidi="ar-SA"/>
              </w:rPr>
              <w:t>③</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个月≤质保期</w:t>
            </w:r>
            <w:r>
              <w:rPr>
                <w:rFonts w:hint="eastAsia" w:ascii="宋体" w:hAnsi="宋体" w:eastAsia="宋体" w:cs="宋体"/>
                <w:color w:val="auto"/>
                <w:kern w:val="0"/>
                <w:szCs w:val="21"/>
                <w:highlight w:val="none"/>
                <w:lang w:val="en-US" w:eastAsia="zh-CN"/>
              </w:rPr>
              <w:t>＜32</w:t>
            </w:r>
            <w:r>
              <w:rPr>
                <w:rFonts w:hint="eastAsia" w:ascii="宋体" w:hAnsi="宋体" w:eastAsia="宋体" w:cs="宋体"/>
                <w:color w:val="auto"/>
                <w:kern w:val="0"/>
                <w:szCs w:val="21"/>
                <w:highlight w:val="none"/>
              </w:rPr>
              <w:t>个月，得</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b w:val="0"/>
                <w:bCs/>
                <w:color w:val="auto"/>
                <w:szCs w:val="24"/>
                <w:highlight w:val="none"/>
              </w:rPr>
              <w:t>④</w:t>
            </w:r>
            <w:r>
              <w:rPr>
                <w:rFonts w:hint="eastAsia" w:ascii="宋体" w:hAnsi="宋体" w:eastAsia="宋体" w:cs="宋体"/>
                <w:b w:val="0"/>
                <w:bCs/>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个月≤质保期</w:t>
            </w:r>
            <w:r>
              <w:rPr>
                <w:rFonts w:hint="eastAsia" w:ascii="宋体" w:hAnsi="宋体" w:eastAsia="宋体" w:cs="宋体"/>
                <w:color w:val="auto"/>
                <w:kern w:val="0"/>
                <w:szCs w:val="21"/>
                <w:highlight w:val="none"/>
                <w:lang w:val="en-US" w:eastAsia="zh-CN"/>
              </w:rPr>
              <w:t>＜34</w:t>
            </w:r>
            <w:r>
              <w:rPr>
                <w:rFonts w:hint="eastAsia" w:ascii="宋体" w:hAnsi="宋体" w:eastAsia="宋体" w:cs="宋体"/>
                <w:color w:val="auto"/>
                <w:kern w:val="0"/>
                <w:szCs w:val="21"/>
                <w:highlight w:val="none"/>
              </w:rPr>
              <w:t>个月，得</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color w:val="auto"/>
              </w:rPr>
            </w:pPr>
            <w:r>
              <w:rPr>
                <w:rFonts w:hint="eastAsia" w:ascii="宋体" w:hAnsi="宋体" w:eastAsia="宋体" w:cs="宋体"/>
                <w:color w:val="auto"/>
                <w:kern w:val="0"/>
                <w:szCs w:val="21"/>
                <w:highlight w:val="none"/>
              </w:rPr>
              <w:t>⑤</w:t>
            </w:r>
            <w:r>
              <w:rPr>
                <w:rFonts w:hint="eastAsia" w:ascii="宋体" w:hAnsi="宋体" w:eastAsia="宋体" w:cs="宋体"/>
                <w:color w:val="auto"/>
                <w:kern w:val="0"/>
                <w:szCs w:val="21"/>
                <w:highlight w:val="none"/>
                <w:lang w:val="en-US" w:eastAsia="zh-CN"/>
              </w:rPr>
              <w:t>34</w:t>
            </w:r>
            <w:r>
              <w:rPr>
                <w:rFonts w:hint="eastAsia" w:ascii="宋体" w:hAnsi="宋体" w:eastAsia="宋体" w:cs="宋体"/>
                <w:color w:val="auto"/>
                <w:kern w:val="0"/>
                <w:szCs w:val="21"/>
                <w:highlight w:val="none"/>
              </w:rPr>
              <w:t>个月≤质保期</w:t>
            </w: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个月，得</w:t>
            </w:r>
            <w:r>
              <w:rPr>
                <w:rFonts w:hint="eastAsia" w:ascii="宋体" w:hAnsi="宋体" w:eastAsia="宋体" w:cs="宋体"/>
                <w:color w:val="auto"/>
                <w:kern w:val="0"/>
                <w:szCs w:val="21"/>
                <w:highlight w:val="none"/>
                <w:lang w:val="en-US" w:eastAsia="zh-CN"/>
              </w:rPr>
              <w:t>2.5</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w:t>
            </w: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Cs w:val="21"/>
                <w:highlight w:val="none"/>
              </w:rPr>
              <w:t>个月≤质保期，得</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kern w:val="0"/>
                <w:szCs w:val="21"/>
                <w:highlight w:val="none"/>
              </w:rPr>
              <w:t>⑦</w:t>
            </w:r>
            <w:r>
              <w:rPr>
                <w:rFonts w:hint="eastAsia" w:ascii="宋体" w:hAnsi="宋体" w:eastAsia="宋体" w:cs="宋体"/>
                <w:b w:val="0"/>
                <w:bCs/>
                <w:color w:val="auto"/>
                <w:kern w:val="2"/>
                <w:sz w:val="21"/>
                <w:szCs w:val="21"/>
                <w:highlight w:val="none"/>
                <w:lang w:val="en-US" w:eastAsia="zh-CN" w:bidi="ar-SA"/>
              </w:rPr>
              <w:t>其他情况不得分。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（2）根据投标人承诺的质保期内维修响应时间进行评审</w:t>
            </w:r>
            <w:r>
              <w:rPr>
                <w:rFonts w:hint="eastAsia" w:ascii="宋体" w:hAnsi="宋体" w:eastAsia="宋体" w:cs="宋体"/>
                <w:color w:val="auto"/>
                <w:kern w:val="0"/>
                <w:szCs w:val="21"/>
                <w:highlight w:val="none"/>
                <w:lang w:eastAsia="zh-CN"/>
              </w:rPr>
              <w:t>，</w:t>
            </w:r>
            <w:r>
              <w:rPr>
                <w:rFonts w:hint="eastAsia" w:ascii="宋体" w:hAnsi="宋体" w:eastAsia="宋体" w:cs="宋体"/>
                <w:b w:val="0"/>
                <w:bCs/>
                <w:color w:val="auto"/>
                <w:kern w:val="2"/>
                <w:sz w:val="21"/>
                <w:szCs w:val="21"/>
                <w:highlight w:val="none"/>
                <w:lang w:val="en-US" w:eastAsia="zh-CN" w:bidi="ar-SA"/>
              </w:rPr>
              <w:t>本子项满分2分：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1）在合同规定的质保期内，根据投标人承诺在接到招标人的故障</w:t>
            </w:r>
            <w:r>
              <w:rPr>
                <w:rFonts w:hint="eastAsia" w:ascii="宋体" w:hAnsi="宋体" w:eastAsia="宋体" w:cs="宋体"/>
                <w:color w:val="auto"/>
                <w:sz w:val="21"/>
                <w:szCs w:val="21"/>
                <w:highlight w:val="none"/>
                <w:lang w:val="en-US" w:eastAsia="zh-CN"/>
              </w:rPr>
              <w:t>报</w:t>
            </w:r>
            <w:r>
              <w:rPr>
                <w:rFonts w:hint="eastAsia" w:ascii="宋体" w:hAnsi="宋体" w:eastAsia="宋体" w:cs="宋体"/>
                <w:b w:val="0"/>
                <w:bCs/>
                <w:color w:val="auto"/>
                <w:kern w:val="2"/>
                <w:sz w:val="21"/>
                <w:szCs w:val="21"/>
                <w:highlight w:val="none"/>
                <w:lang w:val="en-US" w:eastAsia="zh-CN" w:bidi="ar-SA"/>
              </w:rPr>
              <w:t>警后的响应时间进行评审，本子项满分1分：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①2小时＜响应时间≤3小时，得0.5分；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②响应时间≤2小时，得1分；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③其他情况不得分。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2）在合同规定的质保期内，根据投标人承诺在接到招标人的故障</w:t>
            </w:r>
            <w:r>
              <w:rPr>
                <w:rFonts w:hint="eastAsia" w:ascii="宋体" w:hAnsi="宋体" w:eastAsia="宋体" w:cs="宋体"/>
                <w:color w:val="auto"/>
                <w:sz w:val="21"/>
                <w:szCs w:val="21"/>
                <w:highlight w:val="none"/>
                <w:lang w:val="en-US" w:eastAsia="zh-CN"/>
              </w:rPr>
              <w:t>报</w:t>
            </w:r>
            <w:r>
              <w:rPr>
                <w:rFonts w:hint="eastAsia" w:ascii="宋体" w:hAnsi="宋体" w:eastAsia="宋体" w:cs="宋体"/>
                <w:b w:val="0"/>
                <w:bCs/>
                <w:color w:val="auto"/>
                <w:kern w:val="2"/>
                <w:sz w:val="21"/>
                <w:szCs w:val="21"/>
                <w:highlight w:val="none"/>
                <w:lang w:val="en-US" w:eastAsia="zh-CN" w:bidi="ar-SA"/>
              </w:rPr>
              <w:t>警后到达项目现场提供维修等服务的时间进行评审，本子项满分1分：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①12小时＜到达项目现场提供维修等服务的时间≤18小时，得0.5分；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②到达项目现场提供维修等服务的时间≤12小时，得1分；</w:t>
            </w:r>
            <w:r>
              <w:rPr>
                <w:rFonts w:hint="eastAsia" w:ascii="宋体" w:hAnsi="宋体" w:eastAsia="宋体" w:cs="宋体"/>
                <w:b w:val="0"/>
                <w:bCs/>
                <w:color w:val="auto"/>
                <w:kern w:val="2"/>
                <w:sz w:val="21"/>
                <w:szCs w:val="21"/>
                <w:highlight w:val="none"/>
                <w:lang w:val="en-US" w:eastAsia="zh-CN" w:bidi="ar-SA"/>
              </w:rPr>
              <w:br w:type="textWrapping"/>
            </w:r>
            <w:r>
              <w:rPr>
                <w:rFonts w:hint="eastAsia" w:ascii="宋体" w:hAnsi="宋体" w:eastAsia="宋体" w:cs="宋体"/>
                <w:b w:val="0"/>
                <w:bCs/>
                <w:color w:val="auto"/>
                <w:kern w:val="2"/>
                <w:sz w:val="21"/>
                <w:szCs w:val="21"/>
                <w:highlight w:val="none"/>
                <w:lang w:val="en-US" w:eastAsia="zh-CN" w:bidi="ar-SA"/>
              </w:rPr>
              <w:t>③其他情况不得分。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00" w:lineRule="exact"/>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备注：根据《质保期、维修响应时间承诺表》进行评审。</w:t>
            </w:r>
          </w:p>
        </w:tc>
      </w:tr>
    </w:tbl>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pPr>
        <w:autoSpaceDE w:val="0"/>
        <w:autoSpaceDN w:val="0"/>
        <w:adjustRightInd w:val="0"/>
        <w:spacing w:line="360" w:lineRule="auto"/>
        <w:ind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1"/>
          <w:highlight w:val="none"/>
          <w:lang w:val="zh-CN"/>
        </w:rPr>
        <w:t>③上述“评分项目”中按</w:t>
      </w:r>
      <w:r>
        <w:rPr>
          <w:rFonts w:hint="eastAsia" w:ascii="宋体" w:hAnsi="宋体" w:eastAsia="宋体" w:cs="宋体"/>
          <w:b/>
          <w:color w:val="auto"/>
          <w:szCs w:val="24"/>
          <w:highlight w:val="none"/>
          <w:lang w:val="zh-CN"/>
        </w:rPr>
        <w:t>“优、</w:t>
      </w:r>
      <w:r>
        <w:rPr>
          <w:rFonts w:hint="eastAsia" w:ascii="宋体" w:hAnsi="宋体" w:eastAsia="宋体" w:cs="宋体"/>
          <w:b/>
          <w:color w:val="auto"/>
          <w:szCs w:val="24"/>
          <w:highlight w:val="none"/>
          <w:lang w:val="en-US" w:eastAsia="zh-CN"/>
        </w:rPr>
        <w:t>良、</w:t>
      </w:r>
      <w:r>
        <w:rPr>
          <w:rFonts w:hint="eastAsia" w:ascii="宋体" w:hAnsi="宋体" w:eastAsia="宋体" w:cs="宋体"/>
          <w:b/>
          <w:color w:val="auto"/>
          <w:szCs w:val="24"/>
          <w:highlight w:val="none"/>
          <w:lang w:val="zh-CN"/>
        </w:rPr>
        <w:t>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pPr>
        <w:autoSpaceDE w:val="0"/>
        <w:autoSpaceDN w:val="0"/>
        <w:adjustRightIn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firstLine="422" w:firstLineChars="2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firstLine="422" w:firstLineChars="2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200" w:firstLine="630" w:firstLineChars="3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left="420" w:leftChars="200" w:firstLine="630" w:firstLineChars="3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360" w:lineRule="auto"/>
        <w:ind w:firstLine="420" w:firstLineChars="200"/>
        <w:rPr>
          <w:rFonts w:ascii="宋体" w:hAnsi="宋体" w:eastAsia="宋体" w:cs="宋体"/>
          <w:color w:val="auto"/>
          <w:kern w:val="0"/>
          <w:szCs w:val="28"/>
          <w:highlight w:val="none"/>
          <w:lang w:val="zh-CN"/>
        </w:rPr>
      </w:pPr>
      <w:bookmarkStart w:id="771" w:name="_Toc31624_WPSOffice_Level2"/>
      <w:r>
        <w:rPr>
          <w:rFonts w:hint="eastAsia" w:ascii="宋体" w:hAnsi="宋体" w:eastAsia="宋体" w:cs="宋体"/>
          <w:color w:val="auto"/>
          <w:kern w:val="0"/>
          <w:szCs w:val="28"/>
          <w:highlight w:val="none"/>
          <w:lang w:val="zh-CN"/>
        </w:rPr>
        <w:t>评标总得分=F1＋F2＋……+Fn</w:t>
      </w:r>
      <w:bookmarkEnd w:id="771"/>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772" w:name="_Toc13236_WPSOffice_Level2"/>
      <w:r>
        <w:rPr>
          <w:rFonts w:hint="eastAsia" w:ascii="宋体" w:hAnsi="宋体" w:eastAsia="宋体" w:cs="宋体"/>
          <w:color w:val="auto"/>
          <w:kern w:val="0"/>
          <w:szCs w:val="21"/>
          <w:highlight w:val="none"/>
        </w:rPr>
        <w:t>F1、F2、……Fn分别为各项评分因素的得分</w:t>
      </w:r>
      <w:bookmarkEnd w:id="772"/>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73" w:name="_Toc518_WPSOffice_Level1"/>
      <w:r>
        <w:rPr>
          <w:rFonts w:hint="eastAsia" w:ascii="宋体" w:hAnsi="宋体" w:eastAsia="宋体" w:cs="宋体"/>
          <w:b/>
          <w:bCs/>
          <w:color w:val="auto"/>
          <w:sz w:val="28"/>
          <w:szCs w:val="28"/>
          <w:highlight w:val="none"/>
          <w:lang w:val="zh-CN"/>
        </w:rPr>
        <w:t>五、推荐中标人</w:t>
      </w:r>
      <w:bookmarkEnd w:id="773"/>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74" w:name="_Toc22724_WPSOffice_Level1"/>
      <w:r>
        <w:rPr>
          <w:rFonts w:hint="eastAsia" w:ascii="宋体" w:hAnsi="宋体" w:eastAsia="宋体" w:cs="宋体"/>
          <w:b/>
          <w:bCs/>
          <w:color w:val="auto"/>
          <w:sz w:val="28"/>
          <w:szCs w:val="28"/>
          <w:highlight w:val="none"/>
          <w:lang w:val="zh-CN"/>
        </w:rPr>
        <w:t>六、编写评标报告</w:t>
      </w:r>
      <w:bookmarkEnd w:id="774"/>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75" w:name="_Toc23773_WPSOffice_Level1"/>
      <w:r>
        <w:rPr>
          <w:rFonts w:hint="eastAsia" w:ascii="宋体" w:hAnsi="宋体" w:eastAsia="宋体" w:cs="宋体"/>
          <w:b/>
          <w:bCs/>
          <w:color w:val="auto"/>
          <w:sz w:val="28"/>
          <w:szCs w:val="28"/>
          <w:highlight w:val="none"/>
          <w:lang w:val="zh-CN"/>
        </w:rPr>
        <w:t>七、注意事项</w:t>
      </w:r>
      <w:bookmarkEnd w:id="775"/>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22"/>
      <w:bookmarkEnd w:id="754"/>
      <w:bookmarkEnd w:id="755"/>
      <w:bookmarkEnd w:id="756"/>
    </w:p>
    <w:p>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2C422A-A847-4B2B-A93A-6C7A43E7EB9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3651400B-F312-4DD9-A356-900A0FBEBA58}"/>
  </w:font>
  <w:font w:name="Symbol">
    <w:panose1 w:val="05050102010706020507"/>
    <w:charset w:val="02"/>
    <w:family w:val="roman"/>
    <w:pitch w:val="default"/>
    <w:sig w:usb0="00000000" w:usb1="00000000" w:usb2="00000000" w:usb3="00000000" w:csb0="80000000" w:csb1="00000000"/>
    <w:embedRegular r:id="rId3" w:fontKey="{44AC244B-B7B5-4A57-A9EB-4179A892D758}"/>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4" w:fontKey="{9D25DDA4-9767-4140-B88E-51653AE334ED}"/>
  </w:font>
  <w:font w:name="仿宋">
    <w:panose1 w:val="02010609060101010101"/>
    <w:charset w:val="86"/>
    <w:family w:val="modern"/>
    <w:pitch w:val="default"/>
    <w:sig w:usb0="800002BF" w:usb1="38CF7CFA" w:usb2="00000016" w:usb3="00000000" w:csb0="00040001" w:csb1="00000000"/>
    <w:embedRegular r:id="rId5" w:fontKey="{F25021A0-91E0-47C9-85AA-091119B8EFA8}"/>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Lucida Grande">
    <w:altName w:val="Courier New"/>
    <w:panose1 w:val="00000000000000000000"/>
    <w:charset w:val="00"/>
    <w:family w:val="auto"/>
    <w:pitch w:val="default"/>
    <w:sig w:usb0="00000000" w:usb1="00000000" w:usb2="00000000" w:usb3="00000000" w:csb0="000001BF" w:csb1="00000000"/>
  </w:font>
  <w:font w:name="楷体">
    <w:panose1 w:val="02010609060101010101"/>
    <w:charset w:val="86"/>
    <w:family w:val="modern"/>
    <w:pitch w:val="default"/>
    <w:sig w:usb0="800002BF" w:usb1="38CF7CFA" w:usb2="00000016" w:usb3="00000000" w:csb0="00040001" w:csb1="00000000"/>
    <w:embedRegular r:id="rId6" w:fontKey="{FD4A9A0C-6021-40C3-82B7-5F1C9C2E839E}"/>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199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201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202</w:t>
    </w:r>
    <w:r>
      <w:rPr>
        <w:bCs/>
        <w:sz w:val="24"/>
        <w:szCs w:val="24"/>
      </w:rPr>
      <w:fldChar w:fldCharType="end"/>
    </w:r>
    <w:r>
      <w:rPr>
        <w:b/>
        <w:bCs/>
        <w:sz w:val="24"/>
        <w:szCs w:val="24"/>
      </w:rPr>
      <w:t xml:space="preserve"> </w:t>
    </w:r>
    <w:r>
      <w:rPr>
        <w:rFonts w:hint="eastAsia"/>
      </w:rPr>
      <w:t>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ind w:firstLine="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DFiYWJlOTYyYjBkNzE3NzhjZWZjNmJhMzliMDMifQ=="/>
    <w:docVar w:name="KSO_WPS_MARK_KEY" w:val="19b3d507-ef31-4c9a-9032-6e491df0a2e9"/>
  </w:docVars>
  <w:rsids>
    <w:rsidRoot w:val="00172A27"/>
    <w:rsid w:val="000011AE"/>
    <w:rsid w:val="00004430"/>
    <w:rsid w:val="00006AEC"/>
    <w:rsid w:val="00015A2E"/>
    <w:rsid w:val="000245A6"/>
    <w:rsid w:val="00024C4B"/>
    <w:rsid w:val="0002570D"/>
    <w:rsid w:val="00027708"/>
    <w:rsid w:val="00035595"/>
    <w:rsid w:val="00040BE6"/>
    <w:rsid w:val="00040F92"/>
    <w:rsid w:val="00046C4B"/>
    <w:rsid w:val="00052FA1"/>
    <w:rsid w:val="00054A52"/>
    <w:rsid w:val="00054D9C"/>
    <w:rsid w:val="000622F9"/>
    <w:rsid w:val="000640CD"/>
    <w:rsid w:val="00066C3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4268"/>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A6847"/>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40F3"/>
    <w:rsid w:val="006165C8"/>
    <w:rsid w:val="006175B4"/>
    <w:rsid w:val="00617AAD"/>
    <w:rsid w:val="00621CDC"/>
    <w:rsid w:val="006229B2"/>
    <w:rsid w:val="00625E3D"/>
    <w:rsid w:val="00630B61"/>
    <w:rsid w:val="006402A6"/>
    <w:rsid w:val="00644B65"/>
    <w:rsid w:val="006530F8"/>
    <w:rsid w:val="0065359E"/>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336"/>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953F8"/>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0024"/>
    <w:rsid w:val="00932BD9"/>
    <w:rsid w:val="00943742"/>
    <w:rsid w:val="0094670F"/>
    <w:rsid w:val="009479D0"/>
    <w:rsid w:val="009605B5"/>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47529"/>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6E08"/>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55E5B"/>
    <w:rsid w:val="011A7137"/>
    <w:rsid w:val="014D28C9"/>
    <w:rsid w:val="01520811"/>
    <w:rsid w:val="01710365"/>
    <w:rsid w:val="017E6F26"/>
    <w:rsid w:val="018D0F17"/>
    <w:rsid w:val="01925D8E"/>
    <w:rsid w:val="01970CE9"/>
    <w:rsid w:val="01BD616A"/>
    <w:rsid w:val="01C14D7B"/>
    <w:rsid w:val="01C62F7E"/>
    <w:rsid w:val="01CC7C92"/>
    <w:rsid w:val="01CD67FD"/>
    <w:rsid w:val="01D63A04"/>
    <w:rsid w:val="01D9791A"/>
    <w:rsid w:val="01E50228"/>
    <w:rsid w:val="02251150"/>
    <w:rsid w:val="02375A10"/>
    <w:rsid w:val="023F0009"/>
    <w:rsid w:val="02777BFD"/>
    <w:rsid w:val="02993083"/>
    <w:rsid w:val="02AA2A31"/>
    <w:rsid w:val="02D34569"/>
    <w:rsid w:val="02D768EE"/>
    <w:rsid w:val="03061B7B"/>
    <w:rsid w:val="030671D3"/>
    <w:rsid w:val="03177A28"/>
    <w:rsid w:val="03211F11"/>
    <w:rsid w:val="0334789D"/>
    <w:rsid w:val="03474B7C"/>
    <w:rsid w:val="034C0D49"/>
    <w:rsid w:val="035622D5"/>
    <w:rsid w:val="035C032D"/>
    <w:rsid w:val="03B90C75"/>
    <w:rsid w:val="03B92498"/>
    <w:rsid w:val="03C06D62"/>
    <w:rsid w:val="03DC5F16"/>
    <w:rsid w:val="03DD6186"/>
    <w:rsid w:val="03E0798B"/>
    <w:rsid w:val="03E31668"/>
    <w:rsid w:val="03E76BF4"/>
    <w:rsid w:val="03EA2651"/>
    <w:rsid w:val="03EC461B"/>
    <w:rsid w:val="04114082"/>
    <w:rsid w:val="04212491"/>
    <w:rsid w:val="04222816"/>
    <w:rsid w:val="04274CAC"/>
    <w:rsid w:val="04376843"/>
    <w:rsid w:val="043F6098"/>
    <w:rsid w:val="04441D61"/>
    <w:rsid w:val="04554F55"/>
    <w:rsid w:val="0455554A"/>
    <w:rsid w:val="04751EC2"/>
    <w:rsid w:val="049A2258"/>
    <w:rsid w:val="04B03B8F"/>
    <w:rsid w:val="04BF763A"/>
    <w:rsid w:val="04D02CFF"/>
    <w:rsid w:val="04D055E9"/>
    <w:rsid w:val="04D37589"/>
    <w:rsid w:val="04D415FC"/>
    <w:rsid w:val="04DD5F93"/>
    <w:rsid w:val="05032E58"/>
    <w:rsid w:val="050339CA"/>
    <w:rsid w:val="051200B1"/>
    <w:rsid w:val="05282AA4"/>
    <w:rsid w:val="05304471"/>
    <w:rsid w:val="0532719A"/>
    <w:rsid w:val="053E2C54"/>
    <w:rsid w:val="054017E5"/>
    <w:rsid w:val="056621AB"/>
    <w:rsid w:val="05687CD1"/>
    <w:rsid w:val="058F7720"/>
    <w:rsid w:val="0592587A"/>
    <w:rsid w:val="05C217CC"/>
    <w:rsid w:val="05D348D7"/>
    <w:rsid w:val="05E355AA"/>
    <w:rsid w:val="06073230"/>
    <w:rsid w:val="06255FDE"/>
    <w:rsid w:val="06340970"/>
    <w:rsid w:val="063522A9"/>
    <w:rsid w:val="0640271C"/>
    <w:rsid w:val="064C314F"/>
    <w:rsid w:val="064C3FE1"/>
    <w:rsid w:val="065055F6"/>
    <w:rsid w:val="06517B8D"/>
    <w:rsid w:val="0666162F"/>
    <w:rsid w:val="06A75D00"/>
    <w:rsid w:val="06AE2959"/>
    <w:rsid w:val="06AE5BB8"/>
    <w:rsid w:val="06BB39FC"/>
    <w:rsid w:val="06CE625A"/>
    <w:rsid w:val="06D05CDA"/>
    <w:rsid w:val="06D44BC6"/>
    <w:rsid w:val="06E3363B"/>
    <w:rsid w:val="06E710CA"/>
    <w:rsid w:val="06E96BF0"/>
    <w:rsid w:val="06FA704F"/>
    <w:rsid w:val="07017328"/>
    <w:rsid w:val="070D455F"/>
    <w:rsid w:val="071426B7"/>
    <w:rsid w:val="071B7D14"/>
    <w:rsid w:val="071C5217"/>
    <w:rsid w:val="071C6B5F"/>
    <w:rsid w:val="071E2D3E"/>
    <w:rsid w:val="073B2721"/>
    <w:rsid w:val="07462FD2"/>
    <w:rsid w:val="076A0A75"/>
    <w:rsid w:val="07E35D35"/>
    <w:rsid w:val="07E37E3E"/>
    <w:rsid w:val="07F13FAE"/>
    <w:rsid w:val="07F20159"/>
    <w:rsid w:val="080041F1"/>
    <w:rsid w:val="08110D6D"/>
    <w:rsid w:val="08296384"/>
    <w:rsid w:val="08332819"/>
    <w:rsid w:val="08362309"/>
    <w:rsid w:val="085E6FB9"/>
    <w:rsid w:val="08607386"/>
    <w:rsid w:val="08716E9D"/>
    <w:rsid w:val="08797942"/>
    <w:rsid w:val="087D1CE6"/>
    <w:rsid w:val="08931509"/>
    <w:rsid w:val="08934557"/>
    <w:rsid w:val="08A92ADB"/>
    <w:rsid w:val="08AB7738"/>
    <w:rsid w:val="08AF05F8"/>
    <w:rsid w:val="08CA34D3"/>
    <w:rsid w:val="08CE609D"/>
    <w:rsid w:val="08E23206"/>
    <w:rsid w:val="08E236EE"/>
    <w:rsid w:val="08EB3A63"/>
    <w:rsid w:val="08F33D56"/>
    <w:rsid w:val="08F464A9"/>
    <w:rsid w:val="091A7535"/>
    <w:rsid w:val="093876D2"/>
    <w:rsid w:val="093D4678"/>
    <w:rsid w:val="09403496"/>
    <w:rsid w:val="094504D2"/>
    <w:rsid w:val="0946657C"/>
    <w:rsid w:val="0978425B"/>
    <w:rsid w:val="098B3F8E"/>
    <w:rsid w:val="09EC6E92"/>
    <w:rsid w:val="0A097F22"/>
    <w:rsid w:val="0A171CC6"/>
    <w:rsid w:val="0A51342A"/>
    <w:rsid w:val="0A6842D0"/>
    <w:rsid w:val="0A77618A"/>
    <w:rsid w:val="0A9737C7"/>
    <w:rsid w:val="0ABA1CA5"/>
    <w:rsid w:val="0ABD1C25"/>
    <w:rsid w:val="0AF54A38"/>
    <w:rsid w:val="0B3C2236"/>
    <w:rsid w:val="0B6121D2"/>
    <w:rsid w:val="0BCE7BD1"/>
    <w:rsid w:val="0BE34556"/>
    <w:rsid w:val="0BED4F01"/>
    <w:rsid w:val="0BF30924"/>
    <w:rsid w:val="0C184BF9"/>
    <w:rsid w:val="0C3952B8"/>
    <w:rsid w:val="0C3F46FB"/>
    <w:rsid w:val="0C5633B9"/>
    <w:rsid w:val="0C6D1E1F"/>
    <w:rsid w:val="0C7E427E"/>
    <w:rsid w:val="0C985340"/>
    <w:rsid w:val="0CEA0AED"/>
    <w:rsid w:val="0CFB9D4B"/>
    <w:rsid w:val="0D4613B3"/>
    <w:rsid w:val="0D6E42F3"/>
    <w:rsid w:val="0D750C53"/>
    <w:rsid w:val="0D7E6DAF"/>
    <w:rsid w:val="0D9A6E96"/>
    <w:rsid w:val="0DB85591"/>
    <w:rsid w:val="0DBF4B4E"/>
    <w:rsid w:val="0DCB6F7B"/>
    <w:rsid w:val="0DDC74AE"/>
    <w:rsid w:val="0DDF2AFB"/>
    <w:rsid w:val="0E05226A"/>
    <w:rsid w:val="0E1934B6"/>
    <w:rsid w:val="0E3E175C"/>
    <w:rsid w:val="0E4F1A2E"/>
    <w:rsid w:val="0E686877"/>
    <w:rsid w:val="0E774FF5"/>
    <w:rsid w:val="0EC3244D"/>
    <w:rsid w:val="0ECA5559"/>
    <w:rsid w:val="0EEC0E31"/>
    <w:rsid w:val="0EF645A0"/>
    <w:rsid w:val="0F037F40"/>
    <w:rsid w:val="0F0A1DF9"/>
    <w:rsid w:val="0F144A07"/>
    <w:rsid w:val="0F1467D4"/>
    <w:rsid w:val="0F212BA4"/>
    <w:rsid w:val="0F241091"/>
    <w:rsid w:val="0F2561EC"/>
    <w:rsid w:val="0F2E7896"/>
    <w:rsid w:val="0F370844"/>
    <w:rsid w:val="0F492922"/>
    <w:rsid w:val="0F615EBD"/>
    <w:rsid w:val="0F697A75"/>
    <w:rsid w:val="0F9230D3"/>
    <w:rsid w:val="0FBE1504"/>
    <w:rsid w:val="0FCD3762"/>
    <w:rsid w:val="0FE102BB"/>
    <w:rsid w:val="10184D5C"/>
    <w:rsid w:val="10196425"/>
    <w:rsid w:val="101C1DE4"/>
    <w:rsid w:val="10230FB4"/>
    <w:rsid w:val="103B0079"/>
    <w:rsid w:val="1042358C"/>
    <w:rsid w:val="105B1797"/>
    <w:rsid w:val="1064212D"/>
    <w:rsid w:val="10A65B52"/>
    <w:rsid w:val="10B72B6A"/>
    <w:rsid w:val="10BC03C7"/>
    <w:rsid w:val="10C85AC8"/>
    <w:rsid w:val="10FE5729"/>
    <w:rsid w:val="10FF5DF4"/>
    <w:rsid w:val="11052878"/>
    <w:rsid w:val="11094EF4"/>
    <w:rsid w:val="117F39EB"/>
    <w:rsid w:val="11851182"/>
    <w:rsid w:val="118B7CD4"/>
    <w:rsid w:val="11901925"/>
    <w:rsid w:val="119A56B6"/>
    <w:rsid w:val="11C25C30"/>
    <w:rsid w:val="11E3107D"/>
    <w:rsid w:val="1208099D"/>
    <w:rsid w:val="120A214C"/>
    <w:rsid w:val="122F05F9"/>
    <w:rsid w:val="12A35E1B"/>
    <w:rsid w:val="12A73712"/>
    <w:rsid w:val="12AE3D32"/>
    <w:rsid w:val="12B24C82"/>
    <w:rsid w:val="12B46E52"/>
    <w:rsid w:val="12C22B33"/>
    <w:rsid w:val="12CF3D5F"/>
    <w:rsid w:val="12DE5A77"/>
    <w:rsid w:val="12E32EDE"/>
    <w:rsid w:val="12FC2D17"/>
    <w:rsid w:val="12FD27F6"/>
    <w:rsid w:val="130F4A87"/>
    <w:rsid w:val="13125D93"/>
    <w:rsid w:val="13164FF8"/>
    <w:rsid w:val="1324792E"/>
    <w:rsid w:val="13273C81"/>
    <w:rsid w:val="13712447"/>
    <w:rsid w:val="13D80718"/>
    <w:rsid w:val="13DC5D90"/>
    <w:rsid w:val="13E35C25"/>
    <w:rsid w:val="13E64BE3"/>
    <w:rsid w:val="13F82B68"/>
    <w:rsid w:val="13FF12F2"/>
    <w:rsid w:val="141C0B09"/>
    <w:rsid w:val="14237C67"/>
    <w:rsid w:val="142B4CEC"/>
    <w:rsid w:val="14430676"/>
    <w:rsid w:val="14605AA1"/>
    <w:rsid w:val="14726477"/>
    <w:rsid w:val="147E306D"/>
    <w:rsid w:val="149107AE"/>
    <w:rsid w:val="14972381"/>
    <w:rsid w:val="149D728E"/>
    <w:rsid w:val="14A43135"/>
    <w:rsid w:val="14AA20B4"/>
    <w:rsid w:val="14B44CE1"/>
    <w:rsid w:val="14C36CD2"/>
    <w:rsid w:val="14C842E9"/>
    <w:rsid w:val="14E321E8"/>
    <w:rsid w:val="150F3DBE"/>
    <w:rsid w:val="152C7A61"/>
    <w:rsid w:val="153732D2"/>
    <w:rsid w:val="1552177C"/>
    <w:rsid w:val="15597B34"/>
    <w:rsid w:val="15820CF9"/>
    <w:rsid w:val="158936DC"/>
    <w:rsid w:val="158A77F0"/>
    <w:rsid w:val="15972DA8"/>
    <w:rsid w:val="159A04EB"/>
    <w:rsid w:val="159A73E0"/>
    <w:rsid w:val="15A13C38"/>
    <w:rsid w:val="15A32BF6"/>
    <w:rsid w:val="15E14898"/>
    <w:rsid w:val="15F03903"/>
    <w:rsid w:val="16047038"/>
    <w:rsid w:val="1606331B"/>
    <w:rsid w:val="161C7EB0"/>
    <w:rsid w:val="161E3E86"/>
    <w:rsid w:val="162E65C0"/>
    <w:rsid w:val="163C7622"/>
    <w:rsid w:val="163D1C9C"/>
    <w:rsid w:val="16527416"/>
    <w:rsid w:val="165912E7"/>
    <w:rsid w:val="168603B4"/>
    <w:rsid w:val="16B60189"/>
    <w:rsid w:val="16BF171B"/>
    <w:rsid w:val="16C115CB"/>
    <w:rsid w:val="16CF5E02"/>
    <w:rsid w:val="16E52D9F"/>
    <w:rsid w:val="16E6367E"/>
    <w:rsid w:val="16F346AE"/>
    <w:rsid w:val="16FF2141"/>
    <w:rsid w:val="1706559C"/>
    <w:rsid w:val="17111053"/>
    <w:rsid w:val="171A2056"/>
    <w:rsid w:val="171E6442"/>
    <w:rsid w:val="176C0D57"/>
    <w:rsid w:val="177E4989"/>
    <w:rsid w:val="1783099B"/>
    <w:rsid w:val="17982698"/>
    <w:rsid w:val="17A1065F"/>
    <w:rsid w:val="17B25878"/>
    <w:rsid w:val="17B903FB"/>
    <w:rsid w:val="17E01765"/>
    <w:rsid w:val="17E05DED"/>
    <w:rsid w:val="182745FA"/>
    <w:rsid w:val="18351C95"/>
    <w:rsid w:val="18450EF1"/>
    <w:rsid w:val="184B0638"/>
    <w:rsid w:val="184D312F"/>
    <w:rsid w:val="185B5474"/>
    <w:rsid w:val="1861279C"/>
    <w:rsid w:val="1898607A"/>
    <w:rsid w:val="18A24E51"/>
    <w:rsid w:val="18CF0341"/>
    <w:rsid w:val="18ED431E"/>
    <w:rsid w:val="18EF453A"/>
    <w:rsid w:val="18FF4051"/>
    <w:rsid w:val="19073E7B"/>
    <w:rsid w:val="191404B0"/>
    <w:rsid w:val="19324427"/>
    <w:rsid w:val="19341DAD"/>
    <w:rsid w:val="195655BE"/>
    <w:rsid w:val="19640F3E"/>
    <w:rsid w:val="19B35141"/>
    <w:rsid w:val="19CD084B"/>
    <w:rsid w:val="19CF0042"/>
    <w:rsid w:val="19DF16C9"/>
    <w:rsid w:val="1A010EDF"/>
    <w:rsid w:val="1A211F85"/>
    <w:rsid w:val="1A3F504D"/>
    <w:rsid w:val="1A6920CA"/>
    <w:rsid w:val="1A731DFA"/>
    <w:rsid w:val="1AAE5D2F"/>
    <w:rsid w:val="1AB43322"/>
    <w:rsid w:val="1AD35795"/>
    <w:rsid w:val="1AD559B1"/>
    <w:rsid w:val="1AD87250"/>
    <w:rsid w:val="1ADD4B50"/>
    <w:rsid w:val="1ADD7A62"/>
    <w:rsid w:val="1AE34571"/>
    <w:rsid w:val="1B0940FF"/>
    <w:rsid w:val="1B2A0287"/>
    <w:rsid w:val="1B2D1CCB"/>
    <w:rsid w:val="1B667448"/>
    <w:rsid w:val="1B782687"/>
    <w:rsid w:val="1B8365D7"/>
    <w:rsid w:val="1BAC6712"/>
    <w:rsid w:val="1BB84D32"/>
    <w:rsid w:val="1BEE10DD"/>
    <w:rsid w:val="1BFD51C0"/>
    <w:rsid w:val="1C2756DA"/>
    <w:rsid w:val="1C3B7A96"/>
    <w:rsid w:val="1C444B9D"/>
    <w:rsid w:val="1C6B7F84"/>
    <w:rsid w:val="1C744D56"/>
    <w:rsid w:val="1C7A0F4E"/>
    <w:rsid w:val="1C7C1ACE"/>
    <w:rsid w:val="1CAD399E"/>
    <w:rsid w:val="1CBA2D9A"/>
    <w:rsid w:val="1CCA05F4"/>
    <w:rsid w:val="1CDD55E8"/>
    <w:rsid w:val="1CDD7B74"/>
    <w:rsid w:val="1CE011DA"/>
    <w:rsid w:val="1CED5B5F"/>
    <w:rsid w:val="1CF47865"/>
    <w:rsid w:val="1CF67C13"/>
    <w:rsid w:val="1CF814E3"/>
    <w:rsid w:val="1CFB155D"/>
    <w:rsid w:val="1D16347D"/>
    <w:rsid w:val="1D214EDE"/>
    <w:rsid w:val="1D2C4F38"/>
    <w:rsid w:val="1D2D5631"/>
    <w:rsid w:val="1D3B63A2"/>
    <w:rsid w:val="1D4A4B12"/>
    <w:rsid w:val="1D7C2114"/>
    <w:rsid w:val="1DB47D34"/>
    <w:rsid w:val="1DCD02E7"/>
    <w:rsid w:val="1E0202B9"/>
    <w:rsid w:val="1E162569"/>
    <w:rsid w:val="1E4B06F4"/>
    <w:rsid w:val="1E516BE8"/>
    <w:rsid w:val="1E556FEC"/>
    <w:rsid w:val="1E6B73A1"/>
    <w:rsid w:val="1E753AFD"/>
    <w:rsid w:val="1E761259"/>
    <w:rsid w:val="1E7621F6"/>
    <w:rsid w:val="1E817CA6"/>
    <w:rsid w:val="1EAA5582"/>
    <w:rsid w:val="1EBB06EB"/>
    <w:rsid w:val="1F085469"/>
    <w:rsid w:val="1F5C3FAB"/>
    <w:rsid w:val="1F60749D"/>
    <w:rsid w:val="1F6F787D"/>
    <w:rsid w:val="1F75506D"/>
    <w:rsid w:val="1F953961"/>
    <w:rsid w:val="1FA30D6D"/>
    <w:rsid w:val="1FBA5A4B"/>
    <w:rsid w:val="1FC93A32"/>
    <w:rsid w:val="1FDF0FA7"/>
    <w:rsid w:val="1FEA5A5B"/>
    <w:rsid w:val="1FF561AE"/>
    <w:rsid w:val="20141E2D"/>
    <w:rsid w:val="2035390D"/>
    <w:rsid w:val="207A1985"/>
    <w:rsid w:val="208016AD"/>
    <w:rsid w:val="20AA085E"/>
    <w:rsid w:val="20B75F78"/>
    <w:rsid w:val="20DB7E5B"/>
    <w:rsid w:val="20E56FCC"/>
    <w:rsid w:val="20EB1A8B"/>
    <w:rsid w:val="20FB77F4"/>
    <w:rsid w:val="20FD531A"/>
    <w:rsid w:val="2125070E"/>
    <w:rsid w:val="212F2EA4"/>
    <w:rsid w:val="214747E7"/>
    <w:rsid w:val="216B5207"/>
    <w:rsid w:val="21791AFB"/>
    <w:rsid w:val="21902632"/>
    <w:rsid w:val="21935C7E"/>
    <w:rsid w:val="21955D4A"/>
    <w:rsid w:val="21A64334"/>
    <w:rsid w:val="21D64D57"/>
    <w:rsid w:val="21D70261"/>
    <w:rsid w:val="22055633"/>
    <w:rsid w:val="222907BE"/>
    <w:rsid w:val="223C0FEC"/>
    <w:rsid w:val="223E0DB0"/>
    <w:rsid w:val="22602008"/>
    <w:rsid w:val="227036B8"/>
    <w:rsid w:val="22AD273C"/>
    <w:rsid w:val="22B8599C"/>
    <w:rsid w:val="22C62CF4"/>
    <w:rsid w:val="22D12F02"/>
    <w:rsid w:val="22D261D9"/>
    <w:rsid w:val="22E06DE8"/>
    <w:rsid w:val="22E54777"/>
    <w:rsid w:val="22FA4207"/>
    <w:rsid w:val="23111551"/>
    <w:rsid w:val="231150AD"/>
    <w:rsid w:val="23332CA9"/>
    <w:rsid w:val="233E6698"/>
    <w:rsid w:val="23490CEA"/>
    <w:rsid w:val="23891756"/>
    <w:rsid w:val="23A06120"/>
    <w:rsid w:val="23AC3ABD"/>
    <w:rsid w:val="23C34AC0"/>
    <w:rsid w:val="23D1648D"/>
    <w:rsid w:val="23FD64A6"/>
    <w:rsid w:val="240D3AC6"/>
    <w:rsid w:val="241848AF"/>
    <w:rsid w:val="241C1F5B"/>
    <w:rsid w:val="244016C1"/>
    <w:rsid w:val="24431BDE"/>
    <w:rsid w:val="24464273"/>
    <w:rsid w:val="245E7561"/>
    <w:rsid w:val="24612064"/>
    <w:rsid w:val="246B437F"/>
    <w:rsid w:val="24A3699F"/>
    <w:rsid w:val="24A50EE7"/>
    <w:rsid w:val="24A65CC9"/>
    <w:rsid w:val="24F121E3"/>
    <w:rsid w:val="24F1358B"/>
    <w:rsid w:val="25070D37"/>
    <w:rsid w:val="250A3135"/>
    <w:rsid w:val="25127EC9"/>
    <w:rsid w:val="251D65D7"/>
    <w:rsid w:val="252E056F"/>
    <w:rsid w:val="253C34BF"/>
    <w:rsid w:val="253D2BCF"/>
    <w:rsid w:val="255775AC"/>
    <w:rsid w:val="25583467"/>
    <w:rsid w:val="255A271C"/>
    <w:rsid w:val="255D7234"/>
    <w:rsid w:val="25736C85"/>
    <w:rsid w:val="25873916"/>
    <w:rsid w:val="258D78BF"/>
    <w:rsid w:val="25941224"/>
    <w:rsid w:val="25C805EC"/>
    <w:rsid w:val="25D728C0"/>
    <w:rsid w:val="25E8185F"/>
    <w:rsid w:val="26112B82"/>
    <w:rsid w:val="26502390"/>
    <w:rsid w:val="265577FD"/>
    <w:rsid w:val="266B0F78"/>
    <w:rsid w:val="26CA3EF0"/>
    <w:rsid w:val="26ED1595"/>
    <w:rsid w:val="26F96584"/>
    <w:rsid w:val="27003DB6"/>
    <w:rsid w:val="27224C77"/>
    <w:rsid w:val="274C129A"/>
    <w:rsid w:val="275F6280"/>
    <w:rsid w:val="27802558"/>
    <w:rsid w:val="278A3680"/>
    <w:rsid w:val="27910BBC"/>
    <w:rsid w:val="27AC65CB"/>
    <w:rsid w:val="27B52713"/>
    <w:rsid w:val="27E823ED"/>
    <w:rsid w:val="28406782"/>
    <w:rsid w:val="28447CD2"/>
    <w:rsid w:val="284B0D66"/>
    <w:rsid w:val="28687E65"/>
    <w:rsid w:val="286D408E"/>
    <w:rsid w:val="286E02B3"/>
    <w:rsid w:val="287024AA"/>
    <w:rsid w:val="28732D83"/>
    <w:rsid w:val="28814A83"/>
    <w:rsid w:val="288459EB"/>
    <w:rsid w:val="289018A6"/>
    <w:rsid w:val="28A07347"/>
    <w:rsid w:val="28AC24C6"/>
    <w:rsid w:val="28CD7B64"/>
    <w:rsid w:val="28D40CA1"/>
    <w:rsid w:val="28DA73F5"/>
    <w:rsid w:val="28EA2628"/>
    <w:rsid w:val="290F1A52"/>
    <w:rsid w:val="293B27F4"/>
    <w:rsid w:val="29437BE4"/>
    <w:rsid w:val="29617D9E"/>
    <w:rsid w:val="296437F4"/>
    <w:rsid w:val="29757E1E"/>
    <w:rsid w:val="297B3849"/>
    <w:rsid w:val="297D349C"/>
    <w:rsid w:val="298001BF"/>
    <w:rsid w:val="2987256D"/>
    <w:rsid w:val="29AE6B2F"/>
    <w:rsid w:val="29BF5862"/>
    <w:rsid w:val="29C015DB"/>
    <w:rsid w:val="29C830FC"/>
    <w:rsid w:val="29CD3AB3"/>
    <w:rsid w:val="29E4351B"/>
    <w:rsid w:val="29F653A3"/>
    <w:rsid w:val="2A230EB9"/>
    <w:rsid w:val="2A30050E"/>
    <w:rsid w:val="2A40591F"/>
    <w:rsid w:val="2A4276AF"/>
    <w:rsid w:val="2A720B27"/>
    <w:rsid w:val="2A947DE8"/>
    <w:rsid w:val="2A9E4307"/>
    <w:rsid w:val="2AA50EFC"/>
    <w:rsid w:val="2AB949A8"/>
    <w:rsid w:val="2AC66B4F"/>
    <w:rsid w:val="2AD36140"/>
    <w:rsid w:val="2AEA2DB3"/>
    <w:rsid w:val="2AF61B43"/>
    <w:rsid w:val="2B163BA8"/>
    <w:rsid w:val="2B360A14"/>
    <w:rsid w:val="2B4B13FF"/>
    <w:rsid w:val="2B5B6FC2"/>
    <w:rsid w:val="2B5E4C51"/>
    <w:rsid w:val="2B655D64"/>
    <w:rsid w:val="2B726789"/>
    <w:rsid w:val="2B9454DA"/>
    <w:rsid w:val="2BA74214"/>
    <w:rsid w:val="2BBD2276"/>
    <w:rsid w:val="2BE041B6"/>
    <w:rsid w:val="2BF78E78"/>
    <w:rsid w:val="2BFE33E2"/>
    <w:rsid w:val="2C0F1D61"/>
    <w:rsid w:val="2C4955AF"/>
    <w:rsid w:val="2C5F115D"/>
    <w:rsid w:val="2C774E6F"/>
    <w:rsid w:val="2C892158"/>
    <w:rsid w:val="2C934D84"/>
    <w:rsid w:val="2CBA1E1E"/>
    <w:rsid w:val="2CFC2BFE"/>
    <w:rsid w:val="2D177764"/>
    <w:rsid w:val="2D4F50B7"/>
    <w:rsid w:val="2D686211"/>
    <w:rsid w:val="2D723768"/>
    <w:rsid w:val="2D89631C"/>
    <w:rsid w:val="2DA99E95"/>
    <w:rsid w:val="2DDB1DA3"/>
    <w:rsid w:val="2DF46565"/>
    <w:rsid w:val="2E283524"/>
    <w:rsid w:val="2E2F6C9B"/>
    <w:rsid w:val="2E5073D1"/>
    <w:rsid w:val="2E861045"/>
    <w:rsid w:val="2EA119DB"/>
    <w:rsid w:val="2EA15F9F"/>
    <w:rsid w:val="2EBD59CF"/>
    <w:rsid w:val="2ECE6337"/>
    <w:rsid w:val="2EE25C78"/>
    <w:rsid w:val="2EFF2BA5"/>
    <w:rsid w:val="2F071B18"/>
    <w:rsid w:val="2F08056B"/>
    <w:rsid w:val="2F191EB9"/>
    <w:rsid w:val="2F1E74CF"/>
    <w:rsid w:val="2F2131FE"/>
    <w:rsid w:val="2F4800A8"/>
    <w:rsid w:val="2F5A49A3"/>
    <w:rsid w:val="2F5C3712"/>
    <w:rsid w:val="2F646705"/>
    <w:rsid w:val="2F7566A8"/>
    <w:rsid w:val="2F7B68B2"/>
    <w:rsid w:val="2F9EC0BB"/>
    <w:rsid w:val="2FAF1ED5"/>
    <w:rsid w:val="2FB21233"/>
    <w:rsid w:val="2FBB4D1E"/>
    <w:rsid w:val="2FDECC3F"/>
    <w:rsid w:val="2FE222AB"/>
    <w:rsid w:val="2FF94011"/>
    <w:rsid w:val="2FFF7D5B"/>
    <w:rsid w:val="300B73F6"/>
    <w:rsid w:val="301164E2"/>
    <w:rsid w:val="302A0383"/>
    <w:rsid w:val="303348B4"/>
    <w:rsid w:val="30463CC9"/>
    <w:rsid w:val="305B2479"/>
    <w:rsid w:val="3073273B"/>
    <w:rsid w:val="307523C2"/>
    <w:rsid w:val="30A942FF"/>
    <w:rsid w:val="30AB47A7"/>
    <w:rsid w:val="30B22105"/>
    <w:rsid w:val="30FB5744"/>
    <w:rsid w:val="30FD40AA"/>
    <w:rsid w:val="310A0554"/>
    <w:rsid w:val="311204BA"/>
    <w:rsid w:val="312318B9"/>
    <w:rsid w:val="31267AAE"/>
    <w:rsid w:val="31444881"/>
    <w:rsid w:val="31456C4A"/>
    <w:rsid w:val="31457DBA"/>
    <w:rsid w:val="314D028A"/>
    <w:rsid w:val="315D5FC4"/>
    <w:rsid w:val="31694B64"/>
    <w:rsid w:val="317B29B7"/>
    <w:rsid w:val="31844D10"/>
    <w:rsid w:val="31894038"/>
    <w:rsid w:val="31BC3A23"/>
    <w:rsid w:val="31E676C8"/>
    <w:rsid w:val="31EC5663"/>
    <w:rsid w:val="31F91B2E"/>
    <w:rsid w:val="3202189B"/>
    <w:rsid w:val="32057B90"/>
    <w:rsid w:val="320A66A5"/>
    <w:rsid w:val="322044B5"/>
    <w:rsid w:val="32226328"/>
    <w:rsid w:val="32292413"/>
    <w:rsid w:val="322F554F"/>
    <w:rsid w:val="32805DAB"/>
    <w:rsid w:val="32BA306B"/>
    <w:rsid w:val="32F53BD6"/>
    <w:rsid w:val="334C1F0A"/>
    <w:rsid w:val="3359633B"/>
    <w:rsid w:val="33B915C6"/>
    <w:rsid w:val="33BE6B8B"/>
    <w:rsid w:val="33C613DE"/>
    <w:rsid w:val="33E32A95"/>
    <w:rsid w:val="340F388A"/>
    <w:rsid w:val="341D5FA7"/>
    <w:rsid w:val="34237336"/>
    <w:rsid w:val="34266DEB"/>
    <w:rsid w:val="34282F5E"/>
    <w:rsid w:val="342F47C8"/>
    <w:rsid w:val="34420C73"/>
    <w:rsid w:val="34A46A8E"/>
    <w:rsid w:val="34AC627E"/>
    <w:rsid w:val="34AE6BFF"/>
    <w:rsid w:val="34B57032"/>
    <w:rsid w:val="34DE113B"/>
    <w:rsid w:val="34DF47E0"/>
    <w:rsid w:val="34E90A1C"/>
    <w:rsid w:val="34E95E89"/>
    <w:rsid w:val="35022867"/>
    <w:rsid w:val="352805DA"/>
    <w:rsid w:val="353F8299"/>
    <w:rsid w:val="354B444E"/>
    <w:rsid w:val="355530AA"/>
    <w:rsid w:val="355D42FC"/>
    <w:rsid w:val="355E7835"/>
    <w:rsid w:val="357D4824"/>
    <w:rsid w:val="35AD17D1"/>
    <w:rsid w:val="35B23775"/>
    <w:rsid w:val="35C27A69"/>
    <w:rsid w:val="35DF056E"/>
    <w:rsid w:val="35F679F4"/>
    <w:rsid w:val="35F971A6"/>
    <w:rsid w:val="35FC1BEC"/>
    <w:rsid w:val="360016DD"/>
    <w:rsid w:val="361000EE"/>
    <w:rsid w:val="3623361D"/>
    <w:rsid w:val="36323721"/>
    <w:rsid w:val="363D4AD7"/>
    <w:rsid w:val="364631D7"/>
    <w:rsid w:val="36467F52"/>
    <w:rsid w:val="366F23BE"/>
    <w:rsid w:val="36730100"/>
    <w:rsid w:val="36890EF7"/>
    <w:rsid w:val="368928C2"/>
    <w:rsid w:val="368B0408"/>
    <w:rsid w:val="36A327D7"/>
    <w:rsid w:val="36A32FC3"/>
    <w:rsid w:val="36BD312A"/>
    <w:rsid w:val="36C86BF9"/>
    <w:rsid w:val="36DB257F"/>
    <w:rsid w:val="36E0506A"/>
    <w:rsid w:val="36EF0C5C"/>
    <w:rsid w:val="36FA3F13"/>
    <w:rsid w:val="370451FC"/>
    <w:rsid w:val="37206361"/>
    <w:rsid w:val="374D1701"/>
    <w:rsid w:val="3768578B"/>
    <w:rsid w:val="37756721"/>
    <w:rsid w:val="377C1015"/>
    <w:rsid w:val="37850378"/>
    <w:rsid w:val="37C4498C"/>
    <w:rsid w:val="37C92A4B"/>
    <w:rsid w:val="37D51F88"/>
    <w:rsid w:val="37DF3447"/>
    <w:rsid w:val="37DF3574"/>
    <w:rsid w:val="38065969"/>
    <w:rsid w:val="380C3408"/>
    <w:rsid w:val="380E11B5"/>
    <w:rsid w:val="381A520E"/>
    <w:rsid w:val="38224438"/>
    <w:rsid w:val="38294D3D"/>
    <w:rsid w:val="38341B11"/>
    <w:rsid w:val="383F69AC"/>
    <w:rsid w:val="385578DD"/>
    <w:rsid w:val="385F405D"/>
    <w:rsid w:val="386263F4"/>
    <w:rsid w:val="3872263A"/>
    <w:rsid w:val="389E4A58"/>
    <w:rsid w:val="38A17CEA"/>
    <w:rsid w:val="38CA6DC7"/>
    <w:rsid w:val="38ED5C8D"/>
    <w:rsid w:val="38F00B77"/>
    <w:rsid w:val="38F35A0A"/>
    <w:rsid w:val="3928377C"/>
    <w:rsid w:val="394713D0"/>
    <w:rsid w:val="394F2215"/>
    <w:rsid w:val="395B25A6"/>
    <w:rsid w:val="39737A5F"/>
    <w:rsid w:val="397615D9"/>
    <w:rsid w:val="397C4DA0"/>
    <w:rsid w:val="39A34800"/>
    <w:rsid w:val="39B05A3B"/>
    <w:rsid w:val="39B57C6A"/>
    <w:rsid w:val="39DF350D"/>
    <w:rsid w:val="39E81284"/>
    <w:rsid w:val="39F1D5E5"/>
    <w:rsid w:val="39FF7EFD"/>
    <w:rsid w:val="3A025137"/>
    <w:rsid w:val="3A0647D7"/>
    <w:rsid w:val="3A0D3672"/>
    <w:rsid w:val="3A1A16ED"/>
    <w:rsid w:val="3A40676C"/>
    <w:rsid w:val="3A415021"/>
    <w:rsid w:val="3A940645"/>
    <w:rsid w:val="3AA77E3B"/>
    <w:rsid w:val="3ABC5E6C"/>
    <w:rsid w:val="3AD21D51"/>
    <w:rsid w:val="3AD87A67"/>
    <w:rsid w:val="3AF258A5"/>
    <w:rsid w:val="3AFE01B5"/>
    <w:rsid w:val="3B0672D5"/>
    <w:rsid w:val="3B0E1CF0"/>
    <w:rsid w:val="3B1D0665"/>
    <w:rsid w:val="3B1F29B6"/>
    <w:rsid w:val="3B362919"/>
    <w:rsid w:val="3B365BA1"/>
    <w:rsid w:val="3B443718"/>
    <w:rsid w:val="3BA71F2B"/>
    <w:rsid w:val="3BAA5C47"/>
    <w:rsid w:val="3BBFCED6"/>
    <w:rsid w:val="3BCB62E9"/>
    <w:rsid w:val="3BF3242B"/>
    <w:rsid w:val="3C186CE7"/>
    <w:rsid w:val="3C1D40B9"/>
    <w:rsid w:val="3C5938F5"/>
    <w:rsid w:val="3C5C5E44"/>
    <w:rsid w:val="3C633344"/>
    <w:rsid w:val="3C7E335B"/>
    <w:rsid w:val="3CA54958"/>
    <w:rsid w:val="3CAA2F5D"/>
    <w:rsid w:val="3CEE20EC"/>
    <w:rsid w:val="3D060D95"/>
    <w:rsid w:val="3D085E9A"/>
    <w:rsid w:val="3D123D84"/>
    <w:rsid w:val="3D246484"/>
    <w:rsid w:val="3D406863"/>
    <w:rsid w:val="3D604F23"/>
    <w:rsid w:val="3D67361F"/>
    <w:rsid w:val="3D6A38DF"/>
    <w:rsid w:val="3D8F10A9"/>
    <w:rsid w:val="3D931088"/>
    <w:rsid w:val="3DB03BF6"/>
    <w:rsid w:val="3DB348B4"/>
    <w:rsid w:val="3DB66B25"/>
    <w:rsid w:val="3DBA6D6D"/>
    <w:rsid w:val="3DF94416"/>
    <w:rsid w:val="3E0151A6"/>
    <w:rsid w:val="3E375EB7"/>
    <w:rsid w:val="3E5F540E"/>
    <w:rsid w:val="3E611186"/>
    <w:rsid w:val="3E705191"/>
    <w:rsid w:val="3E9B4320"/>
    <w:rsid w:val="3EBA2645"/>
    <w:rsid w:val="3EBD709B"/>
    <w:rsid w:val="3EF83BC6"/>
    <w:rsid w:val="3F1E7077"/>
    <w:rsid w:val="3F5B255F"/>
    <w:rsid w:val="3F685210"/>
    <w:rsid w:val="3F6F1E30"/>
    <w:rsid w:val="3F8213B4"/>
    <w:rsid w:val="3F8C2233"/>
    <w:rsid w:val="3F9609BC"/>
    <w:rsid w:val="3FB5D55E"/>
    <w:rsid w:val="3FB72902"/>
    <w:rsid w:val="3FD2B862"/>
    <w:rsid w:val="3FDE6FDF"/>
    <w:rsid w:val="3FE727C0"/>
    <w:rsid w:val="3FED3524"/>
    <w:rsid w:val="4022117C"/>
    <w:rsid w:val="40295CD4"/>
    <w:rsid w:val="403158B9"/>
    <w:rsid w:val="40393F5C"/>
    <w:rsid w:val="404C5720"/>
    <w:rsid w:val="408847A8"/>
    <w:rsid w:val="40A75453"/>
    <w:rsid w:val="40A92971"/>
    <w:rsid w:val="40AC2859"/>
    <w:rsid w:val="40DC5A18"/>
    <w:rsid w:val="40DD7991"/>
    <w:rsid w:val="41202C33"/>
    <w:rsid w:val="41337EAB"/>
    <w:rsid w:val="41410D52"/>
    <w:rsid w:val="415305A0"/>
    <w:rsid w:val="4183060E"/>
    <w:rsid w:val="41F4275B"/>
    <w:rsid w:val="42083B1B"/>
    <w:rsid w:val="421D1A40"/>
    <w:rsid w:val="42383FAC"/>
    <w:rsid w:val="423B584A"/>
    <w:rsid w:val="424F13FD"/>
    <w:rsid w:val="425F2F04"/>
    <w:rsid w:val="427930C0"/>
    <w:rsid w:val="428A24E6"/>
    <w:rsid w:val="42927B60"/>
    <w:rsid w:val="42A925FC"/>
    <w:rsid w:val="42BC0B52"/>
    <w:rsid w:val="42E6560B"/>
    <w:rsid w:val="4352109E"/>
    <w:rsid w:val="43615285"/>
    <w:rsid w:val="437D25BE"/>
    <w:rsid w:val="43801C34"/>
    <w:rsid w:val="43B50E83"/>
    <w:rsid w:val="43D16466"/>
    <w:rsid w:val="44054D1E"/>
    <w:rsid w:val="440A3726"/>
    <w:rsid w:val="44283229"/>
    <w:rsid w:val="443F5AC6"/>
    <w:rsid w:val="4458407C"/>
    <w:rsid w:val="4458445E"/>
    <w:rsid w:val="445E2A97"/>
    <w:rsid w:val="4469669F"/>
    <w:rsid w:val="4482063F"/>
    <w:rsid w:val="44991247"/>
    <w:rsid w:val="44A27BED"/>
    <w:rsid w:val="44C77AAC"/>
    <w:rsid w:val="44FC5E5F"/>
    <w:rsid w:val="44FD403B"/>
    <w:rsid w:val="452D3DF1"/>
    <w:rsid w:val="456C22D6"/>
    <w:rsid w:val="459D251C"/>
    <w:rsid w:val="45FB77CB"/>
    <w:rsid w:val="460320FD"/>
    <w:rsid w:val="4607616F"/>
    <w:rsid w:val="4687710A"/>
    <w:rsid w:val="46BA58D8"/>
    <w:rsid w:val="46BD2B0D"/>
    <w:rsid w:val="46E22723"/>
    <w:rsid w:val="47333CAB"/>
    <w:rsid w:val="4735776D"/>
    <w:rsid w:val="4744740B"/>
    <w:rsid w:val="475573AE"/>
    <w:rsid w:val="476F0470"/>
    <w:rsid w:val="478101A3"/>
    <w:rsid w:val="4791507D"/>
    <w:rsid w:val="47B656EC"/>
    <w:rsid w:val="47C3256A"/>
    <w:rsid w:val="47D13163"/>
    <w:rsid w:val="47E56984"/>
    <w:rsid w:val="47FA4533"/>
    <w:rsid w:val="4802047F"/>
    <w:rsid w:val="48205C0E"/>
    <w:rsid w:val="4871646A"/>
    <w:rsid w:val="48B03310"/>
    <w:rsid w:val="48BC2937"/>
    <w:rsid w:val="48BD6538"/>
    <w:rsid w:val="48C76BF4"/>
    <w:rsid w:val="48E9432B"/>
    <w:rsid w:val="48EC035B"/>
    <w:rsid w:val="490715C7"/>
    <w:rsid w:val="490F6103"/>
    <w:rsid w:val="49117305"/>
    <w:rsid w:val="49172B6D"/>
    <w:rsid w:val="491A440C"/>
    <w:rsid w:val="492E0DFE"/>
    <w:rsid w:val="4931445C"/>
    <w:rsid w:val="493354CD"/>
    <w:rsid w:val="49514A8C"/>
    <w:rsid w:val="49783F01"/>
    <w:rsid w:val="49900B72"/>
    <w:rsid w:val="49935F6C"/>
    <w:rsid w:val="49A11F60"/>
    <w:rsid w:val="49A44966"/>
    <w:rsid w:val="49B47DCC"/>
    <w:rsid w:val="49E32828"/>
    <w:rsid w:val="4A010F2E"/>
    <w:rsid w:val="4A0C5AEA"/>
    <w:rsid w:val="4A0D5D1E"/>
    <w:rsid w:val="4A1A5044"/>
    <w:rsid w:val="4A224AAB"/>
    <w:rsid w:val="4A3E05CE"/>
    <w:rsid w:val="4A977611"/>
    <w:rsid w:val="4A9D58C7"/>
    <w:rsid w:val="4AB63142"/>
    <w:rsid w:val="4AC578F8"/>
    <w:rsid w:val="4ACF1226"/>
    <w:rsid w:val="4B032D3D"/>
    <w:rsid w:val="4B3215D1"/>
    <w:rsid w:val="4B3E43A3"/>
    <w:rsid w:val="4B526C91"/>
    <w:rsid w:val="4B602AA0"/>
    <w:rsid w:val="4B641F01"/>
    <w:rsid w:val="4B8E3001"/>
    <w:rsid w:val="4BAD5A0B"/>
    <w:rsid w:val="4BBB3648"/>
    <w:rsid w:val="4BC8467F"/>
    <w:rsid w:val="4BD2030B"/>
    <w:rsid w:val="4BEF3985"/>
    <w:rsid w:val="4BF45065"/>
    <w:rsid w:val="4C0575F5"/>
    <w:rsid w:val="4C0D2006"/>
    <w:rsid w:val="4C124497"/>
    <w:rsid w:val="4C3E496D"/>
    <w:rsid w:val="4C5639AD"/>
    <w:rsid w:val="4C5E40F0"/>
    <w:rsid w:val="4C7F696C"/>
    <w:rsid w:val="4C8F213E"/>
    <w:rsid w:val="4C9A7F37"/>
    <w:rsid w:val="4C9B323D"/>
    <w:rsid w:val="4CB81013"/>
    <w:rsid w:val="4CC90623"/>
    <w:rsid w:val="4CCE2A6C"/>
    <w:rsid w:val="4CCF375F"/>
    <w:rsid w:val="4CD456D3"/>
    <w:rsid w:val="4CE24009"/>
    <w:rsid w:val="4CE92A73"/>
    <w:rsid w:val="4CFB049C"/>
    <w:rsid w:val="4CFE53E3"/>
    <w:rsid w:val="4D06388C"/>
    <w:rsid w:val="4D267823"/>
    <w:rsid w:val="4D2717ED"/>
    <w:rsid w:val="4D2D2367"/>
    <w:rsid w:val="4D2F0AFD"/>
    <w:rsid w:val="4D7779B3"/>
    <w:rsid w:val="4D86662D"/>
    <w:rsid w:val="4D9D6E87"/>
    <w:rsid w:val="4DB90697"/>
    <w:rsid w:val="4DDA685F"/>
    <w:rsid w:val="4DFB264D"/>
    <w:rsid w:val="4DFD4457"/>
    <w:rsid w:val="4E1F5022"/>
    <w:rsid w:val="4E376061"/>
    <w:rsid w:val="4E3A4FCB"/>
    <w:rsid w:val="4E6B5986"/>
    <w:rsid w:val="4E742877"/>
    <w:rsid w:val="4E8924B7"/>
    <w:rsid w:val="4EAD187E"/>
    <w:rsid w:val="4EC46C7C"/>
    <w:rsid w:val="4ED82D9F"/>
    <w:rsid w:val="4EE206E3"/>
    <w:rsid w:val="4F0A4599"/>
    <w:rsid w:val="4F177B13"/>
    <w:rsid w:val="4F1B4F8F"/>
    <w:rsid w:val="4F223B59"/>
    <w:rsid w:val="4F310701"/>
    <w:rsid w:val="4F3E6BCF"/>
    <w:rsid w:val="4F4C4C36"/>
    <w:rsid w:val="4F571DEA"/>
    <w:rsid w:val="4F581B68"/>
    <w:rsid w:val="4F9662AF"/>
    <w:rsid w:val="4F9A181F"/>
    <w:rsid w:val="4F9C763A"/>
    <w:rsid w:val="4FAB04B3"/>
    <w:rsid w:val="4FAE4E7C"/>
    <w:rsid w:val="4FAF1AF1"/>
    <w:rsid w:val="4FD17AA4"/>
    <w:rsid w:val="4FE17411"/>
    <w:rsid w:val="4FE63648"/>
    <w:rsid w:val="4FF330AB"/>
    <w:rsid w:val="4FF954B0"/>
    <w:rsid w:val="501036E9"/>
    <w:rsid w:val="5023004A"/>
    <w:rsid w:val="5033552D"/>
    <w:rsid w:val="506A3ECB"/>
    <w:rsid w:val="508553E7"/>
    <w:rsid w:val="50CE3205"/>
    <w:rsid w:val="50D8093D"/>
    <w:rsid w:val="50E96E25"/>
    <w:rsid w:val="50F1639A"/>
    <w:rsid w:val="50F419E6"/>
    <w:rsid w:val="5105515C"/>
    <w:rsid w:val="512A47D7"/>
    <w:rsid w:val="51383FC9"/>
    <w:rsid w:val="51461CAA"/>
    <w:rsid w:val="514C7451"/>
    <w:rsid w:val="515D7E0E"/>
    <w:rsid w:val="5192701A"/>
    <w:rsid w:val="51935563"/>
    <w:rsid w:val="51CB2747"/>
    <w:rsid w:val="51DD7ACF"/>
    <w:rsid w:val="51EF2D87"/>
    <w:rsid w:val="5208386D"/>
    <w:rsid w:val="52197F39"/>
    <w:rsid w:val="52420CD1"/>
    <w:rsid w:val="524D5852"/>
    <w:rsid w:val="5254693E"/>
    <w:rsid w:val="52547359"/>
    <w:rsid w:val="52707792"/>
    <w:rsid w:val="528B5F99"/>
    <w:rsid w:val="5293387E"/>
    <w:rsid w:val="52A075B6"/>
    <w:rsid w:val="52A65CF9"/>
    <w:rsid w:val="52AD4EC7"/>
    <w:rsid w:val="52B72CCB"/>
    <w:rsid w:val="52D10231"/>
    <w:rsid w:val="52D360EB"/>
    <w:rsid w:val="52D4387D"/>
    <w:rsid w:val="52F368EA"/>
    <w:rsid w:val="52FF78E7"/>
    <w:rsid w:val="5314221C"/>
    <w:rsid w:val="5339717F"/>
    <w:rsid w:val="535A55FC"/>
    <w:rsid w:val="535E75EB"/>
    <w:rsid w:val="53624CAE"/>
    <w:rsid w:val="53B813F1"/>
    <w:rsid w:val="53CE7CE3"/>
    <w:rsid w:val="53D11CEF"/>
    <w:rsid w:val="53D363EC"/>
    <w:rsid w:val="54196C13"/>
    <w:rsid w:val="544278CB"/>
    <w:rsid w:val="54484523"/>
    <w:rsid w:val="54615848"/>
    <w:rsid w:val="546926EB"/>
    <w:rsid w:val="548C0D1A"/>
    <w:rsid w:val="549A6DE7"/>
    <w:rsid w:val="54AB74E4"/>
    <w:rsid w:val="54B81A07"/>
    <w:rsid w:val="54F06565"/>
    <w:rsid w:val="553C57C6"/>
    <w:rsid w:val="55461CD0"/>
    <w:rsid w:val="554672F9"/>
    <w:rsid w:val="55562C6F"/>
    <w:rsid w:val="55674A3D"/>
    <w:rsid w:val="559A0800"/>
    <w:rsid w:val="55B16455"/>
    <w:rsid w:val="55CC2F32"/>
    <w:rsid w:val="55D122F6"/>
    <w:rsid w:val="55F9229A"/>
    <w:rsid w:val="55FC74E8"/>
    <w:rsid w:val="56052390"/>
    <w:rsid w:val="56116563"/>
    <w:rsid w:val="562C4293"/>
    <w:rsid w:val="5633598F"/>
    <w:rsid w:val="565C4AD5"/>
    <w:rsid w:val="5662174F"/>
    <w:rsid w:val="56876E58"/>
    <w:rsid w:val="568E7A01"/>
    <w:rsid w:val="56B37004"/>
    <w:rsid w:val="56D46542"/>
    <w:rsid w:val="56EE216C"/>
    <w:rsid w:val="570C0D53"/>
    <w:rsid w:val="57392849"/>
    <w:rsid w:val="57397068"/>
    <w:rsid w:val="576A47B0"/>
    <w:rsid w:val="5780017C"/>
    <w:rsid w:val="57874821"/>
    <w:rsid w:val="578E3178"/>
    <w:rsid w:val="57BD0E60"/>
    <w:rsid w:val="57C739B1"/>
    <w:rsid w:val="57D83E10"/>
    <w:rsid w:val="57E10952"/>
    <w:rsid w:val="57E502DB"/>
    <w:rsid w:val="57EE53E1"/>
    <w:rsid w:val="580659AE"/>
    <w:rsid w:val="5821489E"/>
    <w:rsid w:val="582901C7"/>
    <w:rsid w:val="58633B93"/>
    <w:rsid w:val="589477E8"/>
    <w:rsid w:val="589B4CDF"/>
    <w:rsid w:val="589C308F"/>
    <w:rsid w:val="58BA6753"/>
    <w:rsid w:val="58E4040A"/>
    <w:rsid w:val="59633BAD"/>
    <w:rsid w:val="59792F9B"/>
    <w:rsid w:val="598D6C40"/>
    <w:rsid w:val="59AA02A5"/>
    <w:rsid w:val="59B34F2B"/>
    <w:rsid w:val="59F111B9"/>
    <w:rsid w:val="59FB128F"/>
    <w:rsid w:val="5A0B7CD0"/>
    <w:rsid w:val="5A1804F3"/>
    <w:rsid w:val="5A6B2D19"/>
    <w:rsid w:val="5A6D5DFA"/>
    <w:rsid w:val="5A8E6A07"/>
    <w:rsid w:val="5A911684"/>
    <w:rsid w:val="5A914A6D"/>
    <w:rsid w:val="5AA72721"/>
    <w:rsid w:val="5AC84EEB"/>
    <w:rsid w:val="5ADF54B5"/>
    <w:rsid w:val="5AEC0B7E"/>
    <w:rsid w:val="5AF30F60"/>
    <w:rsid w:val="5B102DE8"/>
    <w:rsid w:val="5B1651C3"/>
    <w:rsid w:val="5B37709F"/>
    <w:rsid w:val="5B4A0AC7"/>
    <w:rsid w:val="5B525C87"/>
    <w:rsid w:val="5B5B0FE0"/>
    <w:rsid w:val="5B7C4AB2"/>
    <w:rsid w:val="5BA858A7"/>
    <w:rsid w:val="5BB0235D"/>
    <w:rsid w:val="5BDE39BF"/>
    <w:rsid w:val="5BE12FA3"/>
    <w:rsid w:val="5BE27AB8"/>
    <w:rsid w:val="5BE37C7D"/>
    <w:rsid w:val="5BFA7708"/>
    <w:rsid w:val="5BFEE5B3"/>
    <w:rsid w:val="5C0351D3"/>
    <w:rsid w:val="5C381550"/>
    <w:rsid w:val="5C4D6613"/>
    <w:rsid w:val="5C5E7383"/>
    <w:rsid w:val="5C701521"/>
    <w:rsid w:val="5C917C8F"/>
    <w:rsid w:val="5C936557"/>
    <w:rsid w:val="5C974299"/>
    <w:rsid w:val="5CA024D2"/>
    <w:rsid w:val="5CA74064"/>
    <w:rsid w:val="5CC96BBE"/>
    <w:rsid w:val="5CE172C2"/>
    <w:rsid w:val="5CE42E55"/>
    <w:rsid w:val="5CEE19DF"/>
    <w:rsid w:val="5CF42D8C"/>
    <w:rsid w:val="5D52369F"/>
    <w:rsid w:val="5D6F020C"/>
    <w:rsid w:val="5D8866EC"/>
    <w:rsid w:val="5D967CCA"/>
    <w:rsid w:val="5D9B2DBB"/>
    <w:rsid w:val="5DA84284"/>
    <w:rsid w:val="5DAE1741"/>
    <w:rsid w:val="5DB50C85"/>
    <w:rsid w:val="5DBD2C37"/>
    <w:rsid w:val="5DBE4423"/>
    <w:rsid w:val="5DBF512A"/>
    <w:rsid w:val="5DC32DA2"/>
    <w:rsid w:val="5DC67D61"/>
    <w:rsid w:val="5DD62B9F"/>
    <w:rsid w:val="5DE43ABE"/>
    <w:rsid w:val="5DEF22E5"/>
    <w:rsid w:val="5E3E0B9A"/>
    <w:rsid w:val="5EB821B1"/>
    <w:rsid w:val="5EBC239D"/>
    <w:rsid w:val="5EBF421E"/>
    <w:rsid w:val="5EC36FEE"/>
    <w:rsid w:val="5EC657F3"/>
    <w:rsid w:val="5EF157B7"/>
    <w:rsid w:val="5F1009BC"/>
    <w:rsid w:val="5F166FCB"/>
    <w:rsid w:val="5F3D0A46"/>
    <w:rsid w:val="5F402847"/>
    <w:rsid w:val="5F537265"/>
    <w:rsid w:val="5F546472"/>
    <w:rsid w:val="5F681F1D"/>
    <w:rsid w:val="5F6B4072"/>
    <w:rsid w:val="5F7FE9F8"/>
    <w:rsid w:val="5F945D78"/>
    <w:rsid w:val="5FCB7846"/>
    <w:rsid w:val="5FD77B3B"/>
    <w:rsid w:val="5FE73417"/>
    <w:rsid w:val="5FED539E"/>
    <w:rsid w:val="5FF05A6E"/>
    <w:rsid w:val="5FF4776B"/>
    <w:rsid w:val="60011A2A"/>
    <w:rsid w:val="60041C17"/>
    <w:rsid w:val="600A060D"/>
    <w:rsid w:val="600E5712"/>
    <w:rsid w:val="60360B52"/>
    <w:rsid w:val="60454CF5"/>
    <w:rsid w:val="604854FD"/>
    <w:rsid w:val="605B6755"/>
    <w:rsid w:val="608F64D8"/>
    <w:rsid w:val="60957B7E"/>
    <w:rsid w:val="60974DF7"/>
    <w:rsid w:val="60CF50B9"/>
    <w:rsid w:val="60D67115"/>
    <w:rsid w:val="60F8107F"/>
    <w:rsid w:val="610D0B19"/>
    <w:rsid w:val="61291238"/>
    <w:rsid w:val="61743A21"/>
    <w:rsid w:val="617F3E25"/>
    <w:rsid w:val="619D13B4"/>
    <w:rsid w:val="61C07F93"/>
    <w:rsid w:val="62195750"/>
    <w:rsid w:val="62297FF7"/>
    <w:rsid w:val="626C51A9"/>
    <w:rsid w:val="62716746"/>
    <w:rsid w:val="627E6257"/>
    <w:rsid w:val="62B13874"/>
    <w:rsid w:val="62B36544"/>
    <w:rsid w:val="62C57A58"/>
    <w:rsid w:val="62DF2126"/>
    <w:rsid w:val="62F647CF"/>
    <w:rsid w:val="63193BD8"/>
    <w:rsid w:val="632668D9"/>
    <w:rsid w:val="63343EC4"/>
    <w:rsid w:val="634931F4"/>
    <w:rsid w:val="63672753"/>
    <w:rsid w:val="6372336A"/>
    <w:rsid w:val="638E0D2F"/>
    <w:rsid w:val="639130C5"/>
    <w:rsid w:val="63AD0583"/>
    <w:rsid w:val="63BD7E55"/>
    <w:rsid w:val="63DF58D3"/>
    <w:rsid w:val="63E20944"/>
    <w:rsid w:val="641B55C8"/>
    <w:rsid w:val="642E206A"/>
    <w:rsid w:val="6445282D"/>
    <w:rsid w:val="644A5091"/>
    <w:rsid w:val="644C3BBB"/>
    <w:rsid w:val="645DE161"/>
    <w:rsid w:val="64632CB3"/>
    <w:rsid w:val="647A1144"/>
    <w:rsid w:val="6497295D"/>
    <w:rsid w:val="64A010A4"/>
    <w:rsid w:val="64B81251"/>
    <w:rsid w:val="64D651F4"/>
    <w:rsid w:val="64FB113D"/>
    <w:rsid w:val="65036F79"/>
    <w:rsid w:val="653B5B23"/>
    <w:rsid w:val="653F2442"/>
    <w:rsid w:val="65493C57"/>
    <w:rsid w:val="654C7D68"/>
    <w:rsid w:val="654E74BF"/>
    <w:rsid w:val="6555717A"/>
    <w:rsid w:val="657A681F"/>
    <w:rsid w:val="65A831B9"/>
    <w:rsid w:val="65B64922"/>
    <w:rsid w:val="65E149C8"/>
    <w:rsid w:val="65E62E7A"/>
    <w:rsid w:val="6622454F"/>
    <w:rsid w:val="6636573F"/>
    <w:rsid w:val="6651045E"/>
    <w:rsid w:val="667258CB"/>
    <w:rsid w:val="669453A6"/>
    <w:rsid w:val="66A852F5"/>
    <w:rsid w:val="66B843BC"/>
    <w:rsid w:val="66E714AC"/>
    <w:rsid w:val="66EC7F6C"/>
    <w:rsid w:val="66F2338B"/>
    <w:rsid w:val="67160DB9"/>
    <w:rsid w:val="67402739"/>
    <w:rsid w:val="674C6DED"/>
    <w:rsid w:val="674F31D2"/>
    <w:rsid w:val="67654126"/>
    <w:rsid w:val="67B43708"/>
    <w:rsid w:val="67BB5990"/>
    <w:rsid w:val="67FB3202"/>
    <w:rsid w:val="68186340"/>
    <w:rsid w:val="681A3036"/>
    <w:rsid w:val="68563069"/>
    <w:rsid w:val="68815E47"/>
    <w:rsid w:val="688431F8"/>
    <w:rsid w:val="68A33CE4"/>
    <w:rsid w:val="68B27D65"/>
    <w:rsid w:val="68BD2B07"/>
    <w:rsid w:val="68C83A2C"/>
    <w:rsid w:val="68D67EF7"/>
    <w:rsid w:val="68DB72BC"/>
    <w:rsid w:val="68F13272"/>
    <w:rsid w:val="690A5DF3"/>
    <w:rsid w:val="691E27F7"/>
    <w:rsid w:val="69683870"/>
    <w:rsid w:val="69A31723"/>
    <w:rsid w:val="69BE2891"/>
    <w:rsid w:val="69CB2CB3"/>
    <w:rsid w:val="69EC5DE8"/>
    <w:rsid w:val="69F452BC"/>
    <w:rsid w:val="69F85BB3"/>
    <w:rsid w:val="6A0A597F"/>
    <w:rsid w:val="6A10568B"/>
    <w:rsid w:val="6A1C5DDE"/>
    <w:rsid w:val="6A210462"/>
    <w:rsid w:val="6A241D9D"/>
    <w:rsid w:val="6A3F1ACC"/>
    <w:rsid w:val="6A3F7D1E"/>
    <w:rsid w:val="6A48217D"/>
    <w:rsid w:val="6A52123E"/>
    <w:rsid w:val="6A602252"/>
    <w:rsid w:val="6A6F58FD"/>
    <w:rsid w:val="6A986382"/>
    <w:rsid w:val="6AA620F6"/>
    <w:rsid w:val="6AAD178D"/>
    <w:rsid w:val="6AB208B2"/>
    <w:rsid w:val="6AB73874"/>
    <w:rsid w:val="6ABFC000"/>
    <w:rsid w:val="6ADB5226"/>
    <w:rsid w:val="6AFA51C9"/>
    <w:rsid w:val="6AFF300A"/>
    <w:rsid w:val="6B174C46"/>
    <w:rsid w:val="6B1B4485"/>
    <w:rsid w:val="6B453CB5"/>
    <w:rsid w:val="6B4F22EA"/>
    <w:rsid w:val="6B5E15D2"/>
    <w:rsid w:val="6B99331C"/>
    <w:rsid w:val="6B9D4848"/>
    <w:rsid w:val="6B9E4835"/>
    <w:rsid w:val="6BA14108"/>
    <w:rsid w:val="6BD338BB"/>
    <w:rsid w:val="6BE039CD"/>
    <w:rsid w:val="6C12075B"/>
    <w:rsid w:val="6C2216A6"/>
    <w:rsid w:val="6C3E2B17"/>
    <w:rsid w:val="6C4D6722"/>
    <w:rsid w:val="6C4E6750"/>
    <w:rsid w:val="6C567ACE"/>
    <w:rsid w:val="6C574B4F"/>
    <w:rsid w:val="6C6B54E9"/>
    <w:rsid w:val="6C6D6344"/>
    <w:rsid w:val="6C6F77A9"/>
    <w:rsid w:val="6C7D068A"/>
    <w:rsid w:val="6C8E29BC"/>
    <w:rsid w:val="6CA3338F"/>
    <w:rsid w:val="6CC649E7"/>
    <w:rsid w:val="6CDB1F80"/>
    <w:rsid w:val="6CEB1A97"/>
    <w:rsid w:val="6D0F4E4E"/>
    <w:rsid w:val="6D121606"/>
    <w:rsid w:val="6D27431E"/>
    <w:rsid w:val="6D34343E"/>
    <w:rsid w:val="6D593B65"/>
    <w:rsid w:val="6D814F58"/>
    <w:rsid w:val="6D9C4F05"/>
    <w:rsid w:val="6DB82CD0"/>
    <w:rsid w:val="6DB93009"/>
    <w:rsid w:val="6DC2298A"/>
    <w:rsid w:val="6DC43369"/>
    <w:rsid w:val="6DCC18C9"/>
    <w:rsid w:val="6DDA5CDD"/>
    <w:rsid w:val="6DF26FC2"/>
    <w:rsid w:val="6E1E008B"/>
    <w:rsid w:val="6E2D74A0"/>
    <w:rsid w:val="6E453429"/>
    <w:rsid w:val="6E531383"/>
    <w:rsid w:val="6E657628"/>
    <w:rsid w:val="6E661C4B"/>
    <w:rsid w:val="6E737F96"/>
    <w:rsid w:val="6E952EB1"/>
    <w:rsid w:val="6EB570F1"/>
    <w:rsid w:val="6EBC069A"/>
    <w:rsid w:val="6ECE6394"/>
    <w:rsid w:val="6EF07A49"/>
    <w:rsid w:val="6F06705D"/>
    <w:rsid w:val="6F0F7B2D"/>
    <w:rsid w:val="6F165F8F"/>
    <w:rsid w:val="6F186309"/>
    <w:rsid w:val="6F2307BC"/>
    <w:rsid w:val="6F57796F"/>
    <w:rsid w:val="6F5F71DE"/>
    <w:rsid w:val="6F761531"/>
    <w:rsid w:val="6F77163A"/>
    <w:rsid w:val="6F8B04D9"/>
    <w:rsid w:val="6F9634DA"/>
    <w:rsid w:val="6F9E56E9"/>
    <w:rsid w:val="6F9E7B00"/>
    <w:rsid w:val="6FC4095F"/>
    <w:rsid w:val="6FC84312"/>
    <w:rsid w:val="6FE50A20"/>
    <w:rsid w:val="6FF869A5"/>
    <w:rsid w:val="6FFD4727"/>
    <w:rsid w:val="70085215"/>
    <w:rsid w:val="703B1BBE"/>
    <w:rsid w:val="70553DF8"/>
    <w:rsid w:val="70654152"/>
    <w:rsid w:val="7066225F"/>
    <w:rsid w:val="70C139D4"/>
    <w:rsid w:val="70C943AC"/>
    <w:rsid w:val="70E25AC9"/>
    <w:rsid w:val="70ED2282"/>
    <w:rsid w:val="70F46DD5"/>
    <w:rsid w:val="70F63CBF"/>
    <w:rsid w:val="71094BE2"/>
    <w:rsid w:val="711D41EA"/>
    <w:rsid w:val="713B2DF3"/>
    <w:rsid w:val="717958C4"/>
    <w:rsid w:val="7190214B"/>
    <w:rsid w:val="71A14E1B"/>
    <w:rsid w:val="71A617A0"/>
    <w:rsid w:val="71BE3C1E"/>
    <w:rsid w:val="71EA0570"/>
    <w:rsid w:val="71EF23D9"/>
    <w:rsid w:val="72086C48"/>
    <w:rsid w:val="72156433"/>
    <w:rsid w:val="7217755D"/>
    <w:rsid w:val="7244017F"/>
    <w:rsid w:val="72493CD8"/>
    <w:rsid w:val="724A45D8"/>
    <w:rsid w:val="7251239D"/>
    <w:rsid w:val="72603664"/>
    <w:rsid w:val="72730181"/>
    <w:rsid w:val="728313C6"/>
    <w:rsid w:val="72842772"/>
    <w:rsid w:val="72A90609"/>
    <w:rsid w:val="72A90C93"/>
    <w:rsid w:val="72D434F7"/>
    <w:rsid w:val="72D86302"/>
    <w:rsid w:val="72F51EEA"/>
    <w:rsid w:val="73025992"/>
    <w:rsid w:val="73117D7E"/>
    <w:rsid w:val="7362231C"/>
    <w:rsid w:val="73797DFD"/>
    <w:rsid w:val="73A409FB"/>
    <w:rsid w:val="73A66718"/>
    <w:rsid w:val="73AD0F38"/>
    <w:rsid w:val="73AD384F"/>
    <w:rsid w:val="73D74C10"/>
    <w:rsid w:val="73E01C2A"/>
    <w:rsid w:val="73F36C0A"/>
    <w:rsid w:val="7400407A"/>
    <w:rsid w:val="740D49E9"/>
    <w:rsid w:val="74177616"/>
    <w:rsid w:val="74222AAC"/>
    <w:rsid w:val="74257F85"/>
    <w:rsid w:val="742A66D8"/>
    <w:rsid w:val="742F670E"/>
    <w:rsid w:val="74420FDF"/>
    <w:rsid w:val="745028BB"/>
    <w:rsid w:val="745B25CA"/>
    <w:rsid w:val="745E6FF3"/>
    <w:rsid w:val="74825555"/>
    <w:rsid w:val="74A5312C"/>
    <w:rsid w:val="74E64546"/>
    <w:rsid w:val="750648B2"/>
    <w:rsid w:val="751D3132"/>
    <w:rsid w:val="75461650"/>
    <w:rsid w:val="7567112B"/>
    <w:rsid w:val="757410A2"/>
    <w:rsid w:val="75BE243F"/>
    <w:rsid w:val="75CF1E94"/>
    <w:rsid w:val="75DA14E0"/>
    <w:rsid w:val="75DE488F"/>
    <w:rsid w:val="75FE1238"/>
    <w:rsid w:val="76432944"/>
    <w:rsid w:val="764E578E"/>
    <w:rsid w:val="765B4ACC"/>
    <w:rsid w:val="766869B8"/>
    <w:rsid w:val="766E228D"/>
    <w:rsid w:val="767D187F"/>
    <w:rsid w:val="767F3E5C"/>
    <w:rsid w:val="76B146A9"/>
    <w:rsid w:val="76B37127"/>
    <w:rsid w:val="76BF6C33"/>
    <w:rsid w:val="76D14890"/>
    <w:rsid w:val="76DA4097"/>
    <w:rsid w:val="76DA5057"/>
    <w:rsid w:val="76E873B5"/>
    <w:rsid w:val="76EC08E6"/>
    <w:rsid w:val="76F00D14"/>
    <w:rsid w:val="77021750"/>
    <w:rsid w:val="77093148"/>
    <w:rsid w:val="77153FE1"/>
    <w:rsid w:val="7715608F"/>
    <w:rsid w:val="77281627"/>
    <w:rsid w:val="77444BC6"/>
    <w:rsid w:val="77492D2D"/>
    <w:rsid w:val="77626DFA"/>
    <w:rsid w:val="776F9F79"/>
    <w:rsid w:val="777B4B3D"/>
    <w:rsid w:val="777DF4D0"/>
    <w:rsid w:val="779E4DF6"/>
    <w:rsid w:val="77A2369A"/>
    <w:rsid w:val="77B05DB7"/>
    <w:rsid w:val="77E6CEA4"/>
    <w:rsid w:val="77FD6F3F"/>
    <w:rsid w:val="782F13D2"/>
    <w:rsid w:val="783B7DD5"/>
    <w:rsid w:val="7859644F"/>
    <w:rsid w:val="78930E2C"/>
    <w:rsid w:val="78A17212"/>
    <w:rsid w:val="78C22246"/>
    <w:rsid w:val="78C65643"/>
    <w:rsid w:val="78E53565"/>
    <w:rsid w:val="78EA5098"/>
    <w:rsid w:val="78FD1E3E"/>
    <w:rsid w:val="790D22C6"/>
    <w:rsid w:val="791665C1"/>
    <w:rsid w:val="791D4BEC"/>
    <w:rsid w:val="792416E4"/>
    <w:rsid w:val="793F4780"/>
    <w:rsid w:val="795A0A38"/>
    <w:rsid w:val="79694470"/>
    <w:rsid w:val="796C6890"/>
    <w:rsid w:val="79777DEA"/>
    <w:rsid w:val="799A3C71"/>
    <w:rsid w:val="79F44E2E"/>
    <w:rsid w:val="79FE1940"/>
    <w:rsid w:val="7A087E4F"/>
    <w:rsid w:val="7A28257D"/>
    <w:rsid w:val="7A287E87"/>
    <w:rsid w:val="7A2A00A3"/>
    <w:rsid w:val="7A2F68BA"/>
    <w:rsid w:val="7A4831E2"/>
    <w:rsid w:val="7A4A24F3"/>
    <w:rsid w:val="7A583B2A"/>
    <w:rsid w:val="7A5E1AFB"/>
    <w:rsid w:val="7A715CD2"/>
    <w:rsid w:val="7A835A05"/>
    <w:rsid w:val="7A841A0F"/>
    <w:rsid w:val="7A90250C"/>
    <w:rsid w:val="7AA50F41"/>
    <w:rsid w:val="7ACA49A1"/>
    <w:rsid w:val="7ACF27CF"/>
    <w:rsid w:val="7ADD216B"/>
    <w:rsid w:val="7AE40AEA"/>
    <w:rsid w:val="7AEC35AA"/>
    <w:rsid w:val="7B14584D"/>
    <w:rsid w:val="7B3854CE"/>
    <w:rsid w:val="7B3F1B97"/>
    <w:rsid w:val="7B512E8E"/>
    <w:rsid w:val="7B5A49B8"/>
    <w:rsid w:val="7B5EE62D"/>
    <w:rsid w:val="7B705F89"/>
    <w:rsid w:val="7B733B66"/>
    <w:rsid w:val="7B8B2DC3"/>
    <w:rsid w:val="7B8F3F36"/>
    <w:rsid w:val="7B98103C"/>
    <w:rsid w:val="7B9F350A"/>
    <w:rsid w:val="7BCD518A"/>
    <w:rsid w:val="7BD008BB"/>
    <w:rsid w:val="7BFE1D08"/>
    <w:rsid w:val="7C093CE8"/>
    <w:rsid w:val="7C1916B3"/>
    <w:rsid w:val="7C2A3E4B"/>
    <w:rsid w:val="7C69271F"/>
    <w:rsid w:val="7C6F7502"/>
    <w:rsid w:val="7C7F6AF7"/>
    <w:rsid w:val="7C9931A2"/>
    <w:rsid w:val="7C9B399C"/>
    <w:rsid w:val="7CB127EC"/>
    <w:rsid w:val="7CCE62CF"/>
    <w:rsid w:val="7CD815B2"/>
    <w:rsid w:val="7CDFC589"/>
    <w:rsid w:val="7CE7709B"/>
    <w:rsid w:val="7CEB2659"/>
    <w:rsid w:val="7CFA2D3B"/>
    <w:rsid w:val="7CFF445A"/>
    <w:rsid w:val="7D052D9F"/>
    <w:rsid w:val="7D1172F8"/>
    <w:rsid w:val="7D192609"/>
    <w:rsid w:val="7D3A787F"/>
    <w:rsid w:val="7D4E6C3A"/>
    <w:rsid w:val="7D5D42EC"/>
    <w:rsid w:val="7D630A43"/>
    <w:rsid w:val="7D6457E7"/>
    <w:rsid w:val="7D6A07B6"/>
    <w:rsid w:val="7D6B2EAC"/>
    <w:rsid w:val="7D830497"/>
    <w:rsid w:val="7D8526D6"/>
    <w:rsid w:val="7D990506"/>
    <w:rsid w:val="7DB30717"/>
    <w:rsid w:val="7DCC6151"/>
    <w:rsid w:val="7DE70059"/>
    <w:rsid w:val="7DFF500F"/>
    <w:rsid w:val="7E07044D"/>
    <w:rsid w:val="7E204A88"/>
    <w:rsid w:val="7E24557B"/>
    <w:rsid w:val="7E4C5BA2"/>
    <w:rsid w:val="7E635932"/>
    <w:rsid w:val="7E81225C"/>
    <w:rsid w:val="7E985C8F"/>
    <w:rsid w:val="7E9957F7"/>
    <w:rsid w:val="7EBE7D50"/>
    <w:rsid w:val="7EBF18D4"/>
    <w:rsid w:val="7EC56EDB"/>
    <w:rsid w:val="7ED3126B"/>
    <w:rsid w:val="7EEFAA76"/>
    <w:rsid w:val="7EF36664"/>
    <w:rsid w:val="7EF67586"/>
    <w:rsid w:val="7EFF92AA"/>
    <w:rsid w:val="7F1F281A"/>
    <w:rsid w:val="7F6C5743"/>
    <w:rsid w:val="7F6F6C46"/>
    <w:rsid w:val="7F8B93FA"/>
    <w:rsid w:val="7F9BC157"/>
    <w:rsid w:val="7F9FA55F"/>
    <w:rsid w:val="7FDF6EB4"/>
    <w:rsid w:val="7FED0F0A"/>
    <w:rsid w:val="7FEF45AB"/>
    <w:rsid w:val="7FFA1ED0"/>
    <w:rsid w:val="7FFC987F"/>
    <w:rsid w:val="7FFFB934"/>
    <w:rsid w:val="97621A6C"/>
    <w:rsid w:val="97B7F21C"/>
    <w:rsid w:val="98772145"/>
    <w:rsid w:val="9FBE853F"/>
    <w:rsid w:val="9FD530F5"/>
    <w:rsid w:val="A6BE6343"/>
    <w:rsid w:val="A777DD41"/>
    <w:rsid w:val="A7F7C793"/>
    <w:rsid w:val="A7F7FC82"/>
    <w:rsid w:val="AB6B04F1"/>
    <w:rsid w:val="ADFFA593"/>
    <w:rsid w:val="AFFEA9E1"/>
    <w:rsid w:val="B5FAFECA"/>
    <w:rsid w:val="B5FFA353"/>
    <w:rsid w:val="BBF3CEC8"/>
    <w:rsid w:val="BBFB999F"/>
    <w:rsid w:val="BC73797C"/>
    <w:rsid w:val="BCFFD501"/>
    <w:rsid w:val="BDFB66FB"/>
    <w:rsid w:val="BEB34DEC"/>
    <w:rsid w:val="BEB8580D"/>
    <w:rsid w:val="BFBF3F39"/>
    <w:rsid w:val="BFBF9D4B"/>
    <w:rsid w:val="CBFF51AC"/>
    <w:rsid w:val="CF775921"/>
    <w:rsid w:val="CFFF2BEC"/>
    <w:rsid w:val="D6FFC089"/>
    <w:rsid w:val="DE4A2557"/>
    <w:rsid w:val="DEDBD6A7"/>
    <w:rsid w:val="EBEC5ADC"/>
    <w:rsid w:val="EF77349E"/>
    <w:rsid w:val="F25ED05F"/>
    <w:rsid w:val="F26F145A"/>
    <w:rsid w:val="F3DF05B9"/>
    <w:rsid w:val="F56698C5"/>
    <w:rsid w:val="F6FD38D2"/>
    <w:rsid w:val="F7BF9D15"/>
    <w:rsid w:val="F7CD9300"/>
    <w:rsid w:val="F7FF58B8"/>
    <w:rsid w:val="FABB0629"/>
    <w:rsid w:val="FAF7B4FA"/>
    <w:rsid w:val="FBBF92D0"/>
    <w:rsid w:val="FD6F286F"/>
    <w:rsid w:val="FDDE2403"/>
    <w:rsid w:val="FEF9CD72"/>
    <w:rsid w:val="FF2E33D5"/>
    <w:rsid w:val="FF36FE87"/>
    <w:rsid w:val="FF3FAC60"/>
    <w:rsid w:val="FF7CC29A"/>
    <w:rsid w:val="FF7F6FB4"/>
    <w:rsid w:val="FFAEC03E"/>
    <w:rsid w:val="FFB6BB4F"/>
    <w:rsid w:val="FFBD076A"/>
    <w:rsid w:val="FFBF3C74"/>
    <w:rsid w:val="FFBFBB2F"/>
    <w:rsid w:val="FFEF9119"/>
    <w:rsid w:val="FFFEA338"/>
    <w:rsid w:val="FFFFB3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7"/>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21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51"/>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9"/>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9"/>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1"/>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90"/>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70"/>
    <w:unhideWhenUsed/>
    <w:qFormat/>
    <w:uiPriority w:val="99"/>
    <w:pPr>
      <w:jc w:val="left"/>
    </w:pPr>
    <w:rPr>
      <w:rFonts w:hint="eastAsia" w:ascii="等线" w:hAnsi="等线" w:eastAsia="等线" w:cs="Times New Roman"/>
    </w:rPr>
  </w:style>
  <w:style w:type="paragraph" w:styleId="18">
    <w:name w:val="Body Text 3"/>
    <w:basedOn w:val="1"/>
    <w:link w:val="163"/>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link w:val="125"/>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9"/>
    <w:qFormat/>
    <w:uiPriority w:val="0"/>
    <w:pPr>
      <w:ind w:left="567" w:leftChars="270"/>
    </w:pPr>
    <w:rPr>
      <w:rFonts w:ascii="Times New Roman" w:hAnsi="Times New Roman" w:eastAsia="宋体" w:cs="Times New Roman"/>
      <w:szCs w:val="20"/>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7"/>
    <w:qFormat/>
    <w:uiPriority w:val="0"/>
    <w:rPr>
      <w:rFonts w:ascii="宋体" w:hAnsi="Courier New" w:eastAsia="宋体"/>
    </w:rPr>
  </w:style>
  <w:style w:type="paragraph" w:styleId="24">
    <w:name w:val="toc 8"/>
    <w:basedOn w:val="1"/>
    <w:next w:val="1"/>
    <w:unhideWhenUsed/>
    <w:qFormat/>
    <w:uiPriority w:val="39"/>
    <w:pPr>
      <w:ind w:left="2940" w:leftChars="1400"/>
    </w:pPr>
  </w:style>
  <w:style w:type="paragraph" w:styleId="25">
    <w:name w:val="Date"/>
    <w:basedOn w:val="1"/>
    <w:next w:val="1"/>
    <w:link w:val="115"/>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8"/>
    <w:qFormat/>
    <w:uiPriority w:val="0"/>
    <w:pPr>
      <w:tabs>
        <w:tab w:val="left" w:pos="8640"/>
      </w:tabs>
      <w:ind w:left="1260"/>
    </w:pPr>
    <w:rPr>
      <w:rFonts w:ascii="宋体" w:hAnsi="Times New Roman" w:eastAsia="宋体" w:cs="Times New Roman"/>
      <w:szCs w:val="20"/>
    </w:rPr>
  </w:style>
  <w:style w:type="paragraph" w:styleId="27">
    <w:name w:val="Balloon Text"/>
    <w:basedOn w:val="1"/>
    <w:link w:val="81"/>
    <w:qFormat/>
    <w:uiPriority w:val="0"/>
    <w:rPr>
      <w:rFonts w:ascii="Times New Roman" w:hAnsi="Times New Roman" w:eastAsia="宋体" w:cs="Times New Roman"/>
      <w:sz w:val="18"/>
      <w:szCs w:val="18"/>
    </w:rPr>
  </w:style>
  <w:style w:type="paragraph" w:styleId="28">
    <w:name w:val="footer"/>
    <w:basedOn w:val="1"/>
    <w:link w:val="210"/>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7"/>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style>
  <w:style w:type="paragraph" w:styleId="32">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161"/>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150"/>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100"/>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5"/>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7"/>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8"/>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rPr>
      <w:lang w:val="en-US" w:eastAsia="zh-CN" w:bidi="ar-SA"/>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basedOn w:val="46"/>
    <w:qFormat/>
    <w:uiPriority w:val="99"/>
    <w:rPr>
      <w:sz w:val="21"/>
      <w:szCs w:val="21"/>
    </w:rPr>
  </w:style>
  <w:style w:type="paragraph" w:customStyle="1" w:styleId="53">
    <w:name w:val="首行缩进"/>
    <w:basedOn w:val="1"/>
    <w:qFormat/>
    <w:uiPriority w:val="0"/>
    <w:pPr>
      <w:ind w:firstLine="480" w:firstLineChars="200"/>
    </w:pPr>
    <w:rPr>
      <w:lang w:val="zh-CN"/>
    </w:rPr>
  </w:style>
  <w:style w:type="character" w:customStyle="1" w:styleId="54">
    <w:name w:val="标题 1 字符"/>
    <w:basedOn w:val="46"/>
    <w:qFormat/>
    <w:uiPriority w:val="0"/>
    <w:rPr>
      <w:b/>
      <w:bCs/>
      <w:kern w:val="44"/>
      <w:sz w:val="44"/>
      <w:szCs w:val="44"/>
    </w:rPr>
  </w:style>
  <w:style w:type="character" w:customStyle="1" w:styleId="55">
    <w:name w:val="标题 2 字符"/>
    <w:basedOn w:val="46"/>
    <w:link w:val="4"/>
    <w:qFormat/>
    <w:uiPriority w:val="0"/>
    <w:rPr>
      <w:rFonts w:ascii="宋体" w:hAnsi="Calibri" w:eastAsia="宋体" w:cs="Times New Roman"/>
      <w:kern w:val="0"/>
      <w:sz w:val="24"/>
      <w:szCs w:val="24"/>
    </w:rPr>
  </w:style>
  <w:style w:type="character" w:customStyle="1" w:styleId="56">
    <w:name w:val="标题 3 字符"/>
    <w:basedOn w:val="46"/>
    <w:qFormat/>
    <w:uiPriority w:val="0"/>
    <w:rPr>
      <w:b/>
      <w:bCs/>
      <w:sz w:val="32"/>
      <w:szCs w:val="32"/>
    </w:rPr>
  </w:style>
  <w:style w:type="character" w:customStyle="1" w:styleId="57">
    <w:name w:val="标题 4 字符"/>
    <w:basedOn w:val="46"/>
    <w:link w:val="5"/>
    <w:qFormat/>
    <w:uiPriority w:val="9"/>
    <w:rPr>
      <w:rFonts w:ascii="Arial" w:hAnsi="Arial" w:eastAsia="黑体" w:cs="Times New Roman"/>
      <w:b/>
      <w:bCs/>
      <w:kern w:val="0"/>
      <w:sz w:val="28"/>
      <w:szCs w:val="28"/>
    </w:rPr>
  </w:style>
  <w:style w:type="character" w:customStyle="1" w:styleId="58">
    <w:name w:val="标题 5 字符"/>
    <w:basedOn w:val="46"/>
    <w:qFormat/>
    <w:uiPriority w:val="9"/>
    <w:rPr>
      <w:b/>
      <w:bCs/>
      <w:sz w:val="28"/>
      <w:szCs w:val="28"/>
    </w:rPr>
  </w:style>
  <w:style w:type="character" w:customStyle="1" w:styleId="59">
    <w:name w:val="标题 6 字符"/>
    <w:basedOn w:val="46"/>
    <w:qFormat/>
    <w:uiPriority w:val="0"/>
    <w:rPr>
      <w:rFonts w:asciiTheme="majorHAnsi" w:hAnsiTheme="majorHAnsi" w:eastAsiaTheme="majorEastAsia" w:cstheme="majorBidi"/>
      <w:b/>
      <w:bCs/>
      <w:sz w:val="24"/>
      <w:szCs w:val="24"/>
    </w:rPr>
  </w:style>
  <w:style w:type="character" w:customStyle="1" w:styleId="60">
    <w:name w:val="标题 7 字符"/>
    <w:basedOn w:val="46"/>
    <w:link w:val="9"/>
    <w:qFormat/>
    <w:uiPriority w:val="9"/>
    <w:rPr>
      <w:rFonts w:ascii="Times New Roman" w:hAnsi="Calibri" w:eastAsia="黑体" w:cs="Times New Roman"/>
      <w:b/>
      <w:bCs/>
      <w:kern w:val="0"/>
      <w:sz w:val="28"/>
      <w:szCs w:val="24"/>
    </w:rPr>
  </w:style>
  <w:style w:type="character" w:customStyle="1" w:styleId="61">
    <w:name w:val="标题 8 字符"/>
    <w:basedOn w:val="46"/>
    <w:link w:val="10"/>
    <w:qFormat/>
    <w:uiPriority w:val="9"/>
    <w:rPr>
      <w:rFonts w:ascii="Times New Roman" w:hAnsi="Calibri" w:eastAsia="黑体" w:cs="Times New Roman"/>
      <w:b/>
      <w:kern w:val="0"/>
      <w:sz w:val="28"/>
      <w:szCs w:val="24"/>
    </w:rPr>
  </w:style>
  <w:style w:type="character" w:customStyle="1" w:styleId="62">
    <w:name w:val="标题 9 字符"/>
    <w:basedOn w:val="46"/>
    <w:link w:val="11"/>
    <w:qFormat/>
    <w:uiPriority w:val="9"/>
    <w:rPr>
      <w:rFonts w:ascii="Times New Roman" w:hAnsi="Calibri" w:eastAsia="黑体" w:cs="Times New Roman"/>
      <w:b/>
      <w:kern w:val="0"/>
      <w:sz w:val="28"/>
      <w:szCs w:val="24"/>
    </w:rPr>
  </w:style>
  <w:style w:type="character" w:customStyle="1" w:styleId="63">
    <w:name w:val="正文文本缩进 字符"/>
    <w:qFormat/>
    <w:uiPriority w:val="0"/>
    <w:rPr>
      <w:rFonts w:ascii="Times New Roman" w:hAnsi="Times New Roman" w:eastAsia="宋体" w:cs="Times New Roman"/>
      <w:szCs w:val="20"/>
    </w:rPr>
  </w:style>
  <w:style w:type="character" w:customStyle="1" w:styleId="64">
    <w:name w:val="普通(网站) Char"/>
    <w:qFormat/>
    <w:locked/>
    <w:uiPriority w:val="0"/>
    <w:rPr>
      <w:rFonts w:ascii="宋体" w:hAnsi="宋体"/>
      <w:sz w:val="15"/>
      <w:szCs w:val="15"/>
    </w:rPr>
  </w:style>
  <w:style w:type="character" w:customStyle="1" w:styleId="65">
    <w:name w:val="标题 字符1"/>
    <w:link w:val="40"/>
    <w:qFormat/>
    <w:uiPriority w:val="10"/>
    <w:rPr>
      <w:rFonts w:ascii="等线 Light" w:hAnsi="等线 Light" w:eastAsia="仿宋"/>
      <w:b/>
      <w:bCs/>
      <w:sz w:val="28"/>
      <w:szCs w:val="32"/>
    </w:rPr>
  </w:style>
  <w:style w:type="character" w:customStyle="1" w:styleId="66">
    <w:name w:val="日期 Char"/>
    <w:semiHidden/>
    <w:qFormat/>
    <w:uiPriority w:val="99"/>
    <w:rPr>
      <w:kern w:val="2"/>
      <w:sz w:val="21"/>
    </w:rPr>
  </w:style>
  <w:style w:type="character" w:customStyle="1" w:styleId="67">
    <w:name w:val="文档结构图 字符1"/>
    <w:semiHidden/>
    <w:qFormat/>
    <w:uiPriority w:val="99"/>
    <w:rPr>
      <w:rFonts w:ascii="Microsoft YaHei UI" w:hAnsi="Calibri" w:eastAsia="Microsoft YaHei UI" w:cs="Times New Roman"/>
      <w:kern w:val="0"/>
      <w:sz w:val="18"/>
      <w:szCs w:val="18"/>
    </w:rPr>
  </w:style>
  <w:style w:type="character" w:customStyle="1" w:styleId="68">
    <w:name w:val="批注文字 Char"/>
    <w:semiHidden/>
    <w:qFormat/>
    <w:uiPriority w:val="99"/>
    <w:rPr>
      <w:kern w:val="2"/>
      <w:sz w:val="21"/>
    </w:rPr>
  </w:style>
  <w:style w:type="character" w:customStyle="1" w:styleId="69">
    <w:name w:val="正文缩进2格 Char"/>
    <w:link w:val="70"/>
    <w:qFormat/>
    <w:uiPriority w:val="0"/>
    <w:rPr>
      <w:rFonts w:ascii="仿宋_GB2312" w:hAnsi="宋体" w:eastAsia="仿宋_GB2312"/>
      <w:sz w:val="31"/>
      <w:szCs w:val="28"/>
    </w:rPr>
  </w:style>
  <w:style w:type="paragraph" w:customStyle="1" w:styleId="70">
    <w:name w:val="正文缩进2格"/>
    <w:basedOn w:val="1"/>
    <w:link w:val="69"/>
    <w:qFormat/>
    <w:uiPriority w:val="0"/>
    <w:pPr>
      <w:spacing w:line="600" w:lineRule="exact"/>
      <w:ind w:firstLine="639" w:firstLineChars="206"/>
    </w:pPr>
    <w:rPr>
      <w:rFonts w:ascii="仿宋_GB2312" w:hAnsi="宋体" w:eastAsia="仿宋_GB2312"/>
      <w:sz w:val="31"/>
      <w:szCs w:val="28"/>
    </w:rPr>
  </w:style>
  <w:style w:type="character" w:customStyle="1" w:styleId="71">
    <w:name w:val="批注文字 字符"/>
    <w:semiHidden/>
    <w:qFormat/>
    <w:uiPriority w:val="99"/>
    <w:rPr>
      <w:rFonts w:ascii="Times New Roman" w:hAnsi="Times New Roman"/>
      <w:kern w:val="2"/>
      <w:sz w:val="24"/>
      <w:szCs w:val="24"/>
    </w:rPr>
  </w:style>
  <w:style w:type="character" w:customStyle="1" w:styleId="72">
    <w:name w:val="正文文本缩进 Char"/>
    <w:qFormat/>
    <w:uiPriority w:val="0"/>
    <w:rPr>
      <w:rFonts w:ascii="Times New Roman" w:hAnsi="Times New Roman" w:eastAsia="宋体" w:cs="Times New Roman"/>
      <w:szCs w:val="20"/>
      <w:lang w:val="en-US" w:eastAsia="zh-CN"/>
    </w:rPr>
  </w:style>
  <w:style w:type="character" w:customStyle="1" w:styleId="73">
    <w:name w:val="批注框文本 字符1"/>
    <w:semiHidden/>
    <w:qFormat/>
    <w:uiPriority w:val="99"/>
    <w:rPr>
      <w:rFonts w:ascii="宋体" w:hAnsi="Calibri" w:eastAsia="宋体" w:cs="Times New Roman"/>
      <w:kern w:val="0"/>
      <w:sz w:val="18"/>
      <w:szCs w:val="18"/>
    </w:rPr>
  </w:style>
  <w:style w:type="character" w:customStyle="1" w:styleId="74">
    <w:name w:val="List Paragraph Char"/>
    <w:link w:val="75"/>
    <w:qFormat/>
    <w:uiPriority w:val="34"/>
    <w:rPr>
      <w:rFonts w:ascii="Calibri" w:hAnsi="Calibri"/>
    </w:rPr>
  </w:style>
  <w:style w:type="paragraph" w:customStyle="1" w:styleId="75">
    <w:name w:val="列出段落1"/>
    <w:basedOn w:val="1"/>
    <w:link w:val="74"/>
    <w:qFormat/>
    <w:uiPriority w:val="34"/>
    <w:pPr>
      <w:ind w:firstLine="420" w:firstLineChars="200"/>
    </w:pPr>
    <w:rPr>
      <w:rFonts w:ascii="Calibri" w:hAnsi="Calibri"/>
    </w:rPr>
  </w:style>
  <w:style w:type="character" w:customStyle="1" w:styleId="76">
    <w:name w:val="标书正文 字符"/>
    <w:link w:val="77"/>
    <w:qFormat/>
    <w:uiPriority w:val="0"/>
    <w:rPr>
      <w:rFonts w:ascii="Calibri" w:hAnsi="Calibri" w:eastAsia="仿宋"/>
      <w:sz w:val="24"/>
      <w:szCs w:val="21"/>
    </w:rPr>
  </w:style>
  <w:style w:type="paragraph" w:customStyle="1" w:styleId="77">
    <w:name w:val="标书正文"/>
    <w:basedOn w:val="1"/>
    <w:link w:val="76"/>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8">
    <w:name w:val="正文文本 字符"/>
    <w:semiHidden/>
    <w:qFormat/>
    <w:uiPriority w:val="99"/>
    <w:rPr>
      <w:rFonts w:ascii="Times New Roman" w:hAnsi="Times New Roman"/>
      <w:kern w:val="2"/>
      <w:sz w:val="24"/>
      <w:szCs w:val="24"/>
    </w:rPr>
  </w:style>
  <w:style w:type="character" w:customStyle="1" w:styleId="79">
    <w:name w:val="页脚 Char"/>
    <w:qFormat/>
    <w:uiPriority w:val="0"/>
    <w:rPr>
      <w:kern w:val="2"/>
      <w:sz w:val="18"/>
      <w:szCs w:val="18"/>
    </w:rPr>
  </w:style>
  <w:style w:type="character" w:customStyle="1" w:styleId="80">
    <w:name w:val="neir1"/>
    <w:qFormat/>
    <w:uiPriority w:val="0"/>
    <w:rPr>
      <w:rFonts w:hint="default" w:ascii="ˎ̥" w:hAnsi="ˎ̥"/>
      <w:color w:val="333333"/>
      <w:sz w:val="21"/>
      <w:szCs w:val="21"/>
      <w:u w:val="none"/>
    </w:rPr>
  </w:style>
  <w:style w:type="character" w:customStyle="1" w:styleId="81">
    <w:name w:val="批注框文本 字符"/>
    <w:link w:val="27"/>
    <w:qFormat/>
    <w:uiPriority w:val="0"/>
    <w:rPr>
      <w:rFonts w:ascii="Times New Roman" w:hAnsi="Times New Roman" w:eastAsia="宋体" w:cs="Times New Roman"/>
      <w:sz w:val="18"/>
      <w:szCs w:val="18"/>
    </w:rPr>
  </w:style>
  <w:style w:type="character" w:customStyle="1" w:styleId="82">
    <w:name w:val="正文文本 3 字符1"/>
    <w:semiHidden/>
    <w:qFormat/>
    <w:uiPriority w:val="99"/>
    <w:rPr>
      <w:rFonts w:ascii="宋体" w:hAnsi="Calibri" w:eastAsia="宋体" w:cs="Times New Roman"/>
      <w:kern w:val="0"/>
      <w:sz w:val="16"/>
      <w:szCs w:val="16"/>
    </w:rPr>
  </w:style>
  <w:style w:type="character" w:customStyle="1" w:styleId="83">
    <w:name w:val="正文文本 字符3"/>
    <w:semiHidden/>
    <w:qFormat/>
    <w:uiPriority w:val="99"/>
    <w:rPr>
      <w:rFonts w:ascii="宋体" w:hAnsi="Calibri" w:eastAsia="宋体" w:cs="Times New Roman"/>
      <w:kern w:val="0"/>
      <w:sz w:val="24"/>
      <w:szCs w:val="24"/>
    </w:rPr>
  </w:style>
  <w:style w:type="character" w:customStyle="1" w:styleId="84">
    <w:name w:val="日期 字符1"/>
    <w:semiHidden/>
    <w:qFormat/>
    <w:uiPriority w:val="99"/>
    <w:rPr>
      <w:rFonts w:ascii="宋体" w:hAnsi="Calibri" w:eastAsia="宋体" w:cs="Times New Roman"/>
      <w:kern w:val="0"/>
      <w:sz w:val="24"/>
      <w:szCs w:val="24"/>
    </w:rPr>
  </w:style>
  <w:style w:type="character" w:customStyle="1" w:styleId="85">
    <w:name w:val="页脚 Char2"/>
    <w:qFormat/>
    <w:uiPriority w:val="99"/>
    <w:rPr>
      <w:rFonts w:ascii="宋体" w:eastAsia="宋体"/>
      <w:sz w:val="18"/>
      <w:szCs w:val="18"/>
    </w:rPr>
  </w:style>
  <w:style w:type="character" w:customStyle="1" w:styleId="86">
    <w:name w:val="吉奥正文 Char"/>
    <w:link w:val="87"/>
    <w:qFormat/>
    <w:locked/>
    <w:uiPriority w:val="0"/>
    <w:rPr>
      <w:rFonts w:eastAsia="仿宋_GB2312"/>
      <w:sz w:val="28"/>
    </w:rPr>
  </w:style>
  <w:style w:type="paragraph" w:customStyle="1" w:styleId="87">
    <w:name w:val="吉奥正文"/>
    <w:basedOn w:val="1"/>
    <w:link w:val="86"/>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8">
    <w:name w:val="页脚 Char1"/>
    <w:qFormat/>
    <w:uiPriority w:val="99"/>
    <w:rPr>
      <w:rFonts w:ascii="宋体" w:hAnsi="Times New Roman" w:eastAsia="宋体" w:cs="Times New Roman"/>
      <w:kern w:val="0"/>
      <w:sz w:val="18"/>
      <w:szCs w:val="18"/>
    </w:rPr>
  </w:style>
  <w:style w:type="character" w:customStyle="1" w:styleId="89">
    <w:name w:val="标题 字符"/>
    <w:qFormat/>
    <w:uiPriority w:val="10"/>
    <w:rPr>
      <w:rFonts w:ascii="Cambria" w:hAnsi="Cambria" w:eastAsia="宋体" w:cs="Times New Roman"/>
      <w:b/>
      <w:bCs/>
      <w:kern w:val="0"/>
      <w:sz w:val="32"/>
      <w:szCs w:val="32"/>
      <w:lang w:val="en-US" w:eastAsia="zh-CN"/>
    </w:rPr>
  </w:style>
  <w:style w:type="character" w:customStyle="1" w:styleId="90">
    <w:name w:val="题注 字符1"/>
    <w:link w:val="14"/>
    <w:qFormat/>
    <w:uiPriority w:val="0"/>
    <w:rPr>
      <w:rFonts w:ascii="Arial" w:hAnsi="Arial" w:eastAsia="黑体" w:cs="Arial"/>
    </w:rPr>
  </w:style>
  <w:style w:type="character" w:customStyle="1" w:styleId="91">
    <w:name w:val="批注文字 字符2"/>
    <w:qFormat/>
    <w:uiPriority w:val="99"/>
    <w:rPr>
      <w:rFonts w:ascii="宋体" w:hAnsi="Times New Roman" w:eastAsia="宋体" w:cs="Times New Roman"/>
      <w:kern w:val="0"/>
      <w:sz w:val="24"/>
      <w:szCs w:val="24"/>
    </w:rPr>
  </w:style>
  <w:style w:type="character" w:customStyle="1" w:styleId="92">
    <w:name w:val="批注主题 字符1"/>
    <w:semiHidden/>
    <w:qFormat/>
    <w:uiPriority w:val="99"/>
    <w:rPr>
      <w:rFonts w:ascii="宋体" w:hAnsi="Calibri" w:eastAsia="宋体" w:cs="Times New Roman"/>
      <w:b/>
      <w:bCs/>
      <w:kern w:val="0"/>
      <w:sz w:val="24"/>
      <w:szCs w:val="24"/>
    </w:rPr>
  </w:style>
  <w:style w:type="character" w:customStyle="1" w:styleId="93">
    <w:name w:val="HTML 预设格式 字符"/>
    <w:link w:val="38"/>
    <w:qFormat/>
    <w:uiPriority w:val="99"/>
    <w:rPr>
      <w:rFonts w:ascii="Arial" w:hAnsi="Arial" w:eastAsia="宋体" w:cs="Arial"/>
      <w:szCs w:val="21"/>
    </w:rPr>
  </w:style>
  <w:style w:type="character" w:customStyle="1" w:styleId="94">
    <w:name w:val="标题 3.1 Char"/>
    <w:link w:val="95"/>
    <w:qFormat/>
    <w:uiPriority w:val="0"/>
    <w:rPr>
      <w:rFonts w:ascii="宋体" w:hAnsi="宋体"/>
      <w:b/>
      <w:bCs/>
      <w:sz w:val="32"/>
      <w:szCs w:val="32"/>
    </w:rPr>
  </w:style>
  <w:style w:type="paragraph" w:customStyle="1" w:styleId="95">
    <w:name w:val="标题 3.1"/>
    <w:basedOn w:val="2"/>
    <w:link w:val="94"/>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6">
    <w:name w:val="HTML 预设格式 Char1"/>
    <w:semiHidden/>
    <w:qFormat/>
    <w:uiPriority w:val="99"/>
    <w:rPr>
      <w:rFonts w:ascii="Courier New" w:hAnsi="Courier New" w:eastAsia="宋体" w:cs="Courier New"/>
      <w:kern w:val="0"/>
      <w:sz w:val="20"/>
      <w:szCs w:val="20"/>
    </w:rPr>
  </w:style>
  <w:style w:type="character" w:customStyle="1" w:styleId="97">
    <w:name w:val="批注文字 字符1"/>
    <w:qFormat/>
    <w:uiPriority w:val="0"/>
    <w:rPr>
      <w:rFonts w:eastAsia="宋体"/>
      <w:kern w:val="2"/>
      <w:sz w:val="24"/>
      <w:szCs w:val="24"/>
      <w:lang w:val="en-US" w:eastAsia="zh-CN" w:bidi="ar-SA"/>
    </w:rPr>
  </w:style>
  <w:style w:type="character" w:customStyle="1" w:styleId="98">
    <w:name w:val="正文文本缩进 字符2"/>
    <w:semiHidden/>
    <w:qFormat/>
    <w:uiPriority w:val="99"/>
    <w:rPr>
      <w:rFonts w:ascii="宋体" w:hAnsi="Calibri" w:eastAsia="宋体" w:cs="Times New Roman"/>
      <w:kern w:val="0"/>
      <w:sz w:val="24"/>
      <w:szCs w:val="24"/>
    </w:rPr>
  </w:style>
  <w:style w:type="character" w:customStyle="1" w:styleId="99">
    <w:name w:val="正文文本缩进 字符1"/>
    <w:link w:val="20"/>
    <w:qFormat/>
    <w:uiPriority w:val="0"/>
    <w:rPr>
      <w:rFonts w:ascii="Times New Roman" w:hAnsi="Times New Roman" w:eastAsia="宋体" w:cs="Times New Roman"/>
      <w:szCs w:val="20"/>
    </w:rPr>
  </w:style>
  <w:style w:type="character" w:customStyle="1" w:styleId="100">
    <w:name w:val="普通(网站) 字符2"/>
    <w:link w:val="39"/>
    <w:qFormat/>
    <w:locked/>
    <w:uiPriority w:val="0"/>
    <w:rPr>
      <w:rFonts w:ascii="宋体" w:hAnsi="宋体"/>
      <w:sz w:val="15"/>
      <w:szCs w:val="15"/>
    </w:rPr>
  </w:style>
  <w:style w:type="character" w:customStyle="1" w:styleId="101">
    <w:name w:val="模板正文 Char"/>
    <w:link w:val="8"/>
    <w:qFormat/>
    <w:uiPriority w:val="0"/>
    <w:rPr>
      <w:rFonts w:ascii="宋体" w:eastAsia="仿宋"/>
      <w:sz w:val="24"/>
      <w:szCs w:val="21"/>
    </w:rPr>
  </w:style>
  <w:style w:type="character" w:customStyle="1" w:styleId="102">
    <w:name w:val="批注主题 Char"/>
    <w:semiHidden/>
    <w:qFormat/>
    <w:uiPriority w:val="99"/>
    <w:rPr>
      <w:b/>
      <w:bCs/>
      <w:kern w:val="2"/>
      <w:sz w:val="21"/>
    </w:rPr>
  </w:style>
  <w:style w:type="character" w:customStyle="1" w:styleId="103">
    <w:name w:val="正文文本 Char1"/>
    <w:qFormat/>
    <w:uiPriority w:val="0"/>
    <w:rPr>
      <w:rFonts w:ascii="宋体" w:hAnsi="Times New Roman" w:eastAsia="宋体" w:cs="Times New Roman"/>
      <w:kern w:val="0"/>
      <w:sz w:val="24"/>
      <w:szCs w:val="24"/>
    </w:rPr>
  </w:style>
  <w:style w:type="character" w:customStyle="1" w:styleId="104">
    <w:name w:val="正文文本 字符1"/>
    <w:qFormat/>
    <w:uiPriority w:val="99"/>
    <w:rPr>
      <w:rFonts w:ascii="宋体" w:eastAsia="宋体"/>
      <w:b/>
      <w:bCs/>
      <w:sz w:val="84"/>
      <w:szCs w:val="84"/>
      <w:lang w:val="zh-CN"/>
    </w:rPr>
  </w:style>
  <w:style w:type="character" w:customStyle="1" w:styleId="105">
    <w:name w:val="标题 1 Char"/>
    <w:qFormat/>
    <w:uiPriority w:val="9"/>
    <w:rPr>
      <w:rFonts w:ascii="宋体" w:hAnsi="Times New Roman" w:eastAsia="宋体" w:cs="Times New Roman"/>
      <w:kern w:val="0"/>
      <w:sz w:val="24"/>
      <w:szCs w:val="24"/>
    </w:rPr>
  </w:style>
  <w:style w:type="character" w:customStyle="1" w:styleId="106">
    <w:name w:val="正文文本 Char2"/>
    <w:qFormat/>
    <w:uiPriority w:val="99"/>
    <w:rPr>
      <w:rFonts w:ascii="宋体" w:eastAsia="宋体"/>
      <w:b/>
      <w:bCs/>
      <w:sz w:val="84"/>
      <w:szCs w:val="84"/>
      <w:lang w:val="zh-CN"/>
    </w:rPr>
  </w:style>
  <w:style w:type="character" w:customStyle="1" w:styleId="107">
    <w:name w:val="纯文本 字符2"/>
    <w:link w:val="23"/>
    <w:qFormat/>
    <w:uiPriority w:val="0"/>
    <w:rPr>
      <w:rFonts w:ascii="宋体" w:hAnsi="Courier New" w:eastAsia="宋体"/>
    </w:rPr>
  </w:style>
  <w:style w:type="character" w:customStyle="1" w:styleId="108">
    <w:name w:val="正文文本缩进 2 字符"/>
    <w:link w:val="26"/>
    <w:qFormat/>
    <w:uiPriority w:val="0"/>
    <w:rPr>
      <w:rFonts w:ascii="宋体" w:hAnsi="Times New Roman" w:eastAsia="宋体" w:cs="Times New Roman"/>
      <w:szCs w:val="20"/>
    </w:rPr>
  </w:style>
  <w:style w:type="character" w:customStyle="1" w:styleId="109">
    <w:name w:val="HTML Markup"/>
    <w:qFormat/>
    <w:uiPriority w:val="0"/>
    <w:rPr>
      <w:vanish/>
      <w:color w:val="FF0000"/>
    </w:rPr>
  </w:style>
  <w:style w:type="character" w:customStyle="1" w:styleId="110">
    <w:name w:val="页眉 Char1"/>
    <w:qFormat/>
    <w:uiPriority w:val="0"/>
    <w:rPr>
      <w:rFonts w:ascii="宋体" w:hAnsi="Times New Roman" w:eastAsia="宋体" w:cs="Times New Roman"/>
      <w:kern w:val="0"/>
      <w:sz w:val="18"/>
      <w:szCs w:val="18"/>
    </w:rPr>
  </w:style>
  <w:style w:type="character" w:customStyle="1" w:styleId="111">
    <w:name w:val="font11"/>
    <w:qFormat/>
    <w:uiPriority w:val="0"/>
    <w:rPr>
      <w:rFonts w:hint="eastAsia" w:ascii="宋体" w:hAnsi="宋体" w:eastAsia="宋体" w:cs="宋体"/>
      <w:color w:val="FF0000"/>
      <w:sz w:val="22"/>
      <w:szCs w:val="22"/>
      <w:u w:val="none"/>
    </w:rPr>
  </w:style>
  <w:style w:type="character" w:customStyle="1" w:styleId="112">
    <w:name w:val="style61"/>
    <w:qFormat/>
    <w:uiPriority w:val="0"/>
    <w:rPr>
      <w:b/>
      <w:bCs/>
    </w:rPr>
  </w:style>
  <w:style w:type="character" w:customStyle="1" w:styleId="113">
    <w:name w:val="表头文字 Char"/>
    <w:link w:val="114"/>
    <w:qFormat/>
    <w:uiPriority w:val="0"/>
    <w:rPr>
      <w:rFonts w:eastAsia="仿宋_GB2312"/>
      <w:b/>
      <w:sz w:val="28"/>
      <w:szCs w:val="21"/>
    </w:rPr>
  </w:style>
  <w:style w:type="paragraph" w:customStyle="1" w:styleId="114">
    <w:name w:val="表头文字"/>
    <w:basedOn w:val="1"/>
    <w:link w:val="11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5">
    <w:name w:val="日期 字符"/>
    <w:link w:val="25"/>
    <w:qFormat/>
    <w:uiPriority w:val="99"/>
    <w:rPr>
      <w:rFonts w:ascii="宋体" w:hAnsi="Times New Roman" w:eastAsia="宋体" w:cs="Times New Roman"/>
      <w:b/>
      <w:bCs/>
      <w:szCs w:val="21"/>
      <w:lang w:val="zh-CN"/>
    </w:rPr>
  </w:style>
  <w:style w:type="character" w:customStyle="1" w:styleId="116">
    <w:name w:val="纯文本 Char1"/>
    <w:qFormat/>
    <w:uiPriority w:val="0"/>
    <w:rPr>
      <w:rFonts w:ascii="宋体" w:hAnsi="Courier New" w:eastAsia="宋体" w:cs="Courier New"/>
      <w:kern w:val="0"/>
      <w:szCs w:val="21"/>
    </w:rPr>
  </w:style>
  <w:style w:type="character" w:customStyle="1" w:styleId="117">
    <w:name w:val="批注主题 字符"/>
    <w:link w:val="41"/>
    <w:qFormat/>
    <w:uiPriority w:val="99"/>
    <w:rPr>
      <w:rFonts w:ascii="宋体" w:hAnsi="Times New Roman" w:eastAsia="宋体" w:cs="Times New Roman"/>
      <w:b/>
      <w:bCs/>
      <w:kern w:val="0"/>
      <w:sz w:val="24"/>
      <w:szCs w:val="24"/>
    </w:rPr>
  </w:style>
  <w:style w:type="character" w:customStyle="1" w:styleId="118">
    <w:name w:val="纯文本 字符"/>
    <w:qFormat/>
    <w:uiPriority w:val="99"/>
    <w:rPr>
      <w:rFonts w:ascii="宋体" w:hAnsi="Courier New" w:eastAsia="宋体" w:cs="Times New Roman"/>
      <w:szCs w:val="20"/>
      <w:lang w:val="en-US" w:eastAsia="zh-CN"/>
    </w:rPr>
  </w:style>
  <w:style w:type="character" w:customStyle="1" w:styleId="119">
    <w:name w:val="font71"/>
    <w:qFormat/>
    <w:uiPriority w:val="0"/>
    <w:rPr>
      <w:rFonts w:hint="eastAsia" w:ascii="宋体" w:hAnsi="宋体" w:eastAsia="宋体" w:cs="宋体"/>
      <w:color w:val="FF0000"/>
      <w:sz w:val="18"/>
      <w:szCs w:val="18"/>
      <w:u w:val="none"/>
    </w:rPr>
  </w:style>
  <w:style w:type="character" w:customStyle="1" w:styleId="120">
    <w:name w:val="font21"/>
    <w:qFormat/>
    <w:uiPriority w:val="0"/>
    <w:rPr>
      <w:rFonts w:hint="eastAsia" w:ascii="宋体" w:hAnsi="宋体" w:eastAsia="宋体" w:cs="宋体"/>
      <w:b/>
      <w:color w:val="000000"/>
      <w:sz w:val="21"/>
      <w:szCs w:val="21"/>
      <w:u w:val="none"/>
    </w:rPr>
  </w:style>
  <w:style w:type="character" w:customStyle="1" w:styleId="121">
    <w:name w:val="纯文本 字符3"/>
    <w:semiHidden/>
    <w:qFormat/>
    <w:uiPriority w:val="99"/>
    <w:rPr>
      <w:rFonts w:ascii="等线" w:hAnsi="Courier New" w:cs="Courier New"/>
      <w:kern w:val="0"/>
      <w:sz w:val="24"/>
      <w:szCs w:val="24"/>
    </w:rPr>
  </w:style>
  <w:style w:type="character" w:customStyle="1" w:styleId="122">
    <w:name w:val="font31"/>
    <w:qFormat/>
    <w:uiPriority w:val="0"/>
    <w:rPr>
      <w:rFonts w:hint="eastAsia" w:ascii="宋体" w:hAnsi="宋体" w:eastAsia="宋体" w:cs="宋体"/>
      <w:color w:val="000000"/>
      <w:sz w:val="18"/>
      <w:szCs w:val="18"/>
      <w:u w:val="none"/>
    </w:rPr>
  </w:style>
  <w:style w:type="character" w:customStyle="1" w:styleId="123">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4">
    <w:name w:val="普通(网站) 字符1"/>
    <w:qFormat/>
    <w:locked/>
    <w:uiPriority w:val="0"/>
    <w:rPr>
      <w:rFonts w:ascii="宋体" w:hAnsi="宋体"/>
      <w:sz w:val="15"/>
      <w:szCs w:val="15"/>
    </w:rPr>
  </w:style>
  <w:style w:type="character" w:customStyle="1" w:styleId="125">
    <w:name w:val="正文文本 字符2"/>
    <w:link w:val="19"/>
    <w:qFormat/>
    <w:uiPriority w:val="99"/>
    <w:rPr>
      <w:rFonts w:ascii="宋体" w:eastAsia="宋体"/>
      <w:b/>
      <w:bCs/>
      <w:sz w:val="84"/>
      <w:szCs w:val="84"/>
      <w:lang w:val="zh-CN"/>
    </w:rPr>
  </w:style>
  <w:style w:type="character" w:customStyle="1" w:styleId="126">
    <w:name w:val="标题 5 Char"/>
    <w:semiHidden/>
    <w:qFormat/>
    <w:uiPriority w:val="9"/>
    <w:rPr>
      <w:b/>
      <w:bCs/>
      <w:kern w:val="2"/>
      <w:sz w:val="28"/>
      <w:szCs w:val="28"/>
    </w:rPr>
  </w:style>
  <w:style w:type="character" w:customStyle="1" w:styleId="127">
    <w:name w:val="页眉 字符"/>
    <w:link w:val="29"/>
    <w:qFormat/>
    <w:uiPriority w:val="99"/>
    <w:rPr>
      <w:rFonts w:ascii="宋体" w:eastAsia="宋体"/>
      <w:sz w:val="18"/>
      <w:szCs w:val="18"/>
    </w:rPr>
  </w:style>
  <w:style w:type="character" w:customStyle="1" w:styleId="128">
    <w:name w:val="表格文字 Char"/>
    <w:link w:val="129"/>
    <w:qFormat/>
    <w:uiPriority w:val="0"/>
    <w:rPr>
      <w:rFonts w:eastAsia="仿宋_GB2312"/>
      <w:sz w:val="28"/>
      <w:szCs w:val="24"/>
    </w:rPr>
  </w:style>
  <w:style w:type="paragraph" w:customStyle="1" w:styleId="129">
    <w:name w:val="表格文字"/>
    <w:basedOn w:val="1"/>
    <w:link w:val="128"/>
    <w:qFormat/>
    <w:uiPriority w:val="0"/>
    <w:rPr>
      <w:rFonts w:eastAsia="仿宋_GB2312"/>
      <w:sz w:val="28"/>
      <w:szCs w:val="24"/>
    </w:rPr>
  </w:style>
  <w:style w:type="character" w:customStyle="1" w:styleId="130">
    <w:name w:val="标题 字符2"/>
    <w:qFormat/>
    <w:uiPriority w:val="10"/>
    <w:rPr>
      <w:rFonts w:ascii="等线 Light" w:hAnsi="等线 Light" w:eastAsia="等线 Light" w:cs="Times New Roman"/>
      <w:b/>
      <w:bCs/>
      <w:kern w:val="0"/>
      <w:sz w:val="32"/>
      <w:szCs w:val="32"/>
    </w:rPr>
  </w:style>
  <w:style w:type="character" w:customStyle="1" w:styleId="131">
    <w:name w:val="正文缩进2格 Char Char"/>
    <w:qFormat/>
    <w:uiPriority w:val="0"/>
    <w:rPr>
      <w:rFonts w:ascii="仿宋_GB2312" w:hAnsi="宋体" w:eastAsia="仿宋_GB2312"/>
      <w:kern w:val="2"/>
      <w:sz w:val="31"/>
      <w:szCs w:val="28"/>
      <w:lang w:val="en-US" w:eastAsia="zh-CN" w:bidi="ar-SA"/>
    </w:rPr>
  </w:style>
  <w:style w:type="character" w:customStyle="1" w:styleId="132">
    <w:name w:val="小 Char"/>
    <w:qFormat/>
    <w:uiPriority w:val="0"/>
    <w:rPr>
      <w:rFonts w:ascii="宋体" w:hAnsi="Courier New" w:eastAsia="宋体"/>
      <w:kern w:val="2"/>
      <w:sz w:val="21"/>
      <w:lang w:val="en-US" w:eastAsia="zh-CN" w:bidi="ar-SA"/>
    </w:rPr>
  </w:style>
  <w:style w:type="character" w:customStyle="1" w:styleId="133">
    <w:name w:val="themebody1"/>
    <w:qFormat/>
    <w:uiPriority w:val="0"/>
    <w:rPr>
      <w:color w:val="FFFFFF"/>
    </w:rPr>
  </w:style>
  <w:style w:type="character" w:customStyle="1" w:styleId="134">
    <w:name w:val="页脚 字符1"/>
    <w:semiHidden/>
    <w:qFormat/>
    <w:uiPriority w:val="99"/>
    <w:rPr>
      <w:rFonts w:ascii="宋体" w:hAnsi="Calibri" w:eastAsia="宋体" w:cs="Times New Roman"/>
      <w:kern w:val="0"/>
      <w:sz w:val="18"/>
      <w:szCs w:val="18"/>
    </w:rPr>
  </w:style>
  <w:style w:type="character" w:customStyle="1" w:styleId="135">
    <w:name w:val="列出段落 字符"/>
    <w:link w:val="136"/>
    <w:qFormat/>
    <w:uiPriority w:val="34"/>
    <w:rPr>
      <w:kern w:val="2"/>
      <w:sz w:val="21"/>
      <w:szCs w:val="22"/>
    </w:rPr>
  </w:style>
  <w:style w:type="paragraph" w:styleId="136">
    <w:name w:val="List Paragraph"/>
    <w:basedOn w:val="1"/>
    <w:link w:val="135"/>
    <w:qFormat/>
    <w:uiPriority w:val="34"/>
    <w:pPr>
      <w:ind w:firstLine="420" w:firstLineChars="200"/>
    </w:pPr>
  </w:style>
  <w:style w:type="character" w:customStyle="1" w:styleId="137">
    <w:name w:val="正文文本 Char"/>
    <w:qFormat/>
    <w:uiPriority w:val="99"/>
    <w:rPr>
      <w:rFonts w:ascii="宋体" w:eastAsia="宋体"/>
      <w:b/>
      <w:bCs/>
      <w:sz w:val="84"/>
      <w:szCs w:val="84"/>
      <w:lang w:val="zh-CN"/>
    </w:rPr>
  </w:style>
  <w:style w:type="character" w:customStyle="1" w:styleId="138">
    <w:name w:val="页眉 字符1"/>
    <w:semiHidden/>
    <w:qFormat/>
    <w:uiPriority w:val="99"/>
    <w:rPr>
      <w:rFonts w:ascii="宋体" w:hAnsi="Calibri" w:eastAsia="宋体" w:cs="Times New Roman"/>
      <w:kern w:val="0"/>
      <w:sz w:val="18"/>
      <w:szCs w:val="18"/>
    </w:rPr>
  </w:style>
  <w:style w:type="character" w:customStyle="1" w:styleId="139">
    <w:name w:val="标题 5 字符1"/>
    <w:link w:val="6"/>
    <w:qFormat/>
    <w:uiPriority w:val="9"/>
    <w:rPr>
      <w:rFonts w:ascii="宋体" w:hAnsi="Calibri" w:eastAsia="宋体" w:cs="Times New Roman"/>
      <w:b/>
      <w:bCs/>
      <w:kern w:val="0"/>
      <w:sz w:val="28"/>
      <w:szCs w:val="28"/>
    </w:rPr>
  </w:style>
  <w:style w:type="character" w:customStyle="1" w:styleId="140">
    <w:name w:val="keyfeatures1"/>
    <w:qFormat/>
    <w:uiPriority w:val="0"/>
    <w:rPr>
      <w:rFonts w:hint="default" w:ascii="Arial" w:hAnsi="Arial" w:cs="Arial"/>
      <w:color w:val="003366"/>
      <w:sz w:val="17"/>
      <w:szCs w:val="17"/>
      <w:u w:val="none"/>
    </w:rPr>
  </w:style>
  <w:style w:type="character" w:customStyle="1" w:styleId="141">
    <w:name w:val="题注 字符"/>
    <w:qFormat/>
    <w:uiPriority w:val="0"/>
    <w:rPr>
      <w:rFonts w:ascii="宋体" w:hAnsi="宋体" w:eastAsia="黑体" w:cs="Times New Roman"/>
      <w:b/>
      <w:szCs w:val="21"/>
    </w:rPr>
  </w:style>
  <w:style w:type="character" w:customStyle="1" w:styleId="142">
    <w:name w:val="标题 4 Char"/>
    <w:qFormat/>
    <w:uiPriority w:val="0"/>
    <w:rPr>
      <w:rFonts w:ascii="宋体" w:hAnsi="宋体" w:eastAsia="宋体"/>
      <w:b/>
      <w:kern w:val="2"/>
      <w:sz w:val="21"/>
      <w:szCs w:val="24"/>
      <w:lang w:val="en-US" w:eastAsia="zh-CN" w:bidi="ar-SA"/>
    </w:rPr>
  </w:style>
  <w:style w:type="character" w:customStyle="1" w:styleId="143">
    <w:name w:val="批注文字 字符3"/>
    <w:semiHidden/>
    <w:qFormat/>
    <w:uiPriority w:val="99"/>
    <w:rPr>
      <w:rFonts w:ascii="宋体" w:hAnsi="Calibri" w:eastAsia="宋体" w:cs="Times New Roman"/>
      <w:kern w:val="0"/>
      <w:sz w:val="24"/>
      <w:szCs w:val="24"/>
    </w:rPr>
  </w:style>
  <w:style w:type="character" w:customStyle="1" w:styleId="144">
    <w:name w:val="纯文本 字符1"/>
    <w:qFormat/>
    <w:uiPriority w:val="0"/>
    <w:rPr>
      <w:rFonts w:ascii="宋体" w:hAnsi="Courier New" w:eastAsia="宋体"/>
      <w:kern w:val="2"/>
      <w:sz w:val="21"/>
      <w:szCs w:val="24"/>
      <w:lang w:val="en-US" w:eastAsia="zh-CN" w:bidi="ar-SA"/>
    </w:rPr>
  </w:style>
  <w:style w:type="character" w:customStyle="1" w:styleId="145">
    <w:name w:val="列出段落 Char1"/>
    <w:qFormat/>
    <w:uiPriority w:val="34"/>
    <w:rPr>
      <w:rFonts w:ascii="宋体"/>
      <w:sz w:val="24"/>
      <w:szCs w:val="24"/>
    </w:rPr>
  </w:style>
  <w:style w:type="character" w:customStyle="1" w:styleId="146">
    <w:name w:val="彩色列表 - 着色 1 字符"/>
    <w:link w:val="147"/>
    <w:qFormat/>
    <w:uiPriority w:val="0"/>
    <w:rPr>
      <w:rFonts w:ascii="Calibri" w:hAnsi="Calibri"/>
    </w:rPr>
  </w:style>
  <w:style w:type="paragraph" w:customStyle="1" w:styleId="147">
    <w:name w:val="彩色列表 - 着色 11"/>
    <w:basedOn w:val="1"/>
    <w:link w:val="146"/>
    <w:qFormat/>
    <w:uiPriority w:val="0"/>
    <w:pPr>
      <w:ind w:firstLine="420" w:firstLineChars="200"/>
    </w:pPr>
    <w:rPr>
      <w:rFonts w:ascii="Calibri" w:hAnsi="Calibri"/>
    </w:rPr>
  </w:style>
  <w:style w:type="character" w:customStyle="1" w:styleId="148">
    <w:name w:val="纯文本 Char"/>
    <w:qFormat/>
    <w:uiPriority w:val="0"/>
    <w:rPr>
      <w:rFonts w:ascii="宋体" w:hAnsi="Courier New" w:eastAsia="宋体" w:cs="Times New Roman"/>
      <w:szCs w:val="20"/>
    </w:rPr>
  </w:style>
  <w:style w:type="character" w:customStyle="1" w:styleId="149">
    <w:name w:val="标题 6 字符1"/>
    <w:link w:val="7"/>
    <w:qFormat/>
    <w:uiPriority w:val="9"/>
    <w:rPr>
      <w:rFonts w:ascii="Times New Roman" w:hAnsi="Calibri" w:eastAsia="黑体" w:cs="Times New Roman"/>
      <w:b/>
      <w:bCs/>
      <w:kern w:val="0"/>
      <w:sz w:val="28"/>
      <w:szCs w:val="24"/>
    </w:rPr>
  </w:style>
  <w:style w:type="character" w:customStyle="1" w:styleId="150">
    <w:name w:val="正文文本 2 字符"/>
    <w:link w:val="37"/>
    <w:qFormat/>
    <w:uiPriority w:val="0"/>
    <w:rPr>
      <w:rFonts w:ascii="Arial" w:hAnsi="Arial" w:eastAsia="宋体" w:cs="Times New Roman"/>
      <w:color w:val="000000"/>
      <w:szCs w:val="24"/>
    </w:rPr>
  </w:style>
  <w:style w:type="character" w:customStyle="1" w:styleId="151">
    <w:name w:val="标题 3 字符1"/>
    <w:link w:val="2"/>
    <w:qFormat/>
    <w:uiPriority w:val="0"/>
    <w:rPr>
      <w:rFonts w:ascii="宋体" w:hAnsi="Calibri" w:eastAsia="宋体" w:cs="Times New Roman"/>
      <w:kern w:val="0"/>
      <w:sz w:val="24"/>
      <w:szCs w:val="24"/>
    </w:rPr>
  </w:style>
  <w:style w:type="character" w:customStyle="1" w:styleId="152">
    <w:name w:val="正文文本缩进 2 字符1"/>
    <w:semiHidden/>
    <w:qFormat/>
    <w:uiPriority w:val="99"/>
    <w:rPr>
      <w:rFonts w:ascii="宋体" w:hAnsi="Calibri" w:eastAsia="宋体" w:cs="Times New Roman"/>
      <w:kern w:val="0"/>
      <w:sz w:val="24"/>
      <w:szCs w:val="24"/>
    </w:rPr>
  </w:style>
  <w:style w:type="character" w:customStyle="1" w:styleId="153">
    <w:name w:val="正文文本缩进 3 字符1"/>
    <w:semiHidden/>
    <w:qFormat/>
    <w:uiPriority w:val="99"/>
    <w:rPr>
      <w:rFonts w:ascii="宋体" w:hAnsi="Calibri" w:eastAsia="宋体" w:cs="Times New Roman"/>
      <w:kern w:val="0"/>
      <w:sz w:val="16"/>
      <w:szCs w:val="16"/>
    </w:rPr>
  </w:style>
  <w:style w:type="character" w:customStyle="1" w:styleId="154">
    <w:name w:val="正文文本 2 字符1"/>
    <w:semiHidden/>
    <w:qFormat/>
    <w:uiPriority w:val="99"/>
    <w:rPr>
      <w:rFonts w:ascii="宋体" w:hAnsi="Calibri" w:eastAsia="宋体" w:cs="Times New Roman"/>
      <w:kern w:val="0"/>
      <w:sz w:val="24"/>
      <w:szCs w:val="24"/>
    </w:rPr>
  </w:style>
  <w:style w:type="character" w:customStyle="1" w:styleId="155">
    <w:name w:val="eschoolnr"/>
    <w:qFormat/>
    <w:uiPriority w:val="0"/>
    <w:rPr>
      <w:sz w:val="23"/>
      <w:szCs w:val="23"/>
    </w:rPr>
  </w:style>
  <w:style w:type="character" w:customStyle="1" w:styleId="156">
    <w:name w:val="访问过的超链接1"/>
    <w:qFormat/>
    <w:uiPriority w:val="0"/>
    <w:rPr>
      <w:rFonts w:ascii="Arial" w:hAnsi="Arial" w:cs="Arial"/>
      <w:color w:val="000000"/>
      <w:sz w:val="20"/>
      <w:szCs w:val="20"/>
      <w:u w:val="none"/>
    </w:rPr>
  </w:style>
  <w:style w:type="character" w:customStyle="1" w:styleId="157">
    <w:name w:val="标题 1 字符1"/>
    <w:link w:val="3"/>
    <w:qFormat/>
    <w:uiPriority w:val="0"/>
    <w:rPr>
      <w:rFonts w:ascii="宋体" w:hAnsi="Calibri" w:eastAsia="宋体" w:cs="Times New Roman"/>
      <w:kern w:val="0"/>
      <w:sz w:val="24"/>
      <w:szCs w:val="24"/>
    </w:rPr>
  </w:style>
  <w:style w:type="character" w:customStyle="1" w:styleId="158">
    <w:name w:val="批注文字 Char1"/>
    <w:qFormat/>
    <w:uiPriority w:val="0"/>
    <w:rPr>
      <w:kern w:val="2"/>
      <w:sz w:val="21"/>
      <w:szCs w:val="24"/>
    </w:rPr>
  </w:style>
  <w:style w:type="character" w:customStyle="1" w:styleId="159">
    <w:name w:val="批注框文本 Char"/>
    <w:semiHidden/>
    <w:qFormat/>
    <w:uiPriority w:val="99"/>
    <w:rPr>
      <w:kern w:val="2"/>
      <w:sz w:val="18"/>
      <w:szCs w:val="18"/>
    </w:rPr>
  </w:style>
  <w:style w:type="character" w:customStyle="1" w:styleId="160">
    <w:name w:val="DAS正文 Char"/>
    <w:qFormat/>
    <w:uiPriority w:val="0"/>
    <w:rPr>
      <w:rFonts w:ascii="Verdana" w:hAnsi="Verdana" w:eastAsia="宋体"/>
      <w:kern w:val="2"/>
      <w:sz w:val="21"/>
      <w:szCs w:val="21"/>
      <w:lang w:val="en-US" w:eastAsia="zh-CN" w:bidi="ar-SA"/>
    </w:rPr>
  </w:style>
  <w:style w:type="character" w:customStyle="1" w:styleId="161">
    <w:name w:val="正文文本缩进 3 字符"/>
    <w:link w:val="34"/>
    <w:qFormat/>
    <w:uiPriority w:val="0"/>
    <w:rPr>
      <w:rFonts w:ascii="宋体" w:hAnsi="Times New Roman" w:eastAsia="宋体" w:cs="Times New Roman"/>
      <w:kern w:val="0"/>
      <w:sz w:val="24"/>
      <w:szCs w:val="24"/>
    </w:rPr>
  </w:style>
  <w:style w:type="character" w:customStyle="1" w:styleId="162">
    <w:name w:val="页眉 Char"/>
    <w:qFormat/>
    <w:uiPriority w:val="99"/>
    <w:rPr>
      <w:kern w:val="2"/>
      <w:sz w:val="18"/>
      <w:szCs w:val="18"/>
    </w:rPr>
  </w:style>
  <w:style w:type="character" w:customStyle="1" w:styleId="163">
    <w:name w:val="正文文本 3 字符"/>
    <w:link w:val="18"/>
    <w:qFormat/>
    <w:uiPriority w:val="0"/>
    <w:rPr>
      <w:rFonts w:ascii="宋体" w:hAnsi="Times New Roman" w:eastAsia="宋体" w:cs="Times New Roman"/>
      <w:b/>
      <w:bCs/>
      <w:color w:val="3366FF"/>
      <w:sz w:val="52"/>
      <w:szCs w:val="52"/>
      <w:lang w:val="zh-CN"/>
    </w:rPr>
  </w:style>
  <w:style w:type="character" w:customStyle="1" w:styleId="164">
    <w:name w:val="HTML 预设格式 字符1"/>
    <w:semiHidden/>
    <w:qFormat/>
    <w:uiPriority w:val="99"/>
    <w:rPr>
      <w:rFonts w:ascii="Courier New" w:hAnsi="Courier New" w:eastAsia="宋体" w:cs="Courier New"/>
      <w:kern w:val="0"/>
      <w:sz w:val="20"/>
      <w:szCs w:val="20"/>
    </w:rPr>
  </w:style>
  <w:style w:type="character" w:customStyle="1" w:styleId="165">
    <w:name w:val="彩色列表 - 强调文字颜色 1 Char"/>
    <w:link w:val="166"/>
    <w:qFormat/>
    <w:uiPriority w:val="0"/>
    <w:rPr>
      <w:rFonts w:ascii="宋体"/>
      <w:sz w:val="24"/>
      <w:szCs w:val="24"/>
    </w:rPr>
  </w:style>
  <w:style w:type="paragraph" w:customStyle="1" w:styleId="166">
    <w:name w:val="彩色列表 - 强调文字颜色 11"/>
    <w:basedOn w:val="1"/>
    <w:link w:val="165"/>
    <w:qFormat/>
    <w:uiPriority w:val="0"/>
    <w:pPr>
      <w:autoSpaceDE w:val="0"/>
      <w:autoSpaceDN w:val="0"/>
      <w:adjustRightInd w:val="0"/>
      <w:ind w:firstLine="420" w:firstLineChars="200"/>
      <w:jc w:val="left"/>
    </w:pPr>
    <w:rPr>
      <w:rFonts w:ascii="宋体"/>
      <w:sz w:val="24"/>
      <w:szCs w:val="24"/>
    </w:rPr>
  </w:style>
  <w:style w:type="character" w:customStyle="1" w:styleId="167">
    <w:name w:val="普通(网站) 字符"/>
    <w:qFormat/>
    <w:locked/>
    <w:uiPriority w:val="99"/>
    <w:rPr>
      <w:rFonts w:ascii="宋体" w:hAnsi="宋体" w:eastAsia="宋体" w:cs="Times New Roman"/>
      <w:kern w:val="0"/>
      <w:sz w:val="15"/>
      <w:szCs w:val="15"/>
      <w:lang w:val="en-US" w:eastAsia="zh-CN"/>
    </w:rPr>
  </w:style>
  <w:style w:type="paragraph" w:customStyle="1" w:styleId="168">
    <w:name w:val="_Style 123"/>
    <w:basedOn w:val="1"/>
    <w:next w:val="136"/>
    <w:qFormat/>
    <w:uiPriority w:val="34"/>
    <w:pPr>
      <w:spacing w:line="360" w:lineRule="auto"/>
      <w:ind w:firstLine="420" w:firstLineChars="200"/>
    </w:pPr>
    <w:rPr>
      <w:rFonts w:ascii="Calibri" w:hAnsi="Calibri" w:eastAsia="宋体" w:cs="Times New Roman"/>
    </w:rPr>
  </w:style>
  <w:style w:type="character" w:customStyle="1" w:styleId="169">
    <w:name w:val="纯文本 字符4"/>
    <w:basedOn w:val="46"/>
    <w:semiHidden/>
    <w:qFormat/>
    <w:uiPriority w:val="99"/>
    <w:rPr>
      <w:rFonts w:hAnsi="Courier New" w:cs="Courier New" w:asciiTheme="minorEastAsia"/>
    </w:rPr>
  </w:style>
  <w:style w:type="character" w:customStyle="1" w:styleId="170">
    <w:name w:val="批注文字 字符4"/>
    <w:basedOn w:val="46"/>
    <w:link w:val="17"/>
    <w:semiHidden/>
    <w:qFormat/>
    <w:uiPriority w:val="99"/>
  </w:style>
  <w:style w:type="character" w:customStyle="1" w:styleId="171">
    <w:name w:val="批注主题 字符2"/>
    <w:basedOn w:val="170"/>
    <w:semiHidden/>
    <w:qFormat/>
    <w:uiPriority w:val="99"/>
    <w:rPr>
      <w:b/>
      <w:bCs/>
    </w:rPr>
  </w:style>
  <w:style w:type="character" w:customStyle="1" w:styleId="172">
    <w:name w:val="标题 字符3"/>
    <w:basedOn w:val="46"/>
    <w:qFormat/>
    <w:uiPriority w:val="10"/>
    <w:rPr>
      <w:rFonts w:asciiTheme="majorHAnsi" w:hAnsiTheme="majorHAnsi" w:eastAsiaTheme="majorEastAsia" w:cstheme="majorBidi"/>
      <w:b/>
      <w:bCs/>
      <w:sz w:val="32"/>
      <w:szCs w:val="32"/>
    </w:rPr>
  </w:style>
  <w:style w:type="character" w:customStyle="1" w:styleId="173">
    <w:name w:val="正文文本缩进 字符3"/>
    <w:basedOn w:val="46"/>
    <w:semiHidden/>
    <w:qFormat/>
    <w:uiPriority w:val="99"/>
  </w:style>
  <w:style w:type="character" w:customStyle="1" w:styleId="174">
    <w:name w:val="正文文本 字符4"/>
    <w:basedOn w:val="46"/>
    <w:semiHidden/>
    <w:qFormat/>
    <w:uiPriority w:val="99"/>
  </w:style>
  <w:style w:type="character" w:customStyle="1" w:styleId="175">
    <w:name w:val="正文文本缩进 3 字符2"/>
    <w:basedOn w:val="46"/>
    <w:semiHidden/>
    <w:qFormat/>
    <w:uiPriority w:val="99"/>
    <w:rPr>
      <w:sz w:val="16"/>
      <w:szCs w:val="16"/>
    </w:rPr>
  </w:style>
  <w:style w:type="character" w:customStyle="1" w:styleId="176">
    <w:name w:val="页眉 字符2"/>
    <w:basedOn w:val="46"/>
    <w:semiHidden/>
    <w:qFormat/>
    <w:uiPriority w:val="99"/>
    <w:rPr>
      <w:sz w:val="18"/>
      <w:szCs w:val="18"/>
    </w:rPr>
  </w:style>
  <w:style w:type="character" w:customStyle="1" w:styleId="177">
    <w:name w:val="批注框文本 字符2"/>
    <w:basedOn w:val="46"/>
    <w:semiHidden/>
    <w:qFormat/>
    <w:uiPriority w:val="99"/>
    <w:rPr>
      <w:sz w:val="18"/>
      <w:szCs w:val="18"/>
    </w:rPr>
  </w:style>
  <w:style w:type="character" w:customStyle="1" w:styleId="178">
    <w:name w:val="HTML 预设格式 字符2"/>
    <w:basedOn w:val="46"/>
    <w:semiHidden/>
    <w:qFormat/>
    <w:uiPriority w:val="99"/>
    <w:rPr>
      <w:rFonts w:ascii="Courier New" w:hAnsi="Courier New" w:cs="Courier New"/>
      <w:sz w:val="20"/>
      <w:szCs w:val="20"/>
    </w:rPr>
  </w:style>
  <w:style w:type="character" w:customStyle="1" w:styleId="179">
    <w:name w:val="页脚 字符2"/>
    <w:basedOn w:val="46"/>
    <w:semiHidden/>
    <w:qFormat/>
    <w:uiPriority w:val="99"/>
    <w:rPr>
      <w:sz w:val="18"/>
      <w:szCs w:val="18"/>
    </w:rPr>
  </w:style>
  <w:style w:type="character" w:customStyle="1" w:styleId="180">
    <w:name w:val="正文文本缩进 2 字符2"/>
    <w:basedOn w:val="46"/>
    <w:semiHidden/>
    <w:qFormat/>
    <w:uiPriority w:val="99"/>
  </w:style>
  <w:style w:type="character" w:customStyle="1" w:styleId="181">
    <w:name w:val="正文文本 3 字符2"/>
    <w:basedOn w:val="46"/>
    <w:semiHidden/>
    <w:qFormat/>
    <w:uiPriority w:val="99"/>
    <w:rPr>
      <w:sz w:val="16"/>
      <w:szCs w:val="16"/>
    </w:rPr>
  </w:style>
  <w:style w:type="character" w:customStyle="1" w:styleId="182">
    <w:name w:val="正文文本 2 字符2"/>
    <w:basedOn w:val="46"/>
    <w:semiHidden/>
    <w:qFormat/>
    <w:uiPriority w:val="99"/>
  </w:style>
  <w:style w:type="paragraph" w:customStyle="1" w:styleId="183">
    <w:name w:val="WPSOffice手动目录 3"/>
    <w:qFormat/>
    <w:uiPriority w:val="0"/>
    <w:pPr>
      <w:ind w:left="400" w:leftChars="400"/>
    </w:pPr>
    <w:rPr>
      <w:rFonts w:ascii="Calibri" w:hAnsi="Calibri" w:eastAsia="宋体" w:cs="Times New Roman"/>
      <w:lang w:val="en-US" w:eastAsia="zh-CN" w:bidi="ar-SA"/>
    </w:rPr>
  </w:style>
  <w:style w:type="paragraph" w:customStyle="1" w:styleId="184">
    <w:name w:val="列表段落1"/>
    <w:basedOn w:val="1"/>
    <w:qFormat/>
    <w:uiPriority w:val="0"/>
    <w:pPr>
      <w:ind w:firstLine="420" w:firstLineChars="200"/>
    </w:pPr>
    <w:rPr>
      <w:rFonts w:ascii="Times New Roman" w:hAnsi="Times New Roman" w:eastAsia="宋体" w:cs="Times New Roman"/>
      <w:szCs w:val="20"/>
    </w:rPr>
  </w:style>
  <w:style w:type="character" w:customStyle="1" w:styleId="185">
    <w:name w:val="文档结构图 字符2"/>
    <w:basedOn w:val="46"/>
    <w:semiHidden/>
    <w:qFormat/>
    <w:uiPriority w:val="99"/>
    <w:rPr>
      <w:rFonts w:ascii="Microsoft YaHei UI" w:eastAsia="Microsoft YaHei UI"/>
      <w:sz w:val="18"/>
      <w:szCs w:val="18"/>
    </w:rPr>
  </w:style>
  <w:style w:type="character" w:customStyle="1" w:styleId="186">
    <w:name w:val="日期 字符2"/>
    <w:basedOn w:val="46"/>
    <w:semiHidden/>
    <w:qFormat/>
    <w:uiPriority w:val="99"/>
  </w:style>
  <w:style w:type="paragraph" w:customStyle="1" w:styleId="187">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8">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9">
    <w:name w:val="修订1"/>
    <w:semiHidden/>
    <w:qFormat/>
    <w:uiPriority w:val="99"/>
    <w:rPr>
      <w:rFonts w:ascii="宋体" w:hAnsi="Calibri" w:eastAsia="宋体" w:cs="Times New Roman"/>
      <w:sz w:val="24"/>
      <w:szCs w:val="24"/>
      <w:lang w:val="en-US" w:eastAsia="zh-CN" w:bidi="ar-SA"/>
    </w:rPr>
  </w:style>
  <w:style w:type="paragraph" w:customStyle="1" w:styleId="190">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2">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3">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4">
    <w:name w:val="p0"/>
    <w:basedOn w:val="1"/>
    <w:qFormat/>
    <w:uiPriority w:val="0"/>
    <w:pPr>
      <w:widowControl/>
    </w:pPr>
    <w:rPr>
      <w:rFonts w:ascii="Times New Roman" w:hAnsi="Calibri" w:eastAsia="宋体" w:cs="Times New Roman"/>
      <w:kern w:val="0"/>
      <w:szCs w:val="20"/>
    </w:rPr>
  </w:style>
  <w:style w:type="paragraph" w:customStyle="1" w:styleId="195">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7">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WPSOffice手动目录 1"/>
    <w:qFormat/>
    <w:uiPriority w:val="0"/>
    <w:rPr>
      <w:rFonts w:ascii="Calibri" w:hAnsi="Calibri" w:eastAsia="宋体" w:cs="Times New Roman"/>
      <w:lang w:val="en-US" w:eastAsia="zh-CN" w:bidi="ar-SA"/>
    </w:rPr>
  </w:style>
  <w:style w:type="paragraph" w:customStyle="1" w:styleId="199">
    <w:name w:val="_Style 69"/>
    <w:basedOn w:val="1"/>
    <w:next w:val="136"/>
    <w:qFormat/>
    <w:uiPriority w:val="34"/>
    <w:pPr>
      <w:spacing w:line="360" w:lineRule="auto"/>
      <w:ind w:firstLine="420" w:firstLineChars="200"/>
    </w:pPr>
    <w:rPr>
      <w:rFonts w:ascii="Calibri" w:hAnsi="Calibri" w:eastAsia="宋体" w:cs="Times New Roman"/>
    </w:rPr>
  </w:style>
  <w:style w:type="paragraph" w:customStyle="1" w:styleId="20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1">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2">
    <w:name w:val="彩色底纹 - 着色 11"/>
    <w:semiHidden/>
    <w:qFormat/>
    <w:uiPriority w:val="99"/>
    <w:rPr>
      <w:rFonts w:ascii="宋体" w:hAnsi="Calibri" w:eastAsia="宋体" w:cs="Times New Roman"/>
      <w:sz w:val="24"/>
      <w:szCs w:val="24"/>
      <w:lang w:val="en-US" w:eastAsia="zh-CN" w:bidi="ar-SA"/>
    </w:rPr>
  </w:style>
  <w:style w:type="paragraph" w:customStyle="1" w:styleId="203">
    <w:name w:val="WPSOffice手动目录 2"/>
    <w:qFormat/>
    <w:uiPriority w:val="0"/>
    <w:pPr>
      <w:ind w:left="200" w:leftChars="200"/>
    </w:pPr>
    <w:rPr>
      <w:rFonts w:ascii="Calibri" w:hAnsi="Calibri" w:eastAsia="宋体" w:cs="Times New Roman"/>
      <w:lang w:val="en-US" w:eastAsia="zh-CN" w:bidi="ar-SA"/>
    </w:rPr>
  </w:style>
  <w:style w:type="paragraph" w:customStyle="1" w:styleId="204">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5">
    <w:name w:val="表格文字居中"/>
    <w:basedOn w:val="129"/>
    <w:qFormat/>
    <w:uiPriority w:val="0"/>
    <w:pPr>
      <w:jc w:val="center"/>
    </w:pPr>
    <w:rPr>
      <w:rFonts w:cs="宋体"/>
      <w:szCs w:val="20"/>
    </w:rPr>
  </w:style>
  <w:style w:type="paragraph" w:customStyle="1" w:styleId="206">
    <w:name w:val="正文缩进4格"/>
    <w:basedOn w:val="70"/>
    <w:qFormat/>
    <w:uiPriority w:val="0"/>
    <w:pPr>
      <w:spacing w:line="360" w:lineRule="auto"/>
      <w:ind w:left="964" w:leftChars="314" w:hanging="210" w:hangingChars="100"/>
    </w:pPr>
    <w:rPr>
      <w:rFonts w:ascii="宋体" w:eastAsia="宋体"/>
      <w:sz w:val="21"/>
      <w:szCs w:val="21"/>
      <w:lang w:val="zh-CN"/>
    </w:rPr>
  </w:style>
  <w:style w:type="paragraph" w:customStyle="1" w:styleId="207">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8">
    <w:name w:val="正文首行缩进 字符"/>
    <w:basedOn w:val="125"/>
    <w:link w:val="42"/>
    <w:semiHidden/>
    <w:qFormat/>
    <w:uiPriority w:val="99"/>
    <w:rPr>
      <w:rFonts w:ascii="宋体" w:eastAsia="宋体"/>
      <w:b w:val="0"/>
      <w:bCs w:val="0"/>
      <w:sz w:val="84"/>
      <w:szCs w:val="84"/>
      <w:lang w:val="zh-CN"/>
    </w:rPr>
  </w:style>
  <w:style w:type="paragraph" w:customStyle="1" w:styleId="20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0">
    <w:name w:val="页脚 字符"/>
    <w:basedOn w:val="46"/>
    <w:link w:val="28"/>
    <w:qFormat/>
    <w:uiPriority w:val="0"/>
    <w:rPr>
      <w:kern w:val="2"/>
      <w:sz w:val="18"/>
    </w:rPr>
  </w:style>
  <w:style w:type="paragraph" w:customStyle="1" w:styleId="211">
    <w:name w:val="Table Text"/>
    <w:basedOn w:val="1"/>
    <w:link w:val="212"/>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2">
    <w:name w:val="Table Text Char1"/>
    <w:basedOn w:val="46"/>
    <w:link w:val="211"/>
    <w:qFormat/>
    <w:uiPriority w:val="0"/>
    <w:rPr>
      <w:rFonts w:hint="default" w:ascii="Arial" w:hAnsi="Arial" w:cs="Arial"/>
      <w:snapToGrid/>
      <w:sz w:val="21"/>
      <w:szCs w:val="21"/>
    </w:rPr>
  </w:style>
  <w:style w:type="table" w:customStyle="1" w:styleId="213">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4">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5">
    <w:name w:val="+列表1"/>
    <w:basedOn w:val="1"/>
    <w:qFormat/>
    <w:uiPriority w:val="0"/>
    <w:pPr>
      <w:jc w:val="center"/>
    </w:pPr>
    <w:rPr>
      <w:sz w:val="24"/>
    </w:rPr>
  </w:style>
  <w:style w:type="paragraph" w:customStyle="1" w:styleId="216">
    <w:name w:val="ZW-表格内"/>
    <w:basedOn w:val="217"/>
    <w:qFormat/>
    <w:uiPriority w:val="0"/>
    <w:pPr>
      <w:spacing w:line="240" w:lineRule="auto"/>
      <w:ind w:firstLine="0" w:firstLineChars="0"/>
      <w:jc w:val="center"/>
    </w:pPr>
    <w:rPr>
      <w:sz w:val="21"/>
    </w:rPr>
  </w:style>
  <w:style w:type="paragraph" w:customStyle="1" w:styleId="217">
    <w:name w:val="ZW"/>
    <w:qFormat/>
    <w:uiPriority w:val="0"/>
    <w:pPr>
      <w:widowControl w:val="0"/>
      <w:snapToGrid w:val="0"/>
      <w:spacing w:line="360" w:lineRule="auto"/>
      <w:ind w:firstLine="200" w:firstLineChars="200"/>
      <w:jc w:val="both"/>
    </w:pPr>
    <w:rPr>
      <w:rFonts w:ascii="Times New Roman" w:hAnsi="Times New Roman" w:eastAsia="宋体" w:cs="Times New Roman"/>
      <w:bCs/>
      <w:kern w:val="2"/>
      <w:sz w:val="24"/>
      <w:szCs w:val="32"/>
      <w:lang w:val="en-US" w:eastAsia="zh-CN" w:bidi="ar-SA"/>
    </w:rPr>
  </w:style>
  <w:style w:type="paragraph" w:customStyle="1" w:styleId="218">
    <w:name w:val="正文[858D7CFB-ED40-4347-BF05-701D383B685F][858D7CFB-ED40-4347-BF05-701D383B685F]"/>
    <w:qFormat/>
    <w:uiPriority w:val="0"/>
    <w:pPr>
      <w:widowControl w:val="0"/>
      <w:spacing w:line="360" w:lineRule="auto"/>
      <w:ind w:firstLine="200"/>
      <w:jc w:val="both"/>
    </w:pPr>
    <w:rPr>
      <w:rFonts w:ascii="Lucida Grande" w:hAnsi="Lucida Grande" w:eastAsia="宋体" w:cs="Times New Roman"/>
      <w:color w:val="000000"/>
      <w:kern w:val="2"/>
      <w:sz w:val="24"/>
      <w:lang w:val="en-US" w:eastAsia="zh-CN" w:bidi="ar-SA"/>
    </w:rPr>
  </w:style>
  <w:style w:type="character" w:customStyle="1" w:styleId="219">
    <w:name w:val="标题 2 字符1"/>
    <w:link w:val="4"/>
    <w:qFormat/>
    <w:uiPriority w:val="0"/>
    <w:rPr>
      <w:rFonts w:ascii="Arial" w:hAnsi="Arial" w:eastAsia="宋体"/>
      <w:b/>
      <w:bCs/>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224</Pages>
  <Words>154116</Words>
  <Characters>166833</Characters>
  <Lines>1</Lines>
  <Paragraphs>1</Paragraphs>
  <TotalTime>14</TotalTime>
  <ScaleCrop>false</ScaleCrop>
  <LinksUpToDate>false</LinksUpToDate>
  <CharactersWithSpaces>170680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2023-07-20T18:55:00Z</dcterms:created>
  <dc:creator>HS</dc:creator>
  <cp:lastModifiedBy>三方诚信招标-陈工</cp:lastModifiedBy>
  <cp:lastPrinted>2025-05-10T22:45:00Z</cp:lastPrinted>
  <dcterms:modified xsi:type="dcterms:W3CDTF">2025-11-24T09:51:23Z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31EAB84E39034D9BB7BB773E73075E03_13</vt:lpwstr>
  </property>
  <property fmtid="{D5CDD505-2E9C-101B-9397-08002B2CF9AE}" pid="4" name="KSOTemplateDocerSaveRecord">
    <vt:lpwstr>eyJoZGlkIjoiYjMzMzhiOTFjZGY5M2E2YWJlOWE5MTc3MmJkYzgyNTEiLCJ1c2VySWQiOiI2NzY1NDA5NDgifQ==</vt:lpwstr>
  </property>
</Properties>
</file>