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127025E0">
      <w:pPr>
        <w:spacing w:line="360" w:lineRule="auto"/>
        <w:ind w:right="-26"/>
        <w:jc w:val="center"/>
        <w:rPr>
          <w:rFonts w:hint="eastAsia" w:hAnsi="宋体" w:cs="宋体"/>
          <w:b/>
          <w:bCs/>
          <w:kern w:val="2"/>
          <w:sz w:val="48"/>
          <w:szCs w:val="48"/>
          <w:lang w:val="zh-CN"/>
        </w:rPr>
      </w:pPr>
      <w:r>
        <w:rPr>
          <w:rFonts w:hint="eastAsia" w:hAnsi="宋体" w:cs="宋体"/>
          <w:b/>
          <w:bCs/>
          <w:kern w:val="2"/>
          <w:sz w:val="48"/>
          <w:szCs w:val="48"/>
          <w:lang w:val="zh-CN"/>
        </w:rPr>
        <w:t>东莞市石鼓净水有限公司</w:t>
      </w:r>
    </w:p>
    <w:p w14:paraId="57CFDDF0">
      <w:pPr>
        <w:spacing w:line="360" w:lineRule="auto"/>
        <w:ind w:right="-26"/>
        <w:jc w:val="center"/>
        <w:rPr>
          <w:rFonts w:hint="eastAsia" w:hAnsi="宋体" w:cs="宋体"/>
          <w:b/>
          <w:bCs/>
          <w:kern w:val="2"/>
          <w:sz w:val="48"/>
          <w:szCs w:val="48"/>
          <w:lang w:val="zh-CN"/>
        </w:rPr>
      </w:pPr>
      <w:r>
        <w:rPr>
          <w:rFonts w:hint="eastAsia" w:hAnsi="宋体" w:cs="宋体"/>
          <w:b/>
          <w:bCs/>
          <w:kern w:val="2"/>
          <w:sz w:val="48"/>
          <w:szCs w:val="48"/>
          <w:lang w:val="zh-CN"/>
        </w:rPr>
        <w:t>2025年第四季度办公设备采购项目</w:t>
      </w:r>
    </w:p>
    <w:p w14:paraId="0018FCBA">
      <w:pPr>
        <w:spacing w:line="360" w:lineRule="auto"/>
        <w:ind w:right="-26"/>
        <w:jc w:val="center"/>
        <w:rPr>
          <w:rFonts w:hint="eastAsia" w:hAnsi="宋体"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int="eastAsia" w:hAnsi="宋体" w:eastAsia="宋体" w:cs="宋体"/>
          <w:b/>
          <w:bCs/>
          <w:sz w:val="32"/>
          <w:szCs w:val="32"/>
          <w:lang w:eastAsia="zh-CN"/>
        </w:rPr>
      </w:pPr>
      <w:bookmarkStart w:id="0" w:name="_Hlk26971294"/>
      <w:r>
        <w:rPr>
          <w:rFonts w:hint="eastAsia" w:hAnsi="宋体" w:cs="宋体"/>
          <w:b/>
          <w:bCs/>
          <w:spacing w:val="28"/>
          <w:sz w:val="32"/>
          <w:szCs w:val="32"/>
          <w:lang w:eastAsia="zh-CN"/>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002783D1">
          <w:pPr>
            <w:pStyle w:val="15"/>
            <w:tabs>
              <w:tab w:val="right" w:leader="dot" w:pos="8300"/>
              <w:tab w:val="clear" w:pos="8296"/>
            </w:tabs>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ascii="Times New Roman"/>
              <w:szCs w:val="40"/>
            </w:rPr>
            <w:fldChar w:fldCharType="begin"/>
          </w:r>
          <w:r>
            <w:rPr>
              <w:rFonts w:ascii="Times New Roman"/>
              <w:szCs w:val="40"/>
            </w:rPr>
            <w:instrText xml:space="preserve"> HYPERLINK \l _Toc32583 </w:instrText>
          </w:r>
          <w:r>
            <w:rPr>
              <w:rFonts w:ascii="Times New Roman"/>
              <w:szCs w:val="40"/>
            </w:rPr>
            <w:fldChar w:fldCharType="separate"/>
          </w:r>
          <w:r>
            <w:rPr>
              <w:rFonts w:hint="eastAsia" w:hAnsi="宋体" w:cs="宋体"/>
              <w:szCs w:val="32"/>
            </w:rPr>
            <w:t>第一章 询价邀请函</w:t>
          </w:r>
          <w:r>
            <w:tab/>
          </w:r>
          <w:r>
            <w:fldChar w:fldCharType="begin"/>
          </w:r>
          <w:r>
            <w:instrText xml:space="preserve"> PAGEREF _Toc32583 \h </w:instrText>
          </w:r>
          <w:r>
            <w:fldChar w:fldCharType="separate"/>
          </w:r>
          <w:r>
            <w:t>3</w:t>
          </w:r>
          <w:r>
            <w:fldChar w:fldCharType="end"/>
          </w:r>
          <w:r>
            <w:rPr>
              <w:rFonts w:ascii="Times New Roman"/>
              <w:szCs w:val="40"/>
            </w:rPr>
            <w:fldChar w:fldCharType="end"/>
          </w:r>
        </w:p>
        <w:p w14:paraId="4E5169CC">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_Toc23533 </w:instrText>
          </w:r>
          <w:r>
            <w:rPr>
              <w:rFonts w:ascii="Times New Roman"/>
              <w:szCs w:val="40"/>
              <w:lang w:val="zh-CN"/>
            </w:rPr>
            <w:fldChar w:fldCharType="separate"/>
          </w:r>
          <w:r>
            <w:rPr>
              <w:rFonts w:hint="eastAsia" w:hAnsi="宋体" w:cs="宋体"/>
              <w:szCs w:val="32"/>
            </w:rPr>
            <w:t>第二章 用户需求</w:t>
          </w:r>
          <w:r>
            <w:tab/>
          </w:r>
          <w:r>
            <w:fldChar w:fldCharType="begin"/>
          </w:r>
          <w:r>
            <w:instrText xml:space="preserve"> PAGEREF _Toc23533 \h </w:instrText>
          </w:r>
          <w:r>
            <w:fldChar w:fldCharType="separate"/>
          </w:r>
          <w:r>
            <w:t>4</w:t>
          </w:r>
          <w:r>
            <w:fldChar w:fldCharType="end"/>
          </w:r>
          <w:r>
            <w:rPr>
              <w:rFonts w:ascii="Times New Roman"/>
              <w:szCs w:val="40"/>
              <w:lang w:val="zh-CN"/>
            </w:rPr>
            <w:fldChar w:fldCharType="end"/>
          </w:r>
        </w:p>
        <w:p w14:paraId="41F77A88">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_Toc528 </w:instrText>
          </w:r>
          <w:r>
            <w:rPr>
              <w:rFonts w:ascii="Times New Roman"/>
              <w:szCs w:val="40"/>
              <w:lang w:val="zh-CN"/>
            </w:rPr>
            <w:fldChar w:fldCharType="separate"/>
          </w:r>
          <w:r>
            <w:rPr>
              <w:rFonts w:hint="eastAsia" w:hAnsi="宋体" w:cs="宋体"/>
              <w:szCs w:val="32"/>
            </w:rPr>
            <w:t>第三章 合同条款</w:t>
          </w:r>
          <w:r>
            <w:tab/>
          </w:r>
          <w:r>
            <w:fldChar w:fldCharType="begin"/>
          </w:r>
          <w:r>
            <w:instrText xml:space="preserve"> PAGEREF _Toc528 \h </w:instrText>
          </w:r>
          <w:r>
            <w:fldChar w:fldCharType="separate"/>
          </w:r>
          <w:r>
            <w:t>8</w:t>
          </w:r>
          <w:r>
            <w:fldChar w:fldCharType="end"/>
          </w:r>
          <w:r>
            <w:rPr>
              <w:rFonts w:ascii="Times New Roman"/>
              <w:szCs w:val="40"/>
              <w:lang w:val="zh-CN"/>
            </w:rPr>
            <w:fldChar w:fldCharType="end"/>
          </w:r>
        </w:p>
        <w:p w14:paraId="7AC6E2B1">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_Toc2807 </w:instrText>
          </w:r>
          <w:r>
            <w:rPr>
              <w:rFonts w:ascii="Times New Roman"/>
              <w:szCs w:val="40"/>
              <w:lang w:val="zh-CN"/>
            </w:rPr>
            <w:fldChar w:fldCharType="separate"/>
          </w:r>
          <w:r>
            <w:rPr>
              <w:rFonts w:hint="eastAsia" w:hAnsi="宋体" w:cs="宋体"/>
              <w:szCs w:val="32"/>
            </w:rPr>
            <w:t>第四章 报价须知</w:t>
          </w:r>
          <w:r>
            <w:tab/>
          </w:r>
          <w:bookmarkStart w:id="67" w:name="_GoBack"/>
          <w:bookmarkEnd w:id="67"/>
          <w:r>
            <w:fldChar w:fldCharType="begin"/>
          </w:r>
          <w:r>
            <w:instrText xml:space="preserve"> PAGEREF _Toc2807 \h </w:instrText>
          </w:r>
          <w:r>
            <w:fldChar w:fldCharType="separate"/>
          </w:r>
          <w:r>
            <w:t>34</w:t>
          </w:r>
          <w:r>
            <w:fldChar w:fldCharType="end"/>
          </w:r>
          <w:r>
            <w:rPr>
              <w:rFonts w:ascii="Times New Roman"/>
              <w:szCs w:val="40"/>
              <w:lang w:val="zh-CN"/>
            </w:rPr>
            <w:fldChar w:fldCharType="end"/>
          </w:r>
        </w:p>
        <w:p w14:paraId="0D10989A">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_Toc21695 </w:instrText>
          </w:r>
          <w:r>
            <w:rPr>
              <w:rFonts w:ascii="Times New Roman"/>
              <w:szCs w:val="40"/>
              <w:lang w:val="zh-CN"/>
            </w:rPr>
            <w:fldChar w:fldCharType="separate"/>
          </w:r>
          <w:r>
            <w:rPr>
              <w:rFonts w:hint="eastAsia" w:hAnsi="宋体" w:cs="宋体"/>
              <w:szCs w:val="32"/>
            </w:rPr>
            <w:t>第五章 报价文件（格式）</w:t>
          </w:r>
          <w:r>
            <w:tab/>
          </w:r>
          <w:r>
            <w:fldChar w:fldCharType="begin"/>
          </w:r>
          <w:r>
            <w:instrText xml:space="preserve"> PAGEREF _Toc21695 \h </w:instrText>
          </w:r>
          <w:r>
            <w:fldChar w:fldCharType="separate"/>
          </w:r>
          <w:r>
            <w:t>36</w:t>
          </w:r>
          <w:r>
            <w:fldChar w:fldCharType="end"/>
          </w:r>
          <w:r>
            <w:rPr>
              <w:rFonts w:ascii="Times New Roman"/>
              <w:szCs w:val="40"/>
              <w:lang w:val="zh-CN"/>
            </w:rPr>
            <w:fldChar w:fldCharType="end"/>
          </w:r>
        </w:p>
        <w:p w14:paraId="26734DA7">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32583"/>
      <w:r>
        <w:rPr>
          <w:rFonts w:hint="eastAsia" w:hAnsi="宋体" w:cs="宋体"/>
          <w:szCs w:val="32"/>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rPr>
      </w:pPr>
      <w:r>
        <w:rPr>
          <w:rFonts w:hint="eastAsia" w:hAnsi="宋体" w:cs="宋体"/>
        </w:rPr>
        <w:t>各供应商：</w:t>
      </w:r>
    </w:p>
    <w:p w14:paraId="50A2790C">
      <w:pPr>
        <w:keepNext w:val="0"/>
        <w:keepLines w:val="0"/>
        <w:pageBreakBefore w:val="0"/>
        <w:widowControl w:val="0"/>
        <w:kinsoku/>
        <w:overflowPunct/>
        <w:topLinePunct w:val="0"/>
        <w:autoSpaceDE w:val="0"/>
        <w:autoSpaceDN w:val="0"/>
        <w:bidi w:val="0"/>
        <w:adjustRightInd w:val="0"/>
        <w:snapToGrid/>
        <w:spacing w:line="420" w:lineRule="exact"/>
        <w:ind w:firstLine="480" w:firstLineChars="200"/>
        <w:textAlignment w:val="auto"/>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东莞市石鼓净水有限公司2025年第四季度办公设备采购项目</w:t>
      </w:r>
      <w:r>
        <w:rPr>
          <w:rFonts w:hint="eastAsia" w:hAnsi="宋体" w:cs="宋体"/>
          <w:u w:val="single"/>
        </w:rPr>
        <w:t>”</w:t>
      </w:r>
      <w:r>
        <w:rPr>
          <w:rFonts w:hint="eastAsia" w:hAnsi="宋体" w:cs="宋体"/>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JS-2025-144</w:t>
      </w:r>
    </w:p>
    <w:p w14:paraId="24DCD19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东莞市石鼓净水有限公司2025年第四季度办公设备采购项目</w:t>
      </w:r>
    </w:p>
    <w:p w14:paraId="4662596A">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cs="Times New Roman"/>
          <w:b/>
          <w:bCs/>
          <w:szCs w:val="21"/>
          <w:u w:val="single"/>
          <w:lang w:val="en-US" w:eastAsia="zh-CN"/>
        </w:rPr>
        <w:t>13</w:t>
      </w:r>
      <w:r>
        <w:rPr>
          <w:rFonts w:hint="default" w:ascii="Times New Roman" w:hAnsi="Times New Roman" w:eastAsia="宋体" w:cs="Times New Roman"/>
          <w:b/>
          <w:bCs/>
          <w:szCs w:val="21"/>
          <w:u w:val="single"/>
          <w:lang w:val="en-US" w:eastAsia="zh-CN"/>
        </w:rPr>
        <w:t>,</w:t>
      </w:r>
      <w:r>
        <w:rPr>
          <w:rFonts w:hint="eastAsia" w:ascii="Times New Roman" w:cs="Times New Roman"/>
          <w:b/>
          <w:bCs/>
          <w:szCs w:val="21"/>
          <w:u w:val="single"/>
          <w:lang w:val="en-US" w:eastAsia="zh-CN"/>
        </w:rPr>
        <w:t>044</w:t>
      </w:r>
      <w:r>
        <w:rPr>
          <w:rFonts w:hint="default" w:ascii="Times New Roman" w:hAnsi="Times New Roman" w:eastAsia="宋体" w:cs="Times New Roman"/>
          <w:b/>
          <w:bCs/>
          <w:szCs w:val="21"/>
          <w:u w:val="single"/>
          <w:lang w:val="en-US" w:eastAsia="zh-CN"/>
        </w:rPr>
        <w:t>.</w:t>
      </w:r>
      <w:r>
        <w:rPr>
          <w:rFonts w:hint="eastAsia" w:ascii="Times New Roman" w:cs="Times New Roman"/>
          <w:b/>
          <w:bCs/>
          <w:szCs w:val="21"/>
          <w:u w:val="single"/>
          <w:lang w:val="en-US" w:eastAsia="zh-CN"/>
        </w:rPr>
        <w:t>2</w:t>
      </w:r>
      <w:r>
        <w:rPr>
          <w:rFonts w:hint="default" w:ascii="Times New Roman" w:hAnsi="Times New Roman" w:eastAsia="宋体" w:cs="Times New Roman"/>
          <w:b/>
          <w:bCs/>
          <w:szCs w:val="21"/>
          <w:u w:val="single"/>
          <w:lang w:val="en-US" w:eastAsia="zh-CN"/>
        </w:rPr>
        <w:t>0</w:t>
      </w:r>
      <w:r>
        <w:rPr>
          <w:rFonts w:hint="eastAsia" w:ascii="Times New Roman" w:cs="宋体"/>
        </w:rPr>
        <w:t>元</w:t>
      </w:r>
      <w:r>
        <w:rPr>
          <w:rFonts w:hint="eastAsia"/>
          <w:bCs/>
          <w:color w:val="000000"/>
          <w:szCs w:val="21"/>
        </w:rPr>
        <w:t>。</w:t>
      </w:r>
    </w:p>
    <w:p w14:paraId="460D0821">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rPr>
      </w:pPr>
      <w:r>
        <w:rPr>
          <w:rFonts w:hint="eastAsia" w:hAnsi="宋体" w:cs="宋体"/>
        </w:rPr>
        <w:t>四、采购内容：</w:t>
      </w:r>
      <w:r>
        <w:rPr>
          <w:rFonts w:hint="eastAsia" w:ascii="Times New Roman" w:cs="宋体"/>
          <w:u w:val="single"/>
          <w:lang w:eastAsia="zh-CN"/>
        </w:rPr>
        <w:t>办公设备</w:t>
      </w:r>
      <w:r>
        <w:rPr>
          <w:rFonts w:hint="eastAsia" w:ascii="Times New Roman" w:cs="宋体"/>
          <w:u w:val="single"/>
          <w:lang w:val="en-US" w:eastAsia="zh-CN"/>
        </w:rPr>
        <w:t>一批</w:t>
      </w:r>
      <w:r>
        <w:rPr>
          <w:rFonts w:hint="eastAsia" w:hAnsi="宋体" w:cs="宋体"/>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rPr>
      </w:pPr>
      <w:bookmarkStart w:id="2" w:name="_Hlk27138410"/>
      <w:r>
        <w:rPr>
          <w:rFonts w:hint="eastAsia" w:hAnsi="宋体" w:cs="宋体"/>
        </w:rPr>
        <w:t>五、资质要求：</w:t>
      </w:r>
    </w:p>
    <w:p w14:paraId="35AD0F7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rPr>
      </w:pPr>
      <w:r>
        <w:rPr>
          <w:rFonts w:hAnsi="宋体" w:cs="宋体"/>
        </w:rPr>
        <w:t>1.</w:t>
      </w:r>
      <w:r>
        <w:rPr>
          <w:rFonts w:hint="eastAsia" w:hAnsi="宋体" w:cs="宋体"/>
        </w:rPr>
        <w:t>报价人</w:t>
      </w:r>
      <w:r>
        <w:rPr>
          <w:rFonts w:ascii="Times New Roman"/>
        </w:rPr>
        <w:t>自2022年1月1日以来，至少具备一</w:t>
      </w:r>
      <w:r>
        <w:rPr>
          <w:rFonts w:hint="eastAsia" w:ascii="Times New Roman"/>
          <w:lang w:val="en-US" w:eastAsia="zh-CN"/>
        </w:rPr>
        <w:t>份</w:t>
      </w:r>
      <w:r>
        <w:rPr>
          <w:rFonts w:hint="eastAsia" w:hAnsi="宋体" w:cs="宋体"/>
          <w:u w:val="single"/>
          <w:lang w:val="en-US" w:eastAsia="zh-CN"/>
        </w:rPr>
        <w:t>办公设备</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6F99D709">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w:t>
      </w:r>
      <w:r>
        <w:rPr>
          <w:rFonts w:hint="eastAsia" w:hAnsi="宋体" w:cs="宋体"/>
          <w:b/>
          <w:lang w:val="en-US" w:eastAsia="zh-CN"/>
        </w:rPr>
        <w:t>总价</w:t>
      </w:r>
      <w:r>
        <w:rPr>
          <w:rFonts w:hint="eastAsia" w:hAnsi="宋体" w:cs="宋体"/>
          <w:b/>
        </w:rPr>
        <w:t>最低成交原则确定成交供应商</w:t>
      </w:r>
      <w:r>
        <w:rPr>
          <w:rFonts w:hint="eastAsia" w:hAnsi="宋体" w:cs="宋体"/>
        </w:rPr>
        <w:t>。</w:t>
      </w:r>
    </w:p>
    <w:p w14:paraId="4FB13E3C">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3"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3"/>
      <w:r>
        <w:rPr>
          <w:rFonts w:hint="eastAsia" w:hAnsi="宋体" w:cs="宋体"/>
          <w:color w:val="000000" w:themeColor="text1"/>
          <w14:textFill>
            <w14:solidFill>
              <w14:schemeClr w14:val="tx1"/>
            </w14:solidFill>
          </w14:textFill>
        </w:rPr>
        <w:t>。</w:t>
      </w:r>
    </w:p>
    <w:p w14:paraId="490239E9">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w:t>
      </w:r>
      <w:r>
        <w:rPr>
          <w:rFonts w:hint="eastAsia" w:hAnsi="宋体" w:cs="宋体"/>
          <w:color w:val="000000" w:themeColor="text1"/>
          <w:lang w:eastAsia="zh-CN"/>
          <w14:textFill>
            <w14:solidFill>
              <w14:schemeClr w14:val="tx1"/>
            </w14:solidFill>
          </w14:textFill>
        </w:rPr>
        <w:t>东莞市水务环境投资控股集团净水有限公司招标成本部</w:t>
      </w:r>
      <w:r>
        <w:rPr>
          <w:rFonts w:hint="eastAsia" w:hAnsi="宋体" w:cs="宋体"/>
          <w:color w:val="000000" w:themeColor="text1"/>
          <w14:textFill>
            <w14:solidFill>
              <w14:schemeClr w14:val="tx1"/>
            </w14:solidFill>
          </w14:textFill>
        </w:rPr>
        <w:t>。</w:t>
      </w:r>
    </w:p>
    <w:p w14:paraId="2F70F025">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0F0D8763">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w:t>
      </w:r>
      <w:r>
        <w:rPr>
          <w:rFonts w:hint="eastAsia" w:hAnsi="宋体" w:cs="宋体"/>
          <w:color w:val="000000" w:themeColor="text1"/>
          <w:lang w:eastAsia="zh-CN"/>
          <w14:textFill>
            <w14:solidFill>
              <w14:schemeClr w14:val="tx1"/>
            </w14:solidFill>
          </w14:textFill>
        </w:rPr>
        <w:t>东莞市水务环境投资控股集团净水有限公司</w:t>
      </w:r>
      <w:r>
        <w:rPr>
          <w:rFonts w:hint="eastAsia" w:hAnsi="宋体" w:cs="宋体"/>
          <w:color w:val="000000" w:themeColor="text1"/>
          <w14:textFill>
            <w14:solidFill>
              <w14:schemeClr w14:val="tx1"/>
            </w14:solidFill>
          </w14:textFill>
        </w:rPr>
        <w:t>4楼开标室。</w:t>
      </w:r>
    </w:p>
    <w:p w14:paraId="5077372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十一</w:t>
      </w:r>
      <w:r>
        <w:rPr>
          <w:rFonts w:hint="eastAsia" w:hAnsi="宋体" w:cs="宋体"/>
          <w:color w:val="000000" w:themeColor="text1"/>
          <w14:textFill>
            <w14:solidFill>
              <w14:schemeClr w14:val="tx1"/>
            </w14:solidFill>
          </w14:textFill>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420" w:lineRule="exact"/>
        <w:ind w:left="566" w:leftChars="236" w:firstLine="285"/>
        <w:textAlignment w:val="auto"/>
        <w:rPr>
          <w:rFonts w:hint="eastAsia" w:hAnsi="宋体" w:eastAsia="宋体" w:cs="宋体"/>
          <w:color w:val="000000" w:themeColor="text1"/>
          <w:lang w:eastAsia="zh-CN"/>
          <w14:textFill>
            <w14:solidFill>
              <w14:schemeClr w14:val="tx1"/>
            </w14:solidFill>
          </w14:textFill>
        </w:rPr>
      </w:pPr>
      <w:bookmarkStart w:id="4"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47DFADB2">
      <w:pPr>
        <w:keepNext w:val="0"/>
        <w:keepLines w:val="0"/>
        <w:pageBreakBefore w:val="0"/>
        <w:widowControl w:val="0"/>
        <w:kinsoku/>
        <w:overflowPunct/>
        <w:topLinePunct w:val="0"/>
        <w:autoSpaceDE w:val="0"/>
        <w:autoSpaceDN w:val="0"/>
        <w:bidi w:val="0"/>
        <w:adjustRightInd w:val="0"/>
        <w:snapToGrid/>
        <w:spacing w:line="420" w:lineRule="exact"/>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ascii="Times New Roman" w:cs="宋体"/>
          <w:color w:val="000000" w:themeColor="text1"/>
          <w14:textFill>
            <w14:solidFill>
              <w14:schemeClr w14:val="tx1"/>
            </w14:solidFill>
          </w14:textFill>
        </w:rPr>
        <w:t>0769</w:t>
      </w:r>
      <w:r>
        <w:rPr>
          <w:rFonts w:hint="eastAsia" w:ascii="Times New Roman" w:cs="宋体"/>
          <w:color w:val="000000" w:themeColor="text1"/>
          <w14:textFill>
            <w14:solidFill>
              <w14:schemeClr w14:val="tx1"/>
            </w14:solidFill>
          </w14:textFill>
        </w:rPr>
        <w:t>-23286160</w:t>
      </w:r>
    </w:p>
    <w:p w14:paraId="786BE32B">
      <w:pPr>
        <w:keepNext w:val="0"/>
        <w:keepLines w:val="0"/>
        <w:pageBreakBefore w:val="0"/>
        <w:widowControl w:val="0"/>
        <w:kinsoku/>
        <w:overflowPunct/>
        <w:topLinePunct w:val="0"/>
        <w:autoSpaceDE w:val="0"/>
        <w:autoSpaceDN w:val="0"/>
        <w:bidi w:val="0"/>
        <w:adjustRightInd w:val="0"/>
        <w:snapToGrid/>
        <w:spacing w:line="420" w:lineRule="exact"/>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w:t>
      </w:r>
      <w:r>
        <w:rPr>
          <w:rFonts w:hint="eastAsia" w:hAnsi="宋体" w:cs="宋体"/>
          <w:color w:val="000000" w:themeColor="text1"/>
          <w:lang w:eastAsia="zh-CN"/>
          <w14:textFill>
            <w14:solidFill>
              <w14:schemeClr w14:val="tx1"/>
            </w14:solidFill>
          </w14:textFill>
        </w:rPr>
        <w:t>东莞市水务环境投资控股集团净水有限公司</w:t>
      </w:r>
      <w:r>
        <w:rPr>
          <w:rFonts w:hint="eastAsia" w:hAnsi="宋体" w:cs="宋体"/>
          <w:color w:val="000000" w:themeColor="text1"/>
          <w14:textFill>
            <w14:solidFill>
              <w14:schemeClr w14:val="tx1"/>
            </w14:solidFill>
          </w14:textFill>
        </w:rPr>
        <w:t>）</w:t>
      </w:r>
    </w:p>
    <w:bookmarkEnd w:id="4"/>
    <w:p w14:paraId="2D52040E">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000000" w:themeColor="text1"/>
          <w14:textFill>
            <w14:solidFill>
              <w14:schemeClr w14:val="tx1"/>
            </w14:solidFill>
          </w14:textFill>
        </w:rPr>
      </w:pPr>
    </w:p>
    <w:p w14:paraId="7AD09594">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000000" w:themeColor="text1"/>
          <w14:textFill>
            <w14:solidFill>
              <w14:schemeClr w14:val="tx1"/>
            </w14:solidFill>
          </w14:textFill>
        </w:rPr>
      </w:pPr>
    </w:p>
    <w:p w14:paraId="68A1A502">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000000" w:themeColor="text1"/>
          <w14:textFill>
            <w14:solidFill>
              <w14:schemeClr w14:val="tx1"/>
            </w14:solidFill>
          </w14:textFill>
        </w:rPr>
      </w:pPr>
    </w:p>
    <w:p w14:paraId="11964BA0">
      <w:pPr>
        <w:keepNext w:val="0"/>
        <w:keepLines w:val="0"/>
        <w:pageBreakBefore w:val="0"/>
        <w:widowControl w:val="0"/>
        <w:kinsoku/>
        <w:overflowPunct/>
        <w:topLinePunct w:val="0"/>
        <w:autoSpaceDE w:val="0"/>
        <w:autoSpaceDN w:val="0"/>
        <w:bidi w:val="0"/>
        <w:adjustRightInd w:val="0"/>
        <w:snapToGrid/>
        <w:spacing w:line="420" w:lineRule="exact"/>
        <w:jc w:val="right"/>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420" w:lineRule="exact"/>
        <w:jc w:val="right"/>
        <w:textAlignment w:val="auto"/>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3533"/>
      <w:r>
        <w:rPr>
          <w:rFonts w:hint="eastAsia" w:hAnsi="宋体" w:cs="宋体"/>
          <w:szCs w:val="32"/>
        </w:rPr>
        <w:t>第二章 用户需求</w:t>
      </w:r>
      <w:bookmarkEnd w:id="5"/>
    </w:p>
    <w:p w14:paraId="548B809A">
      <w:pPr>
        <w:rPr>
          <w:rFonts w:hAnsi="宋体"/>
          <w:b/>
        </w:rPr>
      </w:pPr>
      <w:bookmarkStart w:id="6" w:name="_Toc447045087"/>
      <w:bookmarkStart w:id="7" w:name="_Toc447044600"/>
      <w:bookmarkStart w:id="8" w:name="_Toc447044476"/>
    </w:p>
    <w:p w14:paraId="2BAC1119">
      <w:pPr>
        <w:jc w:val="center"/>
        <w:outlineLvl w:val="0"/>
        <w:rPr>
          <w:rFonts w:hint="eastAsia" w:asciiTheme="majorEastAsia" w:hAnsiTheme="majorEastAsia" w:eastAsiaTheme="majorEastAsia" w:cstheme="majorEastAsia"/>
          <w:b/>
          <w:bCs/>
          <w:sz w:val="32"/>
          <w:szCs w:val="32"/>
        </w:rPr>
      </w:pPr>
      <w:bookmarkStart w:id="9" w:name="_Toc27500"/>
      <w:r>
        <w:rPr>
          <w:rFonts w:hint="eastAsia" w:asciiTheme="majorEastAsia" w:hAnsiTheme="majorEastAsia" w:eastAsiaTheme="majorEastAsia" w:cstheme="majorEastAsia"/>
          <w:b/>
          <w:bCs/>
          <w:w w:val="80"/>
          <w:sz w:val="32"/>
          <w:szCs w:val="32"/>
        </w:rPr>
        <w:t>东莞市石鼓净水有限公司</w:t>
      </w:r>
      <w:r>
        <w:rPr>
          <w:rFonts w:hint="default" w:asciiTheme="majorEastAsia" w:hAnsiTheme="majorEastAsia" w:eastAsiaTheme="majorEastAsia" w:cstheme="majorEastAsia"/>
          <w:b/>
          <w:bCs/>
          <w:w w:val="80"/>
          <w:sz w:val="32"/>
          <w:szCs w:val="32"/>
          <w:lang w:val="en-US" w:eastAsia="zh-CN"/>
        </w:rPr>
        <w:t>2025年第</w:t>
      </w:r>
      <w:r>
        <w:rPr>
          <w:rFonts w:hint="eastAsia" w:asciiTheme="majorEastAsia" w:hAnsiTheme="majorEastAsia" w:eastAsiaTheme="majorEastAsia" w:cstheme="majorEastAsia"/>
          <w:b/>
          <w:bCs/>
          <w:w w:val="80"/>
          <w:sz w:val="32"/>
          <w:szCs w:val="32"/>
          <w:lang w:val="en-US" w:eastAsia="zh-CN"/>
        </w:rPr>
        <w:t>四</w:t>
      </w:r>
      <w:r>
        <w:rPr>
          <w:rFonts w:hint="default" w:asciiTheme="majorEastAsia" w:hAnsiTheme="majorEastAsia" w:eastAsiaTheme="majorEastAsia" w:cstheme="majorEastAsia"/>
          <w:b/>
          <w:bCs/>
          <w:w w:val="80"/>
          <w:sz w:val="32"/>
          <w:szCs w:val="32"/>
          <w:lang w:val="en-US" w:eastAsia="zh-CN"/>
        </w:rPr>
        <w:t>季度办公设备采购项目</w:t>
      </w:r>
      <w:r>
        <w:rPr>
          <w:rFonts w:hint="eastAsia" w:asciiTheme="majorEastAsia" w:hAnsiTheme="majorEastAsia" w:eastAsiaTheme="majorEastAsia" w:cstheme="majorEastAsia"/>
          <w:b/>
          <w:bCs/>
          <w:w w:val="80"/>
          <w:sz w:val="32"/>
          <w:szCs w:val="32"/>
        </w:rPr>
        <w:t>用户需求书</w:t>
      </w:r>
      <w:bookmarkEnd w:id="9"/>
    </w:p>
    <w:p w14:paraId="4E40FD05">
      <w:pPr>
        <w:spacing w:line="360" w:lineRule="auto"/>
        <w:outlineLvl w:val="0"/>
      </w:pPr>
      <w:bookmarkStart w:id="10" w:name="_Toc447044602"/>
      <w:bookmarkStart w:id="11" w:name="_Toc447045089"/>
      <w:bookmarkStart w:id="12" w:name="_Toc447044478"/>
    </w:p>
    <w:p w14:paraId="6EAA1FE3">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0"/>
        <w:rPr>
          <w:rFonts w:ascii="Times New Roman" w:hAnsi="Times New Roman" w:eastAsia="宋体" w:cs="Times New Roman"/>
          <w:b/>
          <w:szCs w:val="21"/>
        </w:rPr>
      </w:pPr>
      <w:bookmarkStart w:id="13" w:name="_Toc16649"/>
      <w:r>
        <w:rPr>
          <w:rFonts w:hint="eastAsia" w:ascii="Times New Roman" w:hAnsi="Times New Roman" w:eastAsia="宋体" w:cs="Times New Roman"/>
          <w:b/>
          <w:szCs w:val="21"/>
        </w:rPr>
        <w:t>一、</w:t>
      </w:r>
      <w:r>
        <w:rPr>
          <w:rFonts w:ascii="Times New Roman" w:hAnsi="Times New Roman" w:eastAsia="宋体" w:cs="Times New Roman"/>
          <w:b/>
          <w:szCs w:val="21"/>
        </w:rPr>
        <w:t>项目信息</w:t>
      </w:r>
      <w:bookmarkEnd w:id="13"/>
    </w:p>
    <w:p w14:paraId="7F84FBF3">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1"/>
        <w:rPr>
          <w:rFonts w:hint="default" w:ascii="Times New Roman" w:hAnsi="Times New Roman" w:eastAsia="宋体" w:cs="Times New Roman"/>
          <w:szCs w:val="21"/>
          <w:lang w:val="en-US" w:eastAsia="zh-CN"/>
        </w:rPr>
      </w:pPr>
      <w:bookmarkStart w:id="14" w:name="_Toc5782"/>
      <w:r>
        <w:rPr>
          <w:rFonts w:hint="default" w:ascii="Times New Roman" w:hAnsi="Times New Roman" w:eastAsia="宋体" w:cs="Times New Roman"/>
          <w:szCs w:val="21"/>
        </w:rPr>
        <w:t>采购人：</w:t>
      </w:r>
      <w:r>
        <w:rPr>
          <w:rFonts w:hint="eastAsia" w:ascii="Times New Roman"/>
          <w:szCs w:val="21"/>
          <w:lang w:eastAsia="zh-CN"/>
        </w:rPr>
        <w:t>东莞市水务环境投资控股集团净水有限公司</w:t>
      </w:r>
      <w:bookmarkEnd w:id="14"/>
    </w:p>
    <w:p w14:paraId="25923013">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项目名称：</w:t>
      </w:r>
      <w:r>
        <w:rPr>
          <w:rFonts w:hint="eastAsia" w:ascii="Times New Roman"/>
          <w:szCs w:val="21"/>
        </w:rPr>
        <w:t>东莞市石鼓净水有限公司</w:t>
      </w:r>
      <w:r>
        <w:rPr>
          <w:rFonts w:hint="default" w:ascii="Times New Roman" w:hAnsi="Times New Roman" w:eastAsia="宋体" w:cs="Times New Roman"/>
          <w:szCs w:val="21"/>
          <w:lang w:val="en-US" w:eastAsia="zh-CN"/>
        </w:rPr>
        <w:t>2025年第</w:t>
      </w:r>
      <w:r>
        <w:rPr>
          <w:rFonts w:hint="eastAsia" w:ascii="Times New Roman" w:cs="Times New Roman"/>
          <w:szCs w:val="21"/>
          <w:lang w:val="en-US" w:eastAsia="zh-CN"/>
        </w:rPr>
        <w:t>四</w:t>
      </w:r>
      <w:r>
        <w:rPr>
          <w:rFonts w:hint="default" w:ascii="Times New Roman" w:hAnsi="Times New Roman" w:eastAsia="宋体" w:cs="Times New Roman"/>
          <w:szCs w:val="21"/>
          <w:lang w:val="en-US" w:eastAsia="zh-CN"/>
        </w:rPr>
        <w:t>季度办公设备采购项目</w:t>
      </w:r>
    </w:p>
    <w:p w14:paraId="21779C04">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bCs/>
          <w:szCs w:val="21"/>
        </w:rPr>
      </w:pPr>
      <w:bookmarkStart w:id="15" w:name="OLE_LINK3"/>
      <w:r>
        <w:rPr>
          <w:rFonts w:hint="eastAsia" w:ascii="Times New Roman" w:cs="Times New Roman"/>
          <w:szCs w:val="21"/>
          <w:lang w:val="en-US" w:eastAsia="zh-CN"/>
        </w:rPr>
        <w:t>不</w:t>
      </w:r>
      <w:r>
        <w:rPr>
          <w:rFonts w:hint="default" w:ascii="Times New Roman" w:hAnsi="Times New Roman" w:eastAsia="宋体" w:cs="Times New Roman"/>
          <w:szCs w:val="21"/>
          <w:lang w:val="en-US" w:eastAsia="zh-CN"/>
        </w:rPr>
        <w:t>含税采购预算</w:t>
      </w:r>
      <w:bookmarkEnd w:id="15"/>
      <w:r>
        <w:rPr>
          <w:rFonts w:hint="default" w:ascii="Times New Roman" w:hAnsi="Times New Roman" w:eastAsia="宋体" w:cs="Times New Roman"/>
          <w:szCs w:val="21"/>
        </w:rPr>
        <w:t>：</w:t>
      </w:r>
      <w:r>
        <w:rPr>
          <w:rFonts w:hint="eastAsia" w:ascii="Times New Roman" w:cs="Times New Roman"/>
          <w:b/>
          <w:bCs/>
          <w:szCs w:val="21"/>
          <w:lang w:val="en-US" w:eastAsia="zh-CN"/>
        </w:rPr>
        <w:t>13</w:t>
      </w:r>
      <w:r>
        <w:rPr>
          <w:rFonts w:hint="default" w:ascii="Times New Roman" w:hAnsi="Times New Roman" w:eastAsia="宋体" w:cs="Times New Roman"/>
          <w:b/>
          <w:bCs/>
          <w:szCs w:val="21"/>
          <w:lang w:val="en-US" w:eastAsia="zh-CN"/>
        </w:rPr>
        <w:t>,</w:t>
      </w:r>
      <w:r>
        <w:rPr>
          <w:rFonts w:hint="eastAsia" w:ascii="Times New Roman" w:cs="Times New Roman"/>
          <w:b/>
          <w:bCs/>
          <w:szCs w:val="21"/>
          <w:lang w:val="en-US" w:eastAsia="zh-CN"/>
        </w:rPr>
        <w:t>044</w:t>
      </w:r>
      <w:r>
        <w:rPr>
          <w:rFonts w:hint="default" w:ascii="Times New Roman" w:hAnsi="Times New Roman" w:eastAsia="宋体" w:cs="Times New Roman"/>
          <w:b/>
          <w:bCs/>
          <w:szCs w:val="21"/>
          <w:lang w:val="en-US" w:eastAsia="zh-CN"/>
        </w:rPr>
        <w:t>.</w:t>
      </w:r>
      <w:r>
        <w:rPr>
          <w:rFonts w:hint="eastAsia" w:ascii="Times New Roman" w:cs="Times New Roman"/>
          <w:b/>
          <w:bCs/>
          <w:szCs w:val="21"/>
          <w:lang w:val="en-US" w:eastAsia="zh-CN"/>
        </w:rPr>
        <w:t>2</w:t>
      </w:r>
      <w:r>
        <w:rPr>
          <w:rFonts w:hint="default" w:ascii="Times New Roman" w:hAnsi="Times New Roman" w:eastAsia="宋体" w:cs="Times New Roman"/>
          <w:b/>
          <w:bCs/>
          <w:szCs w:val="21"/>
          <w:lang w:val="en-US" w:eastAsia="zh-CN"/>
        </w:rPr>
        <w:t>0</w:t>
      </w:r>
      <w:r>
        <w:rPr>
          <w:rFonts w:hint="default" w:ascii="Times New Roman" w:hAnsi="Times New Roman" w:eastAsia="宋体" w:cs="Times New Roman"/>
          <w:b/>
          <w:bCs/>
          <w:szCs w:val="21"/>
        </w:rPr>
        <w:t>元</w:t>
      </w:r>
    </w:p>
    <w:p w14:paraId="00D0D7D3">
      <w:pPr>
        <w:keepNext w:val="0"/>
        <w:keepLines w:val="0"/>
        <w:pageBreakBefore w:val="0"/>
        <w:kinsoku/>
        <w:wordWrap/>
        <w:overflowPunct/>
        <w:topLinePunct w:val="0"/>
        <w:autoSpaceDE w:val="0"/>
        <w:autoSpaceDN w:val="0"/>
        <w:bidi w:val="0"/>
        <w:adjustRightInd w:val="0"/>
        <w:snapToGrid/>
        <w:spacing w:line="360" w:lineRule="auto"/>
        <w:ind w:firstLine="482" w:firstLineChars="200"/>
        <w:jc w:val="left"/>
        <w:textAlignment w:val="auto"/>
        <w:outlineLvl w:val="0"/>
        <w:rPr>
          <w:rFonts w:ascii="Times New Roman"/>
          <w:b/>
          <w:szCs w:val="21"/>
        </w:rPr>
      </w:pPr>
      <w:bookmarkStart w:id="16" w:name="_Toc10928"/>
      <w:r>
        <w:rPr>
          <w:rFonts w:hint="eastAsia" w:ascii="Times New Roman" w:hAnsi="Times New Roman" w:eastAsia="宋体" w:cs="Times New Roman"/>
          <w:b/>
          <w:szCs w:val="21"/>
        </w:rPr>
        <w:t>二、</w:t>
      </w:r>
      <w:r>
        <w:rPr>
          <w:rFonts w:ascii="Times New Roman" w:hAnsi="Times New Roman" w:eastAsia="宋体" w:cs="Times New Roman"/>
          <w:b/>
          <w:szCs w:val="21"/>
        </w:rPr>
        <w:t>货物采购需求</w:t>
      </w:r>
      <w:bookmarkEnd w:id="16"/>
    </w:p>
    <w:p w14:paraId="0FD94C32">
      <w:pPr>
        <w:keepNext w:val="0"/>
        <w:keepLines w:val="0"/>
        <w:pageBreakBefore w:val="0"/>
        <w:kinsoku/>
        <w:wordWrap/>
        <w:overflowPunct/>
        <w:topLinePunct w:val="0"/>
        <w:autoSpaceDE w:val="0"/>
        <w:autoSpaceDN w:val="0"/>
        <w:bidi w:val="0"/>
        <w:adjustRightInd w:val="0"/>
        <w:snapToGrid/>
        <w:spacing w:line="360" w:lineRule="auto"/>
        <w:ind w:firstLine="400" w:firstLineChars="200"/>
        <w:jc w:val="left"/>
        <w:textAlignment w:val="auto"/>
        <w:rPr>
          <w:rFonts w:hint="default" w:hAnsi="宋体" w:cs="Tahoma"/>
          <w:color w:val="000000"/>
          <w:kern w:val="0"/>
          <w:sz w:val="24"/>
          <w:szCs w:val="24"/>
          <w:lang w:val="en-US" w:eastAsia="zh-CN"/>
        </w:rPr>
      </w:pPr>
      <w:r>
        <w:rPr>
          <w:rFonts w:hint="eastAsia" w:hAnsi="宋体" w:cs="Tahoma"/>
          <w:color w:val="000000"/>
          <w:kern w:val="0"/>
          <w:sz w:val="20"/>
          <w:szCs w:val="20"/>
          <w:lang w:val="en-US" w:eastAsia="zh-CN"/>
        </w:rPr>
        <w:t xml:space="preserve">  </w:t>
      </w:r>
      <w:r>
        <w:rPr>
          <w:rFonts w:hint="eastAsia" w:hAnsi="宋体" w:cs="Tahoma"/>
          <w:color w:val="000000"/>
          <w:kern w:val="0"/>
          <w:sz w:val="24"/>
          <w:szCs w:val="24"/>
          <w:lang w:val="en-US" w:eastAsia="zh-CN"/>
        </w:rPr>
        <w:t>详见附件需求清单。</w:t>
      </w:r>
    </w:p>
    <w:p w14:paraId="3F5B340A">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0"/>
        <w:rPr>
          <w:rFonts w:ascii="Times New Roman"/>
          <w:b/>
          <w:szCs w:val="21"/>
        </w:rPr>
      </w:pPr>
      <w:bookmarkStart w:id="17" w:name="_Toc10321"/>
      <w:r>
        <w:rPr>
          <w:rFonts w:hint="eastAsia" w:ascii="Times New Roman" w:hAnsi="Times New Roman" w:eastAsia="宋体" w:cs="Times New Roman"/>
          <w:b/>
          <w:szCs w:val="21"/>
        </w:rPr>
        <w:t>三、</w:t>
      </w:r>
      <w:r>
        <w:rPr>
          <w:rFonts w:ascii="Times New Roman" w:hAnsi="Times New Roman" w:eastAsia="宋体" w:cs="Times New Roman"/>
          <w:b/>
          <w:szCs w:val="21"/>
        </w:rPr>
        <w:t>交货要求</w:t>
      </w:r>
      <w:bookmarkEnd w:id="17"/>
    </w:p>
    <w:p w14:paraId="3E36842C">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szCs w:val="21"/>
        </w:rPr>
        <w:t>（一）</w:t>
      </w:r>
      <w:r>
        <w:rPr>
          <w:rFonts w:hint="default" w:ascii="Times New Roman" w:hAnsi="Times New Roman" w:eastAsia="宋体" w:cs="Times New Roman"/>
          <w:b w:val="0"/>
          <w:bCs w:val="0"/>
          <w:szCs w:val="21"/>
          <w:lang w:val="en-US" w:eastAsia="zh-CN"/>
        </w:rPr>
        <w:t>交货期:自</w:t>
      </w:r>
      <w:r>
        <w:rPr>
          <w:rFonts w:hint="eastAsia" w:ascii="Times New Roman" w:cs="Times New Roman"/>
          <w:b w:val="0"/>
          <w:bCs w:val="0"/>
          <w:szCs w:val="21"/>
          <w:lang w:val="en-US" w:eastAsia="zh-CN"/>
        </w:rPr>
        <w:t>合同签订</w:t>
      </w:r>
      <w:r>
        <w:rPr>
          <w:rFonts w:hint="default" w:ascii="Times New Roman" w:hAnsi="Times New Roman" w:eastAsia="宋体" w:cs="Times New Roman"/>
          <w:b w:val="0"/>
          <w:bCs w:val="0"/>
          <w:szCs w:val="21"/>
          <w:lang w:val="en-US" w:eastAsia="zh-CN"/>
        </w:rPr>
        <w:t>之日起</w:t>
      </w:r>
      <w:r>
        <w:rPr>
          <w:rFonts w:hint="eastAsia" w:ascii="Times New Roman" w:cs="Times New Roman"/>
          <w:b w:val="0"/>
          <w:bCs w:val="0"/>
          <w:szCs w:val="21"/>
          <w:u w:val="single"/>
          <w:lang w:val="en-US" w:eastAsia="zh-CN"/>
        </w:rPr>
        <w:t xml:space="preserve"> </w:t>
      </w:r>
      <w:r>
        <w:rPr>
          <w:rFonts w:hint="default" w:ascii="Times New Roman" w:hAnsi="Times New Roman" w:eastAsia="宋体" w:cs="Times New Roman"/>
          <w:b w:val="0"/>
          <w:bCs w:val="0"/>
          <w:szCs w:val="21"/>
          <w:u w:val="single"/>
          <w:lang w:val="en-US" w:eastAsia="zh-CN"/>
        </w:rPr>
        <w:t>20</w:t>
      </w:r>
      <w:r>
        <w:rPr>
          <w:rFonts w:hint="eastAsia" w:ascii="Times New Roman" w:cs="Times New Roman"/>
          <w:b w:val="0"/>
          <w:bCs w:val="0"/>
          <w:szCs w:val="21"/>
          <w:u w:val="single"/>
          <w:lang w:val="en-US" w:eastAsia="zh-CN"/>
        </w:rPr>
        <w:t xml:space="preserve"> </w:t>
      </w:r>
      <w:r>
        <w:rPr>
          <w:rFonts w:hint="default" w:ascii="Times New Roman" w:hAnsi="Times New Roman" w:eastAsia="宋体" w:cs="Times New Roman"/>
          <w:b w:val="0"/>
          <w:bCs w:val="0"/>
          <w:szCs w:val="21"/>
          <w:lang w:val="en-US" w:eastAsia="zh-CN"/>
        </w:rPr>
        <w:t>个工作日内完成所有办公设备配送及安装，对于部分货源不充足需要订购的设备，供货单位需跟采购人进行沟通并经采购人同意后，可延长交货期。</w:t>
      </w:r>
    </w:p>
    <w:p w14:paraId="1E4200D2">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Times New Roman"/>
          <w:szCs w:val="21"/>
        </w:rPr>
      </w:pPr>
      <w:r>
        <w:rPr>
          <w:rFonts w:ascii="Times New Roman" w:hAnsi="Times New Roman" w:eastAsia="宋体" w:cs="Times New Roman"/>
          <w:szCs w:val="21"/>
        </w:rPr>
        <w:t>（</w:t>
      </w:r>
      <w:r>
        <w:rPr>
          <w:rFonts w:hint="eastAsia" w:ascii="Times New Roman" w:cs="Times New Roman"/>
          <w:szCs w:val="21"/>
          <w:lang w:val="en-US" w:eastAsia="zh-CN"/>
        </w:rPr>
        <w:t>二</w:t>
      </w:r>
      <w:r>
        <w:rPr>
          <w:rFonts w:ascii="Times New Roman" w:hAnsi="Times New Roman" w:eastAsia="宋体" w:cs="Times New Roman"/>
          <w:szCs w:val="21"/>
        </w:rPr>
        <w:t>）交货地点：</w:t>
      </w:r>
    </w:p>
    <w:tbl>
      <w:tblPr>
        <w:tblStyle w:val="2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27"/>
        <w:gridCol w:w="2720"/>
        <w:gridCol w:w="5017"/>
      </w:tblGrid>
      <w:tr w14:paraId="09CE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6" w:type="dxa"/>
            <w:shd w:val="clear" w:color="auto" w:fill="auto"/>
            <w:noWrap/>
            <w:vAlign w:val="center"/>
          </w:tcPr>
          <w:p w14:paraId="7D5803FF">
            <w:pPr>
              <w:widowControl/>
              <w:jc w:val="center"/>
              <w:rPr>
                <w:rFonts w:ascii="Times New Roman"/>
                <w:b/>
                <w:bCs/>
                <w:szCs w:val="21"/>
              </w:rPr>
            </w:pPr>
            <w:r>
              <w:rPr>
                <w:rFonts w:ascii="Times New Roman" w:hAnsi="Times New Roman" w:eastAsia="宋体" w:cs="Times New Roman"/>
                <w:b/>
                <w:bCs/>
                <w:szCs w:val="21"/>
              </w:rPr>
              <w:t>序号</w:t>
            </w:r>
          </w:p>
        </w:tc>
        <w:tc>
          <w:tcPr>
            <w:tcW w:w="1227" w:type="dxa"/>
            <w:shd w:val="clear" w:color="auto" w:fill="auto"/>
            <w:noWrap/>
            <w:vAlign w:val="center"/>
          </w:tcPr>
          <w:p w14:paraId="1F82FF98">
            <w:pPr>
              <w:widowControl/>
              <w:jc w:val="center"/>
              <w:rPr>
                <w:rFonts w:hint="eastAsia" w:ascii="Times New Roman" w:hAnsi="Times New Roman" w:eastAsia="宋体" w:cs="Times New Roman"/>
                <w:b/>
                <w:bCs/>
                <w:szCs w:val="21"/>
                <w:lang w:val="en-US" w:eastAsia="zh-CN"/>
              </w:rPr>
            </w:pPr>
            <w:r>
              <w:rPr>
                <w:rFonts w:hint="eastAsia" w:ascii="Times New Roman" w:cs="Times New Roman"/>
                <w:b/>
                <w:bCs/>
                <w:szCs w:val="21"/>
                <w:lang w:val="en-US" w:eastAsia="zh-CN"/>
              </w:rPr>
              <w:t>所属公司</w:t>
            </w:r>
          </w:p>
        </w:tc>
        <w:tc>
          <w:tcPr>
            <w:tcW w:w="2720" w:type="dxa"/>
            <w:shd w:val="clear" w:color="auto" w:fill="auto"/>
            <w:noWrap/>
            <w:vAlign w:val="center"/>
          </w:tcPr>
          <w:p w14:paraId="0535BE5E">
            <w:pPr>
              <w:widowControl/>
              <w:jc w:val="center"/>
              <w:rPr>
                <w:rFonts w:ascii="Times New Roman"/>
                <w:b/>
                <w:bCs/>
                <w:szCs w:val="21"/>
              </w:rPr>
            </w:pPr>
            <w:r>
              <w:rPr>
                <w:rFonts w:ascii="Times New Roman" w:hAnsi="Times New Roman" w:eastAsia="宋体" w:cs="Times New Roman"/>
                <w:b/>
                <w:bCs/>
                <w:szCs w:val="21"/>
              </w:rPr>
              <w:t>项目名称</w:t>
            </w:r>
          </w:p>
        </w:tc>
        <w:tc>
          <w:tcPr>
            <w:tcW w:w="5017" w:type="dxa"/>
            <w:vAlign w:val="center"/>
          </w:tcPr>
          <w:p w14:paraId="53C635AB">
            <w:pPr>
              <w:widowControl/>
              <w:jc w:val="center"/>
              <w:rPr>
                <w:rFonts w:ascii="Times New Roman"/>
                <w:b/>
                <w:bCs/>
                <w:szCs w:val="21"/>
              </w:rPr>
            </w:pPr>
            <w:r>
              <w:rPr>
                <w:rFonts w:ascii="Times New Roman" w:hAnsi="Times New Roman" w:eastAsia="宋体" w:cs="Times New Roman"/>
                <w:b/>
                <w:szCs w:val="21"/>
              </w:rPr>
              <w:t>交货地址</w:t>
            </w:r>
          </w:p>
        </w:tc>
      </w:tr>
      <w:tr w14:paraId="403F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ign w:val="center"/>
          </w:tcPr>
          <w:p w14:paraId="3926E06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227" w:type="dxa"/>
            <w:vMerge w:val="restart"/>
            <w:tcBorders>
              <w:top w:val="single" w:color="auto" w:sz="4" w:space="0"/>
              <w:left w:val="nil"/>
              <w:right w:val="single" w:color="auto" w:sz="4" w:space="0"/>
            </w:tcBorders>
            <w:shd w:val="clear" w:color="auto" w:fill="auto"/>
            <w:noWrap/>
            <w:vAlign w:val="center"/>
          </w:tcPr>
          <w:p w14:paraId="2C2621C3">
            <w:pPr>
              <w:widowControl/>
              <w:jc w:val="center"/>
              <w:textAlignment w:val="center"/>
              <w:rPr>
                <w:rFonts w:hint="default" w:ascii="宋体" w:hAnsi="宋体" w:eastAsia="宋体" w:cs="宋体"/>
                <w:color w:val="000000"/>
                <w:sz w:val="24"/>
                <w:szCs w:val="24"/>
                <w:lang w:val="en-US" w:eastAsia="zh-CN" w:bidi="ar"/>
              </w:rPr>
            </w:pPr>
            <w:r>
              <w:rPr>
                <w:rFonts w:hint="eastAsia" w:hAnsi="宋体" w:cs="宋体"/>
                <w:color w:val="000000"/>
                <w:sz w:val="24"/>
                <w:szCs w:val="24"/>
                <w:lang w:val="en-US" w:eastAsia="zh-CN" w:bidi="ar"/>
              </w:rPr>
              <w:t>石鼓公司</w:t>
            </w:r>
          </w:p>
        </w:tc>
        <w:tc>
          <w:tcPr>
            <w:tcW w:w="2720" w:type="dxa"/>
            <w:tcBorders>
              <w:top w:val="single" w:color="auto" w:sz="4" w:space="0"/>
              <w:left w:val="nil"/>
              <w:bottom w:val="single" w:color="auto" w:sz="4" w:space="0"/>
              <w:right w:val="single" w:color="auto" w:sz="4" w:space="0"/>
            </w:tcBorders>
            <w:shd w:val="clear" w:color="auto" w:fill="auto"/>
            <w:noWrap/>
            <w:vAlign w:val="center"/>
          </w:tcPr>
          <w:p w14:paraId="6292AFD1">
            <w:pPr>
              <w:widowControl/>
              <w:jc w:val="center"/>
              <w:textAlignment w:val="center"/>
              <w:rPr>
                <w:rFonts w:hint="eastAsia" w:hAnsi="宋体" w:cs="宋体"/>
                <w:color w:val="000000"/>
                <w:sz w:val="24"/>
                <w:szCs w:val="24"/>
                <w:lang w:val="en-US" w:eastAsia="zh-CN" w:bidi="ar"/>
              </w:rPr>
            </w:pPr>
            <w:r>
              <w:rPr>
                <w:rFonts w:hint="eastAsia" w:hAnsi="宋体" w:cs="宋体"/>
                <w:color w:val="000000"/>
                <w:sz w:val="24"/>
                <w:szCs w:val="24"/>
                <w:lang w:val="en-US" w:eastAsia="zh-CN" w:bidi="ar"/>
              </w:rPr>
              <w:t>本部</w:t>
            </w:r>
          </w:p>
        </w:tc>
        <w:tc>
          <w:tcPr>
            <w:tcW w:w="5017" w:type="dxa"/>
            <w:shd w:val="clear" w:color="auto" w:fill="auto"/>
            <w:vAlign w:val="center"/>
          </w:tcPr>
          <w:p w14:paraId="3871CB69">
            <w:pPr>
              <w:widowControl/>
              <w:jc w:val="both"/>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color w:val="000000"/>
                <w:sz w:val="24"/>
                <w:szCs w:val="24"/>
                <w:lang w:val="en-US" w:eastAsia="zh-CN" w:bidi="ar"/>
              </w:rPr>
              <w:t>东莞市南城街道滨河路100号二期</w:t>
            </w:r>
          </w:p>
        </w:tc>
      </w:tr>
      <w:tr w14:paraId="0FFA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ign w:val="center"/>
          </w:tcPr>
          <w:p w14:paraId="4B1C92C0">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27" w:type="dxa"/>
            <w:vMerge w:val="continue"/>
            <w:tcBorders>
              <w:left w:val="nil"/>
              <w:right w:val="single" w:color="auto" w:sz="4" w:space="0"/>
            </w:tcBorders>
            <w:shd w:val="clear" w:color="auto" w:fill="auto"/>
            <w:noWrap/>
            <w:vAlign w:val="center"/>
          </w:tcPr>
          <w:p w14:paraId="2FE2D1AF">
            <w:pPr>
              <w:widowControl/>
              <w:jc w:val="center"/>
              <w:textAlignment w:val="center"/>
              <w:rPr>
                <w:rFonts w:hint="default" w:ascii="宋体" w:hAnsi="宋体" w:eastAsia="宋体" w:cs="宋体"/>
                <w:color w:val="000000"/>
                <w:sz w:val="24"/>
                <w:szCs w:val="24"/>
                <w:lang w:val="en-US" w:eastAsia="zh-CN" w:bidi="ar"/>
              </w:rPr>
            </w:pPr>
          </w:p>
        </w:tc>
        <w:tc>
          <w:tcPr>
            <w:tcW w:w="2720" w:type="dxa"/>
            <w:tcBorders>
              <w:top w:val="single" w:color="auto" w:sz="4" w:space="0"/>
              <w:left w:val="nil"/>
              <w:bottom w:val="single" w:color="auto" w:sz="4" w:space="0"/>
              <w:right w:val="single" w:color="auto" w:sz="4" w:space="0"/>
            </w:tcBorders>
            <w:shd w:val="clear" w:color="auto" w:fill="auto"/>
            <w:noWrap/>
            <w:vAlign w:val="center"/>
          </w:tcPr>
          <w:p w14:paraId="7E4B2260">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寮步温塘厂</w:t>
            </w:r>
          </w:p>
        </w:tc>
        <w:tc>
          <w:tcPr>
            <w:tcW w:w="5017" w:type="dxa"/>
            <w:vAlign w:val="center"/>
          </w:tcPr>
          <w:p w14:paraId="2559541A">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东莞市东城街道虚舟路水务集团净水公司东城温塘分公司</w:t>
            </w:r>
          </w:p>
        </w:tc>
      </w:tr>
      <w:tr w14:paraId="0C4C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ign w:val="center"/>
          </w:tcPr>
          <w:p w14:paraId="7C13110C">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27" w:type="dxa"/>
            <w:vMerge w:val="continue"/>
            <w:tcBorders>
              <w:left w:val="nil"/>
              <w:right w:val="single" w:color="auto" w:sz="4" w:space="0"/>
            </w:tcBorders>
            <w:shd w:val="clear" w:color="auto" w:fill="auto"/>
            <w:noWrap/>
            <w:vAlign w:val="center"/>
          </w:tcPr>
          <w:p w14:paraId="4CC4450F">
            <w:pPr>
              <w:widowControl/>
              <w:jc w:val="center"/>
              <w:textAlignment w:val="center"/>
              <w:rPr>
                <w:rFonts w:hint="eastAsia" w:ascii="宋体" w:hAnsi="宋体" w:eastAsia="宋体" w:cs="宋体"/>
                <w:color w:val="000000"/>
                <w:sz w:val="24"/>
                <w:szCs w:val="24"/>
                <w:lang w:val="en-US" w:eastAsia="zh-CN" w:bidi="ar"/>
              </w:rPr>
            </w:pPr>
          </w:p>
        </w:tc>
        <w:tc>
          <w:tcPr>
            <w:tcW w:w="2720" w:type="dxa"/>
            <w:tcBorders>
              <w:top w:val="single" w:color="auto" w:sz="4" w:space="0"/>
              <w:left w:val="nil"/>
              <w:bottom w:val="single" w:color="auto" w:sz="4" w:space="0"/>
              <w:right w:val="single" w:color="auto" w:sz="4" w:space="0"/>
            </w:tcBorders>
            <w:shd w:val="clear" w:color="auto" w:fill="auto"/>
            <w:noWrap/>
            <w:vAlign w:val="center"/>
          </w:tcPr>
          <w:p w14:paraId="3032F3FE">
            <w:pPr>
              <w:widowControl/>
              <w:jc w:val="center"/>
              <w:textAlignment w:val="center"/>
              <w:rPr>
                <w:rFonts w:hint="eastAsia" w:ascii="宋体" w:hAnsi="宋体" w:eastAsia="宋体" w:cs="宋体"/>
                <w:color w:val="000000"/>
                <w:sz w:val="24"/>
                <w:szCs w:val="24"/>
                <w:lang w:val="en-US" w:eastAsia="zh-CN" w:bidi="ar"/>
              </w:rPr>
            </w:pPr>
            <w:r>
              <w:rPr>
                <w:rFonts w:hint="eastAsia" w:hAnsi="宋体" w:cs="宋体"/>
                <w:color w:val="000000"/>
                <w:sz w:val="24"/>
                <w:szCs w:val="24"/>
                <w:lang w:val="en-US" w:eastAsia="zh-CN" w:bidi="ar"/>
              </w:rPr>
              <w:t>麻涌厂</w:t>
            </w:r>
          </w:p>
        </w:tc>
        <w:tc>
          <w:tcPr>
            <w:tcW w:w="5017" w:type="dxa"/>
            <w:vAlign w:val="center"/>
          </w:tcPr>
          <w:p w14:paraId="45806C77">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东莞市麻涌镇新沙公园南一路9号2号楼202室</w:t>
            </w:r>
          </w:p>
        </w:tc>
      </w:tr>
      <w:tr w14:paraId="4CD2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ign w:val="center"/>
          </w:tcPr>
          <w:p w14:paraId="480CA812">
            <w:pPr>
              <w:widowControl/>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4</w:t>
            </w:r>
          </w:p>
        </w:tc>
        <w:tc>
          <w:tcPr>
            <w:tcW w:w="1227" w:type="dxa"/>
            <w:vMerge w:val="continue"/>
            <w:tcBorders>
              <w:left w:val="nil"/>
              <w:right w:val="single" w:color="auto" w:sz="4" w:space="0"/>
            </w:tcBorders>
            <w:shd w:val="clear" w:color="auto" w:fill="auto"/>
            <w:noWrap/>
            <w:vAlign w:val="center"/>
          </w:tcPr>
          <w:p w14:paraId="1BD69E49">
            <w:pPr>
              <w:widowControl/>
              <w:jc w:val="center"/>
              <w:textAlignment w:val="center"/>
              <w:rPr>
                <w:rFonts w:hint="eastAsia" w:hAnsi="宋体" w:cs="宋体"/>
                <w:color w:val="000000"/>
                <w:sz w:val="24"/>
                <w:szCs w:val="24"/>
                <w:lang w:val="en-US" w:eastAsia="zh-CN" w:bidi="ar"/>
              </w:rPr>
            </w:pPr>
          </w:p>
        </w:tc>
        <w:tc>
          <w:tcPr>
            <w:tcW w:w="2720" w:type="dxa"/>
            <w:tcBorders>
              <w:top w:val="single" w:color="auto" w:sz="4" w:space="0"/>
              <w:left w:val="nil"/>
              <w:bottom w:val="single" w:color="auto" w:sz="4" w:space="0"/>
              <w:right w:val="single" w:color="auto" w:sz="4" w:space="0"/>
            </w:tcBorders>
            <w:shd w:val="clear" w:color="auto" w:fill="auto"/>
            <w:noWrap/>
            <w:vAlign w:val="center"/>
          </w:tcPr>
          <w:p w14:paraId="31CEEB91">
            <w:pPr>
              <w:widowControl/>
              <w:jc w:val="center"/>
              <w:textAlignment w:val="center"/>
              <w:rPr>
                <w:rFonts w:hint="eastAsia" w:hAnsi="宋体" w:cs="宋体"/>
                <w:color w:val="000000"/>
                <w:sz w:val="24"/>
                <w:szCs w:val="24"/>
                <w:lang w:val="en-US" w:eastAsia="zh-CN" w:bidi="ar"/>
              </w:rPr>
            </w:pPr>
            <w:r>
              <w:rPr>
                <w:rFonts w:hint="eastAsia" w:hAnsi="宋体" w:cs="宋体"/>
                <w:color w:val="000000"/>
                <w:sz w:val="24"/>
                <w:szCs w:val="24"/>
                <w:lang w:val="en-US" w:eastAsia="zh-CN" w:bidi="ar"/>
              </w:rPr>
              <w:t>市区厂</w:t>
            </w:r>
          </w:p>
        </w:tc>
        <w:tc>
          <w:tcPr>
            <w:tcW w:w="5017" w:type="dxa"/>
            <w:vAlign w:val="center"/>
          </w:tcPr>
          <w:p w14:paraId="7741E314">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东莞市南城街道滨河路100号</w:t>
            </w:r>
            <w:r>
              <w:rPr>
                <w:rFonts w:hint="eastAsia" w:hAnsi="宋体" w:cs="宋体"/>
                <w:color w:val="000000"/>
                <w:sz w:val="24"/>
                <w:szCs w:val="24"/>
                <w:lang w:val="en-US" w:eastAsia="zh-CN" w:bidi="ar"/>
              </w:rPr>
              <w:t>（生产管理楼）</w:t>
            </w:r>
          </w:p>
        </w:tc>
      </w:tr>
      <w:tr w14:paraId="2E22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ign w:val="center"/>
          </w:tcPr>
          <w:p w14:paraId="7C6C6DFB">
            <w:pPr>
              <w:widowControl/>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5</w:t>
            </w:r>
          </w:p>
        </w:tc>
        <w:tc>
          <w:tcPr>
            <w:tcW w:w="1227" w:type="dxa"/>
            <w:vMerge w:val="continue"/>
            <w:tcBorders>
              <w:left w:val="nil"/>
              <w:right w:val="single" w:color="auto" w:sz="4" w:space="0"/>
            </w:tcBorders>
            <w:shd w:val="clear" w:color="auto" w:fill="auto"/>
            <w:noWrap/>
            <w:vAlign w:val="center"/>
          </w:tcPr>
          <w:p w14:paraId="05D84E20">
            <w:pPr>
              <w:widowControl/>
              <w:jc w:val="center"/>
              <w:textAlignment w:val="center"/>
              <w:rPr>
                <w:rFonts w:hint="eastAsia" w:hAnsi="宋体" w:cs="宋体"/>
                <w:color w:val="000000"/>
                <w:sz w:val="24"/>
                <w:szCs w:val="24"/>
                <w:lang w:val="en-US" w:eastAsia="zh-CN" w:bidi="ar"/>
              </w:rPr>
            </w:pPr>
          </w:p>
        </w:tc>
        <w:tc>
          <w:tcPr>
            <w:tcW w:w="2720" w:type="dxa"/>
            <w:tcBorders>
              <w:top w:val="single" w:color="auto" w:sz="4" w:space="0"/>
              <w:left w:val="nil"/>
              <w:bottom w:val="single" w:color="auto" w:sz="4" w:space="0"/>
              <w:right w:val="single" w:color="auto" w:sz="4" w:space="0"/>
            </w:tcBorders>
            <w:shd w:val="clear" w:color="auto" w:fill="auto"/>
            <w:noWrap/>
            <w:vAlign w:val="center"/>
          </w:tcPr>
          <w:p w14:paraId="1FE4B3E1">
            <w:pPr>
              <w:widowControl/>
              <w:jc w:val="center"/>
              <w:textAlignment w:val="center"/>
              <w:rPr>
                <w:rFonts w:hint="default" w:hAnsi="宋体" w:cs="宋体"/>
                <w:color w:val="000000"/>
                <w:sz w:val="24"/>
                <w:szCs w:val="24"/>
                <w:lang w:val="en-US" w:eastAsia="zh-CN" w:bidi="ar"/>
              </w:rPr>
            </w:pPr>
            <w:r>
              <w:rPr>
                <w:rFonts w:hint="eastAsia" w:hAnsi="宋体" w:cs="宋体"/>
                <w:color w:val="000000"/>
                <w:sz w:val="24"/>
                <w:szCs w:val="24"/>
                <w:lang w:val="en-US" w:eastAsia="zh-CN" w:bidi="ar"/>
              </w:rPr>
              <w:t>樟木头三期厂</w:t>
            </w:r>
          </w:p>
        </w:tc>
        <w:tc>
          <w:tcPr>
            <w:tcW w:w="5017" w:type="dxa"/>
            <w:vAlign w:val="center"/>
          </w:tcPr>
          <w:p w14:paraId="7B81795C">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东莞市樟木头柏地社区柏峰路169号</w:t>
            </w:r>
          </w:p>
        </w:tc>
      </w:tr>
      <w:bookmarkEnd w:id="10"/>
      <w:bookmarkEnd w:id="11"/>
      <w:bookmarkEnd w:id="12"/>
    </w:tbl>
    <w:p w14:paraId="1D5F82F4">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ascii="Times New Roman"/>
          <w:b/>
          <w:bCs/>
          <w:szCs w:val="21"/>
        </w:rPr>
      </w:pPr>
      <w:bookmarkStart w:id="18" w:name="_Toc22801"/>
      <w:r>
        <w:rPr>
          <w:rFonts w:hint="eastAsia" w:ascii="Times New Roman"/>
          <w:b/>
          <w:bCs/>
          <w:szCs w:val="21"/>
        </w:rPr>
        <w:t>四、</w:t>
      </w:r>
      <w:r>
        <w:rPr>
          <w:rFonts w:ascii="Times New Roman"/>
          <w:b/>
          <w:bCs/>
          <w:szCs w:val="21"/>
        </w:rPr>
        <w:t>验收要求</w:t>
      </w:r>
      <w:bookmarkEnd w:id="18"/>
    </w:p>
    <w:p w14:paraId="2A7935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货物到达交货地点后，采购人(含采购人委托的第三方)、供货单位代表共同验货。采购人和供货单位双方按照</w:t>
      </w:r>
      <w:r>
        <w:rPr>
          <w:rFonts w:hint="eastAsia"/>
          <w:sz w:val="24"/>
          <w:szCs w:val="24"/>
          <w:lang w:val="en-US" w:eastAsia="zh-CN"/>
        </w:rPr>
        <w:t>用户需求书及</w:t>
      </w:r>
      <w:r>
        <w:rPr>
          <w:rFonts w:hint="eastAsia"/>
          <w:sz w:val="24"/>
          <w:szCs w:val="24"/>
        </w:rPr>
        <w:t>合同、国家相关法律法规以及规范的要求等相关的规定对货物的品种、品牌、产地、型号规格、数量、外观质量、资料进行清点和全面的检验，并作详细的记录。</w:t>
      </w:r>
    </w:p>
    <w:p w14:paraId="198BA65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46C759C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如发现货物的品种、型号规格、数量、外观质量、资料与合同不符，或货物短缺质次、损坏等问题，应作详细记录，且采购人有权拒绝收货及拒绝付款，供货单位应在采购人规定的时间内立即、无条件为采购人免费更换、补齐或无条件退货。更换或补齐后的货物，采购人有权按照本条有关验收的约定进行验收，由此产生的制造、修理和运费及保险费等费用均应由供货单位负担，与采购人无关。</w:t>
      </w:r>
    </w:p>
    <w:p w14:paraId="6482755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sz w:val="24"/>
          <w:szCs w:val="24"/>
        </w:rPr>
        <w:t>由于非采购人原因而引起货物的修理或更换的时间，应以不影响采购人生产为原则，且修理或更换应在采购人许可的时限内完成，否则将视为供货单位逾期交货。</w:t>
      </w:r>
    </w:p>
    <w:p w14:paraId="0411A18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五</w:t>
      </w:r>
      <w:r>
        <w:rPr>
          <w:rFonts w:hint="eastAsia"/>
          <w:sz w:val="24"/>
          <w:szCs w:val="24"/>
          <w:lang w:eastAsia="zh-CN"/>
        </w:rPr>
        <w:t>）</w:t>
      </w:r>
      <w:r>
        <w:rPr>
          <w:rFonts w:hint="eastAsia"/>
          <w:sz w:val="24"/>
          <w:szCs w:val="24"/>
        </w:rPr>
        <w:t>货物在安装、调试、性能测试合格后，采购人(含采购人委托的第三方)、供货单位一起对货物的完整性，安装与本用户需求书的符合性和合理性、试运行的测试结果进行最终验收，验收合格后，采购人供货单位双方共同出具验收报告并由双方书面确认验收结果。</w:t>
      </w:r>
    </w:p>
    <w:p w14:paraId="46A95CC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六</w:t>
      </w:r>
      <w:r>
        <w:rPr>
          <w:rFonts w:hint="eastAsia"/>
          <w:sz w:val="24"/>
          <w:szCs w:val="24"/>
          <w:lang w:eastAsia="zh-CN"/>
        </w:rPr>
        <w:t>）</w:t>
      </w:r>
      <w:r>
        <w:rPr>
          <w:rFonts w:hint="eastAsia"/>
          <w:sz w:val="24"/>
          <w:szCs w:val="24"/>
        </w:rPr>
        <w:t>供货单位在货物安装、调试过程中，应做好详细的检验、测试记录和试验结果，检验结果应符合本合同及其附件、报价文件、国家相关法律法规以及规范的规定标准。(当多个标准不一致时，以最高标准作为验收标准)。</w:t>
      </w:r>
    </w:p>
    <w:p w14:paraId="6F9D266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七</w:t>
      </w:r>
      <w:r>
        <w:rPr>
          <w:rFonts w:hint="eastAsia"/>
          <w:sz w:val="24"/>
          <w:szCs w:val="24"/>
          <w:lang w:eastAsia="zh-CN"/>
        </w:rPr>
        <w:t>）</w:t>
      </w:r>
      <w:r>
        <w:rPr>
          <w:rFonts w:hint="eastAsia"/>
          <w:sz w:val="24"/>
          <w:szCs w:val="24"/>
        </w:rPr>
        <w:t>采购人在进行任何一次验收时发现货物不符合相关要求的，可拒绝收货或要求供货单位承担更换或退货责任，供货单位应将该等产品在3日内自行拆除及运回</w:t>
      </w:r>
      <w:r>
        <w:rPr>
          <w:rFonts w:hint="eastAsia"/>
          <w:sz w:val="24"/>
          <w:szCs w:val="24"/>
          <w:lang w:eastAsia="zh-CN"/>
        </w:rPr>
        <w:t>，</w:t>
      </w:r>
      <w:r>
        <w:rPr>
          <w:rFonts w:hint="eastAsia"/>
          <w:sz w:val="24"/>
          <w:szCs w:val="24"/>
        </w:rPr>
        <w:t>采购人不承担因验收造成的产品损耗且不对产品承担保管责任</w:t>
      </w:r>
      <w:r>
        <w:rPr>
          <w:rFonts w:hint="eastAsia"/>
          <w:sz w:val="24"/>
          <w:szCs w:val="24"/>
          <w:lang w:eastAsia="zh-CN"/>
        </w:rPr>
        <w:t>，</w:t>
      </w:r>
      <w:r>
        <w:rPr>
          <w:rFonts w:hint="eastAsia"/>
          <w:sz w:val="24"/>
          <w:szCs w:val="24"/>
        </w:rPr>
        <w:t>因此产生的一切费用及风险由供货单位承担。</w:t>
      </w:r>
    </w:p>
    <w:p w14:paraId="1475A60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八</w:t>
      </w:r>
      <w:r>
        <w:rPr>
          <w:rFonts w:hint="eastAsia"/>
          <w:sz w:val="24"/>
          <w:szCs w:val="24"/>
          <w:lang w:eastAsia="zh-CN"/>
        </w:rPr>
        <w:t>）</w:t>
      </w:r>
      <w:r>
        <w:rPr>
          <w:rFonts w:hint="eastAsia"/>
          <w:sz w:val="24"/>
          <w:szCs w:val="24"/>
        </w:rPr>
        <w:t>采购人根据本条约定对货物所做出的验收，仅作为起算付款及质保期之用，不视为采购人对于货物质量的最终认定。货物经验收合格后，供货单位仍应在质保期内对产品质量承担保证责任。</w:t>
      </w:r>
    </w:p>
    <w:p w14:paraId="12E8467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九</w:t>
      </w:r>
      <w:r>
        <w:rPr>
          <w:rFonts w:hint="eastAsia"/>
          <w:sz w:val="24"/>
          <w:szCs w:val="24"/>
          <w:lang w:eastAsia="zh-CN"/>
        </w:rPr>
        <w:t>）</w:t>
      </w:r>
      <w:r>
        <w:rPr>
          <w:rFonts w:hint="eastAsia"/>
          <w:sz w:val="24"/>
          <w:szCs w:val="24"/>
        </w:rPr>
        <w:t>货物在全部经验收合格前，其损耗、毁损、灭失等风险及责任由供货单位承担，如因发生前述情形，导致供货单位所供应的货物不能通过采购人验收的，供货单位应按采购人要求予以免费更换、补齐或无条件退货。</w:t>
      </w:r>
    </w:p>
    <w:p w14:paraId="759E79D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十</w:t>
      </w:r>
      <w:r>
        <w:rPr>
          <w:rFonts w:hint="eastAsia"/>
          <w:sz w:val="24"/>
          <w:szCs w:val="24"/>
          <w:lang w:eastAsia="zh-CN"/>
        </w:rPr>
        <w:t>）</w:t>
      </w:r>
      <w:r>
        <w:rPr>
          <w:rFonts w:hint="eastAsia"/>
          <w:sz w:val="24"/>
          <w:szCs w:val="24"/>
        </w:rPr>
        <w:t>验收过程中，如对检验记录不能取得一致意见时，可委托双方确认的货物交付地有资质权威的第三方检验机构联合进行检验。检验结果具有约束力,检验费用由责任方负担。</w:t>
      </w:r>
    </w:p>
    <w:p w14:paraId="587299F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ascii="Times New Roman"/>
          <w:b/>
          <w:bCs/>
          <w:szCs w:val="21"/>
        </w:rPr>
      </w:pPr>
      <w:bookmarkStart w:id="19" w:name="_Toc920"/>
      <w:r>
        <w:rPr>
          <w:rFonts w:hint="eastAsia" w:ascii="Times New Roman" w:hAnsi="Times New Roman" w:eastAsia="宋体" w:cs="Times New Roman"/>
          <w:b/>
          <w:bCs/>
          <w:szCs w:val="21"/>
        </w:rPr>
        <w:t>五、</w:t>
      </w:r>
      <w:r>
        <w:rPr>
          <w:rFonts w:ascii="Times New Roman" w:hAnsi="Times New Roman" w:eastAsia="宋体" w:cs="Times New Roman"/>
          <w:b/>
          <w:bCs/>
          <w:szCs w:val="21"/>
        </w:rPr>
        <w:t>质保期要求</w:t>
      </w:r>
      <w:bookmarkEnd w:id="19"/>
    </w:p>
    <w:p w14:paraId="4FDB54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货物的质保期为</w:t>
      </w:r>
      <w:r>
        <w:rPr>
          <w:rFonts w:hint="eastAsia"/>
          <w:sz w:val="24"/>
          <w:szCs w:val="24"/>
          <w:u w:val="single"/>
          <w:lang w:val="en-US" w:eastAsia="zh-CN"/>
        </w:rPr>
        <w:t xml:space="preserve"> </w:t>
      </w:r>
      <w:r>
        <w:rPr>
          <w:rFonts w:hint="eastAsia"/>
          <w:sz w:val="24"/>
          <w:szCs w:val="24"/>
          <w:u w:val="single"/>
        </w:rPr>
        <w:t>1</w:t>
      </w:r>
      <w:r>
        <w:rPr>
          <w:rFonts w:hint="eastAsia"/>
          <w:sz w:val="24"/>
          <w:szCs w:val="24"/>
          <w:u w:val="single"/>
          <w:lang w:val="en-US" w:eastAsia="zh-CN"/>
        </w:rPr>
        <w:t xml:space="preserve"> </w:t>
      </w:r>
      <w:r>
        <w:rPr>
          <w:rFonts w:hint="eastAsia"/>
          <w:sz w:val="24"/>
          <w:szCs w:val="24"/>
        </w:rPr>
        <w:t>年，自验收合格之日起计算。质保期内所有服务由供货单位上门进行，且不得另行收取任何费用。若货物厂家出厂时承诺更长时间的质保期或更高标准质保义务的，供货单位需按厂家承诺提供质保服务。</w:t>
      </w:r>
    </w:p>
    <w:p w14:paraId="08AD06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质保期内，采购人如发现货物的质量、材质、规格、性能、数量等不符合要求的，或发现货物无论由于任何原因存在隐藏缺陷、工艺问题或使用不良的材料的，或出现其他质量问题的，供货单位应在接到采购人指示后无条件在3个工作日内进行更换或退货。更换后的货物的质量保证期从更换完成且获得采购单位验收合格之日重新计算。</w:t>
      </w:r>
    </w:p>
    <w:p w14:paraId="583350E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sz w:val="24"/>
          <w:szCs w:val="24"/>
        </w:rPr>
        <w:t>质保期内出现货物质量问题，供货单位在收到质量问题通知后3日内完成免费维修。未能在上述期限内完成维修，或维修后仍然出现同类问题的，采购人有权要求更换或退货</w:t>
      </w:r>
      <w:r>
        <w:rPr>
          <w:rFonts w:hint="eastAsia"/>
          <w:sz w:val="24"/>
          <w:szCs w:val="24"/>
          <w:lang w:eastAsia="zh-CN"/>
        </w:rPr>
        <w:t>。</w:t>
      </w:r>
    </w:p>
    <w:p w14:paraId="453DD48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五</w:t>
      </w:r>
      <w:r>
        <w:rPr>
          <w:rFonts w:hint="eastAsia"/>
          <w:sz w:val="24"/>
          <w:szCs w:val="24"/>
          <w:lang w:eastAsia="zh-CN"/>
        </w:rPr>
        <w:t>）</w:t>
      </w:r>
      <w:r>
        <w:rPr>
          <w:rFonts w:hint="eastAsia"/>
          <w:sz w:val="24"/>
          <w:szCs w:val="24"/>
        </w:rPr>
        <w:t>上述货物更换或退货产出的全部费用由供货单位承担</w:t>
      </w:r>
      <w:r>
        <w:rPr>
          <w:rFonts w:hint="eastAsia"/>
          <w:sz w:val="24"/>
          <w:szCs w:val="24"/>
          <w:lang w:eastAsia="zh-CN"/>
        </w:rPr>
        <w:t>。</w:t>
      </w:r>
    </w:p>
    <w:p w14:paraId="5D3AB5B3">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ascii="Times New Roman"/>
          <w:b/>
          <w:bCs/>
          <w:szCs w:val="21"/>
        </w:rPr>
      </w:pPr>
      <w:bookmarkStart w:id="20" w:name="_Toc24731"/>
      <w:r>
        <w:rPr>
          <w:rFonts w:hint="eastAsia" w:ascii="Times New Roman" w:hAnsi="Times New Roman" w:eastAsia="宋体" w:cs="Times New Roman"/>
          <w:b/>
          <w:bCs/>
          <w:szCs w:val="21"/>
        </w:rPr>
        <w:t>六、</w:t>
      </w:r>
      <w:r>
        <w:rPr>
          <w:rFonts w:ascii="Times New Roman" w:hAnsi="Times New Roman" w:eastAsia="宋体" w:cs="Times New Roman"/>
          <w:b/>
          <w:bCs/>
          <w:szCs w:val="21"/>
        </w:rPr>
        <w:t>报价及款项支付</w:t>
      </w:r>
      <w:bookmarkEnd w:id="20"/>
    </w:p>
    <w:p w14:paraId="1BCDBDD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szCs w:val="21"/>
        </w:rPr>
      </w:pPr>
      <w:r>
        <w:rPr>
          <w:rFonts w:hint="eastAsia" w:ascii="Times New Roman" w:cs="Times New Roman"/>
          <w:szCs w:val="21"/>
          <w:lang w:eastAsia="zh-CN"/>
        </w:rPr>
        <w:t>（</w:t>
      </w:r>
      <w:r>
        <w:rPr>
          <w:rFonts w:hint="eastAsia" w:ascii="Times New Roman" w:cs="Times New Roman"/>
          <w:szCs w:val="21"/>
          <w:lang w:val="en-US" w:eastAsia="zh-CN"/>
        </w:rPr>
        <w:t>一</w:t>
      </w:r>
      <w:r>
        <w:rPr>
          <w:rFonts w:hint="eastAsia" w:ascii="Times New Roman" w:cs="Times New Roman"/>
          <w:szCs w:val="21"/>
          <w:lang w:eastAsia="zh-CN"/>
        </w:rPr>
        <w:t>）</w:t>
      </w:r>
      <w:r>
        <w:rPr>
          <w:rFonts w:hint="eastAsia" w:ascii="Times New Roman" w:hAnsi="Times New Roman" w:eastAsia="宋体" w:cs="Times New Roman"/>
          <w:szCs w:val="21"/>
        </w:rPr>
        <w:t>本次报价包括但不限于货物及采购清单中要求每项货物配备的附件、备品备件的采购、制造、检测、试验、送货、装卸(含二次搬运至采购人指定仓储地点)、包装费、运费、安装、保险、现场仓储、供货单位销项税额以外的税费等完成本次供货的全部费用。</w:t>
      </w:r>
    </w:p>
    <w:p w14:paraId="0F7B85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szCs w:val="21"/>
        </w:rPr>
      </w:pPr>
      <w:r>
        <w:rPr>
          <w:rFonts w:hint="eastAsia" w:ascii="Times New Roman" w:cs="Times New Roman"/>
          <w:szCs w:val="21"/>
          <w:lang w:eastAsia="zh-CN"/>
        </w:rPr>
        <w:t>（</w:t>
      </w:r>
      <w:r>
        <w:rPr>
          <w:rFonts w:hint="eastAsia" w:ascii="Times New Roman" w:cs="Times New Roman"/>
          <w:szCs w:val="21"/>
          <w:lang w:val="en-US" w:eastAsia="zh-CN"/>
        </w:rPr>
        <w:t>二</w:t>
      </w:r>
      <w:r>
        <w:rPr>
          <w:rFonts w:hint="eastAsia" w:ascii="Times New Roman" w:cs="Times New Roman"/>
          <w:szCs w:val="21"/>
          <w:lang w:eastAsia="zh-CN"/>
        </w:rPr>
        <w:t>）</w:t>
      </w:r>
      <w:r>
        <w:rPr>
          <w:rFonts w:hint="eastAsia" w:ascii="Times New Roman" w:hAnsi="Times New Roman" w:eastAsia="宋体" w:cs="Times New Roman"/>
          <w:szCs w:val="21"/>
        </w:rPr>
        <w:t>付款方式:合同签订后，供货单位完成对应项目所有货物配送及安装并通过采购人验收合格后，供货单位按采购人要求向采购人提供请款报告及请款金额等额、合法、有效的增值税专用发票</w:t>
      </w:r>
      <w:r>
        <w:rPr>
          <w:rFonts w:hint="eastAsia" w:ascii="Times New Roman" w:cs="Times New Roman"/>
          <w:szCs w:val="21"/>
          <w:lang w:eastAsia="zh-CN"/>
        </w:rPr>
        <w:t>，</w:t>
      </w:r>
      <w:r>
        <w:rPr>
          <w:rFonts w:hint="eastAsia" w:ascii="Times New Roman" w:hAnsi="Times New Roman" w:eastAsia="宋体" w:cs="Times New Roman"/>
          <w:szCs w:val="21"/>
        </w:rPr>
        <w:t>采购人</w:t>
      </w:r>
      <w:r>
        <w:rPr>
          <w:rFonts w:hint="eastAsia" w:ascii="Times New Roman"/>
        </w:rPr>
        <w:t>在收到前述材料并确认无误后</w:t>
      </w:r>
      <w:r>
        <w:rPr>
          <w:rFonts w:hint="eastAsia" w:ascii="Times New Roman"/>
          <w:lang w:val="en-US" w:eastAsia="zh-CN"/>
        </w:rPr>
        <w:t>30</w:t>
      </w:r>
      <w:r>
        <w:rPr>
          <w:rFonts w:hint="eastAsia" w:ascii="Times New Roman"/>
        </w:rPr>
        <w:t>个工作日内，</w:t>
      </w:r>
      <w:r>
        <w:rPr>
          <w:rFonts w:hint="eastAsia" w:ascii="Times New Roman"/>
          <w:lang w:val="en-US" w:eastAsia="zh-CN"/>
        </w:rPr>
        <w:t>采购人以银行转账方式</w:t>
      </w:r>
      <w:r>
        <w:rPr>
          <w:rFonts w:hint="eastAsia" w:ascii="Times New Roman"/>
        </w:rPr>
        <w:t>支付</w:t>
      </w:r>
      <w:r>
        <w:rPr>
          <w:rFonts w:hint="eastAsia" w:ascii="Times New Roman"/>
          <w:lang w:val="en-US" w:eastAsia="zh-CN"/>
        </w:rPr>
        <w:t>对应项目</w:t>
      </w:r>
      <w:r>
        <w:rPr>
          <w:rFonts w:hint="eastAsia" w:ascii="Times New Roman"/>
        </w:rPr>
        <w:t>合同价</w:t>
      </w:r>
      <w:r>
        <w:rPr>
          <w:rFonts w:ascii="Times New Roman"/>
        </w:rPr>
        <w:t>100</w:t>
      </w:r>
      <w:r>
        <w:rPr>
          <w:rFonts w:hint="eastAsia" w:ascii="Times New Roman"/>
        </w:rPr>
        <w:t>%及对应税额</w:t>
      </w:r>
      <w:r>
        <w:rPr>
          <w:rFonts w:hint="eastAsia" w:ascii="Times New Roman" w:hAnsi="Times New Roman" w:eastAsia="宋体" w:cs="Times New Roman"/>
          <w:szCs w:val="21"/>
        </w:rPr>
        <w:t>给供货单位。</w:t>
      </w:r>
    </w:p>
    <w:p w14:paraId="30CDFE6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szCs w:val="21"/>
        </w:rPr>
      </w:pPr>
      <w:r>
        <w:rPr>
          <w:rFonts w:hint="eastAsia" w:ascii="Times New Roman" w:cs="Times New Roman"/>
          <w:szCs w:val="21"/>
          <w:lang w:eastAsia="zh-CN"/>
        </w:rPr>
        <w:t>（</w:t>
      </w:r>
      <w:r>
        <w:rPr>
          <w:rFonts w:hint="eastAsia" w:ascii="Times New Roman" w:cs="Times New Roman"/>
          <w:szCs w:val="21"/>
          <w:lang w:val="en-US" w:eastAsia="zh-CN"/>
        </w:rPr>
        <w:t>三</w:t>
      </w:r>
      <w:r>
        <w:rPr>
          <w:rFonts w:hint="eastAsia" w:ascii="Times New Roman" w:cs="Times New Roman"/>
          <w:szCs w:val="21"/>
          <w:lang w:eastAsia="zh-CN"/>
        </w:rPr>
        <w:t>）</w:t>
      </w:r>
      <w:r>
        <w:rPr>
          <w:rFonts w:hint="eastAsia" w:ascii="Times New Roman"/>
        </w:rPr>
        <w:t>以上款项由</w:t>
      </w:r>
      <w:r>
        <w:rPr>
          <w:rFonts w:hint="eastAsia" w:ascii="Times New Roman"/>
          <w:lang w:val="en-US" w:eastAsia="zh-CN"/>
        </w:rPr>
        <w:t>采购人</w:t>
      </w:r>
      <w:r>
        <w:rPr>
          <w:rFonts w:hint="eastAsia" w:ascii="Times New Roman"/>
        </w:rPr>
        <w:t>直接以银行转账或银行承兑汇票形式支付给</w:t>
      </w:r>
      <w:r>
        <w:rPr>
          <w:rFonts w:hint="eastAsia" w:ascii="Times New Roman"/>
          <w:lang w:val="en-US" w:eastAsia="zh-CN"/>
        </w:rPr>
        <w:t>供货单位</w:t>
      </w:r>
      <w:r>
        <w:rPr>
          <w:rFonts w:hint="eastAsia" w:ascii="Times New Roman"/>
        </w:rPr>
        <w:t>，汇票期限不超过三个月，每期款项支付方式由</w:t>
      </w:r>
      <w:r>
        <w:rPr>
          <w:rFonts w:hint="eastAsia" w:ascii="Times New Roman"/>
          <w:lang w:val="en-US" w:eastAsia="zh-CN"/>
        </w:rPr>
        <w:t>采购人</w:t>
      </w:r>
      <w:r>
        <w:rPr>
          <w:rFonts w:hint="eastAsia" w:ascii="Times New Roman"/>
        </w:rPr>
        <w:t>决定。</w:t>
      </w:r>
      <w:r>
        <w:rPr>
          <w:rFonts w:hint="eastAsia" w:ascii="Times New Roman"/>
          <w:lang w:val="en-US" w:eastAsia="zh-CN"/>
        </w:rPr>
        <w:t>供货单位</w:t>
      </w:r>
      <w:r>
        <w:rPr>
          <w:rFonts w:hint="eastAsia" w:ascii="Times New Roman"/>
        </w:rPr>
        <w:t>逾期提交请款材料</w:t>
      </w:r>
      <w:r>
        <w:rPr>
          <w:rFonts w:hint="eastAsia" w:ascii="Times New Roman"/>
          <w:lang w:val="en-US" w:eastAsia="zh-CN"/>
        </w:rPr>
        <w:t>及发票</w:t>
      </w:r>
      <w:r>
        <w:rPr>
          <w:rFonts w:hint="eastAsia" w:ascii="Times New Roman"/>
        </w:rPr>
        <w:t>或提交材料</w:t>
      </w:r>
      <w:r>
        <w:rPr>
          <w:rFonts w:hint="eastAsia" w:ascii="Times New Roman"/>
          <w:lang w:eastAsia="zh-CN"/>
        </w:rPr>
        <w:t>、</w:t>
      </w:r>
      <w:r>
        <w:rPr>
          <w:rFonts w:hint="eastAsia" w:ascii="Times New Roman"/>
          <w:lang w:val="en-US" w:eastAsia="zh-CN"/>
        </w:rPr>
        <w:t>发票</w:t>
      </w:r>
      <w:r>
        <w:rPr>
          <w:rFonts w:hint="eastAsia" w:ascii="Times New Roman"/>
        </w:rPr>
        <w:t>不符合</w:t>
      </w:r>
      <w:r>
        <w:rPr>
          <w:rFonts w:hint="eastAsia" w:ascii="Times New Roman"/>
          <w:lang w:val="en-US" w:eastAsia="zh-CN"/>
        </w:rPr>
        <w:t>采购人</w:t>
      </w:r>
      <w:r>
        <w:rPr>
          <w:rFonts w:hint="eastAsia" w:ascii="Times New Roman"/>
        </w:rPr>
        <w:t>要求的，</w:t>
      </w:r>
      <w:r>
        <w:rPr>
          <w:rFonts w:hint="eastAsia" w:ascii="Times New Roman"/>
          <w:lang w:val="en-US" w:eastAsia="zh-CN"/>
        </w:rPr>
        <w:t>采购人</w:t>
      </w:r>
      <w:r>
        <w:rPr>
          <w:rFonts w:hint="eastAsia" w:ascii="Times New Roman"/>
        </w:rPr>
        <w:t>有权顺延支付相应款项，并不承担逾期付款的违约责任，由于</w:t>
      </w:r>
      <w:r>
        <w:rPr>
          <w:rFonts w:hint="eastAsia" w:ascii="Times New Roman"/>
          <w:lang w:val="en-US" w:eastAsia="zh-CN"/>
        </w:rPr>
        <w:t>供货单位</w:t>
      </w:r>
      <w:r>
        <w:rPr>
          <w:rFonts w:hint="eastAsia" w:ascii="Times New Roman"/>
        </w:rPr>
        <w:t>提供的发票不符合税法规定，给</w:t>
      </w:r>
      <w:r>
        <w:rPr>
          <w:rFonts w:hint="eastAsia" w:ascii="Times New Roman"/>
          <w:lang w:val="en-US" w:eastAsia="zh-CN"/>
        </w:rPr>
        <w:t>采购人</w:t>
      </w:r>
      <w:r>
        <w:rPr>
          <w:rFonts w:hint="eastAsia" w:ascii="Times New Roman"/>
        </w:rPr>
        <w:t>造成的损失由</w:t>
      </w:r>
      <w:r>
        <w:rPr>
          <w:rFonts w:hint="eastAsia" w:ascii="Times New Roman"/>
          <w:lang w:val="en-US" w:eastAsia="zh-CN"/>
        </w:rPr>
        <w:t>供货单位</w:t>
      </w:r>
      <w:r>
        <w:rPr>
          <w:rFonts w:hint="eastAsia" w:ascii="Times New Roman"/>
        </w:rPr>
        <w:t>担赔偿责任，</w:t>
      </w:r>
      <w:r>
        <w:rPr>
          <w:rFonts w:hint="eastAsia" w:ascii="Times New Roman"/>
          <w:lang w:val="en-US" w:eastAsia="zh-CN"/>
        </w:rPr>
        <w:t>供货单位</w:t>
      </w:r>
      <w:r>
        <w:rPr>
          <w:rFonts w:hint="eastAsia" w:ascii="Times New Roman"/>
        </w:rPr>
        <w:t>不得以此延迟而拒绝履行合同义务。</w:t>
      </w:r>
    </w:p>
    <w:p w14:paraId="3F61A500">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ascii="Times New Roman"/>
          <w:b/>
          <w:bCs/>
          <w:szCs w:val="21"/>
        </w:rPr>
      </w:pPr>
      <w:bookmarkStart w:id="21" w:name="_Toc15100"/>
      <w:r>
        <w:rPr>
          <w:rFonts w:hint="eastAsia" w:ascii="Times New Roman" w:cs="Times New Roman"/>
          <w:b/>
          <w:bCs/>
          <w:szCs w:val="21"/>
        </w:rPr>
        <w:t>七、</w:t>
      </w:r>
      <w:r>
        <w:rPr>
          <w:rFonts w:ascii="Times New Roman" w:hAnsi="Times New Roman" w:eastAsia="宋体" w:cs="Times New Roman"/>
          <w:b/>
          <w:bCs/>
          <w:szCs w:val="21"/>
        </w:rPr>
        <w:t>其</w:t>
      </w:r>
      <w:r>
        <w:rPr>
          <w:rFonts w:ascii="Times New Roman"/>
          <w:b/>
          <w:bCs/>
          <w:szCs w:val="21"/>
        </w:rPr>
        <w:t>他要求</w:t>
      </w:r>
      <w:bookmarkEnd w:id="21"/>
    </w:p>
    <w:p w14:paraId="70804B3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供货单位所供货物须符合国家现行有效的法律法规、行业规范及相关的质量标准并达到使用要求。</w:t>
      </w:r>
    </w:p>
    <w:p w14:paraId="39EFD60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供货单位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47CEB6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供货单位所提供的货物必须保证其产品使用质量，满足采购人的实际使用需求，如在货物送货时发现货物破损或者发生质量问题，采购人有权退换相应的货物。</w:t>
      </w:r>
    </w:p>
    <w:p w14:paraId="2C3FB6C7">
      <w:pPr>
        <w:bidi w:val="0"/>
        <w:jc w:val="left"/>
        <w:rPr>
          <w:rFonts w:hint="default"/>
          <w:lang w:val="en-US" w:eastAsia="zh-CN"/>
        </w:rPr>
      </w:pPr>
    </w:p>
    <w:p w14:paraId="5E914C4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sz w:val="24"/>
          <w:szCs w:val="24"/>
        </w:rPr>
      </w:pPr>
    </w:p>
    <w:p w14:paraId="50297306">
      <w:pPr>
        <w:bidi w:val="0"/>
        <w:jc w:val="left"/>
        <w:rPr>
          <w:rFonts w:hint="default"/>
          <w:lang w:val="en-US" w:eastAsia="zh-CN"/>
        </w:rPr>
      </w:pPr>
    </w:p>
    <w:p w14:paraId="4CE908C9">
      <w:pPr>
        <w:spacing w:line="360" w:lineRule="auto"/>
        <w:ind w:firstLine="480" w:firstLineChars="200"/>
        <w:rPr>
          <w:rFonts w:ascii="Times New Roman"/>
          <w:szCs w:val="21"/>
        </w:rPr>
      </w:pPr>
    </w:p>
    <w:p w14:paraId="3F0FA82A">
      <w:pPr>
        <w:spacing w:line="360" w:lineRule="auto"/>
        <w:ind w:firstLine="480" w:firstLineChars="200"/>
        <w:rPr>
          <w:rFonts w:ascii="Times New Roman"/>
          <w:szCs w:val="21"/>
        </w:rPr>
      </w:pPr>
    </w:p>
    <w:p w14:paraId="5A41F2E7">
      <w:pPr>
        <w:spacing w:line="360" w:lineRule="auto"/>
        <w:ind w:firstLine="480" w:firstLineChars="200"/>
        <w:rPr>
          <w:rFonts w:ascii="Times New Roman"/>
          <w:szCs w:val="21"/>
        </w:rPr>
      </w:pPr>
    </w:p>
    <w:p w14:paraId="30A75FCC">
      <w:pPr>
        <w:spacing w:line="360" w:lineRule="auto"/>
        <w:ind w:firstLine="480" w:firstLineChars="200"/>
        <w:rPr>
          <w:rFonts w:ascii="Times New Roman"/>
          <w:szCs w:val="21"/>
        </w:rPr>
      </w:pPr>
    </w:p>
    <w:p w14:paraId="6D03BA4A">
      <w:pPr>
        <w:spacing w:line="360" w:lineRule="auto"/>
        <w:ind w:firstLine="480" w:firstLineChars="200"/>
        <w:rPr>
          <w:rFonts w:ascii="Times New Roman"/>
          <w:szCs w:val="21"/>
        </w:rPr>
      </w:pPr>
    </w:p>
    <w:p w14:paraId="051DA466">
      <w:pPr>
        <w:spacing w:line="360" w:lineRule="auto"/>
        <w:ind w:firstLine="480" w:firstLineChars="200"/>
        <w:rPr>
          <w:rFonts w:ascii="Times New Roman"/>
          <w:szCs w:val="21"/>
        </w:rPr>
      </w:pPr>
    </w:p>
    <w:p w14:paraId="25ADF8DC">
      <w:pPr>
        <w:spacing w:line="360" w:lineRule="auto"/>
        <w:ind w:firstLine="480" w:firstLineChars="200"/>
        <w:rPr>
          <w:rFonts w:ascii="Times New Roman"/>
          <w:szCs w:val="21"/>
        </w:rPr>
      </w:pPr>
    </w:p>
    <w:p w14:paraId="4E4B1BCB">
      <w:pPr>
        <w:spacing w:line="360" w:lineRule="auto"/>
        <w:ind w:firstLine="480" w:firstLineChars="200"/>
        <w:rPr>
          <w:rFonts w:ascii="Times New Roman"/>
          <w:szCs w:val="21"/>
        </w:rPr>
      </w:pPr>
    </w:p>
    <w:p w14:paraId="5D9F21C6">
      <w:pPr>
        <w:spacing w:line="360" w:lineRule="auto"/>
        <w:ind w:firstLine="480" w:firstLineChars="200"/>
        <w:rPr>
          <w:rFonts w:ascii="Times New Roman"/>
          <w:szCs w:val="21"/>
        </w:rPr>
      </w:pPr>
    </w:p>
    <w:p w14:paraId="01FBE07E">
      <w:pPr>
        <w:spacing w:line="360" w:lineRule="auto"/>
        <w:ind w:firstLine="480" w:firstLineChars="200"/>
        <w:rPr>
          <w:rFonts w:ascii="Times New Roman"/>
          <w:szCs w:val="21"/>
        </w:rPr>
      </w:pPr>
    </w:p>
    <w:bookmarkEnd w:id="6"/>
    <w:bookmarkEnd w:id="7"/>
    <w:bookmarkEnd w:id="8"/>
    <w:p w14:paraId="17C457CD">
      <w:pPr>
        <w:pStyle w:val="3"/>
        <w:spacing w:before="0" w:after="0"/>
        <w:jc w:val="center"/>
        <w:rPr>
          <w:rFonts w:hAnsi="宋体" w:cs="宋体"/>
          <w:szCs w:val="32"/>
        </w:rPr>
      </w:pPr>
      <w:bookmarkStart w:id="22" w:name="_Toc528"/>
      <w:bookmarkStart w:id="23" w:name="_Toc27990830"/>
      <w:r>
        <w:rPr>
          <w:rFonts w:hint="eastAsia" w:hAnsi="宋体" w:cs="宋体"/>
          <w:szCs w:val="32"/>
        </w:rPr>
        <w:t>第三章 合同条款</w:t>
      </w:r>
      <w:bookmarkEnd w:id="22"/>
      <w:bookmarkEnd w:id="23"/>
    </w:p>
    <w:p w14:paraId="3FAF0DE2">
      <w:pPr>
        <w:spacing w:line="360" w:lineRule="auto"/>
        <w:jc w:val="center"/>
        <w:rPr>
          <w:b/>
          <w:color w:val="000000" w:themeColor="text1"/>
          <w14:textFill>
            <w14:solidFill>
              <w14:schemeClr w14:val="tx1"/>
            </w14:solidFill>
          </w14:textFill>
        </w:rPr>
      </w:pPr>
    </w:p>
    <w:p w14:paraId="5C0353A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default" w:eastAsia="宋体"/>
          <w:i w:val="0"/>
          <w:iCs w:val="0"/>
          <w:caps w:val="0"/>
          <w:color w:val="333333"/>
          <w:spacing w:val="0"/>
          <w:sz w:val="16"/>
          <w:szCs w:val="16"/>
          <w:lang w:val="en-US" w:eastAsia="zh-CN"/>
        </w:rPr>
      </w:pPr>
      <w:r>
        <w:rPr>
          <w:rFonts w:hint="eastAsia"/>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合同编号：</w:t>
      </w:r>
      <w:r>
        <w:rPr>
          <w:rFonts w:hint="eastAsia" w:ascii="Times New Roman" w:hAnsi="Times New Roman" w:cs="Times New Roman"/>
          <w:color w:val="000000" w:themeColor="text1"/>
          <w:lang w:val="en-US" w:eastAsia="zh-CN"/>
          <w14:textFill>
            <w14:solidFill>
              <w14:schemeClr w14:val="tx1"/>
            </w14:solidFill>
          </w14:textFill>
        </w:rPr>
        <w:t xml:space="preserve">        </w:t>
      </w:r>
    </w:p>
    <w:p w14:paraId="7C7800EC">
      <w:pPr>
        <w:wordWrap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A06723F">
      <w:pPr>
        <w:spacing w:line="360" w:lineRule="auto"/>
        <w:jc w:val="center"/>
        <w:rPr>
          <w:color w:val="000000" w:themeColor="text1"/>
          <w14:textFill>
            <w14:solidFill>
              <w14:schemeClr w14:val="tx1"/>
            </w14:solidFill>
          </w14:textFill>
        </w:rPr>
      </w:pPr>
    </w:p>
    <w:p w14:paraId="222D20E3">
      <w:pPr>
        <w:spacing w:line="360" w:lineRule="auto"/>
        <w:jc w:val="center"/>
        <w:rPr>
          <w:color w:val="000000" w:themeColor="text1"/>
          <w14:textFill>
            <w14:solidFill>
              <w14:schemeClr w14:val="tx1"/>
            </w14:solidFill>
          </w14:textFill>
        </w:rPr>
      </w:pPr>
    </w:p>
    <w:p w14:paraId="5C593274">
      <w:pPr>
        <w:spacing w:line="360" w:lineRule="auto"/>
        <w:jc w:val="center"/>
        <w:rPr>
          <w:color w:val="000000" w:themeColor="text1"/>
          <w14:textFill>
            <w14:solidFill>
              <w14:schemeClr w14:val="tx1"/>
            </w14:solidFill>
          </w14:textFill>
        </w:rPr>
      </w:pPr>
    </w:p>
    <w:p w14:paraId="42C7F792">
      <w:pPr>
        <w:spacing w:line="840" w:lineRule="exact"/>
        <w:rPr>
          <w:color w:val="000000" w:themeColor="text1"/>
          <w14:textFill>
            <w14:solidFill>
              <w14:schemeClr w14:val="tx1"/>
            </w14:solidFill>
          </w14:textFill>
        </w:rPr>
      </w:pPr>
    </w:p>
    <w:p w14:paraId="0A080E88">
      <w:pPr>
        <w:spacing w:line="840" w:lineRule="exact"/>
        <w:jc w:val="center"/>
        <w:rPr>
          <w:rFonts w:hint="eastAsia"/>
          <w:b/>
          <w:bCs/>
          <w:color w:val="000000" w:themeColor="text1"/>
          <w:sz w:val="44"/>
          <w:szCs w:val="44"/>
          <w:lang w:val="en-US" w:eastAsia="zh-CN"/>
          <w14:textFill>
            <w14:solidFill>
              <w14:schemeClr w14:val="tx1"/>
            </w14:solidFill>
          </w14:textFill>
        </w:rPr>
      </w:pPr>
      <w:r>
        <w:rPr>
          <w:rFonts w:hint="eastAsia"/>
          <w:b/>
          <w:bCs/>
          <w:color w:val="000000" w:themeColor="text1"/>
          <w:sz w:val="44"/>
          <w:szCs w:val="44"/>
          <w:lang w:val="en-US" w:eastAsia="zh-CN"/>
          <w14:textFill>
            <w14:solidFill>
              <w14:schemeClr w14:val="tx1"/>
            </w14:solidFill>
          </w14:textFill>
        </w:rPr>
        <w:t>东莞市石鼓净水有限公司2025年第四季度办公设备采购项目合同</w:t>
      </w:r>
    </w:p>
    <w:p w14:paraId="2365E5C9">
      <w:pPr>
        <w:spacing w:line="360" w:lineRule="auto"/>
        <w:rPr>
          <w:color w:val="000000" w:themeColor="text1"/>
          <w14:textFill>
            <w14:solidFill>
              <w14:schemeClr w14:val="tx1"/>
            </w14:solidFill>
          </w14:textFill>
        </w:rPr>
      </w:pPr>
    </w:p>
    <w:p w14:paraId="0DDD587F">
      <w:pPr>
        <w:spacing w:line="360" w:lineRule="auto"/>
        <w:rPr>
          <w:color w:val="000000" w:themeColor="text1"/>
          <w14:textFill>
            <w14:solidFill>
              <w14:schemeClr w14:val="tx1"/>
            </w14:solidFill>
          </w14:textFill>
        </w:rPr>
      </w:pPr>
    </w:p>
    <w:p w14:paraId="10177895">
      <w:pPr>
        <w:spacing w:line="360" w:lineRule="auto"/>
        <w:rPr>
          <w:color w:val="000000" w:themeColor="text1"/>
          <w14:textFill>
            <w14:solidFill>
              <w14:schemeClr w14:val="tx1"/>
            </w14:solidFill>
          </w14:textFill>
        </w:rPr>
      </w:pPr>
    </w:p>
    <w:p w14:paraId="7422E3EE">
      <w:pPr>
        <w:spacing w:line="360" w:lineRule="auto"/>
        <w:rPr>
          <w:color w:val="000000" w:themeColor="text1"/>
          <w14:textFill>
            <w14:solidFill>
              <w14:schemeClr w14:val="tx1"/>
            </w14:solidFill>
          </w14:textFill>
        </w:rPr>
      </w:pPr>
    </w:p>
    <w:p w14:paraId="116D3356">
      <w:pPr>
        <w:spacing w:line="360" w:lineRule="auto"/>
        <w:rPr>
          <w:color w:val="000000" w:themeColor="text1"/>
          <w14:textFill>
            <w14:solidFill>
              <w14:schemeClr w14:val="tx1"/>
            </w14:solidFill>
          </w14:textFill>
        </w:rPr>
      </w:pPr>
    </w:p>
    <w:p w14:paraId="666F2348">
      <w:pPr>
        <w:spacing w:line="360" w:lineRule="auto"/>
        <w:jc w:val="center"/>
        <w:rPr>
          <w:color w:val="000000" w:themeColor="text1"/>
          <w14:textFill>
            <w14:solidFill>
              <w14:schemeClr w14:val="tx1"/>
            </w14:solidFill>
          </w14:textFill>
        </w:rPr>
      </w:pPr>
    </w:p>
    <w:p w14:paraId="2983D753">
      <w:pPr>
        <w:spacing w:line="360" w:lineRule="auto"/>
        <w:jc w:val="center"/>
        <w:rPr>
          <w:color w:val="000000" w:themeColor="text1"/>
          <w14:textFill>
            <w14:solidFill>
              <w14:schemeClr w14:val="tx1"/>
            </w14:solidFill>
          </w14:textFill>
        </w:rPr>
      </w:pPr>
    </w:p>
    <w:p w14:paraId="01F9405C">
      <w:pPr>
        <w:spacing w:line="360" w:lineRule="auto"/>
        <w:rPr>
          <w:color w:val="000000" w:themeColor="text1"/>
          <w14:textFill>
            <w14:solidFill>
              <w14:schemeClr w14:val="tx1"/>
            </w14:solidFill>
          </w14:textFill>
        </w:rPr>
      </w:pPr>
    </w:p>
    <w:p w14:paraId="67D1AC02">
      <w:pPr>
        <w:spacing w:line="360" w:lineRule="auto"/>
        <w:rPr>
          <w:color w:val="000000" w:themeColor="text1"/>
          <w14:textFill>
            <w14:solidFill>
              <w14:schemeClr w14:val="tx1"/>
            </w14:solidFill>
          </w14:textFill>
        </w:rPr>
      </w:pPr>
    </w:p>
    <w:p w14:paraId="7FD3B938">
      <w:pPr>
        <w:spacing w:line="360" w:lineRule="auto"/>
        <w:rPr>
          <w:color w:val="000000" w:themeColor="text1"/>
          <w14:textFill>
            <w14:solidFill>
              <w14:schemeClr w14:val="tx1"/>
            </w14:solidFill>
          </w14:textFill>
        </w:rPr>
      </w:pPr>
    </w:p>
    <w:p w14:paraId="469FBEA1">
      <w:pPr>
        <w:spacing w:line="360" w:lineRule="auto"/>
        <w:rPr>
          <w:color w:val="000000" w:themeColor="text1"/>
          <w14:textFill>
            <w14:solidFill>
              <w14:schemeClr w14:val="tx1"/>
            </w14:solidFill>
          </w14:textFill>
        </w:rPr>
      </w:pPr>
    </w:p>
    <w:p w14:paraId="762F5A38">
      <w:pPr>
        <w:pStyle w:val="2"/>
        <w:keepNext w:val="0"/>
        <w:keepLines w:val="0"/>
        <w:pageBreakBefore w:val="0"/>
        <w:kinsoku/>
        <w:wordWrap/>
        <w:overflowPunct/>
        <w:topLinePunct w:val="0"/>
        <w:autoSpaceDE w:val="0"/>
        <w:autoSpaceDN w:val="0"/>
        <w:bidi w:val="0"/>
        <w:adjustRightInd w:val="0"/>
        <w:snapToGrid/>
        <w:ind w:firstLine="1800" w:firstLineChars="600"/>
        <w:jc w:val="left"/>
        <w:textAlignment w:val="auto"/>
        <w:rPr>
          <w:rFonts w:hint="eastAsia"/>
          <w:color w:val="000000" w:themeColor="text1"/>
          <w:sz w:val="30"/>
          <w:szCs w:val="30"/>
          <w:u w:val="single"/>
          <w:lang w:val="en-US" w:eastAsia="zh-CN"/>
          <w14:textFill>
            <w14:solidFill>
              <w14:schemeClr w14:val="tx1"/>
            </w14:solidFill>
          </w14:textFill>
        </w:rPr>
      </w:pPr>
      <w:bookmarkStart w:id="24" w:name="_Toc27355"/>
      <w:r>
        <w:rPr>
          <w:rFonts w:hint="eastAsia"/>
          <w:color w:val="000000" w:themeColor="text1"/>
          <w:sz w:val="30"/>
          <w:szCs w:val="30"/>
          <w:lang w:val="en-US" w:eastAsia="zh-CN"/>
          <w14:textFill>
            <w14:solidFill>
              <w14:schemeClr w14:val="tx1"/>
            </w14:solidFill>
          </w14:textFill>
        </w:rPr>
        <w:t>甲</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东莞市石鼓净水有限公司</w:t>
      </w:r>
      <w:bookmarkEnd w:id="24"/>
    </w:p>
    <w:p w14:paraId="2F53C79D">
      <w:pPr>
        <w:spacing w:line="360" w:lineRule="auto"/>
        <w:rPr>
          <w:rFonts w:hint="eastAsia"/>
          <w:color w:val="000000" w:themeColor="text1"/>
          <w:sz w:val="30"/>
          <w:szCs w:val="30"/>
          <w:lang w:val="en-US" w:eastAsia="zh-CN"/>
          <w14:textFill>
            <w14:solidFill>
              <w14:schemeClr w14:val="tx1"/>
            </w14:solidFill>
          </w14:textFill>
        </w:rPr>
      </w:pPr>
    </w:p>
    <w:p w14:paraId="672F23A3">
      <w:pPr>
        <w:pStyle w:val="18"/>
        <w:widowControl/>
        <w:pBdr>
          <w:top w:val="none" w:color="auto" w:sz="0" w:space="0"/>
          <w:left w:val="none" w:color="auto" w:sz="0" w:space="0"/>
          <w:bottom w:val="none" w:color="auto" w:sz="0" w:space="0"/>
          <w:right w:val="none" w:color="auto" w:sz="0" w:space="0"/>
        </w:pBdr>
        <w:ind w:firstLine="1800" w:firstLineChars="600"/>
        <w:jc w:val="both"/>
        <w:rPr>
          <w:color w:val="000000" w:themeColor="text1"/>
          <w:sz w:val="40"/>
          <w:szCs w:val="40"/>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乙</w:t>
      </w:r>
      <w:r>
        <w:rPr>
          <w:rFonts w:hint="eastAsia"/>
          <w:color w:val="000000" w:themeColor="text1"/>
          <w:sz w:val="30"/>
          <w:szCs w:val="30"/>
          <w14:textFill>
            <w14:solidFill>
              <w14:schemeClr w14:val="tx1"/>
            </w14:solidFill>
          </w14:textFill>
        </w:rPr>
        <w:t>方：</w:t>
      </w:r>
      <w:r>
        <w:rPr>
          <w:rFonts w:hint="eastAsia" w:hAnsi="Times New Roman" w:cs="Times New Roman"/>
          <w:color w:val="000000" w:themeColor="text1"/>
          <w:sz w:val="30"/>
          <w:szCs w:val="30"/>
          <w:u w:val="single"/>
          <w:lang w:val="en-US" w:eastAsia="zh-CN" w:bidi="ar-SA"/>
          <w14:textFill>
            <w14:solidFill>
              <w14:schemeClr w14:val="tx1"/>
            </w14:solidFill>
          </w14:textFill>
        </w:rPr>
        <w:t xml:space="preserve"> </w:t>
      </w:r>
      <w:r>
        <w:rPr>
          <w:rFonts w:hint="eastAsia" w:hAnsi="Times New Roman" w:cs="Times New Roman"/>
          <w:i w:val="0"/>
          <w:iCs w:val="0"/>
          <w:caps w:val="0"/>
          <w:color w:val="000000" w:themeColor="text1"/>
          <w:spacing w:val="0"/>
          <w:sz w:val="30"/>
          <w:szCs w:val="30"/>
          <w:u w:val="single"/>
          <w:lang w:val="en-US" w:eastAsia="zh-CN" w:bidi="ar-SA"/>
          <w14:textFill>
            <w14:solidFill>
              <w14:schemeClr w14:val="tx1"/>
            </w14:solidFill>
          </w14:textFill>
        </w:rPr>
        <w:t xml:space="preserve">                     </w:t>
      </w:r>
      <w:r>
        <w:rPr>
          <w:rFonts w:hint="eastAsia" w:hAnsi="Times New Roman" w:cs="Times New Roman"/>
          <w:color w:val="000000" w:themeColor="text1"/>
          <w:sz w:val="30"/>
          <w:szCs w:val="30"/>
          <w:u w:val="single"/>
          <w:lang w:val="en-US" w:eastAsia="zh-CN" w:bidi="ar-SA"/>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br w:type="page"/>
      </w:r>
    </w:p>
    <w:p w14:paraId="16F3903E">
      <w:pPr>
        <w:spacing w:line="360" w:lineRule="auto"/>
        <w:rPr>
          <w:rFonts w:hint="default" w:ascii="Times New Roman" w:eastAsia="宋体"/>
          <w:lang w:val="en-US" w:eastAsia="zh-CN"/>
        </w:rPr>
      </w:pPr>
      <w:r>
        <w:rPr>
          <w:rFonts w:hint="eastAsia" w:ascii="Times New Roman"/>
          <w:b/>
          <w:lang w:val="en-US" w:eastAsia="zh-CN"/>
        </w:rPr>
        <w:t>甲</w:t>
      </w:r>
      <w:r>
        <w:rPr>
          <w:rFonts w:hint="eastAsia" w:ascii="Times New Roman"/>
          <w:b/>
        </w:rPr>
        <w:t>方：</w:t>
      </w:r>
      <w:r>
        <w:rPr>
          <w:rFonts w:hint="eastAsia" w:ascii="Times New Roman"/>
          <w:b/>
          <w:u w:val="single"/>
          <w:lang w:val="en-US" w:eastAsia="zh-CN"/>
        </w:rPr>
        <w:t>东莞市石鼓净水有限公司</w:t>
      </w:r>
    </w:p>
    <w:p w14:paraId="40503E1F">
      <w:pPr>
        <w:spacing w:line="360" w:lineRule="auto"/>
        <w:rPr>
          <w:rFonts w:hint="eastAsia" w:ascii="Times New Roman"/>
          <w:u w:val="single"/>
          <w:lang w:val="en-US" w:eastAsia="zh-CN"/>
        </w:rPr>
      </w:pPr>
      <w:r>
        <w:rPr>
          <w:rFonts w:hint="eastAsia" w:ascii="Times New Roman"/>
        </w:rPr>
        <w:t>地址：</w:t>
      </w:r>
      <w:bookmarkStart w:id="25" w:name="OLE_LINK13"/>
      <w:r>
        <w:rPr>
          <w:rFonts w:hint="eastAsia" w:ascii="Times New Roman"/>
          <w:u w:val="single"/>
          <w:lang w:val="en-US" w:eastAsia="zh-CN"/>
        </w:rPr>
        <w:t>广东省东莞市南城街道滨河路100号一期1号楼101室</w:t>
      </w:r>
      <w:bookmarkEnd w:id="25"/>
    </w:p>
    <w:p w14:paraId="6ADD5E3B">
      <w:pPr>
        <w:spacing w:line="360" w:lineRule="auto"/>
        <w:rPr>
          <w:rFonts w:hint="default" w:ascii="Times New Roman"/>
          <w:lang w:val="en-US"/>
        </w:rPr>
      </w:pPr>
      <w:r>
        <w:rPr>
          <w:rFonts w:hint="eastAsia" w:ascii="Times New Roman"/>
          <w:b/>
          <w:lang w:val="en-US" w:eastAsia="zh-CN"/>
        </w:rPr>
        <w:t>乙</w:t>
      </w:r>
      <w:r>
        <w:rPr>
          <w:rFonts w:hint="eastAsia" w:ascii="Times New Roman"/>
          <w:b/>
        </w:rPr>
        <w:t>方：</w:t>
      </w:r>
      <w:r>
        <w:rPr>
          <w:rFonts w:hint="eastAsia" w:ascii="Times New Roman"/>
          <w:b/>
          <w:bCs/>
          <w:u w:val="single"/>
          <w:lang w:val="en-US" w:eastAsia="zh-CN"/>
        </w:rPr>
        <w:t xml:space="preserve">                       </w:t>
      </w:r>
    </w:p>
    <w:p w14:paraId="1AF39980">
      <w:pPr>
        <w:spacing w:line="360" w:lineRule="auto"/>
        <w:rPr>
          <w:rFonts w:hint="default" w:ascii="Times New Roman" w:eastAsia="宋体"/>
          <w:u w:val="single"/>
          <w:lang w:val="en-US" w:eastAsia="zh-CN"/>
        </w:rPr>
      </w:pPr>
      <w:r>
        <w:rPr>
          <w:rFonts w:hint="eastAsia" w:ascii="Times New Roman"/>
        </w:rPr>
        <w:t>地址：</w:t>
      </w:r>
      <w:r>
        <w:rPr>
          <w:rFonts w:hint="eastAsia" w:ascii="Times New Roman"/>
          <w:u w:val="single"/>
          <w:lang w:val="en-US" w:eastAsia="zh-CN"/>
        </w:rPr>
        <w:t xml:space="preserve">                                              </w:t>
      </w:r>
    </w:p>
    <w:p w14:paraId="18F216AF">
      <w:pPr>
        <w:spacing w:line="360" w:lineRule="auto"/>
        <w:rPr>
          <w:rFonts w:ascii="Times New Roman"/>
        </w:rPr>
      </w:pPr>
    </w:p>
    <w:p w14:paraId="61805B0E">
      <w:pPr>
        <w:spacing w:line="360" w:lineRule="auto"/>
        <w:ind w:firstLine="480" w:firstLineChars="200"/>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eastAsia="zh-CN"/>
        </w:rPr>
        <w:t>办公设备</w:t>
      </w:r>
      <w:r>
        <w:rPr>
          <w:rFonts w:hint="eastAsia" w:ascii="Times New Roman"/>
        </w:rPr>
        <w:t>一批。根据《中华人民共和国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lang w:eastAsia="zh-CN"/>
        </w:rPr>
        <w:t>办公设备</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2FFED078">
      <w:pPr>
        <w:spacing w:line="360" w:lineRule="auto"/>
        <w:rPr>
          <w:rFonts w:ascii="Times New Roman"/>
        </w:rPr>
      </w:pPr>
    </w:p>
    <w:p w14:paraId="419281CB">
      <w:pPr>
        <w:pStyle w:val="28"/>
        <w:numPr>
          <w:ilvl w:val="0"/>
          <w:numId w:val="1"/>
        </w:numPr>
        <w:ind w:firstLineChars="0"/>
        <w:outlineLvl w:val="1"/>
        <w:rPr>
          <w:rFonts w:ascii="Times New Roman" w:hAnsi="Times New Roman"/>
          <w:b/>
          <w:sz w:val="24"/>
          <w:szCs w:val="24"/>
        </w:rPr>
      </w:pPr>
      <w:bookmarkStart w:id="26" w:name="_Toc29782"/>
      <w:bookmarkStart w:id="27" w:name="_Toc27990831"/>
      <w:r>
        <w:rPr>
          <w:rFonts w:hint="eastAsia" w:ascii="Times New Roman" w:hAnsi="Times New Roman"/>
          <w:b/>
          <w:sz w:val="24"/>
          <w:szCs w:val="24"/>
        </w:rPr>
        <w:t>合同采购清单</w:t>
      </w:r>
      <w:bookmarkEnd w:id="26"/>
      <w:bookmarkEnd w:id="27"/>
    </w:p>
    <w:p w14:paraId="0966B2BA">
      <w:pPr>
        <w:spacing w:before="156" w:beforeLines="50" w:line="360" w:lineRule="auto"/>
        <w:ind w:firstLine="480" w:firstLineChars="200"/>
        <w:outlineLvl w:val="1"/>
        <w:rPr>
          <w:b/>
          <w:bCs/>
          <w:color w:val="000000" w:themeColor="text1"/>
          <w14:textFill>
            <w14:solidFill>
              <w14:schemeClr w14:val="tx1"/>
            </w14:solidFill>
          </w14:textFill>
        </w:rPr>
      </w:pPr>
      <w:bookmarkStart w:id="28" w:name="_Toc27990832"/>
      <w:bookmarkStart w:id="29" w:name="_Toc21121"/>
      <w:r>
        <w:rPr>
          <w:rFonts w:hint="eastAsia"/>
          <w:bCs/>
          <w:color w:val="000000" w:themeColor="text1"/>
          <w:lang w:val="en-US" w:eastAsia="zh-CN"/>
          <w14:textFill>
            <w14:solidFill>
              <w14:schemeClr w14:val="tx1"/>
            </w14:solidFill>
          </w14:textFill>
        </w:rPr>
        <w:t>1、</w:t>
      </w:r>
      <w:r>
        <w:rPr>
          <w:rFonts w:hint="eastAsia"/>
          <w:bCs/>
          <w:color w:val="000000" w:themeColor="text1"/>
          <w14:textFill>
            <w14:solidFill>
              <w14:schemeClr w14:val="tx1"/>
            </w14:solidFill>
          </w14:textFill>
        </w:rPr>
        <w:t>详见附件</w:t>
      </w:r>
      <w:r>
        <w:rPr>
          <w:rFonts w:hint="eastAsia"/>
          <w:bCs/>
          <w:color w:val="000000" w:themeColor="text1"/>
          <w:lang w:val="en-US" w:eastAsia="zh-CN"/>
          <w14:textFill>
            <w14:solidFill>
              <w14:schemeClr w14:val="tx1"/>
            </w14:solidFill>
          </w14:textFill>
        </w:rPr>
        <w:t>二</w:t>
      </w:r>
      <w:r>
        <w:rPr>
          <w:rFonts w:hint="eastAsia"/>
          <w:bCs/>
          <w:color w:val="000000" w:themeColor="text1"/>
          <w14:textFill>
            <w14:solidFill>
              <w14:schemeClr w14:val="tx1"/>
            </w14:solidFill>
          </w14:textFill>
        </w:rPr>
        <w:t>《分项报价表》</w:t>
      </w:r>
      <w:r>
        <w:rPr>
          <w:rFonts w:hint="eastAsia"/>
          <w:bCs/>
          <w:color w:val="000000" w:themeColor="text1"/>
          <w:lang w:val="en-US" w:eastAsia="zh-CN"/>
          <w14:textFill>
            <w14:solidFill>
              <w14:schemeClr w14:val="tx1"/>
            </w14:solidFill>
          </w14:textFill>
        </w:rPr>
        <w:t>及附件三《用户需求书》</w:t>
      </w:r>
      <w:r>
        <w:rPr>
          <w:rFonts w:hint="eastAsia"/>
          <w:bCs/>
          <w:color w:val="000000" w:themeColor="text1"/>
          <w14:textFill>
            <w14:solidFill>
              <w14:schemeClr w14:val="tx1"/>
            </w14:solidFill>
          </w14:textFill>
        </w:rPr>
        <w:t>。</w:t>
      </w:r>
      <w:bookmarkEnd w:id="28"/>
      <w:bookmarkEnd w:id="29"/>
    </w:p>
    <w:p w14:paraId="20DF6EF5">
      <w:pPr>
        <w:spacing w:line="360" w:lineRule="auto"/>
        <w:ind w:firstLine="480" w:firstLineChars="200"/>
        <w:rPr>
          <w:rFonts w:hint="eastAsia" w:ascii="Times New Roman"/>
        </w:rPr>
      </w:pPr>
      <w:r>
        <w:rPr>
          <w:rFonts w:hint="eastAsia" w:ascii="Times New Roman"/>
          <w:b w:val="0"/>
          <w:bCs w:val="0"/>
          <w:lang w:val="en-US" w:eastAsia="zh-CN"/>
        </w:rPr>
        <w:t>2、</w:t>
      </w:r>
      <w:r>
        <w:rPr>
          <w:rFonts w:hint="eastAsia" w:ascii="Times New Roman"/>
        </w:rPr>
        <w:t>乙方需按照合同中甲方要求的供货范围供货</w:t>
      </w:r>
      <w:r>
        <w:rPr>
          <w:rFonts w:hint="eastAsia" w:ascii="Times New Roman"/>
          <w:lang w:val="en-US" w:eastAsia="zh-CN"/>
        </w:rPr>
        <w:t>及提供服务</w:t>
      </w:r>
      <w:r>
        <w:rPr>
          <w:rFonts w:hint="eastAsia" w:ascii="Times New Roman"/>
        </w:rPr>
        <w:t>。若甲方未在合同、用户需求书、采购文件等文件中列明，但为了满足甲方的正常使用及达到验收标准而需增加货物</w:t>
      </w:r>
      <w:r>
        <w:rPr>
          <w:rFonts w:hint="eastAsia" w:ascii="Times New Roman"/>
          <w:lang w:val="en-US" w:eastAsia="zh-CN"/>
        </w:rPr>
        <w:t>或服务</w:t>
      </w:r>
      <w:r>
        <w:rPr>
          <w:rFonts w:hint="eastAsia" w:ascii="Times New Roman"/>
        </w:rPr>
        <w:t>的，由乙方为甲方提供完善方案。完善方案经甲方同意后，由乙方按照完善方案履行义务，其中涉及的增加的费用已包含在合同价中，甲方不另行向乙方支付费用。</w:t>
      </w:r>
    </w:p>
    <w:p w14:paraId="4E7BBC95">
      <w:pPr>
        <w:pStyle w:val="2"/>
      </w:pPr>
    </w:p>
    <w:p w14:paraId="799F2769">
      <w:pPr>
        <w:pStyle w:val="28"/>
        <w:numPr>
          <w:ilvl w:val="0"/>
          <w:numId w:val="1"/>
        </w:numPr>
        <w:ind w:firstLineChars="0"/>
        <w:outlineLvl w:val="1"/>
        <w:rPr>
          <w:rFonts w:ascii="Times New Roman" w:hAnsi="Times New Roman"/>
          <w:b/>
          <w:sz w:val="24"/>
          <w:szCs w:val="24"/>
        </w:rPr>
      </w:pPr>
      <w:bookmarkStart w:id="30" w:name="_Toc13724"/>
      <w:bookmarkStart w:id="31" w:name="_Toc27990833"/>
      <w:r>
        <w:rPr>
          <w:rFonts w:hint="eastAsia" w:ascii="Times New Roman" w:hAnsi="Times New Roman"/>
          <w:b/>
          <w:sz w:val="24"/>
          <w:szCs w:val="24"/>
        </w:rPr>
        <w:t>技术及质量约定</w:t>
      </w:r>
      <w:bookmarkEnd w:id="30"/>
      <w:bookmarkEnd w:id="31"/>
    </w:p>
    <w:p w14:paraId="24876F91">
      <w:pPr>
        <w:spacing w:line="360" w:lineRule="auto"/>
        <w:ind w:firstLine="424" w:firstLineChars="177"/>
        <w:rPr>
          <w:rFonts w:hint="eastAsia" w:ascii="Times New Roman"/>
        </w:rPr>
      </w:pPr>
      <w:r>
        <w:rPr>
          <w:rFonts w:hint="eastAsia" w:ascii="Times New Roman"/>
        </w:rPr>
        <w:t>1、</w:t>
      </w:r>
      <w:bookmarkStart w:id="32" w:name="OLE_LINK12"/>
      <w:r>
        <w:rPr>
          <w:rFonts w:hint="eastAsia" w:ascii="Times New Roman"/>
        </w:rPr>
        <w:t>采购清单的货物有品牌、规格型号要求的，</w:t>
      </w:r>
      <w:r>
        <w:rPr>
          <w:rFonts w:hint="eastAsia" w:ascii="Times New Roman"/>
          <w:lang w:val="en-US" w:eastAsia="zh-CN"/>
        </w:rPr>
        <w:t>乙方</w:t>
      </w:r>
      <w:r>
        <w:rPr>
          <w:rFonts w:hint="eastAsia" w:ascii="Times New Roman"/>
        </w:rPr>
        <w:t>应优先采用采购清单中的推荐品牌、规格型号报价及供货</w:t>
      </w:r>
      <w:bookmarkEnd w:id="32"/>
      <w:r>
        <w:rPr>
          <w:rFonts w:hint="eastAsia" w:ascii="Times New Roman"/>
        </w:rPr>
        <w:t>。所供货物须符合国家现行有效的法律法规、行业规范及相关的质量标准并达到使用要求。</w:t>
      </w:r>
    </w:p>
    <w:p w14:paraId="1258AFFB">
      <w:pPr>
        <w:spacing w:line="360" w:lineRule="auto"/>
        <w:ind w:firstLine="424" w:firstLineChars="177"/>
        <w:rPr>
          <w:rFonts w:hint="eastAsia" w:ascii="Times New Roman"/>
        </w:rPr>
      </w:pPr>
      <w:r>
        <w:rPr>
          <w:rFonts w:hint="eastAsia" w:ascii="Times New Roman"/>
        </w:rPr>
        <w:t>2、</w:t>
      </w:r>
      <w:r>
        <w:rPr>
          <w:rFonts w:hint="eastAsia" w:ascii="Times New Roman"/>
          <w:lang w:eastAsia="zh-CN"/>
        </w:rPr>
        <w:t>乙方</w:t>
      </w:r>
      <w:r>
        <w:rPr>
          <w:rFonts w:hint="eastAsia" w:ascii="Times New Roman"/>
        </w:rPr>
        <w:t>所提供的货物必须保证其产品使用质量，满足</w:t>
      </w:r>
      <w:r>
        <w:rPr>
          <w:rFonts w:hint="eastAsia" w:ascii="Times New Roman"/>
          <w:lang w:eastAsia="zh-CN"/>
        </w:rPr>
        <w:t>甲方</w:t>
      </w:r>
      <w:r>
        <w:rPr>
          <w:rFonts w:hint="eastAsia" w:ascii="Times New Roman"/>
        </w:rPr>
        <w:t>的实际使用需求。如在货物送货时发现货物破损或者发生质量问题，</w:t>
      </w:r>
      <w:r>
        <w:rPr>
          <w:rFonts w:hint="eastAsia" w:ascii="Times New Roman"/>
          <w:lang w:eastAsia="zh-CN"/>
        </w:rPr>
        <w:t>甲方</w:t>
      </w:r>
      <w:r>
        <w:rPr>
          <w:rFonts w:hint="eastAsia" w:ascii="Times New Roman"/>
        </w:rPr>
        <w:t xml:space="preserve">有权退换相应的货物。 </w:t>
      </w:r>
    </w:p>
    <w:p w14:paraId="14AA4731">
      <w:pPr>
        <w:spacing w:line="360" w:lineRule="auto"/>
        <w:ind w:firstLine="424" w:firstLineChars="177"/>
        <w:rPr>
          <w:rFonts w:hint="eastAsia" w:ascii="Times New Roman"/>
        </w:rPr>
      </w:pPr>
      <w:r>
        <w:rPr>
          <w:rFonts w:hint="eastAsia" w:ascii="Times New Roman"/>
        </w:rPr>
        <w:t>3、货物必须是原厂生产的、非组装的、全新的、未使用过的产品(含零部件、配件、随机工具等)，随机配备的所有配件及材料必须为原厂原配，表面无划伤、无开碰撞的痕迹。有原厂包装的，应附有合格证、货物出厂质量合格证明书、技术说明等。</w:t>
      </w:r>
    </w:p>
    <w:p w14:paraId="3E5952E6">
      <w:pPr>
        <w:spacing w:line="360" w:lineRule="auto"/>
        <w:ind w:firstLine="424" w:firstLineChars="177"/>
        <w:rPr>
          <w:rFonts w:hint="eastAsia" w:ascii="Times New Roman"/>
        </w:rPr>
      </w:pPr>
    </w:p>
    <w:p w14:paraId="41BED07E">
      <w:pPr>
        <w:pStyle w:val="28"/>
        <w:numPr>
          <w:ilvl w:val="0"/>
          <w:numId w:val="1"/>
        </w:numPr>
        <w:ind w:firstLineChars="0"/>
        <w:outlineLvl w:val="1"/>
        <w:rPr>
          <w:rFonts w:ascii="Times New Roman" w:hAnsi="Times New Roman"/>
          <w:b/>
          <w:sz w:val="24"/>
          <w:szCs w:val="24"/>
        </w:rPr>
      </w:pPr>
      <w:bookmarkStart w:id="33" w:name="_Toc2860"/>
      <w:bookmarkStart w:id="34" w:name="_Toc27990834"/>
      <w:r>
        <w:rPr>
          <w:rFonts w:hint="eastAsia" w:ascii="Times New Roman" w:hAnsi="Times New Roman"/>
          <w:b/>
          <w:sz w:val="24"/>
          <w:szCs w:val="24"/>
        </w:rPr>
        <w:t>交货约定</w:t>
      </w:r>
      <w:bookmarkEnd w:id="33"/>
      <w:bookmarkEnd w:id="34"/>
    </w:p>
    <w:p w14:paraId="4102E2CD">
      <w:pPr>
        <w:spacing w:line="360" w:lineRule="auto"/>
        <w:ind w:firstLine="480" w:firstLineChars="200"/>
        <w:rPr>
          <w:rFonts w:ascii="Times New Roman"/>
        </w:rPr>
      </w:pPr>
      <w:r>
        <w:rPr>
          <w:rFonts w:ascii="Times New Roman"/>
        </w:rPr>
        <w:t>1</w:t>
      </w:r>
      <w:r>
        <w:rPr>
          <w:rFonts w:hint="eastAsia" w:ascii="Times New Roman"/>
        </w:rPr>
        <w:t>、交货时间：自</w:t>
      </w:r>
      <w:r>
        <w:rPr>
          <w:rFonts w:hint="eastAsia" w:ascii="Times New Roman"/>
          <w:lang w:val="en-US" w:eastAsia="zh-CN"/>
        </w:rPr>
        <w:t>合同签订</w:t>
      </w:r>
      <w:r>
        <w:rPr>
          <w:rFonts w:hint="eastAsia" w:ascii="Times New Roman"/>
        </w:rPr>
        <w:t>之日起</w:t>
      </w:r>
      <w:r>
        <w:rPr>
          <w:rFonts w:hint="eastAsia" w:ascii="Times New Roman"/>
          <w:u w:val="single"/>
          <w:lang w:val="en-US" w:eastAsia="zh-CN"/>
        </w:rPr>
        <w:t xml:space="preserve"> 20 </w:t>
      </w:r>
      <w:r>
        <w:rPr>
          <w:rFonts w:hint="eastAsia" w:ascii="Times New Roman"/>
        </w:rPr>
        <w:t>个工作日内完成</w:t>
      </w:r>
      <w:r>
        <w:rPr>
          <w:rFonts w:hint="eastAsia" w:ascii="Times New Roman"/>
          <w:lang w:val="en-US" w:eastAsia="zh-CN"/>
        </w:rPr>
        <w:t>清单货物货到现场</w:t>
      </w:r>
      <w:r>
        <w:rPr>
          <w:rFonts w:hint="eastAsia" w:ascii="Times New Roman"/>
        </w:rPr>
        <w:t>及安装，对于部分货源不充足需要订购的设备，乙方需跟甲方进行沟通并经甲方同意后，可延长交货期。</w:t>
      </w:r>
    </w:p>
    <w:p w14:paraId="24E3B91E">
      <w:pPr>
        <w:spacing w:line="360" w:lineRule="auto"/>
        <w:ind w:firstLine="480" w:firstLineChars="200"/>
        <w:rPr>
          <w:rFonts w:hint="eastAsia" w:ascii="Times New Roman"/>
        </w:rPr>
      </w:pPr>
      <w:r>
        <w:rPr>
          <w:rFonts w:ascii="Times New Roman"/>
        </w:rPr>
        <w:t>2</w:t>
      </w:r>
      <w:r>
        <w:rPr>
          <w:rFonts w:hint="eastAsia" w:ascii="Times New Roman"/>
        </w:rPr>
        <w:t>、交货地点、方式：</w:t>
      </w:r>
    </w:p>
    <w:tbl>
      <w:tblPr>
        <w:tblStyle w:val="21"/>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16"/>
        <w:gridCol w:w="2094"/>
        <w:gridCol w:w="5017"/>
      </w:tblGrid>
      <w:tr w14:paraId="6053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7" w:type="dxa"/>
            <w:shd w:val="clear" w:color="auto" w:fill="auto"/>
            <w:noWrap/>
            <w:vAlign w:val="center"/>
          </w:tcPr>
          <w:p w14:paraId="5F7BB20A">
            <w:pPr>
              <w:widowControl/>
              <w:jc w:val="center"/>
              <w:rPr>
                <w:rFonts w:ascii="Times New Roman"/>
                <w:b/>
                <w:bCs/>
                <w:szCs w:val="21"/>
              </w:rPr>
            </w:pPr>
            <w:r>
              <w:rPr>
                <w:rFonts w:ascii="Times New Roman" w:hAnsi="Times New Roman" w:eastAsia="宋体" w:cs="Times New Roman"/>
                <w:b/>
                <w:bCs/>
                <w:szCs w:val="21"/>
              </w:rPr>
              <w:t>序号</w:t>
            </w:r>
          </w:p>
        </w:tc>
        <w:tc>
          <w:tcPr>
            <w:tcW w:w="1316" w:type="dxa"/>
            <w:shd w:val="clear" w:color="auto" w:fill="auto"/>
            <w:noWrap/>
            <w:vAlign w:val="center"/>
          </w:tcPr>
          <w:p w14:paraId="6C00885A">
            <w:pPr>
              <w:widowControl/>
              <w:jc w:val="center"/>
              <w:rPr>
                <w:rFonts w:hint="eastAsia" w:ascii="Times New Roman" w:hAnsi="Times New Roman" w:eastAsia="宋体" w:cs="Times New Roman"/>
                <w:b/>
                <w:bCs/>
                <w:szCs w:val="21"/>
                <w:lang w:val="en-US" w:eastAsia="zh-CN"/>
              </w:rPr>
            </w:pPr>
            <w:r>
              <w:rPr>
                <w:rFonts w:hint="eastAsia" w:ascii="Times New Roman" w:cs="Times New Roman"/>
                <w:b/>
                <w:bCs/>
                <w:szCs w:val="21"/>
                <w:lang w:val="en-US" w:eastAsia="zh-CN"/>
              </w:rPr>
              <w:t>所属公司</w:t>
            </w:r>
          </w:p>
        </w:tc>
        <w:tc>
          <w:tcPr>
            <w:tcW w:w="2094" w:type="dxa"/>
            <w:shd w:val="clear" w:color="auto" w:fill="auto"/>
            <w:noWrap/>
            <w:vAlign w:val="center"/>
          </w:tcPr>
          <w:p w14:paraId="5B4F37D5">
            <w:pPr>
              <w:widowControl/>
              <w:jc w:val="center"/>
              <w:rPr>
                <w:rFonts w:ascii="Times New Roman"/>
                <w:b/>
                <w:bCs/>
                <w:szCs w:val="21"/>
              </w:rPr>
            </w:pPr>
            <w:r>
              <w:rPr>
                <w:rFonts w:ascii="Times New Roman" w:hAnsi="Times New Roman" w:eastAsia="宋体" w:cs="Times New Roman"/>
                <w:b/>
                <w:bCs/>
                <w:szCs w:val="21"/>
              </w:rPr>
              <w:t>项目名称</w:t>
            </w:r>
          </w:p>
        </w:tc>
        <w:tc>
          <w:tcPr>
            <w:tcW w:w="5017" w:type="dxa"/>
            <w:vAlign w:val="center"/>
          </w:tcPr>
          <w:p w14:paraId="47715FD2">
            <w:pPr>
              <w:widowControl/>
              <w:jc w:val="center"/>
              <w:rPr>
                <w:rFonts w:ascii="Times New Roman"/>
                <w:b/>
                <w:bCs/>
                <w:szCs w:val="21"/>
              </w:rPr>
            </w:pPr>
            <w:r>
              <w:rPr>
                <w:rFonts w:ascii="Times New Roman" w:hAnsi="Times New Roman" w:eastAsia="宋体" w:cs="Times New Roman"/>
                <w:b/>
                <w:szCs w:val="21"/>
              </w:rPr>
              <w:t>交货地址</w:t>
            </w:r>
          </w:p>
        </w:tc>
      </w:tr>
      <w:tr w14:paraId="4F42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shd w:val="clear" w:color="auto" w:fill="auto"/>
            <w:noWrap/>
            <w:vAlign w:val="center"/>
          </w:tcPr>
          <w:p w14:paraId="0BCFDD7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316" w:type="dxa"/>
            <w:vMerge w:val="restart"/>
            <w:tcBorders>
              <w:top w:val="single" w:color="auto" w:sz="4" w:space="0"/>
              <w:left w:val="nil"/>
              <w:right w:val="single" w:color="auto" w:sz="4" w:space="0"/>
            </w:tcBorders>
            <w:shd w:val="clear" w:color="auto" w:fill="auto"/>
            <w:noWrap/>
            <w:vAlign w:val="center"/>
          </w:tcPr>
          <w:p w14:paraId="29C8915B">
            <w:pPr>
              <w:widowControl/>
              <w:jc w:val="center"/>
              <w:textAlignment w:val="center"/>
              <w:rPr>
                <w:rFonts w:hint="default" w:ascii="宋体" w:hAnsi="宋体" w:eastAsia="宋体" w:cs="宋体"/>
                <w:color w:val="000000"/>
                <w:sz w:val="24"/>
                <w:szCs w:val="24"/>
                <w:lang w:val="en-US" w:eastAsia="zh-CN" w:bidi="ar"/>
              </w:rPr>
            </w:pPr>
            <w:r>
              <w:rPr>
                <w:rFonts w:hint="eastAsia" w:hAnsi="宋体" w:cs="宋体"/>
                <w:color w:val="000000"/>
                <w:sz w:val="24"/>
                <w:szCs w:val="24"/>
                <w:lang w:val="en-US" w:eastAsia="zh-CN" w:bidi="ar"/>
              </w:rPr>
              <w:t>石鼓公司</w:t>
            </w:r>
          </w:p>
        </w:tc>
        <w:tc>
          <w:tcPr>
            <w:tcW w:w="2094" w:type="dxa"/>
            <w:tcBorders>
              <w:top w:val="single" w:color="auto" w:sz="4" w:space="0"/>
              <w:left w:val="nil"/>
              <w:bottom w:val="single" w:color="auto" w:sz="4" w:space="0"/>
              <w:right w:val="single" w:color="auto" w:sz="4" w:space="0"/>
            </w:tcBorders>
            <w:shd w:val="clear" w:color="auto" w:fill="auto"/>
            <w:noWrap/>
            <w:vAlign w:val="center"/>
          </w:tcPr>
          <w:p w14:paraId="4A79CC70">
            <w:pPr>
              <w:widowControl/>
              <w:jc w:val="center"/>
              <w:textAlignment w:val="center"/>
              <w:rPr>
                <w:rFonts w:hint="eastAsia" w:hAnsi="宋体" w:cs="宋体"/>
                <w:color w:val="000000"/>
                <w:sz w:val="24"/>
                <w:szCs w:val="24"/>
                <w:lang w:val="en-US" w:eastAsia="zh-CN" w:bidi="ar"/>
              </w:rPr>
            </w:pPr>
            <w:r>
              <w:rPr>
                <w:rFonts w:hint="eastAsia" w:hAnsi="宋体" w:cs="宋体"/>
                <w:color w:val="000000"/>
                <w:sz w:val="24"/>
                <w:szCs w:val="24"/>
                <w:lang w:val="en-US" w:eastAsia="zh-CN" w:bidi="ar"/>
              </w:rPr>
              <w:t>本部</w:t>
            </w:r>
          </w:p>
        </w:tc>
        <w:tc>
          <w:tcPr>
            <w:tcW w:w="5017" w:type="dxa"/>
            <w:shd w:val="clear" w:color="auto" w:fill="auto"/>
            <w:vAlign w:val="center"/>
          </w:tcPr>
          <w:p w14:paraId="22D81F2B">
            <w:pPr>
              <w:widowControl/>
              <w:jc w:val="both"/>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color w:val="000000"/>
                <w:sz w:val="24"/>
                <w:szCs w:val="24"/>
                <w:lang w:val="en-US" w:eastAsia="zh-CN" w:bidi="ar"/>
              </w:rPr>
              <w:t>东莞市南城街道滨河路100号二期</w:t>
            </w:r>
          </w:p>
        </w:tc>
      </w:tr>
      <w:tr w14:paraId="0724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shd w:val="clear" w:color="auto" w:fill="auto"/>
            <w:noWrap/>
            <w:vAlign w:val="center"/>
          </w:tcPr>
          <w:p w14:paraId="654768AF">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16" w:type="dxa"/>
            <w:vMerge w:val="continue"/>
            <w:tcBorders>
              <w:left w:val="nil"/>
              <w:right w:val="single" w:color="auto" w:sz="4" w:space="0"/>
            </w:tcBorders>
            <w:shd w:val="clear" w:color="auto" w:fill="auto"/>
            <w:noWrap/>
            <w:vAlign w:val="center"/>
          </w:tcPr>
          <w:p w14:paraId="1DBB70E5">
            <w:pPr>
              <w:widowControl/>
              <w:jc w:val="center"/>
              <w:textAlignment w:val="center"/>
              <w:rPr>
                <w:rFonts w:hint="default" w:ascii="宋体" w:hAnsi="宋体" w:eastAsia="宋体" w:cs="宋体"/>
                <w:color w:val="000000"/>
                <w:sz w:val="24"/>
                <w:szCs w:val="24"/>
                <w:lang w:val="en-US" w:eastAsia="zh-CN" w:bidi="ar"/>
              </w:rPr>
            </w:pPr>
          </w:p>
        </w:tc>
        <w:tc>
          <w:tcPr>
            <w:tcW w:w="2094" w:type="dxa"/>
            <w:tcBorders>
              <w:top w:val="single" w:color="auto" w:sz="4" w:space="0"/>
              <w:left w:val="nil"/>
              <w:bottom w:val="single" w:color="auto" w:sz="4" w:space="0"/>
              <w:right w:val="single" w:color="auto" w:sz="4" w:space="0"/>
            </w:tcBorders>
            <w:shd w:val="clear" w:color="auto" w:fill="auto"/>
            <w:noWrap/>
            <w:vAlign w:val="center"/>
          </w:tcPr>
          <w:p w14:paraId="559C232C">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寮步温塘厂</w:t>
            </w:r>
          </w:p>
        </w:tc>
        <w:tc>
          <w:tcPr>
            <w:tcW w:w="5017" w:type="dxa"/>
            <w:vAlign w:val="center"/>
          </w:tcPr>
          <w:p w14:paraId="502A5ED3">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东莞市东城街道虚舟路水务集团净水公司东城温塘分公司</w:t>
            </w:r>
          </w:p>
        </w:tc>
      </w:tr>
      <w:tr w14:paraId="2AA1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shd w:val="clear" w:color="auto" w:fill="auto"/>
            <w:noWrap/>
            <w:vAlign w:val="center"/>
          </w:tcPr>
          <w:p w14:paraId="74DAB85F">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16" w:type="dxa"/>
            <w:vMerge w:val="continue"/>
            <w:tcBorders>
              <w:left w:val="nil"/>
              <w:right w:val="single" w:color="auto" w:sz="4" w:space="0"/>
            </w:tcBorders>
            <w:shd w:val="clear" w:color="auto" w:fill="auto"/>
            <w:noWrap/>
            <w:vAlign w:val="center"/>
          </w:tcPr>
          <w:p w14:paraId="624CA026">
            <w:pPr>
              <w:widowControl/>
              <w:jc w:val="center"/>
              <w:textAlignment w:val="center"/>
              <w:rPr>
                <w:rFonts w:hint="eastAsia" w:ascii="宋体" w:hAnsi="宋体" w:eastAsia="宋体" w:cs="宋体"/>
                <w:color w:val="000000"/>
                <w:sz w:val="24"/>
                <w:szCs w:val="24"/>
                <w:lang w:val="en-US" w:eastAsia="zh-CN" w:bidi="ar"/>
              </w:rPr>
            </w:pPr>
          </w:p>
        </w:tc>
        <w:tc>
          <w:tcPr>
            <w:tcW w:w="2094" w:type="dxa"/>
            <w:tcBorders>
              <w:top w:val="single" w:color="auto" w:sz="4" w:space="0"/>
              <w:left w:val="nil"/>
              <w:bottom w:val="single" w:color="auto" w:sz="4" w:space="0"/>
              <w:right w:val="single" w:color="auto" w:sz="4" w:space="0"/>
            </w:tcBorders>
            <w:shd w:val="clear" w:color="auto" w:fill="auto"/>
            <w:noWrap/>
            <w:vAlign w:val="center"/>
          </w:tcPr>
          <w:p w14:paraId="6100175B">
            <w:pPr>
              <w:widowControl/>
              <w:jc w:val="center"/>
              <w:textAlignment w:val="center"/>
              <w:rPr>
                <w:rFonts w:hint="eastAsia" w:ascii="宋体" w:hAnsi="宋体" w:eastAsia="宋体" w:cs="宋体"/>
                <w:color w:val="000000"/>
                <w:sz w:val="24"/>
                <w:szCs w:val="24"/>
                <w:lang w:val="en-US" w:eastAsia="zh-CN" w:bidi="ar"/>
              </w:rPr>
            </w:pPr>
            <w:r>
              <w:rPr>
                <w:rFonts w:hint="eastAsia" w:hAnsi="宋体" w:cs="宋体"/>
                <w:color w:val="000000"/>
                <w:sz w:val="24"/>
                <w:szCs w:val="24"/>
                <w:lang w:val="en-US" w:eastAsia="zh-CN" w:bidi="ar"/>
              </w:rPr>
              <w:t>麻涌厂</w:t>
            </w:r>
          </w:p>
        </w:tc>
        <w:tc>
          <w:tcPr>
            <w:tcW w:w="5017" w:type="dxa"/>
            <w:vAlign w:val="center"/>
          </w:tcPr>
          <w:p w14:paraId="472C11DB">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东莞市麻涌镇新沙公园南一路9号2号楼202室</w:t>
            </w:r>
          </w:p>
        </w:tc>
      </w:tr>
      <w:tr w14:paraId="70E2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shd w:val="clear" w:color="auto" w:fill="auto"/>
            <w:noWrap/>
            <w:vAlign w:val="center"/>
          </w:tcPr>
          <w:p w14:paraId="185FADAB">
            <w:pPr>
              <w:widowControl/>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4</w:t>
            </w:r>
          </w:p>
        </w:tc>
        <w:tc>
          <w:tcPr>
            <w:tcW w:w="1316" w:type="dxa"/>
            <w:vMerge w:val="continue"/>
            <w:tcBorders>
              <w:left w:val="nil"/>
              <w:right w:val="single" w:color="auto" w:sz="4" w:space="0"/>
            </w:tcBorders>
            <w:shd w:val="clear" w:color="auto" w:fill="auto"/>
            <w:noWrap/>
            <w:vAlign w:val="center"/>
          </w:tcPr>
          <w:p w14:paraId="2E0F43CA">
            <w:pPr>
              <w:widowControl/>
              <w:jc w:val="center"/>
              <w:textAlignment w:val="center"/>
              <w:rPr>
                <w:rFonts w:hint="eastAsia" w:hAnsi="宋体" w:cs="宋体"/>
                <w:color w:val="000000"/>
                <w:sz w:val="24"/>
                <w:szCs w:val="24"/>
                <w:lang w:val="en-US" w:eastAsia="zh-CN" w:bidi="ar"/>
              </w:rPr>
            </w:pPr>
          </w:p>
        </w:tc>
        <w:tc>
          <w:tcPr>
            <w:tcW w:w="2094" w:type="dxa"/>
            <w:tcBorders>
              <w:top w:val="single" w:color="auto" w:sz="4" w:space="0"/>
              <w:left w:val="nil"/>
              <w:bottom w:val="single" w:color="auto" w:sz="4" w:space="0"/>
              <w:right w:val="single" w:color="auto" w:sz="4" w:space="0"/>
            </w:tcBorders>
            <w:shd w:val="clear" w:color="auto" w:fill="auto"/>
            <w:noWrap/>
            <w:vAlign w:val="center"/>
          </w:tcPr>
          <w:p w14:paraId="02716E4B">
            <w:pPr>
              <w:widowControl/>
              <w:jc w:val="center"/>
              <w:textAlignment w:val="center"/>
              <w:rPr>
                <w:rFonts w:hint="eastAsia" w:hAnsi="宋体" w:cs="宋体"/>
                <w:color w:val="000000"/>
                <w:sz w:val="24"/>
                <w:szCs w:val="24"/>
                <w:lang w:val="en-US" w:eastAsia="zh-CN" w:bidi="ar"/>
              </w:rPr>
            </w:pPr>
            <w:r>
              <w:rPr>
                <w:rFonts w:hint="eastAsia" w:hAnsi="宋体" w:cs="宋体"/>
                <w:color w:val="000000"/>
                <w:sz w:val="24"/>
                <w:szCs w:val="24"/>
                <w:lang w:val="en-US" w:eastAsia="zh-CN" w:bidi="ar"/>
              </w:rPr>
              <w:t>市区厂</w:t>
            </w:r>
          </w:p>
        </w:tc>
        <w:tc>
          <w:tcPr>
            <w:tcW w:w="5017" w:type="dxa"/>
            <w:vAlign w:val="center"/>
          </w:tcPr>
          <w:p w14:paraId="2C2F5EB4">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东莞市南城街道滨河路100号</w:t>
            </w:r>
            <w:r>
              <w:rPr>
                <w:rFonts w:hint="eastAsia" w:hAnsi="宋体" w:cs="宋体"/>
                <w:color w:val="000000"/>
                <w:sz w:val="24"/>
                <w:szCs w:val="24"/>
                <w:lang w:val="en-US" w:eastAsia="zh-CN" w:bidi="ar"/>
              </w:rPr>
              <w:t>（生产管理楼）</w:t>
            </w:r>
          </w:p>
        </w:tc>
      </w:tr>
      <w:tr w14:paraId="3C27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shd w:val="clear" w:color="auto" w:fill="auto"/>
            <w:noWrap/>
            <w:vAlign w:val="center"/>
          </w:tcPr>
          <w:p w14:paraId="5EA32101">
            <w:pPr>
              <w:widowControl/>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5</w:t>
            </w:r>
          </w:p>
        </w:tc>
        <w:tc>
          <w:tcPr>
            <w:tcW w:w="1316" w:type="dxa"/>
            <w:vMerge w:val="continue"/>
            <w:tcBorders>
              <w:left w:val="nil"/>
              <w:right w:val="single" w:color="auto" w:sz="4" w:space="0"/>
            </w:tcBorders>
            <w:shd w:val="clear" w:color="auto" w:fill="auto"/>
            <w:noWrap/>
            <w:vAlign w:val="center"/>
          </w:tcPr>
          <w:p w14:paraId="1A3824C8">
            <w:pPr>
              <w:widowControl/>
              <w:jc w:val="center"/>
              <w:textAlignment w:val="center"/>
              <w:rPr>
                <w:rFonts w:hint="eastAsia" w:hAnsi="宋体" w:cs="宋体"/>
                <w:color w:val="000000"/>
                <w:sz w:val="24"/>
                <w:szCs w:val="24"/>
                <w:lang w:val="en-US" w:eastAsia="zh-CN" w:bidi="ar"/>
              </w:rPr>
            </w:pPr>
          </w:p>
        </w:tc>
        <w:tc>
          <w:tcPr>
            <w:tcW w:w="2094" w:type="dxa"/>
            <w:tcBorders>
              <w:top w:val="single" w:color="auto" w:sz="4" w:space="0"/>
              <w:left w:val="nil"/>
              <w:bottom w:val="single" w:color="auto" w:sz="4" w:space="0"/>
              <w:right w:val="single" w:color="auto" w:sz="4" w:space="0"/>
            </w:tcBorders>
            <w:shd w:val="clear" w:color="auto" w:fill="auto"/>
            <w:noWrap/>
            <w:vAlign w:val="center"/>
          </w:tcPr>
          <w:p w14:paraId="25515761">
            <w:pPr>
              <w:widowControl/>
              <w:jc w:val="center"/>
              <w:textAlignment w:val="center"/>
              <w:rPr>
                <w:rFonts w:hint="default" w:hAnsi="宋体" w:cs="宋体"/>
                <w:color w:val="000000"/>
                <w:sz w:val="24"/>
                <w:szCs w:val="24"/>
                <w:lang w:val="en-US" w:eastAsia="zh-CN" w:bidi="ar"/>
              </w:rPr>
            </w:pPr>
            <w:r>
              <w:rPr>
                <w:rFonts w:hint="eastAsia" w:hAnsi="宋体" w:cs="宋体"/>
                <w:color w:val="000000"/>
                <w:sz w:val="24"/>
                <w:szCs w:val="24"/>
                <w:lang w:val="en-US" w:eastAsia="zh-CN" w:bidi="ar"/>
              </w:rPr>
              <w:t>樟木头三期厂</w:t>
            </w:r>
          </w:p>
        </w:tc>
        <w:tc>
          <w:tcPr>
            <w:tcW w:w="5017" w:type="dxa"/>
            <w:vAlign w:val="center"/>
          </w:tcPr>
          <w:p w14:paraId="06749A40">
            <w:pPr>
              <w:widowControl/>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东莞市樟木头柏地社区柏峰路169号</w:t>
            </w:r>
          </w:p>
        </w:tc>
      </w:tr>
    </w:tbl>
    <w:p w14:paraId="45D6AB0C">
      <w:pPr>
        <w:spacing w:line="360" w:lineRule="auto"/>
        <w:ind w:firstLine="480" w:firstLineChars="200"/>
        <w:rPr>
          <w:rFonts w:hint="eastAsia" w:ascii="Times New Roman"/>
        </w:rPr>
      </w:pPr>
    </w:p>
    <w:p w14:paraId="34BCF498">
      <w:pPr>
        <w:spacing w:line="360" w:lineRule="auto"/>
        <w:ind w:firstLine="480" w:firstLineChars="200"/>
        <w:rPr>
          <w:rFonts w:hint="eastAsia" w:ascii="Times New Roman"/>
        </w:rPr>
      </w:pPr>
      <w:r>
        <w:rPr>
          <w:rFonts w:hint="eastAsia" w:ascii="Times New Roman"/>
        </w:rPr>
        <w:t>乙方的货物应当按照甲方要求送到指定的地点，由于乙方使用第三方送货服务导致货物未能经过双方共同验收、未送到指定地点的，甲方有权拒绝收货。</w:t>
      </w:r>
    </w:p>
    <w:p w14:paraId="3F987E80">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6CE91617">
      <w:pPr>
        <w:spacing w:line="360" w:lineRule="auto"/>
        <w:ind w:firstLine="480" w:firstLineChars="200"/>
        <w:rPr>
          <w:rFonts w:ascii="Times New Roman"/>
        </w:rPr>
      </w:pPr>
      <w:r>
        <w:rPr>
          <w:rFonts w:ascii="Times New Roman"/>
        </w:rPr>
        <w:t>3</w:t>
      </w:r>
      <w:r>
        <w:rPr>
          <w:rFonts w:hint="eastAsia" w:ascii="Times New Roman"/>
        </w:rPr>
        <w:t>、交货方式与风险承担：</w:t>
      </w:r>
    </w:p>
    <w:p w14:paraId="16237C34">
      <w:pPr>
        <w:spacing w:line="360" w:lineRule="auto"/>
        <w:ind w:firstLine="480" w:firstLineChars="200"/>
        <w:rPr>
          <w:rFonts w:ascii="Times New Roman"/>
        </w:rPr>
      </w:pPr>
      <w:r>
        <w:rPr>
          <w:rFonts w:hint="eastAsia" w:ascii="Times New Roman"/>
        </w:rPr>
        <w:t>在货物移交给甲方并经甲方验收合格前，货物的毁损、灭失的风险和责任均由乙方承担。</w:t>
      </w:r>
    </w:p>
    <w:p w14:paraId="148AA2FB">
      <w:pPr>
        <w:spacing w:line="360" w:lineRule="auto"/>
        <w:rPr>
          <w:rFonts w:ascii="Times New Roman"/>
        </w:rPr>
      </w:pPr>
    </w:p>
    <w:p w14:paraId="375F4735">
      <w:pPr>
        <w:pStyle w:val="28"/>
        <w:numPr>
          <w:ilvl w:val="0"/>
          <w:numId w:val="1"/>
        </w:numPr>
        <w:ind w:firstLineChars="0"/>
        <w:outlineLvl w:val="1"/>
        <w:rPr>
          <w:rFonts w:ascii="Times New Roman" w:hAnsi="Times New Roman"/>
          <w:sz w:val="24"/>
          <w:szCs w:val="24"/>
        </w:rPr>
      </w:pPr>
      <w:bookmarkStart w:id="35" w:name="_Toc27990835"/>
      <w:bookmarkStart w:id="36" w:name="_Toc26310"/>
      <w:r>
        <w:rPr>
          <w:rFonts w:hint="eastAsia" w:ascii="Times New Roman" w:hAnsi="Times New Roman"/>
          <w:b/>
          <w:sz w:val="24"/>
          <w:szCs w:val="24"/>
        </w:rPr>
        <w:t>包装</w:t>
      </w:r>
      <w:bookmarkEnd w:id="35"/>
      <w:bookmarkEnd w:id="36"/>
    </w:p>
    <w:p w14:paraId="160809FD">
      <w:pPr>
        <w:spacing w:line="360" w:lineRule="auto"/>
        <w:ind w:firstLine="480" w:firstLineChars="200"/>
        <w:rPr>
          <w:rFonts w:hAnsi="宋体"/>
        </w:rPr>
      </w:pPr>
      <w:r>
        <w:rPr>
          <w:rFonts w:hint="eastAsia" w:hAnsi="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0C5EC805">
      <w:pPr>
        <w:spacing w:line="360" w:lineRule="auto"/>
        <w:ind w:firstLine="424" w:firstLineChars="177"/>
        <w:rPr>
          <w:rFonts w:hAnsi="宋体"/>
        </w:rPr>
      </w:pPr>
      <w:r>
        <w:rPr>
          <w:rFonts w:hint="eastAsia" w:hAnsi="宋体"/>
          <w:lang w:val="en-US" w:eastAsia="zh-CN"/>
        </w:rPr>
        <w:t>2</w:t>
      </w:r>
      <w:r>
        <w:rPr>
          <w:rFonts w:hint="eastAsia" w:hAnsi="宋体"/>
        </w:rPr>
        <w:t>、乙方所供货物应为制造商原装出厂，且包装箱号与设备出厂批号应一致。</w:t>
      </w:r>
    </w:p>
    <w:p w14:paraId="6557021D">
      <w:pPr>
        <w:spacing w:line="360" w:lineRule="auto"/>
        <w:rPr>
          <w:rFonts w:ascii="Times New Roman"/>
        </w:rPr>
      </w:pPr>
    </w:p>
    <w:p w14:paraId="023DFFDD">
      <w:pPr>
        <w:pStyle w:val="28"/>
        <w:numPr>
          <w:ilvl w:val="0"/>
          <w:numId w:val="1"/>
        </w:numPr>
        <w:ind w:firstLineChars="0"/>
        <w:outlineLvl w:val="1"/>
        <w:rPr>
          <w:rFonts w:ascii="Times New Roman" w:hAnsi="Times New Roman"/>
          <w:b/>
          <w:sz w:val="24"/>
          <w:szCs w:val="24"/>
        </w:rPr>
      </w:pPr>
      <w:bookmarkStart w:id="37" w:name="_Toc27990837"/>
      <w:bookmarkStart w:id="38" w:name="_Toc29766"/>
      <w:r>
        <w:rPr>
          <w:rFonts w:hint="eastAsia" w:ascii="Times New Roman" w:hAnsi="Times New Roman"/>
          <w:b/>
          <w:sz w:val="24"/>
          <w:szCs w:val="24"/>
        </w:rPr>
        <w:t>验收</w:t>
      </w:r>
      <w:bookmarkEnd w:id="37"/>
      <w:bookmarkEnd w:id="38"/>
    </w:p>
    <w:p w14:paraId="3E6CA860">
      <w:pPr>
        <w:spacing w:line="360" w:lineRule="auto"/>
        <w:ind w:firstLine="480" w:firstLineChars="200"/>
        <w:rPr>
          <w:rFonts w:ascii="Times New Roman"/>
        </w:rPr>
      </w:pPr>
      <w:r>
        <w:rPr>
          <w:rFonts w:ascii="Times New Roman"/>
        </w:rPr>
        <w:t>1</w:t>
      </w:r>
      <w:r>
        <w:rPr>
          <w:rFonts w:hint="eastAsia" w:ascii="Times New Roman"/>
        </w:rPr>
        <w:t>、货物到达交货地点后，甲方（含甲方委托的第三方）、乙方代表共同验货。甲</w:t>
      </w:r>
      <w:r>
        <w:rPr>
          <w:rFonts w:hint="eastAsia" w:ascii="Times New Roman"/>
          <w:lang w:val="en-US" w:eastAsia="zh-CN"/>
        </w:rPr>
        <w:t>乙双</w:t>
      </w:r>
      <w:r>
        <w:rPr>
          <w:rFonts w:hint="eastAsia" w:ascii="Times New Roman"/>
        </w:rPr>
        <w:t>方按照</w:t>
      </w:r>
      <w:r>
        <w:rPr>
          <w:rFonts w:hint="eastAsia" w:ascii="Times New Roman"/>
          <w:lang w:val="en-US" w:eastAsia="zh-CN"/>
        </w:rPr>
        <w:t>用户需求书及</w:t>
      </w:r>
      <w:r>
        <w:rPr>
          <w:rFonts w:hint="eastAsia" w:ascii="Times New Roman"/>
        </w:rPr>
        <w:t>本合同、国家相关法律法规以及规范的要求等相关的规定，对货物的品种、品牌、产地、型号规格、数量、外观质量、资料进行清点和全面的检验，并作详细的记录。</w:t>
      </w:r>
    </w:p>
    <w:p w14:paraId="39E70898">
      <w:pPr>
        <w:spacing w:line="360" w:lineRule="auto"/>
        <w:ind w:firstLine="480" w:firstLineChars="200"/>
        <w:rPr>
          <w:rFonts w:ascii="Times New Roman"/>
        </w:rPr>
      </w:pPr>
      <w:r>
        <w:rPr>
          <w:rFonts w:ascii="Times New Roman"/>
        </w:rPr>
        <w:t>2</w:t>
      </w:r>
      <w:r>
        <w:rPr>
          <w:rFonts w:hint="eastAsia" w:ascii="Times New Roman"/>
        </w:rPr>
        <w:t>、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17842DEB">
      <w:pPr>
        <w:spacing w:line="360" w:lineRule="auto"/>
        <w:ind w:firstLine="480" w:firstLineChars="200"/>
        <w:rPr>
          <w:rFonts w:ascii="Times New Roman"/>
        </w:rPr>
      </w:pPr>
      <w:r>
        <w:rPr>
          <w:rFonts w:ascii="Times New Roman"/>
        </w:rPr>
        <w:t>3</w:t>
      </w:r>
      <w:r>
        <w:rPr>
          <w:rFonts w:hint="eastAsia" w:ascii="Times New Roman"/>
        </w:rPr>
        <w:t>、如发现货物的品种、型号规格、数量、外观质量、资料与合同不符，或货物短缺、质次、损坏等问题，应作详细记录，</w:t>
      </w:r>
      <w:r>
        <w:rPr>
          <w:rFonts w:hint="eastAsia" w:ascii="Times New Roman"/>
          <w:lang w:val="en-US" w:eastAsia="zh-CN"/>
        </w:rPr>
        <w:t>且</w:t>
      </w:r>
      <w:r>
        <w:rPr>
          <w:rFonts w:hint="eastAsia" w:ascii="Times New Roman"/>
        </w:rPr>
        <w:t>甲方有权拒绝收货并拒绝付款，乙方</w:t>
      </w:r>
      <w:r>
        <w:rPr>
          <w:rFonts w:hint="eastAsia" w:ascii="Times New Roman"/>
          <w:lang w:val="en-US" w:eastAsia="zh-CN"/>
        </w:rPr>
        <w:t>应</w:t>
      </w:r>
      <w:r>
        <w:rPr>
          <w:rFonts w:hint="eastAsia" w:ascii="Times New Roman"/>
        </w:rPr>
        <w:t>在甲方规定的时间内立即、无条件为甲方免费更换、补齐或无条件退货。更换或补齐后的货物，甲方有权按照本条有关验收的约定进行验收，由此产生的制造、修理和运费及保险费等费用均应由乙方负担，与甲方无关。</w:t>
      </w:r>
    </w:p>
    <w:p w14:paraId="3E4F0E1A">
      <w:pPr>
        <w:spacing w:line="360" w:lineRule="auto"/>
        <w:ind w:firstLine="480" w:firstLineChars="200"/>
        <w:rPr>
          <w:rFonts w:ascii="Times New Roman"/>
        </w:rPr>
      </w:pPr>
      <w:r>
        <w:rPr>
          <w:rFonts w:ascii="Times New Roman"/>
        </w:rPr>
        <w:t>4</w:t>
      </w:r>
      <w:r>
        <w:rPr>
          <w:rFonts w:hint="eastAsia" w:ascii="Times New Roman"/>
        </w:rPr>
        <w:t>、由于非甲方原因而引起货物的修理或更换的时间，以不影响生产为原则，且在甲方许可的时限内完成，否则将视为逾期交货。</w:t>
      </w:r>
    </w:p>
    <w:p w14:paraId="4708FE0B">
      <w:pPr>
        <w:spacing w:line="360" w:lineRule="auto"/>
        <w:ind w:firstLine="480" w:firstLineChars="200"/>
        <w:rPr>
          <w:rFonts w:ascii="Times New Roman"/>
        </w:rPr>
      </w:pPr>
      <w:r>
        <w:rPr>
          <w:rFonts w:hint="eastAsia" w:ascii="Times New Roman"/>
        </w:rPr>
        <w:t>5、货物在安装、调试、性能测试合格后，甲方（含甲方委托的第三方）、 乙方一起对货物的完整性，安装与本</w:t>
      </w:r>
      <w:r>
        <w:rPr>
          <w:rFonts w:hint="eastAsia" w:ascii="Times New Roman"/>
          <w:lang w:val="en-US" w:eastAsia="zh-CN"/>
        </w:rPr>
        <w:t>合同</w:t>
      </w:r>
      <w:r>
        <w:rPr>
          <w:rFonts w:hint="eastAsia" w:ascii="Times New Roman"/>
        </w:rPr>
        <w:t>的符合性和合理性、试运行的测试结果进行最终验收</w:t>
      </w:r>
      <w:r>
        <w:rPr>
          <w:rFonts w:hint="eastAsia" w:ascii="Times New Roman"/>
          <w:lang w:eastAsia="zh-CN"/>
        </w:rPr>
        <w:t>，验收合格后，甲乙双方共同出具验收报告并由双方书面确认验收结果</w:t>
      </w:r>
      <w:r>
        <w:rPr>
          <w:rFonts w:hint="eastAsia" w:ascii="Times New Roman"/>
        </w:rPr>
        <w:t>。</w:t>
      </w:r>
    </w:p>
    <w:p w14:paraId="2A0EF855">
      <w:pPr>
        <w:spacing w:line="360" w:lineRule="auto"/>
        <w:ind w:firstLine="480" w:firstLineChars="200"/>
        <w:rPr>
          <w:rFonts w:ascii="Times New Roman"/>
        </w:rPr>
      </w:pPr>
      <w:r>
        <w:rPr>
          <w:rFonts w:ascii="Times New Roman"/>
        </w:rPr>
        <w:t>6</w:t>
      </w:r>
      <w:r>
        <w:rPr>
          <w:rFonts w:hint="eastAsia" w:ascii="Times New Roman"/>
        </w:rPr>
        <w:t>、乙方在货物安装、调试过程中，应做好详细的检验、测试记录和试验结果，检验结果应符合本合同及其附件、报价文件、国家相关法律法规以及规范的规定标准。（当多个标准不一致时，以最高标准作为验收标准）。</w:t>
      </w:r>
    </w:p>
    <w:p w14:paraId="474170FB">
      <w:pPr>
        <w:spacing w:line="360" w:lineRule="auto"/>
        <w:ind w:firstLine="480" w:firstLineChars="200"/>
        <w:rPr>
          <w:rFonts w:ascii="Times New Roman"/>
        </w:rPr>
      </w:pPr>
      <w:r>
        <w:rPr>
          <w:rFonts w:ascii="Times New Roman"/>
        </w:rPr>
        <w:t>7</w:t>
      </w:r>
      <w:r>
        <w:rPr>
          <w:rFonts w:hint="eastAsia" w:ascii="Times New Roman"/>
        </w:rPr>
        <w:t>、甲方在进行任何一次验收时发现货物不符合相关要求的，可拒绝收货或要求乙方承担更换或退货责任，乙方应将该等产品在3日内自行拆除及运回，甲方不承担因验收造成的产品损耗且不对产品承担保管责任，因此产生的一切费用及风险由乙方承担。</w:t>
      </w:r>
    </w:p>
    <w:p w14:paraId="796B61AC">
      <w:pPr>
        <w:spacing w:line="360" w:lineRule="auto"/>
        <w:ind w:firstLine="480" w:firstLineChars="200"/>
        <w:rPr>
          <w:rFonts w:ascii="Times New Roman"/>
        </w:rPr>
      </w:pPr>
      <w:r>
        <w:rPr>
          <w:rFonts w:ascii="Times New Roman"/>
        </w:rPr>
        <w:t>8</w:t>
      </w:r>
      <w:r>
        <w:rPr>
          <w:rFonts w:hint="eastAsia" w:ascii="Times New Roman"/>
        </w:rPr>
        <w:t>、甲方根据本条约定对货物所做出的验收，仅作为起算付款及质保期之用，不视为甲方对于货物质量的最终认定。货物经验收合格后，乙方仍应在质保期内对产品质量承担保证责任。</w:t>
      </w:r>
    </w:p>
    <w:p w14:paraId="50BABE99">
      <w:pPr>
        <w:spacing w:line="360" w:lineRule="auto"/>
        <w:ind w:firstLine="480" w:firstLineChars="200"/>
        <w:rPr>
          <w:rFonts w:ascii="Times New Roman"/>
        </w:rPr>
      </w:pPr>
      <w:r>
        <w:rPr>
          <w:rFonts w:ascii="Times New Roman"/>
        </w:rPr>
        <w:t>9</w:t>
      </w:r>
      <w:r>
        <w:rPr>
          <w:rFonts w:hint="eastAsia" w:ascii="Times New Roman"/>
        </w:rPr>
        <w:t>、货物在全部经验收合格前，其损耗、毁损、灭失等风险及责任由乙方承担，如因发生前述情形，导致乙方所供应的货物不能通过甲方验收的，乙方应按甲方要求予以免费更换、补齐或无条件退货。</w:t>
      </w:r>
    </w:p>
    <w:p w14:paraId="3A4D44A9">
      <w:pPr>
        <w:spacing w:line="360" w:lineRule="auto"/>
        <w:ind w:firstLine="480" w:firstLineChars="200"/>
        <w:rPr>
          <w:rFonts w:ascii="Times New Roman"/>
        </w:rPr>
      </w:pPr>
      <w:r>
        <w:rPr>
          <w:rFonts w:ascii="Times New Roman"/>
        </w:rPr>
        <w:t>10</w:t>
      </w:r>
      <w:r>
        <w:rPr>
          <w:rFonts w:hint="eastAsia" w:ascii="Times New Roman"/>
        </w:rPr>
        <w:t>、验收过程中，如对检验记录不能取得一致意见时，可委托双方确认的货物交付地有资质权威的第三方检验机构联合进行检验。检验结果具有约束力，检验费用由责任方负担。</w:t>
      </w:r>
    </w:p>
    <w:p w14:paraId="00594C15">
      <w:pPr>
        <w:spacing w:line="360" w:lineRule="auto"/>
        <w:ind w:firstLine="480" w:firstLineChars="200"/>
        <w:rPr>
          <w:rFonts w:ascii="Times New Roman"/>
        </w:rPr>
      </w:pPr>
    </w:p>
    <w:p w14:paraId="63DFEC83">
      <w:pPr>
        <w:pStyle w:val="28"/>
        <w:numPr>
          <w:ilvl w:val="0"/>
          <w:numId w:val="1"/>
        </w:numPr>
        <w:ind w:firstLineChars="0"/>
        <w:outlineLvl w:val="1"/>
        <w:rPr>
          <w:rFonts w:ascii="Times New Roman" w:hAnsi="Times New Roman"/>
          <w:b/>
          <w:sz w:val="24"/>
          <w:szCs w:val="24"/>
        </w:rPr>
      </w:pPr>
      <w:bookmarkStart w:id="39" w:name="_Toc27990838"/>
      <w:bookmarkStart w:id="40" w:name="_Toc2893"/>
      <w:r>
        <w:rPr>
          <w:rFonts w:hint="eastAsia" w:ascii="Times New Roman" w:hAnsi="Times New Roman"/>
          <w:b/>
          <w:sz w:val="24"/>
          <w:szCs w:val="24"/>
        </w:rPr>
        <w:t>价款要求</w:t>
      </w:r>
      <w:bookmarkEnd w:id="39"/>
      <w:r>
        <w:rPr>
          <w:rFonts w:hint="eastAsia" w:ascii="Times New Roman" w:hAnsi="Times New Roman"/>
          <w:b/>
          <w:sz w:val="24"/>
          <w:szCs w:val="24"/>
        </w:rPr>
        <w:t>及付款方式</w:t>
      </w:r>
      <w:bookmarkEnd w:id="40"/>
    </w:p>
    <w:p w14:paraId="722E50E6">
      <w:pPr>
        <w:spacing w:line="360" w:lineRule="auto"/>
        <w:ind w:firstLine="566" w:firstLineChars="236"/>
        <w:rPr>
          <w:rFonts w:ascii="Times New Roman"/>
        </w:rPr>
      </w:pPr>
      <w:r>
        <w:rPr>
          <w:rFonts w:hint="eastAsia" w:ascii="Times New Roman"/>
        </w:rPr>
        <w:t>1、本合同价（即销售额，不含乙方销项税额）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。以上合同价（即销售额，不含乙方销项税额）包括但不限于货物及采购清单中要求每项货物配备的附件、备品备件的采购、制造、检测、试验、送货、装卸（含二次搬运至</w:t>
      </w:r>
      <w:r>
        <w:rPr>
          <w:rFonts w:hint="eastAsia" w:ascii="Times New Roman"/>
          <w:lang w:val="en-US" w:eastAsia="zh-CN"/>
        </w:rPr>
        <w:t>甲方</w:t>
      </w:r>
      <w:r>
        <w:rPr>
          <w:rFonts w:hint="eastAsia" w:ascii="Times New Roman"/>
        </w:rPr>
        <w:t>指定仓储地点）、包装费、运费、</w:t>
      </w:r>
      <w:r>
        <w:rPr>
          <w:rFonts w:hint="eastAsia" w:ascii="Times New Roman"/>
          <w:lang w:val="en-US" w:eastAsia="zh-CN"/>
        </w:rPr>
        <w:t>安装费</w:t>
      </w:r>
      <w:r>
        <w:rPr>
          <w:rFonts w:hint="eastAsia" w:ascii="Times New Roman"/>
        </w:rPr>
        <w:t>、保险、现场仓储、</w:t>
      </w:r>
      <w:r>
        <w:rPr>
          <w:rFonts w:hint="eastAsia" w:ascii="Times New Roman"/>
          <w:color w:val="auto"/>
        </w:rPr>
        <w:t>拆除旧</w:t>
      </w:r>
      <w:r>
        <w:rPr>
          <w:rFonts w:hint="eastAsia" w:ascii="Times New Roman"/>
          <w:color w:val="auto"/>
          <w:lang w:eastAsia="zh-CN"/>
        </w:rPr>
        <w:t>设备</w:t>
      </w:r>
      <w:r>
        <w:rPr>
          <w:rFonts w:hint="eastAsia" w:ascii="Times New Roman"/>
          <w:color w:val="auto"/>
        </w:rPr>
        <w:t>、安装新</w:t>
      </w:r>
      <w:r>
        <w:rPr>
          <w:rFonts w:hint="eastAsia" w:ascii="Times New Roman"/>
          <w:color w:val="auto"/>
          <w:lang w:eastAsia="zh-CN"/>
        </w:rPr>
        <w:t>设备</w:t>
      </w:r>
      <w:r>
        <w:rPr>
          <w:rFonts w:hint="eastAsia" w:ascii="Times New Roman"/>
          <w:color w:val="auto"/>
        </w:rPr>
        <w:t>及辅料</w:t>
      </w:r>
      <w:r>
        <w:rPr>
          <w:rFonts w:hint="eastAsia" w:ascii="Times New Roman"/>
          <w:color w:val="auto"/>
          <w:lang w:val="en-US" w:eastAsia="zh-CN"/>
        </w:rPr>
        <w:t>费用</w:t>
      </w:r>
      <w:r>
        <w:rPr>
          <w:rFonts w:hint="eastAsia" w:ascii="Times New Roman"/>
          <w:lang w:val="en-US" w:eastAsia="zh-CN"/>
        </w:rPr>
        <w:t>、</w:t>
      </w:r>
      <w:r>
        <w:rPr>
          <w:rFonts w:hint="eastAsia" w:ascii="Times New Roman"/>
        </w:rPr>
        <w:t>乙方销项税额以外的税费等完成本次供货的全部费用。在本合同履行过程中，合同价（即销售额，不含乙方销项税额）不随法律法规政策、物价人工、工期调整而进行调整，未经甲方书面确认，乙方无权增加任何费用。</w:t>
      </w:r>
    </w:p>
    <w:p w14:paraId="686AC374">
      <w:pPr>
        <w:spacing w:line="360" w:lineRule="auto"/>
        <w:ind w:firstLine="566" w:firstLineChars="236"/>
        <w:rPr>
          <w:rFonts w:ascii="Times New Roman"/>
        </w:rPr>
      </w:pPr>
      <w:r>
        <w:rPr>
          <w:rFonts w:hint="eastAsia" w:ascii="Times New Roman"/>
        </w:rPr>
        <w:t>2、依法计得并根据本合同约定确定的销项税额由甲方承担。根据《中华人民共和国增值税</w:t>
      </w:r>
      <w:r>
        <w:rPr>
          <w:rFonts w:hint="eastAsia" w:ascii="Times New Roman"/>
          <w:lang w:val="en-US" w:eastAsia="zh-CN"/>
        </w:rPr>
        <w:t>暂行</w:t>
      </w:r>
      <w:r>
        <w:rPr>
          <w:rFonts w:hint="eastAsia" w:ascii="Times New Roman"/>
        </w:rPr>
        <w:t>条例》（国务院令第691号修订版）及当前税务部门的相关规定，本合同项目的增值税税率为</w:t>
      </w:r>
      <w:r>
        <w:rPr>
          <w:rFonts w:hint="eastAsia" w:ascii="Times New Roman"/>
          <w:u w:val="single"/>
        </w:rPr>
        <w:t xml:space="preserve"> </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33BD95A3">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206D3425">
      <w:pPr>
        <w:spacing w:line="360" w:lineRule="auto"/>
        <w:ind w:firstLine="566" w:firstLineChars="236"/>
        <w:rPr>
          <w:rFonts w:ascii="Times New Roman"/>
        </w:rPr>
      </w:pPr>
      <w:r>
        <w:rPr>
          <w:rFonts w:hint="eastAsia" w:ascii="Times New Roman"/>
        </w:rPr>
        <w:t>3、合同价税合计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rPr>
        <w:t>合同履行期间根据本条第2项规定调整销项税额的，结算合同价税合计对应调整。</w:t>
      </w:r>
    </w:p>
    <w:p w14:paraId="5F5FEC33">
      <w:pPr>
        <w:spacing w:line="360" w:lineRule="auto"/>
        <w:ind w:firstLine="566" w:firstLineChars="236"/>
        <w:rPr>
          <w:rFonts w:ascii="Times New Roman"/>
        </w:rPr>
      </w:pPr>
      <w:r>
        <w:rPr>
          <w:rFonts w:hint="eastAsia" w:ascii="Times New Roman"/>
        </w:rPr>
        <w:t>4、</w:t>
      </w:r>
      <w:r>
        <w:rPr>
          <w:rFonts w:hint="eastAsia" w:ascii="宋体" w:hAnsi="宋体" w:eastAsia="宋体" w:cs="宋体"/>
        </w:rPr>
        <w:t>合同</w:t>
      </w:r>
      <w:r>
        <w:rPr>
          <w:rFonts w:hint="eastAsia" w:hAnsi="宋体" w:cs="宋体"/>
          <w:lang w:val="en-US" w:eastAsia="zh-CN"/>
        </w:rPr>
        <w:t>在</w:t>
      </w:r>
      <w:r>
        <w:rPr>
          <w:rFonts w:hint="eastAsia" w:ascii="宋体" w:hAnsi="宋体" w:eastAsia="宋体" w:cs="宋体"/>
        </w:rPr>
        <w:t>履约过程中，乙方根据本合同约定需向甲方支付违约金、赔偿金、或其他应付费用等款项的，</w:t>
      </w:r>
      <w:r>
        <w:rPr>
          <w:rFonts w:hint="eastAsia" w:hAnsi="宋体" w:cs="宋体"/>
          <w:lang w:val="en-US" w:eastAsia="zh-CN"/>
        </w:rPr>
        <w:t>甲方有权要求</w:t>
      </w:r>
      <w:r>
        <w:rPr>
          <w:rFonts w:hint="eastAsia" w:ascii="宋体" w:hAnsi="宋体" w:eastAsia="宋体" w:cs="宋体"/>
        </w:rPr>
        <w:t>乙方向甲方支付完</w:t>
      </w:r>
      <w:r>
        <w:rPr>
          <w:rFonts w:hint="eastAsia" w:hAnsi="宋体" w:cs="宋体"/>
          <w:lang w:val="en-US" w:eastAsia="zh-CN"/>
        </w:rPr>
        <w:t>前述</w:t>
      </w:r>
      <w:r>
        <w:rPr>
          <w:rFonts w:hint="eastAsia" w:ascii="宋体" w:hAnsi="宋体" w:eastAsia="宋体" w:cs="宋体"/>
        </w:rPr>
        <w:t>款项后，甲方才根据本合同向乙方支付合同价和税额</w:t>
      </w:r>
      <w:r>
        <w:rPr>
          <w:rFonts w:hint="eastAsia" w:hAnsi="宋体" w:cs="宋体"/>
          <w:lang w:eastAsia="zh-CN"/>
        </w:rPr>
        <w:t>，由此造成逾期付款的，甲方不构成违约；或者</w:t>
      </w:r>
      <w:r>
        <w:rPr>
          <w:rFonts w:hint="eastAsia" w:ascii="宋体" w:hAnsi="宋体" w:eastAsia="宋体" w:cs="宋体"/>
        </w:rPr>
        <w:t>，甲方有权直接从未付合同款项中扣除</w:t>
      </w:r>
      <w:r>
        <w:rPr>
          <w:rFonts w:hint="eastAsia" w:hAnsi="宋体" w:cs="宋体"/>
          <w:lang w:val="en-US" w:eastAsia="zh-CN"/>
        </w:rPr>
        <w:t>前述款项</w:t>
      </w:r>
      <w:r>
        <w:rPr>
          <w:rFonts w:hint="eastAsia" w:ascii="宋体" w:hAnsi="宋体" w:eastAsia="宋体" w:cs="宋体"/>
        </w:rPr>
        <w:t>，且乙方必须按照扣除前述</w:t>
      </w:r>
      <w:r>
        <w:rPr>
          <w:rFonts w:hint="eastAsia" w:hAnsi="宋体" w:cs="宋体"/>
          <w:lang w:val="en-US" w:eastAsia="zh-CN"/>
        </w:rPr>
        <w:t>款项</w:t>
      </w:r>
      <w:r>
        <w:rPr>
          <w:rFonts w:hint="eastAsia" w:ascii="宋体" w:hAnsi="宋体" w:eastAsia="宋体" w:cs="宋体"/>
        </w:rPr>
        <w:t>前的合同价（销售额）开具增值税专用发票，保证增值税税额符合法律规定</w:t>
      </w:r>
      <w:r>
        <w:rPr>
          <w:rFonts w:hint="eastAsia" w:ascii="Times New Roman"/>
        </w:rPr>
        <w:t>。</w:t>
      </w:r>
    </w:p>
    <w:p w14:paraId="7448B384">
      <w:pPr>
        <w:spacing w:line="360" w:lineRule="auto"/>
        <w:ind w:firstLine="566" w:firstLineChars="236"/>
        <w:rPr>
          <w:rFonts w:hint="eastAsia" w:ascii="Times New Roman"/>
          <w:lang w:val="en-US" w:eastAsia="zh-CN"/>
        </w:rPr>
      </w:pPr>
      <w:r>
        <w:rPr>
          <w:rFonts w:hint="eastAsia" w:ascii="Times New Roman"/>
        </w:rPr>
        <w:t>5、乙方完成对应项目清单货物货到现场及安装</w:t>
      </w:r>
      <w:r>
        <w:rPr>
          <w:rFonts w:hint="eastAsia" w:ascii="Times New Roman"/>
          <w:lang w:val="en-US" w:eastAsia="zh-CN"/>
        </w:rPr>
        <w:t>并经甲方</w:t>
      </w:r>
      <w:r>
        <w:rPr>
          <w:rFonts w:hint="eastAsia" w:ascii="Times New Roman"/>
        </w:rPr>
        <w:t>验收合格后，乙方按甲方要求提交请款报告及</w:t>
      </w:r>
      <w:r>
        <w:rPr>
          <w:rFonts w:hint="eastAsia" w:ascii="Times New Roman"/>
          <w:lang w:val="en-US" w:eastAsia="zh-CN"/>
        </w:rPr>
        <w:t>请款金额等</w:t>
      </w:r>
      <w:r>
        <w:rPr>
          <w:rFonts w:hint="eastAsia" w:ascii="Times New Roman"/>
        </w:rPr>
        <w:t>额的、合法的、有效的增值税专用发票，甲方在收到前述材料并确认无误后</w:t>
      </w:r>
      <w:r>
        <w:rPr>
          <w:rFonts w:hint="eastAsia" w:ascii="Times New Roman"/>
          <w:lang w:val="en-US" w:eastAsia="zh-CN"/>
        </w:rPr>
        <w:t>30</w:t>
      </w:r>
      <w:r>
        <w:rPr>
          <w:rFonts w:hint="eastAsia" w:ascii="Times New Roman"/>
        </w:rPr>
        <w:t>个工作日内支付</w:t>
      </w:r>
      <w:r>
        <w:rPr>
          <w:rFonts w:hint="eastAsia" w:ascii="Times New Roman"/>
          <w:lang w:val="en-US" w:eastAsia="zh-CN"/>
        </w:rPr>
        <w:t>对应项目合同价100%及对</w:t>
      </w:r>
      <w:r>
        <w:rPr>
          <w:rFonts w:hint="eastAsia" w:ascii="Times New Roman"/>
        </w:rPr>
        <w:t>应</w:t>
      </w:r>
      <w:r>
        <w:rPr>
          <w:rFonts w:hint="eastAsia" w:ascii="Times New Roman"/>
          <w:lang w:val="en-US" w:eastAsia="zh-CN"/>
        </w:rPr>
        <w:t>税额</w:t>
      </w:r>
      <w:r>
        <w:rPr>
          <w:rFonts w:hint="eastAsia" w:ascii="Times New Roman"/>
        </w:rPr>
        <w:t>款项</w:t>
      </w:r>
      <w:r>
        <w:rPr>
          <w:rFonts w:hint="eastAsia" w:ascii="Times New Roman"/>
          <w:lang w:val="en-US" w:eastAsia="zh-CN"/>
        </w:rPr>
        <w:t>给乙方</w:t>
      </w:r>
      <w:r>
        <w:rPr>
          <w:rFonts w:hint="eastAsia" w:ascii="Times New Roman"/>
        </w:rPr>
        <w:t>。</w:t>
      </w:r>
    </w:p>
    <w:p w14:paraId="0DC0606D">
      <w:pPr>
        <w:spacing w:line="360" w:lineRule="auto"/>
        <w:ind w:firstLine="566" w:firstLineChars="236"/>
        <w:rPr>
          <w:rFonts w:ascii="Times New Roman"/>
        </w:rPr>
      </w:pPr>
      <w:r>
        <w:rPr>
          <w:rFonts w:hint="eastAsia" w:ascii="Times New Roman"/>
        </w:rPr>
        <w:t>6、以上款项由甲方直接以银行转账或银行承兑汇票形式支付给乙方，汇票期限不超过三个月，每期款项支付方式由甲方决定。乙方逾期提交请款材料</w:t>
      </w:r>
      <w:r>
        <w:rPr>
          <w:rFonts w:hint="eastAsia" w:ascii="Times New Roman"/>
          <w:lang w:eastAsia="zh-CN"/>
        </w:rPr>
        <w:t>、</w:t>
      </w:r>
      <w:r>
        <w:rPr>
          <w:rFonts w:hint="eastAsia" w:ascii="Times New Roman"/>
          <w:lang w:val="en-US" w:eastAsia="zh-CN"/>
        </w:rPr>
        <w:t>发票</w:t>
      </w:r>
      <w:r>
        <w:rPr>
          <w:rFonts w:hint="eastAsia" w:ascii="Times New Roman"/>
        </w:rPr>
        <w:t>或提交材料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不符合甲方要求的，甲方有权顺延支付相应款项，并不承担逾期付款的违约责任，由于乙方提供的发票不符合税法规定，给甲方造成的损失由乙方承担赔偿责任，乙方不得以此延迟而拒绝履行合同义务。</w:t>
      </w:r>
    </w:p>
    <w:p w14:paraId="29E569B6">
      <w:pPr>
        <w:spacing w:line="360" w:lineRule="auto"/>
        <w:ind w:firstLine="566" w:firstLineChars="236"/>
        <w:rPr>
          <w:rFonts w:ascii="Times New Roman"/>
        </w:rPr>
      </w:pPr>
      <w:r>
        <w:rPr>
          <w:rFonts w:hint="eastAsia" w:ascii="Times New Roman"/>
        </w:rPr>
        <w:t>7、乙方收款账号：</w:t>
      </w:r>
    </w:p>
    <w:p w14:paraId="51ED3DD5">
      <w:pPr>
        <w:spacing w:line="360" w:lineRule="auto"/>
        <w:ind w:firstLine="566" w:firstLineChars="236"/>
        <w:rPr>
          <w:rFonts w:hint="default" w:ascii="Times New Roman" w:eastAsia="宋体"/>
          <w:lang w:val="en-US" w:eastAsia="zh-CN"/>
        </w:rPr>
      </w:pPr>
      <w:r>
        <w:rPr>
          <w:rFonts w:hint="eastAsia" w:ascii="Times New Roman"/>
        </w:rPr>
        <w:t>户</w:t>
      </w:r>
      <w:r>
        <w:rPr>
          <w:rFonts w:hint="eastAsia" w:ascii="Times New Roman"/>
          <w:lang w:val="en-US" w:eastAsia="zh-CN"/>
        </w:rPr>
        <w:t xml:space="preserve">  </w:t>
      </w:r>
      <w:r>
        <w:rPr>
          <w:rFonts w:hint="eastAsia" w:ascii="Times New Roman"/>
        </w:rPr>
        <w:t>名：</w:t>
      </w:r>
      <w:r>
        <w:rPr>
          <w:rFonts w:hint="eastAsia" w:ascii="Times New Roman"/>
          <w:u w:val="single"/>
          <w:lang w:val="en-US" w:eastAsia="zh-CN"/>
        </w:rPr>
        <w:t xml:space="preserve">                             </w:t>
      </w:r>
    </w:p>
    <w:p w14:paraId="57ECC2B2">
      <w:pPr>
        <w:spacing w:line="360" w:lineRule="auto"/>
        <w:ind w:firstLine="566" w:firstLineChars="236"/>
        <w:rPr>
          <w:rFonts w:hint="default" w:ascii="Times New Roman"/>
          <w:lang w:val="en-US"/>
        </w:rPr>
      </w:pPr>
      <w:r>
        <w:rPr>
          <w:rFonts w:hint="eastAsia" w:ascii="Times New Roman"/>
        </w:rPr>
        <w:t>开户行：</w:t>
      </w:r>
      <w:r>
        <w:rPr>
          <w:rFonts w:hint="eastAsia" w:ascii="Times New Roman"/>
          <w:u w:val="single"/>
          <w:lang w:val="en-US" w:eastAsia="zh-CN"/>
        </w:rPr>
        <w:t xml:space="preserve">                             </w:t>
      </w:r>
    </w:p>
    <w:p w14:paraId="7AC2203F">
      <w:pPr>
        <w:spacing w:line="360" w:lineRule="auto"/>
        <w:ind w:firstLine="566" w:firstLineChars="236"/>
        <w:rPr>
          <w:rFonts w:hint="default" w:ascii="Times New Roman"/>
          <w:lang w:val="en-US"/>
        </w:rPr>
      </w:pPr>
      <w:r>
        <w:rPr>
          <w:rFonts w:hint="eastAsia" w:ascii="Times New Roman"/>
        </w:rPr>
        <w:t>账</w:t>
      </w:r>
      <w:r>
        <w:rPr>
          <w:rFonts w:hint="eastAsia" w:ascii="Times New Roman"/>
          <w:lang w:val="en-US" w:eastAsia="zh-CN"/>
        </w:rPr>
        <w:t xml:space="preserve">  </w:t>
      </w:r>
      <w:r>
        <w:rPr>
          <w:rFonts w:hint="eastAsia" w:ascii="Times New Roman"/>
        </w:rPr>
        <w:t>号：</w:t>
      </w:r>
      <w:r>
        <w:rPr>
          <w:rFonts w:hint="eastAsia" w:ascii="Times New Roman"/>
          <w:u w:val="single"/>
          <w:lang w:val="en-US" w:eastAsia="zh-CN"/>
        </w:rPr>
        <w:t xml:space="preserve">                             </w:t>
      </w:r>
    </w:p>
    <w:p w14:paraId="038A58C1">
      <w:pPr>
        <w:spacing w:line="360" w:lineRule="auto"/>
        <w:rPr>
          <w:rFonts w:ascii="Times New Roman"/>
        </w:rPr>
      </w:pPr>
    </w:p>
    <w:p w14:paraId="6F6786E6">
      <w:pPr>
        <w:pStyle w:val="28"/>
        <w:numPr>
          <w:ilvl w:val="0"/>
          <w:numId w:val="1"/>
        </w:numPr>
        <w:ind w:firstLineChars="0"/>
        <w:outlineLvl w:val="1"/>
        <w:rPr>
          <w:rFonts w:ascii="Times New Roman" w:hAnsi="Times New Roman"/>
          <w:b/>
          <w:sz w:val="24"/>
          <w:szCs w:val="24"/>
        </w:rPr>
      </w:pPr>
      <w:bookmarkStart w:id="41" w:name="_Toc27990839"/>
      <w:bookmarkStart w:id="42" w:name="_Toc26194"/>
      <w:r>
        <w:rPr>
          <w:rFonts w:hint="eastAsia" w:ascii="Times New Roman" w:hAnsi="Times New Roman"/>
          <w:b/>
          <w:sz w:val="24"/>
          <w:szCs w:val="24"/>
        </w:rPr>
        <w:t>售后服务</w:t>
      </w:r>
      <w:bookmarkEnd w:id="41"/>
      <w:bookmarkEnd w:id="42"/>
    </w:p>
    <w:p w14:paraId="278707E8">
      <w:pPr>
        <w:spacing w:line="360" w:lineRule="auto"/>
        <w:ind w:firstLine="480" w:firstLineChars="200"/>
        <w:rPr>
          <w:rFonts w:ascii="Times New Roman"/>
        </w:rPr>
      </w:pPr>
      <w:r>
        <w:rPr>
          <w:rFonts w:ascii="Times New Roman"/>
        </w:rPr>
        <w:t>1</w:t>
      </w:r>
      <w:r>
        <w:rPr>
          <w:rFonts w:hint="eastAsia" w:ascii="Times New Roman"/>
        </w:rPr>
        <w:t>、货物质量保证期为</w:t>
      </w:r>
      <w:r>
        <w:rPr>
          <w:rFonts w:hint="eastAsia" w:ascii="Times New Roman"/>
          <w:u w:val="single"/>
        </w:rPr>
        <w:t xml:space="preserve"> </w:t>
      </w:r>
      <w:r>
        <w:rPr>
          <w:rFonts w:hint="eastAsia" w:ascii="Times New Roman"/>
          <w:u w:val="single"/>
          <w:lang w:val="en-US" w:eastAsia="zh-CN"/>
        </w:rPr>
        <w:t xml:space="preserve">1 </w:t>
      </w:r>
      <w:r>
        <w:rPr>
          <w:rFonts w:hint="eastAsia" w:ascii="Times New Roman"/>
        </w:rPr>
        <w:t>年，自验收合格之日起计算，质保期内</w:t>
      </w:r>
      <w:r>
        <w:rPr>
          <w:rFonts w:hint="eastAsia" w:ascii="Times New Roman"/>
          <w:lang w:val="en-US" w:eastAsia="zh-CN"/>
        </w:rPr>
        <w:t>免费</w:t>
      </w:r>
      <w:r>
        <w:rPr>
          <w:rFonts w:hint="eastAsia" w:ascii="Times New Roman"/>
        </w:rPr>
        <w:t>提供上门服务。若货物厂家出厂时承诺更长的质保期限或更高标准的质保义务的，乙方需按厂家承诺提供质保服务。</w:t>
      </w:r>
    </w:p>
    <w:p w14:paraId="667EB534">
      <w:pPr>
        <w:spacing w:line="360" w:lineRule="auto"/>
        <w:ind w:firstLine="480" w:firstLineChars="200"/>
        <w:rPr>
          <w:rFonts w:ascii="Times New Roman"/>
        </w:rPr>
      </w:pPr>
      <w:r>
        <w:rPr>
          <w:rFonts w:ascii="Times New Roman"/>
        </w:rPr>
        <w:t>2</w:t>
      </w:r>
      <w:r>
        <w:rPr>
          <w:rFonts w:hint="eastAsia" w:ascii="Times New Roman"/>
        </w:rPr>
        <w:t>、质保期内，甲方如发现货物的质量、材质、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验收合格之日重新计算。</w:t>
      </w:r>
    </w:p>
    <w:p w14:paraId="3599E1A3">
      <w:pPr>
        <w:spacing w:line="360" w:lineRule="auto"/>
        <w:ind w:firstLine="424" w:firstLineChars="177"/>
        <w:rPr>
          <w:rFonts w:ascii="Times New Roman"/>
        </w:rPr>
      </w:pPr>
      <w:r>
        <w:rPr>
          <w:rFonts w:ascii="Times New Roman"/>
        </w:rPr>
        <w:t>3</w:t>
      </w:r>
      <w:r>
        <w:rPr>
          <w:rFonts w:hint="eastAsia" w:ascii="Times New Roman"/>
        </w:rPr>
        <w:t>、质保期内出现货物质量问题，乙方在收到质量问题通知后三</w:t>
      </w:r>
      <w:r>
        <w:rPr>
          <w:rFonts w:hint="eastAsia" w:ascii="Times New Roman"/>
          <w:lang w:eastAsia="zh-CN"/>
        </w:rPr>
        <w:t>日</w:t>
      </w:r>
      <w:r>
        <w:rPr>
          <w:rFonts w:hint="eastAsia" w:ascii="Times New Roman"/>
        </w:rPr>
        <w:t>内完成免费维修。未能在上述期限内完成维修，或维修后仍然出现同类问题的，甲方有权要求更换或退货。</w:t>
      </w:r>
    </w:p>
    <w:p w14:paraId="48DEBDD7">
      <w:pPr>
        <w:spacing w:line="360" w:lineRule="auto"/>
        <w:ind w:firstLine="424" w:firstLineChars="177"/>
        <w:rPr>
          <w:rFonts w:hint="eastAsia" w:ascii="Times New Roman"/>
        </w:rPr>
      </w:pPr>
      <w:r>
        <w:rPr>
          <w:rFonts w:hint="eastAsia" w:ascii="Times New Roman"/>
        </w:rPr>
        <w:t>4、货物质量保证期内发生的全部服务费用（含更换零部件、达到本合同相关要求的更换货物或退货）由乙方承担，包括但不限于由乙方承担完成货物质量保证其内所有工作而产生的维修费、运费、装卸</w:t>
      </w:r>
      <w:r>
        <w:rPr>
          <w:rFonts w:ascii="Times New Roman"/>
        </w:rPr>
        <w:t>费、</w:t>
      </w:r>
      <w:r>
        <w:rPr>
          <w:rFonts w:hint="eastAsia" w:ascii="Times New Roman"/>
        </w:rPr>
        <w:t>购置费、测试费、人工费、交通费等各项费用（包括进口关税和增值税等）。</w:t>
      </w:r>
    </w:p>
    <w:p w14:paraId="316EE1F7">
      <w:pPr>
        <w:spacing w:line="360" w:lineRule="auto"/>
        <w:ind w:firstLine="480" w:firstLineChars="200"/>
        <w:rPr>
          <w:rFonts w:ascii="Times New Roman"/>
        </w:rPr>
      </w:pPr>
      <w:r>
        <w:rPr>
          <w:rFonts w:hint="eastAsia" w:ascii="Times New Roman"/>
        </w:rPr>
        <w:t>5、乙方未按上述要求提供售后服务的，甲方有权要求其他第三方提供相关服务，因此产生的费用全部由乙方承担。</w:t>
      </w:r>
    </w:p>
    <w:p w14:paraId="77659C3C">
      <w:pPr>
        <w:spacing w:line="360" w:lineRule="auto"/>
        <w:rPr>
          <w:rFonts w:ascii="Times New Roman"/>
        </w:rPr>
      </w:pPr>
    </w:p>
    <w:p w14:paraId="71D06FA0">
      <w:pPr>
        <w:pStyle w:val="28"/>
        <w:numPr>
          <w:ilvl w:val="0"/>
          <w:numId w:val="1"/>
        </w:numPr>
        <w:ind w:firstLineChars="0"/>
        <w:outlineLvl w:val="1"/>
        <w:rPr>
          <w:rFonts w:ascii="Times New Roman" w:hAnsi="Times New Roman"/>
          <w:b/>
          <w:sz w:val="24"/>
          <w:szCs w:val="24"/>
        </w:rPr>
      </w:pPr>
      <w:bookmarkStart w:id="43" w:name="_Toc27990840"/>
      <w:bookmarkStart w:id="44" w:name="_Toc6377"/>
      <w:r>
        <w:rPr>
          <w:rFonts w:hint="eastAsia" w:ascii="Times New Roman" w:hAnsi="Times New Roman"/>
          <w:b/>
          <w:sz w:val="24"/>
          <w:szCs w:val="24"/>
        </w:rPr>
        <w:t>违约责任</w:t>
      </w:r>
      <w:bookmarkEnd w:id="43"/>
      <w:bookmarkEnd w:id="44"/>
    </w:p>
    <w:p w14:paraId="340A098D">
      <w:pPr>
        <w:spacing w:line="360" w:lineRule="auto"/>
        <w:ind w:firstLine="480" w:firstLineChars="200"/>
        <w:rPr>
          <w:rFonts w:ascii="Times New Roman"/>
        </w:rPr>
      </w:pPr>
      <w:r>
        <w:rPr>
          <w:rFonts w:hint="eastAsia" w:ascii="Times New Roman"/>
          <w:lang w:val="en-US" w:eastAsia="zh-CN"/>
        </w:rPr>
        <w:t>1</w:t>
      </w:r>
      <w:r>
        <w:rPr>
          <w:rFonts w:hint="eastAsia" w:ascii="Times New Roman"/>
        </w:rPr>
        <w:t>、乙方未按合同约定的时间</w:t>
      </w:r>
      <w:r>
        <w:rPr>
          <w:rFonts w:hint="eastAsia" w:ascii="Times New Roman"/>
          <w:lang w:val="en-US" w:eastAsia="zh-CN"/>
        </w:rPr>
        <w:t>完成清单货物货到现场及安装</w:t>
      </w:r>
      <w:r>
        <w:rPr>
          <w:rFonts w:hint="eastAsia" w:ascii="Times New Roman"/>
        </w:rPr>
        <w:t>，乙方每逾期一日，按合同价的</w:t>
      </w:r>
      <w:r>
        <w:rPr>
          <w:rFonts w:hint="eastAsia" w:ascii="Times New Roman"/>
          <w:u w:val="single"/>
        </w:rPr>
        <w:t>千分之五</w:t>
      </w:r>
      <w:r>
        <w:rPr>
          <w:rFonts w:hint="eastAsia" w:ascii="Times New Roman"/>
        </w:rPr>
        <w:t>向甲方支付违约金</w:t>
      </w:r>
      <w:r>
        <w:rPr>
          <w:rFonts w:hint="eastAsia" w:ascii="Times New Roman"/>
          <w:lang w:eastAsia="zh-CN"/>
        </w:rPr>
        <w:t>，逾期违约金累计总额最高不超过合同价的</w:t>
      </w:r>
      <w:r>
        <w:rPr>
          <w:rFonts w:hint="eastAsia" w:ascii="Times New Roman"/>
          <w:lang w:val="en-US" w:eastAsia="zh-CN"/>
        </w:rPr>
        <w:t>2</w:t>
      </w:r>
      <w:r>
        <w:rPr>
          <w:rFonts w:hint="eastAsia" w:ascii="Times New Roman"/>
          <w:lang w:eastAsia="zh-CN"/>
        </w:rPr>
        <w:t>0%</w:t>
      </w:r>
      <w:r>
        <w:rPr>
          <w:rFonts w:hint="eastAsia" w:ascii="Times New Roman"/>
        </w:rPr>
        <w:t>。逾期交货超过</w:t>
      </w:r>
      <w:r>
        <w:rPr>
          <w:rFonts w:hint="eastAsia" w:ascii="Times New Roman"/>
          <w:strike w:val="0"/>
          <w:dstrike w:val="0"/>
          <w:u w:val="single"/>
          <w:lang w:val="en-US" w:eastAsia="zh-CN"/>
        </w:rPr>
        <w:t>1</w:t>
      </w:r>
      <w:r>
        <w:rPr>
          <w:rFonts w:ascii="Times New Roman"/>
          <w:strike w:val="0"/>
          <w:dstrike w:val="0"/>
          <w:u w:val="single"/>
        </w:rPr>
        <w:t>0</w:t>
      </w:r>
      <w:r>
        <w:rPr>
          <w:rFonts w:hint="eastAsia" w:ascii="Times New Roman"/>
          <w:lang w:eastAsia="zh-CN"/>
        </w:rPr>
        <w:t>日</w:t>
      </w:r>
      <w:r>
        <w:rPr>
          <w:rFonts w:hint="eastAsia" w:ascii="Times New Roman"/>
        </w:rPr>
        <w:t>的，乙方除支付上述违约金外，甲方有权单方解除合同且有权要求乙方在</w:t>
      </w:r>
      <w:r>
        <w:rPr>
          <w:rFonts w:ascii="Times New Roman"/>
        </w:rPr>
        <w:t>支付逾期交货违约金外另行</w:t>
      </w:r>
      <w:r>
        <w:rPr>
          <w:rFonts w:hint="eastAsia" w:ascii="Times New Roman"/>
        </w:rPr>
        <w:t>支付合同价</w:t>
      </w:r>
      <w:r>
        <w:rPr>
          <w:rFonts w:ascii="Times New Roman"/>
          <w:u w:val="single"/>
        </w:rPr>
        <w:t>15%</w:t>
      </w:r>
      <w:r>
        <w:rPr>
          <w:rFonts w:hint="eastAsia" w:ascii="Times New Roman"/>
        </w:rPr>
        <w:t>的违约金。造成甲方损失的，乙方应当承担全部责任及损失赔偿。</w:t>
      </w:r>
    </w:p>
    <w:p w14:paraId="6E23CE36">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hint="eastAsia" w:ascii="Times New Roman"/>
        </w:rPr>
        <w:t>的违约金。若因乙方原因导致乙方无法按照本合同约定供货的，甲方有权单方解除合同，且有权要求乙方支付合同价</w:t>
      </w:r>
      <w:r>
        <w:rPr>
          <w:rFonts w:hint="eastAsia" w:ascii="Times New Roman"/>
          <w:u w:val="single"/>
        </w:rPr>
        <w:t xml:space="preserve"> 20 %</w:t>
      </w:r>
      <w:r>
        <w:rPr>
          <w:rFonts w:hint="eastAsia" w:ascii="Times New Roman"/>
        </w:rPr>
        <w:t>的违约金。</w:t>
      </w:r>
    </w:p>
    <w:p w14:paraId="265B8C1B">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、乙方未按约定履行售后服务义务的，甲方有权要求限期改正。如逾期仍未改正的，甲方有权要求乙方支付合同价</w:t>
      </w:r>
      <w:r>
        <w:rPr>
          <w:rFonts w:ascii="Times New Roman"/>
          <w:u w:val="single"/>
        </w:rPr>
        <w:t>5%</w:t>
      </w:r>
      <w:r>
        <w:rPr>
          <w:rFonts w:hint="eastAsia" w:ascii="Times New Roman"/>
        </w:rPr>
        <w:t>的违约金</w:t>
      </w:r>
      <w:r>
        <w:rPr>
          <w:rFonts w:hint="eastAsia" w:ascii="Times New Roman"/>
          <w:lang w:val="en-US" w:eastAsia="zh-CN"/>
        </w:rPr>
        <w:t>,且有权委托第三方提供售后服务，所产生的费用全部由乙方承担</w:t>
      </w:r>
      <w:r>
        <w:rPr>
          <w:rFonts w:hint="eastAsia" w:ascii="Times New Roman"/>
        </w:rPr>
        <w:t>。</w:t>
      </w:r>
    </w:p>
    <w:p w14:paraId="15A06C7B">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、无论是否在质保期内，因货物质量问题发生安全事故或引起其他损失、造成不良后果的，乙方应承担全部责任及损失赔偿。</w:t>
      </w:r>
    </w:p>
    <w:p w14:paraId="58DF91CB">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、甲方根据本合同的约定要求乙方更换货物或整改安装等服务工作的，乙方在收到甲方发出更换或整改通知后3日内或甲方要求时限内无条件更换全新并符合本合同约定的货物或完成整改工作，否则按本条</w:t>
      </w:r>
      <w:r>
        <w:rPr>
          <w:rFonts w:hint="eastAsia" w:ascii="Times New Roman"/>
          <w:lang w:val="en-US" w:eastAsia="zh-CN"/>
        </w:rPr>
        <w:t>1</w:t>
      </w:r>
      <w:r>
        <w:rPr>
          <w:rFonts w:hint="eastAsia" w:ascii="Times New Roman"/>
        </w:rPr>
        <w:t>款逾期的违约规定进行处理。同时应承担因此产生的全部费用并赔偿甲方因此遭受的损失，更换的货物的质量保证期应按本合同的相关约定重新计算。</w:t>
      </w:r>
    </w:p>
    <w:p w14:paraId="57D8D0B3">
      <w:pPr>
        <w:spacing w:line="360" w:lineRule="auto"/>
        <w:ind w:firstLine="480" w:firstLineChars="200"/>
        <w:rPr>
          <w:rFonts w:hint="eastAsia" w:ascii="Times New Roman" w:eastAsia="宋体"/>
          <w:lang w:eastAsia="zh-CN"/>
        </w:rPr>
      </w:pPr>
      <w:r>
        <w:rPr>
          <w:rFonts w:hint="eastAsia" w:ascii="Times New Roman"/>
          <w:lang w:val="en-US" w:eastAsia="zh-CN"/>
        </w:rPr>
        <w:t>6</w:t>
      </w:r>
      <w:r>
        <w:rPr>
          <w:rFonts w:hint="eastAsia" w:ascii="Times New Roman"/>
        </w:rPr>
        <w:t>、甲方根据本合同的约定要求乙方更换货物或整改安装工作的，乙方在收到甲方发出更换或整改通知后3日内或甲方要求时限内无条件更换全新并符合本合同约定的货物或完成整改工作，否则按本条1款逾期供货的违约规定进行处理，同时应承担因此产生的全部费用并赔偿甲方因此遭受的损失，更换的货物的质量保证期应按本合同的相关约定重新计算</w:t>
      </w:r>
      <w:r>
        <w:rPr>
          <w:rFonts w:hint="eastAsia" w:ascii="Times New Roman"/>
          <w:lang w:eastAsia="zh-CN"/>
        </w:rPr>
        <w:t>。</w:t>
      </w:r>
    </w:p>
    <w:p w14:paraId="14373161">
      <w:pPr>
        <w:spacing w:line="360" w:lineRule="auto"/>
        <w:ind w:firstLine="480" w:firstLineChars="200"/>
        <w:rPr>
          <w:rFonts w:hint="eastAsia" w:ascii="Times New Roman"/>
        </w:rPr>
      </w:pPr>
      <w:r>
        <w:rPr>
          <w:rFonts w:hint="eastAsia" w:ascii="Times New Roman"/>
          <w:lang w:val="en-US" w:eastAsia="zh-CN"/>
        </w:rPr>
        <w:t>7</w:t>
      </w:r>
      <w:r>
        <w:rPr>
          <w:rFonts w:hint="eastAsia" w:ascii="Times New Roman"/>
        </w:rPr>
        <w:t>、甲方损失无法计算的，乙方同意按合同价的</w:t>
      </w:r>
      <w:r>
        <w:rPr>
          <w:rFonts w:ascii="Times New Roman"/>
          <w:u w:val="single"/>
        </w:rPr>
        <w:t>20%</w:t>
      </w:r>
      <w:r>
        <w:rPr>
          <w:rFonts w:hint="eastAsia" w:ascii="Times New Roman"/>
        </w:rPr>
        <w:t>计算并支付给甲方。</w:t>
      </w:r>
    </w:p>
    <w:p w14:paraId="463FA8DF">
      <w:pPr>
        <w:pStyle w:val="2"/>
        <w:ind w:firstLine="480" w:firstLineChars="200"/>
        <w:rPr>
          <w:rFonts w:hint="default"/>
          <w:lang w:val="en-US" w:eastAsia="zh-CN"/>
        </w:rPr>
      </w:pPr>
      <w:bookmarkStart w:id="45" w:name="_Toc2653"/>
      <w:r>
        <w:rPr>
          <w:rFonts w:hint="eastAsia"/>
          <w:lang w:val="en-US" w:eastAsia="zh-CN"/>
        </w:rPr>
        <w:t>8、</w:t>
      </w:r>
      <w:r>
        <w:rPr>
          <w:rFonts w:hint="eastAsia"/>
        </w:rPr>
        <w:t>乙方逾期将应退款项退还给甲方的，乙方需每日按应退款项的</w:t>
      </w:r>
      <w:r>
        <w:rPr>
          <w:rFonts w:hint="eastAsia"/>
          <w:u w:val="single"/>
        </w:rPr>
        <w:t xml:space="preserve"> 5 </w:t>
      </w:r>
      <w:r>
        <w:rPr>
          <w:u w:val="single"/>
        </w:rPr>
        <w:t>‰</w:t>
      </w:r>
      <w:r>
        <w:rPr>
          <w:rFonts w:hint="eastAsia"/>
        </w:rPr>
        <w:t>支付</w:t>
      </w:r>
      <w:r>
        <w:rPr>
          <w:rFonts w:hint="eastAsia"/>
          <w:lang w:val="en-US" w:eastAsia="zh-CN"/>
        </w:rPr>
        <w:t>违约</w:t>
      </w:r>
      <w:r>
        <w:rPr>
          <w:rFonts w:hint="eastAsia"/>
        </w:rPr>
        <w:t>金。</w:t>
      </w:r>
      <w:bookmarkEnd w:id="45"/>
    </w:p>
    <w:p w14:paraId="78E43DCA">
      <w:pPr>
        <w:pStyle w:val="2"/>
        <w:spacing w:line="360" w:lineRule="auto"/>
        <w:ind w:firstLine="480" w:firstLineChars="200"/>
        <w:rPr>
          <w:rFonts w:hint="eastAsia"/>
          <w:lang w:val="en-US" w:eastAsia="zh-CN"/>
        </w:rPr>
      </w:pPr>
      <w:bookmarkStart w:id="46" w:name="_Toc24003"/>
      <w:r>
        <w:rPr>
          <w:rFonts w:hint="eastAsia"/>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bookmarkEnd w:id="46"/>
    </w:p>
    <w:p w14:paraId="76243F7E">
      <w:pPr>
        <w:pStyle w:val="2"/>
        <w:spacing w:line="360" w:lineRule="auto"/>
        <w:ind w:firstLine="480" w:firstLineChars="200"/>
        <w:rPr>
          <w:rFonts w:hint="default" w:eastAsia="宋体"/>
          <w:lang w:val="en-US" w:eastAsia="zh-CN"/>
        </w:rPr>
      </w:pPr>
      <w:bookmarkStart w:id="47" w:name="_Toc25084"/>
      <w:r>
        <w:rPr>
          <w:rFonts w:hint="eastAsia"/>
          <w:lang w:val="en-US" w:eastAsia="zh-CN"/>
        </w:rPr>
        <w:t>10、乙方违反本合同约定，合同对违约责任有特别约定的，适用该特别约定；无特别约定的，甲方有权扣除乙方合同价20%作为违约金。违约金不足以弥补甲方因此所受损失的，乙方应予以补足。</w:t>
      </w:r>
      <w:bookmarkEnd w:id="47"/>
    </w:p>
    <w:p w14:paraId="63D9F7D6">
      <w:pPr>
        <w:spacing w:line="360" w:lineRule="auto"/>
        <w:rPr>
          <w:rFonts w:ascii="Times New Roman"/>
          <w:b/>
        </w:rPr>
      </w:pPr>
    </w:p>
    <w:p w14:paraId="0A2BC104">
      <w:pPr>
        <w:pStyle w:val="28"/>
        <w:numPr>
          <w:ilvl w:val="0"/>
          <w:numId w:val="1"/>
        </w:numPr>
        <w:ind w:firstLineChars="0"/>
        <w:outlineLvl w:val="1"/>
        <w:rPr>
          <w:rFonts w:ascii="Times New Roman" w:hAnsi="Times New Roman"/>
          <w:b/>
          <w:sz w:val="24"/>
          <w:szCs w:val="24"/>
        </w:rPr>
      </w:pPr>
      <w:bookmarkStart w:id="48" w:name="_Toc27990841"/>
      <w:bookmarkStart w:id="49" w:name="_Toc14594"/>
      <w:r>
        <w:rPr>
          <w:rFonts w:hint="eastAsia" w:ascii="Times New Roman" w:hAnsi="Times New Roman"/>
          <w:b/>
          <w:sz w:val="24"/>
          <w:szCs w:val="24"/>
        </w:rPr>
        <w:t>不可抗力</w:t>
      </w:r>
      <w:bookmarkEnd w:id="48"/>
      <w:bookmarkEnd w:id="49"/>
    </w:p>
    <w:p w14:paraId="370F1EC2">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1E59A78">
      <w:pPr>
        <w:spacing w:line="360" w:lineRule="auto"/>
        <w:ind w:firstLine="480" w:firstLineChars="200"/>
        <w:rPr>
          <w:rFonts w:ascii="Times New Roman"/>
        </w:rPr>
      </w:pPr>
    </w:p>
    <w:p w14:paraId="50357126">
      <w:pPr>
        <w:pStyle w:val="28"/>
        <w:numPr>
          <w:ilvl w:val="0"/>
          <w:numId w:val="1"/>
        </w:numPr>
        <w:ind w:firstLineChars="0"/>
        <w:outlineLvl w:val="1"/>
        <w:rPr>
          <w:rFonts w:ascii="Times New Roman" w:hAnsi="Times New Roman"/>
          <w:b/>
          <w:sz w:val="24"/>
          <w:szCs w:val="24"/>
        </w:rPr>
      </w:pPr>
      <w:bookmarkStart w:id="50" w:name="_Toc11281"/>
      <w:bookmarkStart w:id="51" w:name="_Toc27990842"/>
      <w:r>
        <w:rPr>
          <w:rFonts w:hint="eastAsia" w:ascii="Times New Roman" w:hAnsi="Times New Roman"/>
          <w:b/>
          <w:sz w:val="24"/>
          <w:szCs w:val="24"/>
        </w:rPr>
        <w:t>承诺与保证</w:t>
      </w:r>
      <w:bookmarkEnd w:id="50"/>
      <w:bookmarkEnd w:id="51"/>
    </w:p>
    <w:p w14:paraId="102689E7">
      <w:pPr>
        <w:spacing w:line="360" w:lineRule="auto"/>
        <w:ind w:firstLine="480" w:firstLineChars="200"/>
        <w:rPr>
          <w:rFonts w:ascii="Times New Roman"/>
        </w:rPr>
      </w:pPr>
      <w:r>
        <w:rPr>
          <w:rFonts w:hint="eastAsia" w:ascii="Times New Roman"/>
        </w:rPr>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56EFEDC4">
      <w:pPr>
        <w:spacing w:line="360" w:lineRule="auto"/>
        <w:ind w:firstLine="480" w:firstLineChars="200"/>
        <w:rPr>
          <w:rFonts w:ascii="Times New Roman"/>
        </w:rPr>
      </w:pPr>
    </w:p>
    <w:p w14:paraId="17488BE4">
      <w:pPr>
        <w:pStyle w:val="28"/>
        <w:numPr>
          <w:ilvl w:val="0"/>
          <w:numId w:val="1"/>
        </w:numPr>
        <w:ind w:firstLineChars="0"/>
        <w:outlineLvl w:val="1"/>
        <w:rPr>
          <w:rFonts w:ascii="Times New Roman" w:hAnsi="Times New Roman"/>
          <w:b/>
          <w:sz w:val="24"/>
          <w:szCs w:val="24"/>
        </w:rPr>
      </w:pPr>
      <w:bookmarkStart w:id="52" w:name="_Toc16619"/>
      <w:bookmarkStart w:id="53" w:name="_Toc27990843"/>
      <w:r>
        <w:rPr>
          <w:rFonts w:hint="eastAsia" w:ascii="Times New Roman" w:hAnsi="Times New Roman"/>
          <w:b/>
          <w:sz w:val="24"/>
          <w:szCs w:val="24"/>
        </w:rPr>
        <w:t>合同争议的解决办法</w:t>
      </w:r>
      <w:bookmarkEnd w:id="52"/>
      <w:bookmarkEnd w:id="53"/>
    </w:p>
    <w:p w14:paraId="6B54CAE0">
      <w:pPr>
        <w:numPr>
          <w:ilvl w:val="0"/>
          <w:numId w:val="2"/>
        </w:numPr>
        <w:spacing w:line="360" w:lineRule="auto"/>
        <w:ind w:firstLine="403"/>
        <w:rPr>
          <w:rFonts w:hint="eastAsia" w:ascii="Times New Roman"/>
        </w:rPr>
      </w:pPr>
      <w:r>
        <w:rPr>
          <w:rFonts w:hint="eastAsia" w:ascii="Times New Roman"/>
        </w:rPr>
        <w:t>双方因本合同发生争议的，可协商解决。协商不成的，任何一方可向甲方住所地有管辖权的人民法院提起诉讼。</w:t>
      </w:r>
    </w:p>
    <w:p w14:paraId="29D99DC9">
      <w:pPr>
        <w:numPr>
          <w:ilvl w:val="-1"/>
          <w:numId w:val="0"/>
        </w:numPr>
        <w:spacing w:line="360" w:lineRule="auto"/>
        <w:ind w:firstLine="480" w:firstLineChars="200"/>
        <w:rPr>
          <w:rFonts w:hint="eastAsia" w:ascii="Times New Roma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A9F05B9">
      <w:pPr>
        <w:spacing w:line="360" w:lineRule="auto"/>
        <w:ind w:firstLine="403"/>
        <w:rPr>
          <w:rFonts w:ascii="Times New Roman"/>
        </w:rPr>
      </w:pPr>
    </w:p>
    <w:p w14:paraId="0E9B68E1">
      <w:pPr>
        <w:pStyle w:val="28"/>
        <w:numPr>
          <w:ilvl w:val="0"/>
          <w:numId w:val="1"/>
        </w:numPr>
        <w:ind w:firstLineChars="0"/>
        <w:outlineLvl w:val="1"/>
        <w:rPr>
          <w:rFonts w:ascii="Times New Roman" w:hAnsi="Times New Roman"/>
          <w:b/>
          <w:sz w:val="24"/>
          <w:szCs w:val="24"/>
        </w:rPr>
      </w:pPr>
      <w:bookmarkStart w:id="54" w:name="_Toc29943"/>
      <w:bookmarkStart w:id="55" w:name="_Toc27990844"/>
      <w:r>
        <w:rPr>
          <w:rFonts w:hint="eastAsia" w:ascii="Times New Roman" w:hAnsi="Times New Roman"/>
          <w:b/>
          <w:sz w:val="24"/>
          <w:szCs w:val="24"/>
        </w:rPr>
        <w:t>其他</w:t>
      </w:r>
      <w:bookmarkEnd w:id="54"/>
      <w:bookmarkEnd w:id="55"/>
    </w:p>
    <w:p w14:paraId="2309A02B">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eastAsia="zh-CN"/>
        </w:rPr>
        <w:t>日</w:t>
      </w:r>
      <w:r>
        <w:rPr>
          <w:rFonts w:hint="eastAsia" w:ascii="Times New Roman"/>
        </w:rPr>
        <w:t>后，即视为有效送达。乙方更换地址的，应该</w:t>
      </w:r>
      <w:r>
        <w:rPr>
          <w:rFonts w:ascii="Times New Roman"/>
        </w:rPr>
        <w:t>3</w:t>
      </w:r>
      <w:r>
        <w:rPr>
          <w:rFonts w:hint="eastAsia" w:ascii="Times New Roman"/>
          <w:lang w:eastAsia="zh-CN"/>
        </w:rPr>
        <w:t>日</w:t>
      </w:r>
      <w:r>
        <w:rPr>
          <w:rFonts w:hint="eastAsia" w:ascii="Times New Roman"/>
        </w:rPr>
        <w:t>内书面告知甲方。</w:t>
      </w:r>
    </w:p>
    <w:p w14:paraId="4702033C">
      <w:pPr>
        <w:spacing w:line="360" w:lineRule="auto"/>
        <w:ind w:firstLine="566" w:firstLineChars="236"/>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0AEFB81">
      <w:pPr>
        <w:spacing w:line="360" w:lineRule="auto"/>
        <w:ind w:firstLine="480" w:firstLineChars="200"/>
        <w:rPr>
          <w:rFonts w:hint="eastAsia" w:ascii="Times New Roman" w:eastAsia="宋体"/>
          <w:lang w:val="en-US" w:eastAsia="zh-CN"/>
        </w:rPr>
      </w:pPr>
      <w:r>
        <w:rPr>
          <w:rFonts w:ascii="Times New Roman"/>
        </w:rPr>
        <w:t>3</w:t>
      </w:r>
      <w:r>
        <w:rPr>
          <w:rFonts w:hint="eastAsia" w:ascii="Times New Roman"/>
        </w:rPr>
        <w:t>、本合同一式</w:t>
      </w:r>
      <w:r>
        <w:rPr>
          <w:rFonts w:hint="eastAsia" w:ascii="Times New Roman"/>
          <w:u w:val="single"/>
          <w:lang w:val="en-US" w:eastAsia="zh-CN"/>
        </w:rPr>
        <w:t xml:space="preserve"> 叁 </w:t>
      </w:r>
      <w:r>
        <w:rPr>
          <w:rFonts w:hint="eastAsia" w:ascii="Times New Roman"/>
        </w:rPr>
        <w:t>份，其中甲方执</w:t>
      </w:r>
      <w:r>
        <w:rPr>
          <w:rFonts w:ascii="Times New Roman"/>
          <w:u w:val="single"/>
        </w:rPr>
        <w:t xml:space="preserve"> </w:t>
      </w:r>
      <w:r>
        <w:rPr>
          <w:rFonts w:hint="eastAsia" w:ascii="Times New Roman"/>
          <w:u w:val="single"/>
          <w:lang w:val="en-US" w:eastAsia="zh-CN"/>
        </w:rPr>
        <w:t>贰</w:t>
      </w:r>
      <w:r>
        <w:rPr>
          <w:rFonts w:ascii="Times New Roman"/>
          <w:u w:val="single"/>
        </w:rPr>
        <w:t xml:space="preserve"> </w:t>
      </w:r>
      <w:r>
        <w:rPr>
          <w:rFonts w:hint="eastAsia" w:ascii="Times New Roman"/>
        </w:rPr>
        <w:t>份，乙方执</w:t>
      </w:r>
      <w:r>
        <w:rPr>
          <w:rFonts w:hint="eastAsia" w:ascii="Times New Roman"/>
          <w:u w:val="single"/>
          <w:lang w:val="en-US" w:eastAsia="zh-CN"/>
        </w:rPr>
        <w:t xml:space="preserve"> 壹 </w:t>
      </w:r>
      <w:r>
        <w:rPr>
          <w:rFonts w:hint="eastAsia" w:ascii="Times New Roman"/>
        </w:rPr>
        <w:t>份，每份均具有同等法律效力。</w:t>
      </w:r>
      <w:r>
        <w:rPr>
          <w:rFonts w:hint="eastAsia" w:ascii="Times New Roman"/>
          <w:lang w:val="en-US" w:eastAsia="zh-CN"/>
        </w:rPr>
        <w:t xml:space="preserve"> </w:t>
      </w:r>
    </w:p>
    <w:p w14:paraId="62882390">
      <w:pPr>
        <w:spacing w:line="360" w:lineRule="auto"/>
        <w:ind w:firstLine="480" w:firstLineChars="200"/>
        <w:rPr>
          <w:rFonts w:ascii="Times New Roman"/>
        </w:rPr>
      </w:pPr>
      <w:r>
        <w:rPr>
          <w:rFonts w:ascii="Times New Roman"/>
        </w:rPr>
        <w:t>4</w:t>
      </w:r>
      <w:r>
        <w:rPr>
          <w:rFonts w:hint="eastAsia" w:ascii="Times New Roman"/>
        </w:rPr>
        <w:t>、本合同经双方盖章并由甲方法定代表人或负责人或授权代表及乙方法定代表人签字后生效。</w:t>
      </w:r>
    </w:p>
    <w:p w14:paraId="09F3DE84">
      <w:pPr>
        <w:spacing w:line="360" w:lineRule="auto"/>
        <w:ind w:firstLine="480" w:firstLineChars="200"/>
        <w:rPr>
          <w:rFonts w:ascii="Times New Roman"/>
        </w:rPr>
      </w:pPr>
      <w:r>
        <w:rPr>
          <w:rFonts w:ascii="Times New Roman"/>
        </w:rPr>
        <w:t>5</w:t>
      </w:r>
      <w:r>
        <w:rPr>
          <w:rFonts w:hint="eastAsia"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34BACE71">
      <w:pPr>
        <w:spacing w:line="360" w:lineRule="auto"/>
        <w:ind w:firstLine="480" w:firstLineChars="200"/>
        <w:rPr>
          <w:rFonts w:hint="default" w:ascii="Times New Roman" w:eastAsia="宋体"/>
          <w:lang w:val="en-US" w:eastAsia="zh-CN"/>
        </w:rPr>
      </w:pPr>
      <w:r>
        <w:rPr>
          <w:rFonts w:ascii="Times New Roman"/>
        </w:rPr>
        <w:t>附件</w:t>
      </w:r>
      <w:r>
        <w:rPr>
          <w:rFonts w:hint="eastAsia" w:ascii="Times New Roman"/>
          <w:lang w:val="en-US" w:eastAsia="zh-CN"/>
        </w:rPr>
        <w:t>一</w:t>
      </w:r>
      <w:r>
        <w:rPr>
          <w:rFonts w:ascii="Times New Roman"/>
        </w:rPr>
        <w:t>：</w:t>
      </w:r>
      <w:r>
        <w:rPr>
          <w:rFonts w:hint="eastAsia" w:ascii="Times New Roman"/>
          <w:lang w:val="en-US" w:eastAsia="zh-CN"/>
        </w:rPr>
        <w:t>安全生产管理协议</w:t>
      </w:r>
    </w:p>
    <w:p w14:paraId="29AC3E4F">
      <w:pPr>
        <w:spacing w:line="360" w:lineRule="auto"/>
        <w:ind w:firstLine="480" w:firstLineChars="200"/>
        <w:rPr>
          <w:rFonts w:ascii="Times New Roman"/>
        </w:rPr>
      </w:pPr>
      <w:bookmarkStart w:id="56" w:name="OLE_LINK9"/>
      <w:r>
        <w:rPr>
          <w:rFonts w:ascii="Times New Roman"/>
        </w:rPr>
        <w:t>附件</w:t>
      </w:r>
      <w:r>
        <w:rPr>
          <w:rFonts w:hint="eastAsia" w:ascii="Times New Roman"/>
          <w:lang w:val="en-US" w:eastAsia="zh-CN"/>
        </w:rPr>
        <w:t>二</w:t>
      </w:r>
      <w:r>
        <w:rPr>
          <w:rFonts w:ascii="Times New Roman"/>
        </w:rPr>
        <w:t>：</w:t>
      </w:r>
      <w:bookmarkStart w:id="57" w:name="OLE_LINK10"/>
      <w:r>
        <w:rPr>
          <w:rFonts w:hint="eastAsia" w:ascii="Times New Roman"/>
        </w:rPr>
        <w:t>分项报价表</w:t>
      </w:r>
      <w:bookmarkEnd w:id="57"/>
    </w:p>
    <w:bookmarkEnd w:id="56"/>
    <w:p w14:paraId="40D27D01">
      <w:pPr>
        <w:spacing w:line="360" w:lineRule="auto"/>
        <w:ind w:firstLine="480" w:firstLineChars="200"/>
        <w:rPr>
          <w:rFonts w:hint="eastAsia" w:ascii="Times New Roman"/>
        </w:rPr>
      </w:pPr>
      <w:r>
        <w:rPr>
          <w:rFonts w:hint="eastAsia" w:ascii="Times New Roman"/>
        </w:rPr>
        <w:t>附件</w:t>
      </w:r>
      <w:r>
        <w:rPr>
          <w:rFonts w:hint="eastAsia" w:ascii="Times New Roman"/>
          <w:lang w:val="en-US" w:eastAsia="zh-CN"/>
        </w:rPr>
        <w:t>三</w:t>
      </w:r>
      <w:r>
        <w:rPr>
          <w:rFonts w:hint="eastAsia" w:ascii="Times New Roman"/>
        </w:rPr>
        <w:t>：用户需求书</w:t>
      </w:r>
    </w:p>
    <w:p w14:paraId="010B6B4B">
      <w:pPr>
        <w:spacing w:line="360" w:lineRule="auto"/>
        <w:ind w:firstLine="480" w:firstLineChars="200"/>
        <w:rPr>
          <w:rFonts w:hint="default" w:ascii="Times New Roman" w:eastAsia="宋体"/>
          <w:lang w:val="en-US" w:eastAsia="zh-CN"/>
        </w:rPr>
      </w:pPr>
      <w:r>
        <w:rPr>
          <w:rFonts w:hint="eastAsia" w:ascii="Times New Roman"/>
          <w:lang w:val="en-US" w:eastAsia="zh-CN"/>
        </w:rPr>
        <w:t>附件四：阳光合作告知函</w:t>
      </w:r>
    </w:p>
    <w:p w14:paraId="79940C73">
      <w:pPr>
        <w:spacing w:line="360" w:lineRule="auto"/>
        <w:rPr>
          <w:rFonts w:ascii="Times New Roman"/>
          <w:b/>
        </w:rPr>
      </w:pPr>
    </w:p>
    <w:p w14:paraId="4EAFEDD6">
      <w:pPr>
        <w:pStyle w:val="2"/>
        <w:rPr>
          <w:rFonts w:ascii="Times New Roman"/>
          <w:b/>
        </w:rPr>
      </w:pPr>
    </w:p>
    <w:p w14:paraId="3BA4027C">
      <w:pPr>
        <w:rPr>
          <w:rFonts w:ascii="Times New Roman"/>
          <w:b/>
        </w:rPr>
      </w:pPr>
    </w:p>
    <w:p w14:paraId="64D1E8DE">
      <w:pPr>
        <w:pStyle w:val="2"/>
        <w:rPr>
          <w:rFonts w:ascii="Times New Roman"/>
          <w:b/>
        </w:rPr>
      </w:pPr>
    </w:p>
    <w:p w14:paraId="75D03401"/>
    <w:p w14:paraId="227F0FB7">
      <w:r>
        <w:br w:type="page"/>
      </w:r>
    </w:p>
    <w:p w14:paraId="76393522">
      <w:pPr>
        <w:pStyle w:val="2"/>
      </w:pPr>
    </w:p>
    <w:tbl>
      <w:tblPr>
        <w:tblStyle w:val="22"/>
        <w:tblW w:w="9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0"/>
        <w:gridCol w:w="4879"/>
      </w:tblGrid>
      <w:tr w14:paraId="4149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1FA57314">
            <w:pPr>
              <w:spacing w:line="360" w:lineRule="auto"/>
              <w:jc w:val="both"/>
              <w:rPr>
                <w:rFonts w:hint="default" w:ascii="Times New Roman"/>
                <w:vertAlign w:val="baseline"/>
                <w:lang w:val="en-US"/>
              </w:rPr>
            </w:pPr>
            <w:r>
              <w:rPr>
                <w:rFonts w:hint="eastAsia" w:ascii="Times New Roman"/>
                <w:vertAlign w:val="baseline"/>
              </w:rPr>
              <w:t>甲方（盖章）</w:t>
            </w:r>
            <w:r>
              <w:rPr>
                <w:rFonts w:hint="eastAsia" w:ascii="Times New Roman"/>
                <w:vertAlign w:val="baseline"/>
                <w:lang w:eastAsia="zh-CN"/>
              </w:rPr>
              <w:t>：</w:t>
            </w:r>
            <w:r>
              <w:rPr>
                <w:rFonts w:hint="eastAsia" w:ascii="Times New Roman"/>
                <w:lang w:val="en-US" w:eastAsia="zh-CN"/>
              </w:rPr>
              <w:t>东莞市石鼓净水有限公</w:t>
            </w:r>
            <w:r>
              <w:rPr>
                <w:rFonts w:hint="eastAsia" w:ascii="Times New Roman"/>
              </w:rPr>
              <w:t>司</w:t>
            </w:r>
          </w:p>
        </w:tc>
        <w:tc>
          <w:tcPr>
            <w:tcW w:w="4879" w:type="dxa"/>
            <w:tcBorders>
              <w:tl2br w:val="nil"/>
              <w:tr2bl w:val="nil"/>
            </w:tcBorders>
            <w:tcMar>
              <w:top w:w="0" w:type="dxa"/>
              <w:left w:w="57" w:type="dxa"/>
              <w:bottom w:w="0" w:type="dxa"/>
              <w:right w:w="57" w:type="dxa"/>
            </w:tcMar>
            <w:vAlign w:val="top"/>
          </w:tcPr>
          <w:p w14:paraId="33E9DCC4">
            <w:pPr>
              <w:spacing w:line="360" w:lineRule="auto"/>
              <w:jc w:val="both"/>
              <w:rPr>
                <w:rFonts w:hint="default" w:ascii="Times New Roman" w:eastAsia="宋体"/>
                <w:vertAlign w:val="baseline"/>
                <w:lang w:val="en-US" w:eastAsia="zh-CN"/>
              </w:rPr>
            </w:pPr>
            <w:r>
              <w:rPr>
                <w:rFonts w:hint="eastAsia" w:ascii="Times New Roman"/>
                <w:vertAlign w:val="baseline"/>
              </w:rPr>
              <w:t>乙方（盖章）：</w:t>
            </w:r>
          </w:p>
        </w:tc>
      </w:tr>
      <w:tr w14:paraId="361C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438C5B6E">
            <w:pPr>
              <w:spacing w:line="360" w:lineRule="auto"/>
              <w:jc w:val="both"/>
              <w:rPr>
                <w:rFonts w:hint="eastAsia" w:ascii="Times New Roman"/>
                <w:vertAlign w:val="baseline"/>
              </w:rPr>
            </w:pPr>
            <w:r>
              <w:rPr>
                <w:rFonts w:hint="eastAsia" w:ascii="Times New Roman"/>
                <w:vertAlign w:val="baseline"/>
              </w:rPr>
              <w:t>法定代表人</w:t>
            </w:r>
            <w:r>
              <w:rPr>
                <w:rFonts w:hint="eastAsia" w:ascii="Times New Roman"/>
              </w:rPr>
              <w:t>或负责人或授权代表</w:t>
            </w:r>
            <w:r>
              <w:rPr>
                <w:rFonts w:hint="eastAsia" w:ascii="Times New Roman"/>
                <w:vertAlign w:val="baseline"/>
              </w:rPr>
              <w:t>：</w:t>
            </w:r>
          </w:p>
        </w:tc>
        <w:tc>
          <w:tcPr>
            <w:tcW w:w="4879" w:type="dxa"/>
            <w:tcBorders>
              <w:tl2br w:val="nil"/>
              <w:tr2bl w:val="nil"/>
            </w:tcBorders>
            <w:tcMar>
              <w:top w:w="0" w:type="dxa"/>
              <w:left w:w="57" w:type="dxa"/>
              <w:bottom w:w="0" w:type="dxa"/>
              <w:right w:w="57" w:type="dxa"/>
            </w:tcMar>
            <w:vAlign w:val="top"/>
          </w:tcPr>
          <w:p w14:paraId="1C36A1FD">
            <w:pPr>
              <w:spacing w:line="360" w:lineRule="auto"/>
              <w:jc w:val="both"/>
              <w:rPr>
                <w:rFonts w:hint="eastAsia" w:ascii="Times New Roman"/>
                <w:vertAlign w:val="baseline"/>
              </w:rPr>
            </w:pPr>
            <w:r>
              <w:rPr>
                <w:rFonts w:hint="eastAsia" w:ascii="Times New Roman"/>
                <w:vertAlign w:val="baseline"/>
              </w:rPr>
              <w:t>法定代表人：</w:t>
            </w:r>
          </w:p>
        </w:tc>
      </w:tr>
      <w:tr w14:paraId="0232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4720" w:type="dxa"/>
            <w:tcBorders>
              <w:tl2br w:val="nil"/>
              <w:tr2bl w:val="nil"/>
            </w:tcBorders>
            <w:tcMar>
              <w:top w:w="0" w:type="dxa"/>
              <w:left w:w="57" w:type="dxa"/>
              <w:bottom w:w="0" w:type="dxa"/>
              <w:right w:w="57" w:type="dxa"/>
            </w:tcMar>
            <w:vAlign w:val="top"/>
          </w:tcPr>
          <w:p w14:paraId="6FC62274">
            <w:pPr>
              <w:spacing w:line="360" w:lineRule="auto"/>
              <w:jc w:val="both"/>
              <w:rPr>
                <w:rFonts w:hint="eastAsia" w:ascii="Times New Roman"/>
                <w:vertAlign w:val="baseline"/>
              </w:rPr>
            </w:pPr>
            <w:r>
              <w:rPr>
                <w:rFonts w:hint="eastAsia" w:ascii="Times New Roman"/>
                <w:vertAlign w:val="baseline"/>
              </w:rPr>
              <w:t>地址：</w:t>
            </w:r>
            <w:r>
              <w:rPr>
                <w:rFonts w:hint="eastAsia" w:ascii="Times New Roman"/>
                <w:lang w:val="en-US" w:eastAsia="zh-CN"/>
              </w:rPr>
              <w:t>广东省东莞市南城街道滨河路100号一期1号楼101室</w:t>
            </w:r>
          </w:p>
        </w:tc>
        <w:tc>
          <w:tcPr>
            <w:tcW w:w="4879" w:type="dxa"/>
            <w:tcBorders>
              <w:tl2br w:val="nil"/>
              <w:tr2bl w:val="nil"/>
            </w:tcBorders>
            <w:tcMar>
              <w:top w:w="0" w:type="dxa"/>
              <w:left w:w="57" w:type="dxa"/>
              <w:bottom w:w="0" w:type="dxa"/>
              <w:right w:w="57" w:type="dxa"/>
            </w:tcMar>
            <w:vAlign w:val="top"/>
          </w:tcPr>
          <w:p w14:paraId="66E909B3">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4449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16C52797">
            <w:pPr>
              <w:spacing w:line="360" w:lineRule="auto"/>
              <w:jc w:val="both"/>
              <w:rPr>
                <w:rFonts w:hint="eastAsia" w:ascii="Times New Roman"/>
                <w:vertAlign w:val="baseline"/>
              </w:rPr>
            </w:pPr>
          </w:p>
        </w:tc>
        <w:tc>
          <w:tcPr>
            <w:tcW w:w="4879" w:type="dxa"/>
            <w:tcBorders>
              <w:tl2br w:val="nil"/>
              <w:tr2bl w:val="nil"/>
            </w:tcBorders>
            <w:tcMar>
              <w:top w:w="0" w:type="dxa"/>
              <w:left w:w="57" w:type="dxa"/>
              <w:bottom w:w="0" w:type="dxa"/>
              <w:right w:w="57" w:type="dxa"/>
            </w:tcMar>
            <w:vAlign w:val="top"/>
          </w:tcPr>
          <w:p w14:paraId="5D0A8462">
            <w:pPr>
              <w:spacing w:line="360" w:lineRule="auto"/>
              <w:jc w:val="both"/>
              <w:rPr>
                <w:rFonts w:hint="eastAsia" w:ascii="Times New Roman"/>
                <w:vertAlign w:val="baseline"/>
              </w:rPr>
            </w:pPr>
            <w:r>
              <w:rPr>
                <w:rFonts w:hint="eastAsia" w:ascii="Times New Roman"/>
                <w:vertAlign w:val="baseline"/>
              </w:rPr>
              <w:t>电话：</w:t>
            </w:r>
          </w:p>
        </w:tc>
      </w:tr>
      <w:tr w14:paraId="475F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00145D57">
            <w:pPr>
              <w:spacing w:line="360" w:lineRule="auto"/>
              <w:jc w:val="both"/>
              <w:rPr>
                <w:rFonts w:hint="eastAsia" w:ascii="Times New Roman"/>
                <w:vertAlign w:val="baseline"/>
              </w:rPr>
            </w:pPr>
          </w:p>
        </w:tc>
        <w:tc>
          <w:tcPr>
            <w:tcW w:w="4879" w:type="dxa"/>
            <w:tcBorders>
              <w:tl2br w:val="nil"/>
              <w:tr2bl w:val="nil"/>
            </w:tcBorders>
            <w:tcMar>
              <w:top w:w="0" w:type="dxa"/>
              <w:left w:w="57" w:type="dxa"/>
              <w:bottom w:w="0" w:type="dxa"/>
              <w:right w:w="57" w:type="dxa"/>
            </w:tcMar>
            <w:vAlign w:val="top"/>
          </w:tcPr>
          <w:p w14:paraId="50410DD9">
            <w:pPr>
              <w:spacing w:line="360" w:lineRule="auto"/>
              <w:jc w:val="both"/>
              <w:rPr>
                <w:rFonts w:hint="eastAsia" w:ascii="Times New Roman"/>
                <w:vertAlign w:val="baseline"/>
              </w:rPr>
            </w:pPr>
            <w:r>
              <w:rPr>
                <w:rFonts w:hint="eastAsia" w:ascii="Times New Roman"/>
                <w:vertAlign w:val="baseline"/>
              </w:rPr>
              <w:t>名称：</w:t>
            </w:r>
          </w:p>
        </w:tc>
      </w:tr>
      <w:tr w14:paraId="0CE9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23D57527">
            <w:pPr>
              <w:spacing w:line="360" w:lineRule="auto"/>
              <w:jc w:val="both"/>
              <w:rPr>
                <w:rFonts w:hint="eastAsia" w:ascii="Times New Roman"/>
                <w:vertAlign w:val="baseline"/>
              </w:rPr>
            </w:pPr>
          </w:p>
        </w:tc>
        <w:tc>
          <w:tcPr>
            <w:tcW w:w="4879" w:type="dxa"/>
            <w:tcBorders>
              <w:tl2br w:val="nil"/>
              <w:tr2bl w:val="nil"/>
            </w:tcBorders>
            <w:tcMar>
              <w:top w:w="0" w:type="dxa"/>
              <w:left w:w="57" w:type="dxa"/>
              <w:bottom w:w="0" w:type="dxa"/>
              <w:right w:w="57" w:type="dxa"/>
            </w:tcMar>
            <w:vAlign w:val="top"/>
          </w:tcPr>
          <w:p w14:paraId="3AD7C8E6">
            <w:pPr>
              <w:spacing w:line="360" w:lineRule="auto"/>
              <w:ind w:left="1200" w:hanging="1200" w:hangingChars="500"/>
              <w:jc w:val="both"/>
              <w:rPr>
                <w:rFonts w:hint="eastAsia" w:ascii="Times New Roman"/>
                <w:vertAlign w:val="baseline"/>
              </w:rPr>
            </w:pPr>
            <w:r>
              <w:rPr>
                <w:rFonts w:hint="eastAsia" w:ascii="Times New Roman"/>
                <w:vertAlign w:val="baseline"/>
              </w:rPr>
              <w:t>开户银行：</w:t>
            </w:r>
          </w:p>
        </w:tc>
      </w:tr>
      <w:tr w14:paraId="0033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52FD6750">
            <w:pPr>
              <w:spacing w:line="360" w:lineRule="auto"/>
              <w:jc w:val="both"/>
              <w:rPr>
                <w:rFonts w:hint="eastAsia" w:ascii="Times New Roman"/>
                <w:vertAlign w:val="baseline"/>
              </w:rPr>
            </w:pPr>
          </w:p>
        </w:tc>
        <w:tc>
          <w:tcPr>
            <w:tcW w:w="4879" w:type="dxa"/>
            <w:tcBorders>
              <w:tl2br w:val="nil"/>
              <w:tr2bl w:val="nil"/>
            </w:tcBorders>
            <w:tcMar>
              <w:top w:w="0" w:type="dxa"/>
              <w:left w:w="57" w:type="dxa"/>
              <w:bottom w:w="0" w:type="dxa"/>
              <w:right w:w="57" w:type="dxa"/>
            </w:tcMar>
            <w:vAlign w:val="top"/>
          </w:tcPr>
          <w:p w14:paraId="760AD762">
            <w:pPr>
              <w:spacing w:line="360" w:lineRule="auto"/>
              <w:jc w:val="both"/>
              <w:rPr>
                <w:rFonts w:hint="eastAsia" w:ascii="Times New Roman"/>
                <w:vertAlign w:val="baseline"/>
              </w:rPr>
            </w:pPr>
            <w:r>
              <w:rPr>
                <w:rFonts w:hint="eastAsia" w:ascii="Times New Roman"/>
                <w:vertAlign w:val="baseline"/>
              </w:rPr>
              <w:t>银行账号：</w:t>
            </w:r>
          </w:p>
        </w:tc>
      </w:tr>
      <w:tr w14:paraId="34B1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20" w:type="dxa"/>
            <w:tcBorders>
              <w:tl2br w:val="nil"/>
              <w:tr2bl w:val="nil"/>
            </w:tcBorders>
            <w:tcMar>
              <w:top w:w="0" w:type="dxa"/>
              <w:left w:w="57" w:type="dxa"/>
              <w:bottom w:w="0" w:type="dxa"/>
              <w:right w:w="57" w:type="dxa"/>
            </w:tcMar>
            <w:vAlign w:val="top"/>
          </w:tcPr>
          <w:p w14:paraId="5D08146A">
            <w:pPr>
              <w:spacing w:line="360" w:lineRule="auto"/>
              <w:jc w:val="both"/>
              <w:rPr>
                <w:rFonts w:hint="eastAsia" w:ascii="Times New Roman" w:hAnsi="Times New Roman" w:eastAsia="宋体" w:cs="Times New Roman"/>
                <w:sz w:val="24"/>
                <w:szCs w:val="24"/>
                <w:vertAlign w:val="baseline"/>
                <w:lang w:val="en-US" w:eastAsia="zh-CN" w:bidi="ar-SA"/>
              </w:rPr>
            </w:pPr>
          </w:p>
        </w:tc>
        <w:tc>
          <w:tcPr>
            <w:tcW w:w="4879" w:type="dxa"/>
            <w:tcBorders>
              <w:tl2br w:val="nil"/>
              <w:tr2bl w:val="nil"/>
            </w:tcBorders>
            <w:tcMar>
              <w:top w:w="0" w:type="dxa"/>
              <w:left w:w="57" w:type="dxa"/>
              <w:bottom w:w="0" w:type="dxa"/>
              <w:right w:w="57" w:type="dxa"/>
            </w:tcMar>
            <w:vAlign w:val="top"/>
          </w:tcPr>
          <w:p w14:paraId="2E667E9B">
            <w:pPr>
              <w:spacing w:line="360" w:lineRule="auto"/>
              <w:jc w:val="both"/>
              <w:rPr>
                <w:rFonts w:hint="eastAsia" w:ascii="Times New Roman"/>
                <w:vertAlign w:val="baseline"/>
              </w:rPr>
            </w:pPr>
            <w:r>
              <w:rPr>
                <w:rFonts w:hint="eastAsia" w:ascii="Times New Roman"/>
                <w:vertAlign w:val="baseline"/>
              </w:rPr>
              <w:t>税号：</w:t>
            </w:r>
          </w:p>
        </w:tc>
      </w:tr>
    </w:tbl>
    <w:p w14:paraId="73A46499">
      <w:pPr>
        <w:spacing w:line="360" w:lineRule="auto"/>
        <w:rPr>
          <w:rFonts w:hint="eastAsia"/>
        </w:rPr>
      </w:pPr>
    </w:p>
    <w:p w14:paraId="6C24A9CA">
      <w:pPr>
        <w:pStyle w:val="2"/>
        <w:rPr>
          <w:rFonts w:hint="eastAsia"/>
        </w:rPr>
      </w:pPr>
    </w:p>
    <w:p w14:paraId="318618D2">
      <w:pPr>
        <w:rPr>
          <w:rFonts w:hint="eastAsia"/>
        </w:rPr>
      </w:pPr>
    </w:p>
    <w:p w14:paraId="12B51696">
      <w:pPr>
        <w:spacing w:line="360" w:lineRule="auto"/>
        <w:rPr>
          <w:rFonts w:hint="eastAsia"/>
        </w:rPr>
      </w:pPr>
      <w:r>
        <w:rPr>
          <w:rFonts w:hint="eastAsia"/>
        </w:rPr>
        <w:t>签订时间：</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日 </w:t>
      </w:r>
    </w:p>
    <w:p w14:paraId="7AF05030">
      <w:pPr>
        <w:spacing w:line="360" w:lineRule="auto"/>
        <w:rPr>
          <w:rFonts w:hint="eastAsia"/>
        </w:rPr>
      </w:pPr>
      <w:r>
        <w:rPr>
          <w:rFonts w:hint="eastAsia"/>
        </w:rPr>
        <w:t>签订地点：广东省东莞市</w:t>
      </w:r>
    </w:p>
    <w:p w14:paraId="7787EC93">
      <w:pPr>
        <w:pStyle w:val="2"/>
        <w:rPr>
          <w:rFonts w:hint="eastAsia"/>
        </w:rPr>
      </w:pPr>
    </w:p>
    <w:p w14:paraId="3E881DB6">
      <w:pPr>
        <w:jc w:val="left"/>
        <w:rPr>
          <w:rFonts w:hint="eastAsia"/>
          <w:b/>
          <w:bCs/>
          <w:sz w:val="28"/>
          <w:szCs w:val="28"/>
          <w:lang w:val="en-US" w:eastAsia="zh-CN"/>
        </w:rPr>
      </w:pPr>
      <w:r>
        <w:rPr>
          <w:rFonts w:hint="eastAsia"/>
          <w:b/>
          <w:bCs/>
          <w:sz w:val="28"/>
          <w:szCs w:val="28"/>
          <w:lang w:val="en-US" w:eastAsia="zh-CN"/>
        </w:rPr>
        <w:br w:type="page"/>
      </w:r>
    </w:p>
    <w:p w14:paraId="78B8EA99">
      <w:pPr>
        <w:jc w:val="left"/>
        <w:rPr>
          <w:rFonts w:hint="eastAsia"/>
          <w:b/>
          <w:bCs/>
          <w:sz w:val="28"/>
          <w:szCs w:val="28"/>
          <w:lang w:val="en-US" w:eastAsia="zh-CN"/>
        </w:rPr>
      </w:pPr>
      <w:r>
        <w:rPr>
          <w:rFonts w:hint="eastAsia"/>
          <w:b/>
          <w:bCs/>
          <w:sz w:val="28"/>
          <w:szCs w:val="28"/>
          <w:lang w:val="en-US" w:eastAsia="zh-CN"/>
        </w:rPr>
        <w:t>附件一</w:t>
      </w:r>
    </w:p>
    <w:p w14:paraId="0EEE153A">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356735C3">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7F92E56F">
      <w:pPr>
        <w:spacing w:line="360" w:lineRule="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bookmarkStart w:id="58" w:name="OLE_LINK21"/>
      <w:r>
        <w:rPr>
          <w:rFonts w:hint="eastAsia" w:ascii="仿宋_GB2312" w:hAnsi="仿宋" w:eastAsia="仿宋_GB2312" w:cs="仿宋"/>
          <w:color w:val="000000" w:themeColor="text1"/>
          <w:sz w:val="28"/>
          <w:szCs w:val="28"/>
          <w:u w:val="single"/>
          <w14:textFill>
            <w14:solidFill>
              <w14:schemeClr w14:val="tx1"/>
            </w14:solidFill>
          </w14:textFill>
        </w:rPr>
        <w:t>东莞市</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石鼓</w:t>
      </w:r>
      <w:r>
        <w:rPr>
          <w:rFonts w:hint="eastAsia" w:ascii="仿宋_GB2312" w:hAnsi="仿宋" w:eastAsia="仿宋_GB2312" w:cs="仿宋"/>
          <w:color w:val="000000" w:themeColor="text1"/>
          <w:sz w:val="28"/>
          <w:szCs w:val="28"/>
          <w:u w:val="single"/>
          <w14:textFill>
            <w14:solidFill>
              <w14:schemeClr w14:val="tx1"/>
            </w14:solidFill>
          </w14:textFill>
        </w:rPr>
        <w:t>净水有限公司</w:t>
      </w:r>
      <w:bookmarkEnd w:id="58"/>
    </w:p>
    <w:p w14:paraId="1282DE67">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r>
        <w:rPr>
          <w:rFonts w:hint="eastAsia" w:ascii="仿宋_GB2312" w:hAnsi="仿宋" w:eastAsia="仿宋_GB2312" w:cs="仿宋"/>
          <w:color w:val="000000" w:themeColor="text1"/>
          <w:sz w:val="28"/>
          <w:szCs w:val="28"/>
          <w:u w:val="single"/>
          <w14:textFill>
            <w14:solidFill>
              <w14:schemeClr w14:val="tx1"/>
            </w14:solidFill>
          </w14:textFill>
        </w:rPr>
        <w:t>广东省东莞市南城街道滨河路100号二期1号楼101室</w:t>
      </w:r>
    </w:p>
    <w:p w14:paraId="4BA3F94F">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D3628EE">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46549F7F">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49015219">
      <w:pPr>
        <w:spacing w:line="360" w:lineRule="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00BDE0FB">
      <w:pPr>
        <w:spacing w:line="360" w:lineRule="auto"/>
        <w:rPr>
          <w:rFonts w:ascii="仿宋_GB2312" w:hAnsi="仿宋" w:eastAsia="仿宋_GB2312" w:cs="仿宋"/>
          <w:color w:val="000000" w:themeColor="text1"/>
          <w:sz w:val="28"/>
          <w:szCs w:val="28"/>
          <w14:textFill>
            <w14:solidFill>
              <w14:schemeClr w14:val="tx1"/>
            </w14:solidFill>
          </w14:textFill>
        </w:rPr>
      </w:pPr>
    </w:p>
    <w:p w14:paraId="125A55DE">
      <w:pPr>
        <w:pStyle w:val="9"/>
        <w:spacing w:line="276" w:lineRule="auto"/>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_GB2312" w:hAnsi="仿宋_GB2312" w:eastAsia="仿宋_GB2312" w:cs="仿宋_GB2312"/>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7C350B9F">
      <w:pPr>
        <w:autoSpaceDE/>
        <w:autoSpaceDN/>
        <w:adjustRightInd/>
        <w:spacing w:line="500" w:lineRule="exact"/>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东莞市石鼓净水有限公司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2025年第</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季度办公设备采购项目 </w:t>
      </w:r>
    </w:p>
    <w:p w14:paraId="74021C17">
      <w:pPr>
        <w:autoSpaceDE/>
        <w:autoSpaceDN/>
        <w:adjustRightInd/>
        <w:spacing w:line="500" w:lineRule="exact"/>
        <w:ind w:firstLine="560" w:firstLineChars="200"/>
        <w:jc w:val="both"/>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项目地点：</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东莞市</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石鼓</w:t>
      </w:r>
      <w:r>
        <w:rPr>
          <w:rFonts w:hint="eastAsia" w:ascii="仿宋_GB2312" w:hAnsi="仿宋_GB2312" w:eastAsia="仿宋_GB2312" w:cs="仿宋_GB2312"/>
          <w:color w:val="000000" w:themeColor="text1"/>
          <w:sz w:val="28"/>
          <w:szCs w:val="28"/>
          <w:u w:val="single"/>
          <w14:textFill>
            <w14:solidFill>
              <w14:schemeClr w14:val="tx1"/>
            </w14:solidFill>
          </w14:textFill>
        </w:rPr>
        <w:t>净水有限公司</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20FFB150">
      <w:pPr>
        <w:autoSpaceDE/>
        <w:autoSpaceDN/>
        <w:adjustRightInd/>
        <w:spacing w:line="500" w:lineRule="exact"/>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项目时间：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日至</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14:paraId="4C5A9A80">
      <w:pPr>
        <w:autoSpaceDE/>
        <w:autoSpaceDN/>
        <w:adjustRightInd/>
        <w:spacing w:line="276" w:lineRule="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一、污水处理厂风险辨识</w:t>
      </w:r>
    </w:p>
    <w:p w14:paraId="7A5DD242">
      <w:pPr>
        <w:spacing w:before="181" w:line="276" w:lineRule="auto"/>
        <w:ind w:left="100" w:right="99" w:firstLine="600" w:firstLineChars="200"/>
        <w:jc w:val="both"/>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69700F6C">
      <w:pPr>
        <w:spacing w:before="181" w:line="276" w:lineRule="auto"/>
        <w:ind w:left="100" w:right="99" w:firstLine="600" w:firstLineChars="200"/>
        <w:jc w:val="both"/>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6EE2B951">
      <w:pPr>
        <w:spacing w:before="44" w:line="276" w:lineRule="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二、危害因素分析</w:t>
      </w:r>
    </w:p>
    <w:p w14:paraId="28E80F33">
      <w:pPr>
        <w:autoSpaceDE/>
        <w:autoSpaceDN/>
        <w:adjustRightInd/>
        <w:spacing w:line="276" w:lineRule="auto"/>
        <w:ind w:firstLine="600" w:firstLineChars="200"/>
        <w:jc w:val="both"/>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p>
    <w:p w14:paraId="773BFE50">
      <w:pPr>
        <w:numPr>
          <w:ilvl w:val="255"/>
          <w:numId w:val="0"/>
        </w:numPr>
        <w:autoSpaceDE/>
        <w:autoSpaceDN/>
        <w:adjustRightInd/>
        <w:spacing w:line="500" w:lineRule="exact"/>
        <w:jc w:val="both"/>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三、协议实施条款</w:t>
      </w:r>
    </w:p>
    <w:p w14:paraId="3790B4C0">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以下简称“相关方”</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 xml:space="preserve">。主要包括： </w:t>
      </w:r>
    </w:p>
    <w:p w14:paraId="6929F389">
      <w:pPr>
        <w:numPr>
          <w:ilvl w:val="-1"/>
          <w:numId w:val="0"/>
        </w:numPr>
        <w:spacing w:line="276" w:lineRule="auto"/>
        <w:ind w:left="0"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（1）依照与公司订立的有关合同，在公司内从事基建、设</w:t>
      </w:r>
    </w:p>
    <w:p w14:paraId="13DCC4A3">
      <w:pPr>
        <w:numPr>
          <w:ilvl w:val="-1"/>
          <w:numId w:val="0"/>
        </w:numPr>
        <w:spacing w:line="276" w:lineRule="auto"/>
        <w:ind w:left="0"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5780279B">
      <w:pPr>
        <w:numPr>
          <w:ilvl w:val="0"/>
          <w:numId w:val="4"/>
        </w:numPr>
        <w:autoSpaceDE/>
        <w:autoSpaceDN/>
        <w:adjustRightInd/>
        <w:spacing w:line="276" w:lineRule="auto"/>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36029F6E">
      <w:pPr>
        <w:numPr>
          <w:ilvl w:val="0"/>
          <w:numId w:val="4"/>
        </w:numPr>
        <w:autoSpaceDE/>
        <w:autoSpaceDN/>
        <w:adjustRightInd/>
        <w:spacing w:line="276" w:lineRule="auto"/>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12B23C8D">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18555367">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7A03C99C">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53467A0F">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乙方需完善并加强对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相关方的的日常考勤管理，严格遵守厂区对进出人员的管理要求。</w:t>
      </w:r>
    </w:p>
    <w:p w14:paraId="3386C4FD">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在</w:t>
      </w:r>
      <w:r>
        <w:rPr>
          <w:rFonts w:hint="eastAsia" w:ascii="仿宋_GB2312" w:hAnsi="仿宋_GB2312" w:eastAsia="仿宋_GB2312" w:cs="仿宋_GB2312"/>
          <w:color w:val="000000" w:themeColor="text1"/>
          <w:sz w:val="30"/>
          <w:szCs w:val="30"/>
          <w14:textFill>
            <w14:solidFill>
              <w14:schemeClr w14:val="tx1"/>
            </w14:solidFill>
          </w14:textFill>
        </w:rPr>
        <w:t>作业场所配备</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专职或兼职</w:t>
      </w:r>
      <w:r>
        <w:rPr>
          <w:rFonts w:hint="eastAsia" w:ascii="仿宋_GB2312" w:hAnsi="仿宋_GB2312" w:eastAsia="仿宋_GB2312" w:cs="仿宋_GB2312"/>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进行维修作业</w:t>
      </w:r>
      <w:r>
        <w:rPr>
          <w:rFonts w:hint="eastAsia" w:ascii="仿宋_GB2312" w:hAnsi="仿宋_GB2312" w:eastAsia="仿宋_GB2312" w:cs="仿宋_GB2312"/>
          <w:color w:val="000000" w:themeColor="text1"/>
          <w:sz w:val="30"/>
          <w:szCs w:val="30"/>
          <w14:textFill>
            <w14:solidFill>
              <w14:schemeClr w14:val="tx1"/>
            </w14:solidFill>
          </w14:textFill>
        </w:rPr>
        <w:t>等其他可能存在危险的作业前需由</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乙方的</w:t>
      </w:r>
      <w:r>
        <w:rPr>
          <w:rFonts w:hint="eastAsia" w:ascii="仿宋_GB2312" w:hAnsi="仿宋_GB2312" w:eastAsia="仿宋_GB2312" w:cs="仿宋_GB2312"/>
          <w:color w:val="000000" w:themeColor="text1"/>
          <w:sz w:val="30"/>
          <w:szCs w:val="30"/>
          <w14:textFill>
            <w14:solidFill>
              <w14:schemeClr w14:val="tx1"/>
            </w14:solidFill>
          </w14:textFill>
        </w:rPr>
        <w:t>带班</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人员</w:t>
      </w:r>
      <w:r>
        <w:rPr>
          <w:rFonts w:hint="eastAsia" w:ascii="仿宋_GB2312" w:hAnsi="仿宋_GB2312" w:eastAsia="仿宋_GB2312" w:cs="仿宋_GB2312"/>
          <w:color w:val="000000" w:themeColor="text1"/>
          <w:sz w:val="30"/>
          <w:szCs w:val="30"/>
          <w14:textFill>
            <w14:solidFill>
              <w14:schemeClr w14:val="tx1"/>
            </w14:solidFill>
          </w14:textFill>
        </w:rPr>
        <w:t>对作业人员进行安全交底。</w:t>
      </w:r>
    </w:p>
    <w:p w14:paraId="09E0D308">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29F223C4">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乙方应制定与作业范围相适应的应急处置预案，并定期组织演练或者参加甲方组织的演练。</w:t>
      </w:r>
    </w:p>
    <w:p w14:paraId="441AD0F8">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3A9966AB">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1DA2D001">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56BC0CD2">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6502347C">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E6F4F42">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92B38AF">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8582412">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单方</w:t>
      </w:r>
      <w:r>
        <w:rPr>
          <w:rFonts w:hint="eastAsia" w:ascii="仿宋_GB2312" w:hAnsi="仿宋_GB2312" w:eastAsia="仿宋_GB2312" w:cs="仿宋_GB2312"/>
          <w:color w:val="000000" w:themeColor="text1"/>
          <w:sz w:val="30"/>
          <w:szCs w:val="30"/>
          <w14:textFill>
            <w14:solidFill>
              <w14:schemeClr w14:val="tx1"/>
            </w14:solidFill>
          </w14:textFill>
        </w:rPr>
        <w:t>解除合同，并要求乙方清退出场。</w:t>
      </w:r>
    </w:p>
    <w:p w14:paraId="029D9B12">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08549911">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作业人员在甲方区域内</w:t>
      </w:r>
      <w:r>
        <w:rPr>
          <w:rFonts w:hint="eastAsia" w:ascii="仿宋_GB2312" w:hAnsi="仿宋_GB2312" w:eastAsia="仿宋_GB2312" w:cs="仿宋_GB2312"/>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并要求乙方承担违约责任</w:t>
      </w:r>
      <w:r>
        <w:rPr>
          <w:rFonts w:hint="eastAsia" w:ascii="仿宋_GB2312" w:hAnsi="仿宋_GB2312" w:eastAsia="仿宋_GB2312" w:cs="仿宋_GB2312"/>
          <w:color w:val="000000" w:themeColor="text1"/>
          <w:sz w:val="30"/>
          <w:szCs w:val="30"/>
          <w14:textFill>
            <w14:solidFill>
              <w14:schemeClr w14:val="tx1"/>
            </w14:solidFill>
          </w14:textFill>
        </w:rPr>
        <w:t>。</w:t>
      </w:r>
    </w:p>
    <w:p w14:paraId="07993D5E">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0FB3427C">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3D89393E">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5A73F5CD">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非因甲方原因，造成乙方损失的，甲方不承担任何责任，由乙方自行承担全部责任。</w:t>
      </w:r>
    </w:p>
    <w:p w14:paraId="1367DC19">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5AA7760F">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①禁火区内严禁吸烟、动火。有火灾危险的作业区域，乙方必须配置足够的灭火设施。</w:t>
      </w:r>
    </w:p>
    <w:p w14:paraId="14487383">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②焊接、气割作业时两瓶距离必须达到5M及以上，气瓶距可能产生火花的电器、设备和其它火源的间距必须达到10M及以上。</w:t>
      </w:r>
    </w:p>
    <w:p w14:paraId="6506BD73">
      <w:pPr>
        <w:spacing w:line="276" w:lineRule="auto"/>
        <w:ind w:left="600" w:leftChars="250" w:firstLine="0" w:firstLineChars="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③严禁</w:t>
      </w:r>
      <w:r>
        <w:rPr>
          <w:rFonts w:hint="eastAsia" w:ascii="仿宋_GB2312" w:hAnsi="仿宋_GB2312" w:eastAsia="仿宋_GB2312" w:cs="仿宋_GB2312"/>
          <w:color w:val="000000" w:themeColor="text1"/>
          <w:sz w:val="30"/>
          <w:szCs w:val="30"/>
          <w:lang w:val="en-US"/>
          <w14:textFill>
            <w14:solidFill>
              <w14:schemeClr w14:val="tx1"/>
            </w14:solidFill>
          </w14:textFill>
        </w:rPr>
        <w:t>在厂内道路、消防通道内搭建临时建筑或堆放物资</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p>
    <w:p w14:paraId="699074C9">
      <w:pPr>
        <w:spacing w:line="276" w:lineRule="auto"/>
        <w:ind w:left="0" w:leftChars="0" w:firstLine="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严禁</w:t>
      </w:r>
      <w:r>
        <w:rPr>
          <w:rFonts w:hint="eastAsia" w:ascii="仿宋_GB2312" w:hAnsi="仿宋_GB2312" w:eastAsia="仿宋_GB2312" w:cs="仿宋_GB2312"/>
          <w:color w:val="000000" w:themeColor="text1"/>
          <w:sz w:val="30"/>
          <w:szCs w:val="30"/>
          <w14:textFill>
            <w14:solidFill>
              <w14:schemeClr w14:val="tx1"/>
            </w14:solidFill>
          </w14:textFill>
        </w:rPr>
        <w:t>占用、堵塞、遮掩、挪用、损毁、破坏</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_GB2312" w:hAnsi="仿宋_GB2312" w:eastAsia="仿宋_GB2312" w:cs="仿宋_GB2312"/>
          <w:color w:val="000000" w:themeColor="text1"/>
          <w:sz w:val="30"/>
          <w:szCs w:val="30"/>
          <w14:textFill>
            <w14:solidFill>
              <w14:schemeClr w14:val="tx1"/>
            </w14:solidFill>
          </w14:textFill>
        </w:rPr>
        <w:t>。</w:t>
      </w:r>
    </w:p>
    <w:p w14:paraId="51C8F39A">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④作业场所的电动工具、电焊机等须有漏电保护器和相应的安全防护装置。</w:t>
      </w:r>
    </w:p>
    <w:p w14:paraId="2D94E65E">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0A6C9843">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⑥防雷、防静电设施及用电设施要有良好接地。</w:t>
      </w:r>
    </w:p>
    <w:p w14:paraId="37EAC78A">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⑦作业现场的危险区域，如临边、深坑、土方堆填区等，必须设置围栏和危险标志，夜间要设信号灯。</w:t>
      </w:r>
    </w:p>
    <w:p w14:paraId="3BC0FEE6">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4455803">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644EC136">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FDB3F5A">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FC1BDBE">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第三条，</w:t>
      </w:r>
      <w:r>
        <w:rPr>
          <w:rFonts w:hint="eastAsia" w:ascii="仿宋_GB2312" w:hAnsi="仿宋_GB2312" w:eastAsia="仿宋_GB2312" w:cs="仿宋_GB2312"/>
          <w:color w:val="000000" w:themeColor="text1"/>
          <w:sz w:val="30"/>
          <w:szCs w:val="30"/>
          <w14:textFill>
            <w14:solidFill>
              <w14:schemeClr w14:val="tx1"/>
            </w14:solidFill>
          </w14:textFill>
        </w:rPr>
        <w:t>协议实施条款</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2A3857CB">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甲方有权要求</w:t>
      </w:r>
      <w:r>
        <w:rPr>
          <w:rFonts w:hint="eastAsia" w:ascii="仿宋_GB2312" w:hAnsi="仿宋_GB2312" w:eastAsia="仿宋_GB2312" w:cs="仿宋_GB2312"/>
          <w:color w:val="000000" w:themeColor="text1"/>
          <w:sz w:val="30"/>
          <w:szCs w:val="30"/>
          <w14:textFill>
            <w14:solidFill>
              <w14:schemeClr w14:val="tx1"/>
            </w14:solidFill>
          </w14:textFill>
        </w:rPr>
        <w:t>乙方向甲方支付</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本合同总金额的10%</w:t>
      </w:r>
      <w:r>
        <w:rPr>
          <w:rFonts w:hint="eastAsia" w:ascii="仿宋_GB2312" w:hAnsi="仿宋_GB2312" w:eastAsia="仿宋_GB2312" w:cs="仿宋_GB2312"/>
          <w:color w:val="000000" w:themeColor="text1"/>
          <w:sz w:val="30"/>
          <w:szCs w:val="30"/>
          <w14:textFill>
            <w14:solidFill>
              <w14:schemeClr w14:val="tx1"/>
            </w14:solidFill>
          </w14:textFill>
        </w:rPr>
        <w:t>作为违约金，同时甲方有权要求乙方承担第2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14:textFill>
            <w14:solidFill>
              <w14:schemeClr w14:val="tx1"/>
            </w14:solidFill>
          </w14:textFill>
        </w:rPr>
        <w:t>条的违约金。造成甲方损失的，乙方需另行赔偿：</w:t>
      </w:r>
    </w:p>
    <w:p w14:paraId="6BE94E46">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77EC0849">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5E5D7C2F">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③乙方未对所属员工定期开展安全教育培训的；</w:t>
      </w:r>
    </w:p>
    <w:p w14:paraId="49679909">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④在开展涉及危险性较高的作业时，乙方未在作业前报甲方的；</w:t>
      </w:r>
    </w:p>
    <w:p w14:paraId="7BB3E2A0">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⑤乙方违章作业或违章指挥作业的；</w:t>
      </w:r>
    </w:p>
    <w:p w14:paraId="0131F165">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⑥乙方现场安全管理不到位或不服从甲方安全管理的；</w:t>
      </w:r>
    </w:p>
    <w:p w14:paraId="7C0E2E93">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⑦发生事故后，乙方未及时开展应急救援工作的；</w:t>
      </w:r>
    </w:p>
    <w:p w14:paraId="76A9DE3A">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⑨未制定与作业范围相适应的应急处置预案；</w:t>
      </w:r>
    </w:p>
    <w:p w14:paraId="551D006A">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⑩乙方不履行协议义务或者未按协议约定履行义务的其他情况。</w:t>
      </w:r>
    </w:p>
    <w:p w14:paraId="13E45DB5">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乙方需</w:t>
      </w:r>
      <w:r>
        <w:rPr>
          <w:rFonts w:hint="eastAsia" w:ascii="仿宋_GB2312" w:hAnsi="仿宋_GB2312" w:eastAsia="仿宋_GB2312" w:cs="仿宋_GB2312"/>
          <w:color w:val="000000" w:themeColor="text1"/>
          <w:sz w:val="30"/>
          <w:szCs w:val="30"/>
          <w14:textFill>
            <w14:solidFill>
              <w14:schemeClr w14:val="tx1"/>
            </w14:solidFill>
          </w14:textFill>
        </w:rPr>
        <w:t>做好</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临水</w:t>
      </w:r>
      <w:r>
        <w:rPr>
          <w:rFonts w:hint="eastAsia" w:ascii="仿宋_GB2312" w:hAnsi="仿宋_GB2312" w:eastAsia="仿宋_GB2312" w:cs="仿宋_GB2312"/>
          <w:color w:val="000000" w:themeColor="text1"/>
          <w:sz w:val="30"/>
          <w:szCs w:val="30"/>
          <w14:textFill>
            <w14:solidFill>
              <w14:schemeClr w14:val="tx1"/>
            </w14:solidFill>
          </w14:textFill>
        </w:rPr>
        <w:t>作业安全保障工作，</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临水</w:t>
      </w:r>
      <w:r>
        <w:rPr>
          <w:rFonts w:hint="eastAsia" w:ascii="仿宋_GB2312" w:hAnsi="仿宋_GB2312" w:eastAsia="仿宋_GB2312" w:cs="仿宋_GB2312"/>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451D411C">
      <w:pPr>
        <w:numPr>
          <w:ilvl w:val="0"/>
          <w:numId w:val="5"/>
        </w:num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乙方在实施</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临水</w:t>
      </w:r>
      <w:r>
        <w:rPr>
          <w:rFonts w:hint="eastAsia" w:ascii="仿宋_GB2312" w:hAnsi="仿宋_GB2312" w:eastAsia="仿宋_GB2312" w:cs="仿宋_GB2312"/>
          <w:color w:val="000000" w:themeColor="text1"/>
          <w:sz w:val="30"/>
          <w:szCs w:val="30"/>
          <w14:textFill>
            <w14:solidFill>
              <w14:schemeClr w14:val="tx1"/>
            </w14:solidFill>
          </w14:textFill>
        </w:rPr>
        <w:t>作业时，需设一名或以上监护人员</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作业</w:t>
      </w:r>
      <w:r>
        <w:rPr>
          <w:rFonts w:hint="eastAsia" w:ascii="仿宋_GB2312" w:hAnsi="仿宋_GB2312" w:eastAsia="仿宋_GB2312" w:cs="仿宋_GB2312"/>
          <w:color w:val="000000" w:themeColor="text1"/>
          <w:sz w:val="30"/>
          <w:szCs w:val="30"/>
          <w14:textFill>
            <w14:solidFill>
              <w14:schemeClr w14:val="tx1"/>
            </w14:solidFill>
          </w14:textFill>
        </w:rPr>
        <w:t>存在</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多种</w:t>
      </w:r>
      <w:r>
        <w:rPr>
          <w:rFonts w:hint="eastAsia" w:ascii="仿宋_GB2312" w:hAnsi="仿宋_GB2312" w:eastAsia="仿宋_GB2312" w:cs="仿宋_GB2312"/>
          <w:color w:val="000000" w:themeColor="text1"/>
          <w:sz w:val="30"/>
          <w:szCs w:val="30"/>
          <w14:textFill>
            <w14:solidFill>
              <w14:schemeClr w14:val="tx1"/>
            </w14:solidFill>
          </w14:textFill>
        </w:rPr>
        <w:t>危险作业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情况下，</w:t>
      </w:r>
      <w:r>
        <w:rPr>
          <w:rFonts w:hint="eastAsia" w:ascii="仿宋_GB2312" w:hAnsi="仿宋_GB2312" w:eastAsia="仿宋_GB2312" w:cs="仿宋_GB2312"/>
          <w:color w:val="000000" w:themeColor="text1"/>
          <w:sz w:val="30"/>
          <w:szCs w:val="30"/>
          <w14:textFill>
            <w14:solidFill>
              <w14:schemeClr w14:val="tx1"/>
            </w14:solidFill>
          </w14:textFill>
        </w:rPr>
        <w:t>需严格落实2人或2人以上为一组协同作业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或交替作业</w:t>
      </w:r>
      <w:r>
        <w:rPr>
          <w:rFonts w:hint="eastAsia" w:ascii="仿宋_GB2312" w:hAnsi="仿宋_GB2312" w:eastAsia="仿宋_GB2312" w:cs="仿宋_GB2312"/>
          <w:color w:val="000000" w:themeColor="text1"/>
          <w:sz w:val="30"/>
          <w:szCs w:val="30"/>
          <w14:textFill>
            <w14:solidFill>
              <w14:schemeClr w14:val="tx1"/>
            </w14:solidFill>
          </w14:textFill>
        </w:rPr>
        <w:t>，不能单独作业。</w:t>
      </w:r>
    </w:p>
    <w:p w14:paraId="3DCA2E5A">
      <w:pPr>
        <w:numPr>
          <w:ilvl w:val="0"/>
          <w:numId w:val="5"/>
        </w:num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危险作业前，必须检查作业工具是否完好，做好交底工作。</w:t>
      </w:r>
    </w:p>
    <w:p w14:paraId="439D9113">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3596F984">
      <w:pPr>
        <w:spacing w:line="276"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）如遇阴雨及大雾、雷暴雨、台风等恶劣天气，禁止危险作业。</w:t>
      </w:r>
    </w:p>
    <w:p w14:paraId="01CE7D1F">
      <w:pPr>
        <w:numPr>
          <w:ilvl w:val="0"/>
          <w:numId w:val="3"/>
        </w:numPr>
        <w:spacing w:line="276" w:lineRule="auto"/>
        <w:ind w:firstLine="40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乙方对作业过程中潜在的安全风险不明确的，不可盲目作业，否则，造成的后果由乙方独自承担。</w:t>
      </w:r>
    </w:p>
    <w:p w14:paraId="478034F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本协议一式</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叁</w:t>
      </w:r>
      <w:r>
        <w:rPr>
          <w:rFonts w:hint="eastAsia" w:ascii="仿宋_GB2312" w:hAnsi="仿宋_GB2312" w:eastAsia="仿宋_GB2312" w:cs="仿宋_GB2312"/>
          <w:color w:val="000000" w:themeColor="text1"/>
          <w:sz w:val="30"/>
          <w:szCs w:val="30"/>
          <w14:textFill>
            <w14:solidFill>
              <w14:schemeClr w14:val="tx1"/>
            </w14:solidFill>
          </w14:textFill>
        </w:rPr>
        <w:t>份，甲</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方</w:t>
      </w:r>
      <w:r>
        <w:rPr>
          <w:rFonts w:hint="eastAsia" w:ascii="仿宋_GB2312" w:hAnsi="仿宋_GB2312" w:eastAsia="仿宋_GB2312" w:cs="仿宋_GB2312"/>
          <w:color w:val="000000" w:themeColor="text1"/>
          <w:sz w:val="30"/>
          <w:szCs w:val="30"/>
          <w14:textFill>
            <w14:solidFill>
              <w14:schemeClr w14:val="tx1"/>
            </w14:solidFill>
          </w14:textFill>
        </w:rPr>
        <w:t>执</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贰</w:t>
      </w:r>
      <w:r>
        <w:rPr>
          <w:rFonts w:hint="eastAsia" w:ascii="仿宋_GB2312" w:hAnsi="仿宋_GB2312" w:eastAsia="仿宋_GB2312" w:cs="仿宋_GB2312"/>
          <w:color w:val="000000" w:themeColor="text1"/>
          <w:sz w:val="30"/>
          <w:szCs w:val="30"/>
          <w14:textFill>
            <w14:solidFill>
              <w14:schemeClr w14:val="tx1"/>
            </w14:solidFill>
          </w14:textFill>
        </w:rPr>
        <w:t>份</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乙方</w:t>
      </w:r>
      <w:r>
        <w:rPr>
          <w:rFonts w:hint="eastAsia" w:ascii="仿宋_GB2312" w:hAnsi="仿宋_GB2312" w:eastAsia="仿宋_GB2312" w:cs="仿宋_GB2312"/>
          <w:color w:val="000000" w:themeColor="text1"/>
          <w:sz w:val="30"/>
          <w:szCs w:val="30"/>
          <w14:textFill>
            <w14:solidFill>
              <w14:schemeClr w14:val="tx1"/>
            </w14:solidFill>
          </w14:textFill>
        </w:rPr>
        <w:t>执</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壹</w:t>
      </w:r>
      <w:r>
        <w:rPr>
          <w:rFonts w:hint="eastAsia" w:ascii="仿宋_GB2312" w:hAnsi="仿宋_GB2312" w:eastAsia="仿宋_GB2312" w:cs="仿宋_GB2312"/>
          <w:color w:val="000000" w:themeColor="text1"/>
          <w:sz w:val="30"/>
          <w:szCs w:val="30"/>
          <w14:textFill>
            <w14:solidFill>
              <w14:schemeClr w14:val="tx1"/>
            </w14:solidFill>
          </w14:textFill>
        </w:rPr>
        <w:t>份，自双方盖章并由甲方法定代表人或负责人或授权代表及乙方法定代表人签字后生效。</w:t>
      </w:r>
    </w:p>
    <w:p w14:paraId="036DD4A9">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00953EF1">
      <w:pPr>
        <w:spacing w:line="276" w:lineRule="auto"/>
        <w:ind w:firstLine="568" w:firstLineChars="202"/>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乙方声明：</w:t>
      </w:r>
    </w:p>
    <w:p w14:paraId="0D86DA48">
      <w:pPr>
        <w:spacing w:line="276" w:lineRule="auto"/>
        <w:ind w:firstLine="568" w:firstLineChars="202"/>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38413CD8">
      <w:pPr>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以下无正文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540749F0">
      <w:pPr>
        <w:pStyle w:val="2"/>
        <w:rPr>
          <w:rFonts w:hint="eastAsia"/>
          <w:lang w:eastAsia="zh-CN"/>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982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21CBE7FC">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甲方（盖章）：东莞市石鼓净水有限公司</w:t>
            </w:r>
          </w:p>
        </w:tc>
        <w:tc>
          <w:tcPr>
            <w:tcW w:w="5102" w:type="dxa"/>
            <w:tcBorders>
              <w:tl2br w:val="nil"/>
              <w:tr2bl w:val="nil"/>
            </w:tcBorders>
            <w:tcMar>
              <w:top w:w="0" w:type="dxa"/>
              <w:left w:w="57" w:type="dxa"/>
              <w:bottom w:w="0" w:type="dxa"/>
              <w:right w:w="57" w:type="dxa"/>
            </w:tcMar>
          </w:tcPr>
          <w:p w14:paraId="38D645BC">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乙方（盖章）： </w:t>
            </w:r>
          </w:p>
        </w:tc>
      </w:tr>
      <w:tr w14:paraId="1DCB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26B926D1">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法定代表人或负责人或授权代表：</w:t>
            </w:r>
          </w:p>
        </w:tc>
        <w:tc>
          <w:tcPr>
            <w:tcW w:w="5102" w:type="dxa"/>
            <w:tcBorders>
              <w:tl2br w:val="nil"/>
              <w:tr2bl w:val="nil"/>
            </w:tcBorders>
            <w:tcMar>
              <w:top w:w="0" w:type="dxa"/>
              <w:left w:w="57" w:type="dxa"/>
              <w:bottom w:w="0" w:type="dxa"/>
              <w:right w:w="57" w:type="dxa"/>
            </w:tcMar>
          </w:tcPr>
          <w:p w14:paraId="5B58809E">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p>
        </w:tc>
      </w:tr>
      <w:tr w14:paraId="55B6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5092980">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5102" w:type="dxa"/>
            <w:tcBorders>
              <w:tl2br w:val="nil"/>
              <w:tr2bl w:val="nil"/>
            </w:tcBorders>
            <w:tcMar>
              <w:top w:w="0" w:type="dxa"/>
              <w:left w:w="57" w:type="dxa"/>
              <w:bottom w:w="0" w:type="dxa"/>
              <w:right w:w="57" w:type="dxa"/>
            </w:tcMar>
          </w:tcPr>
          <w:p w14:paraId="17550282">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r>
      <w:tr w14:paraId="4F8B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E24D611">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5102" w:type="dxa"/>
            <w:tcBorders>
              <w:tl2br w:val="nil"/>
              <w:tr2bl w:val="nil"/>
            </w:tcBorders>
            <w:tcMar>
              <w:top w:w="0" w:type="dxa"/>
              <w:left w:w="57" w:type="dxa"/>
              <w:bottom w:w="0" w:type="dxa"/>
              <w:right w:w="57" w:type="dxa"/>
            </w:tcMar>
          </w:tcPr>
          <w:p w14:paraId="58841188">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r>
    </w:tbl>
    <w:p w14:paraId="7AD2D1EA">
      <w:pPr>
        <w:spacing w:line="36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49149294">
      <w:pPr>
        <w:pStyle w:val="2"/>
        <w:rPr>
          <w:rFonts w:hint="eastAsia" w:ascii="仿宋_GB2312" w:hAnsi="仿宋_GB2312" w:eastAsia="仿宋_GB2312" w:cs="仿宋_GB2312"/>
          <w:lang w:val="en-US" w:eastAsia="zh-CN"/>
        </w:rPr>
      </w:pPr>
    </w:p>
    <w:p w14:paraId="340503BC">
      <w:pPr>
        <w:spacing w:line="360" w:lineRule="exac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签订</w:t>
      </w:r>
      <w:r>
        <w:rPr>
          <w:rFonts w:hint="eastAsia" w:ascii="仿宋_GB2312" w:hAnsi="仿宋_GB2312" w:eastAsia="仿宋_GB2312" w:cs="仿宋_GB2312"/>
          <w:color w:val="000000" w:themeColor="text1"/>
          <w:sz w:val="28"/>
          <w:szCs w:val="28"/>
          <w14:textFill>
            <w14:solidFill>
              <w14:schemeClr w14:val="tx1"/>
            </w14:solidFill>
          </w14:textFill>
        </w:rPr>
        <w:t>日期：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年  月  日</w:t>
      </w:r>
    </w:p>
    <w:p w14:paraId="19EED4F0">
      <w:pPr>
        <w:ind w:firstLine="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签订地点：广东省东莞市</w:t>
      </w:r>
    </w:p>
    <w:p w14:paraId="1A370641">
      <w:pPr>
        <w:rPr>
          <w:rFonts w:hint="eastAsia"/>
          <w:b/>
          <w:bCs/>
          <w:sz w:val="28"/>
          <w:szCs w:val="28"/>
          <w:lang w:val="en-US" w:eastAsia="zh-CN"/>
        </w:rPr>
      </w:pPr>
      <w:r>
        <w:rPr>
          <w:rFonts w:hint="eastAsia"/>
          <w:b/>
          <w:bCs/>
          <w:sz w:val="28"/>
          <w:szCs w:val="28"/>
          <w:lang w:val="en-US" w:eastAsia="zh-CN"/>
        </w:rPr>
        <w:br w:type="page"/>
      </w:r>
    </w:p>
    <w:p w14:paraId="7CE355A3">
      <w:pPr>
        <w:spacing w:line="580" w:lineRule="exact"/>
        <w:jc w:val="left"/>
        <w:rPr>
          <w:rFonts w:hint="eastAsia"/>
          <w:sz w:val="32"/>
          <w:szCs w:val="32"/>
          <w:lang w:val="en-US" w:eastAsia="zh-CN"/>
        </w:rPr>
      </w:pPr>
      <w:r>
        <w:rPr>
          <w:rFonts w:hint="eastAsia"/>
          <w:b/>
          <w:bCs/>
          <w:sz w:val="28"/>
          <w:szCs w:val="28"/>
          <w:lang w:val="en-US" w:eastAsia="zh-CN"/>
        </w:rPr>
        <w:t>附件四</w:t>
      </w:r>
      <w:r>
        <w:rPr>
          <w:rFonts w:hint="eastAsia"/>
          <w:sz w:val="32"/>
          <w:szCs w:val="32"/>
          <w:lang w:val="en-US" w:eastAsia="zh-CN"/>
        </w:rPr>
        <w:tab/>
      </w:r>
    </w:p>
    <w:p w14:paraId="721E992D">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68A6B378">
      <w:pPr>
        <w:spacing w:line="560" w:lineRule="exact"/>
        <w:rPr>
          <w:rFonts w:hint="default" w:ascii="Times New Roman" w:hAnsi="Times New Roman" w:eastAsia="仿宋_GB2312" w:cs="Times New Roman"/>
          <w:b/>
          <w:bCs/>
          <w:sz w:val="32"/>
          <w:szCs w:val="32"/>
        </w:rPr>
      </w:pPr>
    </w:p>
    <w:p w14:paraId="1B6D54FE">
      <w:pPr>
        <w:spacing w:line="560" w:lineRule="exact"/>
        <w:ind w:left="1606" w:hanging="1606" w:hangingChars="5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eastAsia="仿宋_GB2312" w:cs="Times New Roman"/>
          <w:b/>
          <w:bCs/>
          <w:sz w:val="32"/>
          <w:szCs w:val="32"/>
          <w:lang w:val="en-US" w:eastAsia="zh-CN"/>
        </w:rPr>
        <w:t>东莞市石鼓净水有限公司</w:t>
      </w:r>
      <w:r>
        <w:rPr>
          <w:rFonts w:hint="eastAsia" w:ascii="Times New Roman" w:hAnsi="Times New Roman" w:eastAsia="仿宋_GB2312" w:cs="Times New Roman"/>
          <w:b/>
          <w:bCs/>
          <w:sz w:val="32"/>
          <w:szCs w:val="32"/>
        </w:rPr>
        <w:t>2025年第</w:t>
      </w:r>
      <w:r>
        <w:rPr>
          <w:rFonts w:hint="eastAsia" w:asci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rPr>
        <w:t>季度办公设备采购项目</w:t>
      </w:r>
      <w:r>
        <w:rPr>
          <w:rFonts w:hint="eastAsia" w:ascii="Times New Roman" w:hAnsi="Times New Roman" w:eastAsia="仿宋_GB2312" w:cs="Times New Roman"/>
          <w:b w:val="0"/>
          <w:bCs w:val="0"/>
          <w:sz w:val="32"/>
          <w:szCs w:val="32"/>
          <w:lang w:val="en-US" w:eastAsia="zh-CN"/>
        </w:rPr>
        <w:t xml:space="preserve">  </w:t>
      </w:r>
    </w:p>
    <w:p w14:paraId="3990F84A">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编号：JS-2025-</w:t>
      </w:r>
      <w:r>
        <w:rPr>
          <w:rFonts w:hint="eastAsia" w:ascii="Times New Roman" w:eastAsia="仿宋_GB2312" w:cs="Times New Roman"/>
          <w:sz w:val="32"/>
          <w:szCs w:val="32"/>
          <w:lang w:val="en-US" w:eastAsia="zh-CN"/>
        </w:rPr>
        <w:t xml:space="preserve">144 </w:t>
      </w:r>
      <w:r>
        <w:rPr>
          <w:rFonts w:hint="default" w:ascii="Times New Roman" w:hAnsi="Times New Roman" w:eastAsia="仿宋_GB2312" w:cs="Times New Roman"/>
          <w:sz w:val="32"/>
          <w:szCs w:val="32"/>
        </w:rPr>
        <w:t>）</w:t>
      </w:r>
    </w:p>
    <w:p w14:paraId="41EC2994">
      <w:pPr>
        <w:pStyle w:val="56"/>
        <w:snapToGrid w:val="0"/>
        <w:spacing w:line="580" w:lineRule="exact"/>
        <w:ind w:left="0" w:leftChars="0" w:firstLine="0" w:firstLineChars="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46496928">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A5A58C9">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1FAFAB3B">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7833D64A">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34CB0848">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2654197F">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66367CA1">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717C657E">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48721875">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62A2C50">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3155A80">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D7B3A89">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6352228C">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5F3688A2">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359DA61B">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2A49FBC6">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106F1E42">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023A350B">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3A2D86CB">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74C33E38">
      <w:pPr>
        <w:pStyle w:val="56"/>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1DA35F17">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27AC220A">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1A7EB517">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4305180E">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6501BCAB">
      <w:pPr>
        <w:pStyle w:val="56"/>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503087E9">
      <w:pPr>
        <w:pStyle w:val="56"/>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185AFEBC">
      <w:pPr>
        <w:pStyle w:val="56"/>
        <w:snapToGrid w:val="0"/>
        <w:spacing w:line="580" w:lineRule="exact"/>
        <w:ind w:firstLine="640" w:firstLineChars="200"/>
        <w:rPr>
          <w:rFonts w:ascii="仿宋_GB2312" w:hAnsi="Times New Roman" w:eastAsia="仿宋_GB2312"/>
          <w:sz w:val="32"/>
          <w:szCs w:val="32"/>
        </w:rPr>
      </w:pPr>
    </w:p>
    <w:p w14:paraId="6D9D4ECC">
      <w:pPr>
        <w:pStyle w:val="56"/>
        <w:snapToGrid w:val="0"/>
        <w:spacing w:line="580" w:lineRule="exact"/>
        <w:ind w:firstLine="640" w:firstLineChars="200"/>
        <w:rPr>
          <w:rFonts w:ascii="仿宋_GB2312" w:hAnsi="Times New Roman" w:eastAsia="仿宋_GB2312"/>
          <w:sz w:val="32"/>
          <w:szCs w:val="32"/>
        </w:rPr>
      </w:pPr>
    </w:p>
    <w:p w14:paraId="0629F2F9">
      <w:pPr>
        <w:pStyle w:val="56"/>
        <w:wordWrap/>
        <w:snapToGrid w:val="0"/>
        <w:spacing w:line="580" w:lineRule="exact"/>
        <w:ind w:firstLine="0" w:firstLineChars="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东莞市石鼓净水有限公司</w:t>
      </w:r>
    </w:p>
    <w:p w14:paraId="5BDC8208">
      <w:pPr>
        <w:pStyle w:val="56"/>
        <w:snapToGrid w:val="0"/>
        <w:spacing w:line="580" w:lineRule="exact"/>
        <w:ind w:left="0" w:leftChars="0" w:firstLine="0" w:firstLineChars="0"/>
        <w:jc w:val="both"/>
        <w:rPr>
          <w:rFonts w:hint="eastAsia" w:ascii="Times New Roman" w:hAnsi="Times New Roman" w:eastAsia="仿宋_GB2312"/>
          <w:sz w:val="32"/>
          <w:szCs w:val="32"/>
        </w:rPr>
      </w:pPr>
    </w:p>
    <w:p w14:paraId="444AEDBD">
      <w:pPr>
        <w:pStyle w:val="56"/>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59" w:name="现场签证通知单"/>
      <w:bookmarkEnd w:id="59"/>
      <w:bookmarkStart w:id="60" w:name="设计变更通知单"/>
      <w:bookmarkEnd w:id="60"/>
    </w:p>
    <w:p w14:paraId="1FD2A0C6">
      <w:pPr>
        <w:pStyle w:val="56"/>
        <w:snapToGrid w:val="0"/>
        <w:spacing w:line="580" w:lineRule="exact"/>
        <w:ind w:firstLine="5932" w:firstLineChars="1854"/>
        <w:jc w:val="right"/>
        <w:rPr>
          <w:rFonts w:hint="eastAsia" w:ascii="仿宋_GB2312" w:hAnsi="Times New Roman" w:eastAsia="仿宋_GB2312"/>
          <w:sz w:val="32"/>
          <w:szCs w:val="32"/>
        </w:rPr>
      </w:pPr>
    </w:p>
    <w:p w14:paraId="12FADCCA">
      <w:pPr>
        <w:pStyle w:val="56"/>
        <w:snapToGrid w:val="0"/>
        <w:spacing w:line="580" w:lineRule="exact"/>
        <w:ind w:firstLine="5932" w:firstLineChars="1854"/>
        <w:jc w:val="right"/>
        <w:rPr>
          <w:rFonts w:hint="eastAsia" w:ascii="仿宋_GB2312" w:hAnsi="Times New Roman" w:eastAsia="仿宋_GB2312"/>
          <w:sz w:val="32"/>
          <w:szCs w:val="32"/>
        </w:rPr>
      </w:pPr>
    </w:p>
    <w:p w14:paraId="04BE61A6">
      <w:pPr>
        <w:pStyle w:val="56"/>
        <w:snapToGrid w:val="0"/>
        <w:spacing w:line="580" w:lineRule="exact"/>
        <w:ind w:firstLine="0"/>
        <w:jc w:val="center"/>
        <w:rPr>
          <w:rFonts w:hint="eastAsia" w:ascii="Times New Roman" w:hAnsi="Times New Roman" w:eastAsia="黑体"/>
          <w:sz w:val="48"/>
          <w:szCs w:val="48"/>
          <w:lang w:val="zh-CN"/>
        </w:rPr>
      </w:pPr>
    </w:p>
    <w:p w14:paraId="7CBF2D63">
      <w:pPr>
        <w:pStyle w:val="56"/>
        <w:snapToGrid w:val="0"/>
        <w:spacing w:line="580" w:lineRule="exact"/>
        <w:ind w:firstLine="0"/>
        <w:jc w:val="center"/>
        <w:rPr>
          <w:rFonts w:hint="eastAsia" w:ascii="Times New Roman" w:hAnsi="Times New Roman" w:eastAsia="黑体"/>
          <w:sz w:val="48"/>
          <w:szCs w:val="48"/>
          <w:lang w:val="zh-CN"/>
        </w:rPr>
      </w:pPr>
    </w:p>
    <w:p w14:paraId="1C530AF9">
      <w:pPr>
        <w:pStyle w:val="56"/>
        <w:snapToGrid w:val="0"/>
        <w:spacing w:line="580" w:lineRule="exact"/>
        <w:ind w:firstLine="0"/>
        <w:jc w:val="center"/>
        <w:rPr>
          <w:rFonts w:hint="eastAsia" w:ascii="Times New Roman" w:hAnsi="Times New Roman" w:eastAsia="黑体"/>
          <w:sz w:val="48"/>
          <w:szCs w:val="48"/>
          <w:lang w:val="zh-CN"/>
        </w:rPr>
      </w:pPr>
    </w:p>
    <w:p w14:paraId="74D73A64">
      <w:pPr>
        <w:pStyle w:val="56"/>
        <w:snapToGrid w:val="0"/>
        <w:spacing w:line="580" w:lineRule="exact"/>
        <w:ind w:firstLine="0"/>
        <w:jc w:val="center"/>
        <w:rPr>
          <w:rFonts w:hint="eastAsia" w:ascii="Times New Roman" w:hAnsi="Times New Roman" w:eastAsia="黑体"/>
          <w:sz w:val="48"/>
          <w:szCs w:val="48"/>
          <w:lang w:val="zh-CN"/>
        </w:rPr>
      </w:pPr>
    </w:p>
    <w:p w14:paraId="183459BD">
      <w:pPr>
        <w:pStyle w:val="56"/>
        <w:snapToGrid w:val="0"/>
        <w:spacing w:line="580" w:lineRule="exact"/>
        <w:ind w:firstLine="0"/>
        <w:jc w:val="center"/>
        <w:rPr>
          <w:rFonts w:hint="eastAsia" w:ascii="Times New Roman" w:hAnsi="Times New Roman" w:eastAsia="黑体"/>
          <w:sz w:val="48"/>
          <w:szCs w:val="48"/>
          <w:lang w:val="zh-CN"/>
        </w:rPr>
      </w:pPr>
    </w:p>
    <w:p w14:paraId="4011F4FD">
      <w:pPr>
        <w:pStyle w:val="56"/>
        <w:snapToGrid w:val="0"/>
        <w:spacing w:line="580" w:lineRule="exact"/>
        <w:ind w:firstLine="0"/>
        <w:jc w:val="center"/>
        <w:rPr>
          <w:rFonts w:hint="eastAsia" w:ascii="Times New Roman" w:hAnsi="Times New Roman" w:eastAsia="黑体"/>
          <w:sz w:val="48"/>
          <w:szCs w:val="48"/>
          <w:lang w:val="zh-CN"/>
        </w:rPr>
      </w:pPr>
    </w:p>
    <w:p w14:paraId="2B9F1BDC">
      <w:pPr>
        <w:pStyle w:val="56"/>
        <w:snapToGrid w:val="0"/>
        <w:spacing w:line="580" w:lineRule="exact"/>
        <w:ind w:firstLine="0"/>
        <w:jc w:val="center"/>
        <w:rPr>
          <w:rFonts w:hint="eastAsia" w:ascii="Times New Roman" w:hAnsi="Times New Roman" w:eastAsia="黑体"/>
          <w:sz w:val="48"/>
          <w:szCs w:val="48"/>
          <w:lang w:val="zh-CN"/>
        </w:rPr>
      </w:pPr>
    </w:p>
    <w:p w14:paraId="74C4333D">
      <w:pPr>
        <w:pStyle w:val="56"/>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19615C65">
      <w:pPr>
        <w:pStyle w:val="56"/>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60F1B2D">
      <w:pPr>
        <w:pStyle w:val="56"/>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编号：JS-2025-</w:t>
      </w:r>
      <w:r>
        <w:rPr>
          <w:rFonts w:hint="eastAsia" w:ascii="楷体_GB2312" w:hAnsi="Times New Roman" w:eastAsia="楷体_GB2312"/>
          <w:sz w:val="28"/>
          <w:szCs w:val="28"/>
          <w:lang w:val="en-US" w:eastAsia="zh-CN"/>
        </w:rPr>
        <w:t>144</w:t>
      </w:r>
      <w:r>
        <w:rPr>
          <w:rFonts w:hint="eastAsia" w:ascii="Times New Roman" w:hAnsi="Times New Roman" w:eastAsia="楷体_GB2312"/>
          <w:sz w:val="28"/>
          <w:szCs w:val="28"/>
          <w:lang w:val="en-US" w:eastAsia="zh-CN"/>
        </w:rPr>
        <w:t xml:space="preserve">   </w:t>
      </w:r>
    </w:p>
    <w:p w14:paraId="2BA3F71C">
      <w:pPr>
        <w:pStyle w:val="56"/>
        <w:snapToGrid w:val="0"/>
        <w:spacing w:line="580" w:lineRule="exact"/>
        <w:ind w:firstLine="0"/>
        <w:jc w:val="center"/>
        <w:rPr>
          <w:rFonts w:ascii="楷体_GB2312" w:hAnsi="Times New Roman" w:eastAsia="楷体_GB2312"/>
          <w:sz w:val="28"/>
          <w:szCs w:val="28"/>
          <w:lang w:val="zh-CN"/>
        </w:rPr>
      </w:pPr>
    </w:p>
    <w:p w14:paraId="1708B90A">
      <w:pPr>
        <w:autoSpaceDE w:val="0"/>
        <w:autoSpaceDN w:val="0"/>
        <w:adjustRightInd w:val="0"/>
        <w:spacing w:line="580" w:lineRule="exact"/>
        <w:ind w:firstLine="800" w:firstLineChars="250"/>
        <w:jc w:val="left"/>
        <w:rPr>
          <w:rFonts w:hint="eastAsia" w:ascii="仿宋" w:hAnsi="仿宋" w:eastAsia="仿宋" w:cs="仿宋"/>
          <w:kern w:val="0"/>
          <w:sz w:val="32"/>
          <w:szCs w:val="32"/>
          <w:lang w:val="zh-CN"/>
        </w:rPr>
      </w:pPr>
      <w:r>
        <w:rPr>
          <w:rFonts w:hint="eastAsia" w:ascii="仿宋" w:hAnsi="仿宋" w:eastAsia="仿宋" w:cs="仿宋"/>
          <w:sz w:val="32"/>
          <w:szCs w:val="32"/>
          <w:lang w:val="zh-CN"/>
        </w:rPr>
        <w:t>我单位于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日收到</w:t>
      </w:r>
      <w:r>
        <w:rPr>
          <w:rFonts w:hint="eastAsia" w:ascii="仿宋" w:hAnsi="仿宋" w:eastAsia="仿宋" w:cs="仿宋"/>
          <w:sz w:val="32"/>
          <w:szCs w:val="32"/>
          <w:u w:val="single"/>
          <w:lang w:val="en-US" w:eastAsia="zh-CN"/>
        </w:rPr>
        <w:t>东莞市石鼓净水有限公司</w:t>
      </w:r>
      <w:r>
        <w:rPr>
          <w:rFonts w:hint="eastAsia" w:ascii="仿宋" w:hAnsi="仿宋" w:eastAsia="仿宋" w:cs="仿宋"/>
          <w:sz w:val="32"/>
          <w:szCs w:val="32"/>
          <w:lang w:val="zh-CN"/>
        </w:rPr>
        <w:t>的《阳光合作告知</w:t>
      </w:r>
      <w:r>
        <w:rPr>
          <w:rFonts w:hint="eastAsia" w:ascii="仿宋" w:hAnsi="仿宋" w:eastAsia="仿宋" w:cs="仿宋"/>
          <w:kern w:val="0"/>
          <w:sz w:val="32"/>
          <w:szCs w:val="32"/>
          <w:lang w:val="zh-CN"/>
        </w:rPr>
        <w:t>函</w:t>
      </w:r>
      <w:r>
        <w:rPr>
          <w:rFonts w:hint="eastAsia" w:ascii="仿宋" w:hAnsi="仿宋" w:eastAsia="仿宋" w:cs="仿宋"/>
          <w:sz w:val="32"/>
          <w:szCs w:val="32"/>
          <w:lang w:val="zh-CN"/>
        </w:rPr>
        <w:t>》</w:t>
      </w:r>
      <w:r>
        <w:rPr>
          <w:rFonts w:hint="eastAsia" w:ascii="仿宋" w:hAnsi="仿宋" w:eastAsia="仿宋" w:cs="仿宋"/>
          <w:kern w:val="0"/>
          <w:sz w:val="32"/>
          <w:szCs w:val="32"/>
          <w:lang w:val="zh-CN"/>
        </w:rPr>
        <w:t>，承诺理解函告内容并告知相关人员严格执行其中规定。</w:t>
      </w:r>
    </w:p>
    <w:p w14:paraId="10CFADAF">
      <w:pPr>
        <w:autoSpaceDE w:val="0"/>
        <w:autoSpaceDN w:val="0"/>
        <w:adjustRightInd w:val="0"/>
        <w:snapToGrid w:val="0"/>
        <w:spacing w:line="580" w:lineRule="exact"/>
        <w:jc w:val="left"/>
        <w:rPr>
          <w:rFonts w:hint="eastAsia" w:ascii="仿宋" w:hAnsi="仿宋" w:eastAsia="仿宋" w:cs="仿宋"/>
          <w:sz w:val="32"/>
          <w:szCs w:val="32"/>
          <w:lang w:val="zh-CN"/>
        </w:rPr>
      </w:pPr>
    </w:p>
    <w:p w14:paraId="4694CEE4">
      <w:pPr>
        <w:autoSpaceDE w:val="0"/>
        <w:autoSpaceDN w:val="0"/>
        <w:adjustRightInd w:val="0"/>
        <w:snapToGrid w:val="0"/>
        <w:spacing w:line="580" w:lineRule="exact"/>
        <w:jc w:val="left"/>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sz w:val="32"/>
          <w:szCs w:val="32"/>
          <w:lang w:val="zh-CN"/>
        </w:rPr>
        <w:t>（盖章）</w:t>
      </w:r>
    </w:p>
    <w:p w14:paraId="78DAE723">
      <w:pPr>
        <w:autoSpaceDE w:val="0"/>
        <w:autoSpaceDN w:val="0"/>
        <w:adjustRightInd w:val="0"/>
        <w:snapToGrid w:val="0"/>
        <w:spacing w:line="580" w:lineRule="exact"/>
        <w:jc w:val="left"/>
        <w:rPr>
          <w:rFonts w:hint="eastAsia" w:ascii="仿宋" w:hAnsi="仿宋" w:eastAsia="仿宋" w:cs="仿宋"/>
          <w:sz w:val="32"/>
          <w:szCs w:val="32"/>
          <w:lang w:val="zh-CN"/>
        </w:rPr>
      </w:pPr>
    </w:p>
    <w:p w14:paraId="7BACE755">
      <w:pPr>
        <w:autoSpaceDE w:val="0"/>
        <w:autoSpaceDN w:val="0"/>
        <w:adjustRightInd w:val="0"/>
        <w:snapToGrid w:val="0"/>
        <w:spacing w:line="580" w:lineRule="exact"/>
        <w:ind w:right="1280" w:firstLine="5120" w:firstLineChars="1600"/>
        <w:rPr>
          <w:rFonts w:hint="eastAsia" w:ascii="仿宋" w:hAnsi="仿宋" w:eastAsia="仿宋" w:cs="仿宋"/>
          <w:sz w:val="32"/>
          <w:szCs w:val="32"/>
        </w:rPr>
      </w:pPr>
      <w:r>
        <w:rPr>
          <w:rFonts w:hint="eastAsia" w:ascii="仿宋" w:hAnsi="仿宋" w:eastAsia="仿宋" w:cs="仿宋"/>
          <w:sz w:val="32"/>
          <w:szCs w:val="32"/>
        </w:rPr>
        <w:t xml:space="preserve">法定代表人：           </w:t>
      </w:r>
    </w:p>
    <w:p w14:paraId="6EEF94F2">
      <w:pPr>
        <w:wordWrap w:val="0"/>
        <w:autoSpaceDE w:val="0"/>
        <w:autoSpaceDN w:val="0"/>
        <w:adjustRightInd w:val="0"/>
        <w:snapToGrid w:val="0"/>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5B65B083">
      <w:pPr>
        <w:tabs>
          <w:tab w:val="left" w:pos="1436"/>
        </w:tabs>
        <w:ind w:firstLine="0"/>
        <w:rPr>
          <w:rFonts w:hint="default"/>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2A8151C1"/>
    <w:p w14:paraId="6A51A106">
      <w:pPr>
        <w:rPr>
          <w:rFonts w:hint="eastAsia" w:hAnsi="宋体" w:cs="宋体"/>
          <w:szCs w:val="32"/>
        </w:rPr>
      </w:pPr>
      <w:r>
        <w:rPr>
          <w:rFonts w:hint="eastAsia" w:hAnsi="宋体" w:cs="宋体"/>
          <w:szCs w:val="32"/>
        </w:rPr>
        <w:br w:type="page"/>
      </w:r>
    </w:p>
    <w:p w14:paraId="39B45ECF">
      <w:pPr>
        <w:pStyle w:val="3"/>
        <w:spacing w:before="0" w:after="0"/>
        <w:jc w:val="center"/>
        <w:rPr>
          <w:rFonts w:hAnsi="宋体" w:cs="宋体"/>
          <w:szCs w:val="32"/>
        </w:rPr>
      </w:pPr>
      <w:bookmarkStart w:id="61" w:name="_Toc2807"/>
      <w:r>
        <w:rPr>
          <w:rFonts w:hint="eastAsia" w:hAnsi="宋体" w:cs="宋体"/>
          <w:szCs w:val="32"/>
        </w:rPr>
        <w:t>第四章 报价须知</w:t>
      </w:r>
      <w:bookmarkEnd w:id="61"/>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0CE912FF">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1.报价表（含分项报价表）；</w:t>
      </w:r>
    </w:p>
    <w:p w14:paraId="14137B6D">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w:t>
      </w:r>
      <w:r>
        <w:rPr>
          <w:rFonts w:ascii="Times New Roman"/>
        </w:rPr>
        <w:t>2022年1月1日以来，</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hAnsi="宋体" w:cs="宋体"/>
          <w:u w:val="single"/>
          <w:lang w:val="en-US" w:eastAsia="zh-CN"/>
        </w:rPr>
        <w:t>办公室设备</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46E44E8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信用中国网站截图；</w:t>
      </w:r>
    </w:p>
    <w:p w14:paraId="62C8E8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509C474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63AB9815">
      <w:pPr>
        <w:spacing w:line="360" w:lineRule="auto"/>
        <w:ind w:firstLine="482" w:firstLineChars="200"/>
        <w:rPr>
          <w:rFonts w:hAnsi="宋体" w:cs="宋体"/>
          <w:b/>
          <w:bCs/>
        </w:rPr>
      </w:pPr>
      <w:r>
        <w:rPr>
          <w:rFonts w:ascii="Times New Roman"/>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41F65839">
      <w:pPr>
        <w:spacing w:line="360" w:lineRule="auto"/>
        <w:rPr>
          <w:rFonts w:hAnsi="宋体" w:cs="宋体"/>
          <w:b/>
        </w:rPr>
      </w:pPr>
      <w:r>
        <w:rPr>
          <w:rFonts w:hint="eastAsia" w:hAnsi="宋体" w:cs="宋体"/>
          <w:b/>
        </w:rPr>
        <w:t xml:space="preserve">    本项目成交单位会根据项目实际情况与</w:t>
      </w:r>
      <w:r>
        <w:rPr>
          <w:rFonts w:hint="eastAsia" w:hAnsi="宋体" w:cs="宋体"/>
          <w:b/>
          <w:lang w:eastAsia="zh-CN"/>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62" w:name="_Toc21695"/>
      <w:r>
        <w:rPr>
          <w:rFonts w:hint="eastAsia" w:hAnsi="宋体" w:cs="宋体"/>
          <w:szCs w:val="32"/>
        </w:rPr>
        <w:t>第五章 报价文件（格式）</w:t>
      </w:r>
      <w:bookmarkEnd w:id="62"/>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bCs/>
                <w:color w:val="000000"/>
                <w:szCs w:val="21"/>
                <w:lang w:eastAsia="zh-CN"/>
              </w:rPr>
              <w:t>东莞市石鼓净水有限公司2025年第四季度办公设备采购项目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1"/>
              <w:jc w:val="center"/>
              <w:rPr>
                <w:rFonts w:hAnsi="宋体" w:cs="宋体"/>
                <w:color w:val="000000"/>
                <w:sz w:val="24"/>
                <w:szCs w:val="28"/>
              </w:rPr>
            </w:pPr>
            <w:r>
              <w:rPr>
                <w:rFonts w:hint="eastAsia" w:hAnsi="宋体" w:cs="宋体"/>
                <w:color w:val="000000"/>
                <w:sz w:val="24"/>
                <w:szCs w:val="28"/>
              </w:rPr>
              <w:t>不含税总报价</w:t>
            </w:r>
          </w:p>
          <w:p w14:paraId="2EF85A7E">
            <w:pPr>
              <w:pStyle w:val="11"/>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1"/>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1"/>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1"/>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6"/>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6"/>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b/>
                <w:bCs/>
                <w:szCs w:val="21"/>
                <w:lang w:eastAsia="zh-CN"/>
              </w:rPr>
              <w:t>13,044.20</w:t>
            </w:r>
            <w:r>
              <w:rPr>
                <w:rFonts w:hint="eastAsia" w:ascii="Times New Roman"/>
                <w:b/>
                <w:bCs/>
              </w:rPr>
              <w:t>元</w:t>
            </w:r>
            <w:r>
              <w:rPr>
                <w:rFonts w:ascii="Times New Roman"/>
                <w:b/>
                <w:bCs/>
              </w:rPr>
              <w:t>），否则视为无效报价。</w:t>
            </w:r>
          </w:p>
          <w:p w14:paraId="6930ABB6">
            <w:pPr>
              <w:numPr>
                <w:ilvl w:val="0"/>
                <w:numId w:val="6"/>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6"/>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1"/>
        <w:spacing w:line="360" w:lineRule="auto"/>
        <w:rPr>
          <w:rFonts w:hAnsi="宋体" w:cs="宋体"/>
          <w:color w:val="000000"/>
          <w:sz w:val="24"/>
          <w:szCs w:val="24"/>
        </w:rPr>
      </w:pPr>
    </w:p>
    <w:p w14:paraId="20D8941E">
      <w:pPr>
        <w:pStyle w:val="11"/>
        <w:spacing w:line="360" w:lineRule="auto"/>
        <w:rPr>
          <w:rFonts w:hAnsi="宋体" w:cs="宋体"/>
          <w:color w:val="000000"/>
          <w:sz w:val="24"/>
          <w:szCs w:val="28"/>
        </w:rPr>
      </w:pPr>
      <w:r>
        <w:rPr>
          <w:rFonts w:hint="eastAsia" w:hAnsi="宋体" w:cs="宋体"/>
          <w:color w:val="000000"/>
          <w:sz w:val="24"/>
          <w:szCs w:val="28"/>
        </w:rPr>
        <w:t>联系人：                          联系电话：</w:t>
      </w:r>
    </w:p>
    <w:p w14:paraId="3D4AADA4">
      <w:pPr>
        <w:wordWrap w:val="0"/>
        <w:spacing w:line="360" w:lineRule="auto"/>
        <w:jc w:val="right"/>
        <w:rPr>
          <w:rFonts w:hAnsi="宋体" w:cs="宋体"/>
          <w:color w:val="000000"/>
          <w:kern w:val="2"/>
          <w:szCs w:val="28"/>
          <w:lang w:val="zh-CN"/>
        </w:rPr>
      </w:pPr>
    </w:p>
    <w:p w14:paraId="434001F0">
      <w:pPr>
        <w:wordWrap w:val="0"/>
        <w:spacing w:line="360" w:lineRule="auto"/>
        <w:jc w:val="right"/>
        <w:rPr>
          <w:rFonts w:hint="eastAsia"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099B7860">
      <w:pPr>
        <w:wordWrap w:val="0"/>
        <w:spacing w:line="360" w:lineRule="auto"/>
        <w:jc w:val="right"/>
        <w:rPr>
          <w:rFonts w:hint="eastAsia" w:hAnsi="宋体" w:cs="宋体"/>
          <w:color w:val="000000"/>
          <w:kern w:val="2"/>
          <w:szCs w:val="28"/>
        </w:rPr>
      </w:pPr>
      <w:r>
        <w:rPr>
          <w:rFonts w:hint="eastAsia" w:hAnsi="宋体" w:cs="宋体"/>
          <w:color w:val="000000"/>
          <w:kern w:val="2"/>
          <w:szCs w:val="28"/>
        </w:rPr>
        <w:t xml:space="preserve">      </w:t>
      </w:r>
    </w:p>
    <w:p w14:paraId="3D6D7C04">
      <w:pPr>
        <w:wordWrap w:val="0"/>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69B410FE">
      <w:pPr>
        <w:spacing w:line="360" w:lineRule="auto"/>
        <w:ind w:right="1680"/>
        <w:rPr>
          <w:rFonts w:hAnsi="宋体" w:cs="宋体"/>
          <w:color w:val="000000"/>
          <w:kern w:val="2"/>
          <w:szCs w:val="28"/>
        </w:rPr>
      </w:pPr>
    </w:p>
    <w:p w14:paraId="7E65DFF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757B899B">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w:t>
      </w:r>
      <w:r>
        <w:rPr>
          <w:rFonts w:hint="eastAsia" w:hAnsi="宋体" w:cs="宋体"/>
          <w:b/>
          <w:color w:val="FF0000"/>
          <w:sz w:val="28"/>
          <w:szCs w:val="28"/>
        </w:rPr>
        <w:t>详见附件：</w:t>
      </w:r>
      <w:r>
        <w:rPr>
          <w:rFonts w:hint="eastAsia" w:hAnsi="宋体" w:cs="宋体"/>
          <w:b/>
          <w:color w:val="FF0000"/>
          <w:sz w:val="28"/>
          <w:szCs w:val="28"/>
          <w:lang w:eastAsia="zh-CN"/>
        </w:rPr>
        <w:t>东莞市石鼓净水有限公司2025年第四季度办公设备采购项目</w:t>
      </w:r>
      <w:r>
        <w:rPr>
          <w:rFonts w:hint="eastAsia" w:hAnsi="宋体" w:cs="宋体"/>
          <w:b/>
          <w:color w:val="FF0000"/>
          <w:sz w:val="28"/>
          <w:szCs w:val="28"/>
        </w:rPr>
        <w:t>分项报价表</w:t>
      </w:r>
      <w:r>
        <w:rPr>
          <w:rFonts w:hint="eastAsia" w:hAnsi="宋体" w:cs="宋体"/>
          <w:b/>
          <w:color w:val="FF0000"/>
          <w:sz w:val="28"/>
          <w:szCs w:val="28"/>
          <w:lang w:val="en-US" w:eastAsia="zh-CN"/>
        </w:rPr>
        <w:t>)</w:t>
      </w:r>
    </w:p>
    <w:p w14:paraId="1F5AF579">
      <w:pPr>
        <w:spacing w:line="360" w:lineRule="auto"/>
        <w:ind w:right="1680"/>
        <w:rPr>
          <w:rFonts w:hAnsi="宋体" w:cs="宋体"/>
          <w:b/>
          <w:color w:val="FF0000"/>
          <w:sz w:val="18"/>
          <w:szCs w:val="18"/>
        </w:rPr>
      </w:pPr>
    </w:p>
    <w:p w14:paraId="7F87E7AA">
      <w:pPr>
        <w:spacing w:line="360" w:lineRule="auto"/>
        <w:ind w:right="-100" w:rightChars="0"/>
        <w:rPr>
          <w:rFonts w:hAnsi="宋体" w:cs="宋体"/>
          <w:b/>
          <w:color w:val="FF0000"/>
          <w:sz w:val="18"/>
          <w:szCs w:val="18"/>
        </w:rPr>
      </w:pPr>
    </w:p>
    <w:p w14:paraId="10E30B7E">
      <w:pPr>
        <w:spacing w:line="360" w:lineRule="auto"/>
        <w:ind w:right="1680"/>
        <w:rPr>
          <w:rFonts w:hAnsi="宋体" w:cs="宋体"/>
          <w:color w:val="000000"/>
          <w:kern w:val="2"/>
          <w:szCs w:val="28"/>
        </w:rPr>
      </w:pPr>
    </w:p>
    <w:p w14:paraId="01925572">
      <w:pPr>
        <w:spacing w:line="360" w:lineRule="auto"/>
        <w:ind w:right="1680"/>
        <w:rPr>
          <w:rFonts w:hAnsi="宋体" w:cs="宋体"/>
          <w:color w:val="000000"/>
          <w:kern w:val="2"/>
          <w:szCs w:val="28"/>
        </w:rPr>
      </w:pPr>
    </w:p>
    <w:p w14:paraId="42CF3B49">
      <w:pPr>
        <w:spacing w:line="360" w:lineRule="auto"/>
        <w:ind w:right="1680"/>
        <w:rPr>
          <w:rFonts w:hAnsi="宋体" w:cs="宋体"/>
          <w:color w:val="000000"/>
          <w:kern w:val="2"/>
          <w:szCs w:val="28"/>
        </w:rPr>
      </w:pPr>
    </w:p>
    <w:p w14:paraId="5E8AE42A">
      <w:pPr>
        <w:spacing w:line="360" w:lineRule="auto"/>
        <w:ind w:right="1680"/>
        <w:rPr>
          <w:rFonts w:hAnsi="宋体" w:cs="宋体"/>
          <w:color w:val="000000"/>
          <w:kern w:val="2"/>
          <w:szCs w:val="28"/>
        </w:rPr>
      </w:pPr>
    </w:p>
    <w:p w14:paraId="2FD07444">
      <w:pPr>
        <w:spacing w:line="360" w:lineRule="auto"/>
        <w:ind w:right="1680"/>
        <w:rPr>
          <w:rFonts w:hAnsi="宋体" w:cs="宋体"/>
          <w:color w:val="000000"/>
          <w:kern w:val="2"/>
          <w:szCs w:val="28"/>
        </w:rPr>
      </w:pPr>
    </w:p>
    <w:p w14:paraId="41638651">
      <w:pPr>
        <w:spacing w:line="360" w:lineRule="auto"/>
        <w:ind w:right="1680"/>
        <w:rPr>
          <w:rFonts w:hAnsi="宋体" w:cs="宋体"/>
          <w:color w:val="000000"/>
          <w:kern w:val="2"/>
          <w:szCs w:val="28"/>
        </w:rPr>
      </w:pPr>
    </w:p>
    <w:p w14:paraId="0B0F63A9">
      <w:pPr>
        <w:spacing w:line="360" w:lineRule="auto"/>
        <w:ind w:right="1680"/>
        <w:rPr>
          <w:rFonts w:hAnsi="宋体" w:cs="宋体"/>
          <w:color w:val="000000"/>
          <w:kern w:val="2"/>
          <w:szCs w:val="28"/>
        </w:rPr>
      </w:pPr>
    </w:p>
    <w:p w14:paraId="751D5E2B">
      <w:pPr>
        <w:spacing w:line="360" w:lineRule="auto"/>
        <w:ind w:right="1680"/>
        <w:rPr>
          <w:rFonts w:hAnsi="宋体" w:cs="宋体"/>
          <w:color w:val="000000"/>
          <w:kern w:val="2"/>
          <w:szCs w:val="28"/>
        </w:rPr>
      </w:pPr>
    </w:p>
    <w:p w14:paraId="256A151F">
      <w:pPr>
        <w:spacing w:line="360" w:lineRule="auto"/>
        <w:ind w:right="1680"/>
        <w:rPr>
          <w:rFonts w:hAnsi="宋体" w:cs="宋体"/>
          <w:color w:val="000000"/>
          <w:kern w:val="2"/>
          <w:szCs w:val="28"/>
        </w:rPr>
      </w:pPr>
    </w:p>
    <w:p w14:paraId="2A97D831">
      <w:pPr>
        <w:spacing w:line="360" w:lineRule="auto"/>
        <w:ind w:right="1680"/>
        <w:rPr>
          <w:rFonts w:hAnsi="宋体" w:cs="宋体"/>
          <w:color w:val="000000"/>
          <w:kern w:val="2"/>
          <w:szCs w:val="28"/>
        </w:rPr>
      </w:pPr>
    </w:p>
    <w:p w14:paraId="05F2209C">
      <w:pPr>
        <w:spacing w:line="360" w:lineRule="auto"/>
        <w:ind w:right="1680"/>
        <w:rPr>
          <w:rFonts w:hAnsi="宋体" w:cs="宋体"/>
          <w:color w:val="000000"/>
          <w:kern w:val="2"/>
          <w:szCs w:val="28"/>
        </w:rPr>
      </w:pPr>
    </w:p>
    <w:p w14:paraId="7FDA03D4">
      <w:pPr>
        <w:spacing w:line="360" w:lineRule="auto"/>
        <w:ind w:right="1680"/>
        <w:rPr>
          <w:rFonts w:hAnsi="宋体" w:cs="宋体"/>
          <w:color w:val="000000"/>
          <w:kern w:val="2"/>
          <w:szCs w:val="28"/>
        </w:rPr>
      </w:pPr>
    </w:p>
    <w:p w14:paraId="3648D532">
      <w:pPr>
        <w:spacing w:line="360" w:lineRule="auto"/>
        <w:ind w:right="1680"/>
        <w:rPr>
          <w:rFonts w:hAnsi="宋体" w:cs="宋体"/>
          <w:color w:val="000000"/>
          <w:kern w:val="2"/>
          <w:szCs w:val="28"/>
        </w:rPr>
      </w:pPr>
    </w:p>
    <w:p w14:paraId="1809D750">
      <w:pPr>
        <w:spacing w:line="360" w:lineRule="auto"/>
        <w:ind w:right="1680"/>
        <w:rPr>
          <w:rFonts w:hAnsi="宋体" w:cs="宋体"/>
          <w:color w:val="000000"/>
          <w:kern w:val="2"/>
          <w:szCs w:val="28"/>
        </w:rPr>
      </w:pPr>
    </w:p>
    <w:p w14:paraId="5DC778C1">
      <w:pPr>
        <w:spacing w:line="360" w:lineRule="auto"/>
        <w:ind w:right="1680"/>
        <w:rPr>
          <w:rFonts w:hAnsi="宋体" w:cs="宋体"/>
          <w:color w:val="000000"/>
          <w:kern w:val="2"/>
          <w:szCs w:val="28"/>
        </w:rPr>
      </w:pPr>
    </w:p>
    <w:p w14:paraId="73194C55">
      <w:pPr>
        <w:spacing w:line="360" w:lineRule="auto"/>
        <w:ind w:right="1680"/>
        <w:rPr>
          <w:rFonts w:hAnsi="宋体" w:cs="宋体"/>
          <w:color w:val="000000"/>
          <w:kern w:val="2"/>
          <w:szCs w:val="28"/>
        </w:rPr>
      </w:pPr>
    </w:p>
    <w:p w14:paraId="71B2729B">
      <w:pPr>
        <w:spacing w:line="360" w:lineRule="auto"/>
        <w:ind w:right="1680"/>
        <w:rPr>
          <w:rFonts w:hAnsi="宋体" w:cs="宋体"/>
          <w:color w:val="000000"/>
          <w:kern w:val="2"/>
          <w:szCs w:val="28"/>
        </w:rPr>
      </w:pPr>
    </w:p>
    <w:p w14:paraId="359F5F75">
      <w:pPr>
        <w:spacing w:line="360" w:lineRule="auto"/>
        <w:ind w:right="1680"/>
        <w:rPr>
          <w:rFonts w:hAnsi="宋体" w:cs="宋体"/>
          <w:color w:val="000000"/>
          <w:kern w:val="2"/>
          <w:szCs w:val="28"/>
        </w:rPr>
      </w:pPr>
    </w:p>
    <w:p w14:paraId="0C2BD0DD">
      <w:pPr>
        <w:spacing w:line="360" w:lineRule="auto"/>
        <w:ind w:right="1680"/>
        <w:rPr>
          <w:rFonts w:hAnsi="宋体" w:cs="宋体"/>
          <w:color w:val="000000"/>
          <w:kern w:val="2"/>
          <w:szCs w:val="28"/>
        </w:rPr>
      </w:pPr>
    </w:p>
    <w:p w14:paraId="1D938329">
      <w:pPr>
        <w:spacing w:line="360" w:lineRule="auto"/>
        <w:ind w:right="1680"/>
        <w:rPr>
          <w:rFonts w:hAnsi="宋体" w:cs="宋体"/>
          <w:color w:val="000000"/>
          <w:kern w:val="2"/>
          <w:szCs w:val="28"/>
        </w:rPr>
      </w:pPr>
    </w:p>
    <w:p w14:paraId="43EF6430">
      <w:pPr>
        <w:spacing w:line="360" w:lineRule="auto"/>
        <w:ind w:right="1680"/>
        <w:rPr>
          <w:rFonts w:hAnsi="宋体" w:cs="宋体"/>
          <w:color w:val="000000"/>
          <w:kern w:val="2"/>
          <w:szCs w:val="28"/>
        </w:rPr>
      </w:pPr>
    </w:p>
    <w:p w14:paraId="24E498EE">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05184F82">
      <w:pPr>
        <w:spacing w:line="360" w:lineRule="auto"/>
        <w:jc w:val="center"/>
        <w:rPr>
          <w:rFonts w:hAnsi="宋体" w:cs="宋体"/>
          <w:b/>
          <w:color w:val="000000"/>
          <w:sz w:val="28"/>
          <w:szCs w:val="28"/>
        </w:rPr>
      </w:pPr>
      <w:bookmarkStart w:id="63" w:name="_Hlk26973180"/>
      <w:r>
        <w:rPr>
          <w:rFonts w:hint="eastAsia" w:hAnsi="宋体" w:cs="宋体"/>
          <w:b/>
          <w:color w:val="000000"/>
          <w:sz w:val="28"/>
          <w:szCs w:val="28"/>
        </w:rPr>
        <w:t>响应声明</w:t>
      </w:r>
    </w:p>
    <w:bookmarkEnd w:id="63"/>
    <w:p w14:paraId="35FE920D">
      <w:pPr>
        <w:spacing w:line="360" w:lineRule="auto"/>
        <w:ind w:firstLine="480" w:firstLineChars="200"/>
        <w:rPr>
          <w:rFonts w:hAnsi="宋体" w:cs="宋体"/>
        </w:rPr>
      </w:pPr>
      <w:bookmarkStart w:id="64" w:name="_Toc534701786"/>
      <w:bookmarkStart w:id="65" w:name="_Toc534278252"/>
      <w:bookmarkStart w:id="66"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0F22C019">
      <w:pPr>
        <w:spacing w:line="360" w:lineRule="auto"/>
        <w:ind w:firstLine="480" w:firstLineChars="200"/>
        <w:rPr>
          <w:rFonts w:hAnsi="宋体" w:cs="宋体"/>
        </w:rPr>
      </w:pPr>
      <w:r>
        <w:rPr>
          <w:rFonts w:hint="eastAsia" w:hAnsi="宋体" w:cs="宋体"/>
        </w:rPr>
        <w:t>特此声明。</w:t>
      </w:r>
    </w:p>
    <w:p w14:paraId="3118C466">
      <w:pPr>
        <w:spacing w:line="360" w:lineRule="auto"/>
        <w:ind w:firstLine="480" w:firstLineChars="200"/>
        <w:rPr>
          <w:rFonts w:hAnsi="宋体" w:cs="宋体"/>
        </w:rPr>
      </w:pPr>
    </w:p>
    <w:p w14:paraId="01A24EAF">
      <w:pPr>
        <w:spacing w:line="360" w:lineRule="auto"/>
        <w:ind w:firstLine="480" w:firstLineChars="200"/>
        <w:rPr>
          <w:rFonts w:hAnsi="宋体" w:cs="宋体"/>
        </w:rPr>
      </w:pPr>
    </w:p>
    <w:p w14:paraId="3AC91B4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2CDD19AF">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4C4189A">
      <w:pPr>
        <w:spacing w:line="360" w:lineRule="auto"/>
        <w:rPr>
          <w:rFonts w:hAnsi="宋体" w:cs="宋体"/>
        </w:rPr>
      </w:pPr>
    </w:p>
    <w:p w14:paraId="2188D702">
      <w:pPr>
        <w:spacing w:line="360" w:lineRule="auto"/>
        <w:rPr>
          <w:rFonts w:ascii="Times New Roman"/>
          <w:b/>
          <w:bCs/>
          <w:color w:val="000000"/>
          <w:sz w:val="21"/>
          <w:szCs w:val="21"/>
        </w:rPr>
      </w:pPr>
    </w:p>
    <w:p w14:paraId="11761E95">
      <w:pPr>
        <w:spacing w:line="360" w:lineRule="auto"/>
        <w:rPr>
          <w:rFonts w:ascii="Times New Roman"/>
          <w:b/>
          <w:bCs/>
          <w:color w:val="000000"/>
          <w:sz w:val="21"/>
          <w:szCs w:val="21"/>
        </w:rPr>
      </w:pPr>
    </w:p>
    <w:p w14:paraId="39F476EF">
      <w:pPr>
        <w:spacing w:line="360" w:lineRule="auto"/>
        <w:rPr>
          <w:rFonts w:ascii="Times New Roman"/>
          <w:b/>
          <w:bCs/>
          <w:color w:val="000000"/>
          <w:sz w:val="21"/>
          <w:szCs w:val="21"/>
        </w:rPr>
      </w:pPr>
    </w:p>
    <w:p w14:paraId="3626F8F9">
      <w:pPr>
        <w:spacing w:line="360" w:lineRule="auto"/>
        <w:rPr>
          <w:rFonts w:ascii="Times New Roman"/>
          <w:b/>
          <w:bCs/>
          <w:color w:val="000000"/>
          <w:sz w:val="21"/>
          <w:szCs w:val="21"/>
        </w:rPr>
      </w:pPr>
    </w:p>
    <w:p w14:paraId="59CC0EF8">
      <w:pPr>
        <w:spacing w:line="360" w:lineRule="auto"/>
        <w:rPr>
          <w:rFonts w:ascii="Times New Roman"/>
          <w:b/>
          <w:bCs/>
          <w:color w:val="000000"/>
          <w:sz w:val="21"/>
          <w:szCs w:val="21"/>
        </w:rPr>
      </w:pPr>
    </w:p>
    <w:p w14:paraId="1C6AC719">
      <w:pPr>
        <w:spacing w:line="360" w:lineRule="auto"/>
        <w:rPr>
          <w:rFonts w:ascii="Times New Roman"/>
          <w:b/>
          <w:bCs/>
          <w:color w:val="000000"/>
          <w:sz w:val="21"/>
          <w:szCs w:val="21"/>
        </w:rPr>
      </w:pPr>
    </w:p>
    <w:p w14:paraId="3FE5515F">
      <w:pPr>
        <w:spacing w:line="360" w:lineRule="auto"/>
        <w:rPr>
          <w:rFonts w:ascii="Times New Roman"/>
          <w:b/>
          <w:bCs/>
          <w:color w:val="000000"/>
          <w:sz w:val="21"/>
          <w:szCs w:val="21"/>
        </w:rPr>
      </w:pPr>
    </w:p>
    <w:p w14:paraId="7380AA4B">
      <w:pPr>
        <w:spacing w:line="360" w:lineRule="auto"/>
        <w:rPr>
          <w:rFonts w:ascii="Times New Roman"/>
          <w:b/>
          <w:bCs/>
          <w:color w:val="000000"/>
          <w:sz w:val="21"/>
          <w:szCs w:val="21"/>
        </w:rPr>
      </w:pPr>
    </w:p>
    <w:p w14:paraId="6BC0171D">
      <w:pPr>
        <w:spacing w:line="360" w:lineRule="auto"/>
        <w:rPr>
          <w:rFonts w:ascii="Times New Roman"/>
          <w:b/>
          <w:bCs/>
          <w:color w:val="000000"/>
          <w:sz w:val="21"/>
          <w:szCs w:val="21"/>
        </w:rPr>
      </w:pPr>
    </w:p>
    <w:p w14:paraId="7A7C3273">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07CB6EFA">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3.营业执照</w:t>
      </w:r>
    </w:p>
    <w:p w14:paraId="79C6D72F">
      <w:pPr>
        <w:rPr>
          <w:rFonts w:hAnsi="宋体" w:cs="宋体"/>
          <w:b/>
          <w:sz w:val="28"/>
          <w:szCs w:val="28"/>
        </w:rPr>
      </w:pPr>
      <w:r>
        <w:rPr>
          <w:rFonts w:hAnsi="宋体" w:cs="宋体"/>
          <w:b/>
          <w:sz w:val="28"/>
          <w:szCs w:val="28"/>
        </w:rPr>
        <w:br w:type="page"/>
      </w:r>
    </w:p>
    <w:p w14:paraId="364EF705">
      <w:pPr>
        <w:spacing w:line="360" w:lineRule="auto"/>
        <w:rPr>
          <w:rFonts w:hint="eastAsia" w:hAnsi="宋体" w:cs="宋体"/>
          <w:b/>
          <w:sz w:val="28"/>
          <w:szCs w:val="28"/>
        </w:rPr>
      </w:pPr>
      <w:r>
        <w:rPr>
          <w:rFonts w:hAnsi="宋体" w:cs="宋体"/>
          <w:b/>
          <w:sz w:val="28"/>
          <w:szCs w:val="28"/>
        </w:rPr>
        <w:t>4.</w:t>
      </w:r>
      <w:r>
        <w:rPr>
          <w:rFonts w:hint="eastAsia" w:hAnsi="宋体" w:cs="宋体"/>
          <w:b/>
          <w:sz w:val="28"/>
          <w:szCs w:val="28"/>
        </w:rPr>
        <w:t>报价人自</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日以来，</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份办公设备相关业绩</w:t>
      </w:r>
      <w:r>
        <w:rPr>
          <w:rFonts w:hint="eastAsia" w:hAnsi="宋体" w:cs="宋体"/>
          <w:b/>
          <w:sz w:val="28"/>
          <w:szCs w:val="28"/>
        </w:rPr>
        <w:t>（合同签订日期为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3E779E79">
      <w:pPr>
        <w:rPr>
          <w:rFonts w:ascii="Times New Roman"/>
          <w:b/>
          <w:sz w:val="28"/>
          <w:szCs w:val="28"/>
        </w:rPr>
      </w:pPr>
      <w:r>
        <w:rPr>
          <w:rFonts w:ascii="Times New Roman"/>
          <w:b/>
          <w:sz w:val="28"/>
          <w:szCs w:val="28"/>
        </w:rPr>
        <w:br w:type="page"/>
      </w:r>
    </w:p>
    <w:p w14:paraId="48FD2BC8">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5B5B366D">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bookmarkEnd w:id="64"/>
    <w:bookmarkEnd w:id="65"/>
    <w:bookmarkEnd w:id="66"/>
    <w:p w14:paraId="3E7B2C9D">
      <w:pPr>
        <w:rPr>
          <w:rFonts w:hint="eastAsia" w:ascii="Times New Roman"/>
          <w:b/>
          <w:sz w:val="28"/>
          <w:szCs w:val="28"/>
          <w:lang w:val="en-US" w:eastAsia="zh-CN"/>
        </w:rPr>
      </w:pPr>
      <w:r>
        <w:rPr>
          <w:rFonts w:hint="eastAsia" w:ascii="Times New Roman"/>
          <w:b/>
          <w:sz w:val="28"/>
          <w:szCs w:val="28"/>
          <w:lang w:val="en-US" w:eastAsia="zh-CN"/>
        </w:rPr>
        <w:br w:type="page"/>
      </w:r>
    </w:p>
    <w:p w14:paraId="2E85BE0D">
      <w:pPr>
        <w:numPr>
          <w:ilvl w:val="0"/>
          <w:numId w:val="0"/>
        </w:numPr>
        <w:spacing w:line="360" w:lineRule="auto"/>
        <w:rPr>
          <w:rFonts w:ascii="Times New Roman"/>
          <w:b/>
          <w:sz w:val="28"/>
          <w:szCs w:val="28"/>
        </w:rPr>
      </w:pPr>
      <w:r>
        <w:rPr>
          <w:rFonts w:hint="eastAsia" w:ascii="Times New Roman"/>
          <w:b/>
          <w:sz w:val="28"/>
          <w:szCs w:val="28"/>
          <w:lang w:val="en-US" w:eastAsia="zh-CN"/>
        </w:rPr>
        <w:t>6.</w:t>
      </w:r>
      <w:r>
        <w:rPr>
          <w:rFonts w:hint="eastAsia" w:ascii="Times New Roman"/>
          <w:b/>
          <w:sz w:val="28"/>
          <w:szCs w:val="28"/>
        </w:rPr>
        <w:t>承诺函</w:t>
      </w:r>
    </w:p>
    <w:p w14:paraId="3825154D">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2B3DC756">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hAnsi="宋体" w:cs="宋体"/>
          <w:u w:val="single"/>
          <w:lang w:eastAsia="zh-CN"/>
        </w:rPr>
        <w:t>东莞市石鼓净水有限公司2025年第四季度办公设备采购项目</w:t>
      </w:r>
      <w:r>
        <w:rPr>
          <w:rFonts w:hint="eastAsia" w:hAnsi="宋体" w:cs="宋体"/>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733C659">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4BA717B">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0B421624">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2F89F32B">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4CFD480C">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22794112">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45A33233">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5A8FCCEE">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548263E8">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49EAF293">
      <w:pPr>
        <w:spacing w:line="360" w:lineRule="auto"/>
        <w:ind w:firstLine="480" w:firstLineChars="200"/>
        <w:rPr>
          <w:rFonts w:hAnsi="宋体" w:cs="宋体"/>
        </w:rPr>
      </w:pPr>
      <w:r>
        <w:rPr>
          <w:rFonts w:hint="eastAsia" w:hAnsi="宋体" w:cs="宋体"/>
        </w:rPr>
        <w:t>⑥我公司承诺防雷、防静电设施及用电设施有良好接地。</w:t>
      </w:r>
    </w:p>
    <w:p w14:paraId="7AB97F3E">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9B11FEB">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rPr>
      </w:pPr>
    </w:p>
    <w:p w14:paraId="0692DD4C">
      <w:pPr>
        <w:spacing w:line="360" w:lineRule="auto"/>
        <w:ind w:firstLine="480" w:firstLineChars="200"/>
        <w:rPr>
          <w:rFonts w:hAnsi="宋体" w:cs="宋体"/>
        </w:rPr>
      </w:pPr>
    </w:p>
    <w:p w14:paraId="603DC644">
      <w:pPr>
        <w:spacing w:line="360" w:lineRule="auto"/>
        <w:ind w:firstLine="480" w:firstLineChars="200"/>
        <w:rPr>
          <w:rFonts w:hAnsi="宋体" w:cs="宋体"/>
        </w:rPr>
      </w:pPr>
      <w:r>
        <w:rPr>
          <w:rFonts w:hint="eastAsia" w:hAnsi="宋体" w:cs="宋体"/>
        </w:rPr>
        <w:t>特此承诺。</w:t>
      </w:r>
    </w:p>
    <w:p w14:paraId="74224C77">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942AF56">
      <w:pPr>
        <w:spacing w:line="360" w:lineRule="auto"/>
        <w:jc w:val="center"/>
        <w:rPr>
          <w:rFonts w:hAnsi="宋体" w:cs="宋体"/>
        </w:rPr>
      </w:pPr>
      <w:r>
        <w:rPr>
          <w:rFonts w:hint="eastAsia" w:hAnsi="宋体" w:cs="宋体"/>
        </w:rPr>
        <w:t xml:space="preserve">     日期：</w:t>
      </w:r>
    </w:p>
    <w:p w14:paraId="1860EB52">
      <w:pPr>
        <w:spacing w:line="360" w:lineRule="auto"/>
        <w:rPr>
          <w:rFonts w:ascii="Times New Roman"/>
          <w:b/>
          <w:sz w:val="28"/>
          <w:szCs w:val="28"/>
        </w:rPr>
      </w:pPr>
    </w:p>
    <w:p w14:paraId="537450A4">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E1D2219"/>
    <w:multiLevelType w:val="singleLevel"/>
    <w:tmpl w:val="FE1D2219"/>
    <w:lvl w:ilvl="0" w:tentative="0">
      <w:start w:val="1"/>
      <w:numFmt w:val="decimal"/>
      <w:suff w:val="space"/>
      <w:lvlText w:val="%1."/>
      <w:lvlJc w:val="left"/>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9288AD"/>
    <w:multiLevelType w:val="singleLevel"/>
    <w:tmpl w:val="669288AD"/>
    <w:lvl w:ilvl="0" w:tentative="0">
      <w:start w:val="2"/>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6E27ADA"/>
    <w:rsid w:val="07A56A29"/>
    <w:rsid w:val="0A4F60F9"/>
    <w:rsid w:val="166C3E5C"/>
    <w:rsid w:val="21217D8A"/>
    <w:rsid w:val="2386555D"/>
    <w:rsid w:val="25E54563"/>
    <w:rsid w:val="27E162AD"/>
    <w:rsid w:val="29E140BF"/>
    <w:rsid w:val="2A631000"/>
    <w:rsid w:val="4DC81F78"/>
    <w:rsid w:val="4F7244C4"/>
    <w:rsid w:val="51492FE2"/>
    <w:rsid w:val="5F9D2B92"/>
    <w:rsid w:val="60A60CCB"/>
    <w:rsid w:val="616F470F"/>
    <w:rsid w:val="63143EF4"/>
    <w:rsid w:val="65316E3C"/>
    <w:rsid w:val="6AE93CA8"/>
    <w:rsid w:val="6AED5C1F"/>
    <w:rsid w:val="6C730131"/>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next w:val="8"/>
    <w:link w:val="35"/>
    <w:qFormat/>
    <w:uiPriority w:val="0"/>
    <w:pPr>
      <w:spacing w:after="120"/>
    </w:pPr>
    <w:rPr>
      <w:rFonts w:ascii="Times New Roman"/>
    </w:rPr>
  </w:style>
  <w:style w:type="paragraph" w:styleId="8">
    <w:name w:val="Body Text First Indent"/>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qFormat/>
    <w:uiPriority w:val="0"/>
    <w:pPr>
      <w:ind w:left="840" w:leftChars="400"/>
    </w:pPr>
  </w:style>
  <w:style w:type="paragraph" w:styleId="11">
    <w:name w:val="Plain Text"/>
    <w:basedOn w:val="1"/>
    <w:link w:val="41"/>
    <w:qFormat/>
    <w:uiPriority w:val="0"/>
    <w:pPr>
      <w:autoSpaceDE/>
      <w:autoSpaceDN/>
      <w:adjustRightInd/>
      <w:jc w:val="both"/>
    </w:pPr>
    <w:rPr>
      <w:rFonts w:hAnsi="Courier New"/>
      <w:kern w:val="2"/>
      <w:sz w:val="21"/>
      <w:szCs w:val="20"/>
    </w:rPr>
  </w:style>
  <w:style w:type="paragraph" w:styleId="12">
    <w:name w:val="Balloon Text"/>
    <w:basedOn w:val="1"/>
    <w:link w:val="32"/>
    <w:qFormat/>
    <w:uiPriority w:val="0"/>
    <w:rPr>
      <w:sz w:val="18"/>
      <w:szCs w:val="18"/>
    </w:rPr>
  </w:style>
  <w:style w:type="paragraph" w:styleId="13">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6"/>
    <w:next w:val="6"/>
    <w:link w:val="34"/>
    <w:qFormat/>
    <w:uiPriority w:val="0"/>
    <w:rPr>
      <w:b/>
      <w:bCs/>
    </w:rPr>
  </w:style>
  <w:style w:type="paragraph" w:styleId="20">
    <w:name w:val="Body Text First Indent 2"/>
    <w:basedOn w:val="9"/>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2"/>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9"/>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8"/>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6"/>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1"/>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3"/>
    <w:qFormat/>
    <w:uiPriority w:val="99"/>
    <w:rPr>
      <w:rFonts w:asciiTheme="minorHAnsi" w:hAnsiTheme="minorHAnsi" w:eastAsiaTheme="minorEastAsia" w:cstheme="minorBidi"/>
      <w:kern w:val="2"/>
      <w:sz w:val="18"/>
      <w:szCs w:val="18"/>
    </w:rPr>
  </w:style>
  <w:style w:type="character" w:customStyle="1" w:styleId="44">
    <w:name w:val="页眉 字符"/>
    <w:link w:val="14"/>
    <w:qFormat/>
    <w:uiPriority w:val="99"/>
    <w:rPr>
      <w:rFonts w:ascii="宋体"/>
      <w:sz w:val="18"/>
      <w:szCs w:val="24"/>
    </w:rPr>
  </w:style>
  <w:style w:type="character" w:customStyle="1" w:styleId="45">
    <w:name w:val="HTML 预设格式 字符"/>
    <w:basedOn w:val="23"/>
    <w:link w:val="18"/>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9"/>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7">
    <w:name w:val="首行缩进"/>
    <w:basedOn w:val="1"/>
    <w:qFormat/>
    <w:uiPriority w:val="0"/>
    <w:pPr>
      <w:ind w:firstLine="480" w:firstLineChars="200"/>
    </w:pPr>
    <w:rPr>
      <w:lang w:val="zh-CN"/>
    </w:rPr>
  </w:style>
  <w:style w:type="character" w:customStyle="1" w:styleId="58">
    <w:name w:val="font11"/>
    <w:basedOn w:val="23"/>
    <w:qFormat/>
    <w:uiPriority w:val="0"/>
    <w:rPr>
      <w:rFonts w:hint="eastAsia" w:ascii="宋体" w:hAnsi="宋体" w:eastAsia="宋体" w:cs="宋体"/>
      <w:color w:val="000000"/>
      <w:sz w:val="22"/>
      <w:szCs w:val="22"/>
      <w:u w:val="none"/>
    </w:rPr>
  </w:style>
  <w:style w:type="character" w:customStyle="1" w:styleId="59">
    <w:name w:val="font41"/>
    <w:basedOn w:val="23"/>
    <w:qFormat/>
    <w:uiPriority w:val="0"/>
    <w:rPr>
      <w:rFonts w:hint="eastAsia" w:ascii="宋体" w:hAnsi="宋体" w:eastAsia="宋体" w:cs="宋体"/>
      <w:color w:val="000000"/>
      <w:sz w:val="20"/>
      <w:szCs w:val="20"/>
      <w:u w:val="none"/>
    </w:rPr>
  </w:style>
  <w:style w:type="character" w:customStyle="1" w:styleId="60">
    <w:name w:val="font31"/>
    <w:basedOn w:val="23"/>
    <w:qFormat/>
    <w:uiPriority w:val="0"/>
    <w:rPr>
      <w:rFonts w:hint="eastAsia" w:ascii="宋体" w:hAnsi="宋体" w:eastAsia="宋体" w:cs="宋体"/>
      <w:color w:val="000000"/>
      <w:sz w:val="20"/>
      <w:szCs w:val="20"/>
      <w:u w:val="none"/>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44</Pages>
  <Words>9477</Words>
  <Characters>9639</Characters>
  <Lines>140</Lines>
  <Paragraphs>39</Paragraphs>
  <TotalTime>4</TotalTime>
  <ScaleCrop>false</ScaleCrop>
  <LinksUpToDate>false</LinksUpToDate>
  <CharactersWithSpaces>9972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2025-12-01T02:59:36Z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8761F4D3A040451DA5E9294FB90FB4AB_13</vt:lpwstr>
  </property>
</Properties>
</file>