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A0CAF">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14:paraId="089376B0">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44"/>
          <w:szCs w:val="44"/>
          <w:highlight w:val="none"/>
          <w:lang w:val="zh-CN"/>
        </w:rPr>
      </w:pPr>
      <w:r>
        <w:rPr>
          <w:rFonts w:hint="eastAsia" w:ascii="宋体" w:hAnsi="宋体" w:eastAsia="宋体" w:cs="宋体"/>
          <w:b/>
          <w:bCs/>
          <w:color w:val="auto"/>
          <w:kern w:val="0"/>
          <w:sz w:val="60"/>
          <w:szCs w:val="60"/>
          <w:highlight w:val="none"/>
          <w:lang w:val="zh-CN"/>
        </w:rPr>
        <w:t>东莞市置拓投资有限公司水业大厦2026-2027年度物业管理服务采购项目</w:t>
      </w:r>
    </w:p>
    <w:p w14:paraId="0C2F0A06">
      <w:pPr>
        <w:autoSpaceDE w:val="0"/>
        <w:autoSpaceDN w:val="0"/>
        <w:adjustRightInd w:val="0"/>
        <w:ind w:right="-23" w:rightChars="-11"/>
        <w:jc w:val="left"/>
        <w:rPr>
          <w:rFonts w:hint="eastAsia" w:ascii="宋体" w:hAnsi="宋体" w:eastAsia="宋体" w:cs="宋体"/>
          <w:b/>
          <w:bCs/>
          <w:color w:val="auto"/>
          <w:sz w:val="44"/>
          <w:szCs w:val="44"/>
          <w:highlight w:val="none"/>
          <w:lang w:val="zh-CN"/>
        </w:rPr>
      </w:pPr>
    </w:p>
    <w:p w14:paraId="724D7A64">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p>
    <w:p w14:paraId="65BFF341">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14:paraId="620DE68F">
      <w:pPr>
        <w:autoSpaceDE w:val="0"/>
        <w:autoSpaceDN w:val="0"/>
        <w:adjustRightInd w:val="0"/>
        <w:ind w:right="-23" w:rightChars="-11"/>
        <w:jc w:val="center"/>
        <w:rPr>
          <w:rFonts w:hint="eastAsia" w:ascii="宋体" w:hAnsi="宋体" w:eastAsia="宋体" w:cs="宋体"/>
          <w:b/>
          <w:bCs/>
          <w:color w:val="auto"/>
          <w:sz w:val="32"/>
          <w:szCs w:val="32"/>
          <w:highlight w:val="none"/>
          <w:lang w:val="zh-CN"/>
        </w:rPr>
      </w:pPr>
    </w:p>
    <w:p w14:paraId="42D706E0">
      <w:pPr>
        <w:autoSpaceDE w:val="0"/>
        <w:autoSpaceDN w:val="0"/>
        <w:adjustRightInd w:val="0"/>
        <w:ind w:right="-23" w:rightChars="-11"/>
        <w:jc w:val="center"/>
        <w:rPr>
          <w:rFonts w:hint="eastAsia" w:ascii="宋体" w:hAnsi="宋体" w:eastAsia="宋体" w:cs="宋体"/>
          <w:b/>
          <w:bCs/>
          <w:color w:val="auto"/>
          <w:sz w:val="44"/>
          <w:szCs w:val="44"/>
          <w:highlight w:val="none"/>
          <w:lang w:val="zh-CN"/>
        </w:rPr>
      </w:pPr>
    </w:p>
    <w:p w14:paraId="3F248503">
      <w:pPr>
        <w:autoSpaceDE w:val="0"/>
        <w:autoSpaceDN w:val="0"/>
        <w:adjustRightInd w:val="0"/>
        <w:ind w:right="-23" w:rightChars="-11"/>
        <w:jc w:val="left"/>
        <w:rPr>
          <w:rFonts w:hint="eastAsia" w:ascii="宋体" w:hAnsi="宋体" w:eastAsia="宋体" w:cs="宋体"/>
          <w:b/>
          <w:bCs/>
          <w:color w:val="auto"/>
          <w:sz w:val="32"/>
          <w:szCs w:val="32"/>
          <w:highlight w:val="none"/>
          <w:u w:val="single"/>
          <w:lang w:val="zh-CN"/>
        </w:rPr>
      </w:pPr>
    </w:p>
    <w:p w14:paraId="4023B0D7">
      <w:pPr>
        <w:tabs>
          <w:tab w:val="left" w:pos="9240"/>
        </w:tabs>
        <w:autoSpaceDE w:val="0"/>
        <w:autoSpaceDN w:val="0"/>
        <w:adjustRightInd w:val="0"/>
        <w:spacing w:line="700" w:lineRule="exact"/>
        <w:ind w:right="-23" w:rightChars="-11"/>
        <w:jc w:val="left"/>
        <w:rPr>
          <w:rFonts w:hint="eastAsia" w:ascii="宋体" w:hAnsi="宋体" w:eastAsia="宋体" w:cs="宋体"/>
          <w:b/>
          <w:bCs/>
          <w:color w:val="auto"/>
          <w:sz w:val="32"/>
          <w:szCs w:val="32"/>
          <w:highlight w:val="none"/>
          <w:lang w:val="zh-CN"/>
        </w:rPr>
      </w:pPr>
    </w:p>
    <w:p w14:paraId="743F0524">
      <w:pPr>
        <w:autoSpaceDE w:val="0"/>
        <w:autoSpaceDN w:val="0"/>
        <w:adjustRightInd w:val="0"/>
        <w:spacing w:line="480" w:lineRule="auto"/>
        <w:ind w:left="1841" w:leftChars="600" w:hanging="581" w:hangingChars="181"/>
        <w:jc w:val="left"/>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号：SSSSSZ12502454</w:t>
      </w:r>
    </w:p>
    <w:p w14:paraId="0A8146E9">
      <w:pPr>
        <w:autoSpaceDE w:val="0"/>
        <w:autoSpaceDN w:val="0"/>
        <w:adjustRightInd w:val="0"/>
        <w:spacing w:line="480" w:lineRule="auto"/>
        <w:ind w:left="1841" w:leftChars="600" w:hanging="581" w:hangingChars="181"/>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人：东莞市置拓投资有限公司</w:t>
      </w:r>
    </w:p>
    <w:p w14:paraId="482941CA">
      <w:pPr>
        <w:autoSpaceDE w:val="0"/>
        <w:autoSpaceDN w:val="0"/>
        <w:adjustRightInd w:val="0"/>
        <w:spacing w:line="480" w:lineRule="auto"/>
        <w:ind w:left="1841" w:leftChars="600" w:hanging="581" w:hangingChars="181"/>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招标代理机构：三方诚信招标有限公司</w:t>
      </w:r>
    </w:p>
    <w:p w14:paraId="562AEE12">
      <w:pPr>
        <w:autoSpaceDE w:val="0"/>
        <w:autoSpaceDN w:val="0"/>
        <w:adjustRightInd w:val="0"/>
        <w:ind w:right="-23" w:rightChars="-11"/>
        <w:jc w:val="left"/>
        <w:rPr>
          <w:rFonts w:hint="eastAsia" w:ascii="宋体" w:hAnsi="宋体" w:eastAsia="宋体" w:cs="宋体"/>
          <w:b/>
          <w:bCs/>
          <w:color w:val="auto"/>
          <w:kern w:val="0"/>
          <w:sz w:val="32"/>
          <w:szCs w:val="32"/>
          <w:highlight w:val="none"/>
          <w:lang w:val="zh-CN"/>
        </w:rPr>
      </w:pPr>
    </w:p>
    <w:p w14:paraId="223585FD">
      <w:pPr>
        <w:autoSpaceDE w:val="0"/>
        <w:autoSpaceDN w:val="0"/>
        <w:adjustRightInd w:val="0"/>
        <w:ind w:right="-23" w:rightChars="-11"/>
        <w:jc w:val="center"/>
        <w:rPr>
          <w:rFonts w:hint="eastAsia" w:ascii="宋体" w:hAnsi="宋体" w:eastAsia="宋体" w:cs="宋体"/>
          <w:b/>
          <w:bCs/>
          <w:color w:val="auto"/>
          <w:kern w:val="0"/>
          <w:sz w:val="84"/>
          <w:szCs w:val="84"/>
          <w:highlight w:val="none"/>
          <w:lang w:val="zh-CN"/>
        </w:rPr>
      </w:pPr>
    </w:p>
    <w:p w14:paraId="6D03564F">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12</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3</w:t>
      </w:r>
      <w:bookmarkStart w:id="1044" w:name="_GoBack"/>
      <w:bookmarkEnd w:id="1044"/>
      <w:r>
        <w:rPr>
          <w:rFonts w:hint="eastAsia" w:ascii="宋体" w:hAnsi="宋体" w:eastAsia="宋体" w:cs="宋体"/>
          <w:b/>
          <w:bCs/>
          <w:color w:val="auto"/>
          <w:sz w:val="32"/>
          <w:szCs w:val="32"/>
          <w:highlight w:val="none"/>
          <w:lang w:val="zh-CN"/>
        </w:rPr>
        <w:t>日</w:t>
      </w:r>
    </w:p>
    <w:p w14:paraId="0F6AE0BD">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7E62E586">
      <w:pPr>
        <w:pageBreakBefore/>
        <w:spacing w:line="360" w:lineRule="auto"/>
        <w:jc w:val="center"/>
        <w:outlineLvl w:val="9"/>
        <w:rPr>
          <w:rFonts w:hint="eastAsia" w:ascii="宋体" w:hAnsi="宋体" w:eastAsia="宋体" w:cs="宋体"/>
          <w:b/>
          <w:color w:val="auto"/>
          <w:sz w:val="36"/>
          <w:szCs w:val="36"/>
          <w:highlight w:val="none"/>
        </w:rPr>
      </w:pPr>
      <w:bookmarkStart w:id="0" w:name="_Toc16773"/>
      <w:bookmarkStart w:id="1" w:name="_Toc7755"/>
      <w:r>
        <w:rPr>
          <w:rFonts w:hint="eastAsia" w:ascii="宋体" w:hAnsi="宋体" w:eastAsia="宋体" w:cs="宋体"/>
          <w:b/>
          <w:color w:val="auto"/>
          <w:sz w:val="36"/>
          <w:szCs w:val="36"/>
          <w:highlight w:val="none"/>
          <w:lang w:bidi="ar"/>
        </w:rPr>
        <w:t>重要提示</w:t>
      </w:r>
      <w:bookmarkEnd w:id="0"/>
      <w:bookmarkEnd w:id="1"/>
    </w:p>
    <w:p w14:paraId="3F89F898">
      <w:pPr>
        <w:pStyle w:val="37"/>
        <w:widowControl w:val="0"/>
        <w:spacing w:before="0" w:beforeAutospacing="0" w:after="0" w:afterAutospacing="0" w:line="360" w:lineRule="auto"/>
        <w:ind w:firstLine="480" w:firstLineChars="200"/>
        <w:jc w:val="both"/>
        <w:outlineLvl w:val="9"/>
        <w:rPr>
          <w:rFonts w:hint="eastAsia" w:ascii="宋体" w:hAnsi="宋体" w:eastAsia="宋体" w:cs="宋体"/>
          <w:color w:val="auto"/>
          <w:sz w:val="24"/>
          <w:szCs w:val="24"/>
          <w:highlight w:val="none"/>
          <w:lang w:bidi="ar"/>
        </w:rPr>
      </w:pPr>
      <w:bookmarkStart w:id="2" w:name="_Toc12698"/>
      <w:bookmarkStart w:id="3" w:name="_Toc22951"/>
      <w:r>
        <w:rPr>
          <w:rFonts w:hint="eastAsia" w:ascii="宋体" w:hAnsi="宋体" w:eastAsia="宋体" w:cs="宋体"/>
          <w:color w:val="auto"/>
          <w:sz w:val="24"/>
          <w:szCs w:val="24"/>
          <w:highlight w:val="none"/>
          <w:lang w:bidi="ar"/>
        </w:rPr>
        <w:t>1.本次招标项目采用电子标书。</w:t>
      </w:r>
      <w:bookmarkEnd w:id="2"/>
      <w:bookmarkEnd w:id="3"/>
    </w:p>
    <w:p w14:paraId="0D75FAB0">
      <w:pPr>
        <w:pStyle w:val="37"/>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投标人将被要求递交具备法律效力的电子投标文件。为此，投标人应当具备使用依法设立的电子认证服务提供者签发的电子签名认证证书对电子投标文件进行电子签名的能力。投标人可向依法设立的电子认证服务提供者申请办理电子签名认证证书（简称：数字证书，包括企业数字证书和个人数字证书）。</w:t>
      </w:r>
    </w:p>
    <w:p w14:paraId="3A35DFAF">
      <w:pPr>
        <w:pStyle w:val="37"/>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3.除特别说明外，招标文件相关条款中提及的以及第六篇“投标文件格式”中包括但不限于“企业数字证书电子签名”及“电子签名”等要求签名的均指由数字证书电子签章或电子签名。</w:t>
      </w:r>
    </w:p>
    <w:p w14:paraId="3AC0B298">
      <w:pPr>
        <w:pStyle w:val="37"/>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4.投标人必须使用计算机互联网络（以下简称网络）将投标文件以jjb格式上传提交至东莞市公共资源交易E网通管理平台建设工程交易系统（以下简称交易系统），并在网上签到时，关联到对应的投标项目中。</w:t>
      </w:r>
    </w:p>
    <w:p w14:paraId="25C86F93">
      <w:pPr>
        <w:pStyle w:val="37"/>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5.投标人在交易系统中对投标文件进行解密的电子签名认证证书必须为机构证书或制作本项目投标文件的业务证书。</w:t>
      </w:r>
    </w:p>
    <w:p w14:paraId="26C35FAB">
      <w:pPr>
        <w:pStyle w:val="37"/>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6.投标人应及时提交投标文件，如在投标文件截止时间前因网络等任何原因未能成功上传投标文件，相关后果由投标人自行承担。</w:t>
      </w:r>
    </w:p>
    <w:p w14:paraId="6F9D5C2D">
      <w:pPr>
        <w:pStyle w:val="37"/>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7.投标人上传投标文件时，需设置投标文件查询密码（用于查询投标文件递交情况、撤销投标文件及签到时匹配对应的招标文件）。成功上传投标文件后，交易系统将自动随机生成投标文件识别码。识别码是交易系统确认投标人提交投标文件的唯一凭证，投标人须妥善保管。识别码丢失后，投标人将无法找回投标文件，需重新上传提交。</w:t>
      </w:r>
    </w:p>
    <w:p w14:paraId="45C72113">
      <w:pPr>
        <w:pStyle w:val="37"/>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8.如未在投标文件递交截止时间前匹配对应的投标文件，视为投标人未提交。本招标文件中签到、投标文件匹配、投标保证金关联等时间均以东莞市公共资源交易E网通管理平台时间为准。</w:t>
      </w:r>
    </w:p>
    <w:p w14:paraId="21D75FFE">
      <w:pPr>
        <w:pStyle w:val="37"/>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9.本招标项目在全国公共资源交易平台（广东省·东莞市）（https://ygp.gdzwfw.gov.cn/#/441900/index）等媒体发布招标公告，本项目招标公告及招标文件的修改、补充在全国公共资源交易平台（广东省·东莞市）发布。发布内容在其他媒体发布的文本如有不同之处，以在全国公共资源交易平台（广东省·东莞市）发布的文本为准。</w:t>
      </w:r>
    </w:p>
    <w:p w14:paraId="3C929EC9">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sdt>
      <w:sdtPr>
        <w:rPr>
          <w:rFonts w:hint="eastAsia" w:ascii="宋体" w:hAnsi="宋体" w:eastAsia="宋体" w:cs="宋体"/>
          <w:b/>
          <w:bCs/>
          <w:color w:val="auto"/>
          <w:sz w:val="24"/>
          <w:szCs w:val="24"/>
          <w:highlight w:val="none"/>
          <w:lang w:val="en-US" w:eastAsia="zh-CN"/>
        </w:rPr>
        <w:id w:val="147463298"/>
        <w15:color w:val="DBDBDB"/>
        <w:docPartObj>
          <w:docPartGallery w:val="Table of Contents"/>
          <w:docPartUnique/>
        </w:docPartObj>
      </w:sdtPr>
      <w:sdtEndPr>
        <w:rPr>
          <w:rFonts w:hint="eastAsia" w:asciiTheme="minorHAnsi" w:hAnsiTheme="minorHAnsi" w:eastAsiaTheme="minorEastAsia" w:cstheme="minorBidi"/>
          <w:b w:val="0"/>
          <w:bCs w:val="0"/>
          <w:color w:val="auto"/>
          <w:kern w:val="2"/>
          <w:sz w:val="21"/>
          <w:szCs w:val="22"/>
          <w:highlight w:val="none"/>
          <w:lang w:val="en-US" w:eastAsia="zh-CN" w:bidi="ar-SA"/>
        </w:rPr>
      </w:sdtEndPr>
      <w:sdtContent>
        <w:p w14:paraId="6FC188F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目</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录</w:t>
          </w:r>
        </w:p>
        <w:p w14:paraId="0B4D8C25">
          <w:pPr>
            <w:pStyle w:val="31"/>
            <w:keepNext w:val="0"/>
            <w:keepLines w:val="0"/>
            <w:pageBreakBefore w:val="0"/>
            <w:widowControl w:val="0"/>
            <w:tabs>
              <w:tab w:val="right" w:leader="dot" w:pos="98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color w:val="auto"/>
            </w:rPr>
            <w:fldChar w:fldCharType="begin"/>
          </w:r>
          <w:r>
            <w:rPr>
              <w:rFonts w:hint="eastAsia"/>
              <w:color w:val="auto"/>
            </w:rPr>
            <w:instrText xml:space="preserve">TOC \o "1-3" \h \u </w:instrText>
          </w:r>
          <w:r>
            <w:rPr>
              <w:rFonts w:hint="eastAsia"/>
              <w:color w:val="auto"/>
            </w:rPr>
            <w:fldChar w:fldCharType="separate"/>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_Toc8823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lang w:val="zh-CN"/>
            </w:rPr>
            <w:t>第一篇 招标公告</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_Toc8823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5</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24C8BCFA">
          <w:pPr>
            <w:pStyle w:val="31"/>
            <w:keepNext w:val="0"/>
            <w:keepLines w:val="0"/>
            <w:pageBreakBefore w:val="0"/>
            <w:widowControl w:val="0"/>
            <w:tabs>
              <w:tab w:val="right" w:leader="dot" w:pos="98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_Toc17076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lang w:val="zh-CN"/>
            </w:rPr>
            <w:t>第二篇</w:t>
          </w:r>
          <w:r>
            <w:rPr>
              <w:rFonts w:hint="eastAsia" w:ascii="宋体" w:hAnsi="宋体" w:eastAsia="宋体" w:cs="宋体"/>
              <w:b/>
              <w:bCs/>
              <w:color w:val="auto"/>
              <w:highlight w:val="none"/>
            </w:rPr>
            <w:t xml:space="preserve"> </w:t>
          </w:r>
          <w:r>
            <w:rPr>
              <w:rFonts w:hint="eastAsia" w:ascii="宋体" w:hAnsi="宋体" w:eastAsia="宋体" w:cs="宋体"/>
              <w:b/>
              <w:bCs/>
              <w:color w:val="auto"/>
              <w:highlight w:val="none"/>
              <w:lang w:val="zh-CN"/>
            </w:rPr>
            <w:t>投标人须知</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_Toc17076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8</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5BBB207D">
          <w:pPr>
            <w:pStyle w:val="31"/>
            <w:keepNext w:val="0"/>
            <w:keepLines w:val="0"/>
            <w:pageBreakBefore w:val="0"/>
            <w:widowControl w:val="0"/>
            <w:tabs>
              <w:tab w:val="right" w:leader="dot" w:pos="98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_Toc16416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lang w:val="zh-CN"/>
            </w:rPr>
            <w:t>一、总则</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_Toc16416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8</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045C1945">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_Toc31133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 资金来源：企业自筹资金。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_Toc31133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C4B519D">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_Toc4951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_Toc4951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959FA81">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_Toc8522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3 合格的</w:t>
          </w:r>
          <w:r>
            <w:rPr>
              <w:rFonts w:hint="eastAsia" w:ascii="宋体" w:hAnsi="宋体" w:eastAsia="宋体" w:cs="宋体"/>
              <w:color w:val="auto"/>
              <w:highlight w:val="none"/>
              <w:lang w:val="en-US" w:eastAsia="zh-CN"/>
            </w:rPr>
            <w:t>服务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9E62A10">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_Toc7422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_Toc7422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404AF68">
          <w:pPr>
            <w:pStyle w:val="31"/>
            <w:keepNext w:val="0"/>
            <w:keepLines w:val="0"/>
            <w:pageBreakBefore w:val="0"/>
            <w:widowControl w:val="0"/>
            <w:tabs>
              <w:tab w:val="right" w:leader="dot" w:pos="98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_Toc21611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lang w:val="zh-CN"/>
            </w:rPr>
            <w:t>二、招标文件</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_Toc21611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9</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0DE6AA8D">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_Toc7417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_Toc7417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25EBDBB">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_Toc27518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C93E80B">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_Toc26961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_Toc26961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BE67D16">
          <w:pPr>
            <w:pStyle w:val="31"/>
            <w:keepNext w:val="0"/>
            <w:keepLines w:val="0"/>
            <w:pageBreakBefore w:val="0"/>
            <w:widowControl w:val="0"/>
            <w:tabs>
              <w:tab w:val="right" w:leader="dot" w:pos="98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_Toc19940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lang w:val="zh-CN"/>
            </w:rPr>
            <w:t>三、投标文件的编制</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_Toc19940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11</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767B5258">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_Toc30579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_Toc30579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D0C6E2B">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_Toc24738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9 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_Toc24738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F578669">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_Toc28788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_Toc28788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C904B88">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_Toc10252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_Toc10252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6991C0A">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_Toc12427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_Toc12427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FD734A3">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_Toc7151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_Toc7151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A1B9FDE">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_Toc21262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14 证明服务的合格性并符合招标文件规定的声明文件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_Toc21262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591B077">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_Toc27132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_Toc27132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F580E9C">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_Toc14272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_Toc14272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91637DC">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17 投标文件的编制和签署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8A4F898">
          <w:pPr>
            <w:pStyle w:val="31"/>
            <w:keepNext w:val="0"/>
            <w:keepLines w:val="0"/>
            <w:pageBreakBefore w:val="0"/>
            <w:widowControl w:val="0"/>
            <w:tabs>
              <w:tab w:val="right" w:leader="dot" w:pos="98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_Toc4919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lang w:val="zh-CN"/>
            </w:rPr>
            <w:t>四、投标</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_Toc4919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17</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78827239">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_Toc19325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18 投标文件的加密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_Toc19325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279B9D5">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_Toc27535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19 投标文件的提交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095EA27">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_Toc8540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20 投标会时间、地点及投标文件提交的截止时间</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C993FE5">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_Toc11228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21 投标文件的拒绝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_Toc11228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45B2382">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_Toc32469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 xml:space="preserve">2 </w:t>
          </w:r>
          <w:r>
            <w:rPr>
              <w:rFonts w:hint="eastAsia" w:ascii="宋体" w:hAnsi="宋体" w:eastAsia="宋体" w:cs="宋体"/>
              <w:color w:val="auto"/>
              <w:highlight w:val="none"/>
              <w:lang w:val="zh-CN"/>
            </w:rPr>
            <w:t>投标文件的补充、修改与撤回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_Toc32469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14FEBB7">
          <w:pPr>
            <w:pStyle w:val="31"/>
            <w:keepNext w:val="0"/>
            <w:keepLines w:val="0"/>
            <w:pageBreakBefore w:val="0"/>
            <w:widowControl w:val="0"/>
            <w:tabs>
              <w:tab w:val="right" w:leader="dot" w:pos="98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_Toc3055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lang w:val="zh-CN"/>
            </w:rPr>
            <w:t>五、开标与评标</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_Toc3055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19</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3FD4A36B">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_Toc31296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 xml:space="preserve">3 </w:t>
          </w:r>
          <w:r>
            <w:rPr>
              <w:rFonts w:hint="eastAsia" w:ascii="宋体" w:hAnsi="宋体" w:eastAsia="宋体" w:cs="宋体"/>
              <w:color w:val="auto"/>
              <w:highlight w:val="none"/>
              <w:lang w:val="zh-CN"/>
            </w:rPr>
            <w:t>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_Toc31296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1642088">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_Toc14180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lang w:val="zh-CN"/>
            </w:rPr>
            <w:t xml:space="preserve"> </w:t>
          </w:r>
          <w:r>
            <w:rPr>
              <w:rFonts w:hint="eastAsia" w:ascii="宋体" w:hAnsi="宋体" w:eastAsia="宋体" w:cs="宋体"/>
              <w:color w:val="auto"/>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_Toc14180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63B8079">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_Toc19681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lang w:val="zh-CN"/>
            </w:rPr>
            <w:t xml:space="preserve">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_Toc19681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142CB2A">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_Toc13854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26</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投标文件的有效性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_Toc13854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1EAA9B8">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_Toc3068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7</w:t>
          </w:r>
          <w:r>
            <w:rPr>
              <w:rFonts w:hint="eastAsia" w:ascii="宋体" w:hAnsi="宋体" w:eastAsia="宋体" w:cs="宋体"/>
              <w:color w:val="auto"/>
              <w:highlight w:val="none"/>
              <w:lang w:val="zh-CN"/>
            </w:rPr>
            <w:t xml:space="preserve">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F75E3F5">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_Toc27027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8</w:t>
          </w:r>
          <w:r>
            <w:rPr>
              <w:rFonts w:hint="eastAsia" w:ascii="宋体" w:hAnsi="宋体" w:eastAsia="宋体" w:cs="宋体"/>
              <w:color w:val="auto"/>
              <w:highlight w:val="none"/>
              <w:lang w:val="zh-CN"/>
            </w:rPr>
            <w:t xml:space="preserve">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_Toc27027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276F72D">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_Toc19871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9</w:t>
          </w:r>
          <w:r>
            <w:rPr>
              <w:rFonts w:hint="eastAsia" w:ascii="宋体" w:hAnsi="宋体" w:eastAsia="宋体" w:cs="宋体"/>
              <w:color w:val="auto"/>
              <w:highlight w:val="none"/>
              <w:lang w:val="zh-CN"/>
            </w:rPr>
            <w:t xml:space="preserve">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_Toc19871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993E3D2">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_Toc12693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lang w:val="zh-CN"/>
            </w:rPr>
            <w:t xml:space="preserve">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_Toc12693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288F9F2">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_Toc24751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31 </w:t>
          </w:r>
          <w:r>
            <w:rPr>
              <w:rFonts w:hint="eastAsia" w:ascii="宋体" w:hAnsi="宋体" w:eastAsia="宋体" w:cs="宋体"/>
              <w:color w:val="auto"/>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_Toc24751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0DF317A">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_Toc5535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_Toc5535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5D4A90A">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_Toc30340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_Toc30340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EDA0C38">
          <w:pPr>
            <w:pStyle w:val="31"/>
            <w:keepNext w:val="0"/>
            <w:keepLines w:val="0"/>
            <w:pageBreakBefore w:val="0"/>
            <w:widowControl w:val="0"/>
            <w:tabs>
              <w:tab w:val="right" w:leader="dot" w:pos="98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_Toc16748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lang w:val="zh-CN"/>
            </w:rPr>
            <w:t>六、授予合同</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_Toc16748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23</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0A8BA6A8">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_Toc4578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_Toc4578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181CFB7">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_Toc24354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lang w:val="zh-CN"/>
            </w:rPr>
            <w:t xml:space="preserve">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_Toc24354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E59521F">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_Toc1257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1770A75">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_Toc20148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37 </w:t>
          </w:r>
          <w:r>
            <w:rPr>
              <w:rFonts w:hint="eastAsia" w:ascii="宋体" w:hAnsi="宋体" w:eastAsia="宋体" w:cs="宋体"/>
              <w:color w:val="auto"/>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_Toc20148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4BC735E">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_Toc21728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38</w:t>
          </w:r>
          <w:r>
            <w:rPr>
              <w:rFonts w:hint="eastAsia" w:ascii="宋体" w:hAnsi="宋体" w:eastAsia="宋体" w:cs="宋体"/>
              <w:color w:val="auto"/>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_Toc21728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20551C7">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_Toc6369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39</w:t>
          </w:r>
          <w:r>
            <w:rPr>
              <w:rFonts w:hint="eastAsia" w:ascii="宋体" w:hAnsi="宋体" w:eastAsia="宋体" w:cs="宋体"/>
              <w:color w:val="auto"/>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_Toc6369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AB58D8C">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_Toc1473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w:t>
          </w:r>
          <w:r>
            <w:rPr>
              <w:rFonts w:hint="eastAsia" w:ascii="宋体" w:hAnsi="宋体" w:eastAsia="宋体" w:cs="宋体"/>
              <w:color w:val="auto"/>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_Toc1473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D499892">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_Toc7977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41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_Toc7977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B0968AF">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_Toc21193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_Toc21193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FDF2A91">
          <w:pPr>
            <w:pStyle w:val="31"/>
            <w:keepNext w:val="0"/>
            <w:keepLines w:val="0"/>
            <w:pageBreakBefore w:val="0"/>
            <w:widowControl w:val="0"/>
            <w:tabs>
              <w:tab w:val="right" w:leader="dot" w:pos="98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fldChar w:fldCharType="begin"/>
          </w:r>
          <w:r>
            <w:rPr>
              <w:rFonts w:hint="eastAsia" w:ascii="宋体" w:hAnsi="宋体" w:eastAsia="宋体" w:cs="宋体"/>
              <w:b/>
              <w:bCs/>
              <w:color w:val="auto"/>
              <w:highlight w:val="none"/>
              <w:lang w:val="en-US" w:eastAsia="zh-CN"/>
            </w:rPr>
            <w:instrText xml:space="preserve"> HYPERLINK \l _Toc6282 </w:instrText>
          </w:r>
          <w:r>
            <w:rPr>
              <w:rFonts w:hint="eastAsia" w:ascii="宋体" w:hAnsi="宋体" w:eastAsia="宋体" w:cs="宋体"/>
              <w:b/>
              <w:bCs/>
              <w:color w:val="auto"/>
              <w:highlight w:val="none"/>
              <w:lang w:val="en-US" w:eastAsia="zh-CN"/>
            </w:rPr>
            <w:fldChar w:fldCharType="separate"/>
          </w:r>
          <w:r>
            <w:rPr>
              <w:rFonts w:hint="eastAsia" w:ascii="宋体" w:hAnsi="宋体" w:eastAsia="宋体" w:cs="宋体"/>
              <w:b/>
              <w:bCs/>
              <w:color w:val="auto"/>
              <w:highlight w:val="none"/>
              <w:lang w:val="zh-CN" w:eastAsia="zh-CN"/>
            </w:rPr>
            <w:t>第三篇 用户需求书</w:t>
          </w:r>
          <w:r>
            <w:rPr>
              <w:rFonts w:hint="eastAsia" w:ascii="宋体" w:hAnsi="宋体" w:eastAsia="宋体" w:cs="宋体"/>
              <w:b/>
              <w:bCs/>
              <w:color w:val="auto"/>
              <w:highlight w:val="none"/>
              <w:lang w:val="en-US" w:eastAsia="zh-CN"/>
            </w:rPr>
            <w:tab/>
          </w:r>
          <w:r>
            <w:rPr>
              <w:rFonts w:hint="eastAsia" w:ascii="宋体" w:hAnsi="宋体" w:eastAsia="宋体" w:cs="宋体"/>
              <w:b/>
              <w:bCs/>
              <w:color w:val="auto"/>
              <w:highlight w:val="none"/>
              <w:lang w:val="en-US" w:eastAsia="zh-CN"/>
            </w:rPr>
            <w:fldChar w:fldCharType="begin"/>
          </w:r>
          <w:r>
            <w:rPr>
              <w:rFonts w:hint="eastAsia" w:ascii="宋体" w:hAnsi="宋体" w:eastAsia="宋体" w:cs="宋体"/>
              <w:b/>
              <w:bCs/>
              <w:color w:val="auto"/>
              <w:highlight w:val="none"/>
              <w:lang w:val="en-US" w:eastAsia="zh-CN"/>
            </w:rPr>
            <w:instrText xml:space="preserve"> PAGEREF _Toc6282 \h </w:instrText>
          </w:r>
          <w:r>
            <w:rPr>
              <w:rFonts w:hint="eastAsia" w:ascii="宋体" w:hAnsi="宋体" w:eastAsia="宋体" w:cs="宋体"/>
              <w:b/>
              <w:bCs/>
              <w:color w:val="auto"/>
              <w:highlight w:val="none"/>
              <w:lang w:val="en-US" w:eastAsia="zh-CN"/>
            </w:rPr>
            <w:fldChar w:fldCharType="separate"/>
          </w:r>
          <w:r>
            <w:rPr>
              <w:rFonts w:hint="eastAsia" w:ascii="宋体" w:hAnsi="宋体" w:eastAsia="宋体" w:cs="宋体"/>
              <w:b/>
              <w:bCs/>
              <w:color w:val="auto"/>
              <w:highlight w:val="none"/>
              <w:lang w:val="en-US" w:eastAsia="zh-CN"/>
            </w:rPr>
            <w:t>27</w:t>
          </w:r>
          <w:r>
            <w:rPr>
              <w:rFonts w:hint="eastAsia" w:ascii="宋体" w:hAnsi="宋体" w:eastAsia="宋体" w:cs="宋体"/>
              <w:b/>
              <w:bCs/>
              <w:color w:val="auto"/>
              <w:highlight w:val="none"/>
              <w:lang w:val="en-US" w:eastAsia="zh-CN"/>
            </w:rPr>
            <w:fldChar w:fldCharType="end"/>
          </w:r>
          <w:r>
            <w:rPr>
              <w:rFonts w:hint="eastAsia" w:ascii="宋体" w:hAnsi="宋体" w:eastAsia="宋体" w:cs="宋体"/>
              <w:b/>
              <w:bCs/>
              <w:color w:val="auto"/>
              <w:highlight w:val="none"/>
              <w:lang w:val="en-US" w:eastAsia="zh-CN"/>
            </w:rPr>
            <w:fldChar w:fldCharType="end"/>
          </w:r>
        </w:p>
        <w:p w14:paraId="5670114D">
          <w:pPr>
            <w:pStyle w:val="31"/>
            <w:keepNext w:val="0"/>
            <w:keepLines w:val="0"/>
            <w:pageBreakBefore w:val="0"/>
            <w:widowControl w:val="0"/>
            <w:tabs>
              <w:tab w:val="right" w:leader="dot" w:pos="98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fldChar w:fldCharType="begin"/>
          </w:r>
          <w:r>
            <w:rPr>
              <w:rFonts w:hint="eastAsia" w:ascii="宋体" w:hAnsi="宋体" w:eastAsia="宋体" w:cs="宋体"/>
              <w:b/>
              <w:bCs/>
              <w:color w:val="auto"/>
              <w:highlight w:val="none"/>
              <w:lang w:val="en-US" w:eastAsia="zh-CN"/>
            </w:rPr>
            <w:instrText xml:space="preserve"> HYPERLINK \l _Toc23633 </w:instrText>
          </w:r>
          <w:r>
            <w:rPr>
              <w:rFonts w:hint="eastAsia" w:ascii="宋体" w:hAnsi="宋体" w:eastAsia="宋体" w:cs="宋体"/>
              <w:b/>
              <w:bCs/>
              <w:color w:val="auto"/>
              <w:highlight w:val="none"/>
              <w:lang w:val="en-US" w:eastAsia="zh-CN"/>
            </w:rPr>
            <w:fldChar w:fldCharType="separate"/>
          </w:r>
          <w:r>
            <w:rPr>
              <w:rFonts w:hint="eastAsia" w:ascii="宋体" w:hAnsi="宋体" w:eastAsia="宋体" w:cs="宋体"/>
              <w:b/>
              <w:bCs/>
              <w:color w:val="auto"/>
              <w:highlight w:val="none"/>
              <w:lang w:val="zh-CN" w:eastAsia="zh-CN"/>
            </w:rPr>
            <w:t>第四篇 合同条款格式</w:t>
          </w:r>
          <w:r>
            <w:rPr>
              <w:rFonts w:hint="eastAsia" w:ascii="宋体" w:hAnsi="宋体" w:eastAsia="宋体" w:cs="宋体"/>
              <w:b/>
              <w:bCs/>
              <w:color w:val="auto"/>
              <w:highlight w:val="none"/>
              <w:lang w:val="en-US" w:eastAsia="zh-CN"/>
            </w:rPr>
            <w:tab/>
          </w:r>
          <w:r>
            <w:rPr>
              <w:rFonts w:hint="eastAsia" w:ascii="宋体" w:hAnsi="宋体" w:eastAsia="宋体" w:cs="宋体"/>
              <w:b/>
              <w:bCs/>
              <w:color w:val="auto"/>
              <w:highlight w:val="none"/>
              <w:lang w:val="en-US" w:eastAsia="zh-CN"/>
            </w:rPr>
            <w:fldChar w:fldCharType="begin"/>
          </w:r>
          <w:r>
            <w:rPr>
              <w:rFonts w:hint="eastAsia" w:ascii="宋体" w:hAnsi="宋体" w:eastAsia="宋体" w:cs="宋体"/>
              <w:b/>
              <w:bCs/>
              <w:color w:val="auto"/>
              <w:highlight w:val="none"/>
              <w:lang w:val="en-US" w:eastAsia="zh-CN"/>
            </w:rPr>
            <w:instrText xml:space="preserve"> PAGEREF _Toc23633 \h </w:instrText>
          </w:r>
          <w:r>
            <w:rPr>
              <w:rFonts w:hint="eastAsia" w:ascii="宋体" w:hAnsi="宋体" w:eastAsia="宋体" w:cs="宋体"/>
              <w:b/>
              <w:bCs/>
              <w:color w:val="auto"/>
              <w:highlight w:val="none"/>
              <w:lang w:val="en-US" w:eastAsia="zh-CN"/>
            </w:rPr>
            <w:fldChar w:fldCharType="separate"/>
          </w:r>
          <w:r>
            <w:rPr>
              <w:rFonts w:hint="eastAsia" w:ascii="宋体" w:hAnsi="宋体" w:eastAsia="宋体" w:cs="宋体"/>
              <w:b/>
              <w:bCs/>
              <w:color w:val="auto"/>
              <w:highlight w:val="none"/>
              <w:lang w:val="en-US" w:eastAsia="zh-CN"/>
            </w:rPr>
            <w:t>76</w:t>
          </w:r>
          <w:r>
            <w:rPr>
              <w:rFonts w:hint="eastAsia" w:ascii="宋体" w:hAnsi="宋体" w:eastAsia="宋体" w:cs="宋体"/>
              <w:b/>
              <w:bCs/>
              <w:color w:val="auto"/>
              <w:highlight w:val="none"/>
              <w:lang w:val="en-US" w:eastAsia="zh-CN"/>
            </w:rPr>
            <w:fldChar w:fldCharType="end"/>
          </w:r>
          <w:r>
            <w:rPr>
              <w:rFonts w:hint="eastAsia" w:ascii="宋体" w:hAnsi="宋体" w:eastAsia="宋体" w:cs="宋体"/>
              <w:b/>
              <w:bCs/>
              <w:color w:val="auto"/>
              <w:highlight w:val="none"/>
              <w:lang w:val="en-US" w:eastAsia="zh-CN"/>
            </w:rPr>
            <w:fldChar w:fldCharType="end"/>
          </w:r>
        </w:p>
        <w:p w14:paraId="6527248B">
          <w:pPr>
            <w:pStyle w:val="31"/>
            <w:keepNext w:val="0"/>
            <w:keepLines w:val="0"/>
            <w:pageBreakBefore w:val="0"/>
            <w:widowControl w:val="0"/>
            <w:tabs>
              <w:tab w:val="right" w:leader="dot" w:pos="98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fldChar w:fldCharType="begin"/>
          </w:r>
          <w:r>
            <w:rPr>
              <w:rFonts w:hint="eastAsia" w:ascii="宋体" w:hAnsi="宋体" w:eastAsia="宋体" w:cs="宋体"/>
              <w:b/>
              <w:bCs/>
              <w:color w:val="auto"/>
              <w:highlight w:val="none"/>
              <w:lang w:val="en-US" w:eastAsia="zh-CN"/>
            </w:rPr>
            <w:instrText xml:space="preserve"> HYPERLINK \l _Toc4630 </w:instrText>
          </w:r>
          <w:r>
            <w:rPr>
              <w:rFonts w:hint="eastAsia" w:ascii="宋体" w:hAnsi="宋体" w:eastAsia="宋体" w:cs="宋体"/>
              <w:b/>
              <w:bCs/>
              <w:color w:val="auto"/>
              <w:highlight w:val="none"/>
              <w:lang w:val="en-US" w:eastAsia="zh-CN"/>
            </w:rPr>
            <w:fldChar w:fldCharType="separate"/>
          </w:r>
          <w:r>
            <w:rPr>
              <w:rFonts w:hint="eastAsia" w:ascii="宋体" w:hAnsi="宋体" w:eastAsia="宋体" w:cs="宋体"/>
              <w:b/>
              <w:bCs/>
              <w:color w:val="auto"/>
              <w:highlight w:val="none"/>
              <w:lang w:val="zh-CN" w:eastAsia="zh-CN"/>
            </w:rPr>
            <w:t>第五篇 相关保函格式</w:t>
          </w:r>
          <w:r>
            <w:rPr>
              <w:rFonts w:hint="eastAsia" w:ascii="宋体" w:hAnsi="宋体" w:eastAsia="宋体" w:cs="宋体"/>
              <w:b/>
              <w:bCs/>
              <w:color w:val="auto"/>
              <w:highlight w:val="none"/>
              <w:lang w:val="en-US" w:eastAsia="zh-CN"/>
            </w:rPr>
            <w:tab/>
          </w:r>
          <w:r>
            <w:rPr>
              <w:rFonts w:hint="eastAsia" w:ascii="宋体" w:hAnsi="宋体" w:eastAsia="宋体" w:cs="宋体"/>
              <w:b/>
              <w:bCs/>
              <w:color w:val="auto"/>
              <w:highlight w:val="none"/>
              <w:lang w:val="en-US" w:eastAsia="zh-CN"/>
            </w:rPr>
            <w:fldChar w:fldCharType="begin"/>
          </w:r>
          <w:r>
            <w:rPr>
              <w:rFonts w:hint="eastAsia" w:ascii="宋体" w:hAnsi="宋体" w:eastAsia="宋体" w:cs="宋体"/>
              <w:b/>
              <w:bCs/>
              <w:color w:val="auto"/>
              <w:highlight w:val="none"/>
              <w:lang w:val="en-US" w:eastAsia="zh-CN"/>
            </w:rPr>
            <w:instrText xml:space="preserve"> PAGEREF _Toc4630 \h </w:instrText>
          </w:r>
          <w:r>
            <w:rPr>
              <w:rFonts w:hint="eastAsia" w:ascii="宋体" w:hAnsi="宋体" w:eastAsia="宋体" w:cs="宋体"/>
              <w:b/>
              <w:bCs/>
              <w:color w:val="auto"/>
              <w:highlight w:val="none"/>
              <w:lang w:val="en-US" w:eastAsia="zh-CN"/>
            </w:rPr>
            <w:fldChar w:fldCharType="separate"/>
          </w:r>
          <w:r>
            <w:rPr>
              <w:rFonts w:hint="eastAsia" w:ascii="宋体" w:hAnsi="宋体" w:eastAsia="宋体" w:cs="宋体"/>
              <w:b/>
              <w:bCs/>
              <w:color w:val="auto"/>
              <w:highlight w:val="none"/>
              <w:lang w:val="en-US" w:eastAsia="zh-CN"/>
            </w:rPr>
            <w:t>105</w:t>
          </w:r>
          <w:r>
            <w:rPr>
              <w:rFonts w:hint="eastAsia" w:ascii="宋体" w:hAnsi="宋体" w:eastAsia="宋体" w:cs="宋体"/>
              <w:b/>
              <w:bCs/>
              <w:color w:val="auto"/>
              <w:highlight w:val="none"/>
              <w:lang w:val="en-US" w:eastAsia="zh-CN"/>
            </w:rPr>
            <w:fldChar w:fldCharType="end"/>
          </w:r>
          <w:r>
            <w:rPr>
              <w:rFonts w:hint="eastAsia" w:ascii="宋体" w:hAnsi="宋体" w:eastAsia="宋体" w:cs="宋体"/>
              <w:b/>
              <w:bCs/>
              <w:color w:val="auto"/>
              <w:highlight w:val="none"/>
              <w:lang w:val="en-US" w:eastAsia="zh-CN"/>
            </w:rPr>
            <w:fldChar w:fldCharType="end"/>
          </w:r>
        </w:p>
        <w:p w14:paraId="06A77350">
          <w:pPr>
            <w:pStyle w:val="31"/>
            <w:keepNext w:val="0"/>
            <w:keepLines w:val="0"/>
            <w:pageBreakBefore w:val="0"/>
            <w:widowControl w:val="0"/>
            <w:tabs>
              <w:tab w:val="right" w:leader="dot" w:pos="98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_Toc29705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lang w:val="zh-CN" w:eastAsia="zh-CN"/>
            </w:rPr>
            <w:t>第六篇</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投标文件格式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_Toc29705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108</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0EC36315">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_Toc4870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附件一：评标工作大纲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_Toc4870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D960970">
          <w:pPr>
            <w:pStyle w:val="4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inorHAnsi" w:hAnsiTheme="minorHAnsi" w:eastAsiaTheme="minorEastAsia" w:cstheme="minorBidi"/>
              <w:b w:val="0"/>
              <w:bCs w:val="0"/>
              <w:color w:val="auto"/>
              <w:kern w:val="2"/>
              <w:sz w:val="21"/>
              <w:szCs w:val="22"/>
              <w:lang w:val="en-US" w:eastAsia="zh-CN" w:bidi="ar-SA"/>
            </w:rPr>
          </w:pPr>
          <w:r>
            <w:rPr>
              <w:rFonts w:hint="eastAsia"/>
              <w:color w:val="auto"/>
            </w:rPr>
            <w:fldChar w:fldCharType="end"/>
          </w:r>
        </w:p>
      </w:sdtContent>
    </w:sdt>
    <w:p w14:paraId="1EEE10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26C35D71">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lang w:val="zh-CN"/>
        </w:rPr>
      </w:pPr>
      <w:bookmarkStart w:id="4" w:name="_Toc24466"/>
      <w:bookmarkStart w:id="5" w:name="_Toc450662846"/>
      <w:bookmarkStart w:id="6" w:name="_Toc11860"/>
      <w:bookmarkStart w:id="7" w:name="_Toc142508310"/>
      <w:bookmarkStart w:id="8" w:name="_Toc486167660"/>
      <w:bookmarkStart w:id="9" w:name="_Toc4869"/>
      <w:bookmarkStart w:id="10" w:name="_Toc8823"/>
      <w:bookmarkStart w:id="11" w:name="_Toc17326"/>
      <w:bookmarkStart w:id="12" w:name="_Toc20249"/>
      <w:bookmarkStart w:id="13" w:name="_Toc2723_WPSOffice_Level1"/>
      <w:r>
        <w:rPr>
          <w:rFonts w:hint="eastAsia" w:ascii="宋体" w:hAnsi="宋体" w:eastAsia="宋体" w:cs="宋体"/>
          <w:b/>
          <w:bCs/>
          <w:color w:val="auto"/>
          <w:kern w:val="44"/>
          <w:sz w:val="32"/>
          <w:szCs w:val="32"/>
          <w:highlight w:val="none"/>
          <w:lang w:val="zh-CN"/>
        </w:rPr>
        <w:t>第一篇 招标公告</w:t>
      </w:r>
      <w:bookmarkEnd w:id="4"/>
      <w:bookmarkEnd w:id="5"/>
      <w:bookmarkEnd w:id="6"/>
      <w:bookmarkEnd w:id="7"/>
      <w:bookmarkEnd w:id="8"/>
      <w:bookmarkEnd w:id="9"/>
      <w:bookmarkEnd w:id="10"/>
      <w:bookmarkEnd w:id="11"/>
      <w:bookmarkEnd w:id="12"/>
      <w:bookmarkEnd w:id="13"/>
    </w:p>
    <w:p w14:paraId="4762110F">
      <w:pPr>
        <w:autoSpaceDE w:val="0"/>
        <w:autoSpaceDN w:val="0"/>
        <w:adjustRightInd w:val="0"/>
        <w:snapToGrid w:val="0"/>
        <w:spacing w:line="360" w:lineRule="auto"/>
        <w:ind w:right="-34"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lang w:eastAsia="zh-CN"/>
        </w:rPr>
        <w:t>三方诚信招标有限公司</w:t>
      </w:r>
      <w:r>
        <w:rPr>
          <w:rFonts w:hint="eastAsia" w:ascii="宋体" w:hAnsi="宋体" w:eastAsia="宋体" w:cs="宋体"/>
          <w:color w:val="auto"/>
          <w:szCs w:val="21"/>
          <w:highlight w:val="none"/>
          <w:lang w:val="zh-CN"/>
        </w:rPr>
        <w:t>（以下简称“招标代理机构”）受</w:t>
      </w:r>
      <w:r>
        <w:rPr>
          <w:rFonts w:hint="eastAsia" w:ascii="宋体" w:hAnsi="宋体" w:eastAsia="宋体" w:cs="宋体"/>
          <w:color w:val="auto"/>
          <w:kern w:val="0"/>
          <w:szCs w:val="21"/>
          <w:highlight w:val="none"/>
          <w:lang w:eastAsia="zh-CN"/>
        </w:rPr>
        <w:t>东莞市置拓投资有限公司</w:t>
      </w:r>
      <w:r>
        <w:rPr>
          <w:rFonts w:hint="eastAsia" w:ascii="宋体" w:hAnsi="宋体" w:eastAsia="宋体" w:cs="宋体"/>
          <w:color w:val="auto"/>
          <w:szCs w:val="21"/>
          <w:highlight w:val="none"/>
          <w:lang w:val="zh-CN"/>
        </w:rPr>
        <w:t>（以下简称“招标人”）的委托，对</w:t>
      </w:r>
      <w:bookmarkStart w:id="14" w:name="_Hlk41903390"/>
      <w:r>
        <w:rPr>
          <w:rFonts w:hint="eastAsia" w:ascii="宋体" w:hAnsi="宋体" w:eastAsia="宋体" w:cs="宋体"/>
          <w:color w:val="auto"/>
          <w:kern w:val="0"/>
          <w:szCs w:val="21"/>
          <w:highlight w:val="none"/>
          <w:lang w:eastAsia="zh-CN"/>
        </w:rPr>
        <w:t>东莞市置拓投资有限公司水业大厦2026-2027年度物业管理服务采购项目</w:t>
      </w:r>
      <w:r>
        <w:rPr>
          <w:rFonts w:hint="eastAsia" w:ascii="宋体" w:hAnsi="宋体" w:eastAsia="宋体" w:cs="宋体"/>
          <w:color w:val="auto"/>
          <w:szCs w:val="21"/>
          <w:highlight w:val="none"/>
          <w:lang w:val="zh-CN"/>
        </w:rPr>
        <w:t>(招标编号：SSSSSZ12502454)</w:t>
      </w:r>
      <w:bookmarkEnd w:id="14"/>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14:paraId="01254163">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14:paraId="3018B28F">
      <w:pPr>
        <w:numPr>
          <w:ilvl w:val="0"/>
          <w:numId w:val="2"/>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r>
        <w:rPr>
          <w:rFonts w:hint="eastAsia" w:ascii="宋体" w:hAnsi="宋体" w:eastAsia="宋体" w:cs="宋体"/>
          <w:color w:val="auto"/>
          <w:kern w:val="0"/>
          <w:szCs w:val="21"/>
          <w:highlight w:val="none"/>
          <w:lang w:eastAsia="zh-CN"/>
        </w:rPr>
        <w:t>东莞市置拓投资有限公司</w:t>
      </w:r>
      <w:r>
        <w:rPr>
          <w:rFonts w:hint="eastAsia" w:ascii="宋体" w:hAnsi="宋体" w:eastAsia="宋体" w:cs="宋体"/>
          <w:color w:val="auto"/>
          <w:kern w:val="0"/>
          <w:szCs w:val="21"/>
          <w:highlight w:val="none"/>
          <w:lang w:val="en-US" w:eastAsia="zh-CN"/>
        </w:rPr>
        <w:t>拟采购一家</w:t>
      </w:r>
      <w:r>
        <w:rPr>
          <w:rFonts w:hint="eastAsia" w:ascii="宋体" w:hAnsi="宋体" w:eastAsia="宋体" w:cs="宋体"/>
          <w:color w:val="auto"/>
          <w:kern w:val="0"/>
          <w:szCs w:val="21"/>
          <w:highlight w:val="none"/>
          <w:lang w:eastAsia="zh-CN"/>
        </w:rPr>
        <w:t>物业管理服务</w:t>
      </w:r>
      <w:r>
        <w:rPr>
          <w:rFonts w:hint="eastAsia" w:ascii="宋体" w:hAnsi="宋体" w:eastAsia="宋体" w:cs="宋体"/>
          <w:color w:val="auto"/>
          <w:kern w:val="0"/>
          <w:szCs w:val="21"/>
          <w:highlight w:val="none"/>
          <w:lang w:val="en-US" w:eastAsia="zh-CN"/>
        </w:rPr>
        <w:t>单位</w:t>
      </w:r>
      <w:r>
        <w:rPr>
          <w:rFonts w:hint="eastAsia" w:ascii="宋体" w:hAnsi="宋体" w:eastAsia="宋体" w:cs="宋体"/>
          <w:color w:val="auto"/>
          <w:kern w:val="0"/>
          <w:szCs w:val="21"/>
          <w:highlight w:val="none"/>
          <w:lang w:eastAsia="zh-CN"/>
        </w:rPr>
        <w:t>，物业管理服务分为物业管理带教服务和物业管理运营服务，物业管理带教服务由中标人对招标人委派的学员进行系统化的带教，使学员全面掌握写字楼物业项目的运营管理知识与技能，具备独立处理复杂问题、带领团队、达成业绩指标的能力。物业管理运营服务内容包括但不限于水业大厦的客户服务管理、安全保卫管理、清洁卫生管理、园林绿化养护和管理、空调系统维护保养管理、消防系统维护保养管理、供配电系统维护保养管理、给排水系统维护保养管理、智能化系统维护与保养管理、电梯系统维护与保养管理、突发应急管理、楼宇主体及其附属设施、公共配套设施维护与保养、日常物业维修及物业使用人装修管理、其他服务等工作</w:t>
      </w:r>
      <w:r>
        <w:rPr>
          <w:rFonts w:hint="eastAsia" w:ascii="Calibri" w:hAnsi="Calibri" w:eastAsia="宋体" w:cs="Times New Roman"/>
          <w:color w:val="auto"/>
          <w:kern w:val="2"/>
          <w:sz w:val="21"/>
          <w:szCs w:val="24"/>
          <w:lang w:val="en-US" w:eastAsia="zh-CN" w:bidi="ar-SA"/>
        </w:rPr>
        <w:t>。</w:t>
      </w:r>
      <w:r>
        <w:rPr>
          <w:rFonts w:hint="eastAsia" w:ascii="宋体" w:hAnsi="宋体" w:eastAsia="宋体" w:cs="Times New Roman"/>
          <w:color w:val="auto"/>
          <w:szCs w:val="21"/>
          <w:highlight w:val="none"/>
          <w:lang w:val="zh-CN"/>
        </w:rPr>
        <w:t>（具体内容详见：第三篇用户需求书）。</w:t>
      </w:r>
    </w:p>
    <w:p w14:paraId="6A7AB6E8">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p>
    <w:p w14:paraId="7CCAFB0A">
      <w:pPr>
        <w:numPr>
          <w:ilvl w:val="0"/>
          <w:numId w:val="2"/>
        </w:numPr>
        <w:autoSpaceDE w:val="0"/>
        <w:autoSpaceDN w:val="0"/>
        <w:adjustRightInd w:val="0"/>
        <w:snapToGrid w:val="0"/>
        <w:spacing w:line="360" w:lineRule="auto"/>
        <w:ind w:right="-34"/>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合格投标人资格要求：</w:t>
      </w:r>
    </w:p>
    <w:p w14:paraId="36E94F87">
      <w:pPr>
        <w:pStyle w:val="166"/>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0F6E6C81">
      <w:pPr>
        <w:pStyle w:val="166"/>
        <w:autoSpaceDE/>
        <w:autoSpaceDN/>
        <w:spacing w:line="360" w:lineRule="auto"/>
        <w:ind w:left="430" w:right="-29" w:rightChars="-14" w:hanging="430" w:hangingChars="204"/>
        <w:jc w:val="both"/>
        <w:rPr>
          <w:rFonts w:hint="eastAsia" w:hAnsi="宋体" w:eastAsia="宋体" w:cs="宋体"/>
          <w:b/>
          <w:color w:val="auto"/>
          <w:sz w:val="21"/>
          <w:szCs w:val="21"/>
          <w:lang w:val="zh-CN"/>
        </w:rPr>
      </w:pPr>
      <w:r>
        <w:rPr>
          <w:rFonts w:hint="eastAsia" w:hAnsi="宋体" w:eastAsia="宋体" w:cs="宋体"/>
          <w:b/>
          <w:color w:val="auto"/>
          <w:sz w:val="21"/>
          <w:szCs w:val="21"/>
          <w:lang w:val="zh-CN"/>
        </w:rPr>
        <w:t>2.</w:t>
      </w:r>
      <w:r>
        <w:rPr>
          <w:rFonts w:hint="eastAsia" w:hAnsi="宋体" w:eastAsia="宋体" w:cs="宋体"/>
          <w:b/>
          <w:color w:val="auto"/>
          <w:sz w:val="21"/>
          <w:szCs w:val="21"/>
          <w:lang w:val="en-US" w:eastAsia="zh-CN"/>
        </w:rPr>
        <w:t xml:space="preserve">2 </w:t>
      </w:r>
      <w:r>
        <w:rPr>
          <w:rFonts w:hint="eastAsia" w:hAnsi="宋体" w:eastAsia="宋体"/>
          <w:b/>
          <w:color w:val="auto"/>
          <w:sz w:val="21"/>
          <w:szCs w:val="21"/>
          <w:highlight w:val="none"/>
          <w:lang w:val="zh-CN"/>
        </w:rPr>
        <w:t>投标人202</w:t>
      </w:r>
      <w:r>
        <w:rPr>
          <w:rFonts w:hint="eastAsia" w:hAnsi="宋体" w:eastAsia="宋体"/>
          <w:b/>
          <w:color w:val="auto"/>
          <w:sz w:val="21"/>
          <w:szCs w:val="21"/>
          <w:highlight w:val="none"/>
          <w:lang w:val="en-US" w:eastAsia="zh-CN"/>
        </w:rPr>
        <w:t>2</w:t>
      </w:r>
      <w:r>
        <w:rPr>
          <w:rFonts w:hint="eastAsia" w:hAnsi="宋体" w:eastAsia="宋体"/>
          <w:b/>
          <w:color w:val="auto"/>
          <w:sz w:val="21"/>
          <w:szCs w:val="21"/>
          <w:highlight w:val="none"/>
          <w:lang w:val="zh-CN"/>
        </w:rPr>
        <w:t>年1月1日以来(以合同签订日期为准)至少承接一个物业管理服务项目业绩(服务内容必须为物业管理服务且同时包含</w:t>
      </w:r>
      <w:r>
        <w:rPr>
          <w:rFonts w:hint="eastAsia" w:hAnsi="宋体" w:eastAsia="宋体"/>
          <w:b/>
          <w:color w:val="auto"/>
          <w:sz w:val="21"/>
          <w:szCs w:val="21"/>
          <w:highlight w:val="none"/>
          <w:lang w:val="en-US" w:eastAsia="zh-CN"/>
        </w:rPr>
        <w:t>保洁</w:t>
      </w:r>
      <w:r>
        <w:rPr>
          <w:rFonts w:hint="eastAsia" w:hAnsi="宋体" w:eastAsia="宋体"/>
          <w:b/>
          <w:color w:val="auto"/>
          <w:sz w:val="21"/>
          <w:szCs w:val="21"/>
          <w:highlight w:val="none"/>
          <w:lang w:val="zh-CN"/>
        </w:rPr>
        <w:t>（或清洁或环境卫生）及保安（或安保或秩序维护）服务，合同签订日期为</w:t>
      </w:r>
      <w:r>
        <w:rPr>
          <w:rFonts w:hint="eastAsia" w:hAnsi="宋体" w:eastAsia="宋体"/>
          <w:b/>
          <w:color w:val="auto"/>
          <w:sz w:val="21"/>
          <w:szCs w:val="21"/>
          <w:highlight w:val="none"/>
          <w:lang w:val="en-US" w:eastAsia="zh-CN"/>
        </w:rPr>
        <w:t>2022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日或以后）；</w:t>
      </w:r>
    </w:p>
    <w:p w14:paraId="3D58321C">
      <w:pPr>
        <w:pStyle w:val="166"/>
        <w:spacing w:line="360" w:lineRule="auto"/>
        <w:ind w:right="-29" w:rightChars="-14" w:firstLine="0" w:firstLineChars="0"/>
        <w:jc w:val="both"/>
        <w:rPr>
          <w:rFonts w:hint="eastAsia" w:ascii="宋体" w:hAnsi="宋体" w:eastAsia="宋体" w:cs="宋体"/>
          <w:b/>
          <w:color w:val="auto"/>
          <w:sz w:val="21"/>
          <w:szCs w:val="21"/>
          <w:highlight w:val="none"/>
          <w:lang w:val="zh-CN"/>
        </w:rPr>
      </w:pPr>
      <w:r>
        <w:rPr>
          <w:rFonts w:hint="eastAsia" w:hAnsi="宋体" w:eastAsia="宋体"/>
          <w:b/>
          <w:color w:val="auto"/>
          <w:sz w:val="21"/>
          <w:szCs w:val="21"/>
          <w:highlight w:val="none"/>
          <w:lang w:val="en-US" w:eastAsia="zh-CN"/>
        </w:rPr>
        <w:t xml:space="preserve">2.3 </w:t>
      </w:r>
      <w:bookmarkStart w:id="15" w:name="_Toc25819"/>
      <w:r>
        <w:rPr>
          <w:rFonts w:hint="eastAsia" w:ascii="宋体" w:hAnsi="宋体" w:eastAsia="宋体" w:cs="宋体"/>
          <w:b/>
          <w:color w:val="auto"/>
          <w:sz w:val="21"/>
          <w:szCs w:val="21"/>
          <w:highlight w:val="none"/>
          <w:lang w:val="zh-CN"/>
        </w:rPr>
        <w:t>本项目不接受联合体投标</w:t>
      </w:r>
      <w:bookmarkEnd w:id="15"/>
      <w:r>
        <w:rPr>
          <w:rFonts w:hint="eastAsia" w:ascii="宋体" w:hAnsi="宋体" w:eastAsia="宋体" w:cs="宋体"/>
          <w:b/>
          <w:color w:val="auto"/>
          <w:sz w:val="21"/>
          <w:szCs w:val="21"/>
          <w:highlight w:val="none"/>
          <w:lang w:val="zh-CN"/>
        </w:rPr>
        <w:t>；</w:t>
      </w:r>
    </w:p>
    <w:p w14:paraId="70395D6B">
      <w:pPr>
        <w:pStyle w:val="166"/>
        <w:spacing w:line="360" w:lineRule="auto"/>
        <w:ind w:right="-29" w:rightChars="-14" w:firstLine="0" w:firstLineChars="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2.</w:t>
      </w:r>
      <w:r>
        <w:rPr>
          <w:rFonts w:hint="eastAsia" w:hAnsi="宋体" w:eastAsia="宋体" w:cs="宋体"/>
          <w:b/>
          <w:color w:val="auto"/>
          <w:sz w:val="21"/>
          <w:szCs w:val="21"/>
          <w:highlight w:val="none"/>
          <w:lang w:val="en-US" w:eastAsia="zh-CN"/>
        </w:rPr>
        <w:t xml:space="preserve">4 </w:t>
      </w:r>
      <w:r>
        <w:rPr>
          <w:rFonts w:hint="eastAsia" w:ascii="宋体" w:hAnsi="宋体" w:eastAsia="宋体" w:cs="宋体"/>
          <w:b/>
          <w:color w:val="auto"/>
          <w:sz w:val="21"/>
          <w:szCs w:val="21"/>
          <w:highlight w:val="none"/>
          <w:lang w:val="zh-CN"/>
        </w:rPr>
        <w:t>其他要求：</w:t>
      </w:r>
    </w:p>
    <w:p w14:paraId="3ED06B00">
      <w:pPr>
        <w:pStyle w:val="166"/>
        <w:keepNext w:val="0"/>
        <w:keepLines w:val="0"/>
        <w:pageBreakBefore w:val="0"/>
        <w:kinsoku/>
        <w:overflowPunct/>
        <w:topLinePunct w:val="0"/>
        <w:autoSpaceDE/>
        <w:autoSpaceDN/>
        <w:bidi w:val="0"/>
        <w:spacing w:line="360" w:lineRule="auto"/>
        <w:ind w:left="420" w:leftChars="200" w:firstLine="0" w:firstLineChars="0"/>
        <w:jc w:val="both"/>
        <w:outlineLvl w:val="9"/>
        <w:rPr>
          <w:rFonts w:hint="eastAsia" w:ascii="宋体" w:hAnsi="宋体" w:eastAsia="宋体" w:cs="宋体"/>
          <w:b/>
          <w:color w:val="auto"/>
          <w:sz w:val="21"/>
          <w:szCs w:val="21"/>
          <w:highlight w:val="none"/>
          <w:lang w:val="zh-CN"/>
        </w:rPr>
      </w:pPr>
      <w:bookmarkStart w:id="16" w:name="_Toc19234"/>
      <w:bookmarkStart w:id="17" w:name="_Toc26562"/>
      <w:r>
        <w:rPr>
          <w:rFonts w:hint="eastAsia" w:ascii="宋体" w:hAnsi="宋体" w:eastAsia="宋体" w:cs="宋体"/>
          <w:b/>
          <w:color w:val="auto"/>
          <w:sz w:val="21"/>
          <w:szCs w:val="21"/>
          <w:highlight w:val="none"/>
          <w:lang w:val="zh-CN"/>
        </w:rPr>
        <w:t>（1）投标人应在东莞市公共资源交易企业库建档；</w:t>
      </w:r>
      <w:bookmarkEnd w:id="16"/>
      <w:bookmarkEnd w:id="17"/>
    </w:p>
    <w:p w14:paraId="4A963C57">
      <w:pPr>
        <w:pStyle w:val="166"/>
        <w:keepNext w:val="0"/>
        <w:keepLines w:val="0"/>
        <w:pageBreakBefore w:val="0"/>
        <w:kinsoku/>
        <w:overflowPunct/>
        <w:topLinePunct w:val="0"/>
        <w:autoSpaceDE/>
        <w:autoSpaceDN/>
        <w:bidi w:val="0"/>
        <w:spacing w:line="360" w:lineRule="auto"/>
        <w:ind w:left="420" w:leftChars="200" w:firstLine="0" w:firstLineChars="0"/>
        <w:jc w:val="both"/>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在招标文件规定的东莞市公共资源交易E网通管理平台建设工程交易系统（以下简称交易系统）信息数据采集时间前，投标人已在东莞市公共资源交易企业库建档，且法人、法定代表人名称或企业、人员资质证书等与本次招标项目密切相关的信息发生变更时已办结该变更的登记手续，投标人应登录交易系统核实企业填报数据真实有效。</w:t>
      </w:r>
    </w:p>
    <w:p w14:paraId="06C37785">
      <w:pPr>
        <w:autoSpaceDE w:val="0"/>
        <w:autoSpaceDN w:val="0"/>
        <w:adjustRightInd w:val="0"/>
        <w:spacing w:line="360" w:lineRule="auto"/>
        <w:ind w:right="-29" w:rightChars="-14" w:firstLine="420" w:firstLineChars="200"/>
        <w:outlineLvl w:val="9"/>
        <w:rPr>
          <w:rFonts w:hint="eastAsia" w:ascii="宋体" w:hAnsi="宋体" w:eastAsia="宋体" w:cs="宋体"/>
          <w:color w:val="auto"/>
          <w:szCs w:val="21"/>
          <w:highlight w:val="none"/>
          <w:lang w:val="zh-CN"/>
        </w:rPr>
      </w:pPr>
    </w:p>
    <w:p w14:paraId="1AE760A7">
      <w:pPr>
        <w:numPr>
          <w:ilvl w:val="0"/>
          <w:numId w:val="2"/>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获取招标文件的方式：凡有意参加投标者，可于</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en-US" w:eastAsia="zh-CN"/>
        </w:rPr>
        <w:t>12</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lang w:val="zh-CN"/>
        </w:rPr>
        <w:t>日至投标截止时间前登录交易系统下载本次招标项目的招标文件等资料。</w:t>
      </w:r>
    </w:p>
    <w:p w14:paraId="421731A8">
      <w:pPr>
        <w:autoSpaceDE w:val="0"/>
        <w:autoSpaceDN w:val="0"/>
        <w:adjustRightInd w:val="0"/>
        <w:spacing w:line="360" w:lineRule="auto"/>
        <w:ind w:left="630" w:leftChars="100" w:right="-29" w:rightChars="-14" w:hanging="420" w:hangingChars="200"/>
        <w:outlineLvl w:val="9"/>
        <w:rPr>
          <w:rFonts w:hint="eastAsia" w:ascii="宋体" w:hAnsi="宋体" w:eastAsia="宋体" w:cs="宋体"/>
          <w:color w:val="auto"/>
          <w:szCs w:val="21"/>
          <w:highlight w:val="none"/>
          <w:lang w:val="zh-CN"/>
        </w:rPr>
      </w:pPr>
    </w:p>
    <w:p w14:paraId="33513629">
      <w:pPr>
        <w:numPr>
          <w:ilvl w:val="0"/>
          <w:numId w:val="2"/>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lang w:val="en-US" w:eastAsia="zh-CN"/>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14:paraId="1C09C61F">
      <w:pPr>
        <w:pStyle w:val="52"/>
        <w:outlineLvl w:val="9"/>
        <w:rPr>
          <w:rFonts w:hint="eastAsia"/>
          <w:color w:val="auto"/>
          <w:highlight w:val="none"/>
          <w:lang w:val="zh-CN"/>
        </w:rPr>
      </w:pPr>
    </w:p>
    <w:p w14:paraId="057AC138">
      <w:pPr>
        <w:keepNext w:val="0"/>
        <w:keepLines w:val="0"/>
        <w:pageBreakBefore w:val="0"/>
        <w:numPr>
          <w:ilvl w:val="0"/>
          <w:numId w:val="2"/>
        </w:numPr>
        <w:kinsoku/>
        <w:overflowPunct/>
        <w:topLinePunct w:val="0"/>
        <w:autoSpaceDE w:val="0"/>
        <w:autoSpaceDN w:val="0"/>
        <w:bidi w:val="0"/>
        <w:adjustRightInd w:val="0"/>
        <w:snapToGrid w:val="0"/>
        <w:spacing w:line="360" w:lineRule="auto"/>
        <w:ind w:right="-34"/>
        <w:jc w:val="left"/>
        <w:outlineLvl w:val="9"/>
        <w:rPr>
          <w:rFonts w:hint="eastAsia" w:ascii="宋体" w:hAnsi="宋体" w:eastAsia="宋体" w:cs="宋体"/>
          <w:color w:val="auto"/>
          <w:szCs w:val="21"/>
          <w:highlight w:val="none"/>
          <w:lang w:val="zh-CN"/>
        </w:rPr>
      </w:pPr>
      <w:bookmarkStart w:id="18" w:name="_Toc15579"/>
      <w:bookmarkStart w:id="19" w:name="_Toc10505"/>
      <w:r>
        <w:rPr>
          <w:rFonts w:hint="eastAsia" w:ascii="宋体" w:hAnsi="宋体" w:eastAsia="宋体" w:cs="宋体"/>
          <w:color w:val="auto"/>
          <w:szCs w:val="21"/>
          <w:highlight w:val="none"/>
          <w:lang w:val="zh-CN"/>
        </w:rPr>
        <w:t>投标会时间、地点及投标文件提交截止时间：</w:t>
      </w:r>
      <w:bookmarkEnd w:id="18"/>
      <w:bookmarkEnd w:id="19"/>
    </w:p>
    <w:p w14:paraId="6433DFBA">
      <w:pPr>
        <w:pStyle w:val="166"/>
        <w:keepNext w:val="0"/>
        <w:keepLines w:val="0"/>
        <w:pageBreakBefore w:val="0"/>
        <w:kinsoku/>
        <w:overflowPunct/>
        <w:topLinePunct w:val="0"/>
        <w:bidi w:val="0"/>
        <w:spacing w:line="360" w:lineRule="auto"/>
        <w:ind w:left="420" w:hanging="420" w:hangingChars="200"/>
        <w:jc w:val="both"/>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en-US" w:eastAsia="zh-CN"/>
        </w:rPr>
        <w:t xml:space="preserve">5.1 </w:t>
      </w:r>
      <w:r>
        <w:rPr>
          <w:rFonts w:hint="eastAsia" w:ascii="宋体" w:hAnsi="宋体" w:eastAsia="宋体" w:cs="宋体"/>
          <w:bCs/>
          <w:color w:val="auto"/>
          <w:sz w:val="21"/>
          <w:szCs w:val="21"/>
          <w:highlight w:val="none"/>
          <w:lang w:val="zh-CN"/>
        </w:rPr>
        <w:t>投标会召开时间：</w:t>
      </w:r>
      <w:r>
        <w:rPr>
          <w:rFonts w:hint="eastAsia" w:hAnsi="宋体" w:eastAsia="宋体" w:cs="宋体"/>
          <w:bCs/>
          <w:color w:val="auto"/>
          <w:sz w:val="21"/>
          <w:szCs w:val="21"/>
          <w:highlight w:val="none"/>
          <w:u w:val="single"/>
          <w:lang w:val="en-US" w:eastAsia="zh-CN"/>
        </w:rPr>
        <w:t>2025</w:t>
      </w:r>
      <w:r>
        <w:rPr>
          <w:rFonts w:hint="eastAsia" w:ascii="宋体" w:hAnsi="宋体" w:eastAsia="宋体" w:cs="宋体"/>
          <w:bCs/>
          <w:color w:val="auto"/>
          <w:sz w:val="21"/>
          <w:szCs w:val="21"/>
          <w:highlight w:val="none"/>
          <w:u w:val="single"/>
          <w:lang w:val="zh-CN"/>
        </w:rPr>
        <w:t>年</w:t>
      </w:r>
      <w:r>
        <w:rPr>
          <w:rFonts w:hint="eastAsia" w:hAnsi="宋体" w:eastAsia="宋体" w:cs="宋体"/>
          <w:bCs/>
          <w:color w:val="auto"/>
          <w:sz w:val="21"/>
          <w:szCs w:val="21"/>
          <w:highlight w:val="none"/>
          <w:u w:val="single"/>
          <w:lang w:val="en-US" w:eastAsia="zh-CN"/>
        </w:rPr>
        <w:t>12</w:t>
      </w:r>
      <w:r>
        <w:rPr>
          <w:rFonts w:hint="eastAsia" w:ascii="宋体" w:hAnsi="宋体" w:eastAsia="宋体" w:cs="宋体"/>
          <w:bCs/>
          <w:color w:val="auto"/>
          <w:sz w:val="21"/>
          <w:szCs w:val="21"/>
          <w:highlight w:val="none"/>
          <w:u w:val="single"/>
          <w:lang w:val="zh-CN"/>
        </w:rPr>
        <w:t>月</w:t>
      </w:r>
      <w:r>
        <w:rPr>
          <w:rFonts w:hint="eastAsia" w:hAnsi="宋体" w:eastAsia="宋体" w:cs="宋体"/>
          <w:bCs/>
          <w:color w:val="auto"/>
          <w:sz w:val="21"/>
          <w:szCs w:val="21"/>
          <w:highlight w:val="none"/>
          <w:u w:val="single"/>
          <w:lang w:val="en-US" w:eastAsia="zh-CN"/>
        </w:rPr>
        <w:t>24</w:t>
      </w:r>
      <w:r>
        <w:rPr>
          <w:rFonts w:hint="eastAsia" w:ascii="宋体" w:hAnsi="宋体" w:eastAsia="宋体" w:cs="宋体"/>
          <w:bCs/>
          <w:color w:val="auto"/>
          <w:sz w:val="21"/>
          <w:szCs w:val="21"/>
          <w:highlight w:val="none"/>
          <w:u w:val="single"/>
          <w:lang w:val="zh-CN"/>
        </w:rPr>
        <w:t>日</w:t>
      </w:r>
      <w:r>
        <w:rPr>
          <w:rFonts w:hint="eastAsia" w:hAnsi="宋体" w:eastAsia="宋体" w:cs="宋体"/>
          <w:bCs/>
          <w:color w:val="auto"/>
          <w:sz w:val="21"/>
          <w:szCs w:val="21"/>
          <w:highlight w:val="none"/>
          <w:u w:val="single"/>
          <w:lang w:val="en-US" w:eastAsia="zh-CN"/>
        </w:rPr>
        <w:t>9</w:t>
      </w:r>
      <w:r>
        <w:rPr>
          <w:rFonts w:hint="eastAsia" w:ascii="宋体" w:hAnsi="宋体" w:eastAsia="宋体" w:cs="宋体"/>
          <w:bCs/>
          <w:color w:val="auto"/>
          <w:sz w:val="21"/>
          <w:szCs w:val="21"/>
          <w:highlight w:val="none"/>
          <w:u w:val="single"/>
          <w:lang w:val="zh-CN"/>
        </w:rPr>
        <w:t>时</w:t>
      </w:r>
      <w:r>
        <w:rPr>
          <w:rFonts w:hint="eastAsia" w:hAnsi="宋体" w:eastAsia="宋体" w:cs="宋体"/>
          <w:bCs/>
          <w:color w:val="auto"/>
          <w:sz w:val="21"/>
          <w:szCs w:val="21"/>
          <w:highlight w:val="none"/>
          <w:u w:val="single"/>
          <w:lang w:val="en-US" w:eastAsia="zh-CN"/>
        </w:rPr>
        <w:t>30</w:t>
      </w:r>
      <w:r>
        <w:rPr>
          <w:rFonts w:hint="eastAsia" w:ascii="宋体" w:hAnsi="宋体" w:eastAsia="宋体" w:cs="宋体"/>
          <w:bCs/>
          <w:color w:val="auto"/>
          <w:sz w:val="21"/>
          <w:szCs w:val="21"/>
          <w:highlight w:val="none"/>
          <w:u w:val="single"/>
          <w:lang w:val="zh-CN"/>
        </w:rPr>
        <w:t>分</w:t>
      </w:r>
      <w:r>
        <w:rPr>
          <w:rFonts w:hint="eastAsia" w:ascii="宋体" w:hAnsi="宋体" w:eastAsia="宋体" w:cs="宋体"/>
          <w:bCs/>
          <w:color w:val="auto"/>
          <w:sz w:val="21"/>
          <w:szCs w:val="21"/>
          <w:highlight w:val="none"/>
          <w:lang w:val="zh-CN"/>
        </w:rPr>
        <w:t>，投标会召开地点：东莞市南城</w:t>
      </w:r>
      <w:r>
        <w:rPr>
          <w:rFonts w:hint="eastAsia" w:ascii="宋体" w:hAnsi="宋体" w:eastAsia="宋体" w:cs="宋体"/>
          <w:bCs/>
          <w:color w:val="auto"/>
          <w:sz w:val="21"/>
          <w:szCs w:val="21"/>
          <w:highlight w:val="none"/>
          <w:lang w:val="en-US" w:eastAsia="zh-CN"/>
        </w:rPr>
        <w:t>街道</w:t>
      </w:r>
      <w:r>
        <w:rPr>
          <w:rFonts w:hint="eastAsia" w:ascii="宋体" w:hAnsi="宋体" w:eastAsia="宋体" w:cs="宋体"/>
          <w:bCs/>
          <w:color w:val="auto"/>
          <w:sz w:val="21"/>
          <w:szCs w:val="21"/>
          <w:highlight w:val="none"/>
          <w:lang w:val="zh-CN"/>
        </w:rPr>
        <w:t>西平社区宏伟三路45号东莞市公共资源交易中心开标室（</w:t>
      </w:r>
      <w:r>
        <w:rPr>
          <w:rFonts w:hint="eastAsia"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lang w:val="zh-CN"/>
        </w:rPr>
        <w:t>）；</w:t>
      </w:r>
    </w:p>
    <w:p w14:paraId="3849D8B5">
      <w:pPr>
        <w:pStyle w:val="166"/>
        <w:keepNext w:val="0"/>
        <w:keepLines w:val="0"/>
        <w:pageBreakBefore w:val="0"/>
        <w:kinsoku/>
        <w:overflowPunct/>
        <w:topLinePunct w:val="0"/>
        <w:bidi w:val="0"/>
        <w:spacing w:line="360" w:lineRule="auto"/>
        <w:ind w:left="420" w:hanging="420" w:hangingChars="200"/>
        <w:jc w:val="both"/>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5.</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rPr>
        <w:t xml:space="preserve"> 投标文件递交的截止时间（投标截止时间，下同）：</w:t>
      </w:r>
      <w:r>
        <w:rPr>
          <w:rFonts w:hint="eastAsia" w:hAnsi="宋体" w:eastAsia="宋体" w:cs="宋体"/>
          <w:bCs/>
          <w:color w:val="auto"/>
          <w:sz w:val="21"/>
          <w:szCs w:val="21"/>
          <w:highlight w:val="none"/>
          <w:u w:val="single"/>
          <w:lang w:val="en-US" w:eastAsia="zh-CN"/>
        </w:rPr>
        <w:t>2025</w:t>
      </w:r>
      <w:r>
        <w:rPr>
          <w:rFonts w:hint="eastAsia" w:ascii="宋体" w:hAnsi="宋体" w:eastAsia="宋体" w:cs="宋体"/>
          <w:bCs/>
          <w:color w:val="auto"/>
          <w:sz w:val="21"/>
          <w:szCs w:val="21"/>
          <w:highlight w:val="none"/>
          <w:u w:val="single"/>
          <w:lang w:val="zh-CN"/>
        </w:rPr>
        <w:t>年</w:t>
      </w:r>
      <w:r>
        <w:rPr>
          <w:rFonts w:hint="eastAsia" w:hAnsi="宋体" w:eastAsia="宋体" w:cs="宋体"/>
          <w:bCs/>
          <w:color w:val="auto"/>
          <w:sz w:val="21"/>
          <w:szCs w:val="21"/>
          <w:highlight w:val="none"/>
          <w:u w:val="single"/>
          <w:lang w:val="en-US" w:eastAsia="zh-CN"/>
        </w:rPr>
        <w:t>12</w:t>
      </w:r>
      <w:r>
        <w:rPr>
          <w:rFonts w:hint="eastAsia" w:ascii="宋体" w:hAnsi="宋体" w:eastAsia="宋体" w:cs="宋体"/>
          <w:bCs/>
          <w:color w:val="auto"/>
          <w:sz w:val="21"/>
          <w:szCs w:val="21"/>
          <w:highlight w:val="none"/>
          <w:u w:val="single"/>
          <w:lang w:val="zh-CN"/>
        </w:rPr>
        <w:t>月</w:t>
      </w:r>
      <w:r>
        <w:rPr>
          <w:rFonts w:hint="eastAsia" w:hAnsi="宋体" w:eastAsia="宋体" w:cs="宋体"/>
          <w:bCs/>
          <w:color w:val="auto"/>
          <w:sz w:val="21"/>
          <w:szCs w:val="21"/>
          <w:highlight w:val="none"/>
          <w:u w:val="single"/>
          <w:lang w:val="en-US" w:eastAsia="zh-CN"/>
        </w:rPr>
        <w:t>24</w:t>
      </w:r>
      <w:r>
        <w:rPr>
          <w:rFonts w:hint="eastAsia" w:ascii="宋体" w:hAnsi="宋体" w:eastAsia="宋体" w:cs="宋体"/>
          <w:bCs/>
          <w:color w:val="auto"/>
          <w:sz w:val="21"/>
          <w:szCs w:val="21"/>
          <w:highlight w:val="none"/>
          <w:u w:val="single"/>
          <w:lang w:val="zh-CN"/>
        </w:rPr>
        <w:t>日</w:t>
      </w:r>
      <w:r>
        <w:rPr>
          <w:rFonts w:hint="eastAsia" w:hAnsi="宋体" w:eastAsia="宋体" w:cs="宋体"/>
          <w:bCs/>
          <w:color w:val="auto"/>
          <w:sz w:val="21"/>
          <w:szCs w:val="21"/>
          <w:highlight w:val="none"/>
          <w:u w:val="single"/>
          <w:lang w:val="en-US" w:eastAsia="zh-CN"/>
        </w:rPr>
        <w:t>9</w:t>
      </w:r>
      <w:r>
        <w:rPr>
          <w:rFonts w:hint="eastAsia" w:ascii="宋体" w:hAnsi="宋体" w:eastAsia="宋体" w:cs="宋体"/>
          <w:bCs/>
          <w:color w:val="auto"/>
          <w:sz w:val="21"/>
          <w:szCs w:val="21"/>
          <w:highlight w:val="none"/>
          <w:u w:val="single"/>
          <w:lang w:val="zh-CN"/>
        </w:rPr>
        <w:t>时</w:t>
      </w:r>
      <w:r>
        <w:rPr>
          <w:rFonts w:hint="eastAsia" w:hAnsi="宋体" w:eastAsia="宋体" w:cs="宋体"/>
          <w:bCs/>
          <w:color w:val="auto"/>
          <w:sz w:val="21"/>
          <w:szCs w:val="21"/>
          <w:highlight w:val="none"/>
          <w:u w:val="single"/>
          <w:lang w:val="en-US" w:eastAsia="zh-CN"/>
        </w:rPr>
        <w:t>30</w:t>
      </w:r>
      <w:r>
        <w:rPr>
          <w:rFonts w:hint="eastAsia" w:ascii="宋体" w:hAnsi="宋体" w:eastAsia="宋体" w:cs="宋体"/>
          <w:bCs/>
          <w:color w:val="auto"/>
          <w:sz w:val="21"/>
          <w:szCs w:val="21"/>
          <w:highlight w:val="none"/>
          <w:u w:val="single"/>
          <w:lang w:val="zh-CN"/>
        </w:rPr>
        <w:t>分</w:t>
      </w:r>
      <w:r>
        <w:rPr>
          <w:rFonts w:hint="eastAsia" w:ascii="宋体" w:hAnsi="宋体" w:eastAsia="宋体" w:cs="宋体"/>
          <w:bCs/>
          <w:color w:val="auto"/>
          <w:sz w:val="21"/>
          <w:szCs w:val="21"/>
          <w:highlight w:val="none"/>
          <w:u w:val="none"/>
          <w:lang w:val="zh-CN"/>
        </w:rPr>
        <w:t>，</w:t>
      </w:r>
      <w:r>
        <w:rPr>
          <w:rFonts w:hint="eastAsia" w:ascii="宋体" w:hAnsi="宋体" w:eastAsia="宋体" w:cs="宋体"/>
          <w:bCs/>
          <w:color w:val="auto"/>
          <w:sz w:val="21"/>
          <w:szCs w:val="21"/>
          <w:highlight w:val="none"/>
          <w:lang w:val="zh-CN"/>
        </w:rPr>
        <w:t>地点：通过东莞市公共资源交易E网通管理平台建设工程交易系统网上提交；</w:t>
      </w:r>
    </w:p>
    <w:p w14:paraId="12F37949">
      <w:pPr>
        <w:pStyle w:val="166"/>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5.</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rPr>
        <w:t xml:space="preserve"> 投标人必须通过交易系统在线上传投标文件，上述方式外提交的投标文件及逾期通过网络上传的电子投标文件，招标人不予受理。</w:t>
      </w:r>
    </w:p>
    <w:p w14:paraId="12BA140F">
      <w:pPr>
        <w:autoSpaceDE w:val="0"/>
        <w:autoSpaceDN w:val="0"/>
        <w:adjustRightInd w:val="0"/>
        <w:spacing w:line="360" w:lineRule="auto"/>
        <w:ind w:right="-29" w:rightChars="-14" w:firstLine="210" w:firstLineChars="100"/>
        <w:outlineLvl w:val="9"/>
        <w:rPr>
          <w:rFonts w:hint="eastAsia" w:ascii="宋体" w:hAnsi="宋体" w:eastAsia="宋体" w:cs="宋体"/>
          <w:color w:val="auto"/>
          <w:kern w:val="0"/>
          <w:szCs w:val="21"/>
          <w:highlight w:val="none"/>
        </w:rPr>
      </w:pPr>
    </w:p>
    <w:p w14:paraId="3BFEAF26">
      <w:pPr>
        <w:keepNext w:val="0"/>
        <w:keepLines w:val="0"/>
        <w:pageBreakBefore w:val="0"/>
        <w:numPr>
          <w:ilvl w:val="0"/>
          <w:numId w:val="2"/>
        </w:numPr>
        <w:kinsoku/>
        <w:overflowPunct/>
        <w:topLinePunct w:val="0"/>
        <w:bidi w:val="0"/>
        <w:snapToGrid w:val="0"/>
        <w:spacing w:line="360" w:lineRule="auto"/>
        <w:ind w:right="-34"/>
        <w:outlineLvl w:val="9"/>
        <w:rPr>
          <w:rFonts w:hint="eastAsia" w:ascii="宋体" w:hAnsi="宋体" w:eastAsia="宋体" w:cs="宋体"/>
          <w:bCs/>
          <w:color w:val="auto"/>
          <w:sz w:val="21"/>
          <w:szCs w:val="21"/>
          <w:highlight w:val="none"/>
          <w:lang w:val="zh-CN"/>
        </w:rPr>
      </w:pPr>
      <w:bookmarkStart w:id="20" w:name="_Toc19461"/>
      <w:bookmarkStart w:id="21" w:name="_Toc8363"/>
      <w:r>
        <w:rPr>
          <w:rFonts w:hint="eastAsia" w:ascii="宋体" w:hAnsi="宋体" w:eastAsia="宋体" w:cs="宋体"/>
          <w:bCs/>
          <w:color w:val="auto"/>
          <w:sz w:val="21"/>
          <w:szCs w:val="21"/>
          <w:highlight w:val="none"/>
          <w:lang w:val="zh-CN"/>
        </w:rPr>
        <w:t>开标时间和地点：</w:t>
      </w:r>
      <w:bookmarkEnd w:id="20"/>
      <w:bookmarkEnd w:id="21"/>
    </w:p>
    <w:p w14:paraId="228DA692">
      <w:pPr>
        <w:pStyle w:val="166"/>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bookmarkStart w:id="22" w:name="_Toc15059"/>
      <w:bookmarkStart w:id="23" w:name="_Toc8817"/>
      <w:r>
        <w:rPr>
          <w:rFonts w:hint="eastAsia" w:ascii="宋体" w:hAnsi="宋体" w:eastAsia="宋体" w:cs="宋体"/>
          <w:bCs/>
          <w:color w:val="auto"/>
          <w:sz w:val="21"/>
          <w:szCs w:val="21"/>
          <w:highlight w:val="none"/>
          <w:lang w:val="zh-CN" w:eastAsia="zh-CN"/>
        </w:rPr>
        <w:t xml:space="preserve">6.1 </w:t>
      </w:r>
      <w:r>
        <w:rPr>
          <w:rFonts w:hint="eastAsia" w:ascii="宋体" w:hAnsi="宋体" w:eastAsia="宋体" w:cs="宋体"/>
          <w:bCs/>
          <w:color w:val="auto"/>
          <w:sz w:val="21"/>
          <w:szCs w:val="21"/>
          <w:highlight w:val="none"/>
          <w:lang w:val="zh-CN"/>
        </w:rPr>
        <w:t>开标时间：同投标截止时间；</w:t>
      </w:r>
      <w:bookmarkEnd w:id="22"/>
      <w:bookmarkEnd w:id="23"/>
    </w:p>
    <w:p w14:paraId="7F171408">
      <w:pPr>
        <w:pStyle w:val="166"/>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eastAsia="zh-CN"/>
        </w:rPr>
        <w:t xml:space="preserve">6.2 </w:t>
      </w:r>
      <w:r>
        <w:rPr>
          <w:rFonts w:hint="eastAsia" w:ascii="宋体" w:hAnsi="宋体" w:eastAsia="宋体" w:cs="宋体"/>
          <w:bCs/>
          <w:color w:val="auto"/>
          <w:sz w:val="21"/>
          <w:szCs w:val="21"/>
          <w:highlight w:val="none"/>
          <w:lang w:val="zh-CN"/>
        </w:rPr>
        <w:t>开标地点：东莞市南城</w:t>
      </w:r>
      <w:r>
        <w:rPr>
          <w:rFonts w:hint="eastAsia" w:ascii="宋体" w:hAnsi="宋体" w:eastAsia="宋体" w:cs="宋体"/>
          <w:bCs/>
          <w:color w:val="auto"/>
          <w:sz w:val="21"/>
          <w:szCs w:val="21"/>
          <w:highlight w:val="none"/>
          <w:lang w:val="en-US" w:eastAsia="zh-CN"/>
        </w:rPr>
        <w:t>街道</w:t>
      </w:r>
      <w:r>
        <w:rPr>
          <w:rFonts w:hint="eastAsia" w:ascii="宋体" w:hAnsi="宋体" w:eastAsia="宋体" w:cs="宋体"/>
          <w:bCs/>
          <w:color w:val="auto"/>
          <w:sz w:val="21"/>
          <w:szCs w:val="21"/>
          <w:highlight w:val="none"/>
          <w:lang w:val="zh-CN"/>
        </w:rPr>
        <w:t>西平社区宏伟三路45号东莞市公共资源交易中心开标室（</w:t>
      </w:r>
      <w:r>
        <w:rPr>
          <w:rFonts w:hint="eastAsia"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lang w:val="zh-CN"/>
        </w:rPr>
        <w:t>）。</w:t>
      </w:r>
    </w:p>
    <w:p w14:paraId="424F6E47">
      <w:pPr>
        <w:autoSpaceDE w:val="0"/>
        <w:autoSpaceDN w:val="0"/>
        <w:adjustRightInd w:val="0"/>
        <w:spacing w:line="360" w:lineRule="auto"/>
        <w:ind w:left="210" w:leftChars="100" w:right="-29" w:rightChars="-14"/>
        <w:outlineLvl w:val="9"/>
        <w:rPr>
          <w:rFonts w:hint="eastAsia" w:ascii="宋体" w:hAnsi="宋体" w:eastAsia="宋体" w:cs="宋体"/>
          <w:color w:val="auto"/>
          <w:szCs w:val="21"/>
          <w:highlight w:val="none"/>
          <w:lang w:val="zh-CN"/>
        </w:rPr>
      </w:pPr>
    </w:p>
    <w:p w14:paraId="446D52B9">
      <w:pPr>
        <w:keepNext w:val="0"/>
        <w:keepLines w:val="0"/>
        <w:pageBreakBefore w:val="0"/>
        <w:widowControl w:val="0"/>
        <w:numPr>
          <w:ilvl w:val="0"/>
          <w:numId w:val="2"/>
        </w:numPr>
        <w:kinsoku/>
        <w:wordWrap w:val="0"/>
        <w:overflowPunct/>
        <w:topLinePunct w:val="0"/>
        <w:autoSpaceDE w:val="0"/>
        <w:autoSpaceDN w:val="0"/>
        <w:bidi w:val="0"/>
        <w:adjustRightInd w:val="0"/>
        <w:snapToGrid w:val="0"/>
        <w:spacing w:line="360" w:lineRule="auto"/>
        <w:ind w:left="363" w:right="-34" w:hanging="363"/>
        <w:jc w:val="left"/>
        <w:textAlignment w:val="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本项目相关公告在以下媒介发布：全国公共资源交易平台（广东省·东莞市）（https://ygp.gdzwfw.gov.cn/#/441900/index）</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中国招标投标公共服务平台（www.cebpubservice.com）、</w:t>
      </w:r>
      <w:r>
        <w:rPr>
          <w:rFonts w:hint="eastAsia" w:ascii="宋体" w:hAnsi="宋体" w:eastAsia="宋体" w:cs="宋体"/>
          <w:bCs/>
          <w:color w:val="auto"/>
          <w:szCs w:val="21"/>
          <w:highlight w:val="none"/>
          <w:lang w:eastAsia="zh-CN"/>
        </w:rPr>
        <w:t>东莞市水务环境投资控股集团有限公司</w:t>
      </w:r>
      <w:r>
        <w:rPr>
          <w:rFonts w:hint="eastAsia" w:ascii="宋体" w:hAnsi="宋体" w:eastAsia="宋体" w:cs="宋体"/>
          <w:bCs/>
          <w:color w:val="auto"/>
          <w:szCs w:val="21"/>
          <w:highlight w:val="none"/>
        </w:rPr>
        <w:t>（www.dgswjt.cn）、招标代理</w:t>
      </w:r>
      <w:r>
        <w:rPr>
          <w:rFonts w:hint="eastAsia" w:ascii="宋体" w:hAnsi="宋体" w:eastAsia="宋体" w:cs="宋体"/>
          <w:bCs/>
          <w:color w:val="auto"/>
          <w:szCs w:val="21"/>
          <w:highlight w:val="none"/>
          <w:lang w:val="en-US" w:eastAsia="zh-CN"/>
        </w:rPr>
        <w:t>机构</w:t>
      </w:r>
      <w:r>
        <w:rPr>
          <w:rFonts w:hint="eastAsia" w:ascii="宋体" w:hAnsi="宋体" w:eastAsia="宋体" w:cs="宋体"/>
          <w:bCs/>
          <w:color w:val="auto"/>
          <w:szCs w:val="21"/>
          <w:highlight w:val="none"/>
        </w:rPr>
        <w:t>网站（</w:t>
      </w:r>
      <w:r>
        <w:rPr>
          <w:rFonts w:hint="eastAsia" w:ascii="宋体" w:hAnsi="宋体" w:eastAsia="宋体" w:cs="宋体"/>
          <w:bCs/>
          <w:color w:val="auto"/>
          <w:szCs w:val="21"/>
          <w:highlight w:val="none"/>
          <w:u w:val="none"/>
          <w:lang w:eastAsia="zh-CN"/>
        </w:rPr>
        <w:t>www.sfcx.cn</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lang w:val="zh-CN"/>
        </w:rPr>
        <w:t>。</w:t>
      </w:r>
    </w:p>
    <w:p w14:paraId="6B287E87">
      <w:pPr>
        <w:pStyle w:val="52"/>
        <w:outlineLvl w:val="9"/>
        <w:rPr>
          <w:rFonts w:hint="eastAsia" w:ascii="宋体" w:hAnsi="宋体" w:eastAsia="宋体" w:cs="宋体"/>
          <w:color w:val="auto"/>
          <w:highlight w:val="none"/>
        </w:rPr>
      </w:pPr>
    </w:p>
    <w:p w14:paraId="1D461BA0">
      <w:pPr>
        <w:keepNext w:val="0"/>
        <w:keepLines w:val="0"/>
        <w:pageBreakBefore w:val="0"/>
        <w:numPr>
          <w:ilvl w:val="0"/>
          <w:numId w:val="2"/>
        </w:numPr>
        <w:kinsoku/>
        <w:overflowPunct/>
        <w:topLinePunct w:val="0"/>
        <w:autoSpaceDE w:val="0"/>
        <w:autoSpaceDN w:val="0"/>
        <w:bidi w:val="0"/>
        <w:adjustRightInd w:val="0"/>
        <w:snapToGrid w:val="0"/>
        <w:spacing w:line="360" w:lineRule="auto"/>
        <w:ind w:right="-34"/>
        <w:jc w:val="left"/>
        <w:outlineLvl w:val="9"/>
        <w:rPr>
          <w:rFonts w:hint="eastAsia" w:ascii="宋体" w:hAnsi="宋体" w:eastAsia="宋体" w:cs="宋体"/>
          <w:color w:val="auto"/>
          <w:szCs w:val="21"/>
          <w:highlight w:val="none"/>
        </w:rPr>
      </w:pPr>
      <w:bookmarkStart w:id="24" w:name="_Toc3809"/>
      <w:bookmarkStart w:id="25" w:name="_Toc16545"/>
      <w:r>
        <w:rPr>
          <w:rFonts w:hint="eastAsia" w:ascii="宋体" w:hAnsi="宋体" w:eastAsia="宋体" w:cs="宋体"/>
          <w:color w:val="auto"/>
          <w:szCs w:val="21"/>
          <w:highlight w:val="none"/>
        </w:rPr>
        <w:t>投标保证金</w:t>
      </w:r>
      <w:bookmarkEnd w:id="24"/>
      <w:bookmarkEnd w:id="25"/>
    </w:p>
    <w:p w14:paraId="748C5262">
      <w:pPr>
        <w:pStyle w:val="166"/>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val="zh-CN"/>
        </w:rPr>
        <w:t>.1 本次招标投标人须提交投标保证金金额：</w:t>
      </w:r>
      <w:r>
        <w:rPr>
          <w:rFonts w:hint="eastAsia" w:hAnsi="宋体" w:eastAsia="宋体" w:cs="宋体"/>
          <w:bCs/>
          <w:color w:val="auto"/>
          <w:sz w:val="21"/>
          <w:szCs w:val="21"/>
          <w:highlight w:val="none"/>
          <w:lang w:val="en-US" w:eastAsia="zh-CN"/>
        </w:rPr>
        <w:t>28</w:t>
      </w:r>
      <w:r>
        <w:rPr>
          <w:rFonts w:hint="eastAsia" w:ascii="宋体" w:hAnsi="宋体" w:eastAsia="宋体" w:cs="宋体"/>
          <w:bCs/>
          <w:color w:val="auto"/>
          <w:sz w:val="21"/>
          <w:szCs w:val="21"/>
          <w:highlight w:val="none"/>
          <w:lang w:val="zh-CN"/>
        </w:rPr>
        <w:t>0,000.00元。</w:t>
      </w:r>
    </w:p>
    <w:p w14:paraId="4C70E9F8">
      <w:pPr>
        <w:pStyle w:val="166"/>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val="zh-CN"/>
        </w:rPr>
        <w:t>.2.1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zh-CN"/>
        </w:rPr>
        <w:t>投标保证金形式：单项投标保证金；银行电子保函；保险电子保单；</w:t>
      </w:r>
    </w:p>
    <w:p w14:paraId="00204D49">
      <w:pPr>
        <w:pStyle w:val="166"/>
        <w:keepNext w:val="0"/>
        <w:keepLines w:val="0"/>
        <w:pageBreakBefore w:val="0"/>
        <w:kinsoku/>
        <w:overflowPunct/>
        <w:topLinePunct w:val="0"/>
        <w:bidi w:val="0"/>
        <w:spacing w:line="360" w:lineRule="auto"/>
        <w:ind w:left="420" w:leftChars="200" w:firstLine="0" w:firstLineChars="0"/>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其它：</w:t>
      </w:r>
      <w:r>
        <w:rPr>
          <w:rFonts w:hint="eastAsia" w:ascii="宋体" w:hAnsi="宋体" w:eastAsia="宋体" w:cs="宋体"/>
          <w:bCs/>
          <w:color w:val="auto"/>
          <w:sz w:val="21"/>
          <w:szCs w:val="21"/>
          <w:highlight w:val="none"/>
          <w:u w:val="single"/>
          <w:lang w:val="zh-CN"/>
        </w:rPr>
        <w:t xml:space="preserve">      /       </w:t>
      </w:r>
      <w:r>
        <w:rPr>
          <w:rFonts w:hint="eastAsia" w:ascii="宋体" w:hAnsi="宋体" w:eastAsia="宋体" w:cs="宋体"/>
          <w:bCs/>
          <w:color w:val="auto"/>
          <w:sz w:val="21"/>
          <w:szCs w:val="21"/>
          <w:highlight w:val="none"/>
          <w:lang w:val="zh-CN"/>
        </w:rPr>
        <w:t>。</w:t>
      </w:r>
    </w:p>
    <w:p w14:paraId="702A2095">
      <w:pPr>
        <w:pStyle w:val="166"/>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bookmarkStart w:id="26" w:name="_Toc14886"/>
      <w:bookmarkStart w:id="27" w:name="_Toc31252"/>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lang w:val="en-US" w:eastAsia="zh-CN"/>
        </w:rPr>
        <w:t xml:space="preserve">3 </w:t>
      </w:r>
      <w:r>
        <w:rPr>
          <w:rFonts w:hint="eastAsia" w:ascii="宋体" w:hAnsi="宋体" w:eastAsia="宋体" w:cs="宋体"/>
          <w:bCs/>
          <w:color w:val="auto"/>
          <w:sz w:val="21"/>
          <w:szCs w:val="21"/>
          <w:highlight w:val="none"/>
          <w:lang w:val="zh-CN"/>
        </w:rPr>
        <w:t>投标保证金形式注意事项：</w:t>
      </w:r>
      <w:bookmarkEnd w:id="26"/>
      <w:bookmarkEnd w:id="27"/>
    </w:p>
    <w:p w14:paraId="66171AE5">
      <w:pPr>
        <w:pStyle w:val="166"/>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bookmarkStart w:id="28" w:name="_Toc21912"/>
      <w:bookmarkStart w:id="29" w:name="_Toc26630"/>
      <w:r>
        <w:rPr>
          <w:rFonts w:hint="eastAsia" w:ascii="宋体" w:hAnsi="宋体" w:eastAsia="宋体" w:cs="宋体"/>
          <w:bCs/>
          <w:color w:val="auto"/>
          <w:sz w:val="21"/>
          <w:szCs w:val="21"/>
          <w:highlight w:val="none"/>
          <w:lang w:val="zh-CN"/>
        </w:rPr>
        <w:t>（1）投标保证金到账时间应为投标保证金的关联时间。</w:t>
      </w:r>
      <w:bookmarkEnd w:id="28"/>
      <w:bookmarkEnd w:id="29"/>
    </w:p>
    <w:p w14:paraId="64C979CD">
      <w:pPr>
        <w:pStyle w:val="166"/>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（2）投标保证金数据超过投标截止时间后到达交易系统的，无法关联。</w:t>
      </w:r>
    </w:p>
    <w:p w14:paraId="7BEAD3EB">
      <w:pPr>
        <w:pStyle w:val="166"/>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bookmarkStart w:id="30" w:name="_Toc2829"/>
      <w:bookmarkStart w:id="31" w:name="_Toc12832"/>
      <w:r>
        <w:rPr>
          <w:rFonts w:hint="eastAsia" w:ascii="宋体" w:hAnsi="宋体" w:eastAsia="宋体" w:cs="宋体"/>
          <w:bCs/>
          <w:color w:val="auto"/>
          <w:sz w:val="21"/>
          <w:szCs w:val="21"/>
          <w:highlight w:val="none"/>
          <w:lang w:val="zh-CN"/>
        </w:rPr>
        <w:t>（3）投标人应提前办理投标保证金手续，自行承担数据延误风险。</w:t>
      </w:r>
      <w:bookmarkEnd w:id="30"/>
      <w:bookmarkEnd w:id="31"/>
    </w:p>
    <w:p w14:paraId="5018A11C">
      <w:pPr>
        <w:numPr>
          <w:ilvl w:val="-1"/>
          <w:numId w:val="0"/>
        </w:numPr>
        <w:autoSpaceDE w:val="0"/>
        <w:autoSpaceDN w:val="0"/>
        <w:adjustRightInd w:val="0"/>
        <w:snapToGrid w:val="0"/>
        <w:spacing w:line="360" w:lineRule="auto"/>
        <w:ind w:left="0" w:right="-34" w:firstLine="0"/>
        <w:jc w:val="left"/>
        <w:outlineLvl w:val="9"/>
        <w:rPr>
          <w:rFonts w:hint="eastAsia" w:ascii="宋体" w:hAnsi="宋体" w:eastAsia="宋体" w:cs="宋体"/>
          <w:color w:val="auto"/>
          <w:szCs w:val="21"/>
          <w:highlight w:val="none"/>
        </w:rPr>
      </w:pPr>
    </w:p>
    <w:p w14:paraId="22D09DCF">
      <w:pPr>
        <w:numPr>
          <w:ilvl w:val="0"/>
          <w:numId w:val="2"/>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招标人联系方式</w:t>
      </w:r>
    </w:p>
    <w:p w14:paraId="20231C74">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招标人：</w:t>
      </w:r>
      <w:r>
        <w:rPr>
          <w:rFonts w:hint="eastAsia" w:ascii="宋体" w:hAnsi="宋体" w:eastAsia="宋体" w:cs="宋体"/>
          <w:color w:val="auto"/>
          <w:kern w:val="0"/>
          <w:szCs w:val="21"/>
          <w:highlight w:val="none"/>
          <w:lang w:eastAsia="zh-CN"/>
        </w:rPr>
        <w:t>东莞市置拓投资有限公司</w:t>
      </w:r>
    </w:p>
    <w:p w14:paraId="537DA3DE">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ascii="宋体" w:hAnsi="宋体" w:eastAsia="宋体" w:cs="宋体"/>
          <w:color w:val="auto"/>
          <w:sz w:val="21"/>
          <w:szCs w:val="21"/>
        </w:rPr>
        <w:t>东莞市南城街道滨河路100号二期3号楼</w:t>
      </w:r>
    </w:p>
    <w:p w14:paraId="3C32C1AB">
      <w:pPr>
        <w:widowControl/>
        <w:autoSpaceDE w:val="0"/>
        <w:autoSpaceDN w:val="0"/>
        <w:adjustRightInd w:val="0"/>
        <w:spacing w:line="360" w:lineRule="auto"/>
        <w:ind w:right="-31" w:rightChars="-15" w:firstLine="424" w:firstLineChars="202"/>
        <w:jc w:val="left"/>
        <w:textAlignment w:val="bottom"/>
        <w:outlineLvl w:val="9"/>
        <w:rPr>
          <w:rFonts w:hint="default"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rPr>
        <w:t>联系人：</w:t>
      </w:r>
      <w:r>
        <w:rPr>
          <w:rFonts w:hint="eastAsia" w:ascii="宋体" w:hAnsi="宋体" w:eastAsia="宋体" w:cs="Times New Roman"/>
          <w:b w:val="0"/>
          <w:bCs w:val="0"/>
          <w:color w:val="auto"/>
          <w:kern w:val="0"/>
          <w:szCs w:val="21"/>
          <w:highlight w:val="none"/>
          <w:lang w:val="en-US" w:eastAsia="zh-CN"/>
        </w:rPr>
        <w:t>马工</w:t>
      </w:r>
    </w:p>
    <w:p w14:paraId="4AD9F8B5">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电  话：0769-22621996</w:t>
      </w:r>
    </w:p>
    <w:p w14:paraId="1FA7CEDB">
      <w:pPr>
        <w:autoSpaceDE w:val="0"/>
        <w:autoSpaceDN w:val="0"/>
        <w:adjustRightInd w:val="0"/>
        <w:spacing w:line="360" w:lineRule="auto"/>
        <w:ind w:right="-29" w:rightChars="-14" w:firstLine="420"/>
        <w:outlineLvl w:val="9"/>
        <w:rPr>
          <w:rFonts w:hint="eastAsia" w:ascii="宋体" w:hAnsi="宋体" w:eastAsia="宋体" w:cs="宋体"/>
          <w:color w:val="auto"/>
          <w:kern w:val="0"/>
          <w:szCs w:val="21"/>
          <w:highlight w:val="none"/>
        </w:rPr>
      </w:pPr>
    </w:p>
    <w:p w14:paraId="2F16ABFC">
      <w:pPr>
        <w:numPr>
          <w:ilvl w:val="0"/>
          <w:numId w:val="2"/>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招标代理机构联系方式</w:t>
      </w:r>
    </w:p>
    <w:p w14:paraId="4AFD64F0">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bookmarkStart w:id="32" w:name="_Toc450662847"/>
      <w:bookmarkStart w:id="33" w:name="_Toc31764_WPSOffice_Level1"/>
      <w:bookmarkStart w:id="34" w:name="_Toc486167661"/>
      <w:r>
        <w:rPr>
          <w:rFonts w:hint="eastAsia" w:ascii="宋体" w:hAnsi="宋体" w:eastAsia="宋体" w:cs="宋体"/>
          <w:color w:val="auto"/>
          <w:kern w:val="0"/>
          <w:szCs w:val="21"/>
          <w:highlight w:val="none"/>
        </w:rPr>
        <w:t>招标代理机构：</w:t>
      </w:r>
      <w:r>
        <w:rPr>
          <w:rFonts w:hint="eastAsia" w:ascii="宋体" w:hAnsi="宋体" w:eastAsia="宋体" w:cs="宋体"/>
          <w:color w:val="auto"/>
          <w:kern w:val="0"/>
          <w:sz w:val="21"/>
          <w:szCs w:val="21"/>
          <w:highlight w:val="none"/>
          <w:lang w:val="en-US" w:eastAsia="zh-CN" w:bidi="ar-SA"/>
        </w:rPr>
        <w:t>三方诚信招标有限公司</w:t>
      </w:r>
    </w:p>
    <w:p w14:paraId="5816E840">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地  址：</w:t>
      </w:r>
      <w:r>
        <w:rPr>
          <w:rFonts w:hint="eastAsia" w:ascii="宋体" w:hAnsi="宋体" w:eastAsia="宋体" w:cs="宋体"/>
          <w:color w:val="auto"/>
          <w:kern w:val="0"/>
          <w:szCs w:val="21"/>
          <w:highlight w:val="none"/>
          <w:lang w:eastAsia="zh-CN"/>
        </w:rPr>
        <w:t>东莞市南城街道鸿福西路81号国际商会大厦706室</w:t>
      </w:r>
    </w:p>
    <w:p w14:paraId="18FB10D1">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谭杰滨</w:t>
      </w:r>
      <w:r>
        <w:rPr>
          <w:rFonts w:hint="eastAsia" w:ascii="宋体" w:hAnsi="宋体" w:eastAsia="宋体" w:cs="宋体"/>
          <w:color w:val="auto"/>
          <w:kern w:val="0"/>
          <w:szCs w:val="21"/>
          <w:highlight w:val="none"/>
          <w:lang w:eastAsia="zh-CN"/>
        </w:rPr>
        <w:t>、黎灼峰</w:t>
      </w:r>
    </w:p>
    <w:p w14:paraId="115DF52C">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lang w:eastAsia="zh-CN"/>
        </w:rPr>
        <w:t>0769-21682660</w:t>
      </w:r>
    </w:p>
    <w:p w14:paraId="35430E4F">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rPr>
      </w:pPr>
      <w:bookmarkStart w:id="35" w:name="_Toc2720"/>
      <w:bookmarkStart w:id="36" w:name="_Toc18212"/>
      <w:bookmarkStart w:id="37" w:name="_Toc15359"/>
      <w:bookmarkStart w:id="38" w:name="_Toc17076"/>
      <w:bookmarkStart w:id="39" w:name="_Toc142508311"/>
      <w:bookmarkStart w:id="40" w:name="_Toc15111"/>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2"/>
      <w:bookmarkEnd w:id="33"/>
      <w:bookmarkEnd w:id="34"/>
      <w:bookmarkEnd w:id="35"/>
      <w:bookmarkEnd w:id="36"/>
      <w:bookmarkEnd w:id="37"/>
      <w:bookmarkEnd w:id="38"/>
      <w:bookmarkEnd w:id="39"/>
      <w:bookmarkEnd w:id="40"/>
    </w:p>
    <w:p w14:paraId="4F55EC10">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41" w:name="_Toc450662848"/>
      <w:bookmarkStart w:id="42" w:name="_Toc14832"/>
      <w:bookmarkStart w:id="43" w:name="_Toc486167662"/>
      <w:bookmarkStart w:id="44" w:name="_Toc9555"/>
      <w:bookmarkStart w:id="45" w:name="_Toc31939"/>
      <w:bookmarkStart w:id="46" w:name="_Toc142508312"/>
      <w:bookmarkStart w:id="47" w:name="_Toc16416"/>
      <w:bookmarkStart w:id="48" w:name="_Toc15366_WPSOffice_Level2"/>
      <w:bookmarkStart w:id="49" w:name="_Toc24479"/>
      <w:bookmarkStart w:id="50" w:name="_Toc140596871"/>
      <w:r>
        <w:rPr>
          <w:rFonts w:hint="eastAsia" w:ascii="宋体" w:hAnsi="宋体" w:eastAsia="宋体" w:cs="宋体"/>
          <w:b/>
          <w:bCs/>
          <w:color w:val="auto"/>
          <w:kern w:val="44"/>
          <w:szCs w:val="21"/>
          <w:highlight w:val="none"/>
          <w:lang w:val="zh-CN"/>
        </w:rPr>
        <w:t>一、总则</w:t>
      </w:r>
      <w:bookmarkEnd w:id="41"/>
      <w:bookmarkEnd w:id="42"/>
      <w:bookmarkEnd w:id="43"/>
      <w:bookmarkEnd w:id="44"/>
      <w:bookmarkEnd w:id="45"/>
      <w:bookmarkEnd w:id="46"/>
      <w:bookmarkEnd w:id="47"/>
      <w:bookmarkEnd w:id="48"/>
      <w:bookmarkEnd w:id="49"/>
      <w:bookmarkEnd w:id="50"/>
    </w:p>
    <w:p w14:paraId="19D4E082">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51" w:name="_Toc16288"/>
      <w:bookmarkStart w:id="52" w:name="_Toc450662849"/>
      <w:bookmarkStart w:id="53" w:name="_Toc31133"/>
      <w:bookmarkStart w:id="54" w:name="_Toc23333"/>
      <w:bookmarkStart w:id="55" w:name="_Toc486167663"/>
      <w:bookmarkStart w:id="56" w:name="_Toc9608"/>
      <w:bookmarkStart w:id="57" w:name="_Toc142508313"/>
      <w:bookmarkStart w:id="58" w:name="_Toc21710_WPSOffice_Level3"/>
      <w:r>
        <w:rPr>
          <w:rFonts w:hint="eastAsia" w:ascii="宋体" w:hAnsi="宋体" w:eastAsia="宋体" w:cs="宋体"/>
          <w:color w:val="auto"/>
          <w:szCs w:val="21"/>
          <w:highlight w:val="none"/>
          <w:lang w:val="zh-CN"/>
        </w:rPr>
        <w:t>1 资金来源：企业自筹资金。</w:t>
      </w:r>
      <w:bookmarkEnd w:id="51"/>
      <w:bookmarkEnd w:id="52"/>
      <w:bookmarkEnd w:id="53"/>
      <w:bookmarkEnd w:id="54"/>
      <w:bookmarkEnd w:id="55"/>
      <w:bookmarkEnd w:id="56"/>
      <w:bookmarkEnd w:id="57"/>
      <w:bookmarkEnd w:id="58"/>
    </w:p>
    <w:p w14:paraId="1D708BA1">
      <w:pPr>
        <w:autoSpaceDE w:val="0"/>
        <w:autoSpaceDN w:val="0"/>
        <w:adjustRightInd w:val="0"/>
        <w:jc w:val="left"/>
        <w:rPr>
          <w:rFonts w:hint="eastAsia" w:ascii="宋体" w:hAnsi="宋体" w:eastAsia="宋体" w:cs="宋体"/>
          <w:color w:val="auto"/>
          <w:kern w:val="0"/>
          <w:sz w:val="24"/>
          <w:szCs w:val="24"/>
          <w:highlight w:val="none"/>
        </w:rPr>
      </w:pPr>
    </w:p>
    <w:p w14:paraId="1E9C51E8">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59" w:name="_Toc142508314"/>
      <w:bookmarkStart w:id="60" w:name="_Toc31095"/>
      <w:bookmarkStart w:id="61" w:name="_Toc32244"/>
      <w:bookmarkStart w:id="62" w:name="_Toc486167664"/>
      <w:bookmarkStart w:id="63" w:name="_Toc18557"/>
      <w:bookmarkStart w:id="64" w:name="_Toc450662850"/>
      <w:bookmarkStart w:id="65" w:name="_Toc4951"/>
      <w:bookmarkStart w:id="66" w:name="_Toc80_WPSOffice_Level3"/>
      <w:r>
        <w:rPr>
          <w:rFonts w:hint="eastAsia" w:ascii="宋体" w:hAnsi="宋体" w:eastAsia="宋体" w:cs="宋体"/>
          <w:b/>
          <w:color w:val="auto"/>
          <w:szCs w:val="21"/>
          <w:highlight w:val="none"/>
          <w:lang w:val="zh-CN"/>
        </w:rPr>
        <w:t>2 合格的投标人</w:t>
      </w:r>
      <w:bookmarkEnd w:id="59"/>
      <w:bookmarkEnd w:id="60"/>
      <w:bookmarkEnd w:id="61"/>
      <w:bookmarkEnd w:id="62"/>
      <w:bookmarkEnd w:id="63"/>
      <w:bookmarkEnd w:id="64"/>
      <w:bookmarkEnd w:id="65"/>
      <w:bookmarkEnd w:id="66"/>
    </w:p>
    <w:p w14:paraId="63D58538">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合格的投标人条件见第一篇《招标公告》中第2条的“合格投标人资格要求”及本条以下2.2款至2.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0A1AF3D1">
      <w:pPr>
        <w:autoSpaceDE/>
        <w:autoSpaceDN/>
        <w:adjustRightInd w:val="0"/>
        <w:spacing w:line="360" w:lineRule="auto"/>
        <w:ind w:left="325" w:leftChars="-100" w:hanging="535" w:hangingChars="254"/>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highlight w:val="none"/>
          <w:lang w:val="zh-CN"/>
        </w:rPr>
        <w:t>处罚说明</w:t>
      </w:r>
      <w:r>
        <w:rPr>
          <w:rFonts w:hint="eastAsia" w:ascii="宋体" w:hAnsi="宋体" w:eastAsia="宋体" w:cs="宋体"/>
          <w:b/>
          <w:color w:val="auto"/>
          <w:kern w:val="0"/>
          <w:szCs w:val="21"/>
          <w:highlight w:val="none"/>
        </w:rPr>
        <w:t>”，如果不主动填报而被事后发现的，将取消其投标（中标）资格，并按有关规定从重处理。</w:t>
      </w:r>
    </w:p>
    <w:p w14:paraId="571E9857">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2.3  投标人</w:t>
      </w:r>
      <w:r>
        <w:rPr>
          <w:rFonts w:hint="eastAsia" w:ascii="宋体" w:hAnsi="宋体" w:eastAsia="宋体" w:cs="宋体"/>
          <w:b/>
          <w:color w:val="auto"/>
          <w:szCs w:val="21"/>
          <w:highlight w:val="none"/>
          <w:lang w:val="zh-CN"/>
        </w:rPr>
        <w:t>符合《中华人民共和国招标投标法》第二十六条规定。</w:t>
      </w:r>
    </w:p>
    <w:p w14:paraId="2BE09E27">
      <w:pPr>
        <w:autoSpaceDE w:val="0"/>
        <w:autoSpaceDN w:val="0"/>
        <w:adjustRightInd w:val="0"/>
        <w:spacing w:line="360" w:lineRule="auto"/>
        <w:ind w:left="317" w:leftChars="-99" w:hanging="525" w:hangingChars="24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  投标人（含其不具有独立法人资格的分支机构）未被列入“信用中国”网站（www.creditchina.gov.cn）失信被执行人、重大税收违法失信主体、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5B3EEF92">
      <w:pPr>
        <w:autoSpaceDE w:val="0"/>
        <w:autoSpaceDN w:val="0"/>
        <w:adjustRightInd w:val="0"/>
        <w:spacing w:line="360" w:lineRule="auto"/>
        <w:ind w:left="317" w:leftChars="-100" w:hanging="527" w:hangingChars="250"/>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1333410D">
      <w:pPr>
        <w:tabs>
          <w:tab w:val="left" w:pos="426"/>
        </w:tabs>
        <w:autoSpaceDE w:val="0"/>
        <w:autoSpaceDN w:val="0"/>
        <w:adjustRightInd w:val="0"/>
        <w:spacing w:line="360" w:lineRule="auto"/>
        <w:ind w:left="319" w:leftChars="-100" w:hanging="529" w:hangingChars="252"/>
        <w:rPr>
          <w:rFonts w:hint="eastAsia" w:ascii="宋体" w:hAnsi="宋体" w:eastAsia="宋体" w:cs="宋体"/>
          <w:color w:val="auto"/>
          <w:kern w:val="0"/>
          <w:szCs w:val="24"/>
          <w:highlight w:val="none"/>
        </w:rPr>
      </w:pPr>
    </w:p>
    <w:p w14:paraId="03384194">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67" w:name="_Toc23847_WPSOffice_Level3"/>
      <w:bookmarkStart w:id="68" w:name="_Toc142508315"/>
      <w:bookmarkStart w:id="69" w:name="_Toc8522"/>
      <w:bookmarkStart w:id="70" w:name="_Toc19774"/>
      <w:bookmarkStart w:id="71" w:name="_Toc20209"/>
      <w:bookmarkStart w:id="72" w:name="_Toc11689"/>
      <w:bookmarkStart w:id="73" w:name="_Toc486167665"/>
      <w:bookmarkStart w:id="74" w:name="_Toc450662851"/>
      <w:r>
        <w:rPr>
          <w:rFonts w:hint="eastAsia" w:ascii="宋体" w:hAnsi="宋体" w:eastAsia="宋体" w:cs="宋体"/>
          <w:b/>
          <w:color w:val="auto"/>
          <w:szCs w:val="21"/>
          <w:highlight w:val="none"/>
          <w:lang w:val="zh-CN"/>
        </w:rPr>
        <w:t>3 合格的</w:t>
      </w:r>
      <w:bookmarkEnd w:id="67"/>
      <w:bookmarkEnd w:id="68"/>
      <w:bookmarkEnd w:id="69"/>
      <w:bookmarkEnd w:id="70"/>
      <w:bookmarkEnd w:id="71"/>
      <w:bookmarkEnd w:id="72"/>
      <w:r>
        <w:rPr>
          <w:rFonts w:hint="eastAsia" w:ascii="宋体" w:hAnsi="宋体" w:eastAsia="宋体" w:cs="宋体"/>
          <w:b/>
          <w:color w:val="auto"/>
          <w:szCs w:val="21"/>
          <w:highlight w:val="none"/>
          <w:lang w:val="en-US" w:eastAsia="zh-CN"/>
        </w:rPr>
        <w:t>服务</w:t>
      </w:r>
    </w:p>
    <w:p w14:paraId="61A6543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“服务”是指投标人按招标文件规定完成的全部服务内容，其中包括完成服务所需的货物和工程，及须承担的技术支持、培训和其它伴随服务。</w:t>
      </w:r>
    </w:p>
    <w:p w14:paraId="3E4915A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5" w:name="_Toc1977663"/>
      <w:bookmarkStart w:id="76" w:name="_Toc533708063"/>
      <w:r>
        <w:rPr>
          <w:rFonts w:hint="eastAsia" w:ascii="宋体" w:hAnsi="宋体" w:eastAsia="宋体" w:cs="宋体"/>
          <w:color w:val="auto"/>
          <w:szCs w:val="21"/>
          <w:highlight w:val="none"/>
          <w:lang w:val="zh-CN"/>
        </w:rPr>
        <w:t xml:space="preserve">3.2  </w:t>
      </w:r>
      <w:bookmarkEnd w:id="75"/>
      <w:bookmarkEnd w:id="76"/>
      <w:bookmarkStart w:id="77" w:name="_Toc1977665"/>
      <w:bookmarkStart w:id="78"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或</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的任何部分均为最新正式版本</w:t>
      </w:r>
      <w:r>
        <w:rPr>
          <w:rFonts w:hint="eastAsia" w:ascii="宋体" w:hAnsi="宋体" w:eastAsia="宋体" w:cs="宋体"/>
          <w:color w:val="auto"/>
          <w:szCs w:val="21"/>
          <w:highlight w:val="none"/>
          <w:lang w:val="zh-CN"/>
        </w:rPr>
        <w:t>。</w:t>
      </w:r>
      <w:bookmarkEnd w:id="77"/>
      <w:bookmarkEnd w:id="78"/>
    </w:p>
    <w:p w14:paraId="33917FF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9" w:name="_Toc1977666"/>
      <w:bookmarkStart w:id="80"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79"/>
      <w:bookmarkEnd w:id="80"/>
      <w:bookmarkStart w:id="81" w:name="_Toc1977667"/>
      <w:bookmarkStart w:id="82" w:name="_Toc533708067"/>
      <w:r>
        <w:rPr>
          <w:rFonts w:hint="eastAsia" w:ascii="宋体" w:hAnsi="宋体" w:eastAsia="宋体" w:cs="宋体"/>
          <w:color w:val="auto"/>
          <w:szCs w:val="21"/>
          <w:highlight w:val="none"/>
          <w:lang w:val="zh-CN"/>
        </w:rPr>
        <w:t>投标人</w:t>
      </w:r>
      <w:r>
        <w:rPr>
          <w:rFonts w:hint="eastAsia" w:ascii="宋体" w:hAnsi="宋体" w:eastAsia="宋体" w:cs="Times New Roman"/>
          <w:color w:val="auto"/>
          <w:kern w:val="0"/>
          <w:szCs w:val="21"/>
          <w:highlight w:val="none"/>
        </w:rPr>
        <w:t>应保证招标人在中华人民共和国使用</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或</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81"/>
      <w:bookmarkEnd w:id="82"/>
    </w:p>
    <w:p w14:paraId="242FEA7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83" w:name="_Toc533708068"/>
      <w:bookmarkStart w:id="84"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83"/>
      <w:bookmarkEnd w:id="84"/>
      <w:r>
        <w:rPr>
          <w:rFonts w:hint="eastAsia" w:ascii="宋体" w:hAnsi="宋体" w:eastAsia="宋体" w:cs="宋体"/>
          <w:color w:val="auto"/>
          <w:szCs w:val="21"/>
          <w:highlight w:val="none"/>
          <w:lang w:val="zh-CN"/>
        </w:rPr>
        <w:t>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785AFEEF">
      <w:pPr>
        <w:autoSpaceDE w:val="0"/>
        <w:autoSpaceDN w:val="0"/>
        <w:adjustRightInd w:val="0"/>
        <w:spacing w:line="360" w:lineRule="auto"/>
        <w:jc w:val="left"/>
        <w:rPr>
          <w:rFonts w:hint="eastAsia" w:ascii="宋体" w:hAnsi="宋体" w:eastAsia="宋体" w:cs="宋体"/>
          <w:color w:val="auto"/>
          <w:szCs w:val="21"/>
          <w:highlight w:val="none"/>
          <w:lang w:val="zh-CN"/>
        </w:rPr>
      </w:pPr>
    </w:p>
    <w:p w14:paraId="6B7BB61C">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85" w:name="_Toc7422"/>
      <w:bookmarkStart w:id="86" w:name="_Toc3404"/>
      <w:bookmarkStart w:id="87" w:name="_Toc11533"/>
      <w:bookmarkStart w:id="88" w:name="_Toc142508316"/>
      <w:bookmarkStart w:id="89" w:name="_Toc9658_WPSOffice_Level3"/>
      <w:bookmarkStart w:id="90" w:name="_Toc23153"/>
      <w:r>
        <w:rPr>
          <w:rFonts w:hint="eastAsia" w:ascii="宋体" w:hAnsi="宋体" w:eastAsia="宋体" w:cs="宋体"/>
          <w:color w:val="auto"/>
          <w:szCs w:val="21"/>
          <w:highlight w:val="none"/>
          <w:lang w:val="zh-CN"/>
        </w:rPr>
        <w:t>4 其它说明</w:t>
      </w:r>
      <w:bookmarkEnd w:id="85"/>
      <w:bookmarkEnd w:id="86"/>
      <w:bookmarkEnd w:id="87"/>
      <w:bookmarkEnd w:id="88"/>
      <w:bookmarkEnd w:id="89"/>
      <w:bookmarkEnd w:id="90"/>
    </w:p>
    <w:p w14:paraId="07A4164A">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91" w:name="_Toc1977670"/>
      <w:bookmarkStart w:id="92" w:name="_Toc533708070"/>
      <w:r>
        <w:rPr>
          <w:rFonts w:hint="eastAsia" w:ascii="宋体" w:hAnsi="宋体" w:eastAsia="宋体" w:cs="宋体"/>
          <w:color w:val="auto"/>
          <w:szCs w:val="21"/>
          <w:highlight w:val="none"/>
          <w:lang w:val="zh-CN"/>
        </w:rPr>
        <w:t>4.1  投标费用</w:t>
      </w:r>
      <w:bookmarkEnd w:id="91"/>
      <w:bookmarkEnd w:id="92"/>
    </w:p>
    <w:p w14:paraId="062E4ECF">
      <w:pPr>
        <w:autoSpaceDE w:val="0"/>
        <w:autoSpaceDN w:val="0"/>
        <w:adjustRightInd w:val="0"/>
        <w:spacing w:line="360" w:lineRule="auto"/>
        <w:ind w:left="210" w:leftChars="100" w:firstLine="420" w:firstLineChars="200"/>
        <w:rPr>
          <w:rFonts w:hint="eastAsia" w:ascii="宋体" w:hAnsi="宋体" w:eastAsia="宋体" w:cs="宋体"/>
          <w:color w:val="auto"/>
          <w:szCs w:val="21"/>
          <w:highlight w:val="none"/>
          <w:lang w:val="zh-CN"/>
        </w:rPr>
      </w:pPr>
      <w:bookmarkStart w:id="93" w:name="_Toc533708072"/>
      <w:bookmarkStart w:id="94" w:name="_Toc19776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93"/>
      <w:bookmarkEnd w:id="94"/>
    </w:p>
    <w:p w14:paraId="354E2F2C">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95" w:name="_Toc533708073"/>
      <w:bookmarkStart w:id="96" w:name="_Toc1977673"/>
      <w:r>
        <w:rPr>
          <w:rFonts w:hint="eastAsia" w:ascii="宋体" w:hAnsi="宋体" w:eastAsia="宋体" w:cs="宋体"/>
          <w:color w:val="auto"/>
          <w:szCs w:val="21"/>
          <w:highlight w:val="none"/>
          <w:lang w:val="zh-CN"/>
        </w:rPr>
        <w:t>4.2  踏勘现场</w:t>
      </w:r>
      <w:bookmarkEnd w:id="95"/>
      <w:bookmarkEnd w:id="96"/>
    </w:p>
    <w:p w14:paraId="43D579D6">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bookmarkStart w:id="97" w:name="_Toc533708076"/>
      <w:bookmarkStart w:id="98" w:name="_Toc1977676"/>
      <w:r>
        <w:rPr>
          <w:rFonts w:hint="eastAsia" w:ascii="宋体" w:hAnsi="宋体" w:eastAsia="宋体" w:cs="宋体"/>
          <w:color w:val="auto"/>
          <w:kern w:val="0"/>
          <w:szCs w:val="21"/>
          <w:highlight w:val="none"/>
        </w:rPr>
        <w:t>（1）本项目不组织集中踏勘现场和答疑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投标人应自行到实地踏勘考察</w:t>
      </w:r>
      <w:r>
        <w:rPr>
          <w:rFonts w:hint="eastAsia" w:ascii="宋体" w:hAnsi="宋体" w:eastAsia="宋体" w:cs="宋体"/>
          <w:color w:val="auto"/>
          <w:kern w:val="0"/>
          <w:szCs w:val="21"/>
          <w:highlight w:val="none"/>
        </w:rPr>
        <w:t>。</w:t>
      </w:r>
    </w:p>
    <w:p w14:paraId="56D0E9D6">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（2）潜在投标人应承担踏勘现场自身所发生的费用。</w:t>
      </w:r>
    </w:p>
    <w:p w14:paraId="215B6696">
      <w:pPr>
        <w:spacing w:line="360" w:lineRule="auto"/>
        <w:ind w:left="419" w:leftChars="-59" w:hanging="543" w:hangingChars="25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61A023E6">
      <w:pPr>
        <w:spacing w:line="360" w:lineRule="auto"/>
        <w:ind w:left="419" w:leftChars="-59" w:hanging="543" w:hangingChars="25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337EEA48">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纪律与保密事项</w:t>
      </w:r>
      <w:bookmarkEnd w:id="73"/>
      <w:bookmarkEnd w:id="74"/>
      <w:bookmarkEnd w:id="97"/>
      <w:bookmarkEnd w:id="98"/>
    </w:p>
    <w:p w14:paraId="17C02FCE">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14:paraId="74E2B5E9">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）凡参与招标工作的有关人员均应自觉接受有关主管部门的监督，不得向他人透露可能影响公平竞争的情况。</w:t>
      </w:r>
    </w:p>
    <w:p w14:paraId="27E238CE">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w:t>
      </w:r>
      <w:r>
        <w:rPr>
          <w:rFonts w:hint="eastAsia" w:ascii="宋体" w:hAnsi="宋体" w:eastAsia="宋体" w:cs="宋体"/>
          <w:color w:val="auto"/>
          <w:kern w:val="0"/>
          <w:szCs w:val="21"/>
          <w:highlight w:val="none"/>
          <w:lang w:eastAsia="zh-CN"/>
        </w:rPr>
        <w:t>授予合同期间</w:t>
      </w:r>
      <w:r>
        <w:rPr>
          <w:rFonts w:hint="eastAsia" w:ascii="宋体" w:hAnsi="宋体" w:eastAsia="宋体" w:cs="宋体"/>
          <w:color w:val="auto"/>
          <w:kern w:val="0"/>
          <w:szCs w:val="21"/>
          <w:highlight w:val="none"/>
        </w:rPr>
        <w:t>，凡与审查、澄清、评价和比较报价的有关资料以及授标意见等，参与评标工作的有关人员均不得向投标人及与评标无关的其他人透露。</w:t>
      </w:r>
    </w:p>
    <w:p w14:paraId="012C1757">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6FD57D0A">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7375849A">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p w14:paraId="5814CEAA">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p>
    <w:p w14:paraId="189CE783">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99" w:name="_Toc30507_WPSOffice_Level2"/>
      <w:bookmarkStart w:id="100" w:name="_Toc450662853"/>
      <w:bookmarkStart w:id="101" w:name="_Toc5462"/>
      <w:bookmarkStart w:id="102" w:name="_Toc140596876"/>
      <w:bookmarkStart w:id="103" w:name="_Toc142508317"/>
      <w:bookmarkStart w:id="104" w:name="_Toc5395"/>
      <w:bookmarkStart w:id="105" w:name="_Toc21611"/>
      <w:bookmarkStart w:id="106" w:name="_Toc1565"/>
      <w:bookmarkStart w:id="107" w:name="_Toc486167667"/>
      <w:bookmarkStart w:id="108" w:name="_Toc20516"/>
      <w:r>
        <w:rPr>
          <w:rFonts w:hint="eastAsia" w:ascii="宋体" w:hAnsi="宋体" w:eastAsia="宋体" w:cs="宋体"/>
          <w:b/>
          <w:bCs/>
          <w:color w:val="auto"/>
          <w:kern w:val="44"/>
          <w:szCs w:val="21"/>
          <w:highlight w:val="none"/>
          <w:lang w:val="zh-CN"/>
        </w:rPr>
        <w:t>二、招标文件</w:t>
      </w:r>
      <w:bookmarkEnd w:id="99"/>
      <w:bookmarkEnd w:id="100"/>
      <w:bookmarkEnd w:id="101"/>
      <w:bookmarkEnd w:id="102"/>
      <w:bookmarkEnd w:id="103"/>
      <w:bookmarkEnd w:id="104"/>
      <w:bookmarkEnd w:id="105"/>
      <w:bookmarkEnd w:id="106"/>
      <w:bookmarkEnd w:id="107"/>
      <w:bookmarkEnd w:id="108"/>
    </w:p>
    <w:p w14:paraId="11B5E05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09" w:name="_Toc28893"/>
      <w:bookmarkStart w:id="110" w:name="_Toc2283"/>
      <w:bookmarkStart w:id="111" w:name="_Toc7417"/>
      <w:bookmarkStart w:id="112" w:name="_Toc142508318"/>
      <w:bookmarkStart w:id="113" w:name="_Toc450662854"/>
      <w:bookmarkStart w:id="114" w:name="_Toc26635_WPSOffice_Level3"/>
      <w:bookmarkStart w:id="115" w:name="_Toc2406"/>
      <w:bookmarkStart w:id="116" w:name="_Toc486167668"/>
      <w:r>
        <w:rPr>
          <w:rFonts w:hint="eastAsia" w:ascii="宋体" w:hAnsi="宋体" w:eastAsia="宋体" w:cs="宋体"/>
          <w:color w:val="auto"/>
          <w:szCs w:val="21"/>
          <w:highlight w:val="none"/>
          <w:lang w:val="zh-CN"/>
        </w:rPr>
        <w:t>5 招标文件的构成</w:t>
      </w:r>
      <w:bookmarkEnd w:id="109"/>
      <w:bookmarkEnd w:id="110"/>
      <w:bookmarkEnd w:id="111"/>
      <w:bookmarkEnd w:id="112"/>
      <w:bookmarkEnd w:id="113"/>
      <w:bookmarkEnd w:id="114"/>
      <w:bookmarkEnd w:id="115"/>
      <w:bookmarkEnd w:id="116"/>
    </w:p>
    <w:p w14:paraId="3A688EFE">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招标文件包括：</w:t>
      </w:r>
    </w:p>
    <w:p w14:paraId="724C5682">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14:paraId="0CF89719">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第二篇 投标人须知</w:t>
      </w:r>
    </w:p>
    <w:p w14:paraId="708FCB59">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14:paraId="54BE174C">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第四篇 合同条款</w:t>
      </w:r>
      <w:r>
        <w:rPr>
          <w:rFonts w:hint="eastAsia" w:ascii="宋体" w:hAnsi="宋体" w:eastAsia="宋体" w:cs="宋体"/>
          <w:color w:val="auto"/>
          <w:szCs w:val="21"/>
          <w:highlight w:val="none"/>
          <w:lang w:val="en-US" w:eastAsia="zh-CN"/>
        </w:rPr>
        <w:t>格式</w:t>
      </w:r>
    </w:p>
    <w:p w14:paraId="7F90C080">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14:paraId="6931D6A9">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14:paraId="731065CC">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6E8FA019">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标文件未对招标文件作出实质性响应（★标志的部分为投标人、投标拟供服务必备的条件或重要指示），那么投标人的投标文件将有可能被拒绝接收或评审为无效投标文件。</w:t>
      </w:r>
    </w:p>
    <w:p w14:paraId="5BAD693B">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5AFD6C4C">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w:t>
      </w:r>
      <w:r>
        <w:rPr>
          <w:rFonts w:hint="eastAsia" w:ascii="宋体" w:hAnsi="宋体" w:eastAsia="宋体" w:cs="宋体"/>
          <w:color w:val="auto"/>
          <w:kern w:val="0"/>
          <w:szCs w:val="21"/>
          <w:highlight w:val="none"/>
          <w:lang w:eastAsia="zh-CN"/>
        </w:rPr>
        <w:t>东莞市置拓投资有限公司</w:t>
      </w:r>
      <w:r>
        <w:rPr>
          <w:rFonts w:hint="eastAsia" w:ascii="宋体" w:hAnsi="宋体" w:eastAsia="宋体" w:cs="宋体"/>
          <w:color w:val="auto"/>
          <w:kern w:val="0"/>
          <w:szCs w:val="21"/>
          <w:highlight w:val="none"/>
        </w:rPr>
        <w:t>；</w:t>
      </w:r>
    </w:p>
    <w:p w14:paraId="63E7FCCA">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（2）“招标代理机构”指</w:t>
      </w:r>
      <w:r>
        <w:rPr>
          <w:rFonts w:hint="eastAsia" w:ascii="宋体" w:hAnsi="宋体" w:eastAsia="宋体" w:cs="宋体"/>
          <w:color w:val="auto"/>
          <w:kern w:val="0"/>
          <w:szCs w:val="21"/>
          <w:highlight w:val="none"/>
          <w:lang w:eastAsia="zh-CN"/>
        </w:rPr>
        <w:t>三方诚信招标有限公司</w:t>
      </w:r>
      <w:r>
        <w:rPr>
          <w:rFonts w:hint="eastAsia" w:ascii="宋体" w:hAnsi="宋体" w:eastAsia="宋体" w:cs="宋体"/>
          <w:color w:val="auto"/>
          <w:kern w:val="0"/>
          <w:szCs w:val="21"/>
          <w:highlight w:val="none"/>
        </w:rPr>
        <w:t>；</w:t>
      </w:r>
    </w:p>
    <w:p w14:paraId="1548AC56">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（3）“投标人”指参加</w:t>
      </w:r>
      <w:r>
        <w:rPr>
          <w:rFonts w:hint="eastAsia" w:ascii="宋体" w:hAnsi="宋体" w:eastAsia="宋体" w:cs="宋体"/>
          <w:color w:val="auto"/>
          <w:kern w:val="0"/>
          <w:szCs w:val="21"/>
          <w:highlight w:val="none"/>
          <w:lang w:eastAsia="zh-CN"/>
        </w:rPr>
        <w:t>东莞市置拓投资有限公司水业大厦2026-2027年度物业管理服务采购项目</w:t>
      </w:r>
      <w:r>
        <w:rPr>
          <w:rFonts w:hint="eastAsia" w:ascii="宋体" w:hAnsi="宋体" w:eastAsia="宋体" w:cs="宋体"/>
          <w:color w:val="auto"/>
          <w:kern w:val="0"/>
          <w:szCs w:val="21"/>
          <w:highlight w:val="none"/>
        </w:rPr>
        <w:t>所需的</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的投标，并向</w:t>
      </w:r>
      <w:r>
        <w:rPr>
          <w:rFonts w:hint="eastAsia" w:ascii="宋体" w:hAnsi="宋体" w:eastAsia="宋体" w:cs="Times New Roman"/>
          <w:color w:val="auto"/>
          <w:kern w:val="0"/>
          <w:szCs w:val="21"/>
          <w:highlight w:val="none"/>
        </w:rPr>
        <w:t>交易系统在线上传</w:t>
      </w:r>
      <w:r>
        <w:rPr>
          <w:rFonts w:hint="eastAsia" w:ascii="宋体" w:hAnsi="宋体" w:eastAsia="宋体" w:cs="宋体"/>
          <w:color w:val="auto"/>
          <w:kern w:val="0"/>
          <w:szCs w:val="21"/>
          <w:highlight w:val="none"/>
        </w:rPr>
        <w:t>投标文件的当事人；</w:t>
      </w:r>
    </w:p>
    <w:p w14:paraId="7382D831">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（4）“评标委员会”是依照《中华人民共和国招标投标法》等法规组建的专门负责本次评标工作的临时性机构；</w:t>
      </w:r>
    </w:p>
    <w:p w14:paraId="7FCC9291">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（5）“中标人”指其投标被招标人接受，并与招标人签订合同的当事人；</w:t>
      </w:r>
    </w:p>
    <w:p w14:paraId="6A7A7449">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（6）“甲方”指在合同条款中指明的</w:t>
      </w:r>
      <w:r>
        <w:rPr>
          <w:rFonts w:hint="eastAsia" w:ascii="宋体" w:hAnsi="宋体" w:eastAsia="宋体" w:cs="Times New Roman"/>
          <w:color w:val="auto"/>
          <w:kern w:val="0"/>
          <w:szCs w:val="21"/>
          <w:highlight w:val="none"/>
        </w:rPr>
        <w:t>购买服务</w:t>
      </w:r>
      <w:r>
        <w:rPr>
          <w:rFonts w:hint="eastAsia" w:ascii="宋体" w:hAnsi="宋体" w:eastAsia="宋体" w:cs="宋体"/>
          <w:color w:val="auto"/>
          <w:kern w:val="0"/>
          <w:szCs w:val="21"/>
          <w:highlight w:val="none"/>
        </w:rPr>
        <w:t>的单位，即</w:t>
      </w:r>
      <w:r>
        <w:rPr>
          <w:rFonts w:hint="eastAsia" w:ascii="宋体" w:hAnsi="宋体" w:eastAsia="宋体" w:cs="宋体"/>
          <w:color w:val="auto"/>
          <w:kern w:val="0"/>
          <w:szCs w:val="21"/>
          <w:highlight w:val="none"/>
          <w:lang w:eastAsia="zh-CN"/>
        </w:rPr>
        <w:t>东莞市置拓投资有限公司</w:t>
      </w:r>
      <w:r>
        <w:rPr>
          <w:rFonts w:hint="eastAsia" w:ascii="宋体" w:hAnsi="宋体" w:eastAsia="宋体" w:cs="宋体"/>
          <w:color w:val="auto"/>
          <w:kern w:val="0"/>
          <w:szCs w:val="21"/>
          <w:highlight w:val="none"/>
        </w:rPr>
        <w:t>；</w:t>
      </w:r>
    </w:p>
    <w:p w14:paraId="7B755860">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（7）“乙方”指在合同条款中指明的本合同项下</w:t>
      </w:r>
      <w:r>
        <w:rPr>
          <w:rFonts w:hint="eastAsia" w:ascii="宋体" w:hAnsi="宋体" w:eastAsia="宋体" w:cs="Times New Roman"/>
          <w:color w:val="auto"/>
          <w:kern w:val="0"/>
          <w:szCs w:val="21"/>
          <w:highlight w:val="none"/>
        </w:rPr>
        <w:t>提供服务</w:t>
      </w:r>
      <w:r>
        <w:rPr>
          <w:rFonts w:hint="eastAsia" w:ascii="宋体" w:hAnsi="宋体" w:eastAsia="宋体" w:cs="宋体"/>
          <w:color w:val="auto"/>
          <w:kern w:val="0"/>
          <w:szCs w:val="21"/>
          <w:highlight w:val="none"/>
        </w:rPr>
        <w:t>的公司或实体；</w:t>
      </w:r>
    </w:p>
    <w:p w14:paraId="4E82C8E0">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（8）“招标文件”指招标公告和招标文件及其补充、变更和澄清等一系列文件；</w:t>
      </w:r>
    </w:p>
    <w:p w14:paraId="218D5519">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（9）“投标文件”指投标人根据本招标文件向</w:t>
      </w:r>
      <w:r>
        <w:rPr>
          <w:rFonts w:hint="eastAsia" w:ascii="宋体" w:hAnsi="宋体" w:eastAsia="宋体" w:cs="宋体"/>
          <w:color w:val="auto"/>
          <w:kern w:val="0"/>
          <w:szCs w:val="21"/>
          <w:highlight w:val="none"/>
          <w:lang w:val="en-US" w:eastAsia="zh-CN"/>
        </w:rPr>
        <w:t>交易系统在线上传</w:t>
      </w:r>
      <w:r>
        <w:rPr>
          <w:rFonts w:hint="eastAsia" w:ascii="宋体" w:hAnsi="宋体" w:eastAsia="宋体" w:cs="宋体"/>
          <w:color w:val="auto"/>
          <w:kern w:val="0"/>
          <w:szCs w:val="21"/>
          <w:highlight w:val="none"/>
        </w:rPr>
        <w:t>的全部文件；</w:t>
      </w:r>
    </w:p>
    <w:p w14:paraId="037F0943">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（10）“书面函件”指手写、打字或印刷的函件，包括电传、电报和传真；</w:t>
      </w:r>
    </w:p>
    <w:p w14:paraId="620CCDEA">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（11）“合同”指由本次招标所产生的合同或合约文件；</w:t>
      </w:r>
    </w:p>
    <w:p w14:paraId="2165B418">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（12）“日期”指公历日，“时间”指北京时间；</w:t>
      </w:r>
    </w:p>
    <w:p w14:paraId="0FB7AD07">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（13）本招标文件中的“境内”特指中华人民共和国海关关境以内，“境外”特指中华人民共和国海关关境以外；</w:t>
      </w:r>
    </w:p>
    <w:p w14:paraId="6F336DDD">
      <w:pPr>
        <w:autoSpaceDE/>
        <w:autoSpaceDN/>
        <w:adjustRightInd w:val="0"/>
        <w:spacing w:line="360" w:lineRule="auto"/>
        <w:ind w:left="504" w:leftChars="-60" w:hanging="630" w:hanging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中华人民共和国增值税暂行条例》（国务院令第691号修订版）规定的销售额。本招标文件所称的不含税价和不含税合同价是指不含本采购项目投标人的销项税额，包含了投标人完成合同义务（含投标人代缴代扣、采购货物等所产生的价税）的其他全部费用。本采购项目投标人的销项税额由招标人承担，不计入投标报价。</w:t>
      </w:r>
    </w:p>
    <w:p w14:paraId="6C7E4720">
      <w:pPr>
        <w:autoSpaceDE w:val="0"/>
        <w:autoSpaceDN w:val="0"/>
        <w:adjustRightInd w:val="0"/>
        <w:spacing w:line="360" w:lineRule="auto"/>
        <w:ind w:left="951" w:leftChars="78" w:hanging="787" w:hangingChars="375"/>
        <w:rPr>
          <w:rFonts w:hint="eastAsia" w:ascii="宋体" w:hAnsi="宋体" w:eastAsia="宋体" w:cs="宋体"/>
          <w:color w:val="auto"/>
          <w:szCs w:val="21"/>
          <w:highlight w:val="none"/>
          <w:lang w:val="zh-CN"/>
        </w:rPr>
      </w:pPr>
    </w:p>
    <w:p w14:paraId="71EE0594">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17" w:name="_Toc19474"/>
      <w:bookmarkStart w:id="118" w:name="_Toc27518"/>
      <w:bookmarkStart w:id="119" w:name="_Toc450662855"/>
      <w:bookmarkStart w:id="120" w:name="_Toc142508319"/>
      <w:bookmarkStart w:id="121" w:name="_Toc11346"/>
      <w:bookmarkStart w:id="122" w:name="_Toc486167669"/>
      <w:bookmarkStart w:id="123" w:name="_Toc29125_WPSOffice_Level3"/>
      <w:bookmarkStart w:id="124" w:name="_Toc3727"/>
      <w:r>
        <w:rPr>
          <w:rFonts w:hint="eastAsia" w:ascii="宋体" w:hAnsi="宋体" w:eastAsia="宋体" w:cs="宋体"/>
          <w:color w:val="auto"/>
          <w:szCs w:val="21"/>
          <w:highlight w:val="none"/>
          <w:lang w:val="zh-CN"/>
        </w:rPr>
        <w:t>6 招标文件的异议</w:t>
      </w:r>
      <w:bookmarkEnd w:id="117"/>
      <w:bookmarkEnd w:id="118"/>
      <w:bookmarkEnd w:id="119"/>
      <w:bookmarkEnd w:id="120"/>
      <w:bookmarkEnd w:id="121"/>
      <w:bookmarkEnd w:id="122"/>
      <w:bookmarkEnd w:id="123"/>
      <w:bookmarkEnd w:id="124"/>
    </w:p>
    <w:p w14:paraId="05E0D40A">
      <w:pPr>
        <w:autoSpaceDE w:val="0"/>
        <w:autoSpaceDN w:val="0"/>
        <w:adjustRightInd w:val="0"/>
        <w:spacing w:line="360" w:lineRule="auto"/>
        <w:ind w:left="288" w:leftChars="137" w:firstLine="420" w:firstLine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w:t>
      </w:r>
      <w:r>
        <w:rPr>
          <w:rFonts w:hint="eastAsia" w:ascii="宋体" w:hAnsi="宋体" w:eastAsia="宋体" w:cs="宋体"/>
          <w:color w:val="auto"/>
          <w:szCs w:val="21"/>
          <w:highlight w:val="none"/>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highlight w:val="none"/>
          <w:lang w:val="zh-CN"/>
        </w:rPr>
        <w:t>异议</w:t>
      </w:r>
      <w:r>
        <w:rPr>
          <w:rFonts w:hint="eastAsia" w:ascii="宋体" w:hAnsi="宋体" w:eastAsia="宋体" w:cs="宋体"/>
          <w:color w:val="auto"/>
          <w:szCs w:val="21"/>
          <w:highlight w:val="none"/>
          <w:lang w:val="zh-CN"/>
        </w:rPr>
        <w:t>书面材料必须加盖投标人法人公章，并注明联系人、联系电话、联系地址。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0D307342">
      <w:pPr>
        <w:autoSpaceDE w:val="0"/>
        <w:autoSpaceDN w:val="0"/>
        <w:adjustRightInd w:val="0"/>
        <w:spacing w:line="360" w:lineRule="auto"/>
        <w:ind w:left="290" w:leftChars="137" w:hanging="2" w:hangingChars="1"/>
        <w:rPr>
          <w:rFonts w:hint="eastAsia" w:ascii="宋体" w:hAnsi="宋体" w:eastAsia="宋体" w:cs="宋体"/>
          <w:b/>
          <w:bCs/>
          <w:color w:val="auto"/>
          <w:szCs w:val="21"/>
          <w:highlight w:val="none"/>
          <w:lang w:val="zh-CN"/>
        </w:rPr>
      </w:pPr>
    </w:p>
    <w:p w14:paraId="43313630">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25" w:name="_Toc486167670"/>
      <w:bookmarkStart w:id="126" w:name="_Toc26961"/>
      <w:bookmarkStart w:id="127" w:name="_Toc142508320"/>
      <w:bookmarkStart w:id="128" w:name="_Toc23483_WPSOffice_Level3"/>
      <w:bookmarkStart w:id="129" w:name="_Toc18648"/>
      <w:bookmarkStart w:id="130" w:name="_Toc450662856"/>
      <w:bookmarkStart w:id="131" w:name="_Toc17145"/>
      <w:bookmarkStart w:id="132" w:name="_Toc29864"/>
      <w:r>
        <w:rPr>
          <w:rFonts w:hint="eastAsia" w:ascii="宋体" w:hAnsi="宋体" w:eastAsia="宋体" w:cs="宋体"/>
          <w:color w:val="auto"/>
          <w:szCs w:val="21"/>
          <w:highlight w:val="none"/>
          <w:lang w:val="zh-CN"/>
        </w:rPr>
        <w:t>7 招标文件的澄清及修改</w:t>
      </w:r>
      <w:bookmarkEnd w:id="125"/>
      <w:bookmarkEnd w:id="126"/>
      <w:bookmarkEnd w:id="127"/>
      <w:bookmarkEnd w:id="128"/>
      <w:bookmarkEnd w:id="129"/>
      <w:bookmarkEnd w:id="130"/>
      <w:bookmarkEnd w:id="131"/>
      <w:bookmarkEnd w:id="132"/>
    </w:p>
    <w:p w14:paraId="39E7B766">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52B443F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7830FB81">
      <w:pPr>
        <w:keepNext w:val="0"/>
        <w:keepLines w:val="0"/>
        <w:pageBreakBefore w:val="0"/>
        <w:widowControl w:val="0"/>
        <w:kinsoku/>
        <w:wordWrap w:val="0"/>
        <w:overflowPunct/>
        <w:topLinePunct w:val="0"/>
        <w:autoSpaceDE w:val="0"/>
        <w:autoSpaceDN w:val="0"/>
        <w:bidi w:val="0"/>
        <w:adjustRightInd w:val="0"/>
        <w:snapToGrid/>
        <w:spacing w:line="360" w:lineRule="auto"/>
        <w:ind w:left="357" w:leftChars="-100" w:hanging="567"/>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7.3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招标文件的修改、补充通知在全国公共资源交易平台（广东省·东莞市）（https://ygp.gdzwfw.gov.cn/#/441900/index）、中国招标投标公共服务平台（</w:t>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"http://www.cebpubservice.com）、广东省招标投标监管"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www.cebpubservice.com）、</w:t>
      </w:r>
      <w:r>
        <w:rPr>
          <w:rFonts w:hint="eastAsia" w:ascii="宋体" w:hAnsi="宋体" w:eastAsia="宋体" w:cs="宋体"/>
          <w:color w:val="auto"/>
          <w:szCs w:val="21"/>
          <w:highlight w:val="none"/>
          <w:lang w:val="zh-CN"/>
        </w:rPr>
        <w:fldChar w:fldCharType="end"/>
      </w:r>
      <w:r>
        <w:rPr>
          <w:rFonts w:hint="eastAsia" w:ascii="宋体" w:hAnsi="宋体" w:eastAsia="宋体" w:cs="宋体"/>
          <w:bCs/>
          <w:color w:val="auto"/>
          <w:szCs w:val="21"/>
          <w:highlight w:val="none"/>
          <w:lang w:eastAsia="zh-CN"/>
        </w:rPr>
        <w:t>东莞市水务环境投资控股集团有限公司</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"www.dgswjt.cn）、招标代理公司网站（http://%20%20%20%20%20%20%20%20%20%20%20%20%20%20）"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www.dgswjt.cn）、招标代理机构网站（</w:t>
      </w:r>
      <w:r>
        <w:rPr>
          <w:rFonts w:hint="eastAsia" w:ascii="宋体" w:hAnsi="宋体" w:eastAsia="宋体" w:cs="宋体"/>
          <w:color w:val="auto"/>
          <w:szCs w:val="21"/>
          <w:highlight w:val="none"/>
          <w:lang w:val="zh-CN" w:eastAsia="zh-CN"/>
        </w:rPr>
        <w:t>www.sfcx.cn</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公布，请各投标人密切留意。</w:t>
      </w:r>
    </w:p>
    <w:p w14:paraId="50B72E5F">
      <w:pPr>
        <w:autoSpaceDE w:val="0"/>
        <w:autoSpaceDN w:val="0"/>
        <w:adjustRightInd w:val="0"/>
        <w:spacing w:line="360" w:lineRule="auto"/>
        <w:ind w:left="357" w:leftChars="-100" w:hanging="567"/>
        <w:rPr>
          <w:rFonts w:hint="eastAsia" w:ascii="宋体" w:hAnsi="宋体" w:eastAsia="宋体" w:cs="宋体"/>
          <w:color w:val="auto"/>
          <w:szCs w:val="21"/>
          <w:highlight w:val="none"/>
        </w:rPr>
      </w:pPr>
    </w:p>
    <w:p w14:paraId="144C6514">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133" w:name="_Toc142508321"/>
      <w:bookmarkStart w:id="134" w:name="_Toc8711"/>
      <w:bookmarkStart w:id="135" w:name="_Toc3479"/>
      <w:bookmarkStart w:id="136" w:name="_Toc23342"/>
      <w:bookmarkStart w:id="137" w:name="_Toc19940"/>
      <w:bookmarkStart w:id="138" w:name="_Toc450662857"/>
      <w:bookmarkStart w:id="139" w:name="_Toc140596880"/>
      <w:bookmarkStart w:id="140" w:name="_Toc486167671"/>
      <w:bookmarkStart w:id="141" w:name="_Toc29659_WPSOffice_Level2"/>
      <w:bookmarkStart w:id="142" w:name="_Toc24583"/>
      <w:r>
        <w:rPr>
          <w:rFonts w:hint="eastAsia" w:ascii="宋体" w:hAnsi="宋体" w:eastAsia="宋体" w:cs="宋体"/>
          <w:b/>
          <w:bCs/>
          <w:color w:val="auto"/>
          <w:kern w:val="44"/>
          <w:szCs w:val="21"/>
          <w:highlight w:val="none"/>
          <w:lang w:val="zh-CN"/>
        </w:rPr>
        <w:t>三、投标文件的编制</w:t>
      </w:r>
      <w:bookmarkEnd w:id="133"/>
      <w:bookmarkEnd w:id="134"/>
      <w:bookmarkEnd w:id="135"/>
      <w:bookmarkEnd w:id="136"/>
      <w:bookmarkEnd w:id="137"/>
      <w:bookmarkEnd w:id="138"/>
      <w:bookmarkEnd w:id="139"/>
      <w:bookmarkEnd w:id="140"/>
      <w:bookmarkEnd w:id="141"/>
      <w:bookmarkEnd w:id="142"/>
    </w:p>
    <w:p w14:paraId="2E6DCD8B">
      <w:pPr>
        <w:tabs>
          <w:tab w:val="left" w:pos="67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43" w:name="_Toc6244"/>
      <w:bookmarkStart w:id="144" w:name="_Toc31162"/>
      <w:bookmarkStart w:id="145" w:name="_Toc142508322"/>
      <w:bookmarkStart w:id="146" w:name="_Toc30579"/>
      <w:bookmarkStart w:id="147" w:name="_Toc10015_WPSOffice_Level3"/>
      <w:bookmarkStart w:id="148" w:name="_Toc486167672"/>
      <w:bookmarkStart w:id="149" w:name="_Toc4453"/>
      <w:bookmarkStart w:id="150" w:name="_Toc450662858"/>
      <w:r>
        <w:rPr>
          <w:rFonts w:hint="eastAsia" w:ascii="宋体" w:hAnsi="宋体" w:eastAsia="宋体" w:cs="宋体"/>
          <w:color w:val="auto"/>
          <w:szCs w:val="21"/>
          <w:highlight w:val="none"/>
          <w:lang w:val="zh-CN"/>
        </w:rPr>
        <w:t>8 投标使用的文字及度量衡单位</w:t>
      </w:r>
      <w:bookmarkEnd w:id="143"/>
      <w:bookmarkEnd w:id="144"/>
      <w:bookmarkEnd w:id="145"/>
      <w:bookmarkEnd w:id="146"/>
      <w:bookmarkEnd w:id="147"/>
      <w:bookmarkEnd w:id="148"/>
      <w:bookmarkEnd w:id="149"/>
      <w:bookmarkEnd w:id="150"/>
    </w:p>
    <w:p w14:paraId="33548281">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5B1041D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0DEB427F">
      <w:pPr>
        <w:autoSpaceDE w:val="0"/>
        <w:autoSpaceDN w:val="0"/>
        <w:adjustRightInd w:val="0"/>
        <w:spacing w:line="360" w:lineRule="auto"/>
        <w:rPr>
          <w:rFonts w:hint="eastAsia" w:ascii="宋体" w:hAnsi="宋体" w:eastAsia="宋体" w:cs="宋体"/>
          <w:color w:val="auto"/>
          <w:szCs w:val="21"/>
          <w:highlight w:val="none"/>
          <w:lang w:val="zh-CN"/>
        </w:rPr>
      </w:pPr>
    </w:p>
    <w:p w14:paraId="10F8B56C">
      <w:pPr>
        <w:tabs>
          <w:tab w:val="left" w:pos="540"/>
        </w:tabs>
        <w:autoSpaceDE w:val="0"/>
        <w:autoSpaceDN w:val="0"/>
        <w:adjustRightInd w:val="0"/>
        <w:spacing w:line="360" w:lineRule="auto"/>
        <w:ind w:left="357" w:leftChars="-100" w:hanging="567"/>
        <w:jc w:val="left"/>
        <w:outlineLvl w:val="2"/>
        <w:rPr>
          <w:rFonts w:hint="eastAsia" w:ascii="宋体" w:hAnsi="宋体" w:eastAsia="宋体" w:cs="宋体"/>
          <w:color w:val="auto"/>
          <w:sz w:val="24"/>
          <w:szCs w:val="24"/>
          <w:highlight w:val="none"/>
          <w:lang w:val="zh-CN"/>
        </w:rPr>
      </w:pPr>
      <w:bookmarkStart w:id="151" w:name="_Toc14943"/>
      <w:bookmarkStart w:id="152" w:name="_Toc142508323"/>
      <w:bookmarkStart w:id="153" w:name="_Toc24738"/>
      <w:bookmarkStart w:id="154" w:name="_Toc450662859"/>
      <w:bookmarkStart w:id="155" w:name="_Toc31286"/>
      <w:bookmarkStart w:id="156" w:name="_Toc24916_WPSOffice_Level3"/>
      <w:bookmarkStart w:id="157" w:name="_Toc486167673"/>
      <w:bookmarkStart w:id="158" w:name="_Toc7348"/>
      <w:r>
        <w:rPr>
          <w:rFonts w:hint="eastAsia" w:ascii="宋体" w:hAnsi="宋体" w:eastAsia="宋体" w:cs="宋体"/>
          <w:color w:val="auto"/>
          <w:szCs w:val="21"/>
          <w:highlight w:val="none"/>
          <w:lang w:val="zh-CN"/>
        </w:rPr>
        <w:t>9</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51"/>
      <w:bookmarkEnd w:id="152"/>
      <w:bookmarkEnd w:id="153"/>
      <w:bookmarkEnd w:id="154"/>
      <w:bookmarkEnd w:id="155"/>
      <w:bookmarkEnd w:id="156"/>
      <w:bookmarkEnd w:id="157"/>
      <w:bookmarkEnd w:id="158"/>
    </w:p>
    <w:p w14:paraId="67DDFE57">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rPr>
        <w:t>商务标、技术标、报价信封三部分组成</w:t>
      </w:r>
      <w:r>
        <w:rPr>
          <w:rFonts w:hint="eastAsia" w:ascii="宋体" w:hAnsi="宋体" w:eastAsia="宋体" w:cs="宋体"/>
          <w:b/>
          <w:color w:val="auto"/>
          <w:kern w:val="0"/>
          <w:szCs w:val="21"/>
          <w:highlight w:val="none"/>
        </w:rPr>
        <w:t>。</w:t>
      </w:r>
    </w:p>
    <w:p w14:paraId="09CA55E0">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9.1.1 商务</w:t>
      </w:r>
      <w:r>
        <w:rPr>
          <w:rFonts w:hint="eastAsia" w:ascii="宋体" w:hAnsi="宋体" w:eastAsia="宋体" w:cs="宋体"/>
          <w:b/>
          <w:color w:val="auto"/>
          <w:kern w:val="0"/>
          <w:szCs w:val="24"/>
          <w:highlight w:val="none"/>
          <w:lang w:val="en-US" w:eastAsia="zh-CN"/>
        </w:rPr>
        <w:t>标</w:t>
      </w:r>
      <w:r>
        <w:rPr>
          <w:rFonts w:hint="eastAsia" w:ascii="宋体" w:hAnsi="宋体" w:eastAsia="宋体" w:cs="宋体"/>
          <w:b/>
          <w:color w:val="auto"/>
          <w:kern w:val="0"/>
          <w:szCs w:val="24"/>
          <w:highlight w:val="none"/>
        </w:rPr>
        <w:t>：</w:t>
      </w:r>
    </w:p>
    <w:p w14:paraId="34630ABB">
      <w:pPr>
        <w:autoSpaceDE w:val="0"/>
        <w:autoSpaceDN w:val="0"/>
        <w:adjustRightInd w:val="0"/>
        <w:spacing w:line="360" w:lineRule="auto"/>
        <w:jc w:val="left"/>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b/>
          <w:color w:val="auto"/>
          <w:kern w:val="0"/>
          <w:szCs w:val="21"/>
          <w:highlight w:val="none"/>
          <w:lang w:val="zh-CN"/>
        </w:rPr>
        <w:t>目录：</w:t>
      </w:r>
    </w:p>
    <w:p w14:paraId="391D1165">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19481A89">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4A95485A">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（3）供货及/或提供服务过程承诺函；</w:t>
      </w:r>
    </w:p>
    <w:p w14:paraId="786C2F1F">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r>
        <w:rPr>
          <w:rFonts w:hint="eastAsia" w:ascii="宋体" w:hAnsi="宋体" w:eastAsia="宋体" w:cs="宋体"/>
          <w:color w:val="auto"/>
          <w:szCs w:val="21"/>
          <w:highlight w:val="none"/>
          <w:lang w:val="en-US" w:eastAsia="zh-CN"/>
        </w:rPr>
        <w:t>格式</w:t>
      </w:r>
      <w:r>
        <w:rPr>
          <w:rFonts w:hint="eastAsia" w:ascii="宋体" w:hAnsi="宋体" w:eastAsia="宋体" w:cs="宋体"/>
          <w:color w:val="auto"/>
          <w:szCs w:val="21"/>
          <w:highlight w:val="none"/>
          <w:lang w:val="zh-CN"/>
        </w:rPr>
        <w:t>；</w:t>
      </w:r>
    </w:p>
    <w:p w14:paraId="70A17814">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5BF28CD7">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kern w:val="0"/>
          <w:szCs w:val="21"/>
          <w:highlight w:val="none"/>
          <w:lang w:val="en-US" w:eastAsia="zh-CN"/>
        </w:rPr>
        <w:t>原件扫</w:t>
      </w:r>
      <w:r>
        <w:rPr>
          <w:rFonts w:hint="eastAsia" w:ascii="宋体" w:hAnsi="宋体" w:eastAsia="宋体" w:cs="宋体"/>
          <w:color w:val="auto"/>
          <w:szCs w:val="21"/>
          <w:highlight w:val="none"/>
          <w:lang w:val="zh-CN"/>
        </w:rPr>
        <w:t>描件；</w:t>
      </w:r>
    </w:p>
    <w:p w14:paraId="6B271975">
      <w:pPr>
        <w:autoSpaceDE/>
        <w:autoSpaceDN/>
        <w:adjustRightInd w:val="0"/>
        <w:spacing w:line="360" w:lineRule="auto"/>
        <w:ind w:left="315"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14:paraId="0AC76044">
      <w:pPr>
        <w:autoSpaceDE/>
        <w:autoSpaceDN/>
        <w:adjustRightInd w:val="0"/>
        <w:spacing w:line="360" w:lineRule="auto"/>
        <w:ind w:left="304" w:hanging="304" w:hangingChars="14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）法定代表人身份证明书和法定代表人授权书（法定代表人投标时只提供法定代表人身份证明书，委托</w:t>
      </w:r>
      <w:r>
        <w:rPr>
          <w:rFonts w:hint="eastAsia" w:ascii="宋体" w:hAnsi="宋体" w:eastAsia="宋体" w:cs="宋体"/>
          <w:color w:val="auto"/>
          <w:szCs w:val="21"/>
          <w:highlight w:val="none"/>
        </w:rPr>
        <w:t>他人</w:t>
      </w:r>
      <w:r>
        <w:rPr>
          <w:rFonts w:hint="eastAsia" w:ascii="宋体" w:hAnsi="宋体" w:eastAsia="宋体" w:cs="宋体"/>
          <w:color w:val="auto"/>
          <w:szCs w:val="21"/>
          <w:highlight w:val="none"/>
          <w:lang w:val="zh-CN"/>
        </w:rPr>
        <w:t>为投标代表时同时提供法定代表人授权书）；</w:t>
      </w:r>
    </w:p>
    <w:p w14:paraId="76D83D8C">
      <w:pPr>
        <w:tabs>
          <w:tab w:val="left" w:pos="1276"/>
        </w:tabs>
        <w:spacing w:line="360" w:lineRule="auto"/>
        <w:ind w:left="283" w:hanging="283" w:hangingChars="135"/>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r>
        <w:rPr>
          <w:rFonts w:hint="eastAsia" w:ascii="宋体" w:hAnsi="宋体" w:eastAsia="宋体"/>
          <w:color w:val="auto"/>
          <w:szCs w:val="21"/>
          <w:highlight w:val="none"/>
        </w:rPr>
        <w:t>资格业绩【</w:t>
      </w:r>
      <w:r>
        <w:rPr>
          <w:rFonts w:hint="eastAsia" w:ascii="宋体" w:hAnsi="宋体" w:eastAsia="宋体"/>
          <w:color w:val="auto"/>
          <w:szCs w:val="21"/>
          <w:highlight w:val="none"/>
          <w:lang w:val="zh-CN"/>
        </w:rPr>
        <w:t>投标人202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lang w:val="zh-CN"/>
        </w:rPr>
        <w:t>年1月1日以来(以合同签订日期为准)至少承接一个物业管理服务项目业绩(服务内容必须为物业管理服务且同时包含保洁（或清洁或环境卫生）及保安（或安保或秩序维护）服务，合同签订日期为</w:t>
      </w:r>
      <w:r>
        <w:rPr>
          <w:rFonts w:hint="eastAsia" w:ascii="宋体" w:hAnsi="宋体" w:eastAsia="宋体"/>
          <w:color w:val="auto"/>
          <w:szCs w:val="21"/>
          <w:highlight w:val="none"/>
          <w:lang w:val="en-US" w:eastAsia="zh-CN"/>
        </w:rPr>
        <w:t>2022</w:t>
      </w:r>
      <w:r>
        <w:rPr>
          <w:rFonts w:hint="eastAsia" w:ascii="宋体" w:hAnsi="宋体" w:eastAsia="宋体"/>
          <w:color w:val="auto"/>
          <w:szCs w:val="21"/>
          <w:highlight w:val="none"/>
          <w:lang w:val="zh-CN"/>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lang w:val="zh-CN"/>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lang w:val="zh-CN"/>
        </w:rPr>
        <w:t>日或以后）</w:t>
      </w:r>
      <w:r>
        <w:rPr>
          <w:rFonts w:hint="eastAsia" w:ascii="宋体" w:hAnsi="宋体" w:eastAsia="宋体"/>
          <w:color w:val="auto"/>
          <w:szCs w:val="21"/>
          <w:highlight w:val="none"/>
        </w:rPr>
        <w:t>，资格业绩证明材料提交要求详见招标文件第六篇投标文件格式</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u w:val="single"/>
        </w:rPr>
        <w:t>.</w:t>
      </w:r>
      <w:r>
        <w:rPr>
          <w:rFonts w:hint="eastAsia" w:ascii="宋体" w:hAnsi="宋体" w:eastAsia="宋体"/>
          <w:color w:val="auto"/>
          <w:szCs w:val="21"/>
          <w:highlight w:val="none"/>
          <w:u w:val="single"/>
          <w:lang w:val="en-US" w:eastAsia="zh-CN"/>
        </w:rPr>
        <w:t>4</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14:paraId="3584EE25">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6ABEED96">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6DA69352">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6A0FC1D3">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）标准化体系认证；</w:t>
      </w:r>
    </w:p>
    <w:p w14:paraId="0B347EBB">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）合同条款响应程度（合同条款偏离表）；</w:t>
      </w:r>
    </w:p>
    <w:p w14:paraId="7E0D2E81">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）业绩表；</w:t>
      </w:r>
    </w:p>
    <w:p w14:paraId="763BE601">
      <w:pPr>
        <w:tabs>
          <w:tab w:val="left" w:pos="567"/>
        </w:tabs>
        <w:autoSpaceDE/>
        <w:autoSpaceDN/>
        <w:adjustRightInd w:val="0"/>
        <w:spacing w:line="360" w:lineRule="auto"/>
        <w:ind w:left="420" w:leftChars="-100" w:hanging="630" w:hangingChars="3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服务便利性；</w:t>
      </w:r>
    </w:p>
    <w:p w14:paraId="2FEC1C7E">
      <w:pPr>
        <w:tabs>
          <w:tab w:val="left" w:pos="567"/>
        </w:tabs>
        <w:autoSpaceDE/>
        <w:autoSpaceDN/>
        <w:adjustRightInd w:val="0"/>
        <w:spacing w:line="360" w:lineRule="auto"/>
        <w:ind w:left="420" w:leftChars="-100" w:hanging="630" w:hangingChars="30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扫描件等投标人认为有需要证明其具备为本次招标项目提供服务能力的有关其它商务文件（不做强制要求）。</w:t>
      </w:r>
    </w:p>
    <w:p w14:paraId="1213E6AC">
      <w:pPr>
        <w:autoSpaceDE w:val="0"/>
        <w:autoSpaceDN w:val="0"/>
        <w:adjustRightInd w:val="0"/>
        <w:spacing w:line="360" w:lineRule="auto"/>
        <w:ind w:left="422" w:leftChars="-100" w:hanging="632" w:hangingChars="300"/>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w:t>
      </w:r>
      <w:r>
        <w:rPr>
          <w:rFonts w:hint="eastAsia" w:ascii="宋体" w:hAnsi="宋体" w:eastAsia="宋体" w:cs="宋体"/>
          <w:b/>
          <w:color w:val="auto"/>
          <w:kern w:val="0"/>
          <w:szCs w:val="24"/>
          <w:highlight w:val="none"/>
          <w:lang w:val="en-US" w:eastAsia="zh-CN"/>
        </w:rPr>
        <w:t>标</w:t>
      </w:r>
      <w:r>
        <w:rPr>
          <w:rFonts w:hint="eastAsia" w:ascii="宋体" w:hAnsi="宋体" w:eastAsia="宋体" w:cs="宋体"/>
          <w:b/>
          <w:color w:val="auto"/>
          <w:kern w:val="0"/>
          <w:szCs w:val="24"/>
          <w:highlight w:val="none"/>
        </w:rPr>
        <w:t>：</w:t>
      </w:r>
    </w:p>
    <w:p w14:paraId="16C21315">
      <w:pPr>
        <w:autoSpaceDE w:val="0"/>
        <w:autoSpaceDN w:val="0"/>
        <w:adjustRightInd w:val="0"/>
        <w:spacing w:line="360" w:lineRule="auto"/>
        <w:ind w:right="-23" w:rightChars="-11"/>
        <w:jc w:val="lef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14:paraId="2E00B095">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w:t>
      </w:r>
    </w:p>
    <w:p w14:paraId="45C347F5">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物业管理带教服务方案（投标人自行编写）</w:t>
      </w:r>
      <w:r>
        <w:rPr>
          <w:rFonts w:hint="eastAsia" w:ascii="宋体" w:hAnsi="宋体" w:eastAsia="宋体" w:cs="宋体"/>
          <w:color w:val="auto"/>
          <w:kern w:val="0"/>
          <w:szCs w:val="21"/>
          <w:highlight w:val="none"/>
          <w:lang w:eastAsia="zh-CN"/>
        </w:rPr>
        <w:t>；</w:t>
      </w:r>
    </w:p>
    <w:p w14:paraId="4CA13BAA">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（3）物业管理运营服务方案</w:t>
      </w:r>
      <w:r>
        <w:rPr>
          <w:rFonts w:hint="eastAsia" w:ascii="宋体" w:hAnsi="宋体" w:eastAsia="宋体" w:cs="宋体"/>
          <w:color w:val="auto"/>
          <w:kern w:val="0"/>
          <w:szCs w:val="21"/>
          <w:highlight w:val="none"/>
        </w:rPr>
        <w:t>（投标人自行编写）</w:t>
      </w:r>
      <w:r>
        <w:rPr>
          <w:rFonts w:hint="eastAsia" w:ascii="宋体" w:hAnsi="宋体" w:eastAsia="宋体" w:cs="宋体"/>
          <w:color w:val="auto"/>
          <w:kern w:val="0"/>
          <w:szCs w:val="21"/>
          <w:highlight w:val="none"/>
          <w:lang w:eastAsia="zh-CN"/>
        </w:rPr>
        <w:t>；</w:t>
      </w:r>
    </w:p>
    <w:p w14:paraId="7549175F">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拟投入本项目的服务人员情况</w:t>
      </w:r>
      <w:r>
        <w:rPr>
          <w:rFonts w:hint="eastAsia" w:ascii="宋体" w:hAnsi="宋体" w:eastAsia="宋体" w:cs="宋体"/>
          <w:color w:val="auto"/>
          <w:kern w:val="0"/>
          <w:szCs w:val="21"/>
          <w:highlight w:val="none"/>
          <w:lang w:eastAsia="zh-CN"/>
        </w:rPr>
        <w:t>；</w:t>
      </w:r>
    </w:p>
    <w:p w14:paraId="6E49E0C8">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拟投入的设备及软件系统情况</w:t>
      </w:r>
      <w:r>
        <w:rPr>
          <w:rFonts w:hint="eastAsia" w:ascii="宋体" w:hAnsi="宋体" w:eastAsia="宋体" w:cs="宋体"/>
          <w:color w:val="auto"/>
          <w:kern w:val="0"/>
          <w:szCs w:val="21"/>
          <w:highlight w:val="none"/>
          <w:lang w:eastAsia="zh-CN"/>
        </w:rPr>
        <w:t>；</w:t>
      </w:r>
    </w:p>
    <w:p w14:paraId="7EBD9CF9">
      <w:pPr>
        <w:spacing w:line="360" w:lineRule="auto"/>
        <w:ind w:left="105" w:leftChars="-100" w:hanging="315" w:hanging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（6）应急预案和重大活动保障措施（投标人自行编写）；</w:t>
      </w:r>
    </w:p>
    <w:p w14:paraId="7D1C0859">
      <w:pPr>
        <w:spacing w:line="360" w:lineRule="auto"/>
        <w:ind w:left="105" w:leftChars="-100" w:hanging="315" w:hanging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（7）投标人认为有必要提供的其它材料（不做强制要求）</w:t>
      </w:r>
      <w:r>
        <w:rPr>
          <w:rFonts w:hint="eastAsia" w:ascii="宋体" w:hAnsi="宋体" w:eastAsia="宋体" w:cs="宋体"/>
          <w:color w:val="auto"/>
          <w:kern w:val="0"/>
          <w:szCs w:val="21"/>
          <w:highlight w:val="none"/>
        </w:rPr>
        <w:t>。</w:t>
      </w:r>
    </w:p>
    <w:p w14:paraId="189A4E6E">
      <w:pPr>
        <w:autoSpaceDE w:val="0"/>
        <w:autoSpaceDN w:val="0"/>
        <w:adjustRightInd w:val="0"/>
        <w:spacing w:line="360" w:lineRule="auto"/>
        <w:ind w:left="422" w:leftChars="-100" w:hanging="632" w:hangingChars="300"/>
        <w:outlineLvl w:val="9"/>
        <w:rPr>
          <w:rFonts w:hint="eastAsia" w:ascii="宋体" w:hAnsi="宋体" w:eastAsia="宋体" w:cs="宋体"/>
          <w:b/>
          <w:bCs/>
          <w:color w:val="auto"/>
          <w:szCs w:val="21"/>
          <w:highlight w:val="none"/>
          <w:lang w:val="zh-CN"/>
        </w:rPr>
      </w:pPr>
      <w:bookmarkStart w:id="159" w:name="_Toc27336"/>
      <w:bookmarkStart w:id="160" w:name="_Toc25590"/>
      <w:r>
        <w:rPr>
          <w:rFonts w:hint="eastAsia" w:ascii="宋体" w:hAnsi="宋体" w:eastAsia="宋体" w:cs="宋体"/>
          <w:b/>
          <w:bCs/>
          <w:color w:val="auto"/>
          <w:szCs w:val="21"/>
          <w:highlight w:val="none"/>
          <w:lang w:val="zh-CN"/>
        </w:rPr>
        <w:t>9.1.</w:t>
      </w: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zh-CN"/>
        </w:rPr>
        <w:t xml:space="preserve"> 报价信封</w:t>
      </w:r>
      <w:bookmarkEnd w:id="159"/>
      <w:bookmarkEnd w:id="160"/>
    </w:p>
    <w:p w14:paraId="6F1E9F52">
      <w:pPr>
        <w:autoSpaceDE w:val="0"/>
        <w:autoSpaceDN w:val="0"/>
        <w:adjustRightInd w:val="0"/>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按照投标文件格式中的要求进行编制。</w:t>
      </w:r>
    </w:p>
    <w:p w14:paraId="29F549E1">
      <w:pPr>
        <w:autoSpaceDE w:val="0"/>
        <w:autoSpaceDN w:val="0"/>
        <w:adjustRightInd w:val="0"/>
        <w:spacing w:line="360" w:lineRule="auto"/>
        <w:ind w:left="317" w:leftChars="-100" w:hanging="527" w:hangingChars="250"/>
        <w:outlineLvl w:val="9"/>
        <w:rPr>
          <w:rFonts w:hint="eastAsia" w:ascii="宋体" w:hAnsi="宋体" w:eastAsia="宋体" w:cs="宋体"/>
          <w:b/>
          <w:bCs/>
          <w:color w:val="auto"/>
          <w:szCs w:val="21"/>
          <w:highlight w:val="none"/>
        </w:rPr>
      </w:pPr>
      <w:bookmarkStart w:id="161" w:name="_Toc10574"/>
      <w:bookmarkStart w:id="162" w:name="_Toc4502"/>
      <w:r>
        <w:rPr>
          <w:rFonts w:hint="eastAsia" w:ascii="宋体" w:hAnsi="宋体" w:eastAsia="宋体" w:cs="宋体"/>
          <w:b/>
          <w:bCs/>
          <w:color w:val="auto"/>
          <w:szCs w:val="21"/>
          <w:highlight w:val="none"/>
        </w:rPr>
        <w:t>9.2  投标文件格式</w:t>
      </w:r>
      <w:bookmarkEnd w:id="161"/>
      <w:bookmarkEnd w:id="162"/>
    </w:p>
    <w:p w14:paraId="6E507CD9">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）商务标必须按招标文件所附的商务标格式编制（参见第六篇）。</w:t>
      </w:r>
    </w:p>
    <w:p w14:paraId="6F763E4C">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）技术标必须按招标文件所附的技术标格式编制（参见第六篇）。</w:t>
      </w:r>
    </w:p>
    <w:p w14:paraId="12369747">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）报价信封由投标人使用电子标书制作软件编制（参见第六篇）。</w:t>
      </w:r>
    </w:p>
    <w:p w14:paraId="428BD847">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 xml:space="preserve">  投标人按照投标文件的组成目录编制投标文件应包括上述内容，但不限于上述内容。招标文件提供了相关格式的，严格按照招标文件的要求编制，投标文件未含格式的，投标人自行编制。投标文件编制中要求的扫描件、照片可为该资料扫描件。</w:t>
      </w:r>
    </w:p>
    <w:p w14:paraId="2298B3A8">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544F2A97">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p>
    <w:p w14:paraId="72BDBDF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63" w:name="_Toc13214"/>
      <w:bookmarkStart w:id="164" w:name="_Toc142508324"/>
      <w:bookmarkStart w:id="165" w:name="_Toc28788"/>
      <w:bookmarkStart w:id="166" w:name="_Toc486167674"/>
      <w:bookmarkStart w:id="167" w:name="_Toc17386"/>
      <w:bookmarkStart w:id="168" w:name="_Toc450662860"/>
      <w:bookmarkStart w:id="169" w:name="_Toc8675_WPSOffice_Level3"/>
      <w:bookmarkStart w:id="170" w:name="_Toc11170"/>
      <w:r>
        <w:rPr>
          <w:rFonts w:hint="eastAsia" w:ascii="宋体" w:hAnsi="宋体" w:eastAsia="宋体" w:cs="宋体"/>
          <w:color w:val="auto"/>
          <w:szCs w:val="21"/>
          <w:highlight w:val="none"/>
          <w:lang w:val="zh-CN"/>
        </w:rPr>
        <w:t>10 投标函</w:t>
      </w:r>
      <w:bookmarkEnd w:id="163"/>
      <w:bookmarkEnd w:id="164"/>
      <w:bookmarkEnd w:id="165"/>
      <w:bookmarkEnd w:id="166"/>
      <w:bookmarkEnd w:id="167"/>
      <w:bookmarkEnd w:id="168"/>
      <w:bookmarkEnd w:id="169"/>
      <w:bookmarkEnd w:id="170"/>
    </w:p>
    <w:p w14:paraId="1E1F5885">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0422B40D">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p>
    <w:p w14:paraId="42CD0799">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71" w:name="_Toc10252"/>
      <w:bookmarkStart w:id="172" w:name="_Toc24311"/>
      <w:bookmarkStart w:id="173" w:name="_Toc486167675"/>
      <w:bookmarkStart w:id="174" w:name="_Toc7391"/>
      <w:bookmarkStart w:id="175" w:name="_Toc450662861"/>
      <w:bookmarkStart w:id="176" w:name="_Toc15427"/>
      <w:bookmarkStart w:id="177" w:name="_Toc142508325"/>
      <w:bookmarkStart w:id="178" w:name="_Toc4385_WPSOffice_Level3"/>
      <w:r>
        <w:rPr>
          <w:rFonts w:hint="eastAsia" w:ascii="宋体" w:hAnsi="宋体" w:eastAsia="宋体" w:cs="宋体"/>
          <w:color w:val="auto"/>
          <w:szCs w:val="21"/>
          <w:highlight w:val="none"/>
          <w:lang w:val="zh-CN"/>
        </w:rPr>
        <w:t>11 投标报价</w:t>
      </w:r>
      <w:bookmarkEnd w:id="171"/>
      <w:bookmarkEnd w:id="172"/>
      <w:bookmarkEnd w:id="173"/>
      <w:bookmarkEnd w:id="174"/>
      <w:bookmarkEnd w:id="175"/>
      <w:bookmarkEnd w:id="176"/>
      <w:bookmarkEnd w:id="177"/>
      <w:bookmarkEnd w:id="178"/>
    </w:p>
    <w:p w14:paraId="7A8D7673">
      <w:pPr>
        <w:tabs>
          <w:tab w:val="left" w:pos="567"/>
        </w:tabs>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11.1  </w:t>
      </w:r>
      <w:r>
        <w:rPr>
          <w:rFonts w:hint="eastAsia" w:ascii="宋体" w:hAnsi="宋体" w:eastAsia="宋体" w:cs="宋体"/>
          <w:b/>
          <w:bCs w:val="0"/>
          <w:color w:val="auto"/>
          <w:szCs w:val="21"/>
          <w:highlight w:val="none"/>
          <w:lang w:val="zh-CN"/>
        </w:rPr>
        <w:t>本项目只允许有一个报价价格</w:t>
      </w:r>
      <w:r>
        <w:rPr>
          <w:rFonts w:hint="eastAsia" w:ascii="宋体" w:hAnsi="宋体" w:eastAsia="宋体" w:cs="宋体"/>
          <w:b/>
          <w:color w:val="auto"/>
          <w:szCs w:val="21"/>
          <w:highlight w:val="none"/>
          <w:lang w:val="zh-CN"/>
        </w:rPr>
        <w:t>，任何有选择的或</w:t>
      </w:r>
      <w:r>
        <w:rPr>
          <w:rFonts w:hint="eastAsia" w:ascii="宋体" w:hAnsi="宋体" w:eastAsia="宋体" w:cs="宋体"/>
          <w:b/>
          <w:color w:val="auto"/>
          <w:kern w:val="0"/>
          <w:szCs w:val="21"/>
          <w:highlight w:val="none"/>
          <w:lang w:val="zh-CN"/>
        </w:rPr>
        <w:t>不是固定价的</w:t>
      </w:r>
      <w:r>
        <w:rPr>
          <w:rFonts w:hint="eastAsia" w:ascii="宋体" w:hAnsi="宋体" w:eastAsia="宋体" w:cs="宋体"/>
          <w:b/>
          <w:color w:val="auto"/>
          <w:szCs w:val="21"/>
          <w:highlight w:val="none"/>
          <w:lang w:val="zh-CN"/>
        </w:rPr>
        <w:t>投标报价将不予接受，</w:t>
      </w:r>
      <w:r>
        <w:rPr>
          <w:rFonts w:hint="eastAsia" w:ascii="宋体" w:hAnsi="宋体" w:eastAsia="宋体" w:cs="宋体"/>
          <w:b/>
          <w:color w:val="auto"/>
          <w:kern w:val="0"/>
          <w:szCs w:val="21"/>
          <w:highlight w:val="none"/>
          <w:lang w:val="zh-CN"/>
        </w:rPr>
        <w:t>作为非实质性响应投标而予以拒绝。</w:t>
      </w:r>
      <w:r>
        <w:rPr>
          <w:rFonts w:hint="eastAsia" w:ascii="宋体" w:hAnsi="宋体" w:eastAsia="宋体" w:cs="宋体"/>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58780D0C">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102AD754">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758BCA7D">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项目报价为不含税价，即为《中华人民共和国增值税暂行条例》(国务院令第691号修订版)规定的销售额。本招标文件所称的不含税价和合同价是指不含本采购项目投标人的销项税额，包含了投标人完成合同义务(含投标人代缴代扣、分包及委外服务、施工、采购货物等所产生的价税)的其他全部费用。本采购项目依法计算的销项税额由招标人承担，不计入投标报价。投标报价包括物业管理带教服务费用、物业管理运营服务费用最高限额、物业管理运营服务人工费用最高限额，包括但不限于以下内容涉及的费用：</w:t>
      </w:r>
    </w:p>
    <w:p w14:paraId="1CA26243">
      <w:pPr>
        <w:spacing w:line="360" w:lineRule="auto"/>
        <w:ind w:left="357" w:leftChars="-100" w:hanging="567"/>
        <w:outlineLvl w:val="9"/>
        <w:rPr>
          <w:rFonts w:hint="eastAsia" w:ascii="宋体" w:hAnsi="宋体" w:eastAsia="宋体" w:cs="宋体"/>
          <w:color w:val="auto"/>
          <w:szCs w:val="21"/>
          <w:highlight w:val="none"/>
          <w:lang w:val="en-US" w:eastAsia="zh-CN"/>
        </w:rPr>
      </w:pPr>
      <w:bookmarkStart w:id="179" w:name="_Toc12620"/>
      <w:bookmarkStart w:id="180" w:name="_Toc16129"/>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物业管理带教服务费用：招标人按中标人投标报价的金额结合考核结果分期向中标人支付，包括但不限于：中标人对招标人委派的学员进行系统化的带教，使学员全面掌握写字楼物业项目的运营管理知识与技能，具备独立处理复杂问题、带领团队、达成业绩指标的能力等相关费用，开展项目管理体系、客户服务与关系维护、工程运维管理、秩序维护与环境管理、运营管理与财务知识、管理能力与领导力等带教内容，以及制定专项培养计划、组建带教团队、投入培训资源、带教过程实施、带教成果资料交付、带教考核验收等带教工作相关费用；合理利润、中标人销项税额以外的税费等；法律法规、商业公认、招标文件规定由中标人承担的其他直接及间接费用。</w:t>
      </w:r>
    </w:p>
    <w:p w14:paraId="1C73E880">
      <w:pPr>
        <w:spacing w:line="360" w:lineRule="auto"/>
        <w:ind w:left="357" w:leftChars="-100" w:hanging="567"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（2）物业管理运营服务费用最高限额：</w:t>
      </w:r>
      <w:bookmarkEnd w:id="179"/>
      <w:bookmarkEnd w:id="180"/>
      <w:r>
        <w:rPr>
          <w:rFonts w:hint="eastAsia" w:ascii="宋体" w:hAnsi="宋体" w:eastAsia="宋体" w:cs="宋体"/>
          <w:color w:val="auto"/>
          <w:szCs w:val="21"/>
          <w:highlight w:val="none"/>
          <w:lang w:val="en-US" w:eastAsia="zh-CN"/>
        </w:rPr>
        <w:t>是指完成包括但不限于客户服务管理、安全保卫管理、清洁卫生管理、园林绿化的养护和管理、空调系统维护保养管理、消防系统维护保养管理、供配电系统维护保养管理、给排水系统维护保养管理、智能化系统维护与保养管理、电梯系统维护与保养管理、突发应急管理、楼宇主体及其附属设施、公共配套设施维护与保养、日常物业维修及物业使用人装修管理、其他服务等服务以及对应人工的费用最高限额。物业管理运营服务费用在中标人投标报价的单项费用最高限额内，据实支付；若单项服务实际发生费用（不含销项税额）超出中标人投标报价该单项费用最高限额的，超过最高限额部分招标人不予支付，由中标人承担，并且招标人有权根据本合同约定的考核标准、违约责任条款追究中标人的违约责任。物业管理运营服务人工费用最高限额是指综合支持、安保、环境、客服、工程等岗位人员的费用最高限额，此项费用已包含在物业管理运营服务费用最高限额内。</w:t>
      </w:r>
    </w:p>
    <w:p w14:paraId="540584F1">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szCs w:val="21"/>
          <w:highlight w:val="none"/>
          <w:lang w:val="zh-CN"/>
        </w:rPr>
        <w:t>投标人根据</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第11.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款</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所报的价格分项仅供评标委员会评审时使用；在任何情况下不限制投标人以不同的条件中标的权利。</w:t>
      </w:r>
    </w:p>
    <w:p w14:paraId="57EFAF00">
      <w:pPr>
        <w:autoSpaceDE w:val="0"/>
        <w:autoSpaceDN w:val="0"/>
        <w:adjustRightInd w:val="0"/>
        <w:spacing w:line="360" w:lineRule="auto"/>
        <w:ind w:left="268" w:leftChars="-100" w:hanging="478" w:hangingChars="228"/>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 xml:space="preserve"> </w:t>
      </w:r>
    </w:p>
    <w:p w14:paraId="1BF8C53D">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11.5 合同项下，招标人需要的</w:t>
      </w:r>
      <w:r>
        <w:rPr>
          <w:rFonts w:hint="eastAsia" w:ascii="宋体" w:hAnsi="宋体" w:eastAsia="宋体" w:cs="宋体"/>
          <w:b/>
          <w:bCs/>
          <w:color w:val="auto"/>
          <w:szCs w:val="21"/>
          <w:highlight w:val="none"/>
          <w:lang w:val="en-US" w:eastAsia="zh-CN"/>
        </w:rPr>
        <w:t>相关</w:t>
      </w:r>
      <w:r>
        <w:rPr>
          <w:rFonts w:hint="eastAsia" w:ascii="宋体" w:hAnsi="宋体" w:eastAsia="宋体" w:cs="宋体"/>
          <w:b/>
          <w:bCs/>
          <w:color w:val="auto"/>
          <w:szCs w:val="21"/>
          <w:highlight w:val="none"/>
          <w:lang w:val="zh-CN"/>
        </w:rPr>
        <w:t>服务所需的费用，投标人都应计入投标报价总价。</w:t>
      </w:r>
    </w:p>
    <w:p w14:paraId="37998856">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11.6 本项目不含税最高投标限价为13,305,194.51元（大写：</w:t>
      </w:r>
      <w:r>
        <w:rPr>
          <w:rFonts w:hint="eastAsia" w:ascii="宋体" w:hAnsi="宋体" w:eastAsia="宋体" w:cs="宋体"/>
          <w:b/>
          <w:bCs/>
          <w:color w:val="auto"/>
          <w:szCs w:val="21"/>
          <w:highlight w:val="none"/>
          <w:lang w:val="en-US" w:eastAsia="zh-CN"/>
        </w:rPr>
        <w:t>人民币壹仟叁佰叁拾万零伍仟壹佰玖拾肆元伍角壹分</w:t>
      </w:r>
      <w:r>
        <w:rPr>
          <w:rFonts w:hint="eastAsia" w:ascii="宋体" w:hAnsi="宋体" w:eastAsia="宋体" w:cs="宋体"/>
          <w:b/>
          <w:bCs/>
          <w:color w:val="auto"/>
          <w:szCs w:val="21"/>
          <w:highlight w:val="none"/>
          <w:lang w:val="zh-CN"/>
        </w:rPr>
        <w:t>）,其中各单项报价的最高投标限价如下：物业管理带教服务费</w:t>
      </w:r>
      <w:r>
        <w:rPr>
          <w:rFonts w:hint="eastAsia" w:ascii="宋体" w:hAnsi="宋体" w:eastAsia="宋体" w:cs="宋体"/>
          <w:b/>
          <w:bCs/>
          <w:color w:val="auto"/>
          <w:szCs w:val="21"/>
          <w:highlight w:val="none"/>
          <w:lang w:val="en-US" w:eastAsia="zh-CN"/>
        </w:rPr>
        <w:t>不含税</w:t>
      </w:r>
      <w:r>
        <w:rPr>
          <w:rFonts w:hint="eastAsia" w:ascii="宋体" w:hAnsi="宋体" w:eastAsia="宋体" w:cs="宋体"/>
          <w:b/>
          <w:bCs/>
          <w:color w:val="auto"/>
          <w:szCs w:val="21"/>
          <w:highlight w:val="none"/>
          <w:lang w:val="zh-CN"/>
        </w:rPr>
        <w:t>最高投标限价为937</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val="zh-CN"/>
        </w:rPr>
        <w:t>253.2</w:t>
      </w:r>
      <w:r>
        <w:rPr>
          <w:rFonts w:hint="eastAsia" w:ascii="宋体" w:hAnsi="宋体" w:eastAsia="宋体" w:cs="宋体"/>
          <w:b/>
          <w:bCs/>
          <w:color w:val="auto"/>
          <w:szCs w:val="21"/>
          <w:highlight w:val="none"/>
          <w:lang w:val="en-US" w:eastAsia="zh-CN"/>
        </w:rPr>
        <w:t>0</w:t>
      </w:r>
      <w:r>
        <w:rPr>
          <w:rFonts w:hint="eastAsia" w:ascii="宋体" w:hAnsi="宋体" w:eastAsia="宋体" w:cs="宋体"/>
          <w:b/>
          <w:bCs/>
          <w:color w:val="auto"/>
          <w:szCs w:val="21"/>
          <w:highlight w:val="none"/>
          <w:lang w:val="zh-CN"/>
        </w:rPr>
        <w:t>元（大写：</w:t>
      </w:r>
      <w:r>
        <w:rPr>
          <w:rFonts w:hint="eastAsia" w:ascii="宋体" w:hAnsi="宋体" w:eastAsia="宋体" w:cs="宋体"/>
          <w:b/>
          <w:bCs/>
          <w:color w:val="auto"/>
          <w:szCs w:val="21"/>
          <w:highlight w:val="none"/>
          <w:lang w:val="en-US" w:eastAsia="zh-CN"/>
        </w:rPr>
        <w:t>人民币</w:t>
      </w:r>
      <w:r>
        <w:rPr>
          <w:rFonts w:hint="eastAsia" w:ascii="宋体" w:hAnsi="宋体" w:eastAsia="宋体" w:cs="宋体"/>
          <w:b/>
          <w:bCs/>
          <w:color w:val="auto"/>
          <w:szCs w:val="21"/>
          <w:highlight w:val="none"/>
          <w:u w:val="none"/>
          <w:lang w:val="en-US" w:eastAsia="zh-CN"/>
        </w:rPr>
        <w:t>玖拾叁万柒仟贰佰伍拾叁元贰角</w:t>
      </w:r>
      <w:r>
        <w:rPr>
          <w:rFonts w:hint="eastAsia" w:ascii="宋体" w:hAnsi="宋体" w:eastAsia="宋体" w:cs="宋体"/>
          <w:b/>
          <w:bCs/>
          <w:color w:val="auto"/>
          <w:szCs w:val="21"/>
          <w:highlight w:val="none"/>
          <w:lang w:val="zh-CN"/>
        </w:rPr>
        <w:t>）、物业管理运营服务费用最高限额</w:t>
      </w:r>
      <w:r>
        <w:rPr>
          <w:rFonts w:hint="eastAsia" w:ascii="宋体" w:hAnsi="宋体" w:eastAsia="宋体" w:cs="宋体"/>
          <w:b/>
          <w:bCs/>
          <w:color w:val="auto"/>
          <w:szCs w:val="21"/>
          <w:highlight w:val="none"/>
          <w:lang w:val="en-US" w:eastAsia="zh-CN"/>
        </w:rPr>
        <w:t>的不含税</w:t>
      </w:r>
      <w:r>
        <w:rPr>
          <w:rFonts w:hint="eastAsia" w:ascii="宋体" w:hAnsi="宋体" w:eastAsia="宋体" w:cs="宋体"/>
          <w:b/>
          <w:bCs/>
          <w:color w:val="auto"/>
          <w:szCs w:val="21"/>
          <w:highlight w:val="none"/>
          <w:lang w:val="zh-CN"/>
        </w:rPr>
        <w:t>最高投标限价为12,367,941.31元（大写：</w:t>
      </w:r>
      <w:r>
        <w:rPr>
          <w:rFonts w:hint="eastAsia" w:ascii="宋体" w:hAnsi="宋体" w:eastAsia="宋体" w:cs="宋体"/>
          <w:b/>
          <w:bCs/>
          <w:color w:val="auto"/>
          <w:szCs w:val="21"/>
          <w:highlight w:val="none"/>
          <w:lang w:val="en-US" w:eastAsia="zh-CN"/>
        </w:rPr>
        <w:t>人民币壹仟贰佰叁拾陆万柒仟玖佰肆拾壹元叁角壹分</w:t>
      </w: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物业管理运营服务费中的</w:t>
      </w:r>
      <w:r>
        <w:rPr>
          <w:rFonts w:hint="eastAsia" w:ascii="宋体" w:hAnsi="宋体" w:eastAsia="宋体" w:cs="宋体"/>
          <w:b/>
          <w:bCs/>
          <w:color w:val="auto"/>
          <w:szCs w:val="21"/>
          <w:highlight w:val="none"/>
          <w:lang w:val="zh-CN"/>
        </w:rPr>
        <w:t>物业管理运营服务人工费用最高限额的</w:t>
      </w:r>
      <w:r>
        <w:rPr>
          <w:rFonts w:hint="eastAsia" w:ascii="宋体" w:hAnsi="宋体" w:eastAsia="宋体" w:cs="宋体"/>
          <w:b/>
          <w:bCs/>
          <w:color w:val="auto"/>
          <w:szCs w:val="21"/>
          <w:highlight w:val="none"/>
          <w:lang w:val="en-US" w:eastAsia="zh-CN"/>
        </w:rPr>
        <w:t>不含税</w:t>
      </w:r>
      <w:r>
        <w:rPr>
          <w:rFonts w:hint="eastAsia" w:ascii="宋体" w:hAnsi="宋体" w:eastAsia="宋体" w:cs="宋体"/>
          <w:b/>
          <w:bCs/>
          <w:color w:val="auto"/>
          <w:szCs w:val="21"/>
          <w:highlight w:val="none"/>
          <w:lang w:val="zh-CN"/>
        </w:rPr>
        <w:t>最高投标限价为9,924,674.98元（大写：</w:t>
      </w:r>
      <w:r>
        <w:rPr>
          <w:rFonts w:hint="eastAsia" w:ascii="宋体" w:hAnsi="宋体" w:eastAsia="宋体" w:cs="宋体"/>
          <w:b/>
          <w:bCs/>
          <w:color w:val="auto"/>
          <w:szCs w:val="21"/>
          <w:highlight w:val="none"/>
          <w:lang w:val="en-US" w:eastAsia="zh-CN"/>
        </w:rPr>
        <w:t>人民币玖佰玖拾贰万肆仟陆佰柒拾肆元玖角捌分</w:t>
      </w:r>
      <w:r>
        <w:rPr>
          <w:rFonts w:hint="eastAsia" w:ascii="宋体" w:hAnsi="宋体" w:eastAsia="宋体" w:cs="宋体"/>
          <w:b/>
          <w:bCs/>
          <w:color w:val="auto"/>
          <w:szCs w:val="21"/>
          <w:highlight w:val="none"/>
          <w:lang w:val="zh-CN"/>
        </w:rPr>
        <w:t>）。投标人的</w:t>
      </w:r>
      <w:r>
        <w:rPr>
          <w:rFonts w:hint="eastAsia" w:ascii="宋体" w:hAnsi="宋体" w:eastAsia="宋体" w:cs="宋体"/>
          <w:b/>
          <w:bCs/>
          <w:color w:val="auto"/>
          <w:szCs w:val="21"/>
          <w:highlight w:val="none"/>
          <w:lang w:val="en-US" w:eastAsia="zh-CN"/>
        </w:rPr>
        <w:t>投标</w:t>
      </w:r>
      <w:r>
        <w:rPr>
          <w:rFonts w:hint="eastAsia" w:ascii="宋体" w:hAnsi="宋体" w:eastAsia="宋体" w:cs="宋体"/>
          <w:b/>
          <w:bCs/>
          <w:color w:val="auto"/>
          <w:szCs w:val="21"/>
          <w:highlight w:val="none"/>
          <w:lang w:val="zh-CN"/>
        </w:rPr>
        <w:t>报价</w:t>
      </w:r>
      <w:r>
        <w:rPr>
          <w:rFonts w:hint="eastAsia" w:ascii="宋体" w:hAnsi="宋体" w:eastAsia="宋体" w:cs="宋体"/>
          <w:b/>
          <w:bCs/>
          <w:color w:val="auto"/>
          <w:szCs w:val="21"/>
          <w:highlight w:val="none"/>
          <w:lang w:val="en-US" w:eastAsia="zh-CN"/>
        </w:rPr>
        <w:t>高于</w:t>
      </w:r>
      <w:r>
        <w:rPr>
          <w:rFonts w:hint="eastAsia" w:ascii="宋体" w:hAnsi="宋体" w:eastAsia="宋体" w:cs="宋体"/>
          <w:b/>
          <w:bCs/>
          <w:color w:val="auto"/>
          <w:szCs w:val="21"/>
          <w:highlight w:val="none"/>
          <w:lang w:val="zh-CN"/>
        </w:rPr>
        <w:t>不含税最高投标限价的或单项报价超过</w:t>
      </w:r>
      <w:r>
        <w:rPr>
          <w:rFonts w:hint="eastAsia" w:ascii="宋体" w:hAnsi="宋体" w:eastAsia="宋体" w:cs="宋体"/>
          <w:b/>
          <w:bCs/>
          <w:color w:val="auto"/>
          <w:szCs w:val="21"/>
          <w:highlight w:val="none"/>
          <w:lang w:val="en-US" w:eastAsia="zh-CN"/>
        </w:rPr>
        <w:t>对应</w:t>
      </w:r>
      <w:r>
        <w:rPr>
          <w:rFonts w:hint="eastAsia" w:ascii="宋体" w:hAnsi="宋体" w:eastAsia="宋体" w:cs="宋体"/>
          <w:b/>
          <w:bCs/>
          <w:color w:val="auto"/>
          <w:szCs w:val="21"/>
          <w:highlight w:val="none"/>
          <w:lang w:val="zh-CN"/>
        </w:rPr>
        <w:t>单项最高投标限价的，该投标人的投标文件将被视为无效投标。</w:t>
      </w:r>
    </w:p>
    <w:p w14:paraId="16062F4F">
      <w:pPr>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p>
    <w:p w14:paraId="512881E5">
      <w:pPr>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181" w:name="_Toc30042_WPSOffice_Level3"/>
      <w:bookmarkStart w:id="182" w:name="_Toc3469"/>
      <w:bookmarkStart w:id="183" w:name="_Toc486167676"/>
      <w:bookmarkStart w:id="184" w:name="_Toc12427"/>
      <w:bookmarkStart w:id="185" w:name="_Toc7573"/>
      <w:bookmarkStart w:id="186" w:name="_Toc450662862"/>
      <w:bookmarkStart w:id="187" w:name="_Toc142508326"/>
      <w:bookmarkStart w:id="188" w:name="_Toc20312"/>
      <w:r>
        <w:rPr>
          <w:rFonts w:hint="eastAsia" w:ascii="宋体" w:hAnsi="宋体" w:eastAsia="宋体" w:cs="宋体"/>
          <w:b/>
          <w:color w:val="auto"/>
          <w:szCs w:val="21"/>
          <w:highlight w:val="none"/>
          <w:lang w:val="zh-CN"/>
        </w:rPr>
        <w:t>12 投标报价货币</w:t>
      </w:r>
      <w:bookmarkEnd w:id="181"/>
      <w:bookmarkEnd w:id="182"/>
      <w:bookmarkEnd w:id="183"/>
      <w:bookmarkEnd w:id="184"/>
      <w:bookmarkEnd w:id="185"/>
      <w:bookmarkEnd w:id="186"/>
      <w:bookmarkEnd w:id="187"/>
      <w:bookmarkEnd w:id="188"/>
    </w:p>
    <w:p w14:paraId="436ECA22">
      <w:pPr>
        <w:autoSpaceDE w:val="0"/>
        <w:autoSpaceDN w:val="0"/>
        <w:adjustRightInd w:val="0"/>
        <w:spacing w:line="360" w:lineRule="auto"/>
        <w:ind w:left="265" w:leftChars="119" w:hanging="15"/>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投标报价表上的价格须以人民币报价，以其</w:t>
      </w:r>
      <w:r>
        <w:rPr>
          <w:rFonts w:hint="eastAsia" w:ascii="宋体" w:hAnsi="宋体" w:eastAsia="宋体" w:cs="宋体"/>
          <w:b/>
          <w:color w:val="auto"/>
          <w:szCs w:val="21"/>
          <w:highlight w:val="none"/>
          <w:lang w:val="en-US" w:eastAsia="zh-CN"/>
        </w:rPr>
        <w:t>他</w:t>
      </w:r>
      <w:r>
        <w:rPr>
          <w:rFonts w:hint="eastAsia" w:ascii="宋体" w:hAnsi="宋体" w:eastAsia="宋体" w:cs="宋体"/>
          <w:b/>
          <w:color w:val="auto"/>
          <w:szCs w:val="21"/>
          <w:highlight w:val="none"/>
          <w:lang w:val="zh-CN"/>
        </w:rPr>
        <w:t>货币标价的投标将予以拒绝。</w:t>
      </w:r>
    </w:p>
    <w:p w14:paraId="39D87C9F">
      <w:pPr>
        <w:autoSpaceDE w:val="0"/>
        <w:autoSpaceDN w:val="0"/>
        <w:adjustRightInd w:val="0"/>
        <w:spacing w:line="360" w:lineRule="auto"/>
        <w:ind w:left="265" w:leftChars="119" w:hanging="15"/>
        <w:rPr>
          <w:rFonts w:hint="eastAsia" w:ascii="宋体" w:hAnsi="宋体" w:eastAsia="宋体" w:cs="宋体"/>
          <w:color w:val="auto"/>
          <w:szCs w:val="21"/>
          <w:highlight w:val="none"/>
        </w:rPr>
      </w:pPr>
    </w:p>
    <w:p w14:paraId="7ED30E20">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89" w:name="_Toc9955"/>
      <w:bookmarkStart w:id="190" w:name="_Toc486167677"/>
      <w:bookmarkStart w:id="191" w:name="_Toc450662863"/>
      <w:bookmarkStart w:id="192" w:name="_Toc20031"/>
      <w:bookmarkStart w:id="193" w:name="_Toc9411_WPSOffice_Level3"/>
      <w:bookmarkStart w:id="194" w:name="_Toc142508327"/>
      <w:bookmarkStart w:id="195" w:name="_Toc7151"/>
      <w:bookmarkStart w:id="196" w:name="_Toc3961"/>
      <w:r>
        <w:rPr>
          <w:rFonts w:hint="eastAsia" w:ascii="宋体" w:hAnsi="宋体" w:eastAsia="宋体" w:cs="宋体"/>
          <w:color w:val="auto"/>
          <w:szCs w:val="21"/>
          <w:highlight w:val="none"/>
          <w:lang w:val="zh-CN"/>
        </w:rPr>
        <w:t>13 证明投标人的合格性和资格的声明文件</w:t>
      </w:r>
      <w:bookmarkEnd w:id="189"/>
      <w:bookmarkEnd w:id="190"/>
      <w:bookmarkEnd w:id="191"/>
      <w:bookmarkEnd w:id="192"/>
      <w:bookmarkEnd w:id="193"/>
      <w:bookmarkEnd w:id="194"/>
      <w:bookmarkEnd w:id="195"/>
      <w:bookmarkEnd w:id="196"/>
    </w:p>
    <w:p w14:paraId="2B4BD8E4">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6DC09117">
      <w:pPr>
        <w:autoSpaceDE w:val="0"/>
        <w:autoSpaceDN w:val="0"/>
        <w:adjustRightInd w:val="0"/>
        <w:spacing w:line="360" w:lineRule="auto"/>
        <w:ind w:left="357" w:leftChars="-100" w:hanging="567"/>
        <w:rPr>
          <w:rFonts w:hint="eastAsia"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1951865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6432B2E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3CC35E5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14:paraId="220227AD">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投标人根据招标文件载明的相关服务要求的实际情况，拟在中标后将中标项目的非主体、非关键性专业工作交由他人完成的，应当在投标文件中载明，并提供他人的资质、能力证明材料。</w:t>
      </w:r>
    </w:p>
    <w:p w14:paraId="05A3519A">
      <w:pPr>
        <w:autoSpaceDE w:val="0"/>
        <w:autoSpaceDN w:val="0"/>
        <w:adjustRightInd w:val="0"/>
        <w:spacing w:line="360" w:lineRule="auto"/>
        <w:ind w:left="560" w:leftChars="128" w:hanging="291" w:hangingChars="139"/>
        <w:rPr>
          <w:rFonts w:hint="eastAsia" w:ascii="宋体" w:hAnsi="宋体" w:eastAsia="宋体" w:cs="宋体"/>
          <w:color w:val="auto"/>
          <w:szCs w:val="21"/>
          <w:highlight w:val="none"/>
        </w:rPr>
      </w:pPr>
    </w:p>
    <w:p w14:paraId="4804138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97" w:name="_Toc8615"/>
      <w:bookmarkStart w:id="198" w:name="_Toc486167678"/>
      <w:bookmarkStart w:id="199" w:name="_Toc21262"/>
      <w:bookmarkStart w:id="200" w:name="_Toc142508328"/>
      <w:bookmarkStart w:id="201" w:name="_Toc7708"/>
      <w:bookmarkStart w:id="202" w:name="_Toc450662864"/>
      <w:bookmarkStart w:id="203" w:name="_Toc29754"/>
      <w:bookmarkStart w:id="204" w:name="_Toc27771_WPSOffice_Level3"/>
      <w:r>
        <w:rPr>
          <w:rFonts w:hint="eastAsia" w:ascii="宋体" w:hAnsi="宋体" w:eastAsia="宋体" w:cs="宋体"/>
          <w:color w:val="auto"/>
          <w:szCs w:val="21"/>
          <w:highlight w:val="none"/>
          <w:lang w:val="zh-CN"/>
        </w:rPr>
        <w:t>14 证明服务的合格性并符合招标文件规定的声明文件</w:t>
      </w:r>
      <w:bookmarkEnd w:id="197"/>
      <w:bookmarkEnd w:id="198"/>
      <w:bookmarkEnd w:id="199"/>
      <w:bookmarkEnd w:id="200"/>
      <w:bookmarkEnd w:id="201"/>
      <w:bookmarkEnd w:id="202"/>
      <w:bookmarkEnd w:id="203"/>
      <w:bookmarkEnd w:id="204"/>
    </w:p>
    <w:p w14:paraId="6BABF206">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553956B5">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2183FB04">
      <w:pPr>
        <w:autoSpaceDE w:val="0"/>
        <w:autoSpaceDN w:val="0"/>
        <w:adjustRightInd w:val="0"/>
        <w:spacing w:line="360" w:lineRule="auto"/>
        <w:ind w:left="317" w:leftChars="-100" w:hanging="527" w:hangingChars="251"/>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19C0DE64">
      <w:pPr>
        <w:autoSpaceDE w:val="0"/>
        <w:autoSpaceDN w:val="0"/>
        <w:adjustRightInd w:val="0"/>
        <w:spacing w:line="360" w:lineRule="auto"/>
        <w:rPr>
          <w:rFonts w:hint="eastAsia" w:ascii="宋体" w:hAnsi="宋体" w:eastAsia="宋体" w:cs="宋体"/>
          <w:color w:val="auto"/>
          <w:kern w:val="0"/>
          <w:sz w:val="24"/>
          <w:szCs w:val="24"/>
          <w:highlight w:val="none"/>
        </w:rPr>
      </w:pPr>
    </w:p>
    <w:p w14:paraId="6A63D6FC">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05" w:name="_Toc486167679"/>
      <w:bookmarkStart w:id="206" w:name="_Toc5356_WPSOffice_Level3"/>
      <w:bookmarkStart w:id="207" w:name="_Toc30555"/>
      <w:bookmarkStart w:id="208" w:name="_Toc195714233"/>
      <w:bookmarkStart w:id="209" w:name="_Toc27132"/>
      <w:bookmarkStart w:id="210" w:name="_Toc7860"/>
      <w:bookmarkStart w:id="211" w:name="_Toc142508329"/>
      <w:bookmarkStart w:id="212" w:name="_Toc3206"/>
      <w:bookmarkStart w:id="213" w:name="_Toc8644"/>
      <w:r>
        <w:rPr>
          <w:rFonts w:hint="eastAsia" w:ascii="宋体" w:hAnsi="宋体" w:eastAsia="宋体" w:cs="宋体"/>
          <w:color w:val="auto"/>
          <w:szCs w:val="21"/>
          <w:highlight w:val="none"/>
          <w:lang w:val="zh-CN"/>
        </w:rPr>
        <w:t>15 投标保证金</w:t>
      </w:r>
      <w:bookmarkEnd w:id="205"/>
      <w:bookmarkEnd w:id="206"/>
      <w:bookmarkEnd w:id="207"/>
      <w:bookmarkEnd w:id="208"/>
      <w:bookmarkEnd w:id="209"/>
      <w:bookmarkEnd w:id="210"/>
      <w:bookmarkEnd w:id="211"/>
      <w:bookmarkEnd w:id="212"/>
      <w:bookmarkEnd w:id="213"/>
    </w:p>
    <w:p w14:paraId="2CB59CE3">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.1 投标人在投标截止时间前，应按第一篇《招标公告》中规定的形式和金额提交投标保证金。投标保证金到账时间应为投标保证金的关联时间。投标保证金数据超过投标截止时间后到达交易系统的，无法关联。投标人应提前办理投标保证金手续，自行承担数据延误风险。投标人如发现到账异常情况，须在投标截止时间前向东莞市公共资源交易中心（以下简称交易中心）工作人员提出投标保证金到账异常处理申请。投标人必须在招标人接受的方式中任选一种提交投标保证金。对应于各种方式的投标保证金的提交要求如下：</w:t>
      </w:r>
    </w:p>
    <w:p w14:paraId="1E647962">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（1）若采用单项投标保证金，投标人必须按全国公共资源交易平台（广东省·东莞市）办事指南的规定及时向交易中心缴存单项投标保证金，并确保上述款项在投标文件提交截止时间前匹配到本</w:t>
      </w:r>
      <w:r>
        <w:rPr>
          <w:rFonts w:hint="eastAsia" w:ascii="宋体" w:hAnsi="宋体" w:eastAsia="宋体" w:cs="宋体"/>
          <w:bCs/>
          <w:color w:val="auto"/>
          <w:kern w:val="0"/>
          <w:szCs w:val="21"/>
          <w:highlight w:val="none"/>
          <w:lang w:val="en-US" w:eastAsia="zh-CN"/>
        </w:rPr>
        <w:t>项目</w:t>
      </w:r>
      <w:r>
        <w:rPr>
          <w:rFonts w:hint="eastAsia" w:ascii="宋体" w:hAnsi="宋体" w:eastAsia="宋体" w:cs="宋体"/>
          <w:bCs/>
          <w:color w:val="auto"/>
          <w:kern w:val="0"/>
          <w:szCs w:val="21"/>
          <w:highlight w:val="none"/>
          <w:lang w:val="zh-CN"/>
        </w:rPr>
        <w:t>，否则，其投标保证金视为无效。</w:t>
      </w:r>
    </w:p>
    <w:p w14:paraId="03365D92">
      <w:pPr>
        <w:autoSpaceDE w:val="0"/>
        <w:autoSpaceDN w:val="0"/>
        <w:adjustRightInd w:val="0"/>
        <w:spacing w:line="360" w:lineRule="auto"/>
        <w:ind w:left="225" w:leftChars="107" w:firstLine="489" w:firstLineChars="233"/>
        <w:jc w:val="left"/>
        <w:rPr>
          <w:rFonts w:hint="eastAsia" w:ascii="宋体" w:hAnsi="宋体" w:eastAsia="宋体" w:cs="宋体"/>
          <w:bCs w:val="0"/>
          <w:color w:val="auto"/>
          <w:kern w:val="0"/>
          <w:szCs w:val="21"/>
          <w:highlight w:val="none"/>
          <w:lang w:val="zh-CN"/>
        </w:rPr>
      </w:pPr>
      <w:r>
        <w:rPr>
          <w:rFonts w:hint="eastAsia" w:ascii="宋体" w:hAnsi="宋体" w:eastAsia="宋体" w:cs="宋体"/>
          <w:bCs w:val="0"/>
          <w:color w:val="auto"/>
          <w:kern w:val="0"/>
          <w:szCs w:val="21"/>
          <w:highlight w:val="none"/>
          <w:lang w:val="zh-CN"/>
        </w:rPr>
        <w:t>投标截止时间前，已在公共资源交易企业库建档的投标人应将保证金关联至本</w:t>
      </w:r>
      <w:r>
        <w:rPr>
          <w:rFonts w:hint="eastAsia" w:ascii="宋体" w:hAnsi="宋体" w:eastAsia="宋体" w:cs="宋体"/>
          <w:bCs w:val="0"/>
          <w:color w:val="auto"/>
          <w:kern w:val="0"/>
          <w:szCs w:val="21"/>
          <w:highlight w:val="none"/>
          <w:lang w:val="en-US" w:eastAsia="zh-CN"/>
        </w:rPr>
        <w:t>项目</w:t>
      </w:r>
      <w:r>
        <w:rPr>
          <w:rFonts w:hint="eastAsia" w:ascii="宋体" w:hAnsi="宋体" w:eastAsia="宋体" w:cs="宋体"/>
          <w:bCs w:val="0"/>
          <w:color w:val="auto"/>
          <w:kern w:val="0"/>
          <w:szCs w:val="21"/>
          <w:highlight w:val="none"/>
          <w:lang w:val="zh-CN"/>
        </w:rPr>
        <w:t>。具体要求详见全国公共资源交易平台（广东省·东莞市）（网址：https://ygp.gdzwfw.gov.cn/#/441900/index）办事指南中的相关规定。</w:t>
      </w:r>
    </w:p>
    <w:p w14:paraId="0C23CBC6">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按《关于实行投标保证金企业基本账户备案制度的通知》(东建市〔2014〕18号)要求，缴纳的投标保证金须由投标人基本账户转出。投标人开具银行电子保函或保险电子保单存入的保证金（如有）及相关费用须从基本账户转出。投标保证金或相关费用不由其基本账户转入的，交易中心一律不予认定，无法参与投标的相关责任由投标人自行承担。</w:t>
      </w:r>
    </w:p>
    <w:p w14:paraId="66B30BEC">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若采用银行电子保函或保险电子保单，投标人必须按《东莞市住房和城乡建设局关于我市房屋建筑和市政基础设施工程建设项目投标保证金使用银行电子保函及保险电子保单的通知》(东建市〔2022〕6号)规定办理，保证出具的保函或保单有效。保函或保单在投标人签到时关联。</w:t>
      </w:r>
    </w:p>
    <w:p w14:paraId="19C67547">
      <w:pPr>
        <w:autoSpaceDE w:val="0"/>
        <w:autoSpaceDN w:val="0"/>
        <w:adjustRightInd w:val="0"/>
        <w:spacing w:line="360" w:lineRule="auto"/>
        <w:ind w:left="401" w:leftChars="191" w:firstLine="436" w:firstLineChars="208"/>
        <w:jc w:val="left"/>
        <w:rPr>
          <w:rFonts w:hint="eastAsia" w:ascii="宋体" w:hAnsi="宋体" w:eastAsia="宋体" w:cs="宋体"/>
          <w:bCs w:val="0"/>
          <w:color w:val="auto"/>
          <w:kern w:val="0"/>
          <w:szCs w:val="21"/>
          <w:highlight w:val="none"/>
          <w:lang w:val="zh-CN"/>
        </w:rPr>
      </w:pPr>
      <w:r>
        <w:rPr>
          <w:rFonts w:hint="eastAsia" w:ascii="宋体" w:hAnsi="宋体" w:eastAsia="宋体" w:cs="宋体"/>
          <w:bCs w:val="0"/>
          <w:color w:val="auto"/>
          <w:kern w:val="0"/>
          <w:szCs w:val="21"/>
          <w:highlight w:val="none"/>
          <w:lang w:val="zh-CN"/>
        </w:rPr>
        <w:t>银行电子保函参考样式按照《住房和城乡建设部关于印发工程保函示范文本的通知》（建市〔2021〕11号）执行。保险公司所提供的建设工程保证保险条款应当经国家金融监督管理总局批准、备案或注册，并在本公司门户网站主动公开单位信息、投保单（范本）以及保险合同含条款（范本）。</w:t>
      </w:r>
    </w:p>
    <w:p w14:paraId="6118A335">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.2 投标人签到时应按本投标人须知第</w:t>
      </w: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.1</w:t>
      </w:r>
      <w:r>
        <w:rPr>
          <w:rFonts w:hint="eastAsia" w:ascii="宋体" w:hAnsi="宋体" w:eastAsia="宋体" w:cs="宋体"/>
          <w:bCs/>
          <w:color w:val="auto"/>
          <w:kern w:val="0"/>
          <w:szCs w:val="21"/>
          <w:highlight w:val="none"/>
          <w:lang w:val="en-US" w:eastAsia="zh-CN"/>
        </w:rPr>
        <w:t>款</w:t>
      </w:r>
      <w:r>
        <w:rPr>
          <w:rFonts w:hint="eastAsia" w:ascii="宋体" w:hAnsi="宋体" w:eastAsia="宋体" w:cs="宋体"/>
          <w:bCs/>
          <w:color w:val="auto"/>
          <w:kern w:val="0"/>
          <w:szCs w:val="21"/>
          <w:highlight w:val="none"/>
          <w:lang w:val="zh-CN"/>
        </w:rPr>
        <w:t>要求提交投标保证金。投标截止时间前，投标人如果撤销签到，已关联的投标保证金同步取消关联；撤销签到的投标人可以重新签到并关联保证金。投标截止后，已关联的投标保证金不能取消关联。</w:t>
      </w:r>
    </w:p>
    <w:p w14:paraId="1FD9273A">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bookmarkStart w:id="214" w:name="_Toc19219"/>
      <w:bookmarkStart w:id="215" w:name="_Toc3875"/>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.3 投标保证金退还程序。</w:t>
      </w:r>
      <w:bookmarkEnd w:id="214"/>
      <w:bookmarkEnd w:id="215"/>
    </w:p>
    <w:p w14:paraId="7C994BD1">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（1）对未通过资格</w:t>
      </w:r>
      <w:r>
        <w:rPr>
          <w:rFonts w:hint="eastAsia" w:ascii="宋体" w:hAnsi="宋体" w:eastAsia="宋体" w:cs="宋体"/>
          <w:bCs/>
          <w:color w:val="auto"/>
          <w:kern w:val="0"/>
          <w:szCs w:val="21"/>
          <w:highlight w:val="none"/>
          <w:lang w:val="en-US" w:eastAsia="zh-CN"/>
        </w:rPr>
        <w:t>性</w:t>
      </w:r>
      <w:r>
        <w:rPr>
          <w:rFonts w:hint="eastAsia" w:ascii="宋体" w:hAnsi="宋体" w:eastAsia="宋体" w:cs="宋体"/>
          <w:bCs/>
          <w:color w:val="auto"/>
          <w:kern w:val="0"/>
          <w:szCs w:val="21"/>
          <w:highlight w:val="none"/>
          <w:lang w:val="zh-CN"/>
        </w:rPr>
        <w:t>审查或未通过</w:t>
      </w:r>
      <w:r>
        <w:rPr>
          <w:rFonts w:hint="eastAsia" w:ascii="宋体" w:hAnsi="宋体" w:eastAsia="宋体" w:cs="宋体"/>
          <w:bCs/>
          <w:color w:val="auto"/>
          <w:kern w:val="0"/>
          <w:szCs w:val="21"/>
          <w:highlight w:val="none"/>
          <w:lang w:val="en-US" w:eastAsia="zh-CN"/>
        </w:rPr>
        <w:t>符合性检查</w:t>
      </w:r>
      <w:r>
        <w:rPr>
          <w:rFonts w:hint="eastAsia" w:ascii="宋体" w:hAnsi="宋体" w:eastAsia="宋体" w:cs="宋体"/>
          <w:bCs/>
          <w:color w:val="auto"/>
          <w:kern w:val="0"/>
          <w:szCs w:val="21"/>
          <w:highlight w:val="none"/>
          <w:lang w:val="zh-CN"/>
        </w:rPr>
        <w:t>的投标人，招标人在</w:t>
      </w:r>
      <w:r>
        <w:rPr>
          <w:rFonts w:hint="eastAsia" w:ascii="宋体" w:hAnsi="宋体" w:eastAsia="宋体" w:cs="宋体"/>
          <w:bCs/>
          <w:color w:val="auto"/>
          <w:kern w:val="0"/>
          <w:szCs w:val="21"/>
          <w:highlight w:val="none"/>
          <w:lang w:val="en-US" w:eastAsia="zh-CN"/>
        </w:rPr>
        <w:t>评标会</w:t>
      </w:r>
      <w:r>
        <w:rPr>
          <w:rFonts w:hint="eastAsia" w:ascii="宋体" w:hAnsi="宋体" w:eastAsia="宋体" w:cs="宋体"/>
          <w:bCs/>
          <w:color w:val="auto"/>
          <w:kern w:val="0"/>
          <w:szCs w:val="21"/>
          <w:highlight w:val="none"/>
          <w:lang w:val="zh-CN"/>
        </w:rPr>
        <w:t>结束后第一个工作日向交易中心发送退还指令；</w:t>
      </w:r>
    </w:p>
    <w:p w14:paraId="626F1060">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（2）对除中标候选人外的投标人，招标人在发布评标结果公示后3个工作日内向交易中心发送退还指令；</w:t>
      </w:r>
    </w:p>
    <w:p w14:paraId="2C6F913D">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（3）招标人与中标人在签订书面合同后3个工作日内向交易中心对中标人及其余中标候选人投标保证金发送退还指令。</w:t>
      </w:r>
    </w:p>
    <w:p w14:paraId="3708DC74">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（4）若</w:t>
      </w:r>
      <w:r>
        <w:rPr>
          <w:rFonts w:hint="eastAsia" w:ascii="宋体" w:hAnsi="宋体" w:eastAsia="宋体" w:cs="宋体"/>
          <w:bCs/>
          <w:color w:val="auto"/>
          <w:kern w:val="0"/>
          <w:szCs w:val="21"/>
          <w:highlight w:val="none"/>
          <w:lang w:val="en-US" w:eastAsia="zh-CN"/>
        </w:rPr>
        <w:t>项目</w:t>
      </w:r>
      <w:r>
        <w:rPr>
          <w:rFonts w:hint="eastAsia" w:ascii="宋体" w:hAnsi="宋体" w:eastAsia="宋体" w:cs="宋体"/>
          <w:bCs/>
          <w:color w:val="auto"/>
          <w:kern w:val="0"/>
          <w:szCs w:val="21"/>
          <w:highlight w:val="none"/>
          <w:lang w:val="zh-CN"/>
        </w:rPr>
        <w:t>受到监督部门调查时，招标人根据实际情况处理投标保证金退回有关工作。招标人将按调查结果处理涉事投标保证金。</w:t>
      </w:r>
    </w:p>
    <w:p w14:paraId="4E0B54FD">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（5）如因投诉等异常情况不能正常签发中标通知书，招标人可以退回未中标的且不涉及异常情况处理投标人的投标保证金发送退还指令。</w:t>
      </w:r>
    </w:p>
    <w:p w14:paraId="60D3385E">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.4 投标保证金有效期应当与投标有效期一致。招标人如果按本</w:t>
      </w:r>
      <w:r>
        <w:rPr>
          <w:rFonts w:hint="eastAsia" w:ascii="宋体" w:hAnsi="宋体" w:eastAsia="宋体" w:cs="宋体"/>
          <w:bCs/>
          <w:color w:val="auto"/>
          <w:kern w:val="0"/>
          <w:szCs w:val="21"/>
          <w:highlight w:val="none"/>
          <w:lang w:val="en-US" w:eastAsia="zh-CN"/>
        </w:rPr>
        <w:t>投标人</w:t>
      </w:r>
      <w:r>
        <w:rPr>
          <w:rFonts w:hint="eastAsia" w:ascii="宋体" w:hAnsi="宋体" w:eastAsia="宋体" w:cs="宋体"/>
          <w:bCs/>
          <w:color w:val="auto"/>
          <w:kern w:val="0"/>
          <w:szCs w:val="21"/>
          <w:highlight w:val="none"/>
          <w:lang w:val="zh-CN"/>
        </w:rPr>
        <w:t>须知第</w:t>
      </w:r>
      <w:r>
        <w:rPr>
          <w:rFonts w:hint="eastAsia" w:ascii="宋体" w:hAnsi="宋体" w:eastAsia="宋体" w:cs="宋体"/>
          <w:bCs/>
          <w:color w:val="auto"/>
          <w:kern w:val="0"/>
          <w:szCs w:val="21"/>
          <w:highlight w:val="none"/>
          <w:lang w:val="en-US" w:eastAsia="zh-CN"/>
        </w:rPr>
        <w:t>16.3款</w:t>
      </w:r>
      <w:r>
        <w:rPr>
          <w:rFonts w:hint="eastAsia" w:ascii="宋体" w:hAnsi="宋体" w:eastAsia="宋体" w:cs="宋体"/>
          <w:bCs/>
          <w:color w:val="auto"/>
          <w:kern w:val="0"/>
          <w:szCs w:val="21"/>
          <w:highlight w:val="none"/>
          <w:lang w:val="zh-CN"/>
        </w:rPr>
        <w:t>的规定延长了投标文件有效期，则投标保证金的有效期也相应延长。</w:t>
      </w:r>
    </w:p>
    <w:p w14:paraId="5F8E61C1">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 xml:space="preserve">.5 若发生下列情况，招标人在书面通知投标人（或中标人）后有权不予退还投标保证金： </w:t>
      </w:r>
    </w:p>
    <w:p w14:paraId="58D2999D">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（1）投标人在规定的投标截止时间后至投标有效期满之前撤销或修改其投标文件；</w:t>
      </w:r>
    </w:p>
    <w:p w14:paraId="718923D1">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（2）中标人未能在规定期限内提交履约担保；</w:t>
      </w:r>
    </w:p>
    <w:p w14:paraId="3A1CF21A">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（3）未根据</w:t>
      </w:r>
      <w:r>
        <w:rPr>
          <w:rFonts w:hint="eastAsia" w:ascii="宋体" w:hAnsi="宋体" w:eastAsia="宋体" w:cs="宋体"/>
          <w:bCs/>
          <w:color w:val="auto"/>
          <w:kern w:val="0"/>
          <w:szCs w:val="21"/>
          <w:highlight w:val="none"/>
          <w:lang w:val="en-US" w:eastAsia="zh-CN"/>
        </w:rPr>
        <w:t>本投标人须知</w:t>
      </w:r>
      <w:r>
        <w:rPr>
          <w:rFonts w:hint="eastAsia" w:ascii="宋体" w:hAnsi="宋体" w:eastAsia="宋体" w:cs="宋体"/>
          <w:bCs/>
          <w:color w:val="auto"/>
          <w:kern w:val="0"/>
          <w:szCs w:val="21"/>
          <w:highlight w:val="none"/>
          <w:lang w:val="zh-CN"/>
        </w:rPr>
        <w:t>第34条规定签署合同；</w:t>
      </w:r>
    </w:p>
    <w:p w14:paraId="074B53EE">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（4）将中标项目转让给他人，或者在投标文件中未说明，且未经招标人同意，将中标项目的合同的权利义务转让给第三方的；</w:t>
      </w:r>
    </w:p>
    <w:p w14:paraId="51E64698">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（5）提供虚假投标文件或虚假补充文件的，或违反《中华人民共和国招标投标法》等有关法律、法规、规章及招标投标相关规定的行为。</w:t>
      </w:r>
    </w:p>
    <w:p w14:paraId="5482E33F">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en-US"/>
        </w:rPr>
      </w:pPr>
      <w:bookmarkStart w:id="216" w:name="_Toc22708"/>
      <w:bookmarkStart w:id="217" w:name="_Toc30462"/>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en-US"/>
        </w:rPr>
        <w:t>.6</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lang w:val="en-US"/>
        </w:rPr>
        <w:t>对于提交银行电子保函（保险电子保单）的有关注意事项：</w:t>
      </w:r>
      <w:bookmarkEnd w:id="216"/>
      <w:bookmarkEnd w:id="217"/>
    </w:p>
    <w:p w14:paraId="7B9296BD">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6.1投标人所提交的银行电子保函（保险电子保单）经核实出现以下情况的，作自动弃权处理：①担保的有效期或金额不符合要求的；②出现不符合招标文件要求或招标人不能接受的条款。</w:t>
      </w:r>
    </w:p>
    <w:p w14:paraId="42019FF3">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6.2投标人应当选择具备银行电子保函（保险电子保单）相关业务的银行（保险公司）开具投标保函（保单）。具备相关业务的银行（保险公司）应满足能与交易中心端口对接、关联基本账户、退款等条件，以保证电子指令的正常发送与接收。</w:t>
      </w:r>
    </w:p>
    <w:p w14:paraId="78E0AB01">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6.3银行电子保函采用“电子保函+电子指令”模式，保险电子保单采用“电子保单+电子指令”模式，即银行（保险公司）向投标人开具电子保函（保单）的同时向交易中心发送经加密的电子指令，投标人自行登录交易系统进行确认。</w:t>
      </w:r>
    </w:p>
    <w:p w14:paraId="269E7F59">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6.4投标人需预留足够的时间，提前办理好银行电子保函或保险电子保单，自行查询确认电子指令是否已经送到交易中心，并核对相关资料和信息的准确性。若投标人未预留足够的时间办理相关手续，因网络或系统等原因导致电子指令超过投标文件递交截止时间未能到达交易系统导致招标人拒绝其投标的，其后果由投标人自行负责。</w:t>
      </w:r>
    </w:p>
    <w:p w14:paraId="6500E168">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7</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lang w:val="zh-CN"/>
        </w:rPr>
        <w:t>投标保证金缴存银行</w:t>
      </w:r>
      <w:r>
        <w:rPr>
          <w:rFonts w:hint="eastAsia" w:ascii="宋体" w:hAnsi="宋体" w:eastAsia="宋体" w:cs="宋体"/>
          <w:bCs/>
          <w:color w:val="auto"/>
          <w:kern w:val="0"/>
          <w:szCs w:val="21"/>
          <w:highlight w:val="none"/>
          <w:lang w:val="en-US" w:eastAsia="zh-CN"/>
        </w:rPr>
        <w:t>账</w:t>
      </w:r>
      <w:r>
        <w:rPr>
          <w:rFonts w:hint="eastAsia" w:ascii="宋体" w:hAnsi="宋体" w:eastAsia="宋体" w:cs="宋体"/>
          <w:bCs/>
          <w:color w:val="auto"/>
          <w:kern w:val="0"/>
          <w:szCs w:val="21"/>
          <w:highlight w:val="none"/>
          <w:lang w:val="zh-CN"/>
        </w:rPr>
        <w:t>户见全国公共资源交易平台（广东省·东莞市）办事指南。</w:t>
      </w:r>
    </w:p>
    <w:p w14:paraId="4F5035FF">
      <w:pPr>
        <w:tabs>
          <w:tab w:val="left" w:pos="1134"/>
        </w:tabs>
        <w:autoSpaceDE w:val="0"/>
        <w:autoSpaceDN w:val="0"/>
        <w:adjustRightInd w:val="0"/>
        <w:spacing w:line="360" w:lineRule="auto"/>
        <w:ind w:left="840" w:leftChars="150" w:hanging="525" w:hangingChars="250"/>
        <w:jc w:val="left"/>
        <w:rPr>
          <w:rFonts w:hint="eastAsia" w:ascii="宋体" w:hAnsi="宋体" w:eastAsia="宋体" w:cs="宋体"/>
          <w:color w:val="auto"/>
          <w:kern w:val="0"/>
          <w:szCs w:val="21"/>
          <w:highlight w:val="none"/>
        </w:rPr>
      </w:pPr>
    </w:p>
    <w:p w14:paraId="0D5E1944">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18" w:name="_Toc22649_WPSOffice_Level3"/>
      <w:bookmarkStart w:id="219" w:name="_Toc24580"/>
      <w:bookmarkStart w:id="220" w:name="_Toc142508330"/>
      <w:bookmarkStart w:id="221" w:name="_Toc1458"/>
      <w:bookmarkStart w:id="222" w:name="_Toc486167680"/>
      <w:bookmarkStart w:id="223" w:name="_Toc29607"/>
      <w:bookmarkStart w:id="224" w:name="_Toc450662865"/>
      <w:bookmarkStart w:id="225" w:name="_Toc14272"/>
      <w:r>
        <w:rPr>
          <w:rFonts w:hint="eastAsia" w:ascii="宋体" w:hAnsi="宋体" w:eastAsia="宋体" w:cs="宋体"/>
          <w:color w:val="auto"/>
          <w:szCs w:val="21"/>
          <w:highlight w:val="none"/>
          <w:lang w:val="zh-CN"/>
        </w:rPr>
        <w:t>16 投标有效期</w:t>
      </w:r>
      <w:bookmarkEnd w:id="218"/>
      <w:bookmarkEnd w:id="219"/>
      <w:bookmarkEnd w:id="220"/>
      <w:bookmarkEnd w:id="221"/>
      <w:bookmarkEnd w:id="222"/>
      <w:bookmarkEnd w:id="223"/>
      <w:bookmarkEnd w:id="224"/>
      <w:bookmarkEnd w:id="225"/>
    </w:p>
    <w:p w14:paraId="694EDB67">
      <w:pPr>
        <w:tabs>
          <w:tab w:val="left" w:pos="567"/>
        </w:tabs>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0A4FD627">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257F23B0">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17FEA35E">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1E469096">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26" w:name="_Toc20422"/>
      <w:bookmarkStart w:id="227" w:name="_Toc15065"/>
      <w:bookmarkStart w:id="228" w:name="_Toc142508331"/>
      <w:bookmarkStart w:id="229" w:name="_Toc932"/>
      <w:bookmarkStart w:id="230" w:name="_Toc450662866"/>
      <w:bookmarkStart w:id="231" w:name="_Toc195714235"/>
      <w:bookmarkStart w:id="232" w:name="_Toc119"/>
      <w:bookmarkStart w:id="233" w:name="_Toc16430"/>
      <w:bookmarkStart w:id="234" w:name="_Toc486167681"/>
      <w:bookmarkStart w:id="235" w:name="_Toc25637_WPSOffice_Level3"/>
      <w:r>
        <w:rPr>
          <w:rFonts w:hint="eastAsia" w:ascii="宋体" w:hAnsi="宋体" w:eastAsia="宋体" w:cs="宋体"/>
          <w:color w:val="auto"/>
          <w:szCs w:val="21"/>
          <w:highlight w:val="none"/>
          <w:lang w:val="zh-CN"/>
        </w:rPr>
        <w:t>17 投标文件的编制和签署</w:t>
      </w:r>
      <w:bookmarkEnd w:id="226"/>
      <w:bookmarkEnd w:id="227"/>
      <w:bookmarkEnd w:id="228"/>
      <w:bookmarkEnd w:id="229"/>
      <w:bookmarkEnd w:id="230"/>
      <w:bookmarkEnd w:id="231"/>
      <w:bookmarkEnd w:id="232"/>
      <w:bookmarkEnd w:id="233"/>
      <w:bookmarkEnd w:id="234"/>
      <w:bookmarkEnd w:id="235"/>
    </w:p>
    <w:p w14:paraId="55F28CE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投标文件采用电子标书形式编制。投标人使用网络上传投标文件。</w:t>
      </w:r>
    </w:p>
    <w:p w14:paraId="6201BE1A">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投标人应使用全国公共资源交易平台（广东省·东莞市发布的投标文件电子标书制作软件（以下简称“电子标书制作软件”）进行投标文件的合成、电子</w:t>
      </w:r>
      <w:r>
        <w:rPr>
          <w:rFonts w:hint="eastAsia" w:ascii="宋体" w:hAnsi="宋体" w:eastAsia="宋体" w:cs="宋体"/>
          <w:color w:val="auto"/>
          <w:szCs w:val="21"/>
          <w:highlight w:val="none"/>
          <w:lang w:val="en-US"/>
        </w:rPr>
        <w:t>签名</w:t>
      </w:r>
      <w:r>
        <w:rPr>
          <w:rFonts w:hint="eastAsia" w:ascii="宋体" w:hAnsi="宋体" w:eastAsia="宋体" w:cs="宋体"/>
          <w:color w:val="auto"/>
          <w:szCs w:val="21"/>
          <w:highlight w:val="none"/>
          <w:lang w:val="zh-CN"/>
        </w:rPr>
        <w:t>工作。</w:t>
      </w:r>
    </w:p>
    <w:p w14:paraId="4CD66C6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投标人应使用依法设立的电子认证服务提供者签发的电子签名认证证书对电子投标文件进行电子签名。该电子</w:t>
      </w:r>
      <w:r>
        <w:rPr>
          <w:rFonts w:hint="eastAsia" w:ascii="宋体" w:hAnsi="宋体" w:eastAsia="宋体" w:cs="宋体"/>
          <w:color w:val="auto"/>
          <w:szCs w:val="21"/>
          <w:highlight w:val="none"/>
          <w:lang w:val="en-US"/>
        </w:rPr>
        <w:t>签名</w:t>
      </w:r>
      <w:r>
        <w:rPr>
          <w:rFonts w:hint="eastAsia" w:ascii="宋体" w:hAnsi="宋体" w:eastAsia="宋体" w:cs="宋体"/>
          <w:color w:val="auto"/>
          <w:szCs w:val="21"/>
          <w:highlight w:val="none"/>
          <w:lang w:val="zh-CN"/>
        </w:rPr>
        <w:t>与手写签名或者盖章具有同等的法律效力。</w:t>
      </w:r>
    </w:p>
    <w:p w14:paraId="2DB362DE">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投标人使用电子标书制作软件编制电子投标文件时必须按招标文件相关条款及投标文件格式中的要求进行编制。</w:t>
      </w:r>
    </w:p>
    <w:p w14:paraId="1893A6D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投标文件应按上述编制的要求编制电子标书。如投标文件未按上述编制要求编制的，所引起交易系统无法检索、读取相关信息时，其结果将由投标人自行承担。</w:t>
      </w:r>
    </w:p>
    <w:p w14:paraId="7BE7FD9F">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236" w:name="_Toc9587"/>
      <w:bookmarkStart w:id="237" w:name="_Toc26960"/>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投标文件必须按下列要求编制、使用数字证书电子</w:t>
      </w:r>
      <w:r>
        <w:rPr>
          <w:rFonts w:hint="eastAsia" w:ascii="宋体" w:hAnsi="宋体" w:eastAsia="宋体" w:cs="宋体"/>
          <w:color w:val="auto"/>
          <w:szCs w:val="21"/>
          <w:highlight w:val="none"/>
          <w:lang w:val="en-US"/>
        </w:rPr>
        <w:t>签名</w:t>
      </w:r>
      <w:r>
        <w:rPr>
          <w:rFonts w:hint="eastAsia" w:ascii="宋体" w:hAnsi="宋体" w:eastAsia="宋体" w:cs="宋体"/>
          <w:color w:val="auto"/>
          <w:szCs w:val="21"/>
          <w:highlight w:val="none"/>
          <w:lang w:val="en-US" w:eastAsia="zh-CN"/>
        </w:rPr>
        <w:t>：</w:t>
      </w:r>
      <w:bookmarkEnd w:id="236"/>
      <w:bookmarkEnd w:id="237"/>
    </w:p>
    <w:p w14:paraId="07012649">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.6.1按本投标人须知第</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条的规定编制，按本投标人须知第1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条的规定填报投标报价，“投标文件的组成”中列明的内容在投标文件中不能有漏缺。</w:t>
      </w:r>
    </w:p>
    <w:p w14:paraId="125A7A40">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238" w:name="_Toc3092"/>
      <w:bookmarkStart w:id="239" w:name="_Toc19767"/>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.6.2投标文件商务标、技术标编制要求：</w:t>
      </w:r>
      <w:bookmarkEnd w:id="238"/>
      <w:bookmarkEnd w:id="239"/>
    </w:p>
    <w:p w14:paraId="4B7C766B">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（1）投标文件必须按招标文件中规定的投标文件格式编制，并转换成PDF格式合成到电子投标文件中；</w:t>
      </w:r>
    </w:p>
    <w:p w14:paraId="7D38BFED">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（2）投标文件商务标、技术标必须按招标文件的规定填写，不能出现缺项、缺页、手写、关键语句（或字）错误； </w:t>
      </w:r>
    </w:p>
    <w:p w14:paraId="13A547FF">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（3）投标文件的任何一页都不应有涂改、行间插字或删除；</w:t>
      </w:r>
    </w:p>
    <w:p w14:paraId="63E448AE">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（4）投标文件商务标、技术标应按其格式要求由投标人的法定代表人或其授权代表电子签名、企业数字证书电子签名；</w:t>
      </w:r>
    </w:p>
    <w:p w14:paraId="01169A20">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（5）严格按照第六篇投标文件格式内的要求完整、真实的填写《合同条款偏离表》《用户需求偏离表》；</w:t>
      </w:r>
    </w:p>
    <w:p w14:paraId="4406C2FA">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（6）投标人要特别加以注意，必须严格按照第六篇商务标格式的要求完整、真实的填写《资格业绩》及提供对应证明资料；</w:t>
      </w:r>
    </w:p>
    <w:p w14:paraId="6018695F">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（7）投标文件技术标部分必须按招标文件第六篇“技术标格式”编制。</w:t>
      </w:r>
    </w:p>
    <w:p w14:paraId="6588F512">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240" w:name="_Toc26313"/>
      <w:bookmarkStart w:id="241" w:name="_Toc3854"/>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.6.3投标文件报价信封编制要求：</w:t>
      </w:r>
      <w:bookmarkEnd w:id="240"/>
      <w:bookmarkEnd w:id="241"/>
    </w:p>
    <w:p w14:paraId="484E94FC">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（1）投标人应使用电子标书制作软件编制并生成报价信封，内容根据招标文件设置的报价信封内容按实填报。</w:t>
      </w:r>
    </w:p>
    <w:p w14:paraId="55CE151E">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（2）大写金额数字用“零、壹、贰、叁、肆、伍、陆、柒、捌、玖、拾、佰、仟、万、亿”填写。投标值大写与小写不一致时，以大写数额为准，修正小写数额。</w:t>
      </w:r>
    </w:p>
    <w:p w14:paraId="20715FCF">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（3）投标文件价格部分应按其格式要求使用依法设立的电子认证服务提供者签发的电子签名认证证书对电子投标文件进行电子签名。该电子签名与手写签名或者盖章具有同等的法律效力。</w:t>
      </w:r>
    </w:p>
    <w:p w14:paraId="1AA3169A">
      <w:pPr>
        <w:autoSpaceDE w:val="0"/>
        <w:autoSpaceDN w:val="0"/>
        <w:adjustRightInd w:val="0"/>
        <w:jc w:val="left"/>
        <w:rPr>
          <w:rFonts w:hint="eastAsia" w:ascii="宋体" w:hAnsi="宋体" w:eastAsia="宋体" w:cs="宋体"/>
          <w:color w:val="auto"/>
          <w:kern w:val="0"/>
          <w:sz w:val="24"/>
          <w:szCs w:val="24"/>
          <w:highlight w:val="none"/>
        </w:rPr>
      </w:pPr>
      <w:bookmarkStart w:id="242" w:name="_Toc450662867"/>
    </w:p>
    <w:bookmarkEnd w:id="242"/>
    <w:p w14:paraId="0D774974">
      <w:pPr>
        <w:keepNext/>
        <w:keepLines/>
        <w:tabs>
          <w:tab w:val="left" w:pos="509"/>
        </w:tab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243" w:name="_Toc22356_WPSOffice_Level2"/>
      <w:bookmarkStart w:id="244" w:name="_Toc195714236"/>
      <w:bookmarkStart w:id="245" w:name="_Toc7829"/>
      <w:bookmarkStart w:id="246" w:name="_Toc17199"/>
      <w:bookmarkStart w:id="247" w:name="_Toc4919"/>
      <w:bookmarkStart w:id="248" w:name="_Toc26605"/>
      <w:bookmarkStart w:id="249" w:name="_Toc140596891"/>
      <w:bookmarkStart w:id="250" w:name="_Toc486167682"/>
      <w:bookmarkStart w:id="251" w:name="_Toc142508332"/>
      <w:bookmarkStart w:id="252" w:name="_Toc11307"/>
      <w:r>
        <w:rPr>
          <w:rFonts w:hint="eastAsia" w:ascii="宋体" w:hAnsi="宋体" w:eastAsia="宋体" w:cs="宋体"/>
          <w:b/>
          <w:bCs/>
          <w:color w:val="auto"/>
          <w:kern w:val="44"/>
          <w:szCs w:val="21"/>
          <w:highlight w:val="none"/>
          <w:lang w:val="zh-CN"/>
        </w:rPr>
        <w:t>四、投标</w:t>
      </w:r>
      <w:bookmarkEnd w:id="243"/>
      <w:bookmarkEnd w:id="244"/>
      <w:bookmarkEnd w:id="245"/>
      <w:bookmarkEnd w:id="246"/>
      <w:bookmarkEnd w:id="247"/>
      <w:bookmarkEnd w:id="248"/>
      <w:bookmarkEnd w:id="249"/>
      <w:bookmarkEnd w:id="250"/>
      <w:bookmarkEnd w:id="251"/>
      <w:bookmarkEnd w:id="252"/>
    </w:p>
    <w:p w14:paraId="23F3658D">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53" w:name="_Toc12192_WPSOffice_Level3"/>
      <w:bookmarkStart w:id="254" w:name="_Toc31551"/>
      <w:bookmarkStart w:id="255" w:name="_Toc195714237"/>
      <w:bookmarkStart w:id="256" w:name="_Toc450662868"/>
      <w:bookmarkStart w:id="257" w:name="_Toc29885"/>
      <w:bookmarkStart w:id="258" w:name="_Toc142508333"/>
      <w:bookmarkStart w:id="259" w:name="_Toc486167683"/>
      <w:bookmarkStart w:id="260" w:name="_Toc22475"/>
      <w:bookmarkStart w:id="261" w:name="_Toc19325"/>
      <w:bookmarkStart w:id="262" w:name="_Toc3466"/>
      <w:r>
        <w:rPr>
          <w:rFonts w:hint="eastAsia" w:ascii="宋体" w:hAnsi="宋体" w:eastAsia="宋体" w:cs="宋体"/>
          <w:color w:val="auto"/>
          <w:szCs w:val="21"/>
          <w:highlight w:val="none"/>
          <w:lang w:val="zh-CN"/>
        </w:rPr>
        <w:t xml:space="preserve">18 </w:t>
      </w:r>
      <w:bookmarkEnd w:id="253"/>
      <w:bookmarkEnd w:id="254"/>
      <w:bookmarkEnd w:id="255"/>
      <w:bookmarkEnd w:id="256"/>
      <w:bookmarkEnd w:id="257"/>
      <w:bookmarkEnd w:id="258"/>
      <w:bookmarkEnd w:id="259"/>
      <w:r>
        <w:rPr>
          <w:rFonts w:hint="eastAsia" w:ascii="宋体" w:hAnsi="宋体" w:eastAsia="宋体" w:cs="宋体"/>
          <w:color w:val="auto"/>
          <w:szCs w:val="21"/>
          <w:highlight w:val="none"/>
          <w:lang w:val="zh-CN"/>
        </w:rPr>
        <w:t>投标文件的加密</w:t>
      </w:r>
      <w:bookmarkEnd w:id="260"/>
      <w:bookmarkEnd w:id="261"/>
      <w:bookmarkEnd w:id="262"/>
    </w:p>
    <w:p w14:paraId="064FC39E">
      <w:pPr>
        <w:tabs>
          <w:tab w:val="left" w:pos="567"/>
        </w:tabs>
        <w:adjustRightInd w:val="0"/>
        <w:spacing w:line="360" w:lineRule="auto"/>
        <w:ind w:firstLine="144" w:firstLineChars="6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投标人应使用依法设立的电子认证服务提供者签发的电子签章认证证书对电子投标文件进行电子签章并加密。</w:t>
      </w:r>
    </w:p>
    <w:p w14:paraId="67243BC0">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rPr>
      </w:pPr>
    </w:p>
    <w:p w14:paraId="6F89E4D2">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63" w:name="_Toc3867"/>
      <w:bookmarkStart w:id="264" w:name="_Toc32766"/>
      <w:bookmarkStart w:id="265" w:name="_Toc195714238"/>
      <w:bookmarkStart w:id="266" w:name="_Toc27535"/>
      <w:r>
        <w:rPr>
          <w:rFonts w:hint="eastAsia" w:ascii="宋体" w:hAnsi="宋体" w:eastAsia="宋体" w:cs="宋体"/>
          <w:color w:val="auto"/>
          <w:szCs w:val="21"/>
          <w:highlight w:val="none"/>
          <w:lang w:val="zh-CN"/>
        </w:rPr>
        <w:t>19 投标文件的提交</w:t>
      </w:r>
      <w:bookmarkEnd w:id="263"/>
      <w:bookmarkEnd w:id="264"/>
      <w:bookmarkEnd w:id="265"/>
      <w:bookmarkEnd w:id="266"/>
    </w:p>
    <w:p w14:paraId="5A59C4BC">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投标人应在本招标公告规定的投标截止时间前通过交易系统在线上传投标文件。上述方式外提交的投标文件，招标人将不予受理。</w:t>
      </w:r>
    </w:p>
    <w:p w14:paraId="6CC1BFDA">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在通过交易系统在线上传投标文件时，需设置投标文件查询密码（用于查询投标文件递交情况、撤销投标文件及签到时匹配对应的招标文件）。上传成功后，投标人应打印“电子标书网站上传回执”作为成功上传的凭证。</w:t>
      </w:r>
    </w:p>
    <w:p w14:paraId="6E736BD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投标文件成功上传后，交易系统将生成投标文件识别码。本识别码是投标人提交投标文件的唯一凭证，投标人须妥善保管。识别码丢失后，投标人将无法找回投标文件，需重新上传提交。</w:t>
      </w:r>
    </w:p>
    <w:p w14:paraId="22C99281">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bookmarkStart w:id="267" w:name="_Toc10837"/>
      <w:bookmarkStart w:id="268" w:name="_Toc8570"/>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投标会议</w:t>
      </w:r>
      <w:r>
        <w:rPr>
          <w:rFonts w:hint="eastAsia" w:ascii="宋体" w:hAnsi="宋体" w:eastAsia="宋体" w:cs="宋体"/>
          <w:color w:val="auto"/>
          <w:szCs w:val="21"/>
          <w:highlight w:val="none"/>
          <w:lang w:val="en-US" w:eastAsia="zh-CN"/>
        </w:rPr>
        <w:t>时间及</w:t>
      </w:r>
      <w:r>
        <w:rPr>
          <w:rFonts w:hint="eastAsia" w:ascii="宋体" w:hAnsi="宋体" w:eastAsia="宋体" w:cs="宋体"/>
          <w:color w:val="auto"/>
          <w:szCs w:val="21"/>
          <w:highlight w:val="none"/>
          <w:lang w:val="zh-CN"/>
        </w:rPr>
        <w:t>地点：见招标公告。</w:t>
      </w:r>
      <w:bookmarkEnd w:id="267"/>
      <w:bookmarkEnd w:id="268"/>
    </w:p>
    <w:p w14:paraId="330D3C5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逾期送达的或者未按指定方式提交的投标文件，招标人不予受理。</w:t>
      </w:r>
    </w:p>
    <w:p w14:paraId="49E79B5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26531B83">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69" w:name="_Toc10027"/>
      <w:bookmarkStart w:id="270" w:name="_Toc195714239"/>
      <w:bookmarkStart w:id="271" w:name="_Toc2123"/>
      <w:bookmarkStart w:id="272" w:name="_Toc8540"/>
      <w:r>
        <w:rPr>
          <w:rFonts w:hint="eastAsia" w:ascii="宋体" w:hAnsi="宋体" w:eastAsia="宋体" w:cs="宋体"/>
          <w:color w:val="auto"/>
          <w:szCs w:val="21"/>
          <w:highlight w:val="none"/>
          <w:lang w:val="zh-CN"/>
        </w:rPr>
        <w:t>20 投标会时间、地点及投标文件提交的截止时间</w:t>
      </w:r>
      <w:bookmarkEnd w:id="269"/>
      <w:bookmarkEnd w:id="270"/>
      <w:bookmarkEnd w:id="271"/>
      <w:bookmarkEnd w:id="272"/>
    </w:p>
    <w:p w14:paraId="6EA18476">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投标人应按招标公告的时间、地点，或根据本投标人须知第</w:t>
      </w:r>
      <w:r>
        <w:rPr>
          <w:rFonts w:hint="eastAsia" w:ascii="宋体" w:hAnsi="宋体" w:eastAsia="宋体" w:cs="宋体"/>
          <w:color w:val="auto"/>
          <w:szCs w:val="21"/>
          <w:highlight w:val="none"/>
        </w:rPr>
        <w:t>7.2</w:t>
      </w:r>
      <w:r>
        <w:rPr>
          <w:rFonts w:hint="eastAsia" w:ascii="宋体" w:hAnsi="宋体" w:eastAsia="宋体" w:cs="宋体"/>
          <w:color w:val="auto"/>
          <w:szCs w:val="21"/>
          <w:highlight w:val="none"/>
          <w:lang w:val="zh-CN"/>
        </w:rPr>
        <w:t xml:space="preserve">款规定所延长的日期和时间之前通过交易系统在线上传投标文件。 </w:t>
      </w:r>
    </w:p>
    <w:p w14:paraId="7F2B0715">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招标人有权按本投标人须知第</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条的规定发出补充通知书，延长投标文件递交的截止时间。这时，原截止时间前，招标人与投标人的权利和义务相应延长至新的投标截止时间。</w:t>
      </w:r>
    </w:p>
    <w:p w14:paraId="210D7BAA">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05871A5A">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73" w:name="_Toc11228"/>
      <w:bookmarkStart w:id="274" w:name="_Toc20231"/>
      <w:bookmarkStart w:id="275" w:name="_Toc195714240"/>
      <w:bookmarkStart w:id="276" w:name="_Toc5699"/>
      <w:r>
        <w:rPr>
          <w:rFonts w:hint="eastAsia" w:ascii="宋体" w:hAnsi="宋体" w:eastAsia="宋体" w:cs="宋体"/>
          <w:color w:val="auto"/>
          <w:szCs w:val="21"/>
          <w:highlight w:val="none"/>
          <w:lang w:val="zh-CN"/>
        </w:rPr>
        <w:t>21 投标文件的拒绝</w:t>
      </w:r>
      <w:bookmarkEnd w:id="273"/>
      <w:bookmarkEnd w:id="274"/>
      <w:bookmarkEnd w:id="275"/>
      <w:bookmarkEnd w:id="276"/>
    </w:p>
    <w:p w14:paraId="26FE11B1">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投标会上，出现下列情形之一的投标文件，将被招标人拒绝：</w:t>
      </w:r>
    </w:p>
    <w:p w14:paraId="06228771">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.1.1招标人在本投标人须知第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.4款规定的投标截止时间以后或指定方式以外收到的投标文件。</w:t>
      </w:r>
    </w:p>
    <w:p w14:paraId="7B47912A">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.1.2投标人未按本投标人须知第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.4款规定提交的投标文件。</w:t>
      </w:r>
    </w:p>
    <w:p w14:paraId="3A087F20">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6CF31B5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77" w:name="_Toc195714241"/>
      <w:bookmarkStart w:id="278" w:name="_Toc26166"/>
      <w:bookmarkStart w:id="279" w:name="_Toc32469"/>
      <w:bookmarkStart w:id="280" w:name="_Toc1676"/>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zh-CN"/>
        </w:rPr>
        <w:t>投标文件的补充、修改与撤回</w:t>
      </w:r>
      <w:bookmarkEnd w:id="277"/>
      <w:bookmarkEnd w:id="278"/>
      <w:bookmarkEnd w:id="279"/>
      <w:bookmarkEnd w:id="280"/>
    </w:p>
    <w:p w14:paraId="34604E5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.1款规定的投标截止时间前，投标人可以修改或撤回已递交的投标文件。在投标截止时间之后，投标人不得补充、修改投标文件。</w:t>
      </w:r>
    </w:p>
    <w:p w14:paraId="2FC9A03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投标人应使用企业数字证书、投标文件识别码及投标文件查询密码通过网络撤回已递交投标文件。</w:t>
      </w:r>
    </w:p>
    <w:p w14:paraId="0BF5E7E0">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在投标截止时间至投标有效期满之前，投标人不得撤销其投标文件。投标截止后投标人撤销投标文件的，招标人没收其投标保证金（逾期未解密投标文件的除外）。</w:t>
      </w:r>
    </w:p>
    <w:p w14:paraId="0A453243">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15078455">
      <w:pPr>
        <w:keepNext/>
        <w:keepLines/>
        <w:tabs>
          <w:tab w:val="left" w:pos="509"/>
        </w:tab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281" w:name="_Toc450662872"/>
      <w:bookmarkStart w:id="282" w:name="_Toc28824"/>
      <w:bookmarkStart w:id="283" w:name="_Toc195714242"/>
      <w:bookmarkStart w:id="284" w:name="_Toc3055"/>
      <w:bookmarkStart w:id="285" w:name="_Toc30428"/>
      <w:bookmarkStart w:id="286" w:name="_Toc29729"/>
      <w:bookmarkStart w:id="287" w:name="_Toc142508337"/>
      <w:bookmarkStart w:id="288" w:name="_Toc140596896"/>
      <w:bookmarkStart w:id="289" w:name="_Toc486167687"/>
      <w:bookmarkStart w:id="290" w:name="_Toc1049_WPSOffice_Level2"/>
      <w:bookmarkStart w:id="291" w:name="_Toc5498"/>
      <w:bookmarkStart w:id="292" w:name="_Toc450662880"/>
      <w:r>
        <w:rPr>
          <w:rFonts w:hint="eastAsia" w:ascii="宋体" w:hAnsi="宋体" w:eastAsia="宋体" w:cs="宋体"/>
          <w:b/>
          <w:bCs/>
          <w:color w:val="auto"/>
          <w:kern w:val="44"/>
          <w:szCs w:val="21"/>
          <w:highlight w:val="none"/>
          <w:lang w:val="zh-CN"/>
        </w:rPr>
        <w:t>五、开标与评标</w:t>
      </w:r>
      <w:bookmarkEnd w:id="281"/>
      <w:bookmarkEnd w:id="282"/>
      <w:bookmarkEnd w:id="283"/>
      <w:bookmarkEnd w:id="284"/>
      <w:bookmarkEnd w:id="285"/>
      <w:bookmarkEnd w:id="286"/>
      <w:bookmarkEnd w:id="287"/>
      <w:bookmarkEnd w:id="288"/>
      <w:bookmarkEnd w:id="289"/>
      <w:bookmarkEnd w:id="290"/>
      <w:bookmarkEnd w:id="291"/>
    </w:p>
    <w:p w14:paraId="330D0272">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93" w:name="_Toc19111"/>
      <w:bookmarkStart w:id="294" w:name="_Toc31296"/>
      <w:bookmarkStart w:id="295" w:name="_Toc195714243"/>
      <w:bookmarkStart w:id="296" w:name="_Toc1747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开标</w:t>
      </w:r>
      <w:bookmarkEnd w:id="293"/>
      <w:bookmarkEnd w:id="294"/>
      <w:bookmarkEnd w:id="295"/>
      <w:bookmarkEnd w:id="296"/>
    </w:p>
    <w:p w14:paraId="57744CF1">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招标人在19.1款规定的投标截止时间（开标时间）和19.4款规定的地点召开投标会并公开开标，投标人可在规定的时间和地点参加投标会或通过登录交易系统在线查看开标过程相关信息。</w:t>
      </w:r>
    </w:p>
    <w:p w14:paraId="7EC194E3">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23.2 </w:t>
      </w:r>
      <w:r>
        <w:rPr>
          <w:rFonts w:hint="eastAsia" w:ascii="宋体" w:hAnsi="宋体" w:eastAsia="宋体" w:cs="宋体"/>
          <w:b/>
          <w:bCs/>
          <w:color w:val="auto"/>
          <w:szCs w:val="21"/>
          <w:highlight w:val="none"/>
          <w:lang w:val="en-US" w:eastAsia="zh-CN"/>
        </w:rPr>
        <w:t>投标人网上签到时间为开标当天上午6时至投标截止时间</w:t>
      </w:r>
      <w:r>
        <w:rPr>
          <w:rFonts w:hint="eastAsia" w:ascii="宋体" w:hAnsi="宋体" w:eastAsia="宋体" w:cs="宋体"/>
          <w:color w:val="auto"/>
          <w:szCs w:val="21"/>
          <w:highlight w:val="none"/>
          <w:lang w:val="en-US" w:eastAsia="zh-CN"/>
        </w:rPr>
        <w:t>，使用企业数字证书（机构证书或业务证书）登录交易系统在线完成投标保证金关联及电子投标文件关联等的网上签到手续。招标人在投标会现场不受理投标人签到事项，因投标人原因造成投标人签到失败、关联相关投标信息错误及不完整的，视为其投标文件无效，招标人将否决其投标。</w:t>
      </w:r>
    </w:p>
    <w:p w14:paraId="2492F806">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23.3 投标人网上签到需要由法定代表人或</w:t>
      </w:r>
      <w:r>
        <w:rPr>
          <w:rFonts w:hint="eastAsia" w:ascii="宋体" w:hAnsi="宋体" w:eastAsia="宋体" w:cs="宋体"/>
          <w:color w:val="auto"/>
          <w:szCs w:val="21"/>
          <w:highlight w:val="none"/>
          <w:lang w:val="zh-CN"/>
        </w:rPr>
        <w:t>其授权代表</w:t>
      </w:r>
      <w:r>
        <w:rPr>
          <w:rFonts w:hint="eastAsia" w:ascii="宋体" w:hAnsi="宋体" w:eastAsia="宋体" w:cs="宋体"/>
          <w:color w:val="auto"/>
          <w:szCs w:val="21"/>
          <w:highlight w:val="none"/>
          <w:lang w:val="en-US" w:eastAsia="zh-CN"/>
        </w:rPr>
        <w:t>进行人脸识别完成签到。（注：投标人在网上签到时须关联的法定代表人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lang w:val="en-US" w:eastAsia="zh-CN"/>
        </w:rPr>
        <w:t>为本项目法定代表人授权书列明的被授权人。）</w:t>
      </w:r>
    </w:p>
    <w:p w14:paraId="1566BCE6">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投标文件提交截止时间后，招标人按本投标人须知第2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.1款规定拒绝不符合要求的投标文件。</w:t>
      </w:r>
    </w:p>
    <w:p w14:paraId="7E555027">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lang w:val="zh-CN"/>
        </w:rPr>
        <w:t>解密投标文件的时间：投标文件提交截止时间后60分钟内</w:t>
      </w:r>
      <w:r>
        <w:rPr>
          <w:rFonts w:hint="eastAsia" w:ascii="宋体" w:hAnsi="宋体" w:eastAsia="宋体" w:cs="宋体"/>
          <w:b w:val="0"/>
          <w:bCs w:val="0"/>
          <w:color w:val="auto"/>
          <w:szCs w:val="21"/>
          <w:highlight w:val="none"/>
          <w:lang w:val="zh-CN"/>
        </w:rPr>
        <w:t>。</w:t>
      </w:r>
      <w:r>
        <w:rPr>
          <w:rFonts w:hint="eastAsia" w:ascii="宋体" w:hAnsi="宋体" w:eastAsia="宋体" w:cs="宋体"/>
          <w:color w:val="auto"/>
          <w:szCs w:val="21"/>
          <w:highlight w:val="none"/>
          <w:lang w:val="zh-CN"/>
        </w:rPr>
        <w:t>若全部投标文件均在解密时间内完成解密，经招标人确认，可以提前进入下一环节。投标会现场不受理投标人的投标文件解密等事项。因投标人原因造成投标文件未解密的，视为撤销其投标文件；因投标人</w:t>
      </w:r>
      <w:r>
        <w:rPr>
          <w:rFonts w:hint="eastAsia" w:ascii="宋体" w:hAnsi="宋体" w:eastAsia="宋体" w:cs="宋体"/>
          <w:color w:val="auto"/>
          <w:szCs w:val="21"/>
          <w:highlight w:val="none"/>
          <w:lang w:val="en-US" w:eastAsia="zh-CN"/>
        </w:rPr>
        <w:t>之外的</w:t>
      </w:r>
      <w:r>
        <w:rPr>
          <w:rFonts w:hint="eastAsia" w:ascii="宋体" w:hAnsi="宋体" w:eastAsia="宋体" w:cs="宋体"/>
          <w:color w:val="auto"/>
          <w:szCs w:val="21"/>
          <w:highlight w:val="none"/>
          <w:lang w:val="zh-CN"/>
        </w:rPr>
        <w:t>原因造成投标文件未解密的，视为撤回其投标文件。投标文件解密需要由法定代表人或其授权代表进行人脸识别完成解密。</w:t>
      </w:r>
      <w:r>
        <w:rPr>
          <w:rFonts w:hint="eastAsia" w:ascii="宋体" w:hAnsi="宋体" w:eastAsia="宋体" w:cs="宋体"/>
          <w:color w:val="auto"/>
          <w:szCs w:val="21"/>
          <w:highlight w:val="none"/>
          <w:lang w:val="en-US" w:eastAsia="zh-CN"/>
        </w:rPr>
        <w:t>（注：投标人在网上签到时须关联的法定代表人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lang w:val="en-US" w:eastAsia="zh-CN"/>
        </w:rPr>
        <w:t>为本项目法定代表人授权书列明的被授权人。）</w:t>
      </w:r>
    </w:p>
    <w:p w14:paraId="3C6CC488">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23.6 由招标人及其委托的招标代理机构开启投标文件的报价信封进行唱标。</w:t>
      </w:r>
    </w:p>
    <w:p w14:paraId="3E0F996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招标人将所有已解密的电子投标文件，按要求通过开标系统将进入评标环节的投标文件打包并导入评标系统。</w:t>
      </w:r>
    </w:p>
    <w:p w14:paraId="7F9DC725">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招标人、招标代理工作人员、监督部门（如有）等有关人员在开标记录上签字确认，开标记录封存。</w:t>
      </w:r>
    </w:p>
    <w:p w14:paraId="4F46F28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kern w:val="0"/>
          <w:szCs w:val="21"/>
          <w:highlight w:val="none"/>
        </w:rPr>
      </w:pPr>
    </w:p>
    <w:p w14:paraId="6D57F60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97" w:name="_Toc450662874"/>
      <w:bookmarkStart w:id="298" w:name="_Toc14180"/>
      <w:bookmarkStart w:id="299" w:name="_Toc195714244"/>
      <w:bookmarkStart w:id="300" w:name="_Toc29774"/>
      <w:bookmarkStart w:id="301" w:name="_Toc142508339"/>
      <w:bookmarkStart w:id="302" w:name="_Toc5684"/>
      <w:bookmarkStart w:id="303" w:name="_Toc486167689"/>
      <w:bookmarkStart w:id="304" w:name="_Toc32534"/>
      <w:bookmarkStart w:id="305" w:name="_Toc23059"/>
      <w:bookmarkStart w:id="306" w:name="_Toc12165_WPSOffice_Level3"/>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97"/>
      <w:bookmarkEnd w:id="298"/>
      <w:bookmarkEnd w:id="299"/>
      <w:bookmarkEnd w:id="300"/>
      <w:bookmarkEnd w:id="301"/>
      <w:bookmarkEnd w:id="302"/>
      <w:bookmarkEnd w:id="303"/>
      <w:bookmarkEnd w:id="304"/>
      <w:bookmarkEnd w:id="305"/>
      <w:bookmarkEnd w:id="306"/>
    </w:p>
    <w:p w14:paraId="55E7DCD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67A450F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661D94B5">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437A7A59">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07" w:name="_Toc450662875"/>
      <w:bookmarkStart w:id="308" w:name="_Toc19681"/>
      <w:bookmarkStart w:id="309" w:name="_Toc15565_WPSOffice_Level3"/>
      <w:bookmarkStart w:id="310" w:name="_Toc195714245"/>
      <w:bookmarkStart w:id="311" w:name="_Toc800"/>
      <w:bookmarkStart w:id="312" w:name="_Toc486167690"/>
      <w:bookmarkStart w:id="313" w:name="_Toc32615"/>
      <w:bookmarkStart w:id="314" w:name="_Toc142508340"/>
      <w:bookmarkStart w:id="315" w:name="_Toc16920"/>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 xml:space="preserve"> 评标委员会</w:t>
      </w:r>
      <w:bookmarkEnd w:id="307"/>
      <w:bookmarkEnd w:id="308"/>
      <w:bookmarkEnd w:id="309"/>
      <w:bookmarkEnd w:id="310"/>
      <w:bookmarkEnd w:id="311"/>
      <w:bookmarkEnd w:id="312"/>
      <w:bookmarkEnd w:id="313"/>
      <w:bookmarkEnd w:id="314"/>
      <w:bookmarkEnd w:id="315"/>
    </w:p>
    <w:p w14:paraId="16A757F6">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236FCEFE">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6B25BE37">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4C3A732C">
      <w:pPr>
        <w:autoSpaceDE w:val="0"/>
        <w:autoSpaceDN w:val="0"/>
        <w:adjustRightInd w:val="0"/>
        <w:spacing w:line="360" w:lineRule="auto"/>
        <w:ind w:left="357" w:leftChars="-100" w:hanging="567"/>
        <w:outlineLvl w:val="2"/>
        <w:rPr>
          <w:rFonts w:hint="eastAsia" w:ascii="宋体" w:hAnsi="宋体" w:eastAsia="宋体" w:cs="宋体"/>
          <w:color w:val="auto"/>
          <w:szCs w:val="21"/>
          <w:highlight w:val="none"/>
          <w:lang w:val="zh-CN"/>
        </w:rPr>
      </w:pPr>
      <w:bookmarkStart w:id="316" w:name="_Toc13854"/>
      <w:bookmarkStart w:id="317" w:name="_Toc29870"/>
      <w:bookmarkStart w:id="318" w:name="_Toc195714246"/>
      <w:bookmarkStart w:id="319" w:name="_Toc4946"/>
      <w:r>
        <w:rPr>
          <w:rFonts w:hint="eastAsia" w:ascii="宋体" w:hAnsi="宋体" w:eastAsia="宋体" w:cs="宋体"/>
          <w:color w:val="auto"/>
          <w:szCs w:val="21"/>
          <w:highlight w:val="none"/>
          <w:lang w:val="zh-CN"/>
        </w:rPr>
        <w:t>26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投标文件的有效性</w:t>
      </w:r>
      <w:bookmarkEnd w:id="316"/>
      <w:bookmarkEnd w:id="317"/>
      <w:bookmarkEnd w:id="318"/>
      <w:bookmarkEnd w:id="319"/>
    </w:p>
    <w:p w14:paraId="66A49E40">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26.1开标（评标）时，投标文件出现下列情形之一的，应当作为无效投标文件：</w:t>
      </w:r>
    </w:p>
    <w:p w14:paraId="0D8C4D7D">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320" w:name="_Toc1252"/>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上传的投标文件损坏或无法读取的；</w:t>
      </w:r>
      <w:bookmarkEnd w:id="320"/>
    </w:p>
    <w:p w14:paraId="360F3C06">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经招标人确认，投标人在公共资源交易企业库填报的与本项目密切相关的信息与事实不相符的；</w:t>
      </w:r>
    </w:p>
    <w:p w14:paraId="07F922F6">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26.1.3投标文件中使用的本项目招标文件版本，与交易系统上发布的本项目招标文件的最新版本不一致的；</w:t>
      </w:r>
    </w:p>
    <w:p w14:paraId="2B383FFB">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投标文件签名使用的数字证书与签到的投标人名称不一致的；</w:t>
      </w:r>
    </w:p>
    <w:p w14:paraId="0774FF97">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投标人的投标编制MAC信息、投标编制CPU序列号、投标编制硬盘序列号均与其他投标人相同的；</w:t>
      </w:r>
    </w:p>
    <w:p w14:paraId="61C7AF1E">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投标文件附有招标人不能接受的条件的；</w:t>
      </w:r>
    </w:p>
    <w:p w14:paraId="447C32A1">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投标人资格不满足本投标人须知第</w:t>
      </w:r>
      <w:r>
        <w:rPr>
          <w:rFonts w:hint="eastAsia" w:ascii="宋体" w:hAnsi="宋体" w:eastAsia="宋体" w:cs="宋体"/>
          <w:color w:val="auto"/>
          <w:szCs w:val="21"/>
          <w:highlight w:val="none"/>
          <w:lang w:val="en-US" w:eastAsia="zh-CN"/>
        </w:rPr>
        <w:t>2条</w:t>
      </w:r>
      <w:r>
        <w:rPr>
          <w:rFonts w:hint="eastAsia" w:ascii="宋体" w:hAnsi="宋体" w:eastAsia="宋体" w:cs="宋体"/>
          <w:color w:val="auto"/>
          <w:szCs w:val="21"/>
          <w:highlight w:val="none"/>
          <w:lang w:val="zh-CN"/>
        </w:rPr>
        <w:t>的要求；</w:t>
      </w:r>
    </w:p>
    <w:p w14:paraId="73540924">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投标人未按招标文件要求交纳投标保证金的；</w:t>
      </w:r>
    </w:p>
    <w:p w14:paraId="1B727EF8">
      <w:pPr>
        <w:autoSpaceDE w:val="0"/>
        <w:autoSpaceDN w:val="0"/>
        <w:adjustRightInd w:val="0"/>
        <w:spacing w:line="360" w:lineRule="auto"/>
        <w:ind w:left="357" w:leftChars="-100" w:hanging="567"/>
        <w:outlineLvl w:val="9"/>
        <w:rPr>
          <w:rFonts w:hint="eastAsia" w:ascii="宋体" w:hAnsi="宋体" w:eastAsia="宋体" w:cs="宋体"/>
          <w:color w:val="auto"/>
          <w:szCs w:val="21"/>
          <w:highlight w:val="yellow"/>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投标文件报价信封中填报的投标报价高于</w:t>
      </w:r>
      <w:r>
        <w:rPr>
          <w:rFonts w:hint="eastAsia" w:ascii="宋体" w:hAnsi="宋体" w:eastAsia="宋体" w:cs="宋体"/>
          <w:color w:val="auto"/>
          <w:szCs w:val="21"/>
          <w:highlight w:val="none"/>
        </w:rPr>
        <w:t>最高投标限价</w:t>
      </w:r>
      <w:r>
        <w:rPr>
          <w:rFonts w:hint="eastAsia" w:ascii="宋体" w:hAnsi="宋体" w:eastAsia="宋体" w:cs="宋体"/>
          <w:color w:val="auto"/>
          <w:szCs w:val="21"/>
          <w:highlight w:val="none"/>
          <w:lang w:val="zh-CN"/>
        </w:rPr>
        <w:t>的</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val="en-US" w:eastAsia="zh-CN"/>
        </w:rPr>
        <w:t>投标报价表中</w:t>
      </w:r>
      <w:r>
        <w:rPr>
          <w:rFonts w:hint="eastAsia" w:ascii="宋体" w:hAnsi="宋体" w:eastAsia="宋体" w:cs="宋体"/>
          <w:color w:val="auto"/>
          <w:szCs w:val="21"/>
          <w:highlight w:val="none"/>
        </w:rPr>
        <w:t>投标报价超过最高投标限价的或单项报价超过</w:t>
      </w:r>
      <w:r>
        <w:rPr>
          <w:rFonts w:hint="eastAsia" w:ascii="宋体" w:hAnsi="宋体" w:eastAsia="宋体" w:cs="宋体"/>
          <w:color w:val="auto"/>
          <w:szCs w:val="21"/>
          <w:highlight w:val="none"/>
          <w:lang w:val="en-US" w:eastAsia="zh-CN"/>
        </w:rPr>
        <w:t>对应</w:t>
      </w:r>
      <w:r>
        <w:rPr>
          <w:rFonts w:hint="eastAsia" w:ascii="宋体" w:hAnsi="宋体" w:eastAsia="宋体" w:cs="宋体"/>
          <w:color w:val="auto"/>
          <w:szCs w:val="21"/>
          <w:highlight w:val="none"/>
        </w:rPr>
        <w:t>单项最高投标限价的</w:t>
      </w:r>
      <w:r>
        <w:rPr>
          <w:rFonts w:hint="eastAsia" w:ascii="宋体" w:hAnsi="宋体" w:eastAsia="宋体" w:cs="宋体"/>
          <w:color w:val="auto"/>
          <w:szCs w:val="21"/>
          <w:highlight w:val="none"/>
          <w:lang w:val="zh-CN"/>
        </w:rPr>
        <w:t>；</w:t>
      </w:r>
    </w:p>
    <w:p w14:paraId="1A72725A">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投标人以低于企业成本价报价，且投标人不能合理说明或不能提供相关证明材料；</w:t>
      </w:r>
    </w:p>
    <w:p w14:paraId="11D5C522">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投标人递交两份或多份内容不同的投标文件，或在一份投标文件中报有两个或多个报价，且未书面声明哪一个有效；</w:t>
      </w:r>
    </w:p>
    <w:p w14:paraId="0B385764">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投标文件未按</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lang w:val="zh-CN"/>
        </w:rPr>
        <w:t>投标人须知第17</w:t>
      </w:r>
      <w:r>
        <w:rPr>
          <w:rFonts w:hint="eastAsia" w:ascii="宋体" w:hAnsi="宋体" w:eastAsia="宋体" w:cs="宋体"/>
          <w:color w:val="auto"/>
          <w:szCs w:val="21"/>
          <w:highlight w:val="none"/>
          <w:lang w:val="en-US" w:eastAsia="zh-CN"/>
        </w:rPr>
        <w:t>条</w:t>
      </w:r>
      <w:r>
        <w:rPr>
          <w:rFonts w:hint="eastAsia" w:ascii="宋体" w:hAnsi="宋体" w:eastAsia="宋体" w:cs="宋体"/>
          <w:color w:val="auto"/>
          <w:szCs w:val="21"/>
          <w:highlight w:val="none"/>
          <w:lang w:val="zh-CN"/>
        </w:rPr>
        <w:t>的要求编制、使用企业数字证书或个人数字证书电子签名的；</w:t>
      </w:r>
    </w:p>
    <w:p w14:paraId="4596C408">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321" w:name="_Toc30574"/>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val="zh-CN"/>
        </w:rPr>
        <w:t>投标有效期限不符合要求；</w:t>
      </w:r>
      <w:bookmarkEnd w:id="321"/>
    </w:p>
    <w:p w14:paraId="0CAE3BE9">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投标文件未对招标范围内的全部内容进行投标报价或投标方案不是唯一；</w:t>
      </w:r>
    </w:p>
    <w:p w14:paraId="4F03A0DE">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未提供或虚假填写《合同条款偏离表》，或对《合同条款偏离表》有负偏离的；</w:t>
      </w:r>
    </w:p>
    <w:p w14:paraId="6B733C95">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322" w:name="_Toc3291"/>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lang w:val="zh-CN"/>
        </w:rPr>
        <w:t>未填写或虚假填写《用户需求偏离表》的；</w:t>
      </w:r>
      <w:bookmarkEnd w:id="322"/>
    </w:p>
    <w:p w14:paraId="058E3EDF">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lang w:val="zh-CN"/>
        </w:rPr>
        <w:t>未响应招标文件提出的实质性要求和条件（标注★的条款）；</w:t>
      </w:r>
    </w:p>
    <w:p w14:paraId="102EBA3D">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lang w:val="zh-CN"/>
        </w:rPr>
        <w:t>属于招标文件中规定为无效标的；属于法律、法规、规章规定的应作无效投标文件处理的。</w:t>
      </w:r>
    </w:p>
    <w:p w14:paraId="1145EC89">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44E8A21D">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323" w:name="_Toc195714247"/>
      <w:bookmarkStart w:id="324" w:name="_Toc3068"/>
      <w:bookmarkStart w:id="325" w:name="_Toc8692"/>
      <w:bookmarkStart w:id="326" w:name="_Toc450662876"/>
      <w:bookmarkStart w:id="327" w:name="_Toc12715"/>
      <w:bookmarkStart w:id="328" w:name="_Toc486167691"/>
      <w:bookmarkStart w:id="329" w:name="_Toc22266"/>
      <w:bookmarkStart w:id="330" w:name="_Toc142508341"/>
      <w:bookmarkStart w:id="331" w:name="_Toc28910_WPSOffice_Level3"/>
      <w:bookmarkStart w:id="332" w:name="_Toc18668"/>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 xml:space="preserve"> 投标文件的初审</w:t>
      </w:r>
      <w:bookmarkEnd w:id="323"/>
      <w:bookmarkEnd w:id="324"/>
      <w:bookmarkEnd w:id="325"/>
      <w:bookmarkEnd w:id="326"/>
      <w:bookmarkEnd w:id="327"/>
      <w:bookmarkEnd w:id="328"/>
      <w:bookmarkEnd w:id="329"/>
      <w:bookmarkEnd w:id="330"/>
      <w:bookmarkEnd w:id="331"/>
      <w:bookmarkEnd w:id="332"/>
    </w:p>
    <w:p w14:paraId="3CFF65CF">
      <w:pPr>
        <w:autoSpaceDE w:val="0"/>
        <w:autoSpaceDN w:val="0"/>
        <w:adjustRightInd w:val="0"/>
        <w:spacing w:line="360" w:lineRule="auto"/>
        <w:ind w:left="357" w:leftChars="-100" w:hanging="567"/>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 资格性检查：依据法律法规和招标文件的规定，对投标文件中的资格证明、投标保证金等进行审查，以确定投标人是否具备投标资格。</w:t>
      </w:r>
    </w:p>
    <w:p w14:paraId="4C6A9E4E">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.2 符合性检查：依据招标文件的规定，从投标文件的有效性、完整性和对招标文件的响应程度进行审查，以确定是否对招标文件的实质性要求作出响应。</w:t>
      </w:r>
    </w:p>
    <w:p w14:paraId="75A1A516">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p>
    <w:p w14:paraId="4BCB70E7">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33" w:name="_Toc195714248"/>
      <w:bookmarkStart w:id="334" w:name="_Toc6362"/>
      <w:bookmarkStart w:id="335" w:name="_Toc4837"/>
      <w:bookmarkStart w:id="336" w:name="_Toc30225"/>
      <w:bookmarkStart w:id="337" w:name="_Toc27027"/>
      <w:bookmarkStart w:id="338" w:name="_Toc486167692"/>
      <w:bookmarkStart w:id="339" w:name="_Toc142508342"/>
      <w:bookmarkStart w:id="340" w:name="_Toc14701"/>
      <w:bookmarkStart w:id="341" w:name="_Toc338_WPSOffice_Level3"/>
      <w:bookmarkStart w:id="342" w:name="_Toc45066287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 投标文件的澄清</w:t>
      </w:r>
      <w:bookmarkEnd w:id="333"/>
      <w:bookmarkEnd w:id="334"/>
      <w:bookmarkEnd w:id="335"/>
      <w:bookmarkEnd w:id="336"/>
      <w:bookmarkEnd w:id="337"/>
      <w:bookmarkEnd w:id="338"/>
      <w:bookmarkEnd w:id="339"/>
      <w:bookmarkEnd w:id="340"/>
      <w:bookmarkEnd w:id="341"/>
      <w:bookmarkEnd w:id="342"/>
    </w:p>
    <w:p w14:paraId="3FBB9399">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4926E71E">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bookmarkStart w:id="343" w:name="_Toc45066287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因此温馨提示各投标人：编制投标文件时，请认真填写本项目递交投标文件时法定代表人或法定代表人授权书列明的被授权人的联系电话，如招标文件</w:t>
      </w:r>
      <w:r>
        <w:rPr>
          <w:rFonts w:hint="eastAsia" w:ascii="宋体" w:hAnsi="宋体" w:eastAsia="宋体" w:cs="宋体"/>
          <w:color w:val="auto"/>
          <w:szCs w:val="21"/>
          <w:highlight w:val="none"/>
          <w:lang w:val="en-US" w:eastAsia="zh-CN"/>
        </w:rPr>
        <w:t>第六篇</w:t>
      </w:r>
      <w:r>
        <w:rPr>
          <w:rFonts w:hint="eastAsia" w:ascii="宋体" w:hAnsi="宋体" w:eastAsia="宋体" w:cs="宋体"/>
          <w:color w:val="auto"/>
          <w:szCs w:val="21"/>
          <w:highlight w:val="none"/>
          <w:lang w:val="zh-CN"/>
        </w:rPr>
        <w:t>投标文件格式“投标函”</w:t>
      </w:r>
      <w:r>
        <w:rPr>
          <w:rFonts w:hint="eastAsia" w:ascii="宋体" w:hAnsi="宋体" w:eastAsia="宋体" w:cs="宋体"/>
          <w:color w:val="auto"/>
          <w:szCs w:val="21"/>
          <w:highlight w:val="none"/>
          <w:lang w:val="en-US" w:eastAsia="zh-CN"/>
        </w:rPr>
        <w:t>和“法定代表人授权书”</w:t>
      </w:r>
      <w:r>
        <w:rPr>
          <w:rFonts w:hint="eastAsia" w:ascii="宋体" w:hAnsi="宋体" w:eastAsia="宋体" w:cs="宋体"/>
          <w:color w:val="auto"/>
          <w:szCs w:val="21"/>
          <w:highlight w:val="none"/>
          <w:lang w:val="zh-CN"/>
        </w:rPr>
        <w:t>中的</w:t>
      </w:r>
      <w:r>
        <w:rPr>
          <w:rFonts w:hint="eastAsia" w:ascii="宋体" w:hAnsi="宋体" w:eastAsia="宋体" w:cs="宋体"/>
          <w:color w:val="auto"/>
          <w:szCs w:val="21"/>
          <w:highlight w:val="none"/>
          <w:lang w:val="en-US" w:eastAsia="zh-CN"/>
        </w:rPr>
        <w:t>联系方式及电子邮箱</w:t>
      </w:r>
      <w:r>
        <w:rPr>
          <w:rFonts w:hint="eastAsia" w:ascii="宋体" w:hAnsi="宋体" w:eastAsia="宋体" w:cs="宋体"/>
          <w:color w:val="auto"/>
          <w:szCs w:val="21"/>
          <w:highlight w:val="none"/>
          <w:lang w:val="zh-CN"/>
        </w:rPr>
        <w:t>，以便能及时收到澄清通知。</w:t>
      </w:r>
    </w:p>
    <w:p w14:paraId="42507DCA">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p>
    <w:bookmarkEnd w:id="343"/>
    <w:p w14:paraId="337F2709">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44" w:name="_Toc10292"/>
      <w:bookmarkStart w:id="345" w:name="_Toc195714249"/>
      <w:bookmarkStart w:id="346" w:name="_Toc522047355"/>
      <w:bookmarkStart w:id="347" w:name="_Toc142508343"/>
      <w:bookmarkStart w:id="348" w:name="_Toc10967"/>
      <w:bookmarkStart w:id="349" w:name="_Toc22065"/>
      <w:bookmarkStart w:id="350" w:name="_Toc521918096"/>
      <w:bookmarkStart w:id="351" w:name="_Toc19871"/>
      <w:bookmarkStart w:id="352" w:name="_Toc6675"/>
      <w:bookmarkStart w:id="353" w:name="_Toc18368_WPSOffice_Level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 xml:space="preserve"> 对投标文件的比较和评价</w:t>
      </w:r>
      <w:bookmarkEnd w:id="344"/>
      <w:bookmarkEnd w:id="345"/>
      <w:bookmarkEnd w:id="346"/>
      <w:bookmarkEnd w:id="347"/>
      <w:bookmarkEnd w:id="348"/>
      <w:bookmarkEnd w:id="349"/>
      <w:bookmarkEnd w:id="350"/>
      <w:bookmarkEnd w:id="351"/>
      <w:bookmarkEnd w:id="352"/>
      <w:bookmarkEnd w:id="353"/>
    </w:p>
    <w:p w14:paraId="586A2C9F">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评标委员会将对资格性检查和符合性检查合格的投标文件进行比较和评价，包括商务、技术、价格</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val="zh-CN"/>
        </w:rPr>
        <w:t>详细评审。</w:t>
      </w:r>
    </w:p>
    <w:p w14:paraId="7E0AEDFF">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25020DFA">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0E1F600E">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29.4 </w:t>
      </w:r>
      <w:r>
        <w:rPr>
          <w:rFonts w:hint="eastAsia" w:ascii="宋体" w:hAnsi="宋体" w:eastAsia="宋体" w:cs="宋体"/>
          <w:color w:val="auto"/>
          <w:szCs w:val="21"/>
          <w:highlight w:val="none"/>
          <w:lang w:val="zh-CN"/>
        </w:rPr>
        <w:t>对投标价格的评审详见评标工作大纲。</w:t>
      </w:r>
    </w:p>
    <w:p w14:paraId="3002A342">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7FBA8B54">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74EE89F5">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szCs w:val="21"/>
          <w:highlight w:val="none"/>
          <w:lang w:val="zh-CN"/>
        </w:rPr>
      </w:pPr>
      <w:bookmarkStart w:id="354" w:name="_Toc522047356"/>
      <w:bookmarkStart w:id="355" w:name="_Toc521918097"/>
    </w:p>
    <w:p w14:paraId="7F543669">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56" w:name="_Toc12693"/>
      <w:bookmarkStart w:id="357" w:name="_Toc195714250"/>
      <w:bookmarkStart w:id="358" w:name="_Toc142508344"/>
      <w:bookmarkStart w:id="359" w:name="_Toc21460_WPSOffice_Level3"/>
      <w:bookmarkStart w:id="360" w:name="_Toc16591"/>
      <w:bookmarkStart w:id="361" w:name="_Toc27026"/>
      <w:bookmarkStart w:id="362" w:name="_Toc14804"/>
      <w:bookmarkStart w:id="363" w:name="_Toc18614"/>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评标原则及方法</w:t>
      </w:r>
      <w:bookmarkEnd w:id="354"/>
      <w:bookmarkEnd w:id="355"/>
      <w:bookmarkEnd w:id="356"/>
      <w:bookmarkEnd w:id="357"/>
      <w:bookmarkEnd w:id="358"/>
      <w:bookmarkEnd w:id="359"/>
      <w:bookmarkEnd w:id="360"/>
      <w:bookmarkEnd w:id="361"/>
      <w:bookmarkEnd w:id="362"/>
      <w:bookmarkEnd w:id="363"/>
    </w:p>
    <w:p w14:paraId="486322B1">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对所有投标文件的评审，都采用相同的程序和标准。按步骤先进行初步评审，再进行商务、技术评审、价格评审。</w:t>
      </w:r>
    </w:p>
    <w:p w14:paraId="031BB836">
      <w:pPr>
        <w:tabs>
          <w:tab w:val="left" w:pos="360"/>
        </w:tabs>
        <w:autoSpaceDE w:val="0"/>
        <w:autoSpaceDN w:val="0"/>
        <w:adjustRightInd w:val="0"/>
        <w:spacing w:line="360" w:lineRule="auto"/>
        <w:ind w:left="330" w:leftChars="-100" w:right="44" w:rightChars="21" w:hanging="540"/>
        <w:outlineLvl w:val="9"/>
        <w:rPr>
          <w:rFonts w:hint="eastAsia" w:ascii="宋体" w:hAnsi="宋体" w:eastAsia="宋体" w:cs="宋体"/>
          <w:color w:val="auto"/>
          <w:szCs w:val="21"/>
          <w:highlight w:val="none"/>
          <w:lang w:val="zh-CN"/>
        </w:rPr>
      </w:pPr>
      <w:bookmarkStart w:id="364" w:name="_Toc4225"/>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.2 评标严格按照招标文件的要求和条件进行。</w:t>
      </w:r>
      <w:bookmarkEnd w:id="364"/>
    </w:p>
    <w:p w14:paraId="49685EC3">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w:t>
      </w: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条，采用综合评分法的评审方法，对所有实质响应性投标文件进行综合打分。</w:t>
      </w:r>
    </w:p>
    <w:p w14:paraId="76A52AAA">
      <w:pPr>
        <w:tabs>
          <w:tab w:val="left" w:pos="360"/>
        </w:tabs>
        <w:autoSpaceDE w:val="0"/>
        <w:autoSpaceDN w:val="0"/>
        <w:adjustRightInd w:val="0"/>
        <w:spacing w:line="360" w:lineRule="auto"/>
        <w:ind w:left="330" w:leftChars="-100" w:right="44" w:rightChars="21" w:hanging="54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rPr>
        <w:t>30</w:t>
      </w:r>
      <w:r>
        <w:rPr>
          <w:rFonts w:hint="eastAsia" w:ascii="宋体" w:hAnsi="宋体" w:eastAsia="宋体" w:cs="宋体"/>
          <w:b/>
          <w:bCs/>
          <w:color w:val="auto"/>
          <w:szCs w:val="21"/>
          <w:highlight w:val="none"/>
          <w:lang w:val="zh-CN"/>
        </w:rPr>
        <w:t>.3 若本次招标过程中有效投标人不足三个时，公开招标失败</w:t>
      </w:r>
      <w:r>
        <w:rPr>
          <w:rFonts w:hint="eastAsia" w:ascii="宋体" w:hAnsi="宋体" w:eastAsia="宋体" w:cs="宋体"/>
          <w:b/>
          <w:bCs/>
          <w:color w:val="auto"/>
          <w:szCs w:val="21"/>
          <w:highlight w:val="none"/>
        </w:rPr>
        <w:t>。</w:t>
      </w:r>
    </w:p>
    <w:p w14:paraId="50CA18F1">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p>
    <w:p w14:paraId="323B66A1">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65" w:name="_Toc32498_WPSOffice_Level3"/>
      <w:bookmarkStart w:id="366" w:name="_Toc195714251"/>
      <w:bookmarkStart w:id="367" w:name="_Toc24751"/>
      <w:bookmarkStart w:id="368" w:name="_Toc15343"/>
      <w:bookmarkStart w:id="369" w:name="_Toc142508345"/>
      <w:bookmarkStart w:id="370" w:name="_Toc4819"/>
      <w:bookmarkStart w:id="371" w:name="_Toc465358969"/>
      <w:bookmarkStart w:id="372" w:name="_Toc11615"/>
      <w:bookmarkStart w:id="373" w:name="_Toc486167694"/>
      <w:bookmarkStart w:id="374" w:name="_Toc466882017"/>
      <w:bookmarkStart w:id="375" w:name="_Toc15217"/>
      <w:r>
        <w:rPr>
          <w:rFonts w:hint="eastAsia" w:ascii="宋体" w:hAnsi="宋体" w:eastAsia="宋体" w:cs="宋体"/>
          <w:color w:val="auto"/>
          <w:szCs w:val="21"/>
          <w:highlight w:val="none"/>
        </w:rPr>
        <w:t xml:space="preserve">31 </w:t>
      </w:r>
      <w:r>
        <w:rPr>
          <w:rFonts w:hint="eastAsia" w:ascii="宋体" w:hAnsi="宋体" w:eastAsia="宋体" w:cs="宋体"/>
          <w:color w:val="auto"/>
          <w:szCs w:val="21"/>
          <w:highlight w:val="none"/>
          <w:lang w:val="zh-CN"/>
        </w:rPr>
        <w:t>评标结果公示及异议、投诉</w:t>
      </w:r>
      <w:bookmarkEnd w:id="365"/>
      <w:bookmarkEnd w:id="366"/>
      <w:bookmarkEnd w:id="367"/>
      <w:bookmarkEnd w:id="368"/>
      <w:bookmarkEnd w:id="369"/>
      <w:bookmarkEnd w:id="370"/>
      <w:bookmarkEnd w:id="371"/>
      <w:bookmarkEnd w:id="372"/>
      <w:bookmarkEnd w:id="373"/>
      <w:bookmarkEnd w:id="374"/>
      <w:bookmarkEnd w:id="375"/>
    </w:p>
    <w:p w14:paraId="2EFBEA27">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.1 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宋体"/>
          <w:color w:val="auto"/>
          <w:szCs w:val="21"/>
          <w:highlight w:val="none"/>
        </w:rPr>
        <w:t>评标结果</w:t>
      </w:r>
      <w:r>
        <w:rPr>
          <w:rFonts w:hint="eastAsia" w:ascii="宋体" w:hAnsi="宋体" w:eastAsia="宋体" w:cs="宋体"/>
          <w:color w:val="auto"/>
          <w:szCs w:val="21"/>
          <w:highlight w:val="none"/>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14:paraId="4E6936DA">
      <w:pPr>
        <w:autoSpaceDE w:val="0"/>
        <w:autoSpaceDN w:val="0"/>
        <w:adjustRightInd w:val="0"/>
        <w:snapToGrid w:val="0"/>
        <w:spacing w:line="360" w:lineRule="auto"/>
        <w:ind w:left="210" w:leftChars="100" w:firstLine="525" w:firstLineChars="2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扫描件（加盖法人公章）、以及合法来源的证据证明材料</w:t>
      </w:r>
      <w:r>
        <w:rPr>
          <w:rFonts w:hint="eastAsia" w:ascii="宋体" w:hAnsi="宋体" w:eastAsia="宋体" w:cs="宋体"/>
          <w:color w:val="auto"/>
          <w:kern w:val="0"/>
          <w:szCs w:val="21"/>
          <w:highlight w:val="none"/>
          <w:lang w:val="zh-CN"/>
        </w:rPr>
        <w:t>。</w:t>
      </w:r>
    </w:p>
    <w:p w14:paraId="21EBC3C6">
      <w:pPr>
        <w:autoSpaceDE w:val="0"/>
        <w:autoSpaceDN w:val="0"/>
        <w:adjustRightInd w:val="0"/>
        <w:spacing w:line="360" w:lineRule="auto"/>
        <w:ind w:left="284" w:hanging="568"/>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31.2 </w:t>
      </w:r>
      <w:r>
        <w:rPr>
          <w:rFonts w:hint="eastAsia" w:ascii="宋体" w:hAnsi="宋体" w:eastAsia="宋体" w:cs="宋体"/>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2BE58199">
      <w:pPr>
        <w:autoSpaceDE w:val="0"/>
        <w:autoSpaceDN w:val="0"/>
        <w:adjustRightInd w:val="0"/>
        <w:snapToGrid w:val="0"/>
        <w:spacing w:line="360" w:lineRule="auto"/>
        <w:ind w:left="246" w:leftChars="117" w:firstLine="422" w:firstLineChars="200"/>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highlight w:val="none"/>
        </w:rPr>
        <w:t>第一中标候选人未能在招标人（或其委托的招标代理机构)书面要求的时间(一般不少于三个工作日)内提供完整的材料原件进行核查的</w:t>
      </w:r>
      <w:r>
        <w:rPr>
          <w:rFonts w:hint="eastAsia" w:ascii="宋体" w:hAnsi="宋体" w:eastAsia="宋体" w:cs="宋体"/>
          <w:b/>
          <w:color w:val="auto"/>
          <w:szCs w:val="21"/>
          <w:highlight w:val="none"/>
          <w:lang w:val="zh-CN"/>
        </w:rPr>
        <w:t>，视为其无法提供真实的资料，招标人有权取消其中标候选人资格。</w:t>
      </w:r>
    </w:p>
    <w:p w14:paraId="493C36B0">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1B7FF6AA">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018A8AD5">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09B1A631">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5F3674E7">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1C423B21">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5F3A0A27">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45542D8C">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5E18D8F8">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14:paraId="4690D108">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w:t>
      </w:r>
      <w:r>
        <w:rPr>
          <w:rFonts w:hint="eastAsia" w:ascii="宋体" w:hAnsi="宋体" w:eastAsia="宋体" w:cs="宋体"/>
          <w:bCs/>
          <w:color w:val="auto"/>
          <w:szCs w:val="21"/>
          <w:highlight w:val="none"/>
          <w:lang w:eastAsia="zh-CN"/>
        </w:rPr>
        <w:t>东莞市水务环境投资控股集团有限公司</w:t>
      </w:r>
      <w:r>
        <w:rPr>
          <w:rFonts w:hint="eastAsia" w:ascii="宋体" w:hAnsi="宋体" w:eastAsia="宋体" w:cs="宋体"/>
          <w:color w:val="auto"/>
          <w:szCs w:val="21"/>
          <w:highlight w:val="none"/>
          <w:lang w:val="zh-CN"/>
        </w:rPr>
        <w:t>，联系人：莫先生，联系电话：0769-28823251。</w:t>
      </w:r>
    </w:p>
    <w:p w14:paraId="6678CDA9">
      <w:pPr>
        <w:autoSpaceDE w:val="0"/>
        <w:autoSpaceDN w:val="0"/>
        <w:adjustRightInd w:val="0"/>
        <w:snapToGrid w:val="0"/>
        <w:spacing w:line="360" w:lineRule="auto"/>
        <w:ind w:left="296" w:leftChars="100" w:hanging="86" w:hangingChars="41"/>
        <w:jc w:val="left"/>
        <w:rPr>
          <w:rFonts w:hint="eastAsia" w:ascii="宋体" w:hAnsi="宋体" w:eastAsia="宋体" w:cs="宋体"/>
          <w:color w:val="auto"/>
          <w:szCs w:val="21"/>
          <w:highlight w:val="none"/>
          <w:lang w:val="zh-CN"/>
        </w:rPr>
      </w:pPr>
    </w:p>
    <w:p w14:paraId="0F5F88AC">
      <w:pPr>
        <w:tabs>
          <w:tab w:val="left" w:pos="567"/>
        </w:tabs>
        <w:autoSpaceDE w:val="0"/>
        <w:autoSpaceDN w:val="0"/>
        <w:adjustRightInd w:val="0"/>
        <w:spacing w:line="360" w:lineRule="auto"/>
        <w:ind w:left="288" w:leftChars="-100" w:hanging="498" w:hangingChars="236"/>
        <w:outlineLvl w:val="2"/>
        <w:rPr>
          <w:rFonts w:hint="eastAsia" w:ascii="宋体" w:hAnsi="宋体" w:eastAsia="宋体" w:cs="宋体"/>
          <w:b/>
          <w:color w:val="auto"/>
          <w:szCs w:val="21"/>
          <w:highlight w:val="none"/>
          <w:lang w:val="zh-CN"/>
        </w:rPr>
      </w:pPr>
      <w:bookmarkStart w:id="376" w:name="_Toc465358970"/>
      <w:bookmarkStart w:id="377" w:name="_Toc30599"/>
      <w:bookmarkStart w:id="378" w:name="_Toc142508346"/>
      <w:bookmarkStart w:id="379" w:name="_Toc466882018"/>
      <w:bookmarkStart w:id="380" w:name="_Toc26354"/>
      <w:bookmarkStart w:id="381" w:name="_Toc195714252"/>
      <w:bookmarkStart w:id="382" w:name="_Toc1848_WPSOffice_Level3"/>
      <w:bookmarkStart w:id="383" w:name="_Toc486167695"/>
      <w:bookmarkStart w:id="384" w:name="_Toc5535"/>
      <w:bookmarkStart w:id="385" w:name="_Toc26283"/>
      <w:bookmarkStart w:id="386" w:name="_Toc3154"/>
      <w:r>
        <w:rPr>
          <w:rFonts w:hint="eastAsia" w:ascii="宋体" w:hAnsi="宋体" w:eastAsia="宋体" w:cs="宋体"/>
          <w:b/>
          <w:color w:val="auto"/>
          <w:szCs w:val="21"/>
          <w:highlight w:val="none"/>
        </w:rPr>
        <w:t>32</w:t>
      </w:r>
      <w:r>
        <w:rPr>
          <w:rFonts w:hint="eastAsia" w:ascii="宋体" w:hAnsi="宋体" w:eastAsia="宋体" w:cs="宋体"/>
          <w:b/>
          <w:color w:val="auto"/>
          <w:szCs w:val="21"/>
          <w:highlight w:val="none"/>
          <w:lang w:val="zh-CN"/>
        </w:rPr>
        <w:t xml:space="preserve"> 真实性审查</w:t>
      </w:r>
      <w:bookmarkEnd w:id="376"/>
      <w:bookmarkEnd w:id="377"/>
      <w:bookmarkEnd w:id="378"/>
      <w:bookmarkEnd w:id="379"/>
      <w:bookmarkEnd w:id="380"/>
      <w:bookmarkEnd w:id="381"/>
      <w:bookmarkEnd w:id="382"/>
      <w:bookmarkEnd w:id="383"/>
      <w:bookmarkEnd w:id="384"/>
      <w:bookmarkEnd w:id="385"/>
      <w:bookmarkEnd w:id="386"/>
    </w:p>
    <w:p w14:paraId="5933A81B">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32.1 在</w:t>
      </w:r>
      <w:r>
        <w:rPr>
          <w:rFonts w:hint="eastAsia" w:ascii="宋体" w:hAnsi="宋体" w:eastAsia="宋体" w:cs="宋体"/>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0F0FA149">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32.2 投标人</w:t>
      </w:r>
      <w:r>
        <w:rPr>
          <w:rFonts w:hint="eastAsia" w:ascii="宋体" w:hAnsi="宋体" w:eastAsia="宋体" w:cs="宋体"/>
          <w:b/>
          <w:color w:val="auto"/>
          <w:kern w:val="0"/>
          <w:szCs w:val="21"/>
          <w:highlight w:val="none"/>
        </w:rPr>
        <w:t>在招标人（或其委托的招标代理机构）、或评标委员会通知其提供</w:t>
      </w:r>
      <w:r>
        <w:rPr>
          <w:rFonts w:hint="eastAsia" w:ascii="宋体" w:hAnsi="宋体" w:eastAsia="宋体" w:cs="宋体"/>
          <w:b/>
          <w:color w:val="auto"/>
          <w:szCs w:val="21"/>
          <w:highlight w:val="non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5C9CA07F">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32.3 若投标人在投标或履约过程中存在提供虚假材料、虚假响应招标文件要求等弄虚作假行为，或未能根据</w:t>
      </w:r>
      <w:r>
        <w:rPr>
          <w:rFonts w:hint="eastAsia" w:ascii="宋体" w:hAnsi="宋体" w:eastAsia="宋体" w:cs="宋体"/>
          <w:b/>
          <w:color w:val="auto"/>
          <w:szCs w:val="21"/>
          <w:highlight w:val="none"/>
          <w:lang w:eastAsia="zh-CN"/>
        </w:rPr>
        <w:t>本须知</w:t>
      </w:r>
      <w:r>
        <w:rPr>
          <w:rFonts w:hint="eastAsia" w:ascii="宋体" w:hAnsi="宋体" w:eastAsia="宋体" w:cs="宋体"/>
          <w:b/>
          <w:color w:val="auto"/>
          <w:szCs w:val="21"/>
          <w:highlight w:val="none"/>
        </w:rPr>
        <w:t>31.2款约定按时提供原件进行核查的，或不按照投标文件承诺履约或</w:t>
      </w:r>
      <w:r>
        <w:rPr>
          <w:rFonts w:hint="eastAsia" w:ascii="宋体" w:hAnsi="宋体" w:eastAsia="宋体" w:cs="宋体"/>
          <w:b/>
          <w:color w:val="auto"/>
          <w:szCs w:val="21"/>
          <w:highlight w:val="none"/>
          <w:lang w:eastAsia="zh-CN"/>
        </w:rPr>
        <w:t>撤</w:t>
      </w:r>
      <w:r>
        <w:rPr>
          <w:rFonts w:hint="eastAsia" w:ascii="宋体" w:hAnsi="宋体" w:eastAsia="宋体" w:cs="宋体"/>
          <w:b/>
          <w:color w:val="auto"/>
          <w:szCs w:val="21"/>
          <w:highlight w:val="none"/>
          <w:lang w:val="en-US" w:eastAsia="zh-CN"/>
        </w:rPr>
        <w:t>回</w:t>
      </w:r>
      <w:r>
        <w:rPr>
          <w:rFonts w:hint="eastAsia" w:ascii="宋体" w:hAnsi="宋体" w:eastAsia="宋体" w:cs="宋体"/>
          <w:b/>
          <w:color w:val="auto"/>
          <w:szCs w:val="21"/>
          <w:highlight w:val="none"/>
        </w:rPr>
        <w:t>投标或放弃中标资格或不按要求与招标人签订合同等影响中标结果的行为，因此导致投标人无法参与</w:t>
      </w:r>
      <w:r>
        <w:rPr>
          <w:rFonts w:hint="eastAsia" w:ascii="宋体" w:hAnsi="宋体" w:eastAsia="宋体" w:cs="宋体"/>
          <w:b/>
          <w:color w:val="auto"/>
          <w:szCs w:val="21"/>
          <w:highlight w:val="none"/>
          <w:lang w:eastAsia="zh-CN"/>
        </w:rPr>
        <w:t>东莞市水务环境投资控股集团有限公司</w:t>
      </w:r>
      <w:r>
        <w:rPr>
          <w:rFonts w:hint="eastAsia" w:ascii="宋体" w:hAnsi="宋体" w:eastAsia="宋体" w:cs="宋体"/>
          <w:b/>
          <w:color w:val="auto"/>
          <w:szCs w:val="21"/>
          <w:highlight w:val="none"/>
        </w:rPr>
        <w:t>相关招标采购等活动的，由投标人自行承担全部后果。</w:t>
      </w:r>
    </w:p>
    <w:p w14:paraId="3EA54554">
      <w:pPr>
        <w:autoSpaceDE w:val="0"/>
        <w:autoSpaceDN w:val="0"/>
        <w:adjustRightInd w:val="0"/>
        <w:snapToGrid w:val="0"/>
        <w:spacing w:line="360" w:lineRule="auto"/>
        <w:jc w:val="left"/>
        <w:rPr>
          <w:rFonts w:hint="eastAsia" w:ascii="宋体" w:hAnsi="宋体" w:eastAsia="宋体" w:cs="宋体"/>
          <w:color w:val="auto"/>
          <w:szCs w:val="21"/>
          <w:highlight w:val="none"/>
        </w:rPr>
      </w:pPr>
      <w:bookmarkStart w:id="387" w:name="_Toc466882019"/>
      <w:bookmarkStart w:id="388" w:name="_Toc465358971"/>
    </w:p>
    <w:p w14:paraId="3601525A">
      <w:pPr>
        <w:tabs>
          <w:tab w:val="left" w:pos="567"/>
        </w:tabs>
        <w:autoSpaceDE w:val="0"/>
        <w:autoSpaceDN w:val="0"/>
        <w:adjustRightInd w:val="0"/>
        <w:spacing w:line="360" w:lineRule="auto"/>
        <w:ind w:left="16" w:leftChars="-59" w:hanging="140" w:hangingChars="67"/>
        <w:outlineLvl w:val="2"/>
        <w:rPr>
          <w:rFonts w:hint="eastAsia" w:ascii="宋体" w:hAnsi="宋体" w:eastAsia="宋体" w:cs="宋体"/>
          <w:color w:val="auto"/>
          <w:szCs w:val="21"/>
          <w:highlight w:val="none"/>
          <w:lang w:val="zh-CN"/>
        </w:rPr>
      </w:pPr>
      <w:bookmarkStart w:id="389" w:name="_Toc142508347"/>
      <w:bookmarkStart w:id="390" w:name="_Toc486167696"/>
      <w:bookmarkStart w:id="391" w:name="_Toc195714253"/>
      <w:bookmarkStart w:id="392" w:name="_Toc6704"/>
      <w:bookmarkStart w:id="393" w:name="_Toc10867_WPSOffice_Level3"/>
      <w:bookmarkStart w:id="394" w:name="_Toc8903"/>
      <w:bookmarkStart w:id="395" w:name="_Toc8654"/>
      <w:bookmarkStart w:id="396" w:name="_Toc23672"/>
      <w:bookmarkStart w:id="397" w:name="_Toc30340"/>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val="zh-CN"/>
        </w:rPr>
        <w:t xml:space="preserve"> 评标委员会和招标人接受或拒绝任何投标或所有投标的权利</w:t>
      </w:r>
      <w:bookmarkEnd w:id="387"/>
      <w:bookmarkEnd w:id="388"/>
      <w:bookmarkEnd w:id="389"/>
      <w:bookmarkEnd w:id="390"/>
      <w:bookmarkEnd w:id="391"/>
      <w:bookmarkEnd w:id="392"/>
      <w:bookmarkEnd w:id="393"/>
      <w:bookmarkEnd w:id="394"/>
      <w:bookmarkEnd w:id="395"/>
      <w:bookmarkEnd w:id="396"/>
      <w:bookmarkEnd w:id="397"/>
    </w:p>
    <w:p w14:paraId="5A30E0D5">
      <w:pPr>
        <w:autoSpaceDE w:val="0"/>
        <w:autoSpaceDN w:val="0"/>
        <w:adjustRightInd w:val="0"/>
        <w:spacing w:line="360" w:lineRule="auto"/>
        <w:ind w:left="248" w:leftChars="118" w:firstLine="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6DF269C5">
      <w:pPr>
        <w:autoSpaceDE w:val="0"/>
        <w:autoSpaceDN w:val="0"/>
        <w:adjustRightInd w:val="0"/>
        <w:snapToGrid w:val="0"/>
        <w:spacing w:line="360" w:lineRule="auto"/>
        <w:ind w:left="436" w:leftChars="-158" w:hanging="768" w:hangingChars="320"/>
        <w:jc w:val="left"/>
        <w:rPr>
          <w:rFonts w:hint="eastAsia" w:ascii="宋体" w:hAnsi="宋体" w:eastAsia="宋体" w:cs="宋体"/>
          <w:color w:val="auto"/>
          <w:kern w:val="44"/>
          <w:sz w:val="24"/>
          <w:szCs w:val="24"/>
          <w:highlight w:val="none"/>
          <w:lang w:val="zh-CN"/>
        </w:rPr>
      </w:pPr>
    </w:p>
    <w:bookmarkEnd w:id="292"/>
    <w:p w14:paraId="085EE927">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398" w:name="_Toc25011"/>
      <w:bookmarkStart w:id="399" w:name="_Toc140596907"/>
      <w:bookmarkStart w:id="400" w:name="_Toc32732"/>
      <w:bookmarkStart w:id="401" w:name="_Toc16748"/>
      <w:bookmarkStart w:id="402" w:name="_Toc142508348"/>
      <w:bookmarkStart w:id="403" w:name="_Toc27936"/>
      <w:bookmarkStart w:id="404" w:name="_Toc16789"/>
      <w:bookmarkStart w:id="405" w:name="_Toc486167697"/>
      <w:bookmarkStart w:id="406" w:name="_Toc16848_WPSOffice_Level2"/>
      <w:bookmarkStart w:id="407" w:name="_Toc195714254"/>
      <w:bookmarkStart w:id="408" w:name="_Toc465358977"/>
      <w:bookmarkStart w:id="409" w:name="_Toc466882025"/>
      <w:r>
        <w:rPr>
          <w:rFonts w:hint="eastAsia" w:ascii="宋体" w:hAnsi="宋体" w:eastAsia="宋体" w:cs="宋体"/>
          <w:b/>
          <w:bCs/>
          <w:color w:val="auto"/>
          <w:kern w:val="44"/>
          <w:szCs w:val="21"/>
          <w:highlight w:val="none"/>
          <w:lang w:val="zh-CN"/>
        </w:rPr>
        <w:t>六、授予合同</w:t>
      </w:r>
      <w:bookmarkEnd w:id="398"/>
      <w:bookmarkEnd w:id="399"/>
      <w:bookmarkEnd w:id="400"/>
      <w:bookmarkEnd w:id="401"/>
      <w:bookmarkEnd w:id="402"/>
      <w:bookmarkEnd w:id="403"/>
      <w:bookmarkEnd w:id="404"/>
      <w:bookmarkEnd w:id="405"/>
      <w:bookmarkEnd w:id="406"/>
      <w:bookmarkEnd w:id="407"/>
    </w:p>
    <w:p w14:paraId="16BC66F2">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10" w:name="_Toc450662881"/>
      <w:bookmarkStart w:id="411" w:name="_Toc8531"/>
      <w:bookmarkStart w:id="412" w:name="_Toc4578"/>
      <w:bookmarkStart w:id="413" w:name="_Toc6401_WPSOffice_Level3"/>
      <w:bookmarkStart w:id="414" w:name="_Toc142508349"/>
      <w:bookmarkStart w:id="415" w:name="_Toc31713"/>
      <w:bookmarkStart w:id="416" w:name="_Toc8164"/>
      <w:bookmarkStart w:id="417" w:name="_Toc29383"/>
      <w:bookmarkStart w:id="418" w:name="_Toc486167698"/>
      <w:bookmarkStart w:id="419" w:name="_Toc195714255"/>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授予合同的准则</w:t>
      </w:r>
      <w:bookmarkEnd w:id="410"/>
      <w:bookmarkEnd w:id="411"/>
      <w:bookmarkEnd w:id="412"/>
      <w:bookmarkEnd w:id="413"/>
      <w:bookmarkEnd w:id="414"/>
      <w:bookmarkEnd w:id="415"/>
      <w:bookmarkEnd w:id="416"/>
      <w:bookmarkEnd w:id="417"/>
      <w:bookmarkEnd w:id="418"/>
      <w:bookmarkEnd w:id="419"/>
    </w:p>
    <w:p w14:paraId="3EE13BC3">
      <w:pPr>
        <w:tabs>
          <w:tab w:val="left" w:pos="645"/>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w:t>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条、</w:t>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33</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15B374CB">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37AE187A">
      <w:pPr>
        <w:autoSpaceDE w:val="0"/>
        <w:autoSpaceDN w:val="0"/>
        <w:adjustRightInd w:val="0"/>
        <w:snapToGrid w:val="0"/>
        <w:spacing w:line="360" w:lineRule="auto"/>
        <w:ind w:left="315" w:leftChars="-100" w:hanging="525" w:hangingChars="250"/>
        <w:jc w:val="left"/>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077C2251">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420" w:name="_Toc450662885"/>
    </w:p>
    <w:p w14:paraId="5D8F8157">
      <w:pPr>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21" w:name="_Toc6726_WPSOffice_Level3"/>
      <w:bookmarkStart w:id="422" w:name="_Toc21308"/>
      <w:bookmarkStart w:id="423" w:name="_Toc195714256"/>
      <w:bookmarkStart w:id="424" w:name="_Toc142508350"/>
      <w:bookmarkStart w:id="425" w:name="_Toc24354"/>
      <w:bookmarkStart w:id="426" w:name="_Toc486167699"/>
      <w:bookmarkStart w:id="427" w:name="_Toc13906"/>
      <w:bookmarkStart w:id="428" w:name="_Toc8196"/>
      <w:bookmarkStart w:id="429" w:name="_Toc18984"/>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 xml:space="preserve"> 中标通知</w:t>
      </w:r>
      <w:bookmarkEnd w:id="420"/>
      <w:bookmarkEnd w:id="421"/>
      <w:bookmarkEnd w:id="422"/>
      <w:bookmarkEnd w:id="423"/>
      <w:bookmarkEnd w:id="424"/>
      <w:bookmarkEnd w:id="425"/>
      <w:bookmarkEnd w:id="426"/>
      <w:bookmarkEnd w:id="427"/>
      <w:bookmarkEnd w:id="428"/>
      <w:bookmarkEnd w:id="429"/>
    </w:p>
    <w:p w14:paraId="6E56B8F5">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430" w:name="_Toc450662886"/>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08A18B70">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4DA0DFF4">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7AA60D41">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31" w:name="_Toc28020"/>
      <w:bookmarkStart w:id="432" w:name="_Toc4722"/>
      <w:bookmarkStart w:id="433" w:name="_Toc31041"/>
      <w:bookmarkStart w:id="434" w:name="_Toc1257"/>
      <w:bookmarkStart w:id="435" w:name="_Toc9694_WPSOffice_Level3"/>
      <w:bookmarkStart w:id="436" w:name="_Toc142508351"/>
      <w:bookmarkStart w:id="437" w:name="_Toc195714257"/>
      <w:bookmarkStart w:id="438" w:name="_Toc19127"/>
      <w:bookmarkStart w:id="439" w:name="_Toc486167700"/>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签署合同</w:t>
      </w:r>
      <w:bookmarkEnd w:id="430"/>
      <w:bookmarkEnd w:id="431"/>
      <w:bookmarkEnd w:id="432"/>
      <w:bookmarkEnd w:id="433"/>
      <w:bookmarkEnd w:id="434"/>
      <w:bookmarkEnd w:id="435"/>
      <w:bookmarkEnd w:id="436"/>
      <w:bookmarkEnd w:id="437"/>
      <w:bookmarkEnd w:id="438"/>
      <w:bookmarkEnd w:id="439"/>
    </w:p>
    <w:p w14:paraId="2EDE90EA">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2C9C56BB">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2 在签署合同前，招标人可对中标人投标报价明细及附表内的计算或表达上的错误进行修正，修正原则为：</w:t>
      </w:r>
    </w:p>
    <w:p w14:paraId="149DB035">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（1）投标报价表</w:t>
      </w:r>
      <w:r>
        <w:rPr>
          <w:rFonts w:hint="eastAsia" w:ascii="宋体" w:hAnsi="宋体" w:eastAsia="宋体" w:cs="宋体"/>
          <w:color w:val="auto"/>
          <w:kern w:val="0"/>
          <w:szCs w:val="21"/>
          <w:highlight w:val="none"/>
        </w:rPr>
        <w:t>不含税</w:t>
      </w:r>
      <w:r>
        <w:rPr>
          <w:rFonts w:hint="eastAsia" w:ascii="宋体" w:hAnsi="宋体" w:eastAsia="宋体" w:cs="Times New Roman"/>
          <w:color w:val="auto"/>
          <w:szCs w:val="21"/>
          <w:highlight w:val="none"/>
          <w:lang w:val="zh-CN"/>
        </w:rPr>
        <w:t>总报价金额与报价信封中的投标值不一致的，以报价信封中的投标值为准；</w:t>
      </w:r>
    </w:p>
    <w:p w14:paraId="56986D2D">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val="zh-CN"/>
        </w:rPr>
        <w:t>）投标报价表内容与投标分项报价表或投标文件中相应内容不一致的，以投标报价表为准；</w:t>
      </w:r>
    </w:p>
    <w:p w14:paraId="4BA8BA1A">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）当以数字表示的金额与以文字表示的金额不一致时，以文字表示的金额为准。</w:t>
      </w:r>
    </w:p>
    <w:p w14:paraId="57D41044">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kern w:val="2"/>
          <w:szCs w:val="21"/>
          <w:highlight w:val="none"/>
          <w:lang w:val="zh-CN"/>
        </w:rPr>
      </w:pP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eastAsia="zh-CN"/>
        </w:rPr>
        <w:t>4</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kern w:val="2"/>
          <w:szCs w:val="21"/>
          <w:highlight w:val="none"/>
          <w:lang w:val="zh-CN"/>
        </w:rPr>
        <w:t>单项报价的金额小数点有明显错位的，以投标报价表的总价为准，并修改单项报价；</w:t>
      </w:r>
    </w:p>
    <w:p w14:paraId="7263CE70">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kern w:val="2"/>
          <w:szCs w:val="21"/>
          <w:highlight w:val="none"/>
          <w:lang w:val="zh-CN"/>
        </w:rPr>
      </w:pPr>
      <w:r>
        <w:rPr>
          <w:rFonts w:hint="eastAsia" w:ascii="宋体" w:hAnsi="宋体" w:eastAsia="宋体" w:cs="Times New Roman"/>
          <w:color w:val="auto"/>
          <w:kern w:val="2"/>
          <w:szCs w:val="21"/>
          <w:highlight w:val="none"/>
          <w:lang w:val="zh-CN"/>
        </w:rPr>
        <w:t>（</w:t>
      </w:r>
      <w:r>
        <w:rPr>
          <w:rFonts w:hint="eastAsia" w:ascii="宋体" w:hAnsi="宋体" w:eastAsia="宋体" w:cs="Times New Roman"/>
          <w:color w:val="auto"/>
          <w:kern w:val="2"/>
          <w:szCs w:val="21"/>
          <w:highlight w:val="none"/>
          <w:lang w:val="en-US" w:eastAsia="zh-CN"/>
        </w:rPr>
        <w:t>5</w:t>
      </w:r>
      <w:r>
        <w:rPr>
          <w:rFonts w:hint="eastAsia" w:ascii="宋体" w:hAnsi="宋体" w:eastAsia="宋体" w:cs="Times New Roman"/>
          <w:color w:val="auto"/>
          <w:kern w:val="2"/>
          <w:szCs w:val="21"/>
          <w:highlight w:val="none"/>
          <w:lang w:val="zh-CN"/>
        </w:rPr>
        <w:t>）投标报价表内单项报价汇总金额与不含税总报价不一致的，以单项报价计算结果为准；</w:t>
      </w:r>
    </w:p>
    <w:p w14:paraId="72F8D5B6">
      <w:pPr>
        <w:autoSpaceDE w:val="0"/>
        <w:autoSpaceDN w:val="0"/>
        <w:adjustRightInd w:val="0"/>
        <w:snapToGrid w:val="0"/>
        <w:spacing w:line="360" w:lineRule="auto"/>
        <w:ind w:left="315" w:leftChars="100" w:hanging="105" w:hangingChars="50"/>
        <w:jc w:val="lef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kern w:val="2"/>
          <w:szCs w:val="21"/>
          <w:highlight w:val="none"/>
          <w:lang w:val="zh-CN"/>
        </w:rPr>
        <w:t>（</w:t>
      </w:r>
      <w:r>
        <w:rPr>
          <w:rFonts w:hint="eastAsia" w:ascii="宋体" w:hAnsi="宋体" w:eastAsia="宋体" w:cs="Times New Roman"/>
          <w:color w:val="auto"/>
          <w:kern w:val="2"/>
          <w:szCs w:val="21"/>
          <w:highlight w:val="none"/>
          <w:lang w:val="en-US" w:eastAsia="zh-CN"/>
        </w:rPr>
        <w:t>6</w:t>
      </w:r>
      <w:r>
        <w:rPr>
          <w:rFonts w:hint="eastAsia" w:ascii="宋体" w:hAnsi="宋体" w:eastAsia="宋体" w:cs="Times New Roman"/>
          <w:color w:val="auto"/>
          <w:kern w:val="2"/>
          <w:szCs w:val="21"/>
          <w:highlight w:val="none"/>
          <w:lang w:val="zh-CN"/>
        </w:rPr>
        <w:t>）投标分项报价表内单项报价汇总金额与不含税合计金额不一致的，以单项报价金额计算结果为准</w:t>
      </w:r>
    </w:p>
    <w:p w14:paraId="26A6C507">
      <w:pPr>
        <w:autoSpaceDE w:val="0"/>
        <w:autoSpaceDN w:val="0"/>
        <w:adjustRightInd w:val="0"/>
        <w:snapToGrid w:val="0"/>
        <w:spacing w:line="360" w:lineRule="auto"/>
        <w:ind w:left="315" w:leftChars="100" w:hanging="105" w:hangingChars="50"/>
        <w:jc w:val="left"/>
        <w:rPr>
          <w:rFonts w:hint="eastAsia" w:ascii="宋体" w:hAnsi="宋体" w:eastAsia="宋体" w:cs="宋体"/>
          <w:color w:val="auto"/>
          <w:szCs w:val="21"/>
          <w:highlight w:val="none"/>
          <w:lang w:val="zh-CN"/>
        </w:rPr>
      </w:pP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lang w:val="zh-CN"/>
        </w:rPr>
        <w:t>）按前述修正原则排序依次进行修正至唯一值后的报价表经双方确认后，作为合同文件的组成部分。</w:t>
      </w:r>
    </w:p>
    <w:p w14:paraId="051BB533">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13C018ED">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40" w:name="_Toc8181"/>
      <w:bookmarkStart w:id="441" w:name="_Toc142508352"/>
      <w:bookmarkStart w:id="442" w:name="_Toc450662887"/>
      <w:bookmarkStart w:id="443" w:name="_Toc5304"/>
      <w:bookmarkStart w:id="444" w:name="_Toc10513_WPSOffice_Level3"/>
      <w:bookmarkStart w:id="445" w:name="_Toc195714258"/>
      <w:bookmarkStart w:id="446" w:name="_Toc20148"/>
      <w:bookmarkStart w:id="447" w:name="_Toc6114"/>
      <w:bookmarkStart w:id="448" w:name="_Toc10371"/>
      <w:bookmarkStart w:id="449" w:name="_Toc486167701"/>
      <w:r>
        <w:rPr>
          <w:rFonts w:hint="eastAsia" w:ascii="宋体" w:hAnsi="宋体" w:eastAsia="宋体" w:cs="宋体"/>
          <w:color w:val="auto"/>
          <w:szCs w:val="21"/>
          <w:highlight w:val="none"/>
        </w:rPr>
        <w:t xml:space="preserve">37 </w:t>
      </w:r>
      <w:r>
        <w:rPr>
          <w:rFonts w:hint="eastAsia" w:ascii="宋体" w:hAnsi="宋体" w:eastAsia="宋体" w:cs="宋体"/>
          <w:color w:val="auto"/>
          <w:szCs w:val="21"/>
          <w:highlight w:val="none"/>
          <w:lang w:val="zh-CN"/>
        </w:rPr>
        <w:t>履约担保</w:t>
      </w:r>
      <w:bookmarkEnd w:id="440"/>
      <w:bookmarkEnd w:id="441"/>
      <w:bookmarkEnd w:id="442"/>
      <w:bookmarkEnd w:id="443"/>
      <w:bookmarkEnd w:id="444"/>
      <w:bookmarkEnd w:id="445"/>
      <w:bookmarkEnd w:id="446"/>
      <w:bookmarkEnd w:id="447"/>
      <w:bookmarkEnd w:id="448"/>
      <w:bookmarkEnd w:id="449"/>
    </w:p>
    <w:p w14:paraId="13406B4C">
      <w:pPr>
        <w:numPr>
          <w:ilvl w:val="1"/>
          <w:numId w:val="0"/>
        </w:numPr>
        <w:autoSpaceDE w:val="0"/>
        <w:autoSpaceDN w:val="0"/>
        <w:adjustRightInd w:val="0"/>
        <w:spacing w:line="360" w:lineRule="auto"/>
        <w:ind w:left="354" w:leftChars="-100" w:right="15" w:rightChars="7"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rPr>
        <w:t>37</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其中，采用履约保证金（银行转账形式）的金额为人民币叁拾万元整（¥300,000.00），采用不可撤销银行履约保函形式的金额为人民币肆拾捌万元整（¥480,000.00），采用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形式的金额为人民币陆拾万元整（¥600,000.00），采用担保公司履约担保书形式的金额为人民币陆拾万元整（¥600,000.00）。</w:t>
      </w:r>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给招标人或招标人权属子公司造成的损失超过履约担保数额的，中标人还应当对超过部分予以赔偿，招标人或招标人权属子公司并依法追究中标人的相应责任。</w:t>
      </w:r>
    </w:p>
    <w:p w14:paraId="28F15A8B">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37.2 履约担保用于补偿招标人或招标人权属子公司因中标人不能完全履行其合同义务而蒙受的损失或其他合同约定的事项。如发生下列任一情况时，招标人或招标人权属子公司有权依合同追究违约责任外，同时有权提取履约担保并进行相应处理：</w:t>
      </w:r>
    </w:p>
    <w:p w14:paraId="7CFD0AF1">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（1）中标人将合同项下中标人的权利义务全部转让给第三方，或未经招标人或招标人权属子公司书面同意将部分权利义务转让给第三方的，招标人</w:t>
      </w:r>
      <w:r>
        <w:rPr>
          <w:rFonts w:hint="eastAsia" w:ascii="宋体" w:hAnsi="宋体" w:eastAsia="宋体" w:cs="宋体"/>
          <w:color w:val="auto"/>
          <w:kern w:val="0"/>
          <w:szCs w:val="24"/>
          <w:highlight w:val="none"/>
        </w:rPr>
        <w:t>或招标人权属子公司</w:t>
      </w:r>
      <w:r>
        <w:rPr>
          <w:rFonts w:hint="eastAsia" w:ascii="宋体" w:hAnsi="宋体" w:eastAsia="宋体" w:cs="宋体"/>
          <w:color w:val="auto"/>
          <w:kern w:val="0"/>
          <w:szCs w:val="21"/>
          <w:highlight w:val="none"/>
        </w:rPr>
        <w:t>有权没收其履约担保。</w:t>
      </w:r>
    </w:p>
    <w:p w14:paraId="5B87D353">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）在合同履行期间，因中标人服务质量问题造成损害、侵权损失</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包括但不限于招标人</w:t>
      </w:r>
      <w:r>
        <w:rPr>
          <w:rFonts w:hint="eastAsia" w:ascii="宋体" w:hAnsi="宋体" w:eastAsia="宋体" w:cs="宋体"/>
          <w:color w:val="auto"/>
          <w:kern w:val="0"/>
          <w:szCs w:val="24"/>
          <w:highlight w:val="none"/>
        </w:rPr>
        <w:t>或招标人权属子公司</w:t>
      </w:r>
      <w:r>
        <w:rPr>
          <w:rFonts w:hint="eastAsia" w:ascii="宋体" w:hAnsi="宋体" w:eastAsia="宋体" w:cs="宋体"/>
          <w:color w:val="auto"/>
          <w:kern w:val="0"/>
          <w:szCs w:val="21"/>
          <w:highlight w:val="none"/>
        </w:rPr>
        <w:t>经济损失、第三人人身财产损失等</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、拖欠原材料供应商货款或与其所雇用员工发生劳资纠纷、上访、闹事或其他影响招标人或招标人权属子公司生产经营等情况而其未及时妥善处理的，招标人</w:t>
      </w:r>
      <w:r>
        <w:rPr>
          <w:rFonts w:hint="eastAsia" w:ascii="宋体" w:hAnsi="宋体" w:eastAsia="宋体" w:cs="Arial"/>
          <w:color w:val="auto"/>
          <w:kern w:val="0"/>
          <w:szCs w:val="24"/>
          <w:highlight w:val="none"/>
        </w:rPr>
        <w:t>或招标人权属子公司</w:t>
      </w:r>
      <w:r>
        <w:rPr>
          <w:rFonts w:hint="eastAsia" w:ascii="宋体" w:hAnsi="宋体" w:eastAsia="宋体" w:cs="宋体"/>
          <w:color w:val="auto"/>
          <w:kern w:val="0"/>
          <w:szCs w:val="21"/>
          <w:highlight w:val="none"/>
        </w:rPr>
        <w:t>有权使用履约担保予以支付或作出相应处理，由此产生的一切法律后果</w:t>
      </w:r>
      <w:r>
        <w:rPr>
          <w:rFonts w:hint="eastAsia" w:ascii="宋体" w:hAnsi="宋体" w:eastAsia="宋体" w:cs="宋体"/>
          <w:color w:val="auto"/>
          <w:kern w:val="0"/>
          <w:szCs w:val="21"/>
          <w:highlight w:val="none"/>
          <w:lang w:val="en-US" w:eastAsia="zh-CN"/>
        </w:rPr>
        <w:t>和经济损失</w:t>
      </w:r>
      <w:r>
        <w:rPr>
          <w:rFonts w:hint="eastAsia" w:ascii="宋体" w:hAnsi="宋体" w:eastAsia="宋体" w:cs="宋体"/>
          <w:color w:val="auto"/>
          <w:kern w:val="0"/>
          <w:szCs w:val="21"/>
          <w:highlight w:val="none"/>
        </w:rPr>
        <w:t>由中标人承担。</w:t>
      </w:r>
    </w:p>
    <w:p w14:paraId="70613227">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）在合同履行期间，中标人违约产生的违约金、赔偿、罚款或其他应付费用等款项，招标人</w:t>
      </w:r>
      <w:r>
        <w:rPr>
          <w:rFonts w:hint="eastAsia" w:ascii="宋体" w:hAnsi="宋体" w:eastAsia="宋体" w:cs="Arial"/>
          <w:color w:val="auto"/>
          <w:kern w:val="0"/>
          <w:szCs w:val="24"/>
          <w:highlight w:val="none"/>
        </w:rPr>
        <w:t>或招标人权属子公司</w:t>
      </w:r>
      <w:r>
        <w:rPr>
          <w:rFonts w:hint="eastAsia" w:ascii="宋体" w:hAnsi="宋体" w:eastAsia="宋体" w:cs="宋体"/>
          <w:color w:val="auto"/>
          <w:kern w:val="0"/>
          <w:szCs w:val="21"/>
          <w:highlight w:val="none"/>
        </w:rPr>
        <w:t>有权直接从未付款项中直接扣除或启用履约担保予以支付。</w:t>
      </w:r>
    </w:p>
    <w:p w14:paraId="68AEA766">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）合同期内，中标人不能及时完成合同某项义务的，招标人</w:t>
      </w:r>
      <w:r>
        <w:rPr>
          <w:rFonts w:hint="eastAsia" w:ascii="宋体" w:hAnsi="宋体" w:eastAsia="宋体" w:cs="Arial"/>
          <w:color w:val="auto"/>
          <w:kern w:val="0"/>
          <w:szCs w:val="24"/>
          <w:highlight w:val="none"/>
        </w:rPr>
        <w:t>或招标人权属子公司</w:t>
      </w:r>
      <w:r>
        <w:rPr>
          <w:rFonts w:hint="eastAsia" w:ascii="宋体" w:hAnsi="宋体" w:eastAsia="宋体" w:cs="宋体"/>
          <w:color w:val="auto"/>
          <w:kern w:val="0"/>
          <w:szCs w:val="21"/>
          <w:highlight w:val="none"/>
        </w:rPr>
        <w:t>有权提取履约担保用于处理该项工作。</w:t>
      </w:r>
    </w:p>
    <w:p w14:paraId="5656B45D">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）其他根据本合同约定或法律规定，招标人</w:t>
      </w:r>
      <w:r>
        <w:rPr>
          <w:rFonts w:hint="eastAsia" w:ascii="宋体" w:hAnsi="宋体" w:eastAsia="宋体" w:cs="Arial"/>
          <w:color w:val="auto"/>
          <w:kern w:val="0"/>
          <w:szCs w:val="24"/>
          <w:highlight w:val="none"/>
        </w:rPr>
        <w:t>或招标人权属子公司</w:t>
      </w:r>
      <w:r>
        <w:rPr>
          <w:rFonts w:hint="eastAsia" w:ascii="宋体" w:hAnsi="宋体" w:eastAsia="宋体" w:cs="宋体"/>
          <w:color w:val="auto"/>
          <w:kern w:val="0"/>
          <w:szCs w:val="21"/>
          <w:highlight w:val="none"/>
        </w:rPr>
        <w:t>可启用履约担保的情形。</w:t>
      </w:r>
    </w:p>
    <w:p w14:paraId="222A576F">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bookmarkStart w:id="450" w:name="_Toc32290"/>
      <w:r>
        <w:rPr>
          <w:rFonts w:hint="eastAsia" w:ascii="宋体" w:hAnsi="宋体" w:eastAsia="宋体" w:cs="宋体"/>
          <w:color w:val="auto"/>
          <w:kern w:val="0"/>
          <w:szCs w:val="21"/>
          <w:highlight w:val="none"/>
        </w:rPr>
        <w:t>37.3  履约担保应符合如下规定：</w:t>
      </w:r>
      <w:bookmarkEnd w:id="450"/>
    </w:p>
    <w:p w14:paraId="0EAD2669">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（1）出具履约保函的银行必须是境内支行一级以上机构，并经招标人或招标人权属子公司同意，执行本款时所发生的费用由中标人承担。</w:t>
      </w:r>
    </w:p>
    <w:p w14:paraId="53D82DB1">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或招标人权属子公司的书面同意。</w:t>
      </w:r>
    </w:p>
    <w:p w14:paraId="5850DEE4">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w:t>
      </w:r>
      <w:r>
        <w:rPr>
          <w:rFonts w:hint="eastAsia" w:ascii="宋体" w:hAnsi="宋体" w:eastAsia="宋体" w:cs="宋体"/>
          <w:color w:val="auto"/>
          <w:kern w:val="0"/>
          <w:szCs w:val="21"/>
          <w:highlight w:val="none"/>
          <w:lang w:val="en-US" w:eastAsia="zh-CN"/>
        </w:rPr>
        <w:t>书</w:t>
      </w:r>
      <w:r>
        <w:rPr>
          <w:rFonts w:hint="eastAsia" w:ascii="宋体" w:hAnsi="宋体" w:eastAsia="宋体" w:cs="宋体"/>
          <w:color w:val="auto"/>
          <w:kern w:val="0"/>
          <w:szCs w:val="21"/>
          <w:highlight w:val="none"/>
        </w:rPr>
        <w:t>的担保机构经济性质须为东莞市国有企业，或政府性融资担保机构（中标人须提供能证明其属于政府性融资担保机构的证明文件），并经招标人或招标人权属子公司同意，执行本款时所发生的费用由中标人承担。如招标人或招标人权属子公司合同条款接受担保公司预付款担保函的，对担保机构要求参照本条执行。</w:t>
      </w:r>
    </w:p>
    <w:p w14:paraId="65E82C66">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符合招标人或招标人权属子公司要求的履约担保延期手续，否则视为中标人违约，招标人或招标人权属子公司有权在不可撤销银行履约保函或履约保证保险或担保公司履约担保书到期前向出具履约担保的机构提取履约担保金。在不可撤销银行履约保函（或履约保证保险或担保公司履约担保书）到期后中标人未按招标人或招标人权属子公司要求重新提供的，招标人或招标人权属子公司有权要求中标人以履约担保金额为限承担违约金，违约金可直接从未付采购合同费用中扣除。</w:t>
      </w:r>
    </w:p>
    <w:p w14:paraId="20D5FC09">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金数额不符合招标文件要求的，中标人应当在5日内予以补足。逾期不予补足的，招标人或招标人权属子公司有权按需补足的金额要求中标人承担违约金，并要求限期补足。如中标人仍不补足的，招标人或招标人权属子公司有权单方解除合同，违约金可直接从未付合同款或履约担保中扣除。</w:t>
      </w:r>
    </w:p>
    <w:p w14:paraId="3C419012">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w:t>
      </w:r>
      <w:r>
        <w:rPr>
          <w:rFonts w:hint="eastAsia" w:ascii="宋体" w:hAnsi="宋体" w:eastAsia="宋体" w:cs="宋体"/>
          <w:color w:val="auto"/>
          <w:kern w:val="0"/>
          <w:szCs w:val="21"/>
        </w:rPr>
        <w:t>应在本项目合同期限届满并完成合同全部服务义务后二十八（</w:t>
      </w:r>
      <w:r>
        <w:rPr>
          <w:rFonts w:ascii="宋体" w:hAnsi="宋体" w:eastAsia="宋体" w:cs="宋体"/>
          <w:color w:val="auto"/>
          <w:kern w:val="0"/>
          <w:szCs w:val="21"/>
        </w:rPr>
        <w:t>28）日内保持有效</w:t>
      </w:r>
      <w:r>
        <w:rPr>
          <w:rFonts w:hint="eastAsia" w:ascii="宋体" w:hAnsi="宋体" w:eastAsia="宋体" w:cs="宋体"/>
          <w:color w:val="auto"/>
          <w:kern w:val="0"/>
          <w:szCs w:val="21"/>
          <w:highlight w:val="none"/>
        </w:rPr>
        <w:t>。</w:t>
      </w:r>
    </w:p>
    <w:p w14:paraId="1E048775">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bookmarkStart w:id="451" w:name="_Toc26730"/>
      <w:r>
        <w:rPr>
          <w:rFonts w:hint="eastAsia" w:ascii="宋体" w:hAnsi="宋体" w:eastAsia="宋体" w:cs="宋体"/>
          <w:color w:val="auto"/>
          <w:kern w:val="0"/>
          <w:szCs w:val="21"/>
          <w:highlight w:val="none"/>
        </w:rPr>
        <w:t>37.4  履约保证金应用本合同货币。</w:t>
      </w:r>
      <w:bookmarkEnd w:id="451"/>
    </w:p>
    <w:p w14:paraId="694E2CD9">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37.5  中标人也可以按招标文件约定的额度和时间，向招标人或招标人权属子公司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14:paraId="0A832191">
      <w:pPr>
        <w:tabs>
          <w:tab w:val="left" w:pos="360"/>
          <w:tab w:val="left" w:pos="4725"/>
        </w:tabs>
        <w:autoSpaceDE w:val="0"/>
        <w:autoSpaceDN w:val="0"/>
        <w:adjustRightInd w:val="0"/>
        <w:spacing w:line="360" w:lineRule="auto"/>
        <w:ind w:firstLine="632" w:firstLineChars="300"/>
        <w:jc w:val="left"/>
        <w:outlineLvl w:val="9"/>
        <w:rPr>
          <w:rFonts w:hint="eastAsia" w:ascii="宋体" w:hAnsi="宋体" w:eastAsia="宋体" w:cs="宋体"/>
          <w:b/>
          <w:color w:val="auto"/>
          <w:kern w:val="0"/>
          <w:szCs w:val="21"/>
          <w:highlight w:val="none"/>
        </w:rPr>
      </w:pPr>
      <w:bookmarkStart w:id="452" w:name="_Toc26661"/>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bookmarkEnd w:id="452"/>
    </w:p>
    <w:p w14:paraId="51DA8B6B">
      <w:pPr>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开户名称：东莞市置拓投资有限公司</w:t>
      </w:r>
    </w:p>
    <w:p w14:paraId="36CBFD6B">
      <w:pPr>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开户银行：中国工商银行股份有限公司东莞分行</w:t>
      </w:r>
    </w:p>
    <w:p w14:paraId="0664B9D5">
      <w:pPr>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账    号：2010021319200579580</w:t>
      </w:r>
    </w:p>
    <w:bookmarkEnd w:id="408"/>
    <w:bookmarkEnd w:id="409"/>
    <w:p w14:paraId="43D32E77">
      <w:pPr>
        <w:autoSpaceDE w:val="0"/>
        <w:autoSpaceDN w:val="0"/>
        <w:adjustRightInd w:val="0"/>
        <w:spacing w:line="360" w:lineRule="auto"/>
        <w:ind w:left="420" w:leftChars="-100" w:hanging="630" w:hanging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37.6  中标</w:t>
      </w:r>
      <w:r>
        <w:rPr>
          <w:rFonts w:hint="eastAsia" w:ascii="宋体" w:hAnsi="宋体" w:eastAsia="宋体" w:cs="宋体"/>
          <w:color w:val="auto"/>
          <w:kern w:val="0"/>
          <w:szCs w:val="24"/>
          <w:highlight w:val="none"/>
        </w:rPr>
        <w:t>单位提交了履约担保后，当履约保证金转达招标人或招标人权属子公司履约保证金账户后，</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人将履约保证金的汇款凭证用A4纸</w:t>
      </w:r>
      <w:r>
        <w:rPr>
          <w:rFonts w:hint="eastAsia" w:ascii="宋体" w:hAnsi="宋体" w:eastAsia="宋体" w:cs="宋体"/>
          <w:color w:val="auto"/>
          <w:kern w:val="0"/>
          <w:szCs w:val="24"/>
          <w:highlight w:val="none"/>
          <w:lang w:val="en-US" w:eastAsia="zh-CN"/>
        </w:rPr>
        <w:t>复印</w:t>
      </w:r>
      <w:r>
        <w:rPr>
          <w:rFonts w:hint="eastAsia" w:ascii="宋体" w:hAnsi="宋体" w:eastAsia="宋体" w:cs="宋体"/>
          <w:color w:val="auto"/>
          <w:kern w:val="0"/>
          <w:szCs w:val="24"/>
          <w:highlight w:val="none"/>
          <w:lang w:eastAsia="zh-CN"/>
        </w:rPr>
        <w:t>件</w:t>
      </w:r>
      <w:r>
        <w:rPr>
          <w:rFonts w:hint="eastAsia" w:ascii="宋体" w:hAnsi="宋体" w:eastAsia="宋体" w:cs="宋体"/>
          <w:color w:val="auto"/>
          <w:kern w:val="0"/>
          <w:szCs w:val="24"/>
          <w:highlight w:val="none"/>
        </w:rPr>
        <w:t>（</w:t>
      </w:r>
      <w:r>
        <w:rPr>
          <w:rFonts w:hint="eastAsia" w:ascii="宋体" w:hAnsi="宋体" w:eastAsia="宋体" w:cs="宋体"/>
          <w:bCs/>
          <w:color w:val="auto"/>
          <w:kern w:val="0"/>
          <w:szCs w:val="24"/>
          <w:highlight w:val="none"/>
        </w:rPr>
        <w:t>注明</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0"/>
          <w:szCs w:val="24"/>
          <w:highlight w:val="none"/>
        </w:rPr>
        <w:t>编号</w:t>
      </w:r>
      <w:r>
        <w:rPr>
          <w:rFonts w:hint="eastAsia" w:ascii="宋体" w:hAnsi="宋体" w:eastAsia="宋体" w:cs="宋体"/>
          <w:color w:val="auto"/>
          <w:kern w:val="0"/>
          <w:szCs w:val="24"/>
          <w:highlight w:val="none"/>
        </w:rPr>
        <w:t>）一式二份并加盖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人的公章送招标代理机构，[或当中标人采取不可撤销银行履约保函（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或担保公司履约担保书）的方式缴纳履约担保时，中标人将不可撤销银行履约保函（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或担保公司履约担保书）原件</w:t>
      </w:r>
      <w:r>
        <w:rPr>
          <w:rFonts w:hint="eastAsia" w:ascii="宋体" w:hAnsi="宋体" w:eastAsia="宋体" w:cs="宋体"/>
          <w:color w:val="auto"/>
          <w:szCs w:val="21"/>
          <w:highlight w:val="none"/>
          <w:lang w:val="zh-CN"/>
        </w:rPr>
        <w:t>交给招标人或招标人权属子公司，由招标人或招标人权属子公司在</w:t>
      </w:r>
      <w:r>
        <w:rPr>
          <w:rFonts w:hint="eastAsia" w:ascii="宋体" w:hAnsi="宋体" w:eastAsia="宋体" w:cs="宋体"/>
          <w:color w:val="auto"/>
          <w:kern w:val="0"/>
          <w:szCs w:val="24"/>
          <w:highlight w:val="none"/>
        </w:rPr>
        <w:t>履约保函一式两份</w:t>
      </w:r>
      <w:r>
        <w:rPr>
          <w:rFonts w:hint="eastAsia" w:ascii="宋体" w:hAnsi="宋体" w:eastAsia="宋体" w:cs="宋体"/>
          <w:color w:val="auto"/>
          <w:kern w:val="0"/>
          <w:szCs w:val="24"/>
          <w:highlight w:val="none"/>
          <w:lang w:val="en-US" w:eastAsia="zh-CN"/>
        </w:rPr>
        <w:t>复印</w:t>
      </w:r>
      <w:r>
        <w:rPr>
          <w:rFonts w:hint="eastAsia" w:ascii="宋体" w:hAnsi="宋体" w:eastAsia="宋体" w:cs="宋体"/>
          <w:color w:val="auto"/>
          <w:kern w:val="0"/>
          <w:szCs w:val="24"/>
          <w:highlight w:val="none"/>
          <w:lang w:eastAsia="zh-CN"/>
        </w:rPr>
        <w:t>件</w:t>
      </w:r>
      <w:r>
        <w:rPr>
          <w:rFonts w:hint="eastAsia" w:ascii="宋体" w:hAnsi="宋体" w:eastAsia="宋体" w:cs="宋体"/>
          <w:color w:val="auto"/>
          <w:kern w:val="0"/>
          <w:szCs w:val="24"/>
          <w:highlight w:val="none"/>
        </w:rPr>
        <w:t>上</w:t>
      </w:r>
      <w:r>
        <w:rPr>
          <w:rFonts w:hint="eastAsia" w:ascii="宋体" w:hAnsi="宋体" w:eastAsia="宋体" w:cs="宋体"/>
          <w:color w:val="auto"/>
          <w:szCs w:val="21"/>
          <w:highlight w:val="none"/>
          <w:lang w:val="zh-CN"/>
        </w:rPr>
        <w:t>注明“原件已收”及签收人、日期后，中标人在每份</w:t>
      </w:r>
      <w:r>
        <w:rPr>
          <w:rFonts w:hint="eastAsia" w:ascii="宋体" w:hAnsi="宋体" w:eastAsia="宋体" w:cs="宋体"/>
          <w:color w:val="auto"/>
          <w:kern w:val="0"/>
          <w:szCs w:val="24"/>
          <w:highlight w:val="none"/>
          <w:lang w:val="en-US" w:eastAsia="zh-CN"/>
        </w:rPr>
        <w:t>复印</w:t>
      </w:r>
      <w:r>
        <w:rPr>
          <w:rFonts w:hint="eastAsia" w:ascii="宋体" w:hAnsi="宋体" w:eastAsia="宋体" w:cs="宋体"/>
          <w:color w:val="auto"/>
          <w:szCs w:val="21"/>
          <w:highlight w:val="none"/>
          <w:lang w:val="zh-CN"/>
        </w:rPr>
        <w:t>件上</w:t>
      </w:r>
      <w:r>
        <w:rPr>
          <w:rFonts w:hint="eastAsia" w:ascii="宋体" w:hAnsi="宋体" w:eastAsia="宋体" w:cs="宋体"/>
          <w:color w:val="auto"/>
          <w:kern w:val="0"/>
          <w:szCs w:val="24"/>
          <w:highlight w:val="none"/>
        </w:rPr>
        <w:t>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w:t>
      </w:r>
      <w:r>
        <w:rPr>
          <w:rFonts w:hint="eastAsia" w:ascii="宋体" w:hAnsi="宋体" w:eastAsia="宋体" w:cs="宋体"/>
          <w:color w:val="auto"/>
          <w:kern w:val="0"/>
          <w:szCs w:val="21"/>
          <w:highlight w:val="none"/>
        </w:rPr>
        <w:t>。</w:t>
      </w:r>
    </w:p>
    <w:p w14:paraId="1567B090">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37.7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rPr>
        <w:t>的在依法完成本项目的所有合同义务</w:t>
      </w:r>
      <w:r>
        <w:rPr>
          <w:rFonts w:hint="eastAsia" w:ascii="宋体" w:hAnsi="宋体" w:eastAsia="宋体" w:cs="宋体"/>
          <w:color w:val="auto"/>
          <w:kern w:val="0"/>
          <w:szCs w:val="21"/>
          <w:highlight w:val="none"/>
        </w:rPr>
        <w:t>，经招标人确认，中标人可向招标人提交退回履约担保的申请。招标人或招标人权属子公司审核无异议后，办理履约担保退还手续，退回时一律以银行转账的形式无息退回到中标人的账户。</w:t>
      </w:r>
    </w:p>
    <w:p w14:paraId="1549249B">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3193255A">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53" w:name="_Toc486167702"/>
      <w:bookmarkStart w:id="454" w:name="_Toc10548"/>
      <w:bookmarkStart w:id="455" w:name="_Toc11309"/>
      <w:bookmarkStart w:id="456" w:name="_Toc195714259"/>
      <w:bookmarkStart w:id="457" w:name="_Toc3311"/>
      <w:bookmarkStart w:id="458" w:name="_Toc21728"/>
      <w:bookmarkStart w:id="459" w:name="_Toc142508353"/>
      <w:bookmarkStart w:id="460" w:name="_Toc27162"/>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在合同履行中变更采购范围的权利</w:t>
      </w:r>
      <w:bookmarkEnd w:id="453"/>
      <w:bookmarkEnd w:id="454"/>
      <w:bookmarkEnd w:id="455"/>
      <w:bookmarkEnd w:id="456"/>
      <w:bookmarkEnd w:id="457"/>
      <w:bookmarkEnd w:id="458"/>
      <w:bookmarkEnd w:id="459"/>
      <w:bookmarkEnd w:id="460"/>
    </w:p>
    <w:p w14:paraId="134DD858">
      <w:pPr>
        <w:autoSpaceDE w:val="0"/>
        <w:autoSpaceDN w:val="0"/>
        <w:adjustRightInd w:val="0"/>
        <w:spacing w:line="360" w:lineRule="auto"/>
        <w:ind w:left="328" w:leftChars="-114"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38.1 合同履行中，招标人在合同约定的范围内，招标人有权根据项目实际情况及有关法律法规、政策的规定对采购范围进行变更调整，变更采购范围后，投标人应遵照执行。</w:t>
      </w:r>
    </w:p>
    <w:p w14:paraId="1995725F">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461" w:name="_Toc450662888"/>
    </w:p>
    <w:p w14:paraId="1C79AB82">
      <w:pPr>
        <w:tabs>
          <w:tab w:val="left" w:pos="46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62" w:name="_Toc142508354"/>
      <w:bookmarkStart w:id="463" w:name="_Toc28921_WPSOffice_Level3"/>
      <w:bookmarkStart w:id="464" w:name="_Toc23218"/>
      <w:bookmarkStart w:id="465" w:name="_Toc14850"/>
      <w:bookmarkStart w:id="466" w:name="_Toc486167703"/>
      <w:bookmarkStart w:id="467" w:name="_Toc22944"/>
      <w:bookmarkStart w:id="468" w:name="_Toc2401"/>
      <w:bookmarkStart w:id="469" w:name="_Toc6369"/>
      <w:bookmarkStart w:id="470" w:name="_Toc195714260"/>
      <w:r>
        <w:rPr>
          <w:rFonts w:hint="eastAsia" w:ascii="宋体" w:hAnsi="宋体" w:eastAsia="宋体" w:cs="宋体"/>
          <w:color w:val="auto"/>
          <w:szCs w:val="21"/>
          <w:highlight w:val="none"/>
        </w:rPr>
        <w:t>39</w:t>
      </w:r>
      <w:r>
        <w:rPr>
          <w:rFonts w:hint="eastAsia" w:ascii="宋体" w:hAnsi="宋体" w:eastAsia="宋体" w:cs="宋体"/>
          <w:color w:val="auto"/>
          <w:szCs w:val="21"/>
          <w:highlight w:val="none"/>
          <w:lang w:val="zh-CN"/>
        </w:rPr>
        <w:t xml:space="preserve"> 中标服务费</w:t>
      </w:r>
      <w:bookmarkEnd w:id="461"/>
      <w:bookmarkEnd w:id="462"/>
      <w:bookmarkEnd w:id="463"/>
      <w:bookmarkEnd w:id="464"/>
      <w:bookmarkEnd w:id="465"/>
      <w:bookmarkEnd w:id="466"/>
      <w:bookmarkEnd w:id="467"/>
      <w:bookmarkEnd w:id="468"/>
      <w:bookmarkEnd w:id="469"/>
      <w:bookmarkEnd w:id="470"/>
    </w:p>
    <w:p w14:paraId="583B05B4">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bookmarkStart w:id="471" w:name="_Toc450662889"/>
      <w:r>
        <w:rPr>
          <w:rFonts w:hint="eastAsia" w:ascii="宋体" w:hAnsi="宋体" w:eastAsia="宋体" w:cs="宋体"/>
          <w:color w:val="auto"/>
          <w:szCs w:val="21"/>
          <w:highlight w:val="none"/>
        </w:rPr>
        <w:t>39.1 中标人应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以本项目的</w:t>
      </w:r>
      <w:r>
        <w:rPr>
          <w:rFonts w:hint="eastAsia" w:ascii="宋体" w:hAnsi="宋体" w:eastAsia="宋体" w:cs="宋体"/>
          <w:color w:val="auto"/>
          <w:szCs w:val="21"/>
          <w:highlight w:val="none"/>
          <w:lang w:val="en-US" w:eastAsia="zh-CN"/>
        </w:rPr>
        <w:t>暂定</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总价</w:t>
      </w:r>
      <w:r>
        <w:rPr>
          <w:rFonts w:hint="eastAsia" w:ascii="宋体" w:hAnsi="宋体" w:eastAsia="宋体" w:cs="宋体"/>
          <w:color w:val="auto"/>
          <w:szCs w:val="21"/>
          <w:highlight w:val="none"/>
        </w:rPr>
        <w:t>为计费额，本项目业务性质：按</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类招标代理服务收费）。</w:t>
      </w:r>
    </w:p>
    <w:p w14:paraId="309B60D7">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39.2 中标人收到中标通知后，须在15日内向招标代理机构交纳中标服务费用。</w:t>
      </w:r>
    </w:p>
    <w:p w14:paraId="57AA0F0E">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39.3 中标服务费只接受以银行转账、电汇方式交纳</w:t>
      </w:r>
    </w:p>
    <w:p w14:paraId="26CFF617">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中标服务费汇入账号（特别提醒，本账户非投标保证金汇入账户)：</w:t>
      </w:r>
    </w:p>
    <w:p w14:paraId="7C9C5AEC">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开户名称：</w:t>
      </w:r>
      <w:r>
        <w:rPr>
          <w:rFonts w:hint="eastAsia" w:ascii="宋体" w:hAnsi="宋体" w:eastAsia="宋体" w:cs="宋体"/>
          <w:color w:val="auto"/>
          <w:szCs w:val="21"/>
          <w:highlight w:val="none"/>
          <w:lang w:eastAsia="zh-CN"/>
        </w:rPr>
        <w:t>三方诚信招标有限公司</w:t>
      </w:r>
      <w:r>
        <w:rPr>
          <w:rFonts w:hint="eastAsia" w:ascii="宋体" w:hAnsi="宋体" w:eastAsia="宋体" w:cs="宋体"/>
          <w:color w:val="auto"/>
          <w:szCs w:val="21"/>
          <w:highlight w:val="none"/>
        </w:rPr>
        <w:t>东莞分公司</w:t>
      </w:r>
    </w:p>
    <w:p w14:paraId="7CF28F69">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银行</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号：2010021309900018461</w:t>
      </w:r>
    </w:p>
    <w:p w14:paraId="478EBB91">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开户银行：</w:t>
      </w:r>
      <w:r>
        <w:rPr>
          <w:rFonts w:hint="eastAsia" w:ascii="宋体" w:hAnsi="宋体" w:eastAsia="宋体"/>
          <w:color w:val="auto"/>
          <w:sz w:val="21"/>
          <w:szCs w:val="21"/>
          <w:highlight w:val="none"/>
        </w:rPr>
        <w:t>中国工商银行东莞市分行</w:t>
      </w:r>
      <w:r>
        <w:rPr>
          <w:rFonts w:hint="eastAsia" w:ascii="宋体" w:hAnsi="宋体" w:eastAsia="宋体" w:cs="宋体"/>
          <w:color w:val="auto"/>
          <w:szCs w:val="21"/>
          <w:highlight w:val="none"/>
        </w:rPr>
        <w:t xml:space="preserve"> </w:t>
      </w:r>
    </w:p>
    <w:p w14:paraId="466C3F51">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39.4 中标人如未按第39.1款、第39.2款规定办理，将不予退还其投标保证金。</w:t>
      </w:r>
    </w:p>
    <w:p w14:paraId="4CEFDD8B">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1A177BC7">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72" w:name="_Toc142508355"/>
      <w:bookmarkStart w:id="473" w:name="_Toc6796"/>
      <w:bookmarkStart w:id="474" w:name="_Toc486167704"/>
      <w:bookmarkStart w:id="475" w:name="_Toc31030"/>
      <w:bookmarkStart w:id="476" w:name="_Toc1473"/>
      <w:bookmarkStart w:id="477" w:name="_Toc23317"/>
      <w:bookmarkStart w:id="478" w:name="_Toc21985"/>
      <w:bookmarkStart w:id="479" w:name="_Toc195714261"/>
      <w:bookmarkStart w:id="480" w:name="_Toc6764_WPSOffice_Level3"/>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 xml:space="preserve"> 发票</w:t>
      </w:r>
      <w:bookmarkEnd w:id="471"/>
      <w:bookmarkEnd w:id="472"/>
      <w:bookmarkEnd w:id="473"/>
      <w:bookmarkEnd w:id="474"/>
      <w:bookmarkEnd w:id="475"/>
      <w:bookmarkEnd w:id="476"/>
      <w:bookmarkEnd w:id="477"/>
      <w:bookmarkEnd w:id="478"/>
      <w:bookmarkEnd w:id="479"/>
      <w:bookmarkEnd w:id="480"/>
    </w:p>
    <w:p w14:paraId="49B285BB">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.1</w:t>
      </w:r>
      <w:bookmarkStart w:id="481" w:name="_Toc486167705"/>
      <w:bookmarkStart w:id="482" w:name="_Toc31106_WPSOffice_Level3"/>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该项目获得中标的中标人在执行合同过程中，向招标人出具的发票必须是由中标人开具，不得以其他单位或个人名义出具，本项目中标人向招标人出具的发票类型为增值税专用发票。</w:t>
      </w:r>
    </w:p>
    <w:p w14:paraId="154705CD">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00FC0113">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rPr>
      </w:pPr>
      <w:bookmarkStart w:id="483" w:name="_Toc142508356"/>
      <w:bookmarkStart w:id="484" w:name="_Toc7977"/>
      <w:bookmarkStart w:id="485" w:name="_Toc8619"/>
      <w:bookmarkStart w:id="486" w:name="_Toc24547"/>
      <w:bookmarkStart w:id="487" w:name="_Toc5624"/>
      <w:bookmarkStart w:id="488" w:name="_Toc195714262"/>
      <w:bookmarkStart w:id="489" w:name="_Toc10243"/>
      <w:r>
        <w:rPr>
          <w:rFonts w:hint="eastAsia" w:ascii="宋体" w:hAnsi="宋体" w:eastAsia="宋体" w:cs="宋体"/>
          <w:b/>
          <w:color w:val="auto"/>
          <w:szCs w:val="21"/>
          <w:highlight w:val="none"/>
        </w:rPr>
        <w:t>41 招标相关补充约定</w:t>
      </w:r>
      <w:bookmarkEnd w:id="483"/>
      <w:bookmarkEnd w:id="484"/>
      <w:bookmarkEnd w:id="485"/>
      <w:bookmarkEnd w:id="486"/>
      <w:bookmarkEnd w:id="487"/>
      <w:bookmarkEnd w:id="488"/>
      <w:bookmarkEnd w:id="489"/>
    </w:p>
    <w:p w14:paraId="33B84612">
      <w:pPr>
        <w:autoSpaceDE w:val="0"/>
        <w:autoSpaceDN w:val="0"/>
        <w:adjustRightInd w:val="0"/>
        <w:snapToGrid w:val="0"/>
        <w:spacing w:line="360" w:lineRule="auto"/>
        <w:ind w:left="317" w:leftChars="-100" w:hanging="527" w:hangingChars="2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41.1</w:t>
      </w: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p>
    <w:p w14:paraId="0F8AF0B7">
      <w:pPr>
        <w:autoSpaceDE w:val="0"/>
        <w:autoSpaceDN w:val="0"/>
        <w:adjustRightInd w:val="0"/>
        <w:snapToGrid w:val="0"/>
        <w:spacing w:line="360" w:lineRule="auto"/>
        <w:jc w:val="left"/>
        <w:rPr>
          <w:rFonts w:hint="eastAsia" w:ascii="宋体" w:hAnsi="宋体" w:eastAsia="宋体" w:cs="宋体"/>
          <w:color w:val="auto"/>
          <w:szCs w:val="21"/>
          <w:highlight w:val="none"/>
        </w:rPr>
      </w:pPr>
    </w:p>
    <w:p w14:paraId="2FBD1B60">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rPr>
      </w:pPr>
      <w:bookmarkStart w:id="490" w:name="_Toc22346"/>
      <w:bookmarkStart w:id="491" w:name="_Toc29758"/>
      <w:bookmarkStart w:id="492" w:name="_Toc20859"/>
      <w:bookmarkStart w:id="493" w:name="_Toc142508357"/>
      <w:bookmarkStart w:id="494" w:name="_Toc195714263"/>
      <w:bookmarkStart w:id="495" w:name="_Toc21193"/>
      <w:bookmarkStart w:id="496" w:name="_Toc26594"/>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本次招标活动的最终解释权归招标代理机构及招标人所有。</w:t>
      </w:r>
      <w:bookmarkEnd w:id="481"/>
      <w:bookmarkEnd w:id="482"/>
      <w:bookmarkEnd w:id="490"/>
      <w:bookmarkEnd w:id="491"/>
      <w:bookmarkEnd w:id="492"/>
      <w:bookmarkEnd w:id="493"/>
      <w:bookmarkEnd w:id="494"/>
      <w:bookmarkEnd w:id="495"/>
      <w:bookmarkEnd w:id="496"/>
    </w:p>
    <w:p w14:paraId="709731BC">
      <w:pPr>
        <w:autoSpaceDE w:val="0"/>
        <w:autoSpaceDN w:val="0"/>
        <w:adjustRightInd w:val="0"/>
        <w:spacing w:line="360" w:lineRule="auto"/>
        <w:ind w:firstLine="0" w:firstLineChars="0"/>
        <w:jc w:val="left"/>
        <w:rPr>
          <w:rFonts w:hint="eastAsia" w:ascii="宋体" w:hAnsi="宋体" w:eastAsia="宋体" w:cs="宋体"/>
          <w:color w:val="auto"/>
          <w:kern w:val="0"/>
          <w:szCs w:val="21"/>
          <w:highlight w:val="none"/>
        </w:rPr>
      </w:pPr>
    </w:p>
    <w:p w14:paraId="22AD2D39">
      <w:pPr>
        <w:pageBreakBefore/>
        <w:tabs>
          <w:tab w:val="left" w:pos="1080"/>
        </w:tabs>
        <w:autoSpaceDE w:val="0"/>
        <w:autoSpaceDN w:val="0"/>
        <w:adjustRightInd w:val="0"/>
        <w:spacing w:line="360" w:lineRule="auto"/>
        <w:ind w:left="357" w:leftChars="-100" w:hanging="567"/>
        <w:jc w:val="center"/>
        <w:outlineLvl w:val="1"/>
        <w:rPr>
          <w:rFonts w:ascii="宋体" w:hAnsi="宋体" w:eastAsia="宋体" w:cs="宋体"/>
          <w:b/>
          <w:bCs/>
          <w:color w:val="auto"/>
          <w:kern w:val="44"/>
          <w:sz w:val="32"/>
          <w:szCs w:val="32"/>
          <w:highlight w:val="none"/>
          <w:lang w:val="zh-CN"/>
        </w:rPr>
      </w:pPr>
      <w:bookmarkStart w:id="497" w:name="_Toc6282"/>
      <w:bookmarkStart w:id="498" w:name="_Toc4217"/>
      <w:bookmarkStart w:id="499" w:name="_Toc22810"/>
      <w:bookmarkStart w:id="500" w:name="_Toc27939_WPSOffice_Level1"/>
      <w:bookmarkStart w:id="501" w:name="_Toc450662891"/>
      <w:bookmarkStart w:id="502" w:name="_Toc29361"/>
      <w:bookmarkStart w:id="503" w:name="_Toc28218"/>
      <w:bookmarkStart w:id="504" w:name="_Toc142508358"/>
      <w:bookmarkStart w:id="505" w:name="_Toc486167706"/>
      <w:bookmarkStart w:id="506" w:name="_Toc486167708"/>
      <w:bookmarkStart w:id="507" w:name="_Toc450662895"/>
      <w:bookmarkStart w:id="508" w:name="_Toc15817"/>
      <w:bookmarkStart w:id="509" w:name="_Toc25246"/>
      <w:bookmarkStart w:id="510" w:name="_Toc9840"/>
      <w:bookmarkStart w:id="511" w:name="_Toc32761_WPSOffice_Level1"/>
      <w:bookmarkStart w:id="512" w:name="_Toc142508361"/>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497"/>
    </w:p>
    <w:bookmarkEnd w:id="498"/>
    <w:bookmarkEnd w:id="499"/>
    <w:bookmarkEnd w:id="500"/>
    <w:bookmarkEnd w:id="501"/>
    <w:bookmarkEnd w:id="502"/>
    <w:bookmarkEnd w:id="503"/>
    <w:bookmarkEnd w:id="504"/>
    <w:bookmarkEnd w:id="505"/>
    <w:p w14:paraId="42E63AC3">
      <w:pPr>
        <w:pStyle w:val="2"/>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一、项目概况</w:t>
      </w:r>
    </w:p>
    <w:p w14:paraId="0C68D6C3">
      <w:pPr>
        <w:adjustRightInd w:val="0"/>
        <w:snapToGrid w:val="0"/>
        <w:spacing w:line="360" w:lineRule="auto"/>
        <w:ind w:firstLine="420"/>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eastAsia="zh-CN"/>
        </w:rPr>
        <w:t>水业大厦项目地处南城CBD，占地面积11604.95㎡，总建筑面积</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96056.38㎡，由两栋塔楼（含18层商务写字楼和4层商业裙楼）和3层地下停车场组成。其中写字楼总面积为</w:t>
      </w:r>
      <w:r>
        <w:rPr>
          <w:rFonts w:hint="eastAsia" w:ascii="宋体" w:hAnsi="宋体" w:eastAsia="宋体" w:cs="宋体"/>
          <w:color w:val="auto"/>
          <w:sz w:val="21"/>
          <w:szCs w:val="21"/>
          <w:highlight w:val="none"/>
          <w:lang w:val="en-US" w:eastAsia="zh-CN"/>
        </w:rPr>
        <w:t>约53090.34</w:t>
      </w:r>
      <w:r>
        <w:rPr>
          <w:rFonts w:hint="eastAsia" w:ascii="宋体" w:hAnsi="宋体" w:eastAsia="宋体" w:cs="宋体"/>
          <w:color w:val="auto"/>
          <w:sz w:val="21"/>
          <w:szCs w:val="21"/>
          <w:highlight w:val="none"/>
          <w:lang w:eastAsia="zh-CN"/>
        </w:rPr>
        <w:t>㎡（5-22层），商业和公共区总面积</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为15107.21㎡（裙楼1-4层），地下室总面积</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为27858.83㎡（主要为地下停车场）；外墙面积（主要材质为玻璃幕墙）约37000㎡。A塔7-11层为酒店，建筑面积约为7</w:t>
      </w:r>
      <w:r>
        <w:rPr>
          <w:rFonts w:hint="eastAsia" w:ascii="宋体" w:hAnsi="宋体" w:eastAsia="宋体" w:cs="宋体"/>
          <w:color w:val="auto"/>
          <w:sz w:val="21"/>
          <w:szCs w:val="21"/>
          <w:highlight w:val="none"/>
          <w:lang w:val="en-US" w:eastAsia="zh-CN"/>
        </w:rPr>
        <w:t>600</w:t>
      </w:r>
      <w:r>
        <w:rPr>
          <w:rFonts w:hint="eastAsia" w:ascii="宋体" w:hAnsi="宋体" w:eastAsia="宋体" w:cs="宋体"/>
          <w:color w:val="auto"/>
          <w:sz w:val="21"/>
          <w:szCs w:val="21"/>
          <w:highlight w:val="none"/>
          <w:lang w:eastAsia="zh-CN"/>
        </w:rPr>
        <w:t>平方，由酒店方自行管理。</w:t>
      </w:r>
    </w:p>
    <w:p w14:paraId="2EECE62A">
      <w:pPr>
        <w:pStyle w:val="18"/>
        <w:adjustRightInd w:val="0"/>
        <w:snapToGrid w:val="0"/>
        <w:spacing w:after="0" w:line="360" w:lineRule="auto"/>
        <w:ind w:firstLine="42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1.1 项目名称：东莞市置拓投资有限公司水业大厦2026-2027年度物业管理服务采购项目</w:t>
      </w:r>
      <w:r>
        <w:rPr>
          <w:rFonts w:hint="eastAsia" w:ascii="宋体" w:hAnsi="宋体" w:eastAsia="宋体" w:cs="宋体"/>
          <w:b w:val="0"/>
          <w:bCs w:val="0"/>
          <w:color w:val="auto"/>
          <w:sz w:val="21"/>
          <w:szCs w:val="21"/>
          <w:highlight w:val="none"/>
          <w:lang w:eastAsia="zh-CN"/>
        </w:rPr>
        <w:t>。</w:t>
      </w:r>
    </w:p>
    <w:p w14:paraId="0F76311B">
      <w:pPr>
        <w:adjustRightInd w:val="0"/>
        <w:snapToGrid w:val="0"/>
        <w:spacing w:line="360" w:lineRule="auto"/>
        <w:ind w:firstLine="42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1.2 招标人：东莞市置拓投资有限公司。</w:t>
      </w:r>
    </w:p>
    <w:p w14:paraId="09B7870E">
      <w:pPr>
        <w:snapToGrid w:val="0"/>
        <w:spacing w:line="360" w:lineRule="auto"/>
        <w:ind w:firstLine="420"/>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1.3物业管理费收费主体：本项目物业管理费、水电费、停车费等费用均由招标人负责收取，物业管理服务内容由中标人实施。</w:t>
      </w:r>
    </w:p>
    <w:p w14:paraId="1CD28C2B">
      <w:pPr>
        <w:snapToGrid w:val="0"/>
        <w:spacing w:line="360" w:lineRule="auto"/>
        <w:ind w:firstLine="420"/>
        <w:rPr>
          <w:rFonts w:hint="eastAsia" w:ascii="宋体" w:hAnsi="宋体" w:eastAsia="宋体" w:cs="宋体"/>
          <w:color w:val="auto"/>
          <w:sz w:val="21"/>
          <w:szCs w:val="21"/>
          <w:highlight w:val="none"/>
          <w:lang w:eastAsia="zh-CN"/>
        </w:rPr>
      </w:pPr>
      <w:bookmarkStart w:id="513" w:name="_Toc17373"/>
      <w:bookmarkStart w:id="514" w:name="_Toc29312"/>
      <w:bookmarkStart w:id="515" w:name="_Toc318"/>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 xml:space="preserve"> 项目</w:t>
      </w:r>
      <w:r>
        <w:rPr>
          <w:rFonts w:hint="eastAsia" w:ascii="宋体" w:hAnsi="宋体" w:eastAsia="宋体" w:cs="宋体"/>
          <w:color w:val="auto"/>
          <w:sz w:val="21"/>
          <w:szCs w:val="21"/>
          <w:highlight w:val="none"/>
        </w:rPr>
        <w:t>建筑技术参数</w:t>
      </w:r>
      <w:bookmarkEnd w:id="513"/>
      <w:bookmarkEnd w:id="514"/>
      <w:bookmarkEnd w:id="515"/>
      <w:r>
        <w:rPr>
          <w:rFonts w:hint="eastAsia" w:ascii="宋体" w:hAnsi="宋体" w:eastAsia="宋体" w:cs="宋体"/>
          <w:color w:val="auto"/>
          <w:sz w:val="21"/>
          <w:szCs w:val="21"/>
          <w:highlight w:val="none"/>
          <w:lang w:eastAsia="zh-CN"/>
        </w:rPr>
        <w:t>：</w:t>
      </w:r>
    </w:p>
    <w:tbl>
      <w:tblPr>
        <w:tblStyle w:val="41"/>
        <w:tblW w:w="9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808"/>
        <w:gridCol w:w="1065"/>
        <w:gridCol w:w="1530"/>
        <w:gridCol w:w="1738"/>
        <w:gridCol w:w="2989"/>
      </w:tblGrid>
      <w:tr w14:paraId="5B3D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6" w:hRule="exact"/>
          <w:jc w:val="center"/>
        </w:trPr>
        <w:tc>
          <w:tcPr>
            <w:tcW w:w="1808" w:type="dxa"/>
            <w:shd w:val="clear" w:color="auto" w:fill="FFFFFF"/>
            <w:vAlign w:val="center"/>
          </w:tcPr>
          <w:p w14:paraId="4192764E">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项目名称及地址</w:t>
            </w:r>
          </w:p>
        </w:tc>
        <w:tc>
          <w:tcPr>
            <w:tcW w:w="7322" w:type="dxa"/>
            <w:gridSpan w:val="4"/>
            <w:shd w:val="clear" w:color="auto" w:fill="FFFFFF"/>
            <w:vAlign w:val="center"/>
          </w:tcPr>
          <w:p w14:paraId="30E28742">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东莞市南城街道宏北路16号水业大厦</w:t>
            </w:r>
          </w:p>
        </w:tc>
      </w:tr>
      <w:tr w14:paraId="59E1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restart"/>
            <w:shd w:val="clear" w:color="auto" w:fill="FFFFFF"/>
            <w:vAlign w:val="center"/>
          </w:tcPr>
          <w:p w14:paraId="5CF527D3">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tc>
        <w:tc>
          <w:tcPr>
            <w:tcW w:w="4333" w:type="dxa"/>
            <w:gridSpan w:val="3"/>
            <w:shd w:val="clear" w:color="auto" w:fill="FFFFFF"/>
            <w:vAlign w:val="bottom"/>
          </w:tcPr>
          <w:p w14:paraId="618DB7FF">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物业类型</w:t>
            </w:r>
          </w:p>
        </w:tc>
        <w:tc>
          <w:tcPr>
            <w:tcW w:w="2989" w:type="dxa"/>
            <w:shd w:val="clear" w:color="auto" w:fill="FFFFFF"/>
            <w:vAlign w:val="bottom"/>
          </w:tcPr>
          <w:p w14:paraId="561A0318">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商业、写字楼、地下停车场</w:t>
            </w:r>
          </w:p>
        </w:tc>
      </w:tr>
      <w:tr w14:paraId="2F21D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vAlign w:val="center"/>
          </w:tcPr>
          <w:p w14:paraId="0AD6F198">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p>
        </w:tc>
        <w:tc>
          <w:tcPr>
            <w:tcW w:w="4333" w:type="dxa"/>
            <w:gridSpan w:val="3"/>
            <w:shd w:val="clear" w:color="auto" w:fill="FFFFFF"/>
            <w:vAlign w:val="bottom"/>
          </w:tcPr>
          <w:p w14:paraId="0C0FE880">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红线面积（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c>
        <w:tc>
          <w:tcPr>
            <w:tcW w:w="2989" w:type="dxa"/>
            <w:shd w:val="clear" w:color="auto" w:fill="FFFFFF"/>
            <w:vAlign w:val="bottom"/>
          </w:tcPr>
          <w:p w14:paraId="68A13D71">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11604.95</w:t>
            </w:r>
          </w:p>
        </w:tc>
      </w:tr>
      <w:tr w14:paraId="4506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vAlign w:val="center"/>
          </w:tcPr>
          <w:p w14:paraId="41C35F6A">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bottom"/>
          </w:tcPr>
          <w:p w14:paraId="2932089A">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总建筑面积（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c>
        <w:tc>
          <w:tcPr>
            <w:tcW w:w="2989" w:type="dxa"/>
            <w:shd w:val="clear" w:color="auto" w:fill="FFFFFF"/>
            <w:vAlign w:val="bottom"/>
          </w:tcPr>
          <w:p w14:paraId="2D24D635">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96056.</w:t>
            </w:r>
            <w:r>
              <w:rPr>
                <w:rFonts w:hint="eastAsia" w:ascii="宋体" w:hAnsi="宋体" w:eastAsia="宋体" w:cs="宋体"/>
                <w:color w:val="auto"/>
                <w:sz w:val="21"/>
                <w:szCs w:val="21"/>
                <w:highlight w:val="none"/>
                <w:lang w:eastAsia="zh-CN"/>
              </w:rPr>
              <w:t>38</w:t>
            </w:r>
          </w:p>
        </w:tc>
      </w:tr>
      <w:tr w14:paraId="7DE5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tcPr>
          <w:p w14:paraId="6FB923F2">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1065" w:type="dxa"/>
            <w:vMerge w:val="restart"/>
            <w:shd w:val="clear" w:color="auto" w:fill="FFFFFF"/>
            <w:vAlign w:val="center"/>
          </w:tcPr>
          <w:p w14:paraId="31F1B89C">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tc>
        <w:tc>
          <w:tcPr>
            <w:tcW w:w="3268" w:type="dxa"/>
            <w:gridSpan w:val="2"/>
            <w:shd w:val="clear" w:color="auto" w:fill="FFFFFF"/>
            <w:vAlign w:val="center"/>
          </w:tcPr>
          <w:p w14:paraId="7E21C2C4">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商业建筑面积（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c>
        <w:tc>
          <w:tcPr>
            <w:tcW w:w="2989" w:type="dxa"/>
            <w:shd w:val="clear" w:color="auto" w:fill="FFFFFF"/>
            <w:vAlign w:val="center"/>
          </w:tcPr>
          <w:p w14:paraId="64A0A5BA">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12528.87</w:t>
            </w:r>
          </w:p>
        </w:tc>
      </w:tr>
      <w:tr w14:paraId="61E6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tcPr>
          <w:p w14:paraId="6ED60BB5">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1065" w:type="dxa"/>
            <w:vMerge w:val="continue"/>
            <w:shd w:val="clear" w:color="auto" w:fill="FFFFFF"/>
            <w:vAlign w:val="center"/>
          </w:tcPr>
          <w:p w14:paraId="5250C729">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3268" w:type="dxa"/>
            <w:gridSpan w:val="2"/>
            <w:shd w:val="clear" w:color="auto" w:fill="FFFFFF"/>
            <w:vAlign w:val="center"/>
          </w:tcPr>
          <w:p w14:paraId="37E9C941">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写字楼、</w:t>
            </w:r>
            <w:r>
              <w:rPr>
                <w:rFonts w:hint="eastAsia" w:ascii="宋体" w:hAnsi="宋体" w:eastAsia="宋体" w:cs="宋体"/>
                <w:color w:val="auto"/>
                <w:sz w:val="21"/>
                <w:szCs w:val="21"/>
                <w:highlight w:val="none"/>
                <w:lang w:val="en-US" w:eastAsia="zh-CN"/>
              </w:rPr>
              <w:t>酒店</w:t>
            </w:r>
            <w:r>
              <w:rPr>
                <w:rFonts w:hint="eastAsia" w:ascii="宋体" w:hAnsi="宋体" w:eastAsia="宋体" w:cs="宋体"/>
                <w:color w:val="auto"/>
                <w:sz w:val="21"/>
                <w:szCs w:val="21"/>
                <w:highlight w:val="none"/>
                <w:lang w:eastAsia="zh-CN"/>
              </w:rPr>
              <w:t>建筑面积（㎡）</w:t>
            </w:r>
          </w:p>
        </w:tc>
        <w:tc>
          <w:tcPr>
            <w:tcW w:w="2989" w:type="dxa"/>
            <w:shd w:val="clear" w:color="auto" w:fill="FFFFFF"/>
            <w:vAlign w:val="center"/>
          </w:tcPr>
          <w:p w14:paraId="35D7570D">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52572.84</w:t>
            </w:r>
          </w:p>
        </w:tc>
      </w:tr>
      <w:tr w14:paraId="242D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tcPr>
          <w:p w14:paraId="5AEB3CB2">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1065" w:type="dxa"/>
            <w:vMerge w:val="continue"/>
            <w:shd w:val="clear" w:color="auto" w:fill="FFFFFF"/>
            <w:vAlign w:val="center"/>
          </w:tcPr>
          <w:p w14:paraId="29185A5E">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3268" w:type="dxa"/>
            <w:gridSpan w:val="2"/>
            <w:shd w:val="clear" w:color="auto" w:fill="FFFFFF"/>
            <w:vAlign w:val="center"/>
          </w:tcPr>
          <w:p w14:paraId="7F729DF8">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地下停车场设备房等面积（㎡）</w:t>
            </w:r>
          </w:p>
        </w:tc>
        <w:tc>
          <w:tcPr>
            <w:tcW w:w="2989" w:type="dxa"/>
            <w:shd w:val="clear" w:color="auto" w:fill="FFFFFF"/>
            <w:vAlign w:val="center"/>
          </w:tcPr>
          <w:p w14:paraId="2684B3D6">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428.5</w:t>
            </w:r>
          </w:p>
        </w:tc>
      </w:tr>
      <w:tr w14:paraId="74F9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tcPr>
          <w:p w14:paraId="3B72316A">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center"/>
          </w:tcPr>
          <w:p w14:paraId="097985C8">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写字楼标准层建筑面积（㎡）</w:t>
            </w:r>
          </w:p>
        </w:tc>
        <w:tc>
          <w:tcPr>
            <w:tcW w:w="2989" w:type="dxa"/>
            <w:shd w:val="clear" w:color="auto" w:fill="FFFFFF"/>
            <w:vAlign w:val="center"/>
          </w:tcPr>
          <w:p w14:paraId="7C519637">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1460</w:t>
            </w:r>
          </w:p>
        </w:tc>
      </w:tr>
      <w:tr w14:paraId="586D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tcPr>
          <w:p w14:paraId="3DD09474">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08DFA64C">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写字楼大堂面积（㎡）</w:t>
            </w:r>
          </w:p>
        </w:tc>
        <w:tc>
          <w:tcPr>
            <w:tcW w:w="2989" w:type="dxa"/>
            <w:shd w:val="clear" w:color="auto" w:fill="FFFFFF"/>
            <w:vAlign w:val="center"/>
          </w:tcPr>
          <w:p w14:paraId="5FA0AE46">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1160.23</w:t>
            </w:r>
          </w:p>
        </w:tc>
      </w:tr>
      <w:tr w14:paraId="3410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6" w:hRule="exact"/>
          <w:jc w:val="center"/>
        </w:trPr>
        <w:tc>
          <w:tcPr>
            <w:tcW w:w="1808" w:type="dxa"/>
            <w:vMerge w:val="continue"/>
            <w:shd w:val="clear" w:color="auto" w:fill="FFFFFF"/>
          </w:tcPr>
          <w:p w14:paraId="70FA01DD">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701FBEA9">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停车场建筑面积（㎡）</w:t>
            </w:r>
          </w:p>
          <w:p w14:paraId="2CCCA6F0">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（不含地下层公共机电设备房面积）</w:t>
            </w:r>
          </w:p>
        </w:tc>
        <w:tc>
          <w:tcPr>
            <w:tcW w:w="2989" w:type="dxa"/>
            <w:shd w:val="clear" w:color="auto" w:fill="FFFFFF"/>
            <w:vAlign w:val="center"/>
          </w:tcPr>
          <w:p w14:paraId="496BA817">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27429.5</w:t>
            </w:r>
          </w:p>
        </w:tc>
      </w:tr>
      <w:tr w14:paraId="267F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tcPr>
          <w:p w14:paraId="357706CD">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4399DB6C">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公共机电设备房面积（㎡）</w:t>
            </w:r>
          </w:p>
        </w:tc>
        <w:tc>
          <w:tcPr>
            <w:tcW w:w="2989" w:type="dxa"/>
            <w:shd w:val="clear" w:color="auto" w:fill="FFFFFF"/>
            <w:vAlign w:val="center"/>
          </w:tcPr>
          <w:p w14:paraId="29C2E6CB">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428.5</w:t>
            </w:r>
          </w:p>
        </w:tc>
      </w:tr>
      <w:tr w14:paraId="4B05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tcPr>
          <w:p w14:paraId="22A1B85F">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0D0DDC12">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公共垃圾房面积（㎡）</w:t>
            </w:r>
          </w:p>
        </w:tc>
        <w:tc>
          <w:tcPr>
            <w:tcW w:w="2989" w:type="dxa"/>
            <w:shd w:val="clear" w:color="auto" w:fill="FFFFFF"/>
            <w:vAlign w:val="center"/>
          </w:tcPr>
          <w:p w14:paraId="4A198A2A">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48.4</w:t>
            </w:r>
          </w:p>
        </w:tc>
      </w:tr>
      <w:tr w14:paraId="47BA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tcPr>
          <w:p w14:paraId="40B6E3D8">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63B708CB">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物业办公室建筑面积（㎡）</w:t>
            </w:r>
          </w:p>
        </w:tc>
        <w:tc>
          <w:tcPr>
            <w:tcW w:w="2989" w:type="dxa"/>
            <w:shd w:val="clear" w:color="auto" w:fill="FFFFFF"/>
            <w:vAlign w:val="center"/>
          </w:tcPr>
          <w:p w14:paraId="37008941">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w:t>
            </w:r>
          </w:p>
        </w:tc>
      </w:tr>
      <w:tr w14:paraId="1CA6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tcPr>
          <w:p w14:paraId="2F11AA2D">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1BD722BE">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外墙面积（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c>
        <w:tc>
          <w:tcPr>
            <w:tcW w:w="2989" w:type="dxa"/>
            <w:shd w:val="clear" w:color="auto" w:fill="FFFFFF"/>
            <w:vAlign w:val="center"/>
          </w:tcPr>
          <w:p w14:paraId="6C525794">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37000</w:t>
            </w:r>
            <w:r>
              <w:rPr>
                <w:rFonts w:hint="eastAsia" w:ascii="宋体" w:hAnsi="宋体" w:eastAsia="宋体" w:cs="宋体"/>
                <w:color w:val="auto"/>
                <w:sz w:val="21"/>
                <w:szCs w:val="21"/>
                <w:highlight w:val="none"/>
                <w:lang w:eastAsia="zh-CN"/>
              </w:rPr>
              <w:t>（非展开面）</w:t>
            </w:r>
          </w:p>
        </w:tc>
      </w:tr>
      <w:tr w14:paraId="34B5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tcPr>
          <w:p w14:paraId="0010AD3F">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09605872">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项目出入口个数</w:t>
            </w:r>
          </w:p>
        </w:tc>
        <w:tc>
          <w:tcPr>
            <w:tcW w:w="2989" w:type="dxa"/>
            <w:shd w:val="clear" w:color="auto" w:fill="FFFFFF"/>
            <w:vAlign w:val="center"/>
          </w:tcPr>
          <w:p w14:paraId="643F5BC2">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2个车道+1个人流主出入口</w:t>
            </w:r>
          </w:p>
        </w:tc>
      </w:tr>
      <w:tr w14:paraId="582D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tcPr>
          <w:p w14:paraId="14DA0266">
            <w:pPr>
              <w:adjustRightInd w:val="0"/>
              <w:snapToGrid w:val="0"/>
              <w:spacing w:line="240" w:lineRule="atLeast"/>
              <w:ind w:firstLine="0" w:firstLineChars="0"/>
              <w:jc w:val="both"/>
              <w:rPr>
                <w:rFonts w:hint="eastAsia" w:ascii="宋体" w:hAnsi="宋体" w:eastAsia="宋体" w:cs="宋体"/>
                <w:color w:val="auto"/>
                <w:sz w:val="21"/>
                <w:szCs w:val="21"/>
                <w:highlight w:val="none"/>
                <w:lang w:eastAsia="zh-CN"/>
              </w:rPr>
            </w:pPr>
          </w:p>
        </w:tc>
        <w:tc>
          <w:tcPr>
            <w:tcW w:w="4333" w:type="dxa"/>
            <w:gridSpan w:val="3"/>
            <w:shd w:val="clear" w:color="auto" w:fill="FFFFFF"/>
            <w:vAlign w:val="center"/>
          </w:tcPr>
          <w:p w14:paraId="60B1D064">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首层建筑物占地面积（㎡）</w:t>
            </w:r>
          </w:p>
        </w:tc>
        <w:tc>
          <w:tcPr>
            <w:tcW w:w="2989" w:type="dxa"/>
            <w:shd w:val="clear" w:color="auto" w:fill="FFFFFF"/>
            <w:vAlign w:val="center"/>
          </w:tcPr>
          <w:p w14:paraId="19BCD5F4">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4178.23</w:t>
            </w:r>
          </w:p>
        </w:tc>
      </w:tr>
      <w:tr w14:paraId="1937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tcPr>
          <w:p w14:paraId="778C5B18">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4623664C">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建筑密度（%）</w:t>
            </w:r>
          </w:p>
        </w:tc>
        <w:tc>
          <w:tcPr>
            <w:tcW w:w="2989" w:type="dxa"/>
            <w:shd w:val="clear" w:color="auto" w:fill="FFFFFF"/>
            <w:vAlign w:val="center"/>
          </w:tcPr>
          <w:p w14:paraId="47345C78">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r>
      <w:tr w14:paraId="5E11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tcPr>
          <w:p w14:paraId="3073849A">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0EEF4D70">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地下/地上层数</w:t>
            </w:r>
          </w:p>
        </w:tc>
        <w:tc>
          <w:tcPr>
            <w:tcW w:w="2989" w:type="dxa"/>
            <w:shd w:val="clear" w:color="auto" w:fill="FFFFFF"/>
            <w:vAlign w:val="center"/>
          </w:tcPr>
          <w:p w14:paraId="0A0B3715">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地下3层/地上22层</w:t>
            </w:r>
          </w:p>
        </w:tc>
      </w:tr>
      <w:tr w14:paraId="2341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tcPr>
          <w:p w14:paraId="12BBED7C">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5681C842">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绿化</w:t>
            </w:r>
            <w:r>
              <w:rPr>
                <w:rFonts w:hint="eastAsia" w:ascii="宋体" w:hAnsi="宋体" w:eastAsia="宋体" w:cs="宋体"/>
                <w:color w:val="auto"/>
                <w:sz w:val="21"/>
                <w:szCs w:val="21"/>
                <w:highlight w:val="none"/>
                <w:lang w:val="zh-CN"/>
              </w:rPr>
              <w:t>率</w:t>
            </w:r>
            <w:r>
              <w:rPr>
                <w:rFonts w:hint="eastAsia" w:ascii="宋体" w:hAnsi="宋体" w:eastAsia="宋体" w:cs="宋体"/>
                <w:color w:val="auto"/>
                <w:sz w:val="21"/>
                <w:szCs w:val="21"/>
                <w:highlight w:val="none"/>
              </w:rPr>
              <w:t>（%）</w:t>
            </w:r>
          </w:p>
        </w:tc>
        <w:tc>
          <w:tcPr>
            <w:tcW w:w="2989" w:type="dxa"/>
            <w:shd w:val="clear" w:color="auto" w:fill="FFFFFF"/>
            <w:vAlign w:val="center"/>
          </w:tcPr>
          <w:p w14:paraId="591FA1B3">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20</w:t>
            </w:r>
          </w:p>
        </w:tc>
      </w:tr>
      <w:tr w14:paraId="1E89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tcPr>
          <w:p w14:paraId="610CBE60">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3D368B26">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最大层（高度）</w:t>
            </w:r>
          </w:p>
        </w:tc>
        <w:tc>
          <w:tcPr>
            <w:tcW w:w="2989" w:type="dxa"/>
            <w:shd w:val="clear" w:color="auto" w:fill="FFFFFF"/>
            <w:vAlign w:val="center"/>
          </w:tcPr>
          <w:p w14:paraId="308336E8">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eastAsia="zh-CN"/>
              </w:rPr>
              <w:t>层</w:t>
            </w:r>
            <w:r>
              <w:rPr>
                <w:rFonts w:hint="eastAsia" w:ascii="宋体" w:hAnsi="宋体" w:eastAsia="宋体" w:cs="宋体"/>
                <w:color w:val="auto"/>
                <w:sz w:val="21"/>
                <w:szCs w:val="21"/>
                <w:highlight w:val="none"/>
              </w:rPr>
              <w:t>（108m）</w:t>
            </w:r>
          </w:p>
        </w:tc>
      </w:tr>
      <w:tr w14:paraId="34FC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tcPr>
          <w:p w14:paraId="18F66BBB">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5E81E81E">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容积率</w:t>
            </w:r>
          </w:p>
        </w:tc>
        <w:tc>
          <w:tcPr>
            <w:tcW w:w="2989" w:type="dxa"/>
            <w:shd w:val="clear" w:color="auto" w:fill="FFFFFF"/>
            <w:vAlign w:val="center"/>
          </w:tcPr>
          <w:p w14:paraId="49231E31">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5.848</w:t>
            </w:r>
          </w:p>
        </w:tc>
      </w:tr>
      <w:tr w14:paraId="1898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restart"/>
            <w:shd w:val="clear" w:color="auto" w:fill="FFFFFF"/>
            <w:vAlign w:val="center"/>
          </w:tcPr>
          <w:p w14:paraId="4CC6D3B1">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车位</w:t>
            </w:r>
          </w:p>
        </w:tc>
        <w:tc>
          <w:tcPr>
            <w:tcW w:w="4333" w:type="dxa"/>
            <w:gridSpan w:val="3"/>
            <w:shd w:val="clear" w:color="auto" w:fill="FFFFFF"/>
            <w:vAlign w:val="center"/>
          </w:tcPr>
          <w:p w14:paraId="07745B51">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地下车库车位数（个）</w:t>
            </w:r>
          </w:p>
        </w:tc>
        <w:tc>
          <w:tcPr>
            <w:tcW w:w="2989" w:type="dxa"/>
            <w:shd w:val="clear" w:color="auto" w:fill="FFFFFF"/>
            <w:vAlign w:val="center"/>
          </w:tcPr>
          <w:p w14:paraId="1259CAD9">
            <w:pPr>
              <w:adjustRightInd w:val="0"/>
              <w:snapToGrid w:val="0"/>
              <w:spacing w:line="240" w:lineRule="atLeas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684</w:t>
            </w:r>
          </w:p>
        </w:tc>
      </w:tr>
      <w:tr w14:paraId="6979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vAlign w:val="center"/>
          </w:tcPr>
          <w:p w14:paraId="1BB004DE">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center"/>
          </w:tcPr>
          <w:p w14:paraId="34CE886D">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室外车位数（个）</w:t>
            </w:r>
          </w:p>
        </w:tc>
        <w:tc>
          <w:tcPr>
            <w:tcW w:w="2989" w:type="dxa"/>
            <w:shd w:val="clear" w:color="auto" w:fill="FFFFFF"/>
            <w:vAlign w:val="center"/>
          </w:tcPr>
          <w:p w14:paraId="055627BA">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r>
      <w:tr w14:paraId="2BFD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vAlign w:val="center"/>
          </w:tcPr>
          <w:p w14:paraId="03FA7C1E">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center"/>
          </w:tcPr>
          <w:p w14:paraId="51FCD5E9">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车场出入口个数</w:t>
            </w:r>
          </w:p>
        </w:tc>
        <w:tc>
          <w:tcPr>
            <w:tcW w:w="2989" w:type="dxa"/>
            <w:shd w:val="clear" w:color="auto" w:fill="FFFFFF"/>
            <w:vAlign w:val="center"/>
          </w:tcPr>
          <w:p w14:paraId="32F29162">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336C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vAlign w:val="center"/>
          </w:tcPr>
          <w:p w14:paraId="112760FE">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center"/>
          </w:tcPr>
          <w:p w14:paraId="60F6212C">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每层地下车位面积（㎡）</w:t>
            </w:r>
          </w:p>
        </w:tc>
        <w:tc>
          <w:tcPr>
            <w:tcW w:w="2989" w:type="dxa"/>
            <w:shd w:val="clear" w:color="auto" w:fill="FFFFFF"/>
            <w:vAlign w:val="center"/>
          </w:tcPr>
          <w:p w14:paraId="7ADC62A2">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9286.27</w:t>
            </w:r>
          </w:p>
        </w:tc>
      </w:tr>
      <w:tr w14:paraId="6DC2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1" w:hRule="exact"/>
          <w:jc w:val="center"/>
        </w:trPr>
        <w:tc>
          <w:tcPr>
            <w:tcW w:w="1808" w:type="dxa"/>
            <w:shd w:val="clear" w:color="auto" w:fill="FFFFFF"/>
            <w:vAlign w:val="center"/>
          </w:tcPr>
          <w:p w14:paraId="5F9F0829">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土建工程</w:t>
            </w:r>
          </w:p>
        </w:tc>
        <w:tc>
          <w:tcPr>
            <w:tcW w:w="4333" w:type="dxa"/>
            <w:gridSpan w:val="3"/>
            <w:shd w:val="clear" w:color="auto" w:fill="FFFFFF"/>
            <w:vAlign w:val="center"/>
          </w:tcPr>
          <w:p w14:paraId="602D39E5">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裙楼及标准层层高（m）</w:t>
            </w:r>
          </w:p>
        </w:tc>
        <w:tc>
          <w:tcPr>
            <w:tcW w:w="2989" w:type="dxa"/>
            <w:shd w:val="clear" w:color="auto" w:fill="FFFFFF"/>
            <w:vAlign w:val="center"/>
          </w:tcPr>
          <w:p w14:paraId="0B7213CD">
            <w:pPr>
              <w:adjustRightInd w:val="0"/>
              <w:snapToGrid w:val="0"/>
              <w:spacing w:line="240" w:lineRule="atLeast"/>
              <w:ind w:left="105" w:leftChars="50" w:right="105" w:rightChars="5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裙楼1-2层6m；3-4层4.5m；</w:t>
            </w:r>
            <w:r>
              <w:rPr>
                <w:rFonts w:hint="eastAsia" w:ascii="宋体" w:hAnsi="宋体" w:eastAsia="宋体" w:cs="宋体"/>
                <w:color w:val="auto"/>
                <w:sz w:val="21"/>
                <w:szCs w:val="21"/>
                <w:highlight w:val="none"/>
                <w:lang w:val="en-US" w:eastAsia="zh-CN"/>
              </w:rPr>
              <w:t>写字楼</w:t>
            </w:r>
            <w:r>
              <w:rPr>
                <w:rFonts w:hint="eastAsia" w:ascii="宋体" w:hAnsi="宋体" w:eastAsia="宋体" w:cs="宋体"/>
                <w:color w:val="auto"/>
                <w:sz w:val="21"/>
                <w:szCs w:val="21"/>
                <w:highlight w:val="none"/>
                <w:lang w:eastAsia="zh-CN"/>
              </w:rPr>
              <w:t>标准层4.3m</w:t>
            </w:r>
          </w:p>
        </w:tc>
      </w:tr>
      <w:tr w14:paraId="0622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6" w:hRule="exact"/>
          <w:jc w:val="center"/>
        </w:trPr>
        <w:tc>
          <w:tcPr>
            <w:tcW w:w="1808" w:type="dxa"/>
            <w:vMerge w:val="restart"/>
            <w:shd w:val="clear" w:color="auto" w:fill="FFFFFF"/>
            <w:vAlign w:val="center"/>
          </w:tcPr>
          <w:p w14:paraId="087B6E52">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给水系统</w:t>
            </w:r>
          </w:p>
        </w:tc>
        <w:tc>
          <w:tcPr>
            <w:tcW w:w="2595" w:type="dxa"/>
            <w:gridSpan w:val="2"/>
            <w:vMerge w:val="restart"/>
            <w:shd w:val="clear" w:color="auto" w:fill="FFFFFF"/>
            <w:vAlign w:val="center"/>
          </w:tcPr>
          <w:p w14:paraId="1E26E474">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给水系统各区域配用水泵台数、流量及功率</w:t>
            </w:r>
          </w:p>
        </w:tc>
        <w:tc>
          <w:tcPr>
            <w:tcW w:w="1738" w:type="dxa"/>
            <w:shd w:val="clear" w:color="auto" w:fill="FFFFFF"/>
            <w:vAlign w:val="center"/>
          </w:tcPr>
          <w:p w14:paraId="21D99BB5">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高区</w:t>
            </w:r>
          </w:p>
        </w:tc>
        <w:tc>
          <w:tcPr>
            <w:tcW w:w="2989" w:type="dxa"/>
            <w:shd w:val="clear" w:color="auto" w:fill="FFFFFF"/>
            <w:vAlign w:val="center"/>
          </w:tcPr>
          <w:p w14:paraId="5179E13A">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3台，72m³/h，22kw/台</w:t>
            </w:r>
          </w:p>
        </w:tc>
      </w:tr>
      <w:tr w14:paraId="6268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vAlign w:val="center"/>
          </w:tcPr>
          <w:p w14:paraId="111F66D2">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2595" w:type="dxa"/>
            <w:gridSpan w:val="2"/>
            <w:vMerge w:val="continue"/>
            <w:shd w:val="clear" w:color="auto" w:fill="FFFFFF"/>
            <w:vAlign w:val="center"/>
          </w:tcPr>
          <w:p w14:paraId="526974FD">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1738" w:type="dxa"/>
            <w:shd w:val="clear" w:color="auto" w:fill="FFFFFF"/>
            <w:vAlign w:val="center"/>
          </w:tcPr>
          <w:p w14:paraId="7346D3CE">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低区</w:t>
            </w:r>
          </w:p>
        </w:tc>
        <w:tc>
          <w:tcPr>
            <w:tcW w:w="2989" w:type="dxa"/>
            <w:shd w:val="clear" w:color="auto" w:fill="FFFFFF"/>
            <w:vAlign w:val="center"/>
          </w:tcPr>
          <w:p w14:paraId="3C9568A4">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3台，72m³/h，15kw/台</w:t>
            </w:r>
          </w:p>
        </w:tc>
      </w:tr>
      <w:tr w14:paraId="5B94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jc w:val="center"/>
        </w:trPr>
        <w:tc>
          <w:tcPr>
            <w:tcW w:w="1808" w:type="dxa"/>
            <w:vMerge w:val="continue"/>
            <w:shd w:val="clear" w:color="auto" w:fill="FFFFFF"/>
            <w:vAlign w:val="center"/>
          </w:tcPr>
          <w:p w14:paraId="3A67FC1F">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center"/>
          </w:tcPr>
          <w:p w14:paraId="3005C786">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地下生活用水池（</w:t>
            </w: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w:t>
            </w:r>
          </w:p>
        </w:tc>
        <w:tc>
          <w:tcPr>
            <w:tcW w:w="2989" w:type="dxa"/>
            <w:shd w:val="clear" w:color="auto" w:fill="FFFFFF"/>
            <w:vAlign w:val="center"/>
          </w:tcPr>
          <w:p w14:paraId="6217C2DF">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-3层78m³（有效容积）</w:t>
            </w:r>
          </w:p>
        </w:tc>
      </w:tr>
      <w:tr w14:paraId="0584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restart"/>
            <w:shd w:val="clear" w:color="auto" w:fill="FFFFFF"/>
            <w:vAlign w:val="center"/>
          </w:tcPr>
          <w:p w14:paraId="225008C4">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排水系统</w:t>
            </w:r>
          </w:p>
        </w:tc>
        <w:tc>
          <w:tcPr>
            <w:tcW w:w="4333" w:type="dxa"/>
            <w:gridSpan w:val="3"/>
            <w:shd w:val="clear" w:color="auto" w:fill="FFFFFF"/>
            <w:vAlign w:val="center"/>
          </w:tcPr>
          <w:p w14:paraId="455EC4FD">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车库排污泵流量/功率/台数</w:t>
            </w:r>
          </w:p>
        </w:tc>
        <w:tc>
          <w:tcPr>
            <w:tcW w:w="2989" w:type="dxa"/>
            <w:shd w:val="clear" w:color="auto" w:fill="FFFFFF"/>
            <w:vAlign w:val="center"/>
          </w:tcPr>
          <w:p w14:paraId="5B3764D6">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40m³</w:t>
            </w:r>
            <w:r>
              <w:rPr>
                <w:rFonts w:hint="eastAsia" w:ascii="宋体" w:hAnsi="宋体" w:eastAsia="宋体" w:cs="宋体"/>
                <w:color w:val="auto"/>
                <w:sz w:val="21"/>
                <w:szCs w:val="21"/>
                <w:highlight w:val="none"/>
              </w:rPr>
              <w:t xml:space="preserve">/h  7.5kw/台  </w:t>
            </w:r>
            <w:r>
              <w:rPr>
                <w:rFonts w:hint="eastAsia" w:ascii="宋体" w:hAnsi="宋体" w:eastAsia="宋体" w:cs="宋体"/>
                <w:color w:val="auto"/>
                <w:sz w:val="21"/>
                <w:szCs w:val="21"/>
                <w:highlight w:val="none"/>
                <w:lang w:eastAsia="zh-CN"/>
              </w:rPr>
              <w:t>28</w:t>
            </w:r>
            <w:r>
              <w:rPr>
                <w:rFonts w:hint="eastAsia" w:ascii="宋体" w:hAnsi="宋体" w:eastAsia="宋体" w:cs="宋体"/>
                <w:color w:val="auto"/>
                <w:sz w:val="21"/>
                <w:szCs w:val="21"/>
                <w:highlight w:val="none"/>
              </w:rPr>
              <w:t>台</w:t>
            </w:r>
          </w:p>
        </w:tc>
      </w:tr>
      <w:tr w14:paraId="5B007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vAlign w:val="center"/>
          </w:tcPr>
          <w:p w14:paraId="5CDADCF9">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7D0406F2">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消防梯排水泵的流量/功率/台数</w:t>
            </w:r>
          </w:p>
        </w:tc>
        <w:tc>
          <w:tcPr>
            <w:tcW w:w="2989" w:type="dxa"/>
            <w:shd w:val="clear" w:color="auto" w:fill="FFFFFF"/>
            <w:vAlign w:val="center"/>
          </w:tcPr>
          <w:p w14:paraId="65F1F647">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40 </w:t>
            </w: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/h  7.5kw/台  8台</w:t>
            </w:r>
          </w:p>
        </w:tc>
      </w:tr>
      <w:tr w14:paraId="160A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vAlign w:val="center"/>
          </w:tcPr>
          <w:p w14:paraId="1D883BC3">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071586DB">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化粪池个数、容量</w:t>
            </w:r>
          </w:p>
        </w:tc>
        <w:tc>
          <w:tcPr>
            <w:tcW w:w="2989" w:type="dxa"/>
            <w:shd w:val="clear" w:color="auto" w:fill="FFFFFF"/>
            <w:vAlign w:val="center"/>
          </w:tcPr>
          <w:p w14:paraId="62B18CDB">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1个，7</w:t>
            </w:r>
            <w:r>
              <w:rPr>
                <w:rFonts w:hint="eastAsia" w:ascii="宋体" w:hAnsi="宋体" w:eastAsia="宋体" w:cs="宋体"/>
                <w:color w:val="auto"/>
                <w:sz w:val="21"/>
                <w:szCs w:val="21"/>
                <w:highlight w:val="none"/>
                <w:lang w:eastAsia="zh-CN"/>
              </w:rPr>
              <w:t>5m³</w:t>
            </w:r>
          </w:p>
        </w:tc>
      </w:tr>
      <w:tr w14:paraId="3C26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vAlign w:val="center"/>
          </w:tcPr>
          <w:p w14:paraId="6EA9EFF7">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3D800B70">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隔油池个数、容量</w:t>
            </w:r>
          </w:p>
        </w:tc>
        <w:tc>
          <w:tcPr>
            <w:tcW w:w="2989" w:type="dxa"/>
            <w:shd w:val="clear" w:color="auto" w:fill="FFFFFF"/>
            <w:vAlign w:val="center"/>
          </w:tcPr>
          <w:p w14:paraId="5093BB25">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1个，4</w:t>
            </w:r>
            <w:r>
              <w:rPr>
                <w:rFonts w:hint="eastAsia" w:ascii="宋体" w:hAnsi="宋体" w:eastAsia="宋体" w:cs="宋体"/>
                <w:color w:val="auto"/>
                <w:sz w:val="21"/>
                <w:szCs w:val="21"/>
                <w:highlight w:val="none"/>
                <w:lang w:eastAsia="zh-CN"/>
              </w:rPr>
              <w:t>m³</w:t>
            </w:r>
          </w:p>
        </w:tc>
      </w:tr>
      <w:tr w14:paraId="517B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5" w:hRule="exact"/>
          <w:jc w:val="center"/>
        </w:trPr>
        <w:tc>
          <w:tcPr>
            <w:tcW w:w="1808" w:type="dxa"/>
            <w:vMerge w:val="continue"/>
            <w:shd w:val="clear" w:color="auto" w:fill="FFFFFF"/>
            <w:vAlign w:val="center"/>
          </w:tcPr>
          <w:p w14:paraId="27703476">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07D18695">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水泵房集水泵台数、功率</w:t>
            </w:r>
          </w:p>
        </w:tc>
        <w:tc>
          <w:tcPr>
            <w:tcW w:w="2989" w:type="dxa"/>
            <w:shd w:val="clear" w:color="auto" w:fill="FFFFFF"/>
            <w:vAlign w:val="center"/>
          </w:tcPr>
          <w:p w14:paraId="7095D961">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低区：3台，15kw/台</w:t>
            </w:r>
          </w:p>
          <w:p w14:paraId="302990DB">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高区：3台，22kw/台</w:t>
            </w:r>
          </w:p>
        </w:tc>
      </w:tr>
      <w:tr w14:paraId="7159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vAlign w:val="center"/>
          </w:tcPr>
          <w:p w14:paraId="12C1EC74">
            <w:pPr>
              <w:adjustRightInd w:val="0"/>
              <w:snapToGrid w:val="0"/>
              <w:spacing w:line="240" w:lineRule="atLeast"/>
              <w:ind w:firstLine="0" w:firstLineChars="0"/>
              <w:jc w:val="both"/>
              <w:rPr>
                <w:rFonts w:hint="eastAsia" w:ascii="宋体" w:hAnsi="宋体" w:eastAsia="宋体" w:cs="宋体"/>
                <w:color w:val="auto"/>
                <w:sz w:val="21"/>
                <w:szCs w:val="21"/>
                <w:highlight w:val="none"/>
                <w:lang w:eastAsia="zh-CN"/>
              </w:rPr>
            </w:pPr>
          </w:p>
        </w:tc>
        <w:tc>
          <w:tcPr>
            <w:tcW w:w="4333" w:type="dxa"/>
            <w:gridSpan w:val="3"/>
            <w:shd w:val="clear" w:color="auto" w:fill="FFFFFF"/>
            <w:vAlign w:val="center"/>
          </w:tcPr>
          <w:p w14:paraId="327FC82A">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其它水泵台数、功率</w:t>
            </w:r>
          </w:p>
        </w:tc>
        <w:tc>
          <w:tcPr>
            <w:tcW w:w="2989" w:type="dxa"/>
            <w:shd w:val="clear" w:color="auto" w:fill="FFFFFF"/>
            <w:vAlign w:val="center"/>
          </w:tcPr>
          <w:p w14:paraId="5EB9760F">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移动式排污泵： 1.5kw  1台</w:t>
            </w:r>
          </w:p>
        </w:tc>
      </w:tr>
      <w:tr w14:paraId="3C3B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restart"/>
            <w:shd w:val="clear" w:color="auto" w:fill="FFFFFF"/>
            <w:vAlign w:val="center"/>
          </w:tcPr>
          <w:p w14:paraId="33BC4EF9">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消防系统</w:t>
            </w:r>
          </w:p>
        </w:tc>
        <w:tc>
          <w:tcPr>
            <w:tcW w:w="4333" w:type="dxa"/>
            <w:gridSpan w:val="3"/>
            <w:shd w:val="clear" w:color="auto" w:fill="FFFFFF"/>
            <w:vAlign w:val="center"/>
          </w:tcPr>
          <w:p w14:paraId="1EB27EDE">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消防供水系统总用水量（m³）</w:t>
            </w:r>
          </w:p>
        </w:tc>
        <w:tc>
          <w:tcPr>
            <w:tcW w:w="2989" w:type="dxa"/>
            <w:shd w:val="clear" w:color="auto" w:fill="FFFFFF"/>
            <w:vAlign w:val="center"/>
          </w:tcPr>
          <w:p w14:paraId="5CFB9BE4">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1008</w:t>
            </w:r>
          </w:p>
        </w:tc>
      </w:tr>
      <w:tr w14:paraId="5274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vAlign w:val="center"/>
          </w:tcPr>
          <w:p w14:paraId="54762D5F">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04957E87">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地下消防水池容积（m³）</w:t>
            </w:r>
          </w:p>
        </w:tc>
        <w:tc>
          <w:tcPr>
            <w:tcW w:w="2989" w:type="dxa"/>
            <w:shd w:val="clear" w:color="auto" w:fill="FFFFFF"/>
            <w:vAlign w:val="center"/>
          </w:tcPr>
          <w:p w14:paraId="01FD70EF">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576</w:t>
            </w:r>
          </w:p>
        </w:tc>
      </w:tr>
      <w:tr w14:paraId="1955A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vAlign w:val="center"/>
          </w:tcPr>
          <w:p w14:paraId="4443E8F7">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763D24BE">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高位消防水箱的容积/数量</w:t>
            </w:r>
          </w:p>
        </w:tc>
        <w:tc>
          <w:tcPr>
            <w:tcW w:w="2989" w:type="dxa"/>
            <w:shd w:val="clear" w:color="auto" w:fill="FFFFFF"/>
            <w:vAlign w:val="center"/>
          </w:tcPr>
          <w:p w14:paraId="38973551">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，1个</w:t>
            </w:r>
          </w:p>
        </w:tc>
      </w:tr>
      <w:tr w14:paraId="4BCD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5" w:hRule="exact"/>
          <w:jc w:val="center"/>
        </w:trPr>
        <w:tc>
          <w:tcPr>
            <w:tcW w:w="1808" w:type="dxa"/>
            <w:vMerge w:val="continue"/>
            <w:shd w:val="clear" w:color="auto" w:fill="FFFFFF"/>
            <w:vAlign w:val="center"/>
          </w:tcPr>
          <w:p w14:paraId="507B7E72">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47ACDF88">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喷淋泵的流量/功率/台数</w:t>
            </w:r>
          </w:p>
        </w:tc>
        <w:tc>
          <w:tcPr>
            <w:tcW w:w="2989" w:type="dxa"/>
            <w:shd w:val="clear" w:color="auto" w:fill="FFFFFF"/>
            <w:vAlign w:val="center"/>
          </w:tcPr>
          <w:p w14:paraId="07DAC31A">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35L/S，90KW，3台</w:t>
            </w:r>
          </w:p>
        </w:tc>
      </w:tr>
      <w:tr w14:paraId="0C9F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7" w:hRule="exact"/>
          <w:jc w:val="center"/>
        </w:trPr>
        <w:tc>
          <w:tcPr>
            <w:tcW w:w="1808" w:type="dxa"/>
            <w:vMerge w:val="continue"/>
            <w:shd w:val="clear" w:color="auto" w:fill="FFFFFF"/>
            <w:vAlign w:val="center"/>
          </w:tcPr>
          <w:p w14:paraId="480CA5DA">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6D5B786F">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消火栓泵的流量/功率/台数</w:t>
            </w:r>
          </w:p>
        </w:tc>
        <w:tc>
          <w:tcPr>
            <w:tcW w:w="2989" w:type="dxa"/>
            <w:shd w:val="clear" w:color="auto" w:fill="FFFFFF"/>
            <w:vAlign w:val="center"/>
          </w:tcPr>
          <w:p w14:paraId="0606452D">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40L/S，110KW，2台</w:t>
            </w:r>
          </w:p>
        </w:tc>
      </w:tr>
      <w:tr w14:paraId="4192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8" w:hRule="exact"/>
          <w:jc w:val="center"/>
        </w:trPr>
        <w:tc>
          <w:tcPr>
            <w:tcW w:w="1808" w:type="dxa"/>
            <w:vMerge w:val="restart"/>
            <w:shd w:val="clear" w:color="auto" w:fill="FFFFFF"/>
            <w:vAlign w:val="center"/>
          </w:tcPr>
          <w:p w14:paraId="1661697A">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项目所设计的安全</w:t>
            </w:r>
          </w:p>
          <w:p w14:paraId="1CA3741F">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防范系统</w:t>
            </w:r>
          </w:p>
          <w:p w14:paraId="2ED1DEE6">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（有或无）</w:t>
            </w:r>
          </w:p>
        </w:tc>
        <w:tc>
          <w:tcPr>
            <w:tcW w:w="4333" w:type="dxa"/>
            <w:gridSpan w:val="3"/>
            <w:shd w:val="clear" w:color="auto" w:fill="FFFFFF"/>
            <w:vAlign w:val="center"/>
          </w:tcPr>
          <w:p w14:paraId="5F7BA927">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周界防范报警系统</w:t>
            </w:r>
          </w:p>
        </w:tc>
        <w:tc>
          <w:tcPr>
            <w:tcW w:w="2989" w:type="dxa"/>
            <w:shd w:val="clear" w:color="auto" w:fill="FFFFFF"/>
            <w:vAlign w:val="center"/>
          </w:tcPr>
          <w:p w14:paraId="60385D25">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r w14:paraId="57A9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vAlign w:val="center"/>
          </w:tcPr>
          <w:p w14:paraId="0EE18FFA">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center"/>
          </w:tcPr>
          <w:p w14:paraId="38A9E160">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综合出入口管理系统</w:t>
            </w:r>
          </w:p>
        </w:tc>
        <w:tc>
          <w:tcPr>
            <w:tcW w:w="2989" w:type="dxa"/>
            <w:shd w:val="clear" w:color="auto" w:fill="FFFFFF"/>
            <w:vAlign w:val="center"/>
          </w:tcPr>
          <w:p w14:paraId="4F2472D3">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w:t>
            </w:r>
          </w:p>
        </w:tc>
      </w:tr>
      <w:tr w14:paraId="7CC5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vAlign w:val="center"/>
          </w:tcPr>
          <w:p w14:paraId="6D7EAE08">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center"/>
          </w:tcPr>
          <w:p w14:paraId="6244A2B7">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停车场管理系统</w:t>
            </w:r>
          </w:p>
        </w:tc>
        <w:tc>
          <w:tcPr>
            <w:tcW w:w="2989" w:type="dxa"/>
            <w:shd w:val="clear" w:color="auto" w:fill="FFFFFF"/>
            <w:vAlign w:val="center"/>
          </w:tcPr>
          <w:p w14:paraId="34BEDBED">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w:t>
            </w:r>
          </w:p>
        </w:tc>
      </w:tr>
      <w:tr w14:paraId="48082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vAlign w:val="center"/>
          </w:tcPr>
          <w:p w14:paraId="3B6D0B5A">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center"/>
          </w:tcPr>
          <w:p w14:paraId="7EEE3D9F">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无线对讲管理系统</w:t>
            </w:r>
          </w:p>
        </w:tc>
        <w:tc>
          <w:tcPr>
            <w:tcW w:w="2989" w:type="dxa"/>
            <w:shd w:val="clear" w:color="auto" w:fill="FFFFFF"/>
            <w:vAlign w:val="center"/>
          </w:tcPr>
          <w:p w14:paraId="69C87D42">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w:t>
            </w:r>
          </w:p>
        </w:tc>
      </w:tr>
      <w:tr w14:paraId="0A51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vAlign w:val="center"/>
          </w:tcPr>
          <w:p w14:paraId="7C4996E7">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center"/>
          </w:tcPr>
          <w:p w14:paraId="6E0C9F86">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紧急报警系统</w:t>
            </w:r>
          </w:p>
        </w:tc>
        <w:tc>
          <w:tcPr>
            <w:tcW w:w="2989" w:type="dxa"/>
            <w:shd w:val="clear" w:color="auto" w:fill="FFFFFF"/>
            <w:vAlign w:val="center"/>
          </w:tcPr>
          <w:p w14:paraId="2C18B084">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r w14:paraId="12C5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vAlign w:val="center"/>
          </w:tcPr>
          <w:p w14:paraId="57467001">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center"/>
          </w:tcPr>
          <w:p w14:paraId="38909DD8">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视频</w:t>
            </w:r>
            <w:r>
              <w:rPr>
                <w:rFonts w:hint="eastAsia" w:ascii="宋体" w:hAnsi="宋体" w:eastAsia="宋体" w:cs="宋体"/>
                <w:color w:val="auto"/>
                <w:sz w:val="21"/>
                <w:szCs w:val="21"/>
                <w:highlight w:val="none"/>
              </w:rPr>
              <w:t>监控系统</w:t>
            </w:r>
          </w:p>
        </w:tc>
        <w:tc>
          <w:tcPr>
            <w:tcW w:w="2989" w:type="dxa"/>
            <w:shd w:val="clear" w:color="auto" w:fill="FFFFFF"/>
            <w:vAlign w:val="center"/>
          </w:tcPr>
          <w:p w14:paraId="7E69F45D">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bl>
    <w:p w14:paraId="3E7FEE96">
      <w:pPr>
        <w:adjustRightInd w:val="0"/>
        <w:snapToGrid w:val="0"/>
        <w:spacing w:line="240" w:lineRule="atLeast"/>
        <w:ind w:firstLine="0" w:firstLineChars="0"/>
        <w:jc w:val="center"/>
        <w:rPr>
          <w:rFonts w:hint="eastAsia" w:ascii="宋体" w:hAnsi="宋体" w:eastAsia="宋体" w:cs="宋体"/>
          <w:color w:val="auto"/>
          <w:sz w:val="21"/>
          <w:szCs w:val="21"/>
          <w:highlight w:val="none"/>
        </w:rPr>
        <w:sectPr>
          <w:headerReference r:id="rId4" w:type="first"/>
          <w:footerReference r:id="rId6" w:type="first"/>
          <w:headerReference r:id="rId3" w:type="default"/>
          <w:footerReference r:id="rId5" w:type="default"/>
          <w:pgSz w:w="12240" w:h="15840"/>
          <w:pgMar w:top="1191" w:right="1043" w:bottom="1191" w:left="1043" w:header="720" w:footer="720" w:gutter="0"/>
          <w:pgNumType w:fmt="decimal"/>
          <w:cols w:space="720" w:num="1"/>
          <w:docGrid w:linePitch="326" w:charSpace="0"/>
        </w:sectPr>
      </w:pPr>
    </w:p>
    <w:tbl>
      <w:tblPr>
        <w:tblStyle w:val="41"/>
        <w:tblW w:w="9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27"/>
        <w:gridCol w:w="981"/>
        <w:gridCol w:w="2176"/>
        <w:gridCol w:w="1353"/>
        <w:gridCol w:w="804"/>
        <w:gridCol w:w="471"/>
        <w:gridCol w:w="1294"/>
        <w:gridCol w:w="1224"/>
      </w:tblGrid>
      <w:tr w14:paraId="537A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restart"/>
            <w:shd w:val="clear" w:color="auto" w:fill="FFFFFF"/>
            <w:vAlign w:val="center"/>
          </w:tcPr>
          <w:p w14:paraId="2D89F960">
            <w:pPr>
              <w:pStyle w:val="18"/>
              <w:rPr>
                <w:rFonts w:hint="eastAsia"/>
                <w:color w:val="auto"/>
              </w:rPr>
            </w:pPr>
          </w:p>
        </w:tc>
        <w:tc>
          <w:tcPr>
            <w:tcW w:w="4333" w:type="dxa"/>
            <w:gridSpan w:val="3"/>
            <w:shd w:val="clear" w:color="auto" w:fill="FFFFFF"/>
            <w:vAlign w:val="center"/>
          </w:tcPr>
          <w:p w14:paraId="570738B6">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bookmarkStart w:id="516" w:name="OLE_LINK18"/>
            <w:r>
              <w:rPr>
                <w:rFonts w:hint="eastAsia" w:ascii="宋体" w:hAnsi="宋体" w:eastAsia="宋体" w:cs="宋体"/>
                <w:color w:val="auto"/>
                <w:sz w:val="21"/>
                <w:szCs w:val="21"/>
                <w:highlight w:val="none"/>
                <w:lang w:eastAsia="zh-CN"/>
              </w:rPr>
              <w:t>电子</w:t>
            </w:r>
            <w:r>
              <w:rPr>
                <w:rFonts w:hint="eastAsia" w:ascii="宋体" w:hAnsi="宋体" w:eastAsia="宋体" w:cs="宋体"/>
                <w:color w:val="auto"/>
                <w:sz w:val="21"/>
                <w:szCs w:val="21"/>
                <w:highlight w:val="none"/>
              </w:rPr>
              <w:t>巡更管理系统</w:t>
            </w:r>
            <w:bookmarkEnd w:id="516"/>
          </w:p>
        </w:tc>
        <w:tc>
          <w:tcPr>
            <w:tcW w:w="2989" w:type="dxa"/>
            <w:gridSpan w:val="3"/>
            <w:shd w:val="clear" w:color="auto" w:fill="FFFFFF"/>
            <w:vAlign w:val="center"/>
          </w:tcPr>
          <w:p w14:paraId="3F2DB044">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r w14:paraId="0735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496A8B97">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center"/>
          </w:tcPr>
          <w:p w14:paraId="0CD20546">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电梯五方通话</w:t>
            </w:r>
            <w:r>
              <w:rPr>
                <w:rFonts w:hint="eastAsia" w:ascii="宋体" w:hAnsi="宋体" w:eastAsia="宋体" w:cs="宋体"/>
                <w:color w:val="auto"/>
                <w:sz w:val="21"/>
                <w:szCs w:val="21"/>
                <w:highlight w:val="none"/>
              </w:rPr>
              <w:t>系统</w:t>
            </w:r>
          </w:p>
        </w:tc>
        <w:tc>
          <w:tcPr>
            <w:tcW w:w="2989" w:type="dxa"/>
            <w:gridSpan w:val="3"/>
            <w:shd w:val="clear" w:color="auto" w:fill="FFFFFF"/>
            <w:vAlign w:val="center"/>
          </w:tcPr>
          <w:p w14:paraId="41F5BAE6">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r w14:paraId="012C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5" w:hRule="exact"/>
          <w:jc w:val="center"/>
        </w:trPr>
        <w:tc>
          <w:tcPr>
            <w:tcW w:w="1808" w:type="dxa"/>
            <w:gridSpan w:val="2"/>
            <w:vMerge w:val="restart"/>
            <w:shd w:val="clear" w:color="auto" w:fill="FFFFFF"/>
            <w:vAlign w:val="center"/>
          </w:tcPr>
          <w:p w14:paraId="5A70C03D">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智能化设计综合</w:t>
            </w:r>
          </w:p>
          <w:p w14:paraId="01A2F25B">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管理系统</w:t>
            </w:r>
          </w:p>
        </w:tc>
        <w:tc>
          <w:tcPr>
            <w:tcW w:w="4333" w:type="dxa"/>
            <w:gridSpan w:val="3"/>
            <w:shd w:val="clear" w:color="auto" w:fill="FFFFFF"/>
            <w:vAlign w:val="center"/>
          </w:tcPr>
          <w:p w14:paraId="39427499">
            <w:pPr>
              <w:adjustRightInd w:val="0"/>
              <w:snapToGrid w:val="0"/>
              <w:spacing w:line="240" w:lineRule="atLeast"/>
              <w:ind w:firstLine="0" w:firstLineChars="0"/>
              <w:jc w:val="center"/>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eastAsia="zh-CN"/>
              </w:rPr>
              <w:t>楼宇自控系统</w:t>
            </w:r>
          </w:p>
        </w:tc>
        <w:tc>
          <w:tcPr>
            <w:tcW w:w="2989" w:type="dxa"/>
            <w:gridSpan w:val="3"/>
            <w:shd w:val="clear" w:color="auto" w:fill="FFFFFF"/>
            <w:vAlign w:val="center"/>
          </w:tcPr>
          <w:p w14:paraId="7A8D44E9">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r w14:paraId="134E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14972A10">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613E9746">
            <w:pPr>
              <w:adjustRightInd w:val="0"/>
              <w:snapToGrid w:val="0"/>
              <w:spacing w:line="240" w:lineRule="atLeast"/>
              <w:ind w:firstLine="0" w:firstLineChars="0"/>
              <w:jc w:val="center"/>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rPr>
              <w:t>能</w:t>
            </w:r>
            <w:r>
              <w:rPr>
                <w:rFonts w:hint="eastAsia" w:ascii="宋体" w:hAnsi="宋体" w:eastAsia="宋体" w:cs="宋体"/>
                <w:color w:val="auto"/>
                <w:sz w:val="21"/>
                <w:szCs w:val="21"/>
                <w:highlight w:val="none"/>
                <w:lang w:eastAsia="zh-CN"/>
              </w:rPr>
              <w:t>耗</w:t>
            </w:r>
            <w:r>
              <w:rPr>
                <w:rFonts w:hint="eastAsia" w:ascii="宋体" w:hAnsi="宋体" w:eastAsia="宋体" w:cs="宋体"/>
                <w:color w:val="auto"/>
                <w:sz w:val="21"/>
                <w:szCs w:val="21"/>
                <w:highlight w:val="none"/>
              </w:rPr>
              <w:t>管理系统</w:t>
            </w:r>
          </w:p>
        </w:tc>
        <w:tc>
          <w:tcPr>
            <w:tcW w:w="2989" w:type="dxa"/>
            <w:gridSpan w:val="3"/>
            <w:shd w:val="clear" w:color="auto" w:fill="FFFFFF"/>
            <w:vAlign w:val="center"/>
          </w:tcPr>
          <w:p w14:paraId="2BC39059">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r w14:paraId="42767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56467365">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25DD9E22">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背景音乐</w:t>
            </w:r>
            <w:r>
              <w:rPr>
                <w:rFonts w:hint="eastAsia" w:ascii="宋体" w:hAnsi="宋体" w:eastAsia="宋体" w:cs="宋体"/>
                <w:color w:val="auto"/>
                <w:sz w:val="21"/>
                <w:szCs w:val="21"/>
                <w:highlight w:val="none"/>
                <w:lang w:eastAsia="zh-CN"/>
              </w:rPr>
              <w:t>及广播系统</w:t>
            </w:r>
          </w:p>
        </w:tc>
        <w:tc>
          <w:tcPr>
            <w:tcW w:w="2989" w:type="dxa"/>
            <w:gridSpan w:val="3"/>
            <w:shd w:val="clear" w:color="auto" w:fill="FFFFFF"/>
            <w:vAlign w:val="center"/>
          </w:tcPr>
          <w:p w14:paraId="251EC6F0">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w:t>
            </w:r>
          </w:p>
        </w:tc>
      </w:tr>
      <w:tr w14:paraId="21B55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0018BE49">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759AD252">
            <w:pPr>
              <w:adjustRightInd w:val="0"/>
              <w:snapToGrid w:val="0"/>
              <w:spacing w:line="240" w:lineRule="atLeast"/>
              <w:ind w:firstLine="0" w:firstLineChars="0"/>
              <w:jc w:val="center"/>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eastAsia="zh-CN"/>
              </w:rPr>
              <w:t>智能照明</w:t>
            </w:r>
            <w:r>
              <w:rPr>
                <w:rFonts w:hint="eastAsia" w:ascii="宋体" w:hAnsi="宋体" w:eastAsia="宋体" w:cs="宋体"/>
                <w:color w:val="auto"/>
                <w:sz w:val="21"/>
                <w:szCs w:val="21"/>
                <w:highlight w:val="none"/>
              </w:rPr>
              <w:t>系统</w:t>
            </w:r>
          </w:p>
        </w:tc>
        <w:tc>
          <w:tcPr>
            <w:tcW w:w="2989" w:type="dxa"/>
            <w:gridSpan w:val="3"/>
            <w:shd w:val="clear" w:color="auto" w:fill="FFFFFF"/>
            <w:vAlign w:val="center"/>
          </w:tcPr>
          <w:p w14:paraId="5BA3A768">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r w14:paraId="2630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4E53F8EF">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20E03D6A">
            <w:pPr>
              <w:adjustRightInd w:val="0"/>
              <w:snapToGrid w:val="0"/>
              <w:spacing w:line="240" w:lineRule="atLeast"/>
              <w:ind w:firstLine="0" w:firstLineChars="0"/>
              <w:jc w:val="center"/>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rPr>
              <w:t>电梯运行管理系统</w:t>
            </w:r>
          </w:p>
        </w:tc>
        <w:tc>
          <w:tcPr>
            <w:tcW w:w="2989" w:type="dxa"/>
            <w:gridSpan w:val="3"/>
            <w:shd w:val="clear" w:color="auto" w:fill="FFFFFF"/>
            <w:vAlign w:val="center"/>
          </w:tcPr>
          <w:p w14:paraId="4D5C38F5">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r w14:paraId="392B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38282F87">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07FDDC41">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光纤入户系统</w:t>
            </w:r>
          </w:p>
        </w:tc>
        <w:tc>
          <w:tcPr>
            <w:tcW w:w="2989" w:type="dxa"/>
            <w:gridSpan w:val="3"/>
            <w:shd w:val="clear" w:color="auto" w:fill="FFFFFF"/>
            <w:vAlign w:val="center"/>
          </w:tcPr>
          <w:p w14:paraId="77FF4DA5">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w:t>
            </w:r>
          </w:p>
        </w:tc>
      </w:tr>
      <w:tr w14:paraId="2362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205FF2ED">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4A276062">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综合布线系统</w:t>
            </w:r>
          </w:p>
        </w:tc>
        <w:tc>
          <w:tcPr>
            <w:tcW w:w="2989" w:type="dxa"/>
            <w:gridSpan w:val="3"/>
            <w:shd w:val="clear" w:color="auto" w:fill="FFFFFF"/>
            <w:vAlign w:val="center"/>
          </w:tcPr>
          <w:p w14:paraId="402722A2">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w:t>
            </w:r>
          </w:p>
        </w:tc>
      </w:tr>
      <w:tr w14:paraId="21A6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2A9C2E9F">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4BB3E137">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计算机网络系统</w:t>
            </w:r>
          </w:p>
        </w:tc>
        <w:tc>
          <w:tcPr>
            <w:tcW w:w="2989" w:type="dxa"/>
            <w:gridSpan w:val="3"/>
            <w:shd w:val="clear" w:color="auto" w:fill="FFFFFF"/>
            <w:vAlign w:val="center"/>
          </w:tcPr>
          <w:p w14:paraId="3E93CA0C">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w:t>
            </w:r>
          </w:p>
        </w:tc>
      </w:tr>
      <w:tr w14:paraId="3DC3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4BB7C74A">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6480C2C6">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无线WIFI系统</w:t>
            </w:r>
          </w:p>
        </w:tc>
        <w:tc>
          <w:tcPr>
            <w:tcW w:w="2989" w:type="dxa"/>
            <w:gridSpan w:val="3"/>
            <w:shd w:val="clear" w:color="auto" w:fill="FFFFFF"/>
            <w:vAlign w:val="center"/>
          </w:tcPr>
          <w:p w14:paraId="1400C0F4">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w:t>
            </w:r>
          </w:p>
        </w:tc>
      </w:tr>
      <w:tr w14:paraId="3AE2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15081CE1">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36F9D401">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信息引导与发布系统</w:t>
            </w:r>
          </w:p>
        </w:tc>
        <w:tc>
          <w:tcPr>
            <w:tcW w:w="2989" w:type="dxa"/>
            <w:gridSpan w:val="3"/>
            <w:shd w:val="clear" w:color="auto" w:fill="FFFFFF"/>
            <w:vAlign w:val="center"/>
          </w:tcPr>
          <w:p w14:paraId="1514E645">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w:t>
            </w:r>
          </w:p>
        </w:tc>
      </w:tr>
      <w:tr w14:paraId="472C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72C25814">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3F2B3A95">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多媒体会议系统</w:t>
            </w:r>
          </w:p>
        </w:tc>
        <w:tc>
          <w:tcPr>
            <w:tcW w:w="2989" w:type="dxa"/>
            <w:gridSpan w:val="3"/>
            <w:shd w:val="clear" w:color="auto" w:fill="FFFFFF"/>
            <w:vAlign w:val="center"/>
          </w:tcPr>
          <w:p w14:paraId="4D3E2B88">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w:t>
            </w:r>
          </w:p>
        </w:tc>
      </w:tr>
      <w:tr w14:paraId="6E9F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2" w:hRule="exact"/>
          <w:jc w:val="center"/>
        </w:trPr>
        <w:tc>
          <w:tcPr>
            <w:tcW w:w="1808" w:type="dxa"/>
            <w:gridSpan w:val="2"/>
            <w:vMerge w:val="continue"/>
            <w:shd w:val="clear" w:color="auto" w:fill="FFFFFF"/>
            <w:vAlign w:val="center"/>
          </w:tcPr>
          <w:p w14:paraId="618E8AAE">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6150050E">
            <w:pPr>
              <w:tabs>
                <w:tab w:val="left" w:pos="1491"/>
                <w:tab w:val="center" w:pos="2216"/>
              </w:tabs>
              <w:adjustRightInd w:val="0"/>
              <w:snapToGrid w:val="0"/>
              <w:spacing w:line="240" w:lineRule="atLeast"/>
              <w:ind w:firstLine="1470" w:firstLineChars="7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5G信号覆盖</w:t>
            </w:r>
          </w:p>
          <w:p w14:paraId="06AC2B61">
            <w:pPr>
              <w:adjustRightInd w:val="0"/>
              <w:snapToGrid w:val="0"/>
              <w:spacing w:line="240" w:lineRule="atLeast"/>
              <w:ind w:firstLine="0" w:firstLineChars="0"/>
              <w:jc w:val="both"/>
              <w:rPr>
                <w:rFonts w:hint="eastAsia" w:ascii="宋体" w:hAnsi="宋体" w:eastAsia="宋体" w:cs="宋体"/>
                <w:color w:val="auto"/>
                <w:sz w:val="21"/>
                <w:szCs w:val="21"/>
                <w:highlight w:val="none"/>
                <w:lang w:val="zh-TW" w:eastAsia="zh-TW"/>
              </w:rPr>
            </w:pPr>
          </w:p>
        </w:tc>
        <w:tc>
          <w:tcPr>
            <w:tcW w:w="2989" w:type="dxa"/>
            <w:gridSpan w:val="3"/>
            <w:shd w:val="clear" w:color="auto" w:fill="FFFFFF"/>
            <w:vAlign w:val="center"/>
          </w:tcPr>
          <w:p w14:paraId="3D2D23DD">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r w14:paraId="3304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5" w:hRule="exact"/>
          <w:jc w:val="center"/>
        </w:trPr>
        <w:tc>
          <w:tcPr>
            <w:tcW w:w="1808" w:type="dxa"/>
            <w:gridSpan w:val="2"/>
            <w:vMerge w:val="restart"/>
            <w:shd w:val="clear" w:color="auto" w:fill="FFFFFF"/>
            <w:vAlign w:val="center"/>
          </w:tcPr>
          <w:p w14:paraId="6CFF1239">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环保设计</w:t>
            </w:r>
          </w:p>
        </w:tc>
        <w:tc>
          <w:tcPr>
            <w:tcW w:w="4333" w:type="dxa"/>
            <w:gridSpan w:val="3"/>
            <w:shd w:val="clear" w:color="auto" w:fill="FFFFFF"/>
            <w:vAlign w:val="center"/>
          </w:tcPr>
          <w:p w14:paraId="7CA8249F">
            <w:pPr>
              <w:adjustRightInd w:val="0"/>
              <w:snapToGrid w:val="0"/>
              <w:spacing w:line="240" w:lineRule="atLeast"/>
              <w:ind w:firstLine="0" w:firstLineChars="0"/>
              <w:jc w:val="center"/>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eastAsia="zh-CN"/>
              </w:rPr>
              <w:t>厨房排烟道个数/面积；风机个数/功率/排风量</w:t>
            </w:r>
          </w:p>
        </w:tc>
        <w:tc>
          <w:tcPr>
            <w:tcW w:w="2989" w:type="dxa"/>
            <w:gridSpan w:val="3"/>
            <w:shd w:val="clear" w:color="auto" w:fill="FFFFFF"/>
            <w:vAlign w:val="center"/>
          </w:tcPr>
          <w:p w14:paraId="51770044">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bookmarkStart w:id="517" w:name="OLE_LINK19"/>
            <w:r>
              <w:rPr>
                <w:rFonts w:hint="eastAsia" w:ascii="宋体" w:hAnsi="宋体" w:eastAsia="宋体" w:cs="宋体"/>
                <w:color w:val="auto"/>
                <w:sz w:val="21"/>
                <w:szCs w:val="21"/>
                <w:highlight w:val="none"/>
              </w:rPr>
              <w:t>烟道1个</w:t>
            </w:r>
            <w:bookmarkEnd w:id="517"/>
            <w:r>
              <w:rPr>
                <w:rFonts w:hint="eastAsia" w:ascii="宋体" w:hAnsi="宋体" w:eastAsia="宋体" w:cs="宋体"/>
                <w:color w:val="auto"/>
                <w:sz w:val="21"/>
                <w:szCs w:val="21"/>
                <w:highlight w:val="none"/>
              </w:rPr>
              <w:t>（无风机）</w:t>
            </w:r>
          </w:p>
        </w:tc>
      </w:tr>
      <w:tr w14:paraId="2B04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3" w:hRule="exact"/>
          <w:jc w:val="center"/>
        </w:trPr>
        <w:tc>
          <w:tcPr>
            <w:tcW w:w="1808" w:type="dxa"/>
            <w:gridSpan w:val="2"/>
            <w:vMerge w:val="continue"/>
            <w:shd w:val="clear" w:color="auto" w:fill="FFFFFF"/>
            <w:vAlign w:val="center"/>
          </w:tcPr>
          <w:p w14:paraId="5A9247F5">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center"/>
          </w:tcPr>
          <w:p w14:paraId="24E08D6F">
            <w:pPr>
              <w:pStyle w:val="211"/>
              <w:adjustRightInd w:val="0"/>
              <w:snapToGrid w:val="0"/>
              <w:spacing w:after="0" w:line="240" w:lineRule="atLeas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卫生间排气扇数量</w:t>
            </w:r>
          </w:p>
        </w:tc>
        <w:tc>
          <w:tcPr>
            <w:tcW w:w="2989" w:type="dxa"/>
            <w:gridSpan w:val="3"/>
            <w:shd w:val="clear" w:color="auto" w:fill="FFFFFF"/>
            <w:vAlign w:val="center"/>
          </w:tcPr>
          <w:p w14:paraId="195853D1">
            <w:pPr>
              <w:pStyle w:val="211"/>
              <w:adjustRightInd w:val="0"/>
              <w:snapToGrid w:val="0"/>
              <w:spacing w:after="0" w:line="240" w:lineRule="atLeast"/>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295个</w:t>
            </w:r>
          </w:p>
        </w:tc>
      </w:tr>
      <w:tr w14:paraId="1D01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7" w:hRule="exact"/>
          <w:jc w:val="center"/>
        </w:trPr>
        <w:tc>
          <w:tcPr>
            <w:tcW w:w="1808" w:type="dxa"/>
            <w:gridSpan w:val="2"/>
            <w:vMerge w:val="continue"/>
            <w:shd w:val="clear" w:color="auto" w:fill="FFFFFF"/>
            <w:vAlign w:val="center"/>
          </w:tcPr>
          <w:p w14:paraId="3053457B">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vMerge w:val="restart"/>
            <w:shd w:val="clear" w:color="auto" w:fill="FFFFFF"/>
            <w:vAlign w:val="center"/>
          </w:tcPr>
          <w:p w14:paraId="5FFAE409">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标准层/其它楼层公共卫生间个数</w:t>
            </w:r>
          </w:p>
        </w:tc>
        <w:tc>
          <w:tcPr>
            <w:tcW w:w="2989" w:type="dxa"/>
            <w:gridSpan w:val="3"/>
            <w:shd w:val="clear" w:color="auto" w:fill="FFFFFF"/>
            <w:vAlign w:val="center"/>
          </w:tcPr>
          <w:p w14:paraId="5A34F7B7">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1层：3个；2-3层：7个；4层：4个</w:t>
            </w:r>
          </w:p>
        </w:tc>
      </w:tr>
      <w:tr w14:paraId="7F54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9" w:hRule="exact"/>
          <w:jc w:val="center"/>
        </w:trPr>
        <w:tc>
          <w:tcPr>
            <w:tcW w:w="1808" w:type="dxa"/>
            <w:gridSpan w:val="2"/>
            <w:vMerge w:val="continue"/>
            <w:shd w:val="clear" w:color="auto" w:fill="FFFFFF"/>
            <w:vAlign w:val="center"/>
          </w:tcPr>
          <w:p w14:paraId="45FC61CC">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p>
        </w:tc>
        <w:tc>
          <w:tcPr>
            <w:tcW w:w="4333" w:type="dxa"/>
            <w:gridSpan w:val="3"/>
            <w:vMerge w:val="continue"/>
            <w:shd w:val="clear" w:color="auto" w:fill="FFFFFF"/>
            <w:vAlign w:val="bottom"/>
          </w:tcPr>
          <w:p w14:paraId="3FAB171E">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p>
        </w:tc>
        <w:tc>
          <w:tcPr>
            <w:tcW w:w="2989" w:type="dxa"/>
            <w:gridSpan w:val="3"/>
            <w:shd w:val="clear" w:color="auto" w:fill="FFFFFF"/>
            <w:vAlign w:val="center"/>
          </w:tcPr>
          <w:p w14:paraId="5239055D">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标准层：4个</w:t>
            </w:r>
          </w:p>
        </w:tc>
      </w:tr>
      <w:tr w14:paraId="4835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restart"/>
            <w:shd w:val="clear" w:color="auto" w:fill="FFFFFF"/>
            <w:vAlign w:val="center"/>
          </w:tcPr>
          <w:p w14:paraId="1DE872BA">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电梯设备</w:t>
            </w:r>
          </w:p>
        </w:tc>
        <w:tc>
          <w:tcPr>
            <w:tcW w:w="2176" w:type="dxa"/>
            <w:vMerge w:val="restart"/>
            <w:shd w:val="clear" w:color="auto" w:fill="FFFFFF"/>
            <w:vAlign w:val="center"/>
          </w:tcPr>
          <w:p w14:paraId="58212DE5">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电梯</w:t>
            </w:r>
          </w:p>
        </w:tc>
        <w:tc>
          <w:tcPr>
            <w:tcW w:w="1353" w:type="dxa"/>
            <w:shd w:val="clear" w:color="auto" w:fill="FFFFFF"/>
            <w:vAlign w:val="center"/>
          </w:tcPr>
          <w:p w14:paraId="0739AABA">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数量</w:t>
            </w:r>
          </w:p>
        </w:tc>
        <w:tc>
          <w:tcPr>
            <w:tcW w:w="1275" w:type="dxa"/>
            <w:gridSpan w:val="2"/>
            <w:shd w:val="clear" w:color="auto" w:fill="FFFFFF"/>
            <w:vAlign w:val="center"/>
          </w:tcPr>
          <w:p w14:paraId="5C3EAD88">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速度</w:t>
            </w:r>
          </w:p>
        </w:tc>
        <w:tc>
          <w:tcPr>
            <w:tcW w:w="1294" w:type="dxa"/>
            <w:shd w:val="clear" w:color="auto" w:fill="FFFFFF"/>
            <w:vAlign w:val="center"/>
          </w:tcPr>
          <w:p w14:paraId="0CBFB31D">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载重量</w:t>
            </w:r>
          </w:p>
        </w:tc>
        <w:tc>
          <w:tcPr>
            <w:tcW w:w="1224" w:type="dxa"/>
            <w:shd w:val="clear" w:color="auto" w:fill="FFFFFF"/>
            <w:vAlign w:val="center"/>
          </w:tcPr>
          <w:p w14:paraId="2BB4711E">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功率</w:t>
            </w:r>
          </w:p>
        </w:tc>
      </w:tr>
      <w:tr w14:paraId="38C1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33B52E1E">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2176" w:type="dxa"/>
            <w:vMerge w:val="continue"/>
            <w:shd w:val="clear" w:color="auto" w:fill="FFFFFF"/>
            <w:vAlign w:val="center"/>
          </w:tcPr>
          <w:p w14:paraId="73764EFF">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1353" w:type="dxa"/>
            <w:shd w:val="clear" w:color="auto" w:fill="FFFFFF"/>
            <w:vAlign w:val="center"/>
          </w:tcPr>
          <w:p w14:paraId="153713F3">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（台）</w:t>
            </w:r>
          </w:p>
        </w:tc>
        <w:tc>
          <w:tcPr>
            <w:tcW w:w="1275" w:type="dxa"/>
            <w:gridSpan w:val="2"/>
            <w:shd w:val="clear" w:color="auto" w:fill="FFFFFF"/>
            <w:vAlign w:val="center"/>
          </w:tcPr>
          <w:p w14:paraId="42153ABB">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（米/秒）</w:t>
            </w:r>
          </w:p>
        </w:tc>
        <w:tc>
          <w:tcPr>
            <w:tcW w:w="1294" w:type="dxa"/>
            <w:shd w:val="clear" w:color="auto" w:fill="FFFFFF"/>
            <w:vAlign w:val="center"/>
          </w:tcPr>
          <w:p w14:paraId="16CF073A">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en-US" w:bidi="en-US"/>
              </w:rPr>
              <w:t>(KG)</w:t>
            </w:r>
          </w:p>
        </w:tc>
        <w:tc>
          <w:tcPr>
            <w:tcW w:w="1224" w:type="dxa"/>
            <w:shd w:val="clear" w:color="auto" w:fill="FFFFFF"/>
            <w:vAlign w:val="center"/>
          </w:tcPr>
          <w:p w14:paraId="4C33463F">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en-US" w:bidi="en-US"/>
              </w:rPr>
              <w:t>(KW)</w:t>
            </w:r>
          </w:p>
        </w:tc>
      </w:tr>
      <w:tr w14:paraId="4483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6598365D">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2176" w:type="dxa"/>
            <w:shd w:val="clear" w:color="auto" w:fill="FFFFFF"/>
            <w:vAlign w:val="center"/>
          </w:tcPr>
          <w:p w14:paraId="39BF0BDC">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塔楼高区客梯</w:t>
            </w:r>
          </w:p>
        </w:tc>
        <w:tc>
          <w:tcPr>
            <w:tcW w:w="1353" w:type="dxa"/>
            <w:shd w:val="clear" w:color="auto" w:fill="FFFFFF"/>
            <w:vAlign w:val="center"/>
          </w:tcPr>
          <w:p w14:paraId="74AF35E8">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275" w:type="dxa"/>
            <w:gridSpan w:val="2"/>
            <w:shd w:val="clear" w:color="auto" w:fill="FFFFFF"/>
            <w:vAlign w:val="center"/>
          </w:tcPr>
          <w:p w14:paraId="44E1532F">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w:t>
            </w:r>
          </w:p>
        </w:tc>
        <w:tc>
          <w:tcPr>
            <w:tcW w:w="1294" w:type="dxa"/>
            <w:shd w:val="clear" w:color="auto" w:fill="FFFFFF"/>
            <w:vAlign w:val="center"/>
          </w:tcPr>
          <w:p w14:paraId="537114FC">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1600</w:t>
            </w:r>
          </w:p>
        </w:tc>
        <w:tc>
          <w:tcPr>
            <w:tcW w:w="1224" w:type="dxa"/>
            <w:shd w:val="clear" w:color="auto" w:fill="FFFFFF"/>
            <w:vAlign w:val="center"/>
          </w:tcPr>
          <w:p w14:paraId="22350D15">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7586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13EE4784">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2176" w:type="dxa"/>
            <w:shd w:val="clear" w:color="auto" w:fill="FFFFFF"/>
            <w:vAlign w:val="center"/>
          </w:tcPr>
          <w:p w14:paraId="56E224B4">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塔楼低区客梯</w:t>
            </w:r>
          </w:p>
        </w:tc>
        <w:tc>
          <w:tcPr>
            <w:tcW w:w="1353" w:type="dxa"/>
            <w:shd w:val="clear" w:color="auto" w:fill="FFFFFF"/>
            <w:vAlign w:val="center"/>
          </w:tcPr>
          <w:p w14:paraId="58923252">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275" w:type="dxa"/>
            <w:gridSpan w:val="2"/>
            <w:shd w:val="clear" w:color="auto" w:fill="FFFFFF"/>
            <w:vAlign w:val="center"/>
          </w:tcPr>
          <w:p w14:paraId="7D53E2D1">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1294" w:type="dxa"/>
            <w:shd w:val="clear" w:color="auto" w:fill="FFFFFF"/>
            <w:vAlign w:val="center"/>
          </w:tcPr>
          <w:p w14:paraId="53C8EE08">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en-US"/>
              </w:rPr>
              <w:t>1600</w:t>
            </w:r>
          </w:p>
        </w:tc>
        <w:tc>
          <w:tcPr>
            <w:tcW w:w="1224" w:type="dxa"/>
            <w:shd w:val="clear" w:color="auto" w:fill="FFFFFF"/>
            <w:vAlign w:val="center"/>
          </w:tcPr>
          <w:p w14:paraId="1F10B4BB">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2D75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1F9F1A38">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2176" w:type="dxa"/>
            <w:shd w:val="clear" w:color="auto" w:fill="FFFFFF"/>
            <w:vAlign w:val="center"/>
          </w:tcPr>
          <w:p w14:paraId="4693F941">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消防电梯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货梯兼</w:t>
            </w:r>
            <w:r>
              <w:rPr>
                <w:rFonts w:hint="eastAsia" w:ascii="宋体" w:hAnsi="宋体" w:eastAsia="宋体" w:cs="宋体"/>
                <w:color w:val="auto"/>
                <w:sz w:val="21"/>
                <w:szCs w:val="21"/>
                <w:highlight w:val="none"/>
                <w:lang w:eastAsia="zh-CN"/>
              </w:rPr>
              <w:t>）</w:t>
            </w:r>
          </w:p>
        </w:tc>
        <w:tc>
          <w:tcPr>
            <w:tcW w:w="1353" w:type="dxa"/>
            <w:shd w:val="clear" w:color="auto" w:fill="FFFFFF"/>
            <w:vAlign w:val="center"/>
          </w:tcPr>
          <w:p w14:paraId="5F7A7EA4">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275" w:type="dxa"/>
            <w:gridSpan w:val="2"/>
            <w:shd w:val="clear" w:color="auto" w:fill="FFFFFF"/>
            <w:vAlign w:val="center"/>
          </w:tcPr>
          <w:p w14:paraId="6752740A">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w:t>
            </w:r>
          </w:p>
        </w:tc>
        <w:tc>
          <w:tcPr>
            <w:tcW w:w="1294" w:type="dxa"/>
            <w:shd w:val="clear" w:color="auto" w:fill="FFFFFF"/>
            <w:vAlign w:val="center"/>
          </w:tcPr>
          <w:p w14:paraId="260ACEEA">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1600</w:t>
            </w:r>
          </w:p>
        </w:tc>
        <w:tc>
          <w:tcPr>
            <w:tcW w:w="1224" w:type="dxa"/>
            <w:shd w:val="clear" w:color="auto" w:fill="FFFFFF"/>
            <w:vAlign w:val="center"/>
          </w:tcPr>
          <w:p w14:paraId="7FC9FBF8">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1F6CF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48D485FB">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2176" w:type="dxa"/>
            <w:shd w:val="clear" w:color="auto" w:fill="FFFFFF"/>
            <w:vAlign w:val="center"/>
          </w:tcPr>
          <w:p w14:paraId="5B6958A4">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货梯</w:t>
            </w:r>
          </w:p>
        </w:tc>
        <w:tc>
          <w:tcPr>
            <w:tcW w:w="1353" w:type="dxa"/>
            <w:shd w:val="clear" w:color="auto" w:fill="FFFFFF"/>
            <w:vAlign w:val="center"/>
          </w:tcPr>
          <w:p w14:paraId="4DA21FB4">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275" w:type="dxa"/>
            <w:gridSpan w:val="2"/>
            <w:shd w:val="clear" w:color="auto" w:fill="FFFFFF"/>
            <w:vAlign w:val="center"/>
          </w:tcPr>
          <w:p w14:paraId="6C4B52EB">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en-US"/>
              </w:rPr>
              <w:t>1.</w:t>
            </w:r>
            <w:r>
              <w:rPr>
                <w:rFonts w:hint="eastAsia" w:ascii="宋体" w:hAnsi="宋体" w:eastAsia="宋体" w:cs="宋体"/>
                <w:color w:val="auto"/>
                <w:sz w:val="21"/>
                <w:szCs w:val="21"/>
                <w:highlight w:val="none"/>
                <w:lang w:val="en-US" w:eastAsia="zh-CN"/>
              </w:rPr>
              <w:t>0</w:t>
            </w:r>
          </w:p>
        </w:tc>
        <w:tc>
          <w:tcPr>
            <w:tcW w:w="1294" w:type="dxa"/>
            <w:shd w:val="clear" w:color="auto" w:fill="FFFFFF"/>
            <w:vAlign w:val="center"/>
          </w:tcPr>
          <w:p w14:paraId="48C6BA52">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2000</w:t>
            </w:r>
          </w:p>
        </w:tc>
        <w:tc>
          <w:tcPr>
            <w:tcW w:w="1224" w:type="dxa"/>
            <w:shd w:val="clear" w:color="auto" w:fill="FFFFFF"/>
            <w:vAlign w:val="center"/>
          </w:tcPr>
          <w:p w14:paraId="4B90FCE6">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0A6D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25F0E7CF">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2176" w:type="dxa"/>
            <w:shd w:val="clear" w:color="auto" w:fill="FFFFFF"/>
            <w:vAlign w:val="center"/>
          </w:tcPr>
          <w:p w14:paraId="09ADD1E9">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裙楼客梯</w:t>
            </w:r>
          </w:p>
        </w:tc>
        <w:tc>
          <w:tcPr>
            <w:tcW w:w="1353" w:type="dxa"/>
            <w:shd w:val="clear" w:color="auto" w:fill="FFFFFF"/>
            <w:vAlign w:val="center"/>
          </w:tcPr>
          <w:p w14:paraId="4E437BA0">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275" w:type="dxa"/>
            <w:gridSpan w:val="2"/>
            <w:shd w:val="clear" w:color="auto" w:fill="FFFFFF"/>
            <w:vAlign w:val="center"/>
          </w:tcPr>
          <w:p w14:paraId="473A6BE0">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en-US"/>
              </w:rPr>
              <w:t>1.</w:t>
            </w:r>
            <w:r>
              <w:rPr>
                <w:rFonts w:hint="eastAsia" w:ascii="宋体" w:hAnsi="宋体" w:eastAsia="宋体" w:cs="宋体"/>
                <w:color w:val="auto"/>
                <w:sz w:val="21"/>
                <w:szCs w:val="21"/>
                <w:highlight w:val="none"/>
                <w:lang w:val="en-US" w:eastAsia="zh-CN"/>
              </w:rPr>
              <w:t>75</w:t>
            </w:r>
          </w:p>
        </w:tc>
        <w:tc>
          <w:tcPr>
            <w:tcW w:w="1294" w:type="dxa"/>
            <w:shd w:val="clear" w:color="auto" w:fill="FFFFFF"/>
            <w:vAlign w:val="center"/>
          </w:tcPr>
          <w:p w14:paraId="26C2BF96">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1050</w:t>
            </w:r>
          </w:p>
        </w:tc>
        <w:tc>
          <w:tcPr>
            <w:tcW w:w="1224" w:type="dxa"/>
            <w:shd w:val="clear" w:color="auto" w:fill="FFFFFF"/>
            <w:vAlign w:val="center"/>
          </w:tcPr>
          <w:p w14:paraId="43502451">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328C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5703BDF9">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2176" w:type="dxa"/>
            <w:shd w:val="clear" w:color="auto" w:fill="FFFFFF"/>
            <w:vAlign w:val="center"/>
          </w:tcPr>
          <w:p w14:paraId="28BF6648">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品牌/产地</w:t>
            </w:r>
          </w:p>
        </w:tc>
        <w:tc>
          <w:tcPr>
            <w:tcW w:w="5146" w:type="dxa"/>
            <w:gridSpan w:val="5"/>
            <w:shd w:val="clear" w:color="auto" w:fill="FFFFFF"/>
            <w:vAlign w:val="center"/>
          </w:tcPr>
          <w:p w14:paraId="4DC0DD9F">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通力（芬兰）</w:t>
            </w:r>
          </w:p>
        </w:tc>
      </w:tr>
      <w:tr w14:paraId="77FD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restart"/>
            <w:shd w:val="clear" w:color="auto" w:fill="FFFFFF"/>
            <w:vAlign w:val="center"/>
          </w:tcPr>
          <w:p w14:paraId="391F2CED">
            <w:pPr>
              <w:pStyle w:val="18"/>
              <w:adjustRightInd w:val="0"/>
              <w:snapToGrid w:val="0"/>
              <w:spacing w:after="0" w:line="240" w:lineRule="atLeast"/>
              <w:ind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电气设备</w:t>
            </w:r>
          </w:p>
        </w:tc>
        <w:tc>
          <w:tcPr>
            <w:tcW w:w="981" w:type="dxa"/>
            <w:vMerge w:val="restart"/>
            <w:shd w:val="clear" w:color="auto" w:fill="FFFFFF"/>
            <w:vAlign w:val="center"/>
          </w:tcPr>
          <w:p w14:paraId="0DAB994B">
            <w:pPr>
              <w:pStyle w:val="18"/>
              <w:adjustRightInd w:val="0"/>
              <w:snapToGrid w:val="0"/>
              <w:spacing w:after="0" w:line="240" w:lineRule="atLeast"/>
              <w:ind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变电设备</w:t>
            </w:r>
          </w:p>
        </w:tc>
        <w:tc>
          <w:tcPr>
            <w:tcW w:w="4333" w:type="dxa"/>
            <w:gridSpan w:val="3"/>
            <w:shd w:val="clear" w:color="auto" w:fill="FFFFFF"/>
            <w:vAlign w:val="center"/>
          </w:tcPr>
          <w:p w14:paraId="21BA8B43">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高压配电柜容量/台数</w:t>
            </w:r>
          </w:p>
        </w:tc>
        <w:tc>
          <w:tcPr>
            <w:tcW w:w="2989" w:type="dxa"/>
            <w:gridSpan w:val="3"/>
            <w:shd w:val="clear" w:color="auto" w:fill="FFFFFF"/>
            <w:vAlign w:val="center"/>
          </w:tcPr>
          <w:p w14:paraId="16F5F670">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9214.3kW/6台</w:t>
            </w:r>
          </w:p>
        </w:tc>
      </w:tr>
      <w:tr w14:paraId="1F34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continue"/>
            <w:shd w:val="clear" w:color="auto" w:fill="FFFFFF"/>
            <w:vAlign w:val="center"/>
          </w:tcPr>
          <w:p w14:paraId="1116F37A">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981" w:type="dxa"/>
            <w:vMerge w:val="continue"/>
            <w:shd w:val="clear" w:color="auto" w:fill="FFFFFF"/>
            <w:vAlign w:val="center"/>
          </w:tcPr>
          <w:p w14:paraId="257AAC13">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center"/>
          </w:tcPr>
          <w:p w14:paraId="23E0DC76">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变压器容量/台数</w:t>
            </w:r>
          </w:p>
        </w:tc>
        <w:tc>
          <w:tcPr>
            <w:tcW w:w="2989" w:type="dxa"/>
            <w:gridSpan w:val="3"/>
            <w:shd w:val="clear" w:color="auto" w:fill="FFFFFF"/>
            <w:vAlign w:val="center"/>
          </w:tcPr>
          <w:p w14:paraId="44BEBE45">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1600kVAx2 ；2000kVAx2</w:t>
            </w:r>
          </w:p>
        </w:tc>
      </w:tr>
      <w:tr w14:paraId="6BB9E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continue"/>
            <w:shd w:val="clear" w:color="auto" w:fill="FFFFFF"/>
            <w:vAlign w:val="center"/>
          </w:tcPr>
          <w:p w14:paraId="30898B7D">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981" w:type="dxa"/>
            <w:vMerge w:val="continue"/>
            <w:shd w:val="clear" w:color="auto" w:fill="FFFFFF"/>
            <w:vAlign w:val="center"/>
          </w:tcPr>
          <w:p w14:paraId="0B121911">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center"/>
          </w:tcPr>
          <w:p w14:paraId="25430BFD">
            <w:pPr>
              <w:pStyle w:val="211"/>
              <w:adjustRightInd w:val="0"/>
              <w:snapToGrid w:val="0"/>
              <w:spacing w:after="0" w:line="24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低压配电柜容量/台数</w:t>
            </w:r>
          </w:p>
        </w:tc>
        <w:tc>
          <w:tcPr>
            <w:tcW w:w="2989" w:type="dxa"/>
            <w:gridSpan w:val="3"/>
            <w:shd w:val="clear" w:color="auto" w:fill="FFFFFF"/>
            <w:vAlign w:val="center"/>
          </w:tcPr>
          <w:p w14:paraId="736106B3">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9214.3kW/35台</w:t>
            </w:r>
          </w:p>
        </w:tc>
      </w:tr>
      <w:tr w14:paraId="6605C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continue"/>
            <w:shd w:val="clear" w:color="auto" w:fill="FFFFFF"/>
            <w:vAlign w:val="center"/>
          </w:tcPr>
          <w:p w14:paraId="0A117DA6">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981" w:type="dxa"/>
            <w:vMerge w:val="continue"/>
            <w:shd w:val="clear" w:color="auto" w:fill="FFFFFF"/>
            <w:vAlign w:val="center"/>
          </w:tcPr>
          <w:p w14:paraId="618705F2">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51DA523A">
            <w:pPr>
              <w:pStyle w:val="211"/>
              <w:adjustRightInd w:val="0"/>
              <w:snapToGrid w:val="0"/>
              <w:spacing w:after="0" w:line="24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备用发电机容量/台数</w:t>
            </w:r>
          </w:p>
        </w:tc>
        <w:tc>
          <w:tcPr>
            <w:tcW w:w="2989" w:type="dxa"/>
            <w:gridSpan w:val="3"/>
            <w:shd w:val="clear" w:color="auto" w:fill="FFFFFF"/>
            <w:vAlign w:val="center"/>
          </w:tcPr>
          <w:p w14:paraId="186B932E">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800kw/1台</w:t>
            </w:r>
          </w:p>
        </w:tc>
      </w:tr>
      <w:tr w14:paraId="5467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continue"/>
            <w:shd w:val="clear" w:color="auto" w:fill="FFFFFF"/>
            <w:vAlign w:val="center"/>
          </w:tcPr>
          <w:p w14:paraId="244A2BE3">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981" w:type="dxa"/>
            <w:vMerge w:val="restart"/>
            <w:shd w:val="clear" w:color="auto" w:fill="FFFFFF"/>
            <w:vAlign w:val="center"/>
          </w:tcPr>
          <w:p w14:paraId="1E019769">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照明设备</w:t>
            </w:r>
          </w:p>
        </w:tc>
        <w:tc>
          <w:tcPr>
            <w:tcW w:w="4333" w:type="dxa"/>
            <w:gridSpan w:val="3"/>
            <w:shd w:val="clear" w:color="auto" w:fill="FFFFFF"/>
            <w:vAlign w:val="center"/>
          </w:tcPr>
          <w:p w14:paraId="28428877">
            <w:pPr>
              <w:pStyle w:val="211"/>
              <w:adjustRightInd w:val="0"/>
              <w:snapToGrid w:val="0"/>
              <w:spacing w:after="0" w:line="24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总用电负荷</w:t>
            </w:r>
            <w:r>
              <w:rPr>
                <w:rFonts w:hint="eastAsia" w:ascii="宋体" w:hAnsi="宋体" w:eastAsia="宋体" w:cs="宋体"/>
                <w:color w:val="auto"/>
                <w:sz w:val="21"/>
                <w:szCs w:val="21"/>
                <w:highlight w:val="none"/>
                <w:lang w:val="en-US" w:eastAsia="en-US" w:bidi="en-US"/>
              </w:rPr>
              <w:t>（kw）</w:t>
            </w:r>
          </w:p>
        </w:tc>
        <w:tc>
          <w:tcPr>
            <w:tcW w:w="2989" w:type="dxa"/>
            <w:gridSpan w:val="3"/>
            <w:shd w:val="clear" w:color="auto" w:fill="FFFFFF"/>
            <w:vAlign w:val="center"/>
          </w:tcPr>
          <w:p w14:paraId="251E178C">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98.7</w:t>
            </w:r>
          </w:p>
        </w:tc>
      </w:tr>
      <w:tr w14:paraId="0508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continue"/>
            <w:shd w:val="clear" w:color="auto" w:fill="FFFFFF"/>
            <w:vAlign w:val="center"/>
          </w:tcPr>
          <w:p w14:paraId="134576E5">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981" w:type="dxa"/>
            <w:vMerge w:val="continue"/>
            <w:shd w:val="clear" w:color="auto" w:fill="FFFFFF"/>
            <w:vAlign w:val="center"/>
          </w:tcPr>
          <w:p w14:paraId="62139D0B">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center"/>
          </w:tcPr>
          <w:p w14:paraId="76C52975">
            <w:pPr>
              <w:pStyle w:val="211"/>
              <w:adjustRightInd w:val="0"/>
              <w:snapToGrid w:val="0"/>
              <w:spacing w:after="0" w:line="24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停车场用电负荷</w:t>
            </w:r>
            <w:r>
              <w:rPr>
                <w:rFonts w:hint="eastAsia" w:ascii="宋体" w:hAnsi="宋体" w:eastAsia="宋体" w:cs="宋体"/>
                <w:color w:val="auto"/>
                <w:sz w:val="21"/>
                <w:szCs w:val="21"/>
                <w:highlight w:val="none"/>
                <w:lang w:val="en-US" w:eastAsia="zh-CN" w:bidi="en-US"/>
              </w:rPr>
              <w:t>（kw）</w:t>
            </w:r>
          </w:p>
        </w:tc>
        <w:tc>
          <w:tcPr>
            <w:tcW w:w="2989" w:type="dxa"/>
            <w:gridSpan w:val="3"/>
            <w:shd w:val="clear" w:color="auto" w:fill="FFFFFF"/>
            <w:vAlign w:val="center"/>
          </w:tcPr>
          <w:p w14:paraId="558C434C">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47.5</w:t>
            </w:r>
          </w:p>
        </w:tc>
      </w:tr>
      <w:tr w14:paraId="329F9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continue"/>
            <w:shd w:val="clear" w:color="auto" w:fill="FFFFFF"/>
            <w:vAlign w:val="center"/>
          </w:tcPr>
          <w:p w14:paraId="265739C9">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981" w:type="dxa"/>
            <w:vMerge w:val="continue"/>
            <w:shd w:val="clear" w:color="auto" w:fill="FFFFFF"/>
            <w:vAlign w:val="center"/>
          </w:tcPr>
          <w:p w14:paraId="2C39A7D9">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center"/>
          </w:tcPr>
          <w:p w14:paraId="53E71ECB">
            <w:pPr>
              <w:pStyle w:val="211"/>
              <w:adjustRightInd w:val="0"/>
              <w:snapToGrid w:val="0"/>
              <w:spacing w:after="0" w:line="24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环境用电负荷</w:t>
            </w:r>
            <w:r>
              <w:rPr>
                <w:rFonts w:hint="eastAsia" w:ascii="宋体" w:hAnsi="宋体" w:eastAsia="宋体" w:cs="宋体"/>
                <w:color w:val="auto"/>
                <w:sz w:val="21"/>
                <w:szCs w:val="21"/>
                <w:highlight w:val="none"/>
                <w:lang w:val="en-US" w:eastAsia="zh-CN" w:bidi="en-US"/>
              </w:rPr>
              <w:t>（kw）</w:t>
            </w:r>
          </w:p>
        </w:tc>
        <w:tc>
          <w:tcPr>
            <w:tcW w:w="2989" w:type="dxa"/>
            <w:gridSpan w:val="3"/>
            <w:shd w:val="clear" w:color="auto" w:fill="FFFFFF"/>
            <w:vAlign w:val="center"/>
          </w:tcPr>
          <w:p w14:paraId="0CE3BEC3">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80</w:t>
            </w:r>
          </w:p>
        </w:tc>
      </w:tr>
      <w:tr w14:paraId="27C5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continue"/>
            <w:shd w:val="clear" w:color="auto" w:fill="FFFFFF"/>
            <w:vAlign w:val="center"/>
          </w:tcPr>
          <w:p w14:paraId="0D8459A7">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981" w:type="dxa"/>
            <w:vMerge w:val="continue"/>
            <w:shd w:val="clear" w:color="auto" w:fill="FFFFFF"/>
            <w:vAlign w:val="center"/>
          </w:tcPr>
          <w:p w14:paraId="18EAE715">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center"/>
          </w:tcPr>
          <w:p w14:paraId="10FDE1A2">
            <w:pPr>
              <w:pStyle w:val="211"/>
              <w:adjustRightInd w:val="0"/>
              <w:snapToGrid w:val="0"/>
              <w:spacing w:after="0" w:line="24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商业用电负荷</w:t>
            </w:r>
            <w:r>
              <w:rPr>
                <w:rFonts w:hint="eastAsia" w:ascii="宋体" w:hAnsi="宋体" w:eastAsia="宋体" w:cs="宋体"/>
                <w:color w:val="auto"/>
                <w:sz w:val="21"/>
                <w:szCs w:val="21"/>
                <w:highlight w:val="none"/>
                <w:lang w:val="en-US" w:eastAsia="zh-CN" w:bidi="en-US"/>
              </w:rPr>
              <w:t>（kw）</w:t>
            </w:r>
          </w:p>
        </w:tc>
        <w:tc>
          <w:tcPr>
            <w:tcW w:w="2989" w:type="dxa"/>
            <w:gridSpan w:val="3"/>
            <w:shd w:val="clear" w:color="auto" w:fill="FFFFFF"/>
            <w:vAlign w:val="center"/>
          </w:tcPr>
          <w:p w14:paraId="3F182DB3">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121.4</w:t>
            </w:r>
          </w:p>
        </w:tc>
      </w:tr>
      <w:tr w14:paraId="7233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continue"/>
            <w:shd w:val="clear" w:color="auto" w:fill="FFFFFF"/>
            <w:vAlign w:val="center"/>
          </w:tcPr>
          <w:p w14:paraId="61BF2D93">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981" w:type="dxa"/>
            <w:vMerge w:val="continue"/>
            <w:shd w:val="clear" w:color="auto" w:fill="FFFFFF"/>
            <w:vAlign w:val="center"/>
          </w:tcPr>
          <w:p w14:paraId="30AAD19B">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center"/>
          </w:tcPr>
          <w:p w14:paraId="2298D2AD">
            <w:pPr>
              <w:pStyle w:val="211"/>
              <w:adjustRightInd w:val="0"/>
              <w:snapToGrid w:val="0"/>
              <w:spacing w:after="0" w:line="24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写字楼用电负荷</w:t>
            </w:r>
            <w:r>
              <w:rPr>
                <w:rFonts w:hint="eastAsia" w:ascii="宋体" w:hAnsi="宋体" w:eastAsia="宋体" w:cs="宋体"/>
                <w:color w:val="auto"/>
                <w:sz w:val="21"/>
                <w:szCs w:val="21"/>
                <w:highlight w:val="none"/>
                <w:lang w:val="en-US" w:eastAsia="zh-CN" w:bidi="en-US"/>
              </w:rPr>
              <w:t>（kw）</w:t>
            </w:r>
          </w:p>
        </w:tc>
        <w:tc>
          <w:tcPr>
            <w:tcW w:w="2989" w:type="dxa"/>
            <w:gridSpan w:val="3"/>
            <w:shd w:val="clear" w:color="auto" w:fill="FFFFFF"/>
            <w:vAlign w:val="center"/>
          </w:tcPr>
          <w:p w14:paraId="5E444720">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55.2</w:t>
            </w:r>
          </w:p>
        </w:tc>
      </w:tr>
      <w:tr w14:paraId="0785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continue"/>
            <w:shd w:val="clear" w:color="auto" w:fill="FFFFFF"/>
            <w:vAlign w:val="center"/>
          </w:tcPr>
          <w:p w14:paraId="09E175AA">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981" w:type="dxa"/>
            <w:vMerge w:val="restart"/>
            <w:shd w:val="clear" w:color="auto" w:fill="FFFFFF"/>
            <w:vAlign w:val="center"/>
          </w:tcPr>
          <w:p w14:paraId="2C4E5B18">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动力设备</w:t>
            </w:r>
          </w:p>
        </w:tc>
        <w:tc>
          <w:tcPr>
            <w:tcW w:w="4333" w:type="dxa"/>
            <w:gridSpan w:val="3"/>
            <w:shd w:val="clear" w:color="auto" w:fill="FFFFFF"/>
            <w:vAlign w:val="center"/>
          </w:tcPr>
          <w:p w14:paraId="152B528B">
            <w:pPr>
              <w:pStyle w:val="211"/>
              <w:adjustRightInd w:val="0"/>
              <w:snapToGrid w:val="0"/>
              <w:spacing w:after="0" w:line="24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总用电负荷</w:t>
            </w:r>
            <w:r>
              <w:rPr>
                <w:rFonts w:hint="eastAsia" w:ascii="宋体" w:hAnsi="宋体" w:eastAsia="宋体" w:cs="宋体"/>
                <w:color w:val="auto"/>
                <w:sz w:val="21"/>
                <w:szCs w:val="21"/>
                <w:highlight w:val="none"/>
                <w:lang w:val="en-US" w:eastAsia="en-US" w:bidi="en-US"/>
              </w:rPr>
              <w:t>（kw）</w:t>
            </w:r>
          </w:p>
        </w:tc>
        <w:tc>
          <w:tcPr>
            <w:tcW w:w="2989" w:type="dxa"/>
            <w:gridSpan w:val="3"/>
            <w:shd w:val="clear" w:color="auto" w:fill="FFFFFF"/>
            <w:vAlign w:val="center"/>
          </w:tcPr>
          <w:p w14:paraId="73B83398">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6244.2</w:t>
            </w:r>
          </w:p>
        </w:tc>
      </w:tr>
      <w:tr w14:paraId="37A9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continue"/>
            <w:shd w:val="clear" w:color="auto" w:fill="FFFFFF"/>
            <w:vAlign w:val="center"/>
          </w:tcPr>
          <w:p w14:paraId="1909F803">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981" w:type="dxa"/>
            <w:vMerge w:val="continue"/>
            <w:shd w:val="clear" w:color="auto" w:fill="FFFFFF"/>
            <w:vAlign w:val="center"/>
          </w:tcPr>
          <w:p w14:paraId="4596C13F">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70A6FE7C">
            <w:pPr>
              <w:pStyle w:val="211"/>
              <w:adjustRightInd w:val="0"/>
              <w:snapToGrid w:val="0"/>
              <w:spacing w:after="0" w:line="24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空调用动力设备用电负荷</w:t>
            </w:r>
            <w:r>
              <w:rPr>
                <w:rFonts w:hint="eastAsia" w:ascii="宋体" w:hAnsi="宋体" w:eastAsia="宋体" w:cs="宋体"/>
                <w:color w:val="auto"/>
                <w:sz w:val="21"/>
                <w:szCs w:val="21"/>
                <w:highlight w:val="none"/>
                <w:lang w:val="en-US" w:eastAsia="zh-CN" w:bidi="en-US"/>
              </w:rPr>
              <w:t>（kw）</w:t>
            </w:r>
          </w:p>
        </w:tc>
        <w:tc>
          <w:tcPr>
            <w:tcW w:w="2989" w:type="dxa"/>
            <w:gridSpan w:val="3"/>
            <w:shd w:val="clear" w:color="auto" w:fill="FFFFFF"/>
            <w:vAlign w:val="center"/>
          </w:tcPr>
          <w:p w14:paraId="6A37E840">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3297.1</w:t>
            </w:r>
          </w:p>
        </w:tc>
      </w:tr>
      <w:tr w14:paraId="6E97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9" w:hRule="exact"/>
          <w:jc w:val="center"/>
        </w:trPr>
        <w:tc>
          <w:tcPr>
            <w:tcW w:w="827" w:type="dxa"/>
            <w:vMerge w:val="continue"/>
            <w:shd w:val="clear" w:color="auto" w:fill="FFFFFF"/>
            <w:vAlign w:val="center"/>
          </w:tcPr>
          <w:p w14:paraId="20694631">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981" w:type="dxa"/>
            <w:vMerge w:val="continue"/>
            <w:shd w:val="clear" w:color="auto" w:fill="FFFFFF"/>
            <w:vAlign w:val="center"/>
          </w:tcPr>
          <w:p w14:paraId="4588092D">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128524A7">
            <w:pPr>
              <w:pStyle w:val="211"/>
              <w:adjustRightInd w:val="0"/>
              <w:snapToGrid w:val="0"/>
              <w:spacing w:after="0" w:line="24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动力用设备用电负荷</w:t>
            </w:r>
            <w:r>
              <w:rPr>
                <w:rFonts w:hint="eastAsia" w:ascii="宋体" w:hAnsi="宋体" w:eastAsia="宋体" w:cs="宋体"/>
                <w:color w:val="auto"/>
                <w:sz w:val="21"/>
                <w:szCs w:val="21"/>
                <w:highlight w:val="none"/>
                <w:lang w:val="en-US" w:eastAsia="zh-CN" w:bidi="en-US"/>
              </w:rPr>
              <w:t>（kw）</w:t>
            </w:r>
          </w:p>
          <w:p w14:paraId="074387B6">
            <w:pPr>
              <w:pStyle w:val="211"/>
              <w:adjustRightInd w:val="0"/>
              <w:snapToGrid w:val="0"/>
              <w:spacing w:after="0" w:line="24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（排水泵、给水泵、污水处理装置）</w:t>
            </w:r>
          </w:p>
        </w:tc>
        <w:tc>
          <w:tcPr>
            <w:tcW w:w="2989" w:type="dxa"/>
            <w:gridSpan w:val="3"/>
            <w:shd w:val="clear" w:color="auto" w:fill="FFFFFF"/>
            <w:vAlign w:val="center"/>
          </w:tcPr>
          <w:p w14:paraId="5C667FC0">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375</w:t>
            </w:r>
          </w:p>
        </w:tc>
      </w:tr>
      <w:tr w14:paraId="4B56A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8" w:hRule="exact"/>
          <w:jc w:val="center"/>
        </w:trPr>
        <w:tc>
          <w:tcPr>
            <w:tcW w:w="827" w:type="dxa"/>
            <w:vMerge w:val="continue"/>
            <w:shd w:val="clear" w:color="auto" w:fill="FFFFFF"/>
            <w:vAlign w:val="center"/>
          </w:tcPr>
          <w:p w14:paraId="1C2D482E">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981" w:type="dxa"/>
            <w:vMerge w:val="continue"/>
            <w:shd w:val="clear" w:color="auto" w:fill="FFFFFF"/>
            <w:vAlign w:val="center"/>
          </w:tcPr>
          <w:p w14:paraId="7F6E1452">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6F2A5615">
            <w:pPr>
              <w:pStyle w:val="211"/>
              <w:adjustRightInd w:val="0"/>
              <w:snapToGrid w:val="0"/>
              <w:spacing w:after="0" w:line="24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消防动力设备用电负荷</w:t>
            </w:r>
            <w:r>
              <w:rPr>
                <w:rFonts w:hint="eastAsia" w:ascii="宋体" w:hAnsi="宋体" w:eastAsia="宋体" w:cs="宋体"/>
                <w:color w:val="auto"/>
                <w:sz w:val="21"/>
                <w:szCs w:val="21"/>
                <w:highlight w:val="none"/>
                <w:lang w:val="en-US" w:eastAsia="zh-CN" w:bidi="en-US"/>
              </w:rPr>
              <w:t>（kw）</w:t>
            </w:r>
          </w:p>
          <w:p w14:paraId="1A045CDB">
            <w:pPr>
              <w:pStyle w:val="211"/>
              <w:adjustRightInd w:val="0"/>
              <w:snapToGrid w:val="0"/>
              <w:spacing w:after="0" w:line="24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（消火栓泵、喷淋泵、排烟风机）</w:t>
            </w:r>
          </w:p>
        </w:tc>
        <w:tc>
          <w:tcPr>
            <w:tcW w:w="2989" w:type="dxa"/>
            <w:gridSpan w:val="3"/>
            <w:shd w:val="clear" w:color="auto" w:fill="FFFFFF"/>
            <w:vAlign w:val="center"/>
          </w:tcPr>
          <w:p w14:paraId="0DFE72E5">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838.7</w:t>
            </w:r>
          </w:p>
        </w:tc>
      </w:tr>
      <w:tr w14:paraId="5AAC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continue"/>
            <w:shd w:val="clear" w:color="auto" w:fill="FFFFFF"/>
            <w:vAlign w:val="center"/>
          </w:tcPr>
          <w:p w14:paraId="7F80FF80">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981" w:type="dxa"/>
            <w:vMerge w:val="continue"/>
            <w:shd w:val="clear" w:color="auto" w:fill="FFFFFF"/>
            <w:vAlign w:val="center"/>
          </w:tcPr>
          <w:p w14:paraId="64273F6E">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6DC07E12">
            <w:pPr>
              <w:pStyle w:val="211"/>
              <w:adjustRightInd w:val="0"/>
              <w:snapToGrid w:val="0"/>
              <w:spacing w:after="0" w:line="24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输送设备（电梯等）用电负荷</w:t>
            </w:r>
            <w:r>
              <w:rPr>
                <w:rFonts w:hint="eastAsia" w:ascii="宋体" w:hAnsi="宋体" w:eastAsia="宋体" w:cs="宋体"/>
                <w:color w:val="auto"/>
                <w:sz w:val="21"/>
                <w:szCs w:val="21"/>
                <w:highlight w:val="none"/>
                <w:lang w:val="en-US" w:eastAsia="zh-CN" w:bidi="en-US"/>
              </w:rPr>
              <w:t>（kw）</w:t>
            </w:r>
          </w:p>
        </w:tc>
        <w:tc>
          <w:tcPr>
            <w:tcW w:w="2989" w:type="dxa"/>
            <w:gridSpan w:val="3"/>
            <w:shd w:val="clear" w:color="auto" w:fill="FFFFFF"/>
            <w:vAlign w:val="center"/>
          </w:tcPr>
          <w:p w14:paraId="7B849E37">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366</w:t>
            </w:r>
          </w:p>
        </w:tc>
      </w:tr>
      <w:tr w14:paraId="359B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continue"/>
            <w:shd w:val="clear" w:color="auto" w:fill="FFFFFF"/>
            <w:vAlign w:val="center"/>
          </w:tcPr>
          <w:p w14:paraId="799F7649">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981" w:type="dxa"/>
            <w:vMerge w:val="continue"/>
            <w:shd w:val="clear" w:color="auto" w:fill="FFFFFF"/>
            <w:vAlign w:val="center"/>
          </w:tcPr>
          <w:p w14:paraId="1AE1623E">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5494306A">
            <w:pPr>
              <w:pStyle w:val="211"/>
              <w:adjustRightInd w:val="0"/>
              <w:snapToGrid w:val="0"/>
              <w:spacing w:after="0" w:line="24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弱电设备用电负荷</w:t>
            </w:r>
            <w:r>
              <w:rPr>
                <w:rFonts w:hint="eastAsia" w:ascii="宋体" w:hAnsi="宋体" w:eastAsia="宋体" w:cs="宋体"/>
                <w:color w:val="auto"/>
                <w:sz w:val="21"/>
                <w:szCs w:val="21"/>
                <w:highlight w:val="none"/>
                <w:lang w:val="en-US" w:eastAsia="zh-CN" w:bidi="en-US"/>
              </w:rPr>
              <w:t>（kw）</w:t>
            </w:r>
          </w:p>
        </w:tc>
        <w:tc>
          <w:tcPr>
            <w:tcW w:w="2989" w:type="dxa"/>
            <w:gridSpan w:val="3"/>
            <w:shd w:val="clear" w:color="auto" w:fill="FFFFFF"/>
            <w:vAlign w:val="center"/>
          </w:tcPr>
          <w:p w14:paraId="780FF488">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245</w:t>
            </w:r>
          </w:p>
        </w:tc>
      </w:tr>
      <w:tr w14:paraId="3963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7" w:hRule="exact"/>
          <w:jc w:val="center"/>
        </w:trPr>
        <w:tc>
          <w:tcPr>
            <w:tcW w:w="1808" w:type="dxa"/>
            <w:gridSpan w:val="2"/>
            <w:shd w:val="clear" w:color="auto" w:fill="FFFFFF"/>
            <w:vAlign w:val="center"/>
          </w:tcPr>
          <w:p w14:paraId="2F9B3478">
            <w:pPr>
              <w:pStyle w:val="211"/>
              <w:adjustRightInd w:val="0"/>
              <w:snapToGrid w:val="0"/>
              <w:spacing w:after="0" w:line="240" w:lineRule="atLeast"/>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防雷接地系统</w:t>
            </w:r>
          </w:p>
          <w:p w14:paraId="011D4D8D">
            <w:pPr>
              <w:pStyle w:val="211"/>
              <w:adjustRightInd w:val="0"/>
              <w:snapToGrid w:val="0"/>
              <w:spacing w:after="0" w:line="240" w:lineRule="atLeas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（点数）</w:t>
            </w:r>
          </w:p>
        </w:tc>
        <w:tc>
          <w:tcPr>
            <w:tcW w:w="7322" w:type="dxa"/>
            <w:gridSpan w:val="6"/>
            <w:shd w:val="clear" w:color="auto" w:fill="FFFFFF"/>
            <w:vAlign w:val="center"/>
          </w:tcPr>
          <w:p w14:paraId="7520C33A">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r>
      <w:tr w14:paraId="2F80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5" w:hRule="exact"/>
          <w:jc w:val="center"/>
        </w:trPr>
        <w:tc>
          <w:tcPr>
            <w:tcW w:w="1808" w:type="dxa"/>
            <w:gridSpan w:val="2"/>
            <w:vMerge w:val="restart"/>
            <w:shd w:val="clear" w:color="auto" w:fill="FFFFFF"/>
            <w:vAlign w:val="center"/>
          </w:tcPr>
          <w:p w14:paraId="48796BC2">
            <w:pPr>
              <w:adjustRightInd w:val="0"/>
              <w:snapToGrid w:val="0"/>
              <w:spacing w:line="240" w:lineRule="atLeast"/>
              <w:ind w:firstLine="210" w:firstLineChars="1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多联机空调、</w:t>
            </w:r>
          </w:p>
          <w:p w14:paraId="79925C8F">
            <w:pPr>
              <w:adjustRightInd w:val="0"/>
              <w:snapToGrid w:val="0"/>
              <w:spacing w:line="240" w:lineRule="atLeast"/>
              <w:ind w:firstLine="210" w:firstLineChars="1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新风系统</w:t>
            </w:r>
          </w:p>
        </w:tc>
        <w:tc>
          <w:tcPr>
            <w:tcW w:w="4333" w:type="dxa"/>
            <w:gridSpan w:val="3"/>
            <w:shd w:val="clear" w:color="auto" w:fill="FFFFFF"/>
            <w:vAlign w:val="center"/>
          </w:tcPr>
          <w:p w14:paraId="55EB159E">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rPr>
              <w:t>空调室外机台数</w:t>
            </w:r>
          </w:p>
        </w:tc>
        <w:tc>
          <w:tcPr>
            <w:tcW w:w="2989" w:type="dxa"/>
            <w:gridSpan w:val="3"/>
            <w:shd w:val="clear" w:color="auto" w:fill="FFFFFF"/>
            <w:vAlign w:val="center"/>
          </w:tcPr>
          <w:p w14:paraId="0D6A7020">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108台</w:t>
            </w:r>
          </w:p>
        </w:tc>
      </w:tr>
      <w:tr w14:paraId="0DC7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66B8871D">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0215CE2C">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空调室内机台数</w:t>
            </w:r>
          </w:p>
        </w:tc>
        <w:tc>
          <w:tcPr>
            <w:tcW w:w="2989" w:type="dxa"/>
            <w:gridSpan w:val="3"/>
            <w:shd w:val="clear" w:color="auto" w:fill="FFFFFF"/>
            <w:vAlign w:val="center"/>
          </w:tcPr>
          <w:p w14:paraId="61FD1984">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841台</w:t>
            </w:r>
          </w:p>
        </w:tc>
      </w:tr>
      <w:tr w14:paraId="40BD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3F11284B">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19AED48A">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新风室外机台数</w:t>
            </w:r>
          </w:p>
        </w:tc>
        <w:tc>
          <w:tcPr>
            <w:tcW w:w="2989" w:type="dxa"/>
            <w:gridSpan w:val="3"/>
            <w:shd w:val="clear" w:color="auto" w:fill="FFFFFF"/>
            <w:vAlign w:val="center"/>
          </w:tcPr>
          <w:p w14:paraId="78484672">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45台</w:t>
            </w:r>
          </w:p>
        </w:tc>
      </w:tr>
      <w:tr w14:paraId="6DE0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0DC2249E">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39943CEA">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新风室内机台数</w:t>
            </w:r>
          </w:p>
        </w:tc>
        <w:tc>
          <w:tcPr>
            <w:tcW w:w="2989" w:type="dxa"/>
            <w:gridSpan w:val="3"/>
            <w:shd w:val="clear" w:color="auto" w:fill="FFFFFF"/>
            <w:vAlign w:val="center"/>
          </w:tcPr>
          <w:p w14:paraId="093E583B">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86台</w:t>
            </w:r>
          </w:p>
        </w:tc>
      </w:tr>
      <w:tr w14:paraId="5FE0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restart"/>
            <w:shd w:val="clear" w:color="auto" w:fill="FFFFFF"/>
            <w:vAlign w:val="center"/>
          </w:tcPr>
          <w:p w14:paraId="6D9F688E">
            <w:pPr>
              <w:adjustRightInd w:val="0"/>
              <w:snapToGrid w:val="0"/>
              <w:spacing w:line="240" w:lineRule="atLeas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通风系统</w:t>
            </w:r>
          </w:p>
        </w:tc>
        <w:tc>
          <w:tcPr>
            <w:tcW w:w="4333" w:type="dxa"/>
            <w:gridSpan w:val="3"/>
            <w:shd w:val="clear" w:color="auto" w:fill="FFFFFF"/>
            <w:vAlign w:val="center"/>
          </w:tcPr>
          <w:p w14:paraId="4A46FA03">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地下车库送风机台数/功率</w:t>
            </w:r>
          </w:p>
        </w:tc>
        <w:tc>
          <w:tcPr>
            <w:tcW w:w="2989" w:type="dxa"/>
            <w:gridSpan w:val="3"/>
            <w:shd w:val="clear" w:color="auto" w:fill="FFFFFF"/>
            <w:vAlign w:val="center"/>
          </w:tcPr>
          <w:p w14:paraId="4AF8832A">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13台</w:t>
            </w:r>
            <w:r>
              <w:rPr>
                <w:rFonts w:hint="eastAsia" w:ascii="宋体" w:hAnsi="宋体" w:eastAsia="宋体" w:cs="宋体"/>
                <w:color w:val="auto"/>
                <w:sz w:val="21"/>
                <w:szCs w:val="21"/>
                <w:highlight w:val="none"/>
                <w:lang w:bidi="zh-TW"/>
              </w:rPr>
              <w:t>/</w:t>
            </w:r>
            <w:r>
              <w:rPr>
                <w:rFonts w:hint="eastAsia" w:ascii="宋体" w:hAnsi="宋体" w:eastAsia="宋体" w:cs="宋体"/>
                <w:color w:val="auto"/>
                <w:sz w:val="21"/>
                <w:szCs w:val="21"/>
                <w:highlight w:val="none"/>
                <w:lang w:eastAsia="zh-CN" w:bidi="zh-TW"/>
              </w:rPr>
              <w:t>117.5kW</w:t>
            </w:r>
          </w:p>
        </w:tc>
      </w:tr>
      <w:tr w14:paraId="632D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0C48590C">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78D15F43">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地下车库排风机台数/功率</w:t>
            </w:r>
          </w:p>
        </w:tc>
        <w:tc>
          <w:tcPr>
            <w:tcW w:w="2989" w:type="dxa"/>
            <w:gridSpan w:val="3"/>
            <w:shd w:val="clear" w:color="auto" w:fill="FFFFFF"/>
            <w:vAlign w:val="center"/>
          </w:tcPr>
          <w:p w14:paraId="09A4400D">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14台</w:t>
            </w:r>
            <w:r>
              <w:rPr>
                <w:rFonts w:hint="eastAsia" w:ascii="宋体" w:hAnsi="宋体" w:eastAsia="宋体" w:cs="宋体"/>
                <w:color w:val="auto"/>
                <w:sz w:val="21"/>
                <w:szCs w:val="21"/>
                <w:highlight w:val="none"/>
                <w:lang w:bidi="zh-TW"/>
              </w:rPr>
              <w:t>/</w:t>
            </w:r>
            <w:r>
              <w:rPr>
                <w:rFonts w:hint="eastAsia" w:ascii="宋体" w:hAnsi="宋体" w:eastAsia="宋体" w:cs="宋体"/>
                <w:color w:val="auto"/>
                <w:sz w:val="21"/>
                <w:szCs w:val="21"/>
                <w:highlight w:val="none"/>
                <w:lang w:eastAsia="zh-CN" w:bidi="zh-TW"/>
              </w:rPr>
              <w:t>122.45kW</w:t>
            </w:r>
          </w:p>
        </w:tc>
      </w:tr>
      <w:tr w14:paraId="3BF8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16FEB6A8">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01348611">
            <w:pPr>
              <w:pStyle w:val="211"/>
              <w:adjustRightInd w:val="0"/>
              <w:snapToGrid w:val="0"/>
              <w:spacing w:after="0" w:line="240" w:lineRule="atLeast"/>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办公楼</w:t>
            </w:r>
            <w:r>
              <w:rPr>
                <w:rFonts w:hint="eastAsia" w:ascii="宋体" w:hAnsi="宋体" w:eastAsia="宋体" w:cs="宋体"/>
                <w:color w:val="auto"/>
                <w:sz w:val="21"/>
                <w:szCs w:val="21"/>
                <w:highlight w:val="none"/>
              </w:rPr>
              <w:t>加压送风机台数/功率</w:t>
            </w:r>
          </w:p>
        </w:tc>
        <w:tc>
          <w:tcPr>
            <w:tcW w:w="2989" w:type="dxa"/>
            <w:gridSpan w:val="3"/>
            <w:shd w:val="clear" w:color="auto" w:fill="FFFFFF"/>
            <w:vAlign w:val="center"/>
          </w:tcPr>
          <w:p w14:paraId="2644ECEB">
            <w:pPr>
              <w:pStyle w:val="211"/>
              <w:adjustRightInd w:val="0"/>
              <w:snapToGrid w:val="0"/>
              <w:spacing w:after="0" w:line="24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99</w:t>
            </w:r>
            <w:r>
              <w:rPr>
                <w:rFonts w:hint="eastAsia" w:ascii="宋体" w:hAnsi="宋体" w:eastAsia="宋体" w:cs="宋体"/>
                <w:color w:val="auto"/>
                <w:sz w:val="21"/>
                <w:szCs w:val="21"/>
                <w:highlight w:val="none"/>
              </w:rPr>
              <w:t>kW</w:t>
            </w:r>
          </w:p>
        </w:tc>
      </w:tr>
      <w:tr w14:paraId="21BF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48A7E4DC">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20F8E3BE">
            <w:pPr>
              <w:pStyle w:val="211"/>
              <w:adjustRightInd w:val="0"/>
              <w:snapToGrid w:val="0"/>
              <w:spacing w:after="0" w:line="240" w:lineRule="atLeast"/>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办公楼</w:t>
            </w:r>
            <w:r>
              <w:rPr>
                <w:rFonts w:hint="eastAsia" w:ascii="宋体" w:hAnsi="宋体" w:eastAsia="宋体" w:cs="宋体"/>
                <w:color w:val="auto"/>
                <w:sz w:val="21"/>
                <w:szCs w:val="21"/>
                <w:highlight w:val="none"/>
              </w:rPr>
              <w:t>排风机台数/功率</w:t>
            </w:r>
          </w:p>
        </w:tc>
        <w:tc>
          <w:tcPr>
            <w:tcW w:w="2989" w:type="dxa"/>
            <w:gridSpan w:val="3"/>
            <w:shd w:val="clear" w:color="auto" w:fill="FFFFFF"/>
            <w:vAlign w:val="center"/>
          </w:tcPr>
          <w:p w14:paraId="4D64C65A">
            <w:pPr>
              <w:pStyle w:val="211"/>
              <w:adjustRightInd w:val="0"/>
              <w:snapToGrid w:val="0"/>
              <w:spacing w:after="0" w:line="24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232.1</w:t>
            </w:r>
            <w:r>
              <w:rPr>
                <w:rFonts w:hint="eastAsia" w:ascii="宋体" w:hAnsi="宋体" w:eastAsia="宋体" w:cs="宋体"/>
                <w:color w:val="auto"/>
                <w:sz w:val="21"/>
                <w:szCs w:val="21"/>
                <w:highlight w:val="none"/>
              </w:rPr>
              <w:t>kW</w:t>
            </w:r>
          </w:p>
        </w:tc>
      </w:tr>
      <w:tr w14:paraId="72A5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restart"/>
            <w:shd w:val="clear" w:color="auto" w:fill="FFFFFF"/>
            <w:vAlign w:val="center"/>
          </w:tcPr>
          <w:p w14:paraId="573409CD">
            <w:pPr>
              <w:pStyle w:val="211"/>
              <w:adjustRightInd w:val="0"/>
              <w:snapToGrid w:val="0"/>
              <w:spacing w:after="0" w:line="240" w:lineRule="atLeas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排烟系统</w:t>
            </w:r>
          </w:p>
        </w:tc>
        <w:tc>
          <w:tcPr>
            <w:tcW w:w="4333" w:type="dxa"/>
            <w:gridSpan w:val="3"/>
            <w:shd w:val="clear" w:color="auto" w:fill="FFFFFF"/>
            <w:vAlign w:val="center"/>
          </w:tcPr>
          <w:p w14:paraId="74EB05BF">
            <w:pPr>
              <w:pStyle w:val="211"/>
              <w:adjustRightInd w:val="0"/>
              <w:snapToGrid w:val="0"/>
              <w:spacing w:after="0" w:line="240" w:lineRule="atLeast"/>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地下室</w:t>
            </w:r>
            <w:r>
              <w:rPr>
                <w:rFonts w:hint="eastAsia" w:ascii="宋体" w:hAnsi="宋体" w:eastAsia="宋体" w:cs="宋体"/>
                <w:color w:val="auto"/>
                <w:sz w:val="21"/>
                <w:szCs w:val="21"/>
                <w:highlight w:val="none"/>
              </w:rPr>
              <w:t>排烟风机台数/总功率</w:t>
            </w:r>
          </w:p>
        </w:tc>
        <w:tc>
          <w:tcPr>
            <w:tcW w:w="2989" w:type="dxa"/>
            <w:gridSpan w:val="3"/>
            <w:shd w:val="clear" w:color="auto" w:fill="FFFFFF"/>
            <w:vAlign w:val="center"/>
          </w:tcPr>
          <w:p w14:paraId="1AE55BB9">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6台/</w:t>
            </w:r>
            <w:r>
              <w:rPr>
                <w:rFonts w:hint="eastAsia" w:ascii="宋体" w:hAnsi="宋体" w:eastAsia="宋体" w:cs="宋体"/>
                <w:color w:val="auto"/>
                <w:sz w:val="21"/>
                <w:szCs w:val="21"/>
                <w:highlight w:val="none"/>
                <w:lang w:val="en-US" w:eastAsia="zh-CN"/>
              </w:rPr>
              <w:t>296</w:t>
            </w:r>
            <w:r>
              <w:rPr>
                <w:rFonts w:hint="eastAsia" w:ascii="宋体" w:hAnsi="宋体" w:eastAsia="宋体" w:cs="宋体"/>
                <w:color w:val="auto"/>
                <w:sz w:val="21"/>
                <w:szCs w:val="21"/>
                <w:highlight w:val="none"/>
              </w:rPr>
              <w:t>kw</w:t>
            </w:r>
          </w:p>
        </w:tc>
      </w:tr>
      <w:tr w14:paraId="5BA6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277DAF22">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549E88F7">
            <w:pPr>
              <w:pStyle w:val="211"/>
              <w:adjustRightInd w:val="0"/>
              <w:snapToGrid w:val="0"/>
              <w:spacing w:after="0" w:line="240" w:lineRule="atLeast"/>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办公楼</w:t>
            </w:r>
            <w:r>
              <w:rPr>
                <w:rFonts w:hint="eastAsia" w:ascii="宋体" w:hAnsi="宋体" w:eastAsia="宋体" w:cs="宋体"/>
                <w:color w:val="auto"/>
                <w:sz w:val="21"/>
                <w:szCs w:val="21"/>
                <w:highlight w:val="none"/>
              </w:rPr>
              <w:t>排烟风机台数/总功</w:t>
            </w:r>
            <w:r>
              <w:rPr>
                <w:rFonts w:hint="eastAsia" w:ascii="宋体" w:hAnsi="宋体" w:eastAsia="宋体" w:cs="宋体"/>
                <w:color w:val="auto"/>
                <w:sz w:val="21"/>
                <w:szCs w:val="21"/>
                <w:highlight w:val="none"/>
                <w:lang w:val="en-US" w:eastAsia="zh-CN"/>
              </w:rPr>
              <w:t>率</w:t>
            </w:r>
          </w:p>
        </w:tc>
        <w:tc>
          <w:tcPr>
            <w:tcW w:w="2989" w:type="dxa"/>
            <w:gridSpan w:val="3"/>
            <w:shd w:val="clear" w:color="auto" w:fill="FFFFFF"/>
            <w:vAlign w:val="center"/>
          </w:tcPr>
          <w:p w14:paraId="761B65FA">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台/</w:t>
            </w:r>
            <w:r>
              <w:rPr>
                <w:rFonts w:hint="eastAsia" w:ascii="宋体" w:hAnsi="宋体" w:eastAsia="宋体" w:cs="宋体"/>
                <w:color w:val="auto"/>
                <w:sz w:val="21"/>
                <w:szCs w:val="21"/>
                <w:highlight w:val="none"/>
                <w:lang w:val="en-US" w:eastAsia="zh-CN"/>
              </w:rPr>
              <w:t>89</w:t>
            </w:r>
            <w:r>
              <w:rPr>
                <w:rFonts w:hint="eastAsia" w:ascii="宋体" w:hAnsi="宋体" w:eastAsia="宋体" w:cs="宋体"/>
                <w:color w:val="auto"/>
                <w:sz w:val="21"/>
                <w:szCs w:val="21"/>
                <w:highlight w:val="none"/>
              </w:rPr>
              <w:t>kw</w:t>
            </w:r>
          </w:p>
        </w:tc>
      </w:tr>
    </w:tbl>
    <w:p w14:paraId="3943FCF0">
      <w:pPr>
        <w:bidi w:val="0"/>
        <w:rPr>
          <w:rFonts w:hint="eastAsia"/>
          <w:color w:val="auto"/>
          <w:lang w:val="en-US" w:eastAsia="zh-CN"/>
        </w:rPr>
      </w:pPr>
      <w:bookmarkStart w:id="518" w:name="_Toc30595"/>
    </w:p>
    <w:p w14:paraId="3EB15E55">
      <w:pPr>
        <w:pStyle w:val="2"/>
        <w:adjustRightInd w:val="0"/>
        <w:snapToGrid w:val="0"/>
        <w:spacing w:line="360" w:lineRule="auto"/>
        <w:rPr>
          <w:rFonts w:hint="eastAsia" w:ascii="宋体" w:hAnsi="宋体" w:eastAsia="宋体" w:cs="宋体"/>
          <w:color w:val="auto"/>
          <w:sz w:val="21"/>
          <w:szCs w:val="21"/>
          <w:highlight w:val="none"/>
          <w:lang w:val="en-US" w:eastAsia="zh-CN"/>
        </w:rPr>
      </w:pPr>
      <w:bookmarkStart w:id="519" w:name="_Toc26497"/>
      <w:bookmarkStart w:id="520" w:name="_Toc21282"/>
      <w:bookmarkStart w:id="521" w:name="_Toc11605"/>
      <w:bookmarkStart w:id="522" w:name="_Toc27339"/>
      <w:bookmarkStart w:id="523" w:name="_Toc92"/>
      <w:r>
        <w:rPr>
          <w:rFonts w:hint="eastAsia" w:ascii="宋体" w:hAnsi="宋体" w:eastAsia="宋体" w:cs="宋体"/>
          <w:b/>
          <w:bCs/>
          <w:color w:val="auto"/>
          <w:sz w:val="21"/>
          <w:szCs w:val="21"/>
          <w:highlight w:val="none"/>
          <w:lang w:val="en-US" w:eastAsia="zh-CN"/>
        </w:rPr>
        <w:t>二、采购服务内容</w:t>
      </w:r>
      <w:bookmarkEnd w:id="518"/>
      <w:bookmarkEnd w:id="519"/>
      <w:bookmarkEnd w:id="520"/>
      <w:bookmarkEnd w:id="521"/>
      <w:bookmarkEnd w:id="522"/>
      <w:bookmarkEnd w:id="523"/>
    </w:p>
    <w:p w14:paraId="3DC57B6D">
      <w:pPr>
        <w:pStyle w:val="4"/>
        <w:bidi w:val="0"/>
        <w:spacing w:line="360" w:lineRule="auto"/>
        <w:ind w:firstLine="422" w:firstLineChars="200"/>
        <w:rPr>
          <w:rFonts w:hint="eastAsia" w:ascii="宋体" w:hAnsi="宋体" w:eastAsia="宋体" w:cs="宋体"/>
          <w:b/>
          <w:bCs/>
          <w:color w:val="auto"/>
          <w:sz w:val="21"/>
          <w:szCs w:val="21"/>
          <w:highlight w:val="none"/>
          <w:lang w:val="en-US" w:eastAsia="zh-CN"/>
        </w:rPr>
      </w:pPr>
      <w:bookmarkStart w:id="524" w:name="_Toc28184"/>
      <w:bookmarkStart w:id="525" w:name="_Toc18196"/>
      <w:bookmarkStart w:id="526" w:name="_Toc11101"/>
      <w:bookmarkStart w:id="527" w:name="_Toc20277"/>
      <w:bookmarkStart w:id="528" w:name="_Toc885"/>
      <w:bookmarkStart w:id="529" w:name="_Toc25856"/>
      <w:bookmarkStart w:id="530" w:name="_Toc16786"/>
      <w:bookmarkStart w:id="531" w:name="_Toc4394"/>
      <w:bookmarkStart w:id="532" w:name="_Toc18238"/>
      <w:bookmarkStart w:id="533" w:name="_Toc27168"/>
      <w:r>
        <w:rPr>
          <w:rFonts w:hint="eastAsia" w:ascii="宋体" w:hAnsi="宋体" w:eastAsia="宋体" w:cs="宋体"/>
          <w:b/>
          <w:bCs/>
          <w:color w:val="auto"/>
          <w:sz w:val="21"/>
          <w:szCs w:val="21"/>
          <w:highlight w:val="none"/>
          <w:lang w:val="en-US" w:eastAsia="zh-CN"/>
        </w:rPr>
        <w:t>2.1</w:t>
      </w:r>
      <w:bookmarkEnd w:id="524"/>
      <w:r>
        <w:rPr>
          <w:rFonts w:hint="eastAsia"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en-US" w:eastAsia="zh-CN"/>
        </w:rPr>
        <w:t>物业管理带教服务</w:t>
      </w:r>
      <w:bookmarkEnd w:id="525"/>
      <w:bookmarkEnd w:id="526"/>
      <w:bookmarkEnd w:id="527"/>
      <w:bookmarkEnd w:id="528"/>
      <w:bookmarkEnd w:id="529"/>
    </w:p>
    <w:p w14:paraId="2B33424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none"/>
        </w:rPr>
        <w:t>由</w:t>
      </w:r>
      <w:r>
        <w:rPr>
          <w:rFonts w:hint="eastAsia" w:ascii="宋体" w:hAnsi="宋体" w:eastAsia="宋体" w:cs="宋体"/>
          <w:b w:val="0"/>
          <w:bCs w:val="0"/>
          <w:color w:val="auto"/>
          <w:sz w:val="21"/>
          <w:szCs w:val="21"/>
          <w:highlight w:val="none"/>
          <w:lang w:val="en-US" w:eastAsia="zh-CN"/>
        </w:rPr>
        <w:t>招标人</w:t>
      </w:r>
      <w:r>
        <w:rPr>
          <w:rFonts w:hint="eastAsia" w:ascii="宋体" w:hAnsi="宋体" w:eastAsia="宋体" w:cs="宋体"/>
          <w:b w:val="0"/>
          <w:bCs w:val="0"/>
          <w:color w:val="auto"/>
          <w:sz w:val="21"/>
          <w:szCs w:val="21"/>
          <w:highlight w:val="none"/>
        </w:rPr>
        <w:t>委派</w:t>
      </w:r>
      <w:r>
        <w:rPr>
          <w:rFonts w:hint="eastAsia" w:ascii="宋体" w:hAnsi="宋体" w:eastAsia="宋体" w:cs="宋体"/>
          <w:b w:val="0"/>
          <w:bCs w:val="0"/>
          <w:color w:val="auto"/>
          <w:sz w:val="21"/>
          <w:szCs w:val="21"/>
          <w:highlight w:val="none"/>
          <w:lang w:val="en-US" w:eastAsia="zh-CN"/>
        </w:rPr>
        <w:t>学</w:t>
      </w:r>
      <w:r>
        <w:rPr>
          <w:rFonts w:hint="eastAsia" w:ascii="宋体" w:hAnsi="宋体" w:eastAsia="宋体" w:cs="宋体"/>
          <w:b w:val="0"/>
          <w:bCs w:val="0"/>
          <w:color w:val="auto"/>
          <w:sz w:val="21"/>
          <w:szCs w:val="21"/>
          <w:highlight w:val="none"/>
        </w:rPr>
        <w:t>员至项目跟岗学习，</w:t>
      </w:r>
      <w:r>
        <w:rPr>
          <w:rFonts w:hint="eastAsia" w:ascii="宋体" w:hAnsi="宋体" w:eastAsia="宋体" w:cs="宋体"/>
          <w:b w:val="0"/>
          <w:bCs w:val="0"/>
          <w:color w:val="auto"/>
          <w:sz w:val="21"/>
          <w:szCs w:val="21"/>
          <w:highlight w:val="none"/>
          <w:lang w:val="en-US" w:eastAsia="zh-CN"/>
        </w:rPr>
        <w:t>要求中标人制定</w:t>
      </w:r>
      <w:r>
        <w:rPr>
          <w:rFonts w:hint="eastAsia" w:ascii="宋体" w:hAnsi="宋体" w:eastAsia="宋体" w:cs="宋体"/>
          <w:b w:val="0"/>
          <w:bCs w:val="0"/>
          <w:color w:val="auto"/>
          <w:sz w:val="21"/>
          <w:szCs w:val="21"/>
          <w:highlight w:val="none"/>
        </w:rPr>
        <w:t>专项培养计划</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从正式服务合同期第7个月开始通过为期约15个月（具体时间，招标人可根据实际情况进行灵活调整，以招标人的书面通知为准）的系统化带教，使学员（储备项目负责人，工程、安保、环境、客服4大条线储备负责人，共计5人）全面掌握写字楼物业项目的运营管理知识与技能，具备独立处理复杂问题、带领团队、达成业绩指标的能力。</w:t>
      </w:r>
    </w:p>
    <w:p w14:paraId="152DAFF8">
      <w:pPr>
        <w:bidi w:val="0"/>
        <w:spacing w:line="360" w:lineRule="auto"/>
        <w:ind w:firstLine="422" w:firstLineChars="200"/>
        <w:jc w:val="left"/>
        <w:outlineLvl w:val="3"/>
        <w:rPr>
          <w:rFonts w:hint="eastAsia" w:ascii="宋体" w:hAnsi="宋体" w:eastAsia="宋体" w:cs="宋体"/>
          <w:b/>
          <w:bCs/>
          <w:color w:val="auto"/>
          <w:sz w:val="21"/>
          <w:szCs w:val="21"/>
          <w:lang w:val="en-US" w:eastAsia="zh-CN"/>
        </w:rPr>
      </w:pPr>
      <w:bookmarkStart w:id="534" w:name="_Toc25776"/>
      <w:bookmarkStart w:id="535" w:name="_Toc29771"/>
      <w:bookmarkStart w:id="536" w:name="_Toc5876"/>
      <w:bookmarkStart w:id="537" w:name="_Toc17301"/>
      <w:bookmarkStart w:id="538" w:name="_Toc11704"/>
      <w:r>
        <w:rPr>
          <w:rFonts w:hint="eastAsia" w:ascii="宋体" w:hAnsi="宋体" w:eastAsia="宋体" w:cs="宋体"/>
          <w:b/>
          <w:bCs/>
          <w:color w:val="auto"/>
          <w:sz w:val="21"/>
          <w:szCs w:val="21"/>
          <w:lang w:val="en-US" w:eastAsia="zh-CN"/>
        </w:rPr>
        <w:t>2.1.1带教服务总体要求</w:t>
      </w:r>
      <w:bookmarkEnd w:id="534"/>
      <w:bookmarkEnd w:id="535"/>
      <w:bookmarkEnd w:id="536"/>
      <w:bookmarkEnd w:id="537"/>
      <w:bookmarkEnd w:id="538"/>
    </w:p>
    <w:p w14:paraId="73C2A91A">
      <w:pPr>
        <w:spacing w:line="360" w:lineRule="auto"/>
        <w:ind w:firstLine="42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责任主体：中标人作为带教服务的责任方，须对带教过程的系统性、有效性及最终成果负责。</w:t>
      </w:r>
    </w:p>
    <w:p w14:paraId="55E02A4E">
      <w:pPr>
        <w:spacing w:line="360" w:lineRule="auto"/>
        <w:ind w:firstLine="42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全程融合：带教工作须与项目日常物业服务运营深度融合，确保理论传授与实操训练紧密结合。</w:t>
      </w:r>
    </w:p>
    <w:p w14:paraId="6B515887">
      <w:pPr>
        <w:spacing w:line="360" w:lineRule="auto"/>
        <w:ind w:firstLine="42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highlight w:val="none"/>
          <w:lang w:val="en-US" w:eastAsia="zh-CN"/>
        </w:rPr>
        <w:t>目标导向：带教工作应以实现招标人学员独立胜任目标岗位为最终目的，所有活动均围绕此目标展开。</w:t>
      </w:r>
    </w:p>
    <w:p w14:paraId="111E3BED">
      <w:pPr>
        <w:bidi w:val="0"/>
        <w:spacing w:line="360" w:lineRule="auto"/>
        <w:ind w:firstLine="422" w:firstLineChars="200"/>
        <w:jc w:val="left"/>
        <w:outlineLvl w:val="3"/>
        <w:rPr>
          <w:rFonts w:hint="eastAsia" w:ascii="宋体" w:hAnsi="宋体" w:eastAsia="宋体" w:cs="宋体"/>
          <w:b/>
          <w:bCs/>
          <w:color w:val="auto"/>
          <w:sz w:val="21"/>
          <w:szCs w:val="21"/>
          <w:lang w:val="en-US" w:eastAsia="zh-CN"/>
        </w:rPr>
      </w:pPr>
      <w:bookmarkStart w:id="539" w:name="_Toc16136"/>
      <w:bookmarkStart w:id="540" w:name="_Toc12729"/>
      <w:bookmarkStart w:id="541" w:name="_Toc24392"/>
      <w:bookmarkStart w:id="542" w:name="_Toc12484"/>
      <w:bookmarkStart w:id="543" w:name="_Toc24245"/>
      <w:r>
        <w:rPr>
          <w:rFonts w:hint="eastAsia" w:ascii="宋体" w:hAnsi="宋体" w:eastAsia="宋体" w:cs="宋体"/>
          <w:b/>
          <w:bCs/>
          <w:color w:val="auto"/>
          <w:sz w:val="21"/>
          <w:szCs w:val="21"/>
          <w:lang w:val="en-US" w:eastAsia="zh-CN"/>
        </w:rPr>
        <w:t>2.1.2带教服务内容</w:t>
      </w:r>
      <w:bookmarkEnd w:id="539"/>
      <w:bookmarkEnd w:id="540"/>
      <w:bookmarkEnd w:id="541"/>
      <w:bookmarkEnd w:id="542"/>
      <w:bookmarkEnd w:id="543"/>
    </w:p>
    <w:p w14:paraId="1CA32C4B">
      <w:pPr>
        <w:pStyle w:val="18"/>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中标人提供的带教内容须全面覆盖以下内容：</w:t>
      </w:r>
    </w:p>
    <w:p w14:paraId="6CA77E2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bookmarkStart w:id="544" w:name="OLE_LINK6"/>
      <w:r>
        <w:rPr>
          <w:rFonts w:hint="eastAsia" w:ascii="宋体" w:hAnsi="宋体" w:eastAsia="宋体" w:cs="宋体"/>
          <w:b w:val="0"/>
          <w:bCs w:val="0"/>
          <w:color w:val="auto"/>
          <w:sz w:val="21"/>
          <w:szCs w:val="21"/>
          <w:highlight w:val="none"/>
          <w:lang w:val="en-US" w:eastAsia="zh-CN"/>
        </w:rPr>
        <w:t>项目管理体系</w:t>
      </w:r>
      <w:bookmarkEnd w:id="544"/>
      <w:r>
        <w:rPr>
          <w:rFonts w:hint="eastAsia" w:ascii="宋体" w:hAnsi="宋体" w:eastAsia="宋体" w:cs="宋体"/>
          <w:b w:val="0"/>
          <w:bCs w:val="0"/>
          <w:color w:val="auto"/>
          <w:sz w:val="21"/>
          <w:szCs w:val="21"/>
          <w:highlight w:val="none"/>
          <w:lang w:val="en-US" w:eastAsia="zh-CN"/>
        </w:rPr>
        <w:t>：项目全周期运营管理思路；物业服务各模块（客服、工程、秩序、环境）标准化作业程序；品质管控体系与方法；内部考核与激励机制的建立与运行。</w:t>
      </w:r>
    </w:p>
    <w:p w14:paraId="706EBD1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bookmarkStart w:id="545" w:name="OLE_LINK7"/>
      <w:r>
        <w:rPr>
          <w:rFonts w:hint="eastAsia" w:ascii="宋体" w:hAnsi="宋体" w:eastAsia="宋体" w:cs="宋体"/>
          <w:b w:val="0"/>
          <w:bCs w:val="0"/>
          <w:color w:val="auto"/>
          <w:sz w:val="21"/>
          <w:szCs w:val="21"/>
          <w:highlight w:val="none"/>
          <w:lang w:val="en-US" w:eastAsia="zh-CN"/>
        </w:rPr>
        <w:t>客户服务与关系维护</w:t>
      </w:r>
      <w:bookmarkEnd w:id="545"/>
      <w:r>
        <w:rPr>
          <w:rFonts w:hint="eastAsia" w:ascii="宋体" w:hAnsi="宋体" w:eastAsia="宋体" w:cs="宋体"/>
          <w:b w:val="0"/>
          <w:bCs w:val="0"/>
          <w:color w:val="auto"/>
          <w:sz w:val="21"/>
          <w:szCs w:val="21"/>
          <w:highlight w:val="none"/>
          <w:lang w:val="en-US" w:eastAsia="zh-CN"/>
        </w:rPr>
        <w:t>：前台接待、客户动线管理、服务礼仪与沟通规范；客户诉求处理机制与流程；客户满意度调查与分析改进；重大活动及会议的物业服务保障。</w:t>
      </w:r>
    </w:p>
    <w:p w14:paraId="3398B2C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bookmarkStart w:id="546" w:name="OLE_LINK8"/>
      <w:r>
        <w:rPr>
          <w:rFonts w:hint="eastAsia" w:ascii="宋体" w:hAnsi="宋体" w:eastAsia="宋体" w:cs="宋体"/>
          <w:b w:val="0"/>
          <w:bCs w:val="0"/>
          <w:color w:val="auto"/>
          <w:sz w:val="21"/>
          <w:szCs w:val="21"/>
          <w:highlight w:val="none"/>
          <w:lang w:val="en-US" w:eastAsia="zh-CN"/>
        </w:rPr>
        <w:t>工程运维管理</w:t>
      </w:r>
      <w:bookmarkEnd w:id="546"/>
      <w:r>
        <w:rPr>
          <w:rFonts w:hint="eastAsia" w:ascii="宋体" w:hAnsi="宋体" w:eastAsia="宋体" w:cs="宋体"/>
          <w:b w:val="0"/>
          <w:bCs w:val="0"/>
          <w:color w:val="auto"/>
          <w:sz w:val="21"/>
          <w:szCs w:val="21"/>
          <w:highlight w:val="none"/>
          <w:lang w:val="en-US" w:eastAsia="zh-CN"/>
        </w:rPr>
        <w:t>：房屋本体及共用设施设备的日常巡检、维护保养标准与计划编制；供配电、给排水、电梯、消防、空调等核心系统的运行原理与操作要点；维修报事流程与监管；工程档案资料管理；节能降耗管理策略。</w:t>
      </w:r>
    </w:p>
    <w:p w14:paraId="3F61022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秩序维护与环境管理：全防范体系（人防、物防、技防）的构建与运作；各类（含消防安全）应急预案的制定、演练与应急处置；车辆动线及停车管理；保洁、绿化、垃圾处理等服务标准的落地与现场品质控制；外包服务方的监管与考核。</w:t>
      </w:r>
    </w:p>
    <w:p w14:paraId="57F2FAC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bookmarkStart w:id="547" w:name="OLE_LINK9"/>
      <w:r>
        <w:rPr>
          <w:rFonts w:hint="eastAsia" w:ascii="宋体" w:hAnsi="宋体" w:eastAsia="宋体" w:cs="宋体"/>
          <w:b w:val="0"/>
          <w:bCs w:val="0"/>
          <w:color w:val="auto"/>
          <w:sz w:val="21"/>
          <w:szCs w:val="21"/>
          <w:highlight w:val="none"/>
          <w:lang w:val="en-US" w:eastAsia="zh-CN"/>
        </w:rPr>
        <w:t>运营管理与财务知识</w:t>
      </w:r>
      <w:bookmarkEnd w:id="547"/>
      <w:r>
        <w:rPr>
          <w:rFonts w:hint="eastAsia" w:ascii="宋体" w:hAnsi="宋体" w:eastAsia="宋体" w:cs="宋体"/>
          <w:b w:val="0"/>
          <w:bCs w:val="0"/>
          <w:color w:val="auto"/>
          <w:sz w:val="21"/>
          <w:szCs w:val="21"/>
          <w:highlight w:val="none"/>
          <w:lang w:val="en-US" w:eastAsia="zh-CN"/>
        </w:rPr>
        <w:t>：物业服务费的构成与测算逻辑；项目年度预算的编制、执行与控制；物资采购与库存管理流程；分包合同管理要点；物业服务相关财务报表的阅读与分析基础。</w:t>
      </w:r>
    </w:p>
    <w:p w14:paraId="429D1C8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bookmarkStart w:id="548" w:name="OLE_LINK10"/>
      <w:r>
        <w:rPr>
          <w:rFonts w:hint="eastAsia" w:ascii="宋体" w:hAnsi="宋体" w:eastAsia="宋体" w:cs="宋体"/>
          <w:b w:val="0"/>
          <w:bCs w:val="0"/>
          <w:color w:val="auto"/>
          <w:sz w:val="21"/>
          <w:szCs w:val="21"/>
          <w:highlight w:val="none"/>
          <w:lang w:val="en-US" w:eastAsia="zh-CN"/>
        </w:rPr>
        <w:t>管理能力与领导力</w:t>
      </w:r>
      <w:bookmarkEnd w:id="548"/>
      <w:r>
        <w:rPr>
          <w:rFonts w:hint="eastAsia" w:ascii="宋体" w:hAnsi="宋体" w:eastAsia="宋体" w:cs="宋体"/>
          <w:b w:val="0"/>
          <w:bCs w:val="0"/>
          <w:color w:val="auto"/>
          <w:sz w:val="21"/>
          <w:szCs w:val="21"/>
          <w:highlight w:val="none"/>
          <w:lang w:val="en-US" w:eastAsia="zh-CN"/>
        </w:rPr>
        <w:t>：团队建设与人员激励技巧；高效会议组织与工作部署；公文写作与工作汇报；突发事件（如媒体应对、群体诉求）的沟通与危机公关基础。</w:t>
      </w:r>
    </w:p>
    <w:p w14:paraId="2BFECE5D">
      <w:pPr>
        <w:bidi w:val="0"/>
        <w:spacing w:line="360" w:lineRule="auto"/>
        <w:ind w:firstLine="422" w:firstLineChars="200"/>
        <w:jc w:val="left"/>
        <w:outlineLvl w:val="3"/>
        <w:rPr>
          <w:rFonts w:hint="eastAsia" w:ascii="宋体" w:hAnsi="宋体" w:eastAsia="宋体" w:cs="宋体"/>
          <w:b/>
          <w:bCs/>
          <w:color w:val="auto"/>
          <w:sz w:val="21"/>
          <w:szCs w:val="21"/>
          <w:lang w:val="en-US" w:eastAsia="zh-CN"/>
        </w:rPr>
      </w:pPr>
      <w:bookmarkStart w:id="549" w:name="_Toc9816"/>
      <w:bookmarkStart w:id="550" w:name="_Toc18509"/>
      <w:bookmarkStart w:id="551" w:name="_Toc20283"/>
      <w:bookmarkStart w:id="552" w:name="_Toc8343"/>
      <w:bookmarkStart w:id="553" w:name="_Toc21338"/>
      <w:r>
        <w:rPr>
          <w:rFonts w:hint="eastAsia" w:ascii="宋体" w:hAnsi="宋体" w:eastAsia="宋体" w:cs="宋体"/>
          <w:b/>
          <w:bCs/>
          <w:color w:val="auto"/>
          <w:sz w:val="21"/>
          <w:szCs w:val="21"/>
          <w:lang w:val="en-US" w:eastAsia="zh-CN"/>
        </w:rPr>
        <w:t>2.1.3带教人员配置与资源保障</w:t>
      </w:r>
      <w:bookmarkEnd w:id="549"/>
      <w:bookmarkEnd w:id="550"/>
      <w:bookmarkEnd w:id="551"/>
      <w:bookmarkEnd w:id="552"/>
      <w:bookmarkEnd w:id="553"/>
    </w:p>
    <w:p w14:paraId="456FEA6D">
      <w:pPr>
        <w:pStyle w:val="18"/>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带教团队：中标人应组建具备相应资质与经验的带教团队，按照带教学员“一对一”配置导师，导师需由中标人另行选派，不得由拟投入本项目的物业管理团队人员兼任，导师资历不低于物业团队同等岗位任职能力，并确保核心带教团队在合作期内的稳定性。</w:t>
      </w:r>
    </w:p>
    <w:p w14:paraId="65539FBC">
      <w:pPr>
        <w:pStyle w:val="18"/>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资源投入：中标人须承诺投入</w:t>
      </w:r>
      <w:bookmarkStart w:id="554" w:name="OLE_LINK4"/>
      <w:r>
        <w:rPr>
          <w:rFonts w:hint="eastAsia" w:ascii="宋体" w:hAnsi="宋体" w:eastAsia="宋体" w:cs="宋体"/>
          <w:b w:val="0"/>
          <w:bCs w:val="0"/>
          <w:color w:val="auto"/>
          <w:sz w:val="21"/>
          <w:szCs w:val="21"/>
          <w:highlight w:val="none"/>
          <w:lang w:val="en-US" w:eastAsia="zh-CN"/>
        </w:rPr>
        <w:t>必要的培训资源，包括但不限于课程体系、教材、实操场地及设备，以支持带教工作的有效实施。</w:t>
      </w:r>
    </w:p>
    <w:bookmarkEnd w:id="554"/>
    <w:p w14:paraId="01C4EBB0">
      <w:pPr>
        <w:bidi w:val="0"/>
        <w:spacing w:line="360" w:lineRule="auto"/>
        <w:ind w:firstLine="422" w:firstLineChars="200"/>
        <w:jc w:val="left"/>
        <w:outlineLvl w:val="3"/>
        <w:rPr>
          <w:rFonts w:hint="eastAsia" w:ascii="宋体" w:hAnsi="宋体" w:eastAsia="宋体" w:cs="宋体"/>
          <w:b/>
          <w:bCs/>
          <w:color w:val="auto"/>
          <w:sz w:val="21"/>
          <w:szCs w:val="21"/>
          <w:lang w:val="en-US" w:eastAsia="zh-CN"/>
        </w:rPr>
      </w:pPr>
      <w:bookmarkStart w:id="555" w:name="_Toc22189"/>
      <w:bookmarkStart w:id="556" w:name="_Toc9550"/>
      <w:bookmarkStart w:id="557" w:name="_Toc22822"/>
      <w:bookmarkStart w:id="558" w:name="_Toc31941"/>
      <w:bookmarkStart w:id="559" w:name="_Toc6416"/>
      <w:r>
        <w:rPr>
          <w:rFonts w:hint="eastAsia" w:ascii="宋体" w:hAnsi="宋体" w:eastAsia="宋体" w:cs="宋体"/>
          <w:b/>
          <w:bCs/>
          <w:color w:val="auto"/>
          <w:sz w:val="21"/>
          <w:szCs w:val="21"/>
          <w:lang w:val="en-US" w:eastAsia="zh-CN"/>
        </w:rPr>
        <w:t>2.1.4带教服务执行流程</w:t>
      </w:r>
      <w:bookmarkEnd w:id="555"/>
      <w:bookmarkEnd w:id="556"/>
      <w:bookmarkEnd w:id="557"/>
      <w:bookmarkEnd w:id="558"/>
      <w:bookmarkEnd w:id="559"/>
    </w:p>
    <w:p w14:paraId="406AF6A0">
      <w:pPr>
        <w:pStyle w:val="18"/>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带教服务包含带教过程和最终成果两大阶段，具体执行时间及流程如下；</w:t>
      </w:r>
    </w:p>
    <w:tbl>
      <w:tblPr>
        <w:tblStyle w:val="41"/>
        <w:tblW w:w="92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7"/>
        <w:gridCol w:w="1618"/>
        <w:gridCol w:w="1177"/>
        <w:gridCol w:w="2520"/>
        <w:gridCol w:w="3246"/>
      </w:tblGrid>
      <w:tr w14:paraId="7262C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A21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编号</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DFE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带教服务时间</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480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带教阶段</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71B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具备任务</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8B1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人员要求</w:t>
            </w:r>
          </w:p>
        </w:tc>
      </w:tr>
      <w:tr w14:paraId="6C2EE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981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B58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第1-6个月</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9853">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1"/>
                <w:szCs w:val="21"/>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384E">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中标人开展物业服务</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06AE">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中标人组建带教服务团队</w:t>
            </w:r>
          </w:p>
        </w:tc>
      </w:tr>
      <w:tr w14:paraId="101C0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2"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F67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28A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第7-11个月</w:t>
            </w:r>
          </w:p>
        </w:tc>
        <w:tc>
          <w:tcPr>
            <w:tcW w:w="11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6F3E">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带教过程</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F32B">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招标人委派学员第一阶段跟岗学习</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6C74">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招标人委派5名学员跟岗学习，</w:t>
            </w:r>
            <w:r>
              <w:rPr>
                <w:rFonts w:hint="eastAsia" w:ascii="宋体" w:hAnsi="宋体" w:eastAsia="宋体" w:cs="宋体"/>
                <w:b w:val="0"/>
                <w:bCs w:val="0"/>
                <w:color w:val="auto"/>
                <w:sz w:val="21"/>
                <w:szCs w:val="21"/>
                <w:highlight w:val="none"/>
                <w:lang w:eastAsia="zh-CN"/>
              </w:rPr>
              <w:t>纳入</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lang w:eastAsia="zh-CN"/>
              </w:rPr>
              <w:t>的团队管理（不转移劳动关系），</w:t>
            </w:r>
            <w:r>
              <w:rPr>
                <w:rFonts w:hint="eastAsia" w:ascii="宋体" w:hAnsi="宋体" w:eastAsia="宋体" w:cs="宋体"/>
                <w:b w:val="0"/>
                <w:bCs w:val="0"/>
                <w:i w:val="0"/>
                <w:iCs w:val="0"/>
                <w:color w:val="auto"/>
                <w:kern w:val="0"/>
                <w:sz w:val="21"/>
                <w:szCs w:val="21"/>
                <w:highlight w:val="none"/>
                <w:u w:val="none"/>
                <w:lang w:val="en-US" w:eastAsia="zh-CN" w:bidi="ar"/>
              </w:rPr>
              <w:t>中标人（除项目负责人外）被替岗人员退出物业管理团队</w:t>
            </w:r>
          </w:p>
        </w:tc>
      </w:tr>
      <w:tr w14:paraId="08F7A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7D2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040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第12-16个月</w:t>
            </w: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41D2">
            <w:pPr>
              <w:spacing w:line="240" w:lineRule="auto"/>
              <w:jc w:val="left"/>
              <w:rPr>
                <w:rFonts w:hint="eastAsia" w:ascii="宋体" w:hAnsi="宋体" w:eastAsia="宋体" w:cs="宋体"/>
                <w:b w:val="0"/>
                <w:bCs w:val="0"/>
                <w:i w:val="0"/>
                <w:iCs w:val="0"/>
                <w:color w:val="auto"/>
                <w:sz w:val="21"/>
                <w:szCs w:val="21"/>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981D">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招标人委派学员第二阶段跟岗学习</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731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中标人培训学员</w:t>
            </w:r>
          </w:p>
        </w:tc>
      </w:tr>
      <w:tr w14:paraId="53698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11B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7CC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第17-21个月</w:t>
            </w: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D54B">
            <w:pPr>
              <w:spacing w:line="240" w:lineRule="auto"/>
              <w:jc w:val="left"/>
              <w:rPr>
                <w:rFonts w:hint="eastAsia" w:ascii="宋体" w:hAnsi="宋体" w:eastAsia="宋体" w:cs="宋体"/>
                <w:b w:val="0"/>
                <w:bCs w:val="0"/>
                <w:i w:val="0"/>
                <w:iCs w:val="0"/>
                <w:color w:val="auto"/>
                <w:sz w:val="21"/>
                <w:szCs w:val="21"/>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3366">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招标人委派学员第三阶段跟岗学习</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B88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中标人培训学员</w:t>
            </w:r>
          </w:p>
        </w:tc>
      </w:tr>
      <w:tr w14:paraId="2ACE0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FDD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C9C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第22个月</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136EB">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最终成果</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CB8B">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成果提交，学员考核</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632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5名学员全部培养合格</w:t>
            </w:r>
          </w:p>
        </w:tc>
      </w:tr>
      <w:tr w14:paraId="44A3E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927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BCA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备注：上述带教服务时间，</w:t>
            </w:r>
            <w:r>
              <w:rPr>
                <w:rFonts w:hint="eastAsia" w:ascii="宋体" w:hAnsi="宋体" w:eastAsia="宋体" w:cs="宋体"/>
                <w:b w:val="0"/>
                <w:bCs w:val="0"/>
                <w:color w:val="auto"/>
                <w:sz w:val="21"/>
                <w:szCs w:val="21"/>
                <w:highlight w:val="none"/>
                <w:lang w:val="en-US" w:eastAsia="zh-CN"/>
              </w:rPr>
              <w:t>招标人可根据实际情况进行灵活调整，以招标人的书面通知为准。</w:t>
            </w:r>
          </w:p>
        </w:tc>
      </w:tr>
    </w:tbl>
    <w:p w14:paraId="6466847F">
      <w:pPr>
        <w:bidi w:val="0"/>
        <w:spacing w:line="360" w:lineRule="auto"/>
        <w:ind w:firstLine="422" w:firstLineChars="200"/>
        <w:jc w:val="left"/>
        <w:outlineLvl w:val="3"/>
        <w:rPr>
          <w:rFonts w:hint="eastAsia" w:ascii="宋体" w:hAnsi="宋体" w:eastAsia="宋体" w:cs="宋体"/>
          <w:b/>
          <w:bCs/>
          <w:color w:val="auto"/>
          <w:sz w:val="21"/>
          <w:szCs w:val="21"/>
          <w:lang w:val="en-US" w:eastAsia="zh-CN"/>
        </w:rPr>
      </w:pPr>
      <w:bookmarkStart w:id="560" w:name="_Toc9551"/>
      <w:bookmarkStart w:id="561" w:name="_Toc6437"/>
      <w:bookmarkStart w:id="562" w:name="_Toc4979"/>
      <w:bookmarkStart w:id="563" w:name="_Toc28057"/>
      <w:bookmarkStart w:id="564" w:name="_Toc27010"/>
      <w:r>
        <w:rPr>
          <w:rFonts w:hint="eastAsia" w:ascii="宋体" w:hAnsi="宋体" w:eastAsia="宋体" w:cs="宋体"/>
          <w:b/>
          <w:bCs/>
          <w:color w:val="auto"/>
          <w:sz w:val="21"/>
          <w:szCs w:val="21"/>
          <w:lang w:val="en-US" w:eastAsia="zh-CN"/>
        </w:rPr>
        <w:t>2.1.5带教服务成果要求</w:t>
      </w:r>
      <w:bookmarkEnd w:id="560"/>
      <w:bookmarkEnd w:id="561"/>
      <w:bookmarkEnd w:id="562"/>
      <w:bookmarkEnd w:id="563"/>
      <w:bookmarkEnd w:id="564"/>
    </w:p>
    <w:p w14:paraId="6C9E478D">
      <w:pPr>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（1）带教过程</w:t>
      </w:r>
    </w:p>
    <w:p w14:paraId="6AA8496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建立联合工作组机制：双方共同成立带教联合工作组，招标人方负责人担任组长。工作组每月召开一次例会，听取中标人关于带教工作进展的专题汇报，审议《跟岗进展报告》，协调解决带教过程中出现的问题。</w:t>
      </w:r>
    </w:p>
    <w:p w14:paraId="6F0415B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实施“一人一策”档案管理：中标人须为每一位招标人学员建立并动态更新个人带教成长档案。档案应详细记录其培训课程完成情况、实操训练表现、阶段考核成绩、导师评价及能力短板改进跟踪等内容，作为过程管控的基础依据。</w:t>
      </w:r>
    </w:p>
    <w:p w14:paraId="62936B4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执行关键节点里程碑检查：在整个带教周期内，设定数个关键里程碑节点。在每个节点，由联合工作组对带教成果进行阶段性验收。</w:t>
      </w:r>
    </w:p>
    <w:p w14:paraId="47619AF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落实综合评估与反馈：招标人依据本合同约定的带教服务过程考核内容 ，</w:t>
      </w:r>
      <w:bookmarkStart w:id="565" w:name="OLE_LINK14"/>
      <w:r>
        <w:rPr>
          <w:rFonts w:hint="eastAsia" w:ascii="宋体" w:hAnsi="宋体" w:eastAsia="宋体" w:cs="宋体"/>
          <w:b w:val="0"/>
          <w:bCs w:val="0"/>
          <w:color w:val="auto"/>
          <w:sz w:val="21"/>
          <w:szCs w:val="21"/>
          <w:highlight w:val="none"/>
          <w:lang w:val="en-US" w:eastAsia="zh-CN"/>
        </w:rPr>
        <w:t>对中标人的</w:t>
      </w:r>
      <w:bookmarkStart w:id="566" w:name="OLE_LINK15"/>
      <w:r>
        <w:rPr>
          <w:rFonts w:hint="eastAsia" w:ascii="宋体" w:hAnsi="宋体" w:eastAsia="宋体" w:cs="宋体"/>
          <w:b w:val="0"/>
          <w:bCs w:val="0"/>
          <w:color w:val="auto"/>
          <w:sz w:val="21"/>
          <w:szCs w:val="21"/>
          <w:highlight w:val="none"/>
          <w:lang w:val="en-US" w:eastAsia="zh-CN"/>
        </w:rPr>
        <w:t>带教方案执行、资源投入、导师履职及学员能力成长</w:t>
      </w:r>
      <w:bookmarkEnd w:id="566"/>
      <w:r>
        <w:rPr>
          <w:rFonts w:hint="eastAsia" w:ascii="宋体" w:hAnsi="宋体" w:eastAsia="宋体" w:cs="宋体"/>
          <w:b w:val="0"/>
          <w:bCs w:val="0"/>
          <w:color w:val="auto"/>
          <w:sz w:val="21"/>
          <w:szCs w:val="21"/>
          <w:highlight w:val="none"/>
          <w:lang w:val="en-US" w:eastAsia="zh-CN"/>
        </w:rPr>
        <w:t>情况进行3次过程考核评估</w:t>
      </w:r>
      <w:bookmarkEnd w:id="565"/>
      <w:r>
        <w:rPr>
          <w:rFonts w:hint="eastAsia" w:ascii="宋体" w:hAnsi="宋体" w:eastAsia="宋体" w:cs="宋体"/>
          <w:b w:val="0"/>
          <w:bCs w:val="0"/>
          <w:color w:val="auto"/>
          <w:sz w:val="21"/>
          <w:szCs w:val="21"/>
          <w:highlight w:val="none"/>
          <w:lang w:val="en-US" w:eastAsia="zh-CN"/>
        </w:rPr>
        <w:t>。考核评估结果与物业管理带教服务费用支付挂钩。</w:t>
      </w:r>
    </w:p>
    <w:p w14:paraId="746735C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强化双向沟通与动态调整：建立常态化的双向沟通渠道。除定期会议外，招标人学员可随时通过指定渠道向联合工作组反馈学习情况及诉求。联合工作组有权根据评估结果和实际情况，要求中标人对带教计划、方法或导师配置进行必要且合理的动态调整，以确保最终培养目标的实现。</w:t>
      </w:r>
    </w:p>
    <w:p w14:paraId="3622B1B9">
      <w:pPr>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（2）最终成果</w:t>
      </w:r>
    </w:p>
    <w:p w14:paraId="28D2285A">
      <w:pPr>
        <w:pStyle w:val="18"/>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带教期满，中标人须向招标人交付成果，包含但不限于完整的《项目运营管理知识体系文件》，全套《项目设施设备运维与应急处理手册》，针对每位完成培养的学员出具的《岗位胜任能力评估报告》，</w:t>
      </w:r>
      <w:r>
        <w:rPr>
          <w:rFonts w:hint="eastAsia" w:ascii="宋体" w:hAnsi="宋体" w:eastAsia="宋体" w:cs="宋体"/>
          <w:b w:val="0"/>
          <w:bCs w:val="0"/>
          <w:i w:val="0"/>
          <w:color w:val="auto"/>
          <w:kern w:val="0"/>
          <w:sz w:val="21"/>
          <w:szCs w:val="21"/>
          <w:highlight w:val="none"/>
          <w:u w:val="none"/>
          <w:lang w:val="en-US" w:eastAsia="zh-CN" w:bidi="ar"/>
        </w:rPr>
        <w:t>《项目全周期运营管理方案》，《物业服务各模块（客服、工程、秩序、环境）标准化作业程序》，《项目品质检查标准与考核办法》，《内部绩效考核与激励机制方案》，《各条线台账》，</w:t>
      </w:r>
      <w:r>
        <w:rPr>
          <w:rFonts w:hint="eastAsia" w:ascii="宋体" w:hAnsi="宋体" w:eastAsia="宋体" w:cs="宋体"/>
          <w:b w:val="0"/>
          <w:bCs w:val="0"/>
          <w:color w:val="auto"/>
          <w:sz w:val="21"/>
          <w:szCs w:val="21"/>
          <w:highlight w:val="none"/>
          <w:lang w:val="en-US" w:eastAsia="zh-CN"/>
        </w:rPr>
        <w:t>完整的带教过程记录与总结报告等。</w:t>
      </w:r>
    </w:p>
    <w:p w14:paraId="3107A86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带教期满，</w:t>
      </w:r>
      <w:bookmarkStart w:id="567" w:name="OLE_LINK11"/>
      <w:r>
        <w:rPr>
          <w:rFonts w:hint="eastAsia" w:ascii="宋体" w:hAnsi="宋体" w:eastAsia="宋体" w:cs="宋体"/>
          <w:b w:val="0"/>
          <w:bCs w:val="0"/>
          <w:color w:val="auto"/>
          <w:sz w:val="21"/>
          <w:szCs w:val="21"/>
          <w:highlight w:val="none"/>
          <w:lang w:val="en-US" w:eastAsia="zh-CN"/>
        </w:rPr>
        <w:t>学员（储备项目负责人，工程、安保、环境、客服四大条线负责人，共计5人）全部通过考核</w:t>
      </w:r>
      <w:r>
        <w:rPr>
          <w:rFonts w:hint="eastAsia" w:ascii="宋体" w:hAnsi="宋体" w:eastAsia="宋体" w:cs="宋体"/>
          <w:b w:val="0"/>
          <w:bCs w:val="0"/>
          <w:color w:val="auto"/>
          <w:sz w:val="21"/>
          <w:szCs w:val="21"/>
          <w:highlight w:val="none"/>
          <w:lang w:eastAsia="zh-CN"/>
        </w:rPr>
        <w:t>。</w:t>
      </w:r>
      <w:bookmarkEnd w:id="567"/>
    </w:p>
    <w:p w14:paraId="136E587D">
      <w:pPr>
        <w:pStyle w:val="4"/>
        <w:bidi w:val="0"/>
        <w:spacing w:line="360" w:lineRule="auto"/>
        <w:ind w:firstLine="422" w:firstLineChars="200"/>
        <w:jc w:val="left"/>
        <w:rPr>
          <w:rFonts w:hint="eastAsia" w:ascii="宋体" w:hAnsi="宋体" w:eastAsia="宋体" w:cs="宋体"/>
          <w:b/>
          <w:bCs/>
          <w:color w:val="auto"/>
          <w:kern w:val="2"/>
          <w:sz w:val="21"/>
          <w:szCs w:val="21"/>
          <w:highlight w:val="none"/>
          <w:lang w:val="en-US" w:eastAsia="zh-CN" w:bidi="ar-SA"/>
        </w:rPr>
      </w:pPr>
      <w:bookmarkStart w:id="568" w:name="_Toc3945"/>
      <w:bookmarkStart w:id="569" w:name="_Toc826"/>
      <w:bookmarkStart w:id="570" w:name="_Toc7340"/>
      <w:bookmarkStart w:id="571" w:name="_Toc1156"/>
      <w:bookmarkStart w:id="572" w:name="_Toc14420"/>
      <w:r>
        <w:rPr>
          <w:rFonts w:hint="eastAsia" w:ascii="宋体" w:hAnsi="宋体" w:eastAsia="宋体" w:cs="宋体"/>
          <w:b/>
          <w:bCs/>
          <w:color w:val="auto"/>
          <w:sz w:val="21"/>
          <w:szCs w:val="21"/>
          <w:highlight w:val="none"/>
          <w:lang w:val="en-US" w:eastAsia="zh-CN"/>
        </w:rPr>
        <w:t>2.2</w:t>
      </w:r>
      <w:bookmarkEnd w:id="530"/>
      <w:bookmarkEnd w:id="531"/>
      <w:bookmarkEnd w:id="532"/>
      <w:bookmarkEnd w:id="533"/>
      <w:r>
        <w:rPr>
          <w:rFonts w:hint="eastAsia"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en-US" w:eastAsia="zh-CN"/>
        </w:rPr>
        <w:t>物业管理运营服务</w:t>
      </w:r>
      <w:bookmarkEnd w:id="568"/>
      <w:bookmarkEnd w:id="569"/>
      <w:bookmarkEnd w:id="570"/>
      <w:bookmarkEnd w:id="571"/>
      <w:bookmarkEnd w:id="572"/>
    </w:p>
    <w:p w14:paraId="22D324EC">
      <w:pPr>
        <w:spacing w:line="360" w:lineRule="auto"/>
        <w:ind w:firstLine="42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合同期内，中标</w:t>
      </w:r>
      <w:r>
        <w:rPr>
          <w:rFonts w:hint="eastAsia" w:ascii="宋体" w:hAnsi="宋体" w:eastAsia="宋体" w:cs="宋体"/>
          <w:b w:val="0"/>
          <w:bCs w:val="0"/>
          <w:color w:val="auto"/>
          <w:sz w:val="21"/>
          <w:szCs w:val="21"/>
          <w:highlight w:val="none"/>
          <w:lang w:val="en-US" w:eastAsia="zh-CN"/>
        </w:rPr>
        <w:t>人</w:t>
      </w:r>
      <w:r>
        <w:rPr>
          <w:rFonts w:hint="eastAsia" w:ascii="宋体" w:hAnsi="宋体" w:eastAsia="宋体" w:cs="宋体"/>
          <w:b w:val="0"/>
          <w:bCs w:val="0"/>
          <w:color w:val="auto"/>
          <w:kern w:val="2"/>
          <w:sz w:val="21"/>
          <w:szCs w:val="21"/>
          <w:lang w:val="en-US" w:eastAsia="zh-CN" w:bidi="ar-SA"/>
        </w:rPr>
        <w:t>负责水业大厦客户服务管理、安全保卫管理、清洁卫生管理、园林绿化养护和管理、空调系统维护保养管理、消防系统维护保养管理、供配电系统维护保养管理、给排水系统维护保养管理、智能化系统维护与保养管理、电梯系统维护与保养管理、突发应急管理、楼宇主体及其附属设施、公共配套设施维护与保养、日常物业维修及物业使用人装修管理、其他服务等物业管理相关内容，具体如下:</w:t>
      </w:r>
    </w:p>
    <w:p w14:paraId="2B493C1D">
      <w:pPr>
        <w:bidi w:val="0"/>
        <w:spacing w:line="360" w:lineRule="auto"/>
        <w:ind w:firstLine="422" w:firstLineChars="200"/>
        <w:jc w:val="left"/>
        <w:outlineLvl w:val="3"/>
        <w:rPr>
          <w:rFonts w:hint="eastAsia" w:ascii="宋体" w:hAnsi="宋体" w:eastAsia="宋体" w:cs="宋体"/>
          <w:b/>
          <w:bCs/>
          <w:color w:val="auto"/>
          <w:sz w:val="21"/>
          <w:szCs w:val="21"/>
          <w:lang w:val="en-US" w:eastAsia="zh-CN"/>
        </w:rPr>
      </w:pPr>
      <w:bookmarkStart w:id="573" w:name="_Toc12928"/>
      <w:bookmarkStart w:id="574" w:name="_Toc17735"/>
      <w:bookmarkStart w:id="575" w:name="_Toc12392"/>
      <w:bookmarkStart w:id="576" w:name="_Toc21344"/>
      <w:bookmarkStart w:id="577" w:name="_Toc28766"/>
      <w:r>
        <w:rPr>
          <w:rFonts w:hint="eastAsia" w:ascii="宋体" w:hAnsi="宋体" w:eastAsia="宋体" w:cs="宋体"/>
          <w:b/>
          <w:bCs/>
          <w:color w:val="auto"/>
          <w:sz w:val="21"/>
          <w:szCs w:val="21"/>
          <w:lang w:val="en-US" w:eastAsia="zh-CN"/>
        </w:rPr>
        <w:t>2.2.1客户服务管理</w:t>
      </w:r>
      <w:bookmarkEnd w:id="573"/>
      <w:bookmarkEnd w:id="574"/>
      <w:bookmarkEnd w:id="575"/>
      <w:bookmarkEnd w:id="576"/>
      <w:bookmarkEnd w:id="577"/>
    </w:p>
    <w:p w14:paraId="6FD4F9A2">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客户服务实行前台一站式物业服务，主要提供物业服务咨询、来访登记、受理日常物业使用人报修和投诉等</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大堂前台礼宾接待，参观、讲解引导服务；</w:t>
      </w:r>
    </w:p>
    <w:p w14:paraId="039E43A5">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办理物业使用人入驻、迁出手续，以及办理物业使用人室内装修申请及验收，并建立相关单元资料档案，形成系统历史记录。</w:t>
      </w:r>
    </w:p>
    <w:p w14:paraId="0AB92293">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负责大堂道闸卡、停车卡等卡证办理业务，提供物品放行条开具、物品临时寄存等特约委托服务及便民服务等多元化增值服务。</w:t>
      </w:r>
    </w:p>
    <w:p w14:paraId="18ABB1CF">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负责物业使用人的物业费催缴、访谈、动态信息收集等工作。</w:t>
      </w:r>
    </w:p>
    <w:p w14:paraId="706E1694">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设立服务电话，接收招标人和其他物业使用人对物业管理服务报修、求助、建议、问询、质疑、投诉等各类信息，做好信息收集、反馈和及时处理，</w:t>
      </w:r>
      <w:r>
        <w:rPr>
          <w:rFonts w:hint="eastAsia" w:ascii="宋体" w:hAnsi="宋体" w:eastAsia="宋体" w:cs="宋体"/>
          <w:b w:val="0"/>
          <w:bCs w:val="0"/>
          <w:color w:val="auto"/>
          <w:sz w:val="21"/>
          <w:szCs w:val="21"/>
          <w:highlight w:val="none"/>
          <w:lang w:val="en-US" w:eastAsia="zh-CN"/>
        </w:rPr>
        <w:t>建立</w:t>
      </w:r>
      <w:r>
        <w:rPr>
          <w:rFonts w:hint="eastAsia" w:ascii="宋体" w:hAnsi="宋体" w:eastAsia="宋体" w:cs="宋体"/>
          <w:b w:val="0"/>
          <w:bCs w:val="0"/>
          <w:color w:val="auto"/>
          <w:sz w:val="21"/>
          <w:szCs w:val="21"/>
          <w:highlight w:val="none"/>
        </w:rPr>
        <w:t>回访制度和记录。</w:t>
      </w:r>
    </w:p>
    <w:p w14:paraId="0465D2DA">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快递收发；</w:t>
      </w:r>
    </w:p>
    <w:p w14:paraId="6B7C759E">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大厦三楼公共会议室的会议服务，会议设备的日常巡检，保证各类会议及接待活动的顺利进行。</w:t>
      </w:r>
    </w:p>
    <w:p w14:paraId="58479229">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客户服务日常工作要求：</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1"/>
        <w:gridCol w:w="8969"/>
      </w:tblGrid>
      <w:tr w14:paraId="5B2A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75" w:type="pct"/>
            <w:noWrap/>
            <w:vAlign w:val="center"/>
          </w:tcPr>
          <w:p w14:paraId="3A25B651">
            <w:pPr>
              <w:widowControl/>
              <w:spacing w:line="240" w:lineRule="auto"/>
              <w:ind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w:t>
            </w:r>
          </w:p>
        </w:tc>
        <w:tc>
          <w:tcPr>
            <w:tcW w:w="4324" w:type="pct"/>
            <w:noWrap/>
            <w:vAlign w:val="center"/>
          </w:tcPr>
          <w:p w14:paraId="03F6D710">
            <w:pPr>
              <w:widowControl/>
              <w:spacing w:line="240" w:lineRule="auto"/>
              <w:ind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日常工作要求</w:t>
            </w:r>
          </w:p>
        </w:tc>
      </w:tr>
      <w:tr w14:paraId="75C9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restart"/>
            <w:noWrap/>
            <w:vAlign w:val="center"/>
          </w:tcPr>
          <w:p w14:paraId="423C93A1">
            <w:pPr>
              <w:widowControl/>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仪表要求</w:t>
            </w:r>
          </w:p>
        </w:tc>
        <w:tc>
          <w:tcPr>
            <w:tcW w:w="4324" w:type="pct"/>
            <w:noWrap/>
            <w:vAlign w:val="top"/>
          </w:tcPr>
          <w:p w14:paraId="03A82CAC">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1）按规定着工作装，佩戴工作证，无穿拖鞋和工作场所抽烟等现象。</w:t>
            </w:r>
          </w:p>
        </w:tc>
      </w:tr>
      <w:tr w14:paraId="21CB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center"/>
          </w:tcPr>
          <w:p w14:paraId="2444D760">
            <w:pPr>
              <w:widowControl/>
              <w:spacing w:line="240" w:lineRule="auto"/>
              <w:ind w:firstLine="0" w:firstLineChars="0"/>
              <w:jc w:val="center"/>
              <w:rPr>
                <w:rFonts w:hint="eastAsia" w:ascii="宋体" w:hAnsi="宋体" w:eastAsia="宋体" w:cs="宋体"/>
                <w:color w:val="auto"/>
                <w:sz w:val="21"/>
                <w:szCs w:val="21"/>
              </w:rPr>
            </w:pPr>
          </w:p>
        </w:tc>
        <w:tc>
          <w:tcPr>
            <w:tcW w:w="4324" w:type="pct"/>
            <w:noWrap/>
            <w:vAlign w:val="top"/>
          </w:tcPr>
          <w:p w14:paraId="53B0C1F4">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2）精神饱满，仪表整洁，无披头散发、留须、不按要求化妆等现象。</w:t>
            </w:r>
          </w:p>
        </w:tc>
      </w:tr>
      <w:tr w14:paraId="316C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restart"/>
            <w:noWrap/>
            <w:vAlign w:val="center"/>
          </w:tcPr>
          <w:p w14:paraId="24A3DA2E">
            <w:pPr>
              <w:widowControl/>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态度要求</w:t>
            </w:r>
          </w:p>
        </w:tc>
        <w:tc>
          <w:tcPr>
            <w:tcW w:w="4324" w:type="pct"/>
            <w:noWrap/>
            <w:vAlign w:val="top"/>
          </w:tcPr>
          <w:p w14:paraId="115D1FE9">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1）微笑服务，工作过程中使用规范礼貌用语，热情待客。</w:t>
            </w:r>
          </w:p>
        </w:tc>
      </w:tr>
      <w:tr w14:paraId="31F5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10D231C6">
            <w:pPr>
              <w:widowControl/>
              <w:spacing w:line="240" w:lineRule="auto"/>
              <w:ind w:firstLine="0" w:firstLineChars="0"/>
              <w:rPr>
                <w:rFonts w:hint="eastAsia" w:ascii="宋体" w:hAnsi="宋体" w:eastAsia="宋体" w:cs="宋体"/>
                <w:color w:val="auto"/>
                <w:sz w:val="21"/>
                <w:szCs w:val="21"/>
              </w:rPr>
            </w:pPr>
          </w:p>
        </w:tc>
        <w:tc>
          <w:tcPr>
            <w:tcW w:w="4324" w:type="pct"/>
            <w:noWrap/>
            <w:vAlign w:val="top"/>
          </w:tcPr>
          <w:p w14:paraId="5E0779D7">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2）服务态度端正，主动、热情、礼貌待客。</w:t>
            </w:r>
          </w:p>
        </w:tc>
      </w:tr>
      <w:tr w14:paraId="140A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1F8FC33E">
            <w:pPr>
              <w:widowControl/>
              <w:spacing w:line="240" w:lineRule="auto"/>
              <w:ind w:firstLine="0" w:firstLineChars="0"/>
              <w:rPr>
                <w:rFonts w:hint="eastAsia" w:ascii="宋体" w:hAnsi="宋体" w:eastAsia="宋体" w:cs="宋体"/>
                <w:color w:val="auto"/>
                <w:sz w:val="21"/>
                <w:szCs w:val="21"/>
              </w:rPr>
            </w:pPr>
          </w:p>
        </w:tc>
        <w:tc>
          <w:tcPr>
            <w:tcW w:w="4324" w:type="pct"/>
            <w:noWrap/>
            <w:vAlign w:val="top"/>
          </w:tcPr>
          <w:p w14:paraId="4A7DB791">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3）服从公司安排，具有团队合作精神，做事认真负责，有奉献精神。</w:t>
            </w:r>
          </w:p>
        </w:tc>
      </w:tr>
      <w:tr w14:paraId="3020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582D35D2">
            <w:pPr>
              <w:widowControl/>
              <w:spacing w:line="240" w:lineRule="auto"/>
              <w:ind w:firstLine="0" w:firstLineChars="0"/>
              <w:rPr>
                <w:rFonts w:hint="eastAsia" w:ascii="宋体" w:hAnsi="宋体" w:eastAsia="宋体" w:cs="宋体"/>
                <w:color w:val="auto"/>
                <w:sz w:val="21"/>
                <w:szCs w:val="21"/>
              </w:rPr>
            </w:pPr>
          </w:p>
        </w:tc>
        <w:tc>
          <w:tcPr>
            <w:tcW w:w="4324" w:type="pct"/>
            <w:noWrap/>
            <w:vAlign w:val="top"/>
          </w:tcPr>
          <w:p w14:paraId="32DE7373">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4）任何情况下均不能发生对物业使用人或来访人员有失敬、无礼等言行，要以积极主动的心态对待物业使用人或来访人员的咨询、投诉等事宜。</w:t>
            </w:r>
          </w:p>
        </w:tc>
      </w:tr>
      <w:tr w14:paraId="44E3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restart"/>
            <w:noWrap/>
            <w:vAlign w:val="center"/>
          </w:tcPr>
          <w:p w14:paraId="2E2FF2C1">
            <w:pPr>
              <w:widowControl/>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工作要求</w:t>
            </w:r>
          </w:p>
        </w:tc>
        <w:tc>
          <w:tcPr>
            <w:tcW w:w="4324" w:type="pct"/>
            <w:noWrap/>
            <w:vAlign w:val="top"/>
          </w:tcPr>
          <w:p w14:paraId="00C295A2">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1）上班前5分钟及时开启公共抽屉，恢复电话机通信功能；下班前巡视办公区灯具电器设备等，确保电源已关闭后方可离开。</w:t>
            </w:r>
          </w:p>
        </w:tc>
      </w:tr>
      <w:tr w14:paraId="3163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6DC69F26">
            <w:pPr>
              <w:widowControl/>
              <w:spacing w:line="240" w:lineRule="auto"/>
              <w:ind w:firstLine="0" w:firstLineChars="0"/>
              <w:rPr>
                <w:rFonts w:hint="eastAsia" w:ascii="宋体" w:hAnsi="宋体" w:eastAsia="宋体" w:cs="宋体"/>
                <w:color w:val="auto"/>
                <w:sz w:val="21"/>
                <w:szCs w:val="21"/>
              </w:rPr>
            </w:pPr>
          </w:p>
        </w:tc>
        <w:tc>
          <w:tcPr>
            <w:tcW w:w="4324" w:type="pct"/>
            <w:noWrap/>
            <w:vAlign w:val="top"/>
          </w:tcPr>
          <w:p w14:paraId="7D4D1FF3">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2）必须在电话响铃三声内接听电话，并使用电话规范用语。</w:t>
            </w:r>
          </w:p>
        </w:tc>
      </w:tr>
      <w:tr w14:paraId="557D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28FF3F98">
            <w:pPr>
              <w:widowControl/>
              <w:spacing w:line="240" w:lineRule="auto"/>
              <w:ind w:firstLine="0" w:firstLineChars="0"/>
              <w:rPr>
                <w:rFonts w:hint="eastAsia" w:ascii="宋体" w:hAnsi="宋体" w:eastAsia="宋体" w:cs="宋体"/>
                <w:color w:val="auto"/>
                <w:sz w:val="21"/>
                <w:szCs w:val="21"/>
              </w:rPr>
            </w:pPr>
          </w:p>
        </w:tc>
        <w:tc>
          <w:tcPr>
            <w:tcW w:w="4324" w:type="pct"/>
            <w:noWrap/>
            <w:vAlign w:val="top"/>
          </w:tcPr>
          <w:p w14:paraId="3B045BB0">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3）详细、准确地记录投诉项目，不漏记、错记，保持记录本清楚明了、干净。</w:t>
            </w:r>
          </w:p>
        </w:tc>
      </w:tr>
      <w:tr w14:paraId="13A4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06FC7D03">
            <w:pPr>
              <w:widowControl/>
              <w:spacing w:line="240" w:lineRule="auto"/>
              <w:ind w:firstLine="0" w:firstLineChars="0"/>
              <w:rPr>
                <w:rFonts w:hint="eastAsia" w:ascii="宋体" w:hAnsi="宋体" w:eastAsia="宋体" w:cs="宋体"/>
                <w:color w:val="auto"/>
                <w:sz w:val="21"/>
                <w:szCs w:val="21"/>
              </w:rPr>
            </w:pPr>
          </w:p>
        </w:tc>
        <w:tc>
          <w:tcPr>
            <w:tcW w:w="4324" w:type="pct"/>
            <w:noWrap/>
            <w:vAlign w:val="top"/>
          </w:tcPr>
          <w:p w14:paraId="27212621">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4）按规范办理交楼、入驻、装修申请手续，告知客户装修应知事项。</w:t>
            </w:r>
          </w:p>
        </w:tc>
      </w:tr>
      <w:tr w14:paraId="407E9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01BCBF74">
            <w:pPr>
              <w:widowControl/>
              <w:spacing w:line="240" w:lineRule="auto"/>
              <w:ind w:firstLine="0" w:firstLineChars="0"/>
              <w:rPr>
                <w:rFonts w:hint="eastAsia" w:ascii="宋体" w:hAnsi="宋体" w:eastAsia="宋体" w:cs="宋体"/>
                <w:color w:val="auto"/>
                <w:sz w:val="21"/>
                <w:szCs w:val="21"/>
              </w:rPr>
            </w:pPr>
          </w:p>
        </w:tc>
        <w:tc>
          <w:tcPr>
            <w:tcW w:w="4324" w:type="pct"/>
            <w:noWrap/>
            <w:vAlign w:val="top"/>
          </w:tcPr>
          <w:p w14:paraId="42A4FE13">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5）对已完成的投诉（维修）事项三天内回访，并做好回访记录；对未完成的投诉（报修）事项要跟催相关责任人，并填写跟进进度。</w:t>
            </w:r>
          </w:p>
        </w:tc>
      </w:tr>
      <w:tr w14:paraId="39D26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630AF3E4">
            <w:pPr>
              <w:widowControl/>
              <w:spacing w:line="240" w:lineRule="auto"/>
              <w:ind w:firstLine="0" w:firstLineChars="0"/>
              <w:rPr>
                <w:rFonts w:hint="eastAsia" w:ascii="宋体" w:hAnsi="宋体" w:eastAsia="宋体" w:cs="宋体"/>
                <w:color w:val="auto"/>
                <w:sz w:val="21"/>
                <w:szCs w:val="21"/>
              </w:rPr>
            </w:pPr>
          </w:p>
        </w:tc>
        <w:tc>
          <w:tcPr>
            <w:tcW w:w="4324" w:type="pct"/>
            <w:noWrap/>
            <w:vAlign w:val="top"/>
          </w:tcPr>
          <w:p w14:paraId="4FC602B8">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6）对文档资料按规定时间进行分类、存档。</w:t>
            </w:r>
          </w:p>
        </w:tc>
      </w:tr>
      <w:tr w14:paraId="52E5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555B1709">
            <w:pPr>
              <w:widowControl/>
              <w:spacing w:line="240" w:lineRule="auto"/>
              <w:ind w:firstLine="0" w:firstLineChars="0"/>
              <w:rPr>
                <w:rFonts w:hint="eastAsia" w:ascii="宋体" w:hAnsi="宋体" w:eastAsia="宋体" w:cs="宋体"/>
                <w:color w:val="auto"/>
                <w:sz w:val="21"/>
                <w:szCs w:val="21"/>
              </w:rPr>
            </w:pPr>
          </w:p>
        </w:tc>
        <w:tc>
          <w:tcPr>
            <w:tcW w:w="4324" w:type="pct"/>
            <w:noWrap/>
            <w:vAlign w:val="top"/>
          </w:tcPr>
          <w:p w14:paraId="594A7462">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7）按要求办理有偿服务、放行条及各类证件等业务，认真做好登记、核查工作。</w:t>
            </w:r>
          </w:p>
        </w:tc>
      </w:tr>
      <w:tr w14:paraId="4011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154E5949">
            <w:pPr>
              <w:widowControl/>
              <w:spacing w:line="240" w:lineRule="auto"/>
              <w:ind w:firstLine="0" w:firstLineChars="0"/>
              <w:rPr>
                <w:rFonts w:hint="eastAsia" w:ascii="宋体" w:hAnsi="宋体" w:eastAsia="宋体" w:cs="宋体"/>
                <w:color w:val="auto"/>
                <w:sz w:val="21"/>
                <w:szCs w:val="21"/>
              </w:rPr>
            </w:pPr>
          </w:p>
        </w:tc>
        <w:tc>
          <w:tcPr>
            <w:tcW w:w="4324" w:type="pct"/>
            <w:noWrap/>
            <w:vAlign w:val="top"/>
          </w:tcPr>
          <w:p w14:paraId="19716B5D">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8）按时提交《投诉周报表》、《投诉月报表》、《投诉分析报表》、《月份证本用量明细报表》等。</w:t>
            </w:r>
          </w:p>
        </w:tc>
      </w:tr>
      <w:tr w14:paraId="13F1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5B0A5DB2">
            <w:pPr>
              <w:widowControl/>
              <w:spacing w:line="240" w:lineRule="auto"/>
              <w:ind w:firstLine="0" w:firstLineChars="0"/>
              <w:rPr>
                <w:rFonts w:hint="eastAsia" w:ascii="宋体" w:hAnsi="宋体" w:eastAsia="宋体" w:cs="宋体"/>
                <w:color w:val="auto"/>
                <w:sz w:val="21"/>
                <w:szCs w:val="21"/>
              </w:rPr>
            </w:pPr>
          </w:p>
        </w:tc>
        <w:tc>
          <w:tcPr>
            <w:tcW w:w="4324" w:type="pct"/>
            <w:noWrap/>
            <w:vAlign w:val="top"/>
          </w:tcPr>
          <w:p w14:paraId="0E11212C">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9）每天巡查楼宇，记录巡查事项并跟进相关部门处理。</w:t>
            </w:r>
          </w:p>
        </w:tc>
      </w:tr>
      <w:tr w14:paraId="36B3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7765F100">
            <w:pPr>
              <w:widowControl/>
              <w:spacing w:line="240" w:lineRule="auto"/>
              <w:ind w:firstLine="0" w:firstLineChars="0"/>
              <w:rPr>
                <w:rFonts w:hint="eastAsia" w:ascii="宋体" w:hAnsi="宋体" w:eastAsia="宋体" w:cs="宋体"/>
                <w:color w:val="auto"/>
                <w:sz w:val="21"/>
                <w:szCs w:val="21"/>
              </w:rPr>
            </w:pPr>
          </w:p>
        </w:tc>
        <w:tc>
          <w:tcPr>
            <w:tcW w:w="4324" w:type="pct"/>
            <w:noWrap/>
            <w:vAlign w:val="top"/>
          </w:tcPr>
          <w:p w14:paraId="36DB5D30">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10）协助派发租金/物业费缴费通知单，联系客户对相关费用进行催缴。</w:t>
            </w:r>
          </w:p>
        </w:tc>
      </w:tr>
      <w:tr w14:paraId="7DA2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542F261C">
            <w:pPr>
              <w:widowControl/>
              <w:spacing w:line="240" w:lineRule="auto"/>
              <w:ind w:firstLine="0" w:firstLineChars="0"/>
              <w:rPr>
                <w:rFonts w:hint="eastAsia" w:ascii="宋体" w:hAnsi="宋体" w:eastAsia="宋体" w:cs="宋体"/>
                <w:color w:val="auto"/>
                <w:sz w:val="21"/>
                <w:szCs w:val="21"/>
              </w:rPr>
            </w:pPr>
          </w:p>
        </w:tc>
        <w:tc>
          <w:tcPr>
            <w:tcW w:w="4324" w:type="pct"/>
            <w:noWrap/>
            <w:vAlign w:val="top"/>
          </w:tcPr>
          <w:p w14:paraId="2C290999">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11）定期开展上门回访工作，收集物业使用人意见，与物业使用人保持良好关系，客户满意率达</w:t>
            </w:r>
            <w:r>
              <w:rPr>
                <w:rFonts w:hint="eastAsia" w:ascii="宋体" w:hAnsi="宋体" w:eastAsia="宋体" w:cs="宋体"/>
                <w:color w:val="auto"/>
                <w:sz w:val="21"/>
                <w:szCs w:val="21"/>
                <w:highlight w:val="none"/>
              </w:rPr>
              <w:t>95%以上。</w:t>
            </w:r>
          </w:p>
        </w:tc>
      </w:tr>
      <w:tr w14:paraId="1D09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restart"/>
            <w:noWrap/>
            <w:vAlign w:val="center"/>
          </w:tcPr>
          <w:p w14:paraId="537B896E">
            <w:pPr>
              <w:widowControl/>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纪律要求</w:t>
            </w:r>
          </w:p>
        </w:tc>
        <w:tc>
          <w:tcPr>
            <w:tcW w:w="4324" w:type="pct"/>
            <w:noWrap/>
            <w:vAlign w:val="top"/>
          </w:tcPr>
          <w:p w14:paraId="4284DDCB">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1）服从领导，听从指挥，对领导工作指示及安排无不执行或蓄意违抗现象。</w:t>
            </w:r>
          </w:p>
        </w:tc>
      </w:tr>
      <w:tr w14:paraId="10FB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5C66862B">
            <w:pPr>
              <w:widowControl/>
              <w:spacing w:line="240" w:lineRule="auto"/>
              <w:ind w:firstLine="0" w:firstLineChars="0"/>
              <w:rPr>
                <w:rFonts w:hint="eastAsia" w:ascii="宋体" w:hAnsi="宋体" w:eastAsia="宋体" w:cs="宋体"/>
                <w:color w:val="auto"/>
                <w:sz w:val="21"/>
                <w:szCs w:val="21"/>
              </w:rPr>
            </w:pPr>
          </w:p>
        </w:tc>
        <w:tc>
          <w:tcPr>
            <w:tcW w:w="4324" w:type="pct"/>
            <w:noWrap/>
            <w:vAlign w:val="top"/>
          </w:tcPr>
          <w:p w14:paraId="16D9D681">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2）工作时间不做与工作无关的事。</w:t>
            </w:r>
          </w:p>
        </w:tc>
      </w:tr>
      <w:tr w14:paraId="136B4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522CBEFF">
            <w:pPr>
              <w:widowControl/>
              <w:spacing w:line="240" w:lineRule="auto"/>
              <w:ind w:firstLine="0" w:firstLineChars="0"/>
              <w:rPr>
                <w:rFonts w:hint="eastAsia" w:ascii="宋体" w:hAnsi="宋体" w:eastAsia="宋体" w:cs="宋体"/>
                <w:color w:val="auto"/>
                <w:sz w:val="21"/>
                <w:szCs w:val="21"/>
              </w:rPr>
            </w:pPr>
          </w:p>
        </w:tc>
        <w:tc>
          <w:tcPr>
            <w:tcW w:w="4324" w:type="pct"/>
            <w:noWrap/>
            <w:vAlign w:val="top"/>
          </w:tcPr>
          <w:p w14:paraId="205FC1EF">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3）禁止在大堂或办公区大声喧哗、嬉戏等影响正常办公秩序行为。</w:t>
            </w:r>
          </w:p>
        </w:tc>
      </w:tr>
      <w:tr w14:paraId="29FA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7087AF66">
            <w:pPr>
              <w:widowControl/>
              <w:spacing w:line="240" w:lineRule="auto"/>
              <w:ind w:firstLine="0" w:firstLineChars="0"/>
              <w:rPr>
                <w:rFonts w:hint="eastAsia" w:ascii="宋体" w:hAnsi="宋体" w:eastAsia="宋体" w:cs="宋体"/>
                <w:color w:val="auto"/>
                <w:sz w:val="21"/>
                <w:szCs w:val="21"/>
              </w:rPr>
            </w:pPr>
          </w:p>
        </w:tc>
        <w:tc>
          <w:tcPr>
            <w:tcW w:w="4324" w:type="pct"/>
            <w:noWrap/>
            <w:vAlign w:val="top"/>
          </w:tcPr>
          <w:p w14:paraId="6C478653">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4）保守招标人内部机密，保管好招标人和各物业使用人档案，严禁外人查看。</w:t>
            </w:r>
          </w:p>
        </w:tc>
      </w:tr>
      <w:tr w14:paraId="771F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2328BDE5">
            <w:pPr>
              <w:widowControl/>
              <w:spacing w:line="240" w:lineRule="auto"/>
              <w:ind w:firstLine="0" w:firstLineChars="0"/>
              <w:rPr>
                <w:rFonts w:hint="eastAsia" w:ascii="宋体" w:hAnsi="宋体" w:eastAsia="宋体" w:cs="宋体"/>
                <w:color w:val="auto"/>
                <w:sz w:val="21"/>
                <w:szCs w:val="21"/>
              </w:rPr>
            </w:pPr>
          </w:p>
        </w:tc>
        <w:tc>
          <w:tcPr>
            <w:tcW w:w="4324" w:type="pct"/>
            <w:noWrap/>
            <w:vAlign w:val="top"/>
          </w:tcPr>
          <w:p w14:paraId="4449A18D">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5）外出办事须知会上级同意后，并作好暂离岗登记后方可离开。</w:t>
            </w:r>
          </w:p>
        </w:tc>
      </w:tr>
    </w:tbl>
    <w:p w14:paraId="2E8E3E1D">
      <w:pPr>
        <w:bidi w:val="0"/>
        <w:spacing w:line="360" w:lineRule="auto"/>
        <w:ind w:firstLine="422" w:firstLineChars="200"/>
        <w:outlineLvl w:val="3"/>
        <w:rPr>
          <w:rFonts w:hint="eastAsia" w:ascii="宋体" w:hAnsi="宋体" w:eastAsia="宋体" w:cs="宋体"/>
          <w:b/>
          <w:bCs/>
          <w:color w:val="auto"/>
          <w:sz w:val="21"/>
          <w:szCs w:val="21"/>
          <w:lang w:val="en-US" w:eastAsia="zh-CN"/>
        </w:rPr>
      </w:pPr>
      <w:bookmarkStart w:id="578" w:name="_Toc26463"/>
      <w:bookmarkStart w:id="579" w:name="_Toc5039"/>
      <w:bookmarkStart w:id="580" w:name="_Toc32496"/>
      <w:bookmarkStart w:id="581" w:name="_Toc14056"/>
      <w:bookmarkStart w:id="582" w:name="_Toc23995"/>
      <w:r>
        <w:rPr>
          <w:rFonts w:hint="eastAsia" w:ascii="宋体" w:hAnsi="宋体" w:eastAsia="宋体" w:cs="宋体"/>
          <w:b/>
          <w:bCs/>
          <w:color w:val="auto"/>
          <w:sz w:val="21"/>
          <w:szCs w:val="21"/>
          <w:lang w:val="en-US" w:eastAsia="zh-CN"/>
        </w:rPr>
        <w:t>2.2.2安全保卫管理</w:t>
      </w:r>
      <w:bookmarkEnd w:id="578"/>
      <w:bookmarkEnd w:id="579"/>
      <w:bookmarkEnd w:id="580"/>
      <w:bookmarkEnd w:id="581"/>
      <w:bookmarkEnd w:id="582"/>
    </w:p>
    <w:p w14:paraId="758087C1">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全天24小时对本项目辖区范围内的治安情况进行巡查和保卫，熟练并灵活运用安防监控系统，对重点部位、监控点位进行监视及录像工作。</w:t>
      </w:r>
    </w:p>
    <w:p w14:paraId="1F75598B">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物业管理服务范围内出现扰乱正常安全秩序的情况或突发事（案）件时应及时处理，必要时联系所属街道或当地公安机关处理，同时对现场进行妥善保护，并协助做好善后处理工作。</w:t>
      </w:r>
    </w:p>
    <w:p w14:paraId="6911AC5B">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对出入口和周边环境进行实时监控，严防外来人员违规进入本项目，密切监视可疑人员出入动态。非办公时间对进入办公区的人员实行出入登记，严禁未经申请的外来人员进入本项目。</w:t>
      </w:r>
    </w:p>
    <w:p w14:paraId="28C8D0AD">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对携带大件行李或物品离开本大厦的，外来人员需提供“放行条”检查，对物业使用人需实施登记制度。</w:t>
      </w:r>
    </w:p>
    <w:p w14:paraId="4B9953FD">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快递、外卖人员需将快递或外卖放置于首层外围的快递柜和快餐柜，由物业使用人自行前往收取。</w:t>
      </w:r>
    </w:p>
    <w:p w14:paraId="33A678E3">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对进出停车场的所有车辆车牌实行系统识别，记录车辆的进出时间和车容车貌（完损程度）情况，熟知熟记招标人内部车辆信息。</w:t>
      </w:r>
    </w:p>
    <w:p w14:paraId="3F2C093C">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负责本项目的人流、车流疏导工作。在办公时间内，积极协助大堂客服人员做好外来人员的咨询和指引工作，引导乘坐电梯人员分流，并积极帮助伤残、高龄、行动不便人员乘坐电梯到达所需楼层。高峰期对出入本项目的车辆进行疏导，避免造成交通拥堵。</w:t>
      </w:r>
    </w:p>
    <w:p w14:paraId="4719FED0">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认真贯彻“预防为主，防消结合”的方针，按照政府部门及招标人相关消防管理规定，设立消防组织机构，落实各级消防责任人，加强消防日常检查，设立消防疏散示意图，保证紧急疏散通道通畅，确保无消防安全隐患，制定较为完善的本项目消防安全应急预案，定期开展义务消防宣传教育。</w:t>
      </w:r>
    </w:p>
    <w:p w14:paraId="31A62D86">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协助招标人开展各类活动、接待、重要会议等任务的安全保卫工作，必要时提供人力支援加强现场管理。根据招标人要求，按照“特殊敏感时期保卫方案”，包括但不限于做好防疫工作，以及对招标人的安全、防护、保卫等其他各项工作。</w:t>
      </w:r>
    </w:p>
    <w:p w14:paraId="685C357B">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重大节日前主动进行节日安全大检查，并及时对问题点及时进行整改。</w:t>
      </w:r>
    </w:p>
    <w:p w14:paraId="361B45B4">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每隔2小时对物业重点部位巡更点进行安全巡查一次，每2小时对停车场、车辆巡视一次。发现进入办公区域的陌生人员，及时查问，严防不法行为的发生；检查本项目内重点部位及各层（包括空置单元）门、窗、设备设施、水电、消防等情况；检查停车场车辆窗门是否关好，是否有漏油等情况，保证车辆停放安全。</w:t>
      </w:r>
    </w:p>
    <w:p w14:paraId="5C2EEC4F">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建立安全三级检查制度。一级检查由班组织实施，每个员工每天对本岗位责任区域进行安全检查，排除本身能够排除的一般不安全因素，上报本身不能解决的不安全因素。二级检查由安全部组织实施，安全负责人每周检查班组对安全工作的落实情况。三级检查由物业服务中心组织实施，项目经理每月检查各部门贯彻安全工作的执行、落实情况，特别是重点部位安全管理制度的落实情况。</w:t>
      </w:r>
    </w:p>
    <w:p w14:paraId="2043ADCD">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重点防火部位管理要点：</w:t>
      </w:r>
    </w:p>
    <w:p w14:paraId="1178B067">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食堂区域，食堂存在的火灾隐患较多，除严格按招标人规章制度实施管理外，应加大消防检查力度，特别对厨房易污染的烟感、温感、喷淋头经常进行清洗，保持设备设施的正常工作状态；定期对食堂排烟道的油垢进行检查，督促食堂管理人员定期清理，避免火灾。经常检查燃气的管道及炉头、点火器具，定期邀请燃气公司的专业人员前来检查，并及时调整或更换不合格的零配件；严禁用潮湿或浸水物品操作电动机械加工食品，离开或下班时要及时关闭照明电源和不必要使用的动力电源。</w:t>
      </w:r>
    </w:p>
    <w:p w14:paraId="778E3660">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设备房（如柴油发电机房、数据机房等）区域严禁吸烟，工作需用燃物要事先除火源，工作中要防止易燃易爆物外泄，机房内不得存放易燃易爆物品。部门、班组管理人员在当值期间，应注意检查机房内的灭火自救措施，并指导员工掌握各种灭火器械的使用和各种消防信号的正确使用方法。值班人员巡查、记录责任管辖区域内消防报警器和设备的情况，并及时记录报告情况。机房内的楼梯、走道、出入口要保持畅通无阻，严禁随意堆放物件。机房内的防火设施必须保持完整好用且要定期检查、保养，确保使用时不出故障。发生电气火灾时，要即时上报消防中心，施救时应坚持“先断电，后灭火”原则，并采取相应的灭火措施。灭火后，要详细记录火灾成因及灭火情况，书面上报招标人和中标人负责人。</w:t>
      </w:r>
    </w:p>
    <w:p w14:paraId="69E776B1">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商业区域：商铺门面大多可燃物多，应注意检查消除商铺门店的火灾隐患。商铺内安装有报警、喷淋等消防设施的，要定期检查测试，确保完整好用。规范用电，严禁乱拉电线，用铜、铁线代替保险丝，严禁电动车入户充电。不随意堆放可燃易燃易爆物品，配备相应的灭火器材，加强日常安检。严禁违规封闭安全出口、占用疏散通道、安装防盗铁窗或铁栅栏。装修应尽量使用难燃不燃的材料，禁止使用聚氨酯类以及在燃烧后产生大量有毒烟气的材料。严禁夜间在店铺内住宿，离开时确保断电。发现火灾隐患应及时排除，出现火灾应及时组织本部门员工进行扑救，并及时汇报，未经许可不可撤除、清理火灾现场。</w:t>
      </w:r>
    </w:p>
    <w:p w14:paraId="4B34A91B">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其它安全和秩序管理要求与标准：</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963"/>
        <w:gridCol w:w="3044"/>
        <w:gridCol w:w="3409"/>
        <w:gridCol w:w="1927"/>
      </w:tblGrid>
      <w:tr w14:paraId="7520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495" w:type="pct"/>
            <w:noWrap w:val="0"/>
            <w:vAlign w:val="center"/>
          </w:tcPr>
          <w:p w14:paraId="52F87342">
            <w:pPr>
              <w:widowControl/>
              <w:snapToGrid w:val="0"/>
              <w:spacing w:line="240" w:lineRule="auto"/>
              <w:ind w:firstLine="0" w:firstLineChars="0"/>
              <w:jc w:val="center"/>
              <w:rPr>
                <w:rFonts w:hint="eastAsia" w:ascii="宋体" w:hAnsi="宋体" w:eastAsia="宋体" w:cs="宋体"/>
                <w:b/>
                <w:color w:val="auto"/>
                <w:sz w:val="21"/>
                <w:szCs w:val="21"/>
                <w:lang w:eastAsia="zh-TW"/>
              </w:rPr>
            </w:pPr>
            <w:r>
              <w:rPr>
                <w:rFonts w:hint="eastAsia" w:ascii="宋体" w:hAnsi="宋体" w:eastAsia="宋体" w:cs="宋体"/>
                <w:b/>
                <w:color w:val="auto"/>
                <w:sz w:val="21"/>
                <w:szCs w:val="21"/>
                <w:lang w:eastAsia="zh-TW"/>
              </w:rPr>
              <w:t>模块</w:t>
            </w:r>
          </w:p>
        </w:tc>
        <w:tc>
          <w:tcPr>
            <w:tcW w:w="464" w:type="pct"/>
            <w:noWrap w:val="0"/>
            <w:vAlign w:val="center"/>
          </w:tcPr>
          <w:p w14:paraId="7DD57CEE">
            <w:pPr>
              <w:widowControl/>
              <w:snapToGrid w:val="0"/>
              <w:spacing w:line="240" w:lineRule="auto"/>
              <w:ind w:firstLine="0" w:firstLineChars="0"/>
              <w:jc w:val="center"/>
              <w:rPr>
                <w:rFonts w:hint="eastAsia" w:ascii="宋体" w:hAnsi="宋体" w:eastAsia="宋体" w:cs="宋体"/>
                <w:b/>
                <w:color w:val="auto"/>
                <w:sz w:val="21"/>
                <w:szCs w:val="21"/>
                <w:lang w:eastAsia="zh-TW"/>
              </w:rPr>
            </w:pPr>
            <w:r>
              <w:rPr>
                <w:rFonts w:hint="eastAsia" w:ascii="宋体" w:hAnsi="宋体" w:eastAsia="宋体" w:cs="宋体"/>
                <w:b/>
                <w:color w:val="auto"/>
                <w:sz w:val="21"/>
                <w:szCs w:val="21"/>
                <w:lang w:eastAsia="zh-TW"/>
              </w:rPr>
              <w:t>项目</w:t>
            </w:r>
          </w:p>
        </w:tc>
        <w:tc>
          <w:tcPr>
            <w:tcW w:w="1467" w:type="pct"/>
            <w:noWrap w:val="0"/>
            <w:vAlign w:val="center"/>
          </w:tcPr>
          <w:p w14:paraId="0E96F1F6">
            <w:pPr>
              <w:widowControl/>
              <w:snapToGrid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管理要求</w:t>
            </w:r>
          </w:p>
        </w:tc>
        <w:tc>
          <w:tcPr>
            <w:tcW w:w="1643" w:type="pct"/>
            <w:noWrap w:val="0"/>
            <w:vAlign w:val="center"/>
          </w:tcPr>
          <w:p w14:paraId="7CC35849">
            <w:pPr>
              <w:widowControl/>
              <w:snapToGrid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管理</w:t>
            </w:r>
            <w:r>
              <w:rPr>
                <w:rFonts w:hint="eastAsia" w:ascii="宋体" w:hAnsi="宋体" w:eastAsia="宋体" w:cs="宋体"/>
                <w:b/>
                <w:color w:val="auto"/>
                <w:sz w:val="21"/>
                <w:szCs w:val="21"/>
                <w:lang w:eastAsia="zh-TW"/>
              </w:rPr>
              <w:t>标准</w:t>
            </w:r>
          </w:p>
        </w:tc>
        <w:tc>
          <w:tcPr>
            <w:tcW w:w="929" w:type="pct"/>
            <w:noWrap w:val="0"/>
            <w:vAlign w:val="center"/>
          </w:tcPr>
          <w:p w14:paraId="799649C2">
            <w:pPr>
              <w:widowControl/>
              <w:snapToGrid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lang w:eastAsia="zh-TW"/>
              </w:rPr>
              <w:t>关键指标</w:t>
            </w:r>
          </w:p>
        </w:tc>
      </w:tr>
      <w:tr w14:paraId="58B4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5" w:type="pct"/>
            <w:vMerge w:val="restart"/>
            <w:noWrap w:val="0"/>
            <w:vAlign w:val="center"/>
          </w:tcPr>
          <w:p w14:paraId="14D7FB29">
            <w:pPr>
              <w:widowControl/>
              <w:snapToGrid w:val="0"/>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TW"/>
              </w:rPr>
              <w:t>安全管理</w:t>
            </w:r>
          </w:p>
        </w:tc>
        <w:tc>
          <w:tcPr>
            <w:tcW w:w="464" w:type="pct"/>
            <w:noWrap w:val="0"/>
            <w:vAlign w:val="center"/>
          </w:tcPr>
          <w:p w14:paraId="437F94CF">
            <w:pPr>
              <w:widowControl/>
              <w:snapToGrid w:val="0"/>
              <w:spacing w:line="240" w:lineRule="auto"/>
              <w:ind w:firstLine="0" w:firstLineChars="0"/>
              <w:jc w:val="center"/>
              <w:rPr>
                <w:rFonts w:hint="eastAsia" w:ascii="宋体" w:hAnsi="宋体" w:eastAsia="宋体" w:cs="宋体"/>
                <w:color w:val="auto"/>
                <w:sz w:val="21"/>
                <w:szCs w:val="21"/>
                <w:lang w:eastAsia="zh-TW"/>
              </w:rPr>
            </w:pPr>
            <w:r>
              <w:rPr>
                <w:rFonts w:hint="eastAsia" w:ascii="宋体" w:hAnsi="宋体" w:eastAsia="宋体" w:cs="宋体"/>
                <w:color w:val="auto"/>
                <w:sz w:val="21"/>
                <w:szCs w:val="21"/>
                <w:lang w:eastAsia="zh-TW"/>
              </w:rPr>
              <w:t>安全事件</w:t>
            </w:r>
          </w:p>
          <w:p w14:paraId="662E4E86">
            <w:pPr>
              <w:widowControl/>
              <w:snapToGrid w:val="0"/>
              <w:spacing w:line="240" w:lineRule="auto"/>
              <w:ind w:firstLine="0" w:firstLineChars="0"/>
              <w:jc w:val="center"/>
              <w:rPr>
                <w:rFonts w:hint="eastAsia" w:ascii="宋体" w:hAnsi="宋体" w:eastAsia="宋体" w:cs="宋体"/>
                <w:color w:val="auto"/>
                <w:sz w:val="21"/>
                <w:szCs w:val="21"/>
                <w:lang w:eastAsia="zh-TW"/>
              </w:rPr>
            </w:pPr>
            <w:r>
              <w:rPr>
                <w:rFonts w:hint="eastAsia" w:ascii="宋体" w:hAnsi="宋体" w:eastAsia="宋体" w:cs="宋体"/>
                <w:color w:val="auto"/>
                <w:sz w:val="21"/>
                <w:szCs w:val="21"/>
                <w:lang w:eastAsia="zh-TW"/>
              </w:rPr>
              <w:t>/</w:t>
            </w:r>
          </w:p>
          <w:p w14:paraId="2461C214">
            <w:pPr>
              <w:widowControl/>
              <w:snapToGrid w:val="0"/>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TW"/>
              </w:rPr>
              <w:t>事故</w:t>
            </w:r>
          </w:p>
        </w:tc>
        <w:tc>
          <w:tcPr>
            <w:tcW w:w="1467" w:type="pct"/>
            <w:noWrap w:val="0"/>
            <w:vAlign w:val="center"/>
          </w:tcPr>
          <w:p w14:paraId="67447513">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中标人负管理责任（含主要/次要责任）的安全事故/事件为零，这些事故/事件包括但不限于：人身安全事件、财产安全事件、火灾火险事件、信息安全事件。</w:t>
            </w:r>
          </w:p>
        </w:tc>
        <w:tc>
          <w:tcPr>
            <w:tcW w:w="1643" w:type="pct"/>
            <w:noWrap w:val="0"/>
            <w:vAlign w:val="center"/>
          </w:tcPr>
          <w:p w14:paraId="10DB0FA9">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在当月考核期内如出现安全事故/事件，监管部门进行事故调查分析评审，确认中标人的责任（含主要/次要责任）。</w:t>
            </w:r>
          </w:p>
        </w:tc>
        <w:tc>
          <w:tcPr>
            <w:tcW w:w="929" w:type="pct"/>
            <w:noWrap w:val="0"/>
            <w:vAlign w:val="center"/>
          </w:tcPr>
          <w:p w14:paraId="2E11608E">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eastAsia="zh-TW"/>
              </w:rPr>
              <w:t>无责任事故/事件</w:t>
            </w:r>
          </w:p>
        </w:tc>
      </w:tr>
      <w:tr w14:paraId="46CD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95" w:type="pct"/>
            <w:vMerge w:val="continue"/>
            <w:noWrap w:val="0"/>
            <w:vAlign w:val="center"/>
          </w:tcPr>
          <w:p w14:paraId="7B244806">
            <w:pPr>
              <w:widowControl/>
              <w:snapToGrid w:val="0"/>
              <w:spacing w:line="240" w:lineRule="auto"/>
              <w:ind w:firstLine="0" w:firstLineChars="0"/>
              <w:rPr>
                <w:rFonts w:hint="eastAsia" w:ascii="宋体" w:hAnsi="宋体" w:eastAsia="宋体" w:cs="宋体"/>
                <w:color w:val="auto"/>
                <w:sz w:val="21"/>
                <w:szCs w:val="21"/>
              </w:rPr>
            </w:pPr>
          </w:p>
        </w:tc>
        <w:tc>
          <w:tcPr>
            <w:tcW w:w="464" w:type="pct"/>
            <w:noWrap w:val="0"/>
            <w:vAlign w:val="center"/>
          </w:tcPr>
          <w:p w14:paraId="452453B1">
            <w:pPr>
              <w:widowControl/>
              <w:snapToGrid w:val="0"/>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TW"/>
              </w:rPr>
              <w:t>日常管理</w:t>
            </w:r>
          </w:p>
        </w:tc>
        <w:tc>
          <w:tcPr>
            <w:tcW w:w="1467" w:type="pct"/>
            <w:noWrap w:val="0"/>
            <w:vAlign w:val="center"/>
          </w:tcPr>
          <w:p w14:paraId="42D200EF">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现场抽检合格率符合要求：</w:t>
            </w:r>
          </w:p>
          <w:p w14:paraId="505A9BB5">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1.无脱岗、睡岗、玩手机；</w:t>
            </w:r>
          </w:p>
          <w:p w14:paraId="5761200F">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2.消防器材抽检；</w:t>
            </w:r>
          </w:p>
          <w:p w14:paraId="214D6629">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3.安管员对工作内容及岗位标准认识清晰准确；</w:t>
            </w:r>
          </w:p>
          <w:p w14:paraId="6B2CFB5F">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4.各岗位均有该岗位的工作标准的管理文件。</w:t>
            </w:r>
          </w:p>
        </w:tc>
        <w:tc>
          <w:tcPr>
            <w:tcW w:w="1643" w:type="pct"/>
            <w:noWrap w:val="0"/>
            <w:vAlign w:val="center"/>
          </w:tcPr>
          <w:p w14:paraId="70DEC300">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1.通过临时查岗、监控录像追溯、举报等方式，发现一起，则本项不合格；</w:t>
            </w:r>
          </w:p>
          <w:p w14:paraId="62B21730">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2.每月抽检20%的消防器材设备，若合格率低于95%,则不合格；（注：已报修的不计入合格率计算）；</w:t>
            </w:r>
          </w:p>
          <w:p w14:paraId="1FA3CC91">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3.抽查2名现场安管员，如不能清晰准确回答考核问题，则本项不合格。</w:t>
            </w:r>
          </w:p>
        </w:tc>
        <w:tc>
          <w:tcPr>
            <w:tcW w:w="929" w:type="pct"/>
            <w:noWrap w:val="0"/>
            <w:vAlign w:val="center"/>
          </w:tcPr>
          <w:p w14:paraId="15219956">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设备器材合格率95%以上，岗位职责抽查合格率95%以上。</w:t>
            </w:r>
          </w:p>
        </w:tc>
      </w:tr>
      <w:tr w14:paraId="753D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95" w:type="pct"/>
            <w:vMerge w:val="continue"/>
            <w:noWrap w:val="0"/>
            <w:vAlign w:val="center"/>
          </w:tcPr>
          <w:p w14:paraId="556E0D83">
            <w:pPr>
              <w:widowControl/>
              <w:snapToGrid w:val="0"/>
              <w:spacing w:line="240" w:lineRule="auto"/>
              <w:ind w:firstLine="0" w:firstLineChars="0"/>
              <w:rPr>
                <w:rFonts w:hint="eastAsia" w:ascii="宋体" w:hAnsi="宋体" w:eastAsia="宋体" w:cs="宋体"/>
                <w:color w:val="auto"/>
                <w:sz w:val="21"/>
                <w:szCs w:val="21"/>
              </w:rPr>
            </w:pPr>
          </w:p>
        </w:tc>
        <w:tc>
          <w:tcPr>
            <w:tcW w:w="464" w:type="pct"/>
            <w:vMerge w:val="restart"/>
            <w:noWrap w:val="0"/>
            <w:vAlign w:val="center"/>
          </w:tcPr>
          <w:p w14:paraId="738308BB">
            <w:pPr>
              <w:widowControl/>
              <w:snapToGrid w:val="0"/>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TW"/>
              </w:rPr>
              <w:t>安全检查</w:t>
            </w:r>
          </w:p>
        </w:tc>
        <w:tc>
          <w:tcPr>
            <w:tcW w:w="1467" w:type="pct"/>
            <w:noWrap w:val="0"/>
            <w:vAlign w:val="center"/>
          </w:tcPr>
          <w:p w14:paraId="680C23A3">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人员出入管理：有效识别内、外部人员身份，核实、登记外部来访人员信息。</w:t>
            </w:r>
          </w:p>
        </w:tc>
        <w:tc>
          <w:tcPr>
            <w:tcW w:w="1643" w:type="pct"/>
            <w:noWrap w:val="0"/>
            <w:vAlign w:val="center"/>
          </w:tcPr>
          <w:p w14:paraId="6AC436EB">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有效识别出入人员，人员出入检查须登记，无责任安全事故。</w:t>
            </w:r>
          </w:p>
        </w:tc>
        <w:tc>
          <w:tcPr>
            <w:tcW w:w="929" w:type="pct"/>
            <w:noWrap w:val="0"/>
            <w:vAlign w:val="center"/>
          </w:tcPr>
          <w:p w14:paraId="76343EA2">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人员出入识别率达到100%，外来人员登记率100%，月有效投诉0</w:t>
            </w:r>
          </w:p>
        </w:tc>
      </w:tr>
      <w:tr w14:paraId="0A52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95" w:type="pct"/>
            <w:vMerge w:val="continue"/>
            <w:noWrap w:val="0"/>
            <w:vAlign w:val="center"/>
          </w:tcPr>
          <w:p w14:paraId="5091FF9A">
            <w:pPr>
              <w:widowControl/>
              <w:snapToGrid w:val="0"/>
              <w:spacing w:line="240" w:lineRule="auto"/>
              <w:ind w:firstLine="0" w:firstLineChars="0"/>
              <w:rPr>
                <w:rFonts w:hint="eastAsia" w:ascii="宋体" w:hAnsi="宋体" w:eastAsia="宋体" w:cs="宋体"/>
                <w:color w:val="auto"/>
                <w:sz w:val="21"/>
                <w:szCs w:val="21"/>
              </w:rPr>
            </w:pPr>
          </w:p>
        </w:tc>
        <w:tc>
          <w:tcPr>
            <w:tcW w:w="464" w:type="pct"/>
            <w:vMerge w:val="continue"/>
            <w:noWrap w:val="0"/>
            <w:vAlign w:val="center"/>
          </w:tcPr>
          <w:p w14:paraId="17344A8D">
            <w:pPr>
              <w:widowControl/>
              <w:snapToGrid w:val="0"/>
              <w:spacing w:line="240" w:lineRule="auto"/>
              <w:ind w:firstLine="0" w:firstLineChars="0"/>
              <w:jc w:val="center"/>
              <w:rPr>
                <w:rFonts w:hint="eastAsia" w:ascii="宋体" w:hAnsi="宋体" w:eastAsia="宋体" w:cs="宋体"/>
                <w:color w:val="auto"/>
                <w:sz w:val="21"/>
                <w:szCs w:val="21"/>
              </w:rPr>
            </w:pPr>
          </w:p>
        </w:tc>
        <w:tc>
          <w:tcPr>
            <w:tcW w:w="1467" w:type="pct"/>
            <w:noWrap w:val="0"/>
            <w:vAlign w:val="center"/>
          </w:tcPr>
          <w:p w14:paraId="11A06986">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物品出入管理：楼宇出入各类物品检查识别，对放行物品进行登记核查。</w:t>
            </w:r>
          </w:p>
        </w:tc>
        <w:tc>
          <w:tcPr>
            <w:tcW w:w="1643" w:type="pct"/>
            <w:noWrap w:val="0"/>
            <w:vAlign w:val="center"/>
          </w:tcPr>
          <w:p w14:paraId="63FC87E5">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有效管控出入物品，对物品出入进行检查登记，无责任安全事故。</w:t>
            </w:r>
          </w:p>
        </w:tc>
        <w:tc>
          <w:tcPr>
            <w:tcW w:w="929" w:type="pct"/>
            <w:noWrap w:val="0"/>
            <w:vAlign w:val="center"/>
          </w:tcPr>
          <w:p w14:paraId="1003CEE4">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物品出入识别率达到100%，月有效投诉0</w:t>
            </w:r>
          </w:p>
        </w:tc>
      </w:tr>
      <w:tr w14:paraId="558C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495" w:type="pct"/>
            <w:vMerge w:val="continue"/>
            <w:noWrap w:val="0"/>
            <w:vAlign w:val="center"/>
          </w:tcPr>
          <w:p w14:paraId="2E3F8CBE">
            <w:pPr>
              <w:widowControl/>
              <w:snapToGrid w:val="0"/>
              <w:spacing w:line="240" w:lineRule="auto"/>
              <w:ind w:firstLine="0" w:firstLineChars="0"/>
              <w:rPr>
                <w:rFonts w:hint="eastAsia" w:ascii="宋体" w:hAnsi="宋体" w:eastAsia="宋体" w:cs="宋体"/>
                <w:color w:val="auto"/>
                <w:sz w:val="21"/>
                <w:szCs w:val="21"/>
              </w:rPr>
            </w:pPr>
          </w:p>
        </w:tc>
        <w:tc>
          <w:tcPr>
            <w:tcW w:w="464" w:type="pct"/>
            <w:vMerge w:val="continue"/>
            <w:noWrap w:val="0"/>
            <w:vAlign w:val="center"/>
          </w:tcPr>
          <w:p w14:paraId="5D435367">
            <w:pPr>
              <w:widowControl/>
              <w:snapToGrid w:val="0"/>
              <w:spacing w:line="240" w:lineRule="auto"/>
              <w:ind w:firstLine="0" w:firstLineChars="0"/>
              <w:jc w:val="center"/>
              <w:rPr>
                <w:rFonts w:hint="eastAsia" w:ascii="宋体" w:hAnsi="宋体" w:eastAsia="宋体" w:cs="宋体"/>
                <w:color w:val="auto"/>
                <w:sz w:val="21"/>
                <w:szCs w:val="21"/>
              </w:rPr>
            </w:pPr>
          </w:p>
        </w:tc>
        <w:tc>
          <w:tcPr>
            <w:tcW w:w="1467" w:type="pct"/>
            <w:noWrap w:val="0"/>
            <w:vAlign w:val="center"/>
          </w:tcPr>
          <w:p w14:paraId="15ECE9D0">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上门投诉：对上门申诉人员进行安全管理、控制，对申诉用户进行指引或安抚，配合客服部门完成用户上门申诉处理。</w:t>
            </w:r>
          </w:p>
        </w:tc>
        <w:tc>
          <w:tcPr>
            <w:tcW w:w="1643" w:type="pct"/>
            <w:noWrap w:val="0"/>
            <w:vAlign w:val="center"/>
          </w:tcPr>
          <w:p w14:paraId="001A45E1">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参照相关应急文件中的相关要求进行现场管控。</w:t>
            </w:r>
          </w:p>
        </w:tc>
        <w:tc>
          <w:tcPr>
            <w:tcW w:w="929" w:type="pct"/>
            <w:noWrap w:val="0"/>
            <w:vAlign w:val="center"/>
          </w:tcPr>
          <w:p w14:paraId="29D65D65">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跟进率100%，不出现责任安全事故，现场管控0伤亡</w:t>
            </w:r>
          </w:p>
        </w:tc>
      </w:tr>
      <w:tr w14:paraId="4883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495" w:type="pct"/>
            <w:vMerge w:val="continue"/>
            <w:noWrap w:val="0"/>
            <w:vAlign w:val="center"/>
          </w:tcPr>
          <w:p w14:paraId="0669DBAC">
            <w:pPr>
              <w:widowControl/>
              <w:snapToGrid w:val="0"/>
              <w:spacing w:line="240" w:lineRule="auto"/>
              <w:ind w:firstLine="0" w:firstLineChars="0"/>
              <w:rPr>
                <w:rFonts w:hint="eastAsia" w:ascii="宋体" w:hAnsi="宋体" w:eastAsia="宋体" w:cs="宋体"/>
                <w:color w:val="auto"/>
                <w:sz w:val="21"/>
                <w:szCs w:val="21"/>
              </w:rPr>
            </w:pPr>
          </w:p>
        </w:tc>
        <w:tc>
          <w:tcPr>
            <w:tcW w:w="464" w:type="pct"/>
            <w:noWrap w:val="0"/>
            <w:vAlign w:val="center"/>
          </w:tcPr>
          <w:p w14:paraId="20EE704A">
            <w:pPr>
              <w:widowControl/>
              <w:snapToGrid w:val="0"/>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TW"/>
              </w:rPr>
              <w:t>安防监控</w:t>
            </w:r>
          </w:p>
        </w:tc>
        <w:tc>
          <w:tcPr>
            <w:tcW w:w="1467" w:type="pct"/>
            <w:noWrap w:val="0"/>
            <w:vAlign w:val="center"/>
          </w:tcPr>
          <w:p w14:paraId="5C87110E">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1.安防监控中心24小时值班及监控。</w:t>
            </w:r>
          </w:p>
          <w:p w14:paraId="2F67EF76">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2.监控查询：办公区重大安全事件、固资丢失的监控查询。</w:t>
            </w:r>
          </w:p>
          <w:p w14:paraId="33C7DF9F">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3.监控存档不少于30天。</w:t>
            </w:r>
          </w:p>
          <w:p w14:paraId="3AD5F2AA">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4.支持通过审批的员工监控查询需求及招标人主管部门提出的查询需求。</w:t>
            </w:r>
          </w:p>
        </w:tc>
        <w:tc>
          <w:tcPr>
            <w:tcW w:w="1643" w:type="pct"/>
            <w:noWrap w:val="0"/>
            <w:vAlign w:val="center"/>
          </w:tcPr>
          <w:p w14:paraId="1F836E6C">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1.监控记录完备；</w:t>
            </w:r>
          </w:p>
          <w:p w14:paraId="52DE12C9">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2.监控值班期间，发现安全问题，及时通知相关人员排除隐患；</w:t>
            </w:r>
          </w:p>
          <w:p w14:paraId="51D951A7">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3.做好监控内容的保密工作，不拷贝、翻拍、外传相关监控内容。</w:t>
            </w:r>
          </w:p>
        </w:tc>
        <w:tc>
          <w:tcPr>
            <w:tcW w:w="929" w:type="pct"/>
            <w:noWrap w:val="0"/>
            <w:vAlign w:val="center"/>
          </w:tcPr>
          <w:p w14:paraId="5CBCC3F5">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抽查监控记录，合格率100%，无监控泄密事件发生月有效投诉为0</w:t>
            </w:r>
          </w:p>
        </w:tc>
      </w:tr>
      <w:tr w14:paraId="179F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5" w:type="pct"/>
            <w:vMerge w:val="continue"/>
            <w:noWrap w:val="0"/>
            <w:vAlign w:val="center"/>
          </w:tcPr>
          <w:p w14:paraId="514043AD">
            <w:pPr>
              <w:widowControl/>
              <w:snapToGrid w:val="0"/>
              <w:spacing w:line="240" w:lineRule="auto"/>
              <w:ind w:firstLine="0" w:firstLineChars="0"/>
              <w:rPr>
                <w:rFonts w:hint="eastAsia" w:ascii="宋体" w:hAnsi="宋体" w:eastAsia="宋体" w:cs="宋体"/>
                <w:color w:val="auto"/>
                <w:sz w:val="21"/>
                <w:szCs w:val="21"/>
              </w:rPr>
            </w:pPr>
          </w:p>
        </w:tc>
        <w:tc>
          <w:tcPr>
            <w:tcW w:w="464" w:type="pct"/>
            <w:noWrap w:val="0"/>
            <w:vAlign w:val="center"/>
          </w:tcPr>
          <w:p w14:paraId="369AA661">
            <w:pPr>
              <w:widowControl/>
              <w:snapToGrid w:val="0"/>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TW"/>
              </w:rPr>
              <w:t>停车场管理</w:t>
            </w:r>
          </w:p>
        </w:tc>
        <w:tc>
          <w:tcPr>
            <w:tcW w:w="1467" w:type="pct"/>
            <w:noWrap w:val="0"/>
            <w:vAlign w:val="center"/>
          </w:tcPr>
          <w:p w14:paraId="398100FE">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地面及地上停车场的管理。</w:t>
            </w:r>
          </w:p>
        </w:tc>
        <w:tc>
          <w:tcPr>
            <w:tcW w:w="1643" w:type="pct"/>
            <w:noWrap w:val="0"/>
            <w:vAlign w:val="center"/>
          </w:tcPr>
          <w:p w14:paraId="065546D8">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1.停车信息与车辆信息基本相符。</w:t>
            </w:r>
          </w:p>
          <w:p w14:paraId="67759B28">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2.停车场车辆停放有序，道路畅通，交通指挥及引导正确。</w:t>
            </w:r>
          </w:p>
        </w:tc>
        <w:tc>
          <w:tcPr>
            <w:tcW w:w="929" w:type="pct"/>
            <w:noWrap w:val="0"/>
            <w:vAlign w:val="center"/>
          </w:tcPr>
          <w:p w14:paraId="7C859789">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违规占用道路或VIP车位抽查，不超过总停车位的1%</w:t>
            </w:r>
          </w:p>
        </w:tc>
      </w:tr>
      <w:tr w14:paraId="31893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495" w:type="pct"/>
            <w:vMerge w:val="continue"/>
            <w:noWrap w:val="0"/>
            <w:vAlign w:val="center"/>
          </w:tcPr>
          <w:p w14:paraId="198ECDCD">
            <w:pPr>
              <w:widowControl/>
              <w:snapToGrid w:val="0"/>
              <w:spacing w:line="240" w:lineRule="auto"/>
              <w:ind w:firstLine="0" w:firstLineChars="0"/>
              <w:rPr>
                <w:rFonts w:hint="eastAsia" w:ascii="宋体" w:hAnsi="宋体" w:eastAsia="宋体" w:cs="宋体"/>
                <w:color w:val="auto"/>
                <w:sz w:val="21"/>
                <w:szCs w:val="21"/>
              </w:rPr>
            </w:pPr>
          </w:p>
        </w:tc>
        <w:tc>
          <w:tcPr>
            <w:tcW w:w="464" w:type="pct"/>
            <w:noWrap w:val="0"/>
            <w:vAlign w:val="center"/>
          </w:tcPr>
          <w:p w14:paraId="15BED387">
            <w:pPr>
              <w:widowControl/>
              <w:snapToGrid w:val="0"/>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TW"/>
              </w:rPr>
              <w:t>活动保障</w:t>
            </w:r>
          </w:p>
        </w:tc>
        <w:tc>
          <w:tcPr>
            <w:tcW w:w="1467" w:type="pct"/>
            <w:noWrap w:val="0"/>
            <w:vAlign w:val="center"/>
          </w:tcPr>
          <w:p w14:paraId="4379621A">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各类活动、接待、重要会议等任务的安全保卫工作及物品搬运，必要时提供人力支援。</w:t>
            </w:r>
          </w:p>
        </w:tc>
        <w:tc>
          <w:tcPr>
            <w:tcW w:w="1643" w:type="pct"/>
            <w:noWrap w:val="0"/>
            <w:vAlign w:val="center"/>
          </w:tcPr>
          <w:p w14:paraId="123CF101">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eastAsia="zh-TW"/>
              </w:rPr>
              <w:t>配合客户要求执行</w:t>
            </w:r>
            <w:r>
              <w:rPr>
                <w:rFonts w:hint="eastAsia" w:ascii="宋体" w:hAnsi="宋体" w:eastAsia="宋体" w:cs="宋体"/>
                <w:color w:val="auto"/>
                <w:sz w:val="21"/>
                <w:szCs w:val="21"/>
              </w:rPr>
              <w:t>。</w:t>
            </w:r>
          </w:p>
        </w:tc>
        <w:tc>
          <w:tcPr>
            <w:tcW w:w="929" w:type="pct"/>
            <w:noWrap w:val="0"/>
            <w:vAlign w:val="center"/>
          </w:tcPr>
          <w:p w14:paraId="5454007B">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eastAsia="zh-TW"/>
              </w:rPr>
              <w:t>服务满意度95%以上</w:t>
            </w:r>
          </w:p>
        </w:tc>
      </w:tr>
    </w:tbl>
    <w:p w14:paraId="240B3E24">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eastAsia="宋体" w:cs="宋体"/>
          <w:b/>
          <w:bCs/>
          <w:color w:val="auto"/>
          <w:sz w:val="21"/>
          <w:szCs w:val="21"/>
          <w:lang w:val="en-US" w:eastAsia="zh-CN"/>
        </w:rPr>
      </w:pPr>
      <w:bookmarkStart w:id="583" w:name="_Toc135256448"/>
      <w:bookmarkStart w:id="584" w:name="_Toc31413"/>
      <w:bookmarkStart w:id="585" w:name="_Toc135163433"/>
      <w:bookmarkStart w:id="586" w:name="_Toc5491"/>
      <w:bookmarkStart w:id="587" w:name="_Toc20535"/>
      <w:bookmarkStart w:id="588" w:name="_Toc135161948"/>
      <w:bookmarkStart w:id="589" w:name="_Toc12943"/>
      <w:bookmarkStart w:id="590" w:name="_Toc135162403"/>
      <w:bookmarkStart w:id="591" w:name="_Toc21228"/>
      <w:bookmarkStart w:id="592" w:name="_Toc25193"/>
      <w:bookmarkStart w:id="593" w:name="_Toc135256693"/>
      <w:bookmarkStart w:id="594" w:name="_Toc134830158"/>
      <w:bookmarkStart w:id="595" w:name="_Toc135162749"/>
      <w:bookmarkStart w:id="596" w:name="_Toc135162954"/>
      <w:bookmarkStart w:id="597" w:name="_Toc135160296"/>
      <w:r>
        <w:rPr>
          <w:rFonts w:hint="eastAsia" w:ascii="宋体" w:hAnsi="宋体" w:eastAsia="宋体" w:cs="宋体"/>
          <w:b/>
          <w:bCs/>
          <w:color w:val="auto"/>
          <w:sz w:val="21"/>
          <w:szCs w:val="21"/>
          <w:lang w:val="en-US" w:eastAsia="zh-CN"/>
        </w:rPr>
        <w:t>2.2.3清洁卫生管理</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2866DFA4">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本部分服务的招标范围为大厦规划红线范围的区域，委托内容包括但不限于以下内容： </w:t>
      </w:r>
    </w:p>
    <w:p w14:paraId="125945B3">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建筑物内日常清洁服务：塔楼除</w:t>
      </w:r>
      <w:r>
        <w:rPr>
          <w:rFonts w:hint="eastAsia" w:ascii="宋体" w:hAnsi="宋体" w:eastAsia="宋体" w:cs="宋体"/>
          <w:color w:val="auto"/>
          <w:sz w:val="21"/>
          <w:szCs w:val="21"/>
          <w:highlight w:val="none"/>
          <w:lang w:val="en-US" w:eastAsia="zh-CN"/>
        </w:rPr>
        <w:t>租赁</w:t>
      </w:r>
      <w:r>
        <w:rPr>
          <w:rFonts w:hint="eastAsia" w:ascii="宋体" w:hAnsi="宋体" w:eastAsia="宋体" w:cs="宋体"/>
          <w:color w:val="auto"/>
          <w:sz w:val="21"/>
          <w:szCs w:val="21"/>
          <w:highlight w:val="none"/>
        </w:rPr>
        <w:t>区域外所有</w:t>
      </w:r>
      <w:r>
        <w:rPr>
          <w:rFonts w:hint="eastAsia" w:ascii="宋体" w:hAnsi="宋体" w:eastAsia="宋体" w:cs="宋体"/>
          <w:color w:val="auto"/>
          <w:sz w:val="21"/>
          <w:szCs w:val="21"/>
          <w:highlight w:val="none"/>
          <w:lang w:val="en-US" w:eastAsia="zh-CN"/>
        </w:rPr>
        <w:t>公共</w:t>
      </w:r>
      <w:r>
        <w:rPr>
          <w:rFonts w:hint="eastAsia" w:ascii="宋体" w:hAnsi="宋体" w:eastAsia="宋体" w:cs="宋体"/>
          <w:color w:val="auto"/>
          <w:sz w:val="21"/>
          <w:szCs w:val="21"/>
          <w:highlight w:val="none"/>
        </w:rPr>
        <w:t>区域的清洁卫生，包含</w:t>
      </w:r>
      <w:r>
        <w:rPr>
          <w:rFonts w:hint="eastAsia" w:ascii="宋体" w:hAnsi="宋体" w:eastAsia="宋体" w:cs="宋体"/>
          <w:color w:val="auto"/>
          <w:sz w:val="21"/>
          <w:szCs w:val="21"/>
          <w:highlight w:val="none"/>
          <w:lang w:val="en-US" w:eastAsia="zh-CN"/>
        </w:rPr>
        <w:t>公共走廊、电梯间、洗手间、消防通道、茶水间、清洁间、屋面等</w:t>
      </w:r>
      <w:r>
        <w:rPr>
          <w:rFonts w:hint="eastAsia" w:ascii="宋体" w:hAnsi="宋体" w:eastAsia="宋体" w:cs="宋体"/>
          <w:color w:val="auto"/>
          <w:sz w:val="21"/>
          <w:szCs w:val="21"/>
          <w:highlight w:val="none"/>
        </w:rPr>
        <w:t>；裙楼除</w:t>
      </w:r>
      <w:r>
        <w:rPr>
          <w:rFonts w:hint="eastAsia" w:ascii="宋体" w:hAnsi="宋体" w:eastAsia="宋体" w:cs="宋体"/>
          <w:color w:val="auto"/>
          <w:sz w:val="21"/>
          <w:szCs w:val="21"/>
          <w:highlight w:val="none"/>
          <w:lang w:val="en-US" w:eastAsia="zh-CN"/>
        </w:rPr>
        <w:t>食堂</w:t>
      </w:r>
      <w:r>
        <w:rPr>
          <w:rFonts w:hint="eastAsia" w:ascii="宋体" w:hAnsi="宋体" w:eastAsia="宋体" w:cs="宋体"/>
          <w:color w:val="auto"/>
          <w:sz w:val="21"/>
          <w:szCs w:val="21"/>
          <w:highlight w:val="none"/>
        </w:rPr>
        <w:t>区域外的所有</w:t>
      </w:r>
      <w:r>
        <w:rPr>
          <w:rFonts w:hint="eastAsia" w:ascii="宋体" w:hAnsi="宋体" w:eastAsia="宋体" w:cs="宋体"/>
          <w:color w:val="auto"/>
          <w:sz w:val="21"/>
          <w:szCs w:val="21"/>
          <w:highlight w:val="none"/>
          <w:lang w:val="en-US" w:eastAsia="zh-CN"/>
        </w:rPr>
        <w:t>公共</w:t>
      </w:r>
      <w:r>
        <w:rPr>
          <w:rFonts w:hint="eastAsia" w:ascii="宋体" w:hAnsi="宋体" w:eastAsia="宋体" w:cs="宋体"/>
          <w:color w:val="auto"/>
          <w:sz w:val="21"/>
          <w:szCs w:val="21"/>
          <w:highlight w:val="none"/>
        </w:rPr>
        <w:t>区域清洁卫生，</w:t>
      </w:r>
      <w:r>
        <w:rPr>
          <w:rFonts w:hint="eastAsia" w:ascii="宋体" w:hAnsi="宋体" w:eastAsia="宋体" w:cs="宋体"/>
          <w:color w:val="auto"/>
          <w:sz w:val="21"/>
          <w:szCs w:val="21"/>
          <w:highlight w:val="none"/>
          <w:lang w:val="en-US" w:eastAsia="zh-CN"/>
        </w:rPr>
        <w:t>包含大堂、物业业务办公用房、功能用房（如消防控制室，配电室等）；</w:t>
      </w:r>
      <w:r>
        <w:rPr>
          <w:rFonts w:hint="eastAsia" w:ascii="宋体" w:hAnsi="宋体" w:eastAsia="宋体" w:cs="宋体"/>
          <w:color w:val="auto"/>
          <w:sz w:val="21"/>
          <w:szCs w:val="21"/>
          <w:highlight w:val="none"/>
        </w:rPr>
        <w:t>地下车库</w:t>
      </w:r>
      <w:r>
        <w:rPr>
          <w:rFonts w:hint="eastAsia" w:ascii="宋体" w:hAnsi="宋体" w:eastAsia="宋体" w:cs="宋体"/>
          <w:color w:val="auto"/>
          <w:sz w:val="21"/>
          <w:szCs w:val="21"/>
          <w:highlight w:val="none"/>
          <w:lang w:val="en-US" w:eastAsia="zh-CN"/>
        </w:rPr>
        <w:t>、项目外广场地面、幕墙等</w:t>
      </w:r>
      <w:r>
        <w:rPr>
          <w:rFonts w:hint="eastAsia" w:ascii="宋体" w:hAnsi="宋体" w:eastAsia="宋体" w:cs="宋体"/>
          <w:color w:val="auto"/>
          <w:sz w:val="21"/>
          <w:szCs w:val="21"/>
          <w:highlight w:val="none"/>
        </w:rPr>
        <w:t>区域的清洁卫生</w:t>
      </w:r>
      <w:r>
        <w:rPr>
          <w:rFonts w:hint="eastAsia" w:ascii="宋体" w:hAnsi="宋体" w:eastAsia="宋体" w:cs="宋体"/>
          <w:color w:val="auto"/>
          <w:sz w:val="21"/>
          <w:szCs w:val="21"/>
          <w:highlight w:val="none"/>
          <w:lang w:eastAsia="zh-CN"/>
        </w:rPr>
        <w:t>。</w:t>
      </w:r>
    </w:p>
    <w:p w14:paraId="2D3198FF">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A塔7-11层由酒店自行管理，物业负责消防通道的卫生保洁。</w:t>
      </w:r>
    </w:p>
    <w:p w14:paraId="68DBF2C4">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en-US"/>
        </w:rPr>
        <w:t>招标人集团内部</w:t>
      </w:r>
      <w:bookmarkStart w:id="598" w:name="OLE_LINK20"/>
      <w:r>
        <w:rPr>
          <w:rFonts w:hint="eastAsia" w:ascii="宋体" w:hAnsi="宋体" w:eastAsia="宋体" w:cs="宋体"/>
          <w:color w:val="auto"/>
          <w:kern w:val="0"/>
          <w:sz w:val="21"/>
          <w:szCs w:val="21"/>
          <w:highlight w:val="none"/>
          <w:lang w:val="en-US" w:eastAsia="zh-CN" w:bidi="en-US"/>
        </w:rPr>
        <w:t>各企业</w:t>
      </w:r>
      <w:bookmarkStart w:id="599" w:name="OLE_LINK22"/>
      <w:r>
        <w:rPr>
          <w:rFonts w:hint="eastAsia" w:ascii="宋体" w:hAnsi="宋体" w:eastAsia="宋体" w:cs="宋体"/>
          <w:color w:val="auto"/>
          <w:kern w:val="0"/>
          <w:sz w:val="21"/>
          <w:szCs w:val="21"/>
          <w:highlight w:val="none"/>
          <w:lang w:val="en-US" w:eastAsia="zh-CN" w:bidi="en-US"/>
        </w:rPr>
        <w:t>办公</w:t>
      </w:r>
      <w:bookmarkEnd w:id="598"/>
      <w:r>
        <w:rPr>
          <w:rFonts w:hint="eastAsia" w:ascii="宋体" w:hAnsi="宋体" w:eastAsia="宋体" w:cs="宋体"/>
          <w:color w:val="auto"/>
          <w:kern w:val="0"/>
          <w:sz w:val="21"/>
          <w:szCs w:val="21"/>
          <w:highlight w:val="none"/>
          <w:lang w:val="en-US" w:eastAsia="zh-CN" w:bidi="en-US"/>
        </w:rPr>
        <w:t>区域</w:t>
      </w:r>
      <w:bookmarkEnd w:id="599"/>
      <w:r>
        <w:rPr>
          <w:rFonts w:hint="eastAsia" w:ascii="宋体" w:hAnsi="宋体" w:eastAsia="宋体" w:cs="宋体"/>
          <w:color w:val="auto"/>
          <w:kern w:val="0"/>
          <w:sz w:val="21"/>
          <w:szCs w:val="21"/>
          <w:highlight w:val="none"/>
          <w:lang w:val="en-US" w:eastAsia="zh-CN" w:bidi="en-US"/>
        </w:rPr>
        <w:t>（不含公共区域）保洁，各企业可自愿选择与中标人按照保洁人工单价另行签订服务合同实施，费用由各企业承担，具体对接及管理细节由各企业与中标人自行负责（招标人不参与）。</w:t>
      </w:r>
    </w:p>
    <w:p w14:paraId="17E45B78">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租赁</w:t>
      </w:r>
      <w:r>
        <w:rPr>
          <w:rFonts w:hint="eastAsia" w:ascii="宋体" w:hAnsi="宋体" w:eastAsia="宋体" w:cs="宋体"/>
          <w:color w:val="auto"/>
          <w:sz w:val="21"/>
          <w:szCs w:val="21"/>
          <w:highlight w:val="none"/>
        </w:rPr>
        <w:t>区域外</w:t>
      </w:r>
      <w:r>
        <w:rPr>
          <w:rFonts w:hint="eastAsia" w:ascii="宋体" w:hAnsi="宋体" w:eastAsia="宋体" w:cs="宋体"/>
          <w:color w:val="auto"/>
          <w:sz w:val="21"/>
          <w:szCs w:val="21"/>
          <w:highlight w:val="none"/>
          <w:lang w:val="en-US" w:eastAsia="zh-CN"/>
        </w:rPr>
        <w:t>公共区域</w:t>
      </w:r>
      <w:r>
        <w:rPr>
          <w:rFonts w:hint="eastAsia" w:ascii="宋体" w:hAnsi="宋体" w:eastAsia="宋体" w:cs="宋体"/>
          <w:color w:val="auto"/>
          <w:sz w:val="21"/>
          <w:szCs w:val="21"/>
          <w:highlight w:val="none"/>
        </w:rPr>
        <w:t>清洁卫生作业要求与标准：</w:t>
      </w:r>
    </w:p>
    <w:tbl>
      <w:tblPr>
        <w:tblStyle w:val="41"/>
        <w:tblW w:w="92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50"/>
        <w:gridCol w:w="530"/>
        <w:gridCol w:w="1460"/>
        <w:gridCol w:w="1156"/>
        <w:gridCol w:w="1246"/>
        <w:gridCol w:w="1069"/>
        <w:gridCol w:w="890"/>
        <w:gridCol w:w="2229"/>
      </w:tblGrid>
      <w:tr w14:paraId="37691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restart"/>
            <w:tcBorders>
              <w:top w:val="single" w:color="auto" w:sz="6" w:space="0"/>
              <w:left w:val="single" w:color="auto" w:sz="6" w:space="0"/>
              <w:bottom w:val="single" w:color="auto" w:sz="6" w:space="0"/>
              <w:right w:val="single" w:color="auto" w:sz="6" w:space="0"/>
            </w:tcBorders>
            <w:noWrap/>
            <w:vAlign w:val="center"/>
          </w:tcPr>
          <w:p w14:paraId="3BB9010B">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位置</w:t>
            </w:r>
          </w:p>
        </w:tc>
        <w:tc>
          <w:tcPr>
            <w:tcW w:w="530" w:type="dxa"/>
            <w:vMerge w:val="restart"/>
            <w:tcBorders>
              <w:top w:val="single" w:color="auto" w:sz="6" w:space="0"/>
              <w:left w:val="single" w:color="auto" w:sz="6" w:space="0"/>
              <w:bottom w:val="single" w:color="auto" w:sz="6" w:space="0"/>
              <w:right w:val="single" w:color="auto" w:sz="6" w:space="0"/>
            </w:tcBorders>
            <w:noWrap/>
            <w:vAlign w:val="center"/>
          </w:tcPr>
          <w:p w14:paraId="2E1ACA28">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序号</w:t>
            </w:r>
          </w:p>
        </w:tc>
        <w:tc>
          <w:tcPr>
            <w:tcW w:w="1460" w:type="dxa"/>
            <w:vMerge w:val="restart"/>
            <w:tcBorders>
              <w:top w:val="single" w:color="auto" w:sz="6" w:space="0"/>
              <w:left w:val="single" w:color="auto" w:sz="6" w:space="0"/>
              <w:bottom w:val="single" w:color="auto" w:sz="6" w:space="0"/>
              <w:right w:val="single" w:color="auto" w:sz="6" w:space="0"/>
            </w:tcBorders>
            <w:noWrap/>
            <w:vAlign w:val="center"/>
          </w:tcPr>
          <w:p w14:paraId="0E045A68">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清洁项目</w:t>
            </w:r>
          </w:p>
        </w:tc>
        <w:tc>
          <w:tcPr>
            <w:tcW w:w="4361" w:type="dxa"/>
            <w:gridSpan w:val="4"/>
            <w:tcBorders>
              <w:top w:val="single" w:color="auto" w:sz="6" w:space="0"/>
              <w:left w:val="single" w:color="auto" w:sz="6" w:space="0"/>
              <w:bottom w:val="single" w:color="auto" w:sz="6" w:space="0"/>
              <w:right w:val="single" w:color="auto" w:sz="6" w:space="0"/>
            </w:tcBorders>
            <w:noWrap/>
            <w:vAlign w:val="center"/>
          </w:tcPr>
          <w:p w14:paraId="484170BC">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作业要求</w:t>
            </w:r>
          </w:p>
        </w:tc>
        <w:tc>
          <w:tcPr>
            <w:tcW w:w="2229" w:type="dxa"/>
            <w:vMerge w:val="restart"/>
            <w:tcBorders>
              <w:top w:val="single" w:color="auto" w:sz="6" w:space="0"/>
              <w:left w:val="single" w:color="auto" w:sz="6" w:space="0"/>
              <w:bottom w:val="single" w:color="auto" w:sz="6" w:space="0"/>
              <w:right w:val="single" w:color="auto" w:sz="6" w:space="0"/>
            </w:tcBorders>
            <w:noWrap/>
            <w:vAlign w:val="center"/>
          </w:tcPr>
          <w:p w14:paraId="14B59C1C">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清洁标准</w:t>
            </w:r>
          </w:p>
        </w:tc>
      </w:tr>
      <w:tr w14:paraId="12331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22FC9217">
            <w:pPr>
              <w:snapToGrid w:val="0"/>
              <w:spacing w:line="240" w:lineRule="auto"/>
              <w:ind w:firstLine="0" w:firstLineChars="0"/>
              <w:jc w:val="center"/>
              <w:rPr>
                <w:rFonts w:hint="eastAsia" w:ascii="宋体" w:hAnsi="宋体" w:eastAsia="宋体" w:cs="宋体"/>
                <w:b/>
                <w:bCs/>
                <w:color w:val="auto"/>
                <w:kern w:val="2"/>
                <w:sz w:val="21"/>
                <w:szCs w:val="21"/>
              </w:rPr>
            </w:pPr>
          </w:p>
        </w:tc>
        <w:tc>
          <w:tcPr>
            <w:tcW w:w="530" w:type="dxa"/>
            <w:vMerge w:val="continue"/>
            <w:tcBorders>
              <w:top w:val="single" w:color="auto" w:sz="6" w:space="0"/>
              <w:left w:val="single" w:color="auto" w:sz="6" w:space="0"/>
              <w:bottom w:val="single" w:color="auto" w:sz="6" w:space="0"/>
              <w:right w:val="single" w:color="auto" w:sz="6" w:space="0"/>
            </w:tcBorders>
            <w:noWrap/>
            <w:vAlign w:val="center"/>
          </w:tcPr>
          <w:p w14:paraId="643DF399">
            <w:pPr>
              <w:snapToGrid w:val="0"/>
              <w:spacing w:line="240" w:lineRule="auto"/>
              <w:ind w:firstLine="0" w:firstLineChars="0"/>
              <w:jc w:val="center"/>
              <w:rPr>
                <w:rFonts w:hint="eastAsia" w:ascii="宋体" w:hAnsi="宋体" w:eastAsia="宋体" w:cs="宋体"/>
                <w:b/>
                <w:bCs/>
                <w:color w:val="auto"/>
                <w:kern w:val="2"/>
                <w:sz w:val="21"/>
                <w:szCs w:val="21"/>
              </w:rPr>
            </w:pPr>
          </w:p>
        </w:tc>
        <w:tc>
          <w:tcPr>
            <w:tcW w:w="1460" w:type="dxa"/>
            <w:vMerge w:val="continue"/>
            <w:tcBorders>
              <w:top w:val="single" w:color="auto" w:sz="6" w:space="0"/>
              <w:left w:val="single" w:color="auto" w:sz="6" w:space="0"/>
              <w:bottom w:val="single" w:color="auto" w:sz="6" w:space="0"/>
              <w:right w:val="single" w:color="auto" w:sz="6" w:space="0"/>
            </w:tcBorders>
            <w:noWrap/>
            <w:vAlign w:val="center"/>
          </w:tcPr>
          <w:p w14:paraId="0FA35CBB">
            <w:pPr>
              <w:snapToGrid w:val="0"/>
              <w:spacing w:line="240" w:lineRule="auto"/>
              <w:ind w:firstLine="0" w:firstLineChars="0"/>
              <w:jc w:val="center"/>
              <w:rPr>
                <w:rFonts w:hint="eastAsia" w:ascii="宋体" w:hAnsi="宋体" w:eastAsia="宋体" w:cs="宋体"/>
                <w:b/>
                <w:bCs/>
                <w:color w:val="auto"/>
                <w:kern w:val="2"/>
                <w:sz w:val="21"/>
                <w:szCs w:val="21"/>
              </w:rPr>
            </w:pPr>
          </w:p>
        </w:tc>
        <w:tc>
          <w:tcPr>
            <w:tcW w:w="1156" w:type="dxa"/>
            <w:tcBorders>
              <w:top w:val="single" w:color="auto" w:sz="6" w:space="0"/>
              <w:left w:val="single" w:color="auto" w:sz="6" w:space="0"/>
              <w:bottom w:val="single" w:color="auto" w:sz="6" w:space="0"/>
              <w:right w:val="single" w:color="auto" w:sz="6" w:space="0"/>
            </w:tcBorders>
            <w:noWrap/>
            <w:vAlign w:val="center"/>
          </w:tcPr>
          <w:p w14:paraId="75D79CA5">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每日</w:t>
            </w:r>
          </w:p>
        </w:tc>
        <w:tc>
          <w:tcPr>
            <w:tcW w:w="1246" w:type="dxa"/>
            <w:tcBorders>
              <w:top w:val="single" w:color="auto" w:sz="6" w:space="0"/>
              <w:left w:val="single" w:color="auto" w:sz="6" w:space="0"/>
              <w:bottom w:val="single" w:color="auto" w:sz="6" w:space="0"/>
              <w:right w:val="single" w:color="auto" w:sz="6" w:space="0"/>
            </w:tcBorders>
            <w:noWrap/>
            <w:vAlign w:val="center"/>
          </w:tcPr>
          <w:p w14:paraId="6F925159">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每周</w:t>
            </w:r>
          </w:p>
        </w:tc>
        <w:tc>
          <w:tcPr>
            <w:tcW w:w="1069" w:type="dxa"/>
            <w:tcBorders>
              <w:top w:val="single" w:color="auto" w:sz="6" w:space="0"/>
              <w:left w:val="single" w:color="auto" w:sz="6" w:space="0"/>
              <w:bottom w:val="single" w:color="auto" w:sz="6" w:space="0"/>
              <w:right w:val="single" w:color="auto" w:sz="6" w:space="0"/>
            </w:tcBorders>
            <w:noWrap/>
            <w:vAlign w:val="center"/>
          </w:tcPr>
          <w:p w14:paraId="68C2913A">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每月</w:t>
            </w:r>
          </w:p>
        </w:tc>
        <w:tc>
          <w:tcPr>
            <w:tcW w:w="890" w:type="dxa"/>
            <w:tcBorders>
              <w:top w:val="single" w:color="auto" w:sz="6" w:space="0"/>
              <w:left w:val="single" w:color="auto" w:sz="6" w:space="0"/>
              <w:bottom w:val="single" w:color="auto" w:sz="6" w:space="0"/>
              <w:right w:val="single" w:color="auto" w:sz="6" w:space="0"/>
            </w:tcBorders>
            <w:noWrap/>
            <w:vAlign w:val="center"/>
          </w:tcPr>
          <w:p w14:paraId="0F2AE9CF">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每季</w:t>
            </w:r>
          </w:p>
        </w:tc>
        <w:tc>
          <w:tcPr>
            <w:tcW w:w="2229" w:type="dxa"/>
            <w:vMerge w:val="continue"/>
            <w:tcBorders>
              <w:top w:val="single" w:color="auto" w:sz="6" w:space="0"/>
              <w:left w:val="single" w:color="auto" w:sz="6" w:space="0"/>
              <w:bottom w:val="single" w:color="auto" w:sz="6" w:space="0"/>
              <w:right w:val="single" w:color="auto" w:sz="6" w:space="0"/>
            </w:tcBorders>
            <w:noWrap/>
            <w:vAlign w:val="center"/>
          </w:tcPr>
          <w:p w14:paraId="5F239F6E">
            <w:pPr>
              <w:snapToGrid w:val="0"/>
              <w:spacing w:line="240" w:lineRule="auto"/>
              <w:ind w:firstLine="0" w:firstLineChars="0"/>
              <w:jc w:val="center"/>
              <w:rPr>
                <w:rFonts w:hint="eastAsia" w:ascii="宋体" w:hAnsi="宋体" w:eastAsia="宋体" w:cs="宋体"/>
                <w:bCs/>
                <w:color w:val="auto"/>
                <w:kern w:val="2"/>
                <w:sz w:val="21"/>
                <w:szCs w:val="21"/>
              </w:rPr>
            </w:pPr>
          </w:p>
        </w:tc>
      </w:tr>
      <w:tr w14:paraId="7CA68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restart"/>
            <w:tcBorders>
              <w:top w:val="single" w:color="auto" w:sz="6" w:space="0"/>
              <w:left w:val="single" w:color="auto" w:sz="6" w:space="0"/>
              <w:bottom w:val="single" w:color="auto" w:sz="6" w:space="0"/>
              <w:right w:val="single" w:color="auto" w:sz="6" w:space="0"/>
            </w:tcBorders>
            <w:noWrap/>
            <w:vAlign w:val="center"/>
          </w:tcPr>
          <w:p w14:paraId="66DA6C35">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建</w:t>
            </w:r>
          </w:p>
          <w:p w14:paraId="5477E836">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筑</w:t>
            </w:r>
          </w:p>
          <w:p w14:paraId="6D516A51">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物</w:t>
            </w:r>
          </w:p>
          <w:p w14:paraId="7058458C">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外</w:t>
            </w:r>
          </w:p>
          <w:p w14:paraId="2F80C793">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部</w:t>
            </w:r>
          </w:p>
        </w:tc>
        <w:tc>
          <w:tcPr>
            <w:tcW w:w="530" w:type="dxa"/>
            <w:tcBorders>
              <w:top w:val="single" w:color="auto" w:sz="6" w:space="0"/>
              <w:left w:val="single" w:color="auto" w:sz="6" w:space="0"/>
              <w:bottom w:val="single" w:color="auto" w:sz="6" w:space="0"/>
              <w:right w:val="single" w:color="auto" w:sz="6" w:space="0"/>
            </w:tcBorders>
            <w:noWrap/>
            <w:vAlign w:val="center"/>
          </w:tcPr>
          <w:p w14:paraId="7FD8E2A0">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1460" w:type="dxa"/>
            <w:tcBorders>
              <w:top w:val="single" w:color="auto" w:sz="6" w:space="0"/>
              <w:left w:val="single" w:color="auto" w:sz="6" w:space="0"/>
              <w:bottom w:val="single" w:color="auto" w:sz="6" w:space="0"/>
              <w:right w:val="single" w:color="auto" w:sz="6" w:space="0"/>
            </w:tcBorders>
            <w:noWrap/>
            <w:vAlign w:val="center"/>
          </w:tcPr>
          <w:p w14:paraId="6F692D23">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外围及道路</w:t>
            </w:r>
          </w:p>
        </w:tc>
        <w:tc>
          <w:tcPr>
            <w:tcW w:w="1156" w:type="dxa"/>
            <w:tcBorders>
              <w:top w:val="single" w:color="auto" w:sz="6" w:space="0"/>
              <w:left w:val="single" w:color="auto" w:sz="6" w:space="0"/>
              <w:bottom w:val="single" w:color="auto" w:sz="6" w:space="0"/>
              <w:right w:val="single" w:color="auto" w:sz="6" w:space="0"/>
            </w:tcBorders>
            <w:noWrap/>
            <w:vAlign w:val="center"/>
          </w:tcPr>
          <w:p w14:paraId="687B1049">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清扫四次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5BFBF4D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全面清洁一次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2BE43DEC">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62AC4463">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41588E7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干净、无杂物、无污渍</w:t>
            </w:r>
          </w:p>
        </w:tc>
      </w:tr>
      <w:tr w14:paraId="7B675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54C6CD58">
            <w:pPr>
              <w:snapToGrid w:val="0"/>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31E8ED3F">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p>
        </w:tc>
        <w:tc>
          <w:tcPr>
            <w:tcW w:w="1460" w:type="dxa"/>
            <w:tcBorders>
              <w:top w:val="single" w:color="auto" w:sz="6" w:space="0"/>
              <w:left w:val="single" w:color="auto" w:sz="6" w:space="0"/>
              <w:bottom w:val="single" w:color="auto" w:sz="6" w:space="0"/>
              <w:right w:val="single" w:color="auto" w:sz="6" w:space="0"/>
            </w:tcBorders>
            <w:noWrap/>
            <w:vAlign w:val="center"/>
          </w:tcPr>
          <w:p w14:paraId="135DD479">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标识牌、宣传栏</w:t>
            </w:r>
          </w:p>
        </w:tc>
        <w:tc>
          <w:tcPr>
            <w:tcW w:w="1156" w:type="dxa"/>
            <w:tcBorders>
              <w:top w:val="single" w:color="auto" w:sz="6" w:space="0"/>
              <w:left w:val="single" w:color="auto" w:sz="6" w:space="0"/>
              <w:bottom w:val="single" w:color="auto" w:sz="6" w:space="0"/>
              <w:right w:val="single" w:color="auto" w:sz="6" w:space="0"/>
            </w:tcBorders>
            <w:noWrap/>
            <w:vAlign w:val="center"/>
          </w:tcPr>
          <w:p w14:paraId="53F6F78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擦抹二次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7C144CDB">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1059407E">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清洗一次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7BDEB57F">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6A056170">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明亮光洁、无污渍</w:t>
            </w:r>
          </w:p>
        </w:tc>
      </w:tr>
      <w:tr w14:paraId="59A6A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3693A8B4">
            <w:pPr>
              <w:snapToGrid w:val="0"/>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2A0B0E13">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1460" w:type="dxa"/>
            <w:tcBorders>
              <w:top w:val="single" w:color="auto" w:sz="6" w:space="0"/>
              <w:left w:val="single" w:color="auto" w:sz="6" w:space="0"/>
              <w:bottom w:val="single" w:color="auto" w:sz="6" w:space="0"/>
              <w:right w:val="single" w:color="auto" w:sz="6" w:space="0"/>
            </w:tcBorders>
            <w:noWrap/>
            <w:vAlign w:val="center"/>
          </w:tcPr>
          <w:p w14:paraId="1BBDF891">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灯具</w:t>
            </w:r>
          </w:p>
        </w:tc>
        <w:tc>
          <w:tcPr>
            <w:tcW w:w="1156" w:type="dxa"/>
            <w:tcBorders>
              <w:top w:val="single" w:color="auto" w:sz="6" w:space="0"/>
              <w:left w:val="single" w:color="auto" w:sz="6" w:space="0"/>
              <w:bottom w:val="single" w:color="auto" w:sz="6" w:space="0"/>
              <w:right w:val="single" w:color="auto" w:sz="6" w:space="0"/>
            </w:tcBorders>
            <w:noWrap/>
            <w:vAlign w:val="center"/>
          </w:tcPr>
          <w:p w14:paraId="5B9EFF47">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清抹灯罩一次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5A3A8353">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2816F63A">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用不锈钢油擦抹灯柱一次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35A05EC3">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7E575829">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干净光亮</w:t>
            </w:r>
          </w:p>
        </w:tc>
      </w:tr>
      <w:tr w14:paraId="0E4FD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36F08245">
            <w:pPr>
              <w:snapToGrid w:val="0"/>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35E44A69">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w:t>
            </w:r>
          </w:p>
        </w:tc>
        <w:tc>
          <w:tcPr>
            <w:tcW w:w="1460" w:type="dxa"/>
            <w:tcBorders>
              <w:top w:val="single" w:color="auto" w:sz="6" w:space="0"/>
              <w:left w:val="single" w:color="auto" w:sz="6" w:space="0"/>
              <w:bottom w:val="single" w:color="auto" w:sz="6" w:space="0"/>
              <w:right w:val="single" w:color="auto" w:sz="6" w:space="0"/>
            </w:tcBorders>
            <w:noWrap/>
            <w:vAlign w:val="center"/>
          </w:tcPr>
          <w:p w14:paraId="5108D053">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栏杆</w:t>
            </w:r>
          </w:p>
        </w:tc>
        <w:tc>
          <w:tcPr>
            <w:tcW w:w="1156" w:type="dxa"/>
            <w:tcBorders>
              <w:top w:val="single" w:color="auto" w:sz="6" w:space="0"/>
              <w:left w:val="single" w:color="auto" w:sz="6" w:space="0"/>
              <w:bottom w:val="single" w:color="auto" w:sz="6" w:space="0"/>
              <w:right w:val="single" w:color="auto" w:sz="6" w:space="0"/>
            </w:tcBorders>
            <w:noWrap/>
            <w:vAlign w:val="center"/>
          </w:tcPr>
          <w:p w14:paraId="10DF34A5">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清抹一次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10283B1E">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076C8F95">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用清洁剂清 抹一次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79BB290A">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75EEDF4C">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干净、无污渍</w:t>
            </w:r>
          </w:p>
        </w:tc>
      </w:tr>
      <w:tr w14:paraId="081B5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2B0A1162">
            <w:pPr>
              <w:snapToGrid w:val="0"/>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51A44DAF">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w:t>
            </w:r>
          </w:p>
        </w:tc>
        <w:tc>
          <w:tcPr>
            <w:tcW w:w="1460" w:type="dxa"/>
            <w:tcBorders>
              <w:top w:val="single" w:color="auto" w:sz="6" w:space="0"/>
              <w:left w:val="single" w:color="auto" w:sz="6" w:space="0"/>
              <w:bottom w:val="single" w:color="auto" w:sz="6" w:space="0"/>
              <w:right w:val="single" w:color="auto" w:sz="6" w:space="0"/>
            </w:tcBorders>
            <w:noWrap/>
            <w:vAlign w:val="center"/>
          </w:tcPr>
          <w:p w14:paraId="680438BB">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沟渠、雨、污水井及井盖</w:t>
            </w:r>
          </w:p>
        </w:tc>
        <w:tc>
          <w:tcPr>
            <w:tcW w:w="1156" w:type="dxa"/>
            <w:tcBorders>
              <w:top w:val="single" w:color="auto" w:sz="6" w:space="0"/>
              <w:left w:val="single" w:color="auto" w:sz="6" w:space="0"/>
              <w:bottom w:val="single" w:color="auto" w:sz="6" w:space="0"/>
              <w:right w:val="single" w:color="auto" w:sz="6" w:space="0"/>
            </w:tcBorders>
            <w:noWrap/>
            <w:vAlign w:val="center"/>
          </w:tcPr>
          <w:p w14:paraId="1BC10A8C">
            <w:pPr>
              <w:snapToGrid w:val="0"/>
              <w:spacing w:line="240" w:lineRule="auto"/>
              <w:ind w:firstLine="0" w:firstLineChars="0"/>
              <w:rPr>
                <w:rFonts w:hint="eastAsia" w:ascii="宋体" w:hAnsi="宋体" w:eastAsia="宋体" w:cs="宋体"/>
                <w:color w:val="auto"/>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1CA8CF9A">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清理一次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37E1C40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全面清理一次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4AF3F626">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79579531">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确保通畅，无异物异味</w:t>
            </w:r>
          </w:p>
        </w:tc>
      </w:tr>
      <w:tr w14:paraId="0898A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133EB6C6">
            <w:pPr>
              <w:snapToGrid w:val="0"/>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4DDBEC46">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6</w:t>
            </w:r>
          </w:p>
        </w:tc>
        <w:tc>
          <w:tcPr>
            <w:tcW w:w="1460" w:type="dxa"/>
            <w:tcBorders>
              <w:top w:val="single" w:color="auto" w:sz="6" w:space="0"/>
              <w:left w:val="single" w:color="auto" w:sz="6" w:space="0"/>
              <w:bottom w:val="single" w:color="auto" w:sz="6" w:space="0"/>
              <w:right w:val="single" w:color="auto" w:sz="6" w:space="0"/>
            </w:tcBorders>
            <w:noWrap/>
            <w:vAlign w:val="center"/>
          </w:tcPr>
          <w:p w14:paraId="670F8069">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化粪池、隔油池</w:t>
            </w:r>
          </w:p>
        </w:tc>
        <w:tc>
          <w:tcPr>
            <w:tcW w:w="1156" w:type="dxa"/>
            <w:tcBorders>
              <w:top w:val="single" w:color="auto" w:sz="6" w:space="0"/>
              <w:left w:val="single" w:color="auto" w:sz="6" w:space="0"/>
              <w:bottom w:val="single" w:color="auto" w:sz="6" w:space="0"/>
              <w:right w:val="single" w:color="auto" w:sz="6" w:space="0"/>
            </w:tcBorders>
            <w:noWrap/>
            <w:vAlign w:val="center"/>
          </w:tcPr>
          <w:p w14:paraId="125E849A">
            <w:pPr>
              <w:snapToGrid w:val="0"/>
              <w:spacing w:line="240" w:lineRule="auto"/>
              <w:ind w:firstLine="0" w:firstLineChars="0"/>
              <w:rPr>
                <w:rFonts w:hint="eastAsia" w:ascii="宋体" w:hAnsi="宋体" w:eastAsia="宋体" w:cs="宋体"/>
                <w:color w:val="auto"/>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48F9D939">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1223D7E7">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0FC7E357">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清理一次</w:t>
            </w:r>
          </w:p>
        </w:tc>
        <w:tc>
          <w:tcPr>
            <w:tcW w:w="2229" w:type="dxa"/>
            <w:tcBorders>
              <w:top w:val="single" w:color="auto" w:sz="6" w:space="0"/>
              <w:left w:val="single" w:color="auto" w:sz="6" w:space="0"/>
              <w:bottom w:val="single" w:color="auto" w:sz="6" w:space="0"/>
              <w:right w:val="single" w:color="auto" w:sz="6" w:space="0"/>
            </w:tcBorders>
            <w:noWrap/>
            <w:vAlign w:val="center"/>
          </w:tcPr>
          <w:p w14:paraId="3882BBAA">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确保排污通畅，周围无</w:t>
            </w:r>
          </w:p>
          <w:p w14:paraId="2E34E95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异味</w:t>
            </w:r>
          </w:p>
        </w:tc>
      </w:tr>
      <w:tr w14:paraId="7DCEC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367481DA">
            <w:pPr>
              <w:snapToGrid w:val="0"/>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5023F521">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7</w:t>
            </w:r>
          </w:p>
        </w:tc>
        <w:tc>
          <w:tcPr>
            <w:tcW w:w="1460" w:type="dxa"/>
            <w:tcBorders>
              <w:top w:val="single" w:color="auto" w:sz="6" w:space="0"/>
              <w:left w:val="single" w:color="auto" w:sz="6" w:space="0"/>
              <w:bottom w:val="single" w:color="auto" w:sz="6" w:space="0"/>
              <w:right w:val="single" w:color="auto" w:sz="6" w:space="0"/>
            </w:tcBorders>
            <w:noWrap/>
            <w:vAlign w:val="center"/>
          </w:tcPr>
          <w:p w14:paraId="7C905066">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车库岗亭</w:t>
            </w:r>
          </w:p>
        </w:tc>
        <w:tc>
          <w:tcPr>
            <w:tcW w:w="1156" w:type="dxa"/>
            <w:tcBorders>
              <w:top w:val="single" w:color="auto" w:sz="6" w:space="0"/>
              <w:left w:val="single" w:color="auto" w:sz="6" w:space="0"/>
              <w:bottom w:val="single" w:color="auto" w:sz="6" w:space="0"/>
              <w:right w:val="single" w:color="auto" w:sz="6" w:space="0"/>
            </w:tcBorders>
            <w:noWrap/>
            <w:vAlign w:val="center"/>
          </w:tcPr>
          <w:p w14:paraId="22D19422">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清抹一次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08A81D51">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0FE9B1BF">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清洗一次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12F20915">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6B89BC53">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干净、无污渍</w:t>
            </w:r>
          </w:p>
        </w:tc>
      </w:tr>
      <w:tr w14:paraId="4614A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3F1EEDEF">
            <w:pPr>
              <w:snapToGrid w:val="0"/>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02FD3B71">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8</w:t>
            </w:r>
          </w:p>
        </w:tc>
        <w:tc>
          <w:tcPr>
            <w:tcW w:w="1460" w:type="dxa"/>
            <w:tcBorders>
              <w:top w:val="single" w:color="auto" w:sz="6" w:space="0"/>
              <w:left w:val="single" w:color="auto" w:sz="6" w:space="0"/>
              <w:bottom w:val="single" w:color="auto" w:sz="6" w:space="0"/>
              <w:right w:val="single" w:color="auto" w:sz="6" w:space="0"/>
            </w:tcBorders>
            <w:noWrap/>
            <w:vAlign w:val="center"/>
          </w:tcPr>
          <w:p w14:paraId="5DFE5029">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雨棚、采光井</w:t>
            </w:r>
          </w:p>
        </w:tc>
        <w:tc>
          <w:tcPr>
            <w:tcW w:w="1156" w:type="dxa"/>
            <w:tcBorders>
              <w:top w:val="single" w:color="auto" w:sz="6" w:space="0"/>
              <w:left w:val="single" w:color="auto" w:sz="6" w:space="0"/>
              <w:bottom w:val="single" w:color="auto" w:sz="6" w:space="0"/>
              <w:right w:val="single" w:color="auto" w:sz="6" w:space="0"/>
            </w:tcBorders>
            <w:noWrap/>
            <w:vAlign w:val="center"/>
          </w:tcPr>
          <w:p w14:paraId="62E07A00">
            <w:pPr>
              <w:snapToGrid w:val="0"/>
              <w:spacing w:line="240" w:lineRule="auto"/>
              <w:ind w:firstLine="0" w:firstLineChars="0"/>
              <w:rPr>
                <w:rFonts w:hint="eastAsia" w:ascii="宋体" w:hAnsi="宋体" w:eastAsia="宋体" w:cs="宋体"/>
                <w:color w:val="auto"/>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03115F3B">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4815012F">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清洗两次</w:t>
            </w:r>
          </w:p>
        </w:tc>
        <w:tc>
          <w:tcPr>
            <w:tcW w:w="890" w:type="dxa"/>
            <w:tcBorders>
              <w:top w:val="single" w:color="auto" w:sz="6" w:space="0"/>
              <w:left w:val="single" w:color="auto" w:sz="6" w:space="0"/>
              <w:bottom w:val="single" w:color="auto" w:sz="6" w:space="0"/>
              <w:right w:val="single" w:color="auto" w:sz="6" w:space="0"/>
            </w:tcBorders>
            <w:noWrap/>
            <w:vAlign w:val="center"/>
          </w:tcPr>
          <w:p w14:paraId="560D4F5C">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6877C81A">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无积尘、无杂物。</w:t>
            </w:r>
          </w:p>
        </w:tc>
      </w:tr>
      <w:tr w14:paraId="7B9AC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24E945A5">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2C77D9BD">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9</w:t>
            </w:r>
          </w:p>
        </w:tc>
        <w:tc>
          <w:tcPr>
            <w:tcW w:w="1460" w:type="dxa"/>
            <w:tcBorders>
              <w:top w:val="single" w:color="auto" w:sz="6" w:space="0"/>
              <w:left w:val="single" w:color="auto" w:sz="6" w:space="0"/>
              <w:bottom w:val="single" w:color="auto" w:sz="6" w:space="0"/>
              <w:right w:val="single" w:color="auto" w:sz="6" w:space="0"/>
            </w:tcBorders>
            <w:noWrap/>
            <w:vAlign w:val="center"/>
          </w:tcPr>
          <w:p w14:paraId="5579D091">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地下停车场</w:t>
            </w:r>
          </w:p>
        </w:tc>
        <w:tc>
          <w:tcPr>
            <w:tcW w:w="1156" w:type="dxa"/>
            <w:tcBorders>
              <w:top w:val="single" w:color="auto" w:sz="6" w:space="0"/>
              <w:left w:val="single" w:color="auto" w:sz="6" w:space="0"/>
              <w:bottom w:val="single" w:color="auto" w:sz="6" w:space="0"/>
              <w:right w:val="single" w:color="auto" w:sz="6" w:space="0"/>
            </w:tcBorders>
            <w:noWrap/>
            <w:vAlign w:val="center"/>
          </w:tcPr>
          <w:p w14:paraId="4B3874A0">
            <w:pPr>
              <w:snapToGrid w:val="0"/>
              <w:spacing w:line="240" w:lineRule="auto"/>
              <w:ind w:firstLine="0" w:firstLineChars="0"/>
              <w:rPr>
                <w:rFonts w:hint="eastAsia" w:ascii="宋体" w:hAnsi="宋体" w:eastAsia="宋体" w:cs="宋体"/>
                <w:color w:val="auto"/>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4B4E54AF">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55EC884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清洗一次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3B20A09A">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5C2F915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干净、无杂物、无堵塞。</w:t>
            </w:r>
          </w:p>
        </w:tc>
      </w:tr>
      <w:tr w14:paraId="4D4CE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7D751FF6">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25922183">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10</w:t>
            </w:r>
          </w:p>
        </w:tc>
        <w:tc>
          <w:tcPr>
            <w:tcW w:w="1460" w:type="dxa"/>
            <w:tcBorders>
              <w:top w:val="single" w:color="auto" w:sz="6" w:space="0"/>
              <w:left w:val="single" w:color="auto" w:sz="6" w:space="0"/>
              <w:bottom w:val="single" w:color="auto" w:sz="6" w:space="0"/>
              <w:right w:val="single" w:color="auto" w:sz="6" w:space="0"/>
            </w:tcBorders>
            <w:noWrap/>
            <w:vAlign w:val="center"/>
          </w:tcPr>
          <w:p w14:paraId="07ACE34E">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外墙（玻璃幕墙和铝板）</w:t>
            </w:r>
          </w:p>
        </w:tc>
        <w:tc>
          <w:tcPr>
            <w:tcW w:w="1156" w:type="dxa"/>
            <w:tcBorders>
              <w:top w:val="single" w:color="auto" w:sz="6" w:space="0"/>
              <w:left w:val="single" w:color="auto" w:sz="6" w:space="0"/>
              <w:bottom w:val="single" w:color="auto" w:sz="6" w:space="0"/>
              <w:right w:val="single" w:color="auto" w:sz="6" w:space="0"/>
            </w:tcBorders>
            <w:noWrap/>
            <w:vAlign w:val="center"/>
          </w:tcPr>
          <w:p w14:paraId="27CFD8A0">
            <w:pPr>
              <w:snapToGrid w:val="0"/>
              <w:spacing w:line="240" w:lineRule="auto"/>
              <w:ind w:firstLine="0" w:firstLineChars="0"/>
              <w:rPr>
                <w:rFonts w:hint="eastAsia" w:ascii="宋体" w:hAnsi="宋体" w:eastAsia="宋体" w:cs="宋体"/>
                <w:color w:val="auto"/>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70487B19">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145ACEE9">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1AD30219">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每年清洗1次</w:t>
            </w:r>
          </w:p>
        </w:tc>
        <w:tc>
          <w:tcPr>
            <w:tcW w:w="2229" w:type="dxa"/>
            <w:tcBorders>
              <w:top w:val="single" w:color="auto" w:sz="6" w:space="0"/>
              <w:left w:val="single" w:color="auto" w:sz="6" w:space="0"/>
              <w:bottom w:val="single" w:color="auto" w:sz="6" w:space="0"/>
              <w:right w:val="single" w:color="auto" w:sz="6" w:space="0"/>
            </w:tcBorders>
            <w:noWrap/>
            <w:vAlign w:val="center"/>
          </w:tcPr>
          <w:p w14:paraId="5DF42BC6">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无明显污痕斑迹。</w:t>
            </w:r>
          </w:p>
        </w:tc>
      </w:tr>
      <w:tr w14:paraId="3E608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restart"/>
            <w:tcBorders>
              <w:top w:val="single" w:color="auto" w:sz="6" w:space="0"/>
              <w:left w:val="single" w:color="auto" w:sz="6" w:space="0"/>
              <w:bottom w:val="single" w:color="auto" w:sz="6" w:space="0"/>
              <w:right w:val="single" w:color="auto" w:sz="6" w:space="0"/>
            </w:tcBorders>
            <w:noWrap/>
            <w:vAlign w:val="center"/>
          </w:tcPr>
          <w:p w14:paraId="27843482">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建</w:t>
            </w:r>
          </w:p>
          <w:p w14:paraId="665FFC42">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筑</w:t>
            </w:r>
          </w:p>
          <w:p w14:paraId="319B0055">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物</w:t>
            </w:r>
          </w:p>
          <w:p w14:paraId="3264C12E">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内</w:t>
            </w:r>
          </w:p>
          <w:p w14:paraId="6E737A4C">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部</w:t>
            </w:r>
          </w:p>
        </w:tc>
        <w:tc>
          <w:tcPr>
            <w:tcW w:w="530" w:type="dxa"/>
            <w:tcBorders>
              <w:top w:val="single" w:color="auto" w:sz="6" w:space="0"/>
              <w:left w:val="single" w:color="auto" w:sz="6" w:space="0"/>
              <w:bottom w:val="single" w:color="auto" w:sz="6" w:space="0"/>
              <w:right w:val="single" w:color="auto" w:sz="6" w:space="0"/>
            </w:tcBorders>
            <w:noWrap/>
            <w:vAlign w:val="center"/>
          </w:tcPr>
          <w:p w14:paraId="2E495FA6">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1460" w:type="dxa"/>
            <w:tcBorders>
              <w:top w:val="single" w:color="auto" w:sz="6" w:space="0"/>
              <w:left w:val="single" w:color="auto" w:sz="6" w:space="0"/>
              <w:bottom w:val="single" w:color="auto" w:sz="6" w:space="0"/>
              <w:right w:val="single" w:color="auto" w:sz="6" w:space="0"/>
            </w:tcBorders>
            <w:noWrap/>
            <w:vAlign w:val="center"/>
          </w:tcPr>
          <w:p w14:paraId="6048039B">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地面、墙面</w:t>
            </w:r>
          </w:p>
        </w:tc>
        <w:tc>
          <w:tcPr>
            <w:tcW w:w="1156" w:type="dxa"/>
            <w:tcBorders>
              <w:top w:val="single" w:color="auto" w:sz="6" w:space="0"/>
              <w:left w:val="single" w:color="auto" w:sz="6" w:space="0"/>
              <w:bottom w:val="single" w:color="auto" w:sz="6" w:space="0"/>
              <w:right w:val="single" w:color="auto" w:sz="6" w:space="0"/>
            </w:tcBorders>
            <w:noWrap/>
            <w:vAlign w:val="center"/>
          </w:tcPr>
          <w:p w14:paraId="341DE01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地面清拖二次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597432D0">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地毯每周吸尘二次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480028C7">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74C7834B">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清洗抛光一次</w:t>
            </w:r>
          </w:p>
        </w:tc>
        <w:tc>
          <w:tcPr>
            <w:tcW w:w="2229" w:type="dxa"/>
            <w:tcBorders>
              <w:top w:val="single" w:color="auto" w:sz="6" w:space="0"/>
              <w:left w:val="single" w:color="auto" w:sz="6" w:space="0"/>
              <w:bottom w:val="single" w:color="auto" w:sz="6" w:space="0"/>
              <w:right w:val="single" w:color="auto" w:sz="6" w:space="0"/>
            </w:tcBorders>
            <w:noWrap/>
            <w:vAlign w:val="center"/>
          </w:tcPr>
          <w:p w14:paraId="4F5668A5">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光滑明亮、无杂物、无污渍、无水渍</w:t>
            </w:r>
          </w:p>
        </w:tc>
      </w:tr>
      <w:tr w14:paraId="76EFF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3D50914F">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42A03883">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p>
        </w:tc>
        <w:tc>
          <w:tcPr>
            <w:tcW w:w="1460" w:type="dxa"/>
            <w:tcBorders>
              <w:top w:val="single" w:color="auto" w:sz="6" w:space="0"/>
              <w:left w:val="single" w:color="auto" w:sz="6" w:space="0"/>
              <w:bottom w:val="single" w:color="auto" w:sz="6" w:space="0"/>
              <w:right w:val="single" w:color="auto" w:sz="6" w:space="0"/>
            </w:tcBorders>
            <w:noWrap/>
            <w:vAlign w:val="center"/>
          </w:tcPr>
          <w:p w14:paraId="29D93CE0">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送风、排烟风口</w:t>
            </w:r>
          </w:p>
        </w:tc>
        <w:tc>
          <w:tcPr>
            <w:tcW w:w="1156" w:type="dxa"/>
            <w:tcBorders>
              <w:top w:val="single" w:color="auto" w:sz="6" w:space="0"/>
              <w:left w:val="single" w:color="auto" w:sz="6" w:space="0"/>
              <w:bottom w:val="single" w:color="auto" w:sz="6" w:space="0"/>
              <w:right w:val="single" w:color="auto" w:sz="6" w:space="0"/>
            </w:tcBorders>
            <w:noWrap/>
            <w:vAlign w:val="center"/>
          </w:tcPr>
          <w:p w14:paraId="622E2EE8">
            <w:pPr>
              <w:snapToGrid w:val="0"/>
              <w:spacing w:line="240" w:lineRule="auto"/>
              <w:ind w:firstLine="0" w:firstLineChars="0"/>
              <w:rPr>
                <w:rFonts w:hint="eastAsia" w:ascii="宋体" w:hAnsi="宋体" w:eastAsia="宋体" w:cs="宋体"/>
                <w:color w:val="auto"/>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2E396292">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用清洁剂清抹一次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0C2376E2">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2E6D1661">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2F154647">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干净、无尘</w:t>
            </w:r>
          </w:p>
        </w:tc>
      </w:tr>
      <w:tr w14:paraId="327A95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6F69C2D6">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0C966DD5">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1460" w:type="dxa"/>
            <w:tcBorders>
              <w:top w:val="single" w:color="auto" w:sz="6" w:space="0"/>
              <w:left w:val="single" w:color="auto" w:sz="6" w:space="0"/>
              <w:bottom w:val="single" w:color="auto" w:sz="6" w:space="0"/>
              <w:right w:val="single" w:color="auto" w:sz="6" w:space="0"/>
            </w:tcBorders>
            <w:noWrap/>
            <w:vAlign w:val="center"/>
          </w:tcPr>
          <w:p w14:paraId="38D97C7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天花灯饰</w:t>
            </w:r>
          </w:p>
        </w:tc>
        <w:tc>
          <w:tcPr>
            <w:tcW w:w="1156" w:type="dxa"/>
            <w:tcBorders>
              <w:top w:val="single" w:color="auto" w:sz="6" w:space="0"/>
              <w:left w:val="single" w:color="auto" w:sz="6" w:space="0"/>
              <w:bottom w:val="single" w:color="auto" w:sz="6" w:space="0"/>
              <w:right w:val="single" w:color="auto" w:sz="6" w:space="0"/>
            </w:tcBorders>
            <w:noWrap/>
            <w:vAlign w:val="center"/>
          </w:tcPr>
          <w:p w14:paraId="2338C2ED">
            <w:pPr>
              <w:snapToGrid w:val="0"/>
              <w:spacing w:line="240" w:lineRule="auto"/>
              <w:ind w:firstLine="0" w:firstLineChars="0"/>
              <w:rPr>
                <w:rFonts w:hint="eastAsia" w:ascii="宋体" w:hAnsi="宋体" w:eastAsia="宋体" w:cs="宋体"/>
                <w:color w:val="auto"/>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045DEC7A">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57982239">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清抹一次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04146B95">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7FE7D695">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干净、无蜘蛛网，无灰尘</w:t>
            </w:r>
          </w:p>
        </w:tc>
      </w:tr>
      <w:tr w14:paraId="0D602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37190272">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19A2B20E">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w:t>
            </w:r>
          </w:p>
        </w:tc>
        <w:tc>
          <w:tcPr>
            <w:tcW w:w="1460" w:type="dxa"/>
            <w:tcBorders>
              <w:top w:val="single" w:color="auto" w:sz="6" w:space="0"/>
              <w:left w:val="single" w:color="auto" w:sz="6" w:space="0"/>
              <w:bottom w:val="single" w:color="auto" w:sz="6" w:space="0"/>
              <w:right w:val="single" w:color="auto" w:sz="6" w:space="0"/>
            </w:tcBorders>
            <w:noWrap/>
            <w:vAlign w:val="center"/>
          </w:tcPr>
          <w:p w14:paraId="2DD82397">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玻璃门</w:t>
            </w:r>
          </w:p>
        </w:tc>
        <w:tc>
          <w:tcPr>
            <w:tcW w:w="1156" w:type="dxa"/>
            <w:tcBorders>
              <w:top w:val="single" w:color="auto" w:sz="6" w:space="0"/>
              <w:left w:val="single" w:color="auto" w:sz="6" w:space="0"/>
              <w:bottom w:val="single" w:color="auto" w:sz="6" w:space="0"/>
              <w:right w:val="single" w:color="auto" w:sz="6" w:space="0"/>
            </w:tcBorders>
            <w:noWrap/>
            <w:vAlign w:val="center"/>
          </w:tcPr>
          <w:p w14:paraId="62E8046E">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清抹四次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2B272806">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23B56A9C">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09EE9DA8">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49CE9A9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干净、无污渍</w:t>
            </w:r>
          </w:p>
        </w:tc>
      </w:tr>
      <w:tr w14:paraId="60E61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2FFE8312">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13EDCE65">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w:t>
            </w:r>
          </w:p>
        </w:tc>
        <w:tc>
          <w:tcPr>
            <w:tcW w:w="1460" w:type="dxa"/>
            <w:tcBorders>
              <w:top w:val="single" w:color="auto" w:sz="6" w:space="0"/>
              <w:left w:val="single" w:color="auto" w:sz="6" w:space="0"/>
              <w:bottom w:val="single" w:color="auto" w:sz="6" w:space="0"/>
              <w:right w:val="single" w:color="auto" w:sz="6" w:space="0"/>
            </w:tcBorders>
            <w:noWrap/>
            <w:vAlign w:val="center"/>
          </w:tcPr>
          <w:p w14:paraId="50EB0ACB">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楼梯</w:t>
            </w:r>
          </w:p>
        </w:tc>
        <w:tc>
          <w:tcPr>
            <w:tcW w:w="1156" w:type="dxa"/>
            <w:tcBorders>
              <w:top w:val="single" w:color="auto" w:sz="6" w:space="0"/>
              <w:left w:val="single" w:color="auto" w:sz="6" w:space="0"/>
              <w:bottom w:val="single" w:color="auto" w:sz="6" w:space="0"/>
              <w:right w:val="single" w:color="auto" w:sz="6" w:space="0"/>
            </w:tcBorders>
            <w:noWrap/>
            <w:vAlign w:val="center"/>
          </w:tcPr>
          <w:p w14:paraId="09942D41">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清扫一次地面</w:t>
            </w:r>
          </w:p>
          <w:p w14:paraId="541C5B61">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清抹一次扶手</w:t>
            </w:r>
          </w:p>
        </w:tc>
        <w:tc>
          <w:tcPr>
            <w:tcW w:w="1246" w:type="dxa"/>
            <w:tcBorders>
              <w:top w:val="single" w:color="auto" w:sz="6" w:space="0"/>
              <w:left w:val="single" w:color="auto" w:sz="6" w:space="0"/>
              <w:bottom w:val="single" w:color="auto" w:sz="6" w:space="0"/>
              <w:right w:val="single" w:color="auto" w:sz="6" w:space="0"/>
            </w:tcBorders>
            <w:noWrap/>
            <w:vAlign w:val="center"/>
          </w:tcPr>
          <w:p w14:paraId="3FFAF2B4">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6F68FB20">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469F7877">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73E1CC4F">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干净明亮、无污尘</w:t>
            </w:r>
          </w:p>
        </w:tc>
      </w:tr>
      <w:tr w14:paraId="30140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290386C0">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1B160826">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6</w:t>
            </w:r>
          </w:p>
        </w:tc>
        <w:tc>
          <w:tcPr>
            <w:tcW w:w="1460" w:type="dxa"/>
            <w:tcBorders>
              <w:top w:val="single" w:color="auto" w:sz="6" w:space="0"/>
              <w:left w:val="single" w:color="auto" w:sz="6" w:space="0"/>
              <w:bottom w:val="single" w:color="auto" w:sz="6" w:space="0"/>
              <w:right w:val="single" w:color="auto" w:sz="6" w:space="0"/>
            </w:tcBorders>
            <w:noWrap/>
            <w:vAlign w:val="center"/>
          </w:tcPr>
          <w:p w14:paraId="0F8D52AD">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消防设施</w:t>
            </w:r>
          </w:p>
        </w:tc>
        <w:tc>
          <w:tcPr>
            <w:tcW w:w="1156" w:type="dxa"/>
            <w:tcBorders>
              <w:top w:val="single" w:color="auto" w:sz="6" w:space="0"/>
              <w:left w:val="single" w:color="auto" w:sz="6" w:space="0"/>
              <w:bottom w:val="single" w:color="auto" w:sz="6" w:space="0"/>
              <w:right w:val="single" w:color="auto" w:sz="6" w:space="0"/>
            </w:tcBorders>
            <w:noWrap/>
            <w:vAlign w:val="center"/>
          </w:tcPr>
          <w:p w14:paraId="6EF12B64">
            <w:pPr>
              <w:snapToGrid w:val="0"/>
              <w:spacing w:line="240" w:lineRule="auto"/>
              <w:ind w:firstLine="0" w:firstLineChars="0"/>
              <w:rPr>
                <w:rFonts w:hint="eastAsia" w:ascii="宋体" w:hAnsi="宋体" w:eastAsia="宋体" w:cs="宋体"/>
                <w:color w:val="auto"/>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3969EFE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清抹二次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3B380D3E">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6B9B91B1">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4752AADD">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干净明亮、无污渍</w:t>
            </w:r>
          </w:p>
        </w:tc>
      </w:tr>
      <w:tr w14:paraId="25E466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0F981E4E">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544B0269">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7</w:t>
            </w:r>
          </w:p>
        </w:tc>
        <w:tc>
          <w:tcPr>
            <w:tcW w:w="1460" w:type="dxa"/>
            <w:tcBorders>
              <w:top w:val="single" w:color="auto" w:sz="6" w:space="0"/>
              <w:left w:val="single" w:color="auto" w:sz="6" w:space="0"/>
              <w:bottom w:val="single" w:color="auto" w:sz="6" w:space="0"/>
              <w:right w:val="single" w:color="auto" w:sz="6" w:space="0"/>
            </w:tcBorders>
            <w:noWrap/>
            <w:vAlign w:val="center"/>
          </w:tcPr>
          <w:p w14:paraId="0DBDCAC9">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垃圾桶</w:t>
            </w:r>
          </w:p>
        </w:tc>
        <w:tc>
          <w:tcPr>
            <w:tcW w:w="1156" w:type="dxa"/>
            <w:tcBorders>
              <w:top w:val="single" w:color="auto" w:sz="6" w:space="0"/>
              <w:left w:val="single" w:color="auto" w:sz="6" w:space="0"/>
              <w:bottom w:val="single" w:color="auto" w:sz="6" w:space="0"/>
              <w:right w:val="single" w:color="auto" w:sz="6" w:space="0"/>
            </w:tcBorders>
            <w:noWrap/>
            <w:vAlign w:val="center"/>
          </w:tcPr>
          <w:p w14:paraId="38EDEEEA">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清抹二次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4A291AE3">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用清洁剂清抹一次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4EBCFFE4">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10E422DE">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400E74B5">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干净、无杂物、无污尘</w:t>
            </w:r>
          </w:p>
        </w:tc>
      </w:tr>
      <w:tr w14:paraId="3A353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60C3021B">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197885AB">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8</w:t>
            </w:r>
          </w:p>
        </w:tc>
        <w:tc>
          <w:tcPr>
            <w:tcW w:w="1460" w:type="dxa"/>
            <w:tcBorders>
              <w:top w:val="single" w:color="auto" w:sz="6" w:space="0"/>
              <w:left w:val="single" w:color="auto" w:sz="6" w:space="0"/>
              <w:bottom w:val="single" w:color="auto" w:sz="6" w:space="0"/>
              <w:right w:val="single" w:color="auto" w:sz="6" w:space="0"/>
            </w:tcBorders>
            <w:noWrap/>
            <w:vAlign w:val="center"/>
          </w:tcPr>
          <w:p w14:paraId="4F921197">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管道井</w:t>
            </w:r>
          </w:p>
        </w:tc>
        <w:tc>
          <w:tcPr>
            <w:tcW w:w="1156" w:type="dxa"/>
            <w:tcBorders>
              <w:top w:val="single" w:color="auto" w:sz="6" w:space="0"/>
              <w:left w:val="single" w:color="auto" w:sz="6" w:space="0"/>
              <w:bottom w:val="single" w:color="auto" w:sz="6" w:space="0"/>
              <w:right w:val="single" w:color="auto" w:sz="6" w:space="0"/>
            </w:tcBorders>
            <w:noWrap/>
            <w:vAlign w:val="center"/>
          </w:tcPr>
          <w:p w14:paraId="7F1F4716">
            <w:pPr>
              <w:snapToGrid w:val="0"/>
              <w:spacing w:line="240" w:lineRule="auto"/>
              <w:ind w:firstLine="0" w:firstLineChars="0"/>
              <w:rPr>
                <w:rFonts w:hint="eastAsia" w:ascii="宋体" w:hAnsi="宋体" w:eastAsia="宋体" w:cs="宋体"/>
                <w:color w:val="auto"/>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48F18DEE">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43B3E4FD">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清扫二次</w:t>
            </w:r>
          </w:p>
        </w:tc>
        <w:tc>
          <w:tcPr>
            <w:tcW w:w="890" w:type="dxa"/>
            <w:tcBorders>
              <w:top w:val="single" w:color="auto" w:sz="6" w:space="0"/>
              <w:left w:val="single" w:color="auto" w:sz="6" w:space="0"/>
              <w:bottom w:val="single" w:color="auto" w:sz="6" w:space="0"/>
              <w:right w:val="single" w:color="auto" w:sz="6" w:space="0"/>
            </w:tcBorders>
            <w:noWrap/>
            <w:vAlign w:val="center"/>
          </w:tcPr>
          <w:p w14:paraId="2B162F44">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3DFD57A3">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干净、无蜘蛛网</w:t>
            </w:r>
          </w:p>
        </w:tc>
      </w:tr>
      <w:tr w14:paraId="6E86B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18AE12BA">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58637595">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9</w:t>
            </w:r>
          </w:p>
        </w:tc>
        <w:tc>
          <w:tcPr>
            <w:tcW w:w="1460" w:type="dxa"/>
            <w:tcBorders>
              <w:top w:val="single" w:color="auto" w:sz="6" w:space="0"/>
              <w:left w:val="single" w:color="auto" w:sz="6" w:space="0"/>
              <w:bottom w:val="single" w:color="auto" w:sz="6" w:space="0"/>
              <w:right w:val="single" w:color="auto" w:sz="6" w:space="0"/>
            </w:tcBorders>
            <w:noWrap/>
            <w:vAlign w:val="center"/>
          </w:tcPr>
          <w:p w14:paraId="708874B0">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管道设备</w:t>
            </w:r>
          </w:p>
        </w:tc>
        <w:tc>
          <w:tcPr>
            <w:tcW w:w="1156" w:type="dxa"/>
            <w:tcBorders>
              <w:top w:val="single" w:color="auto" w:sz="6" w:space="0"/>
              <w:left w:val="single" w:color="auto" w:sz="6" w:space="0"/>
              <w:bottom w:val="single" w:color="auto" w:sz="6" w:space="0"/>
              <w:right w:val="single" w:color="auto" w:sz="6" w:space="0"/>
            </w:tcBorders>
            <w:noWrap/>
            <w:vAlign w:val="center"/>
          </w:tcPr>
          <w:p w14:paraId="6FE85CBB">
            <w:pPr>
              <w:snapToGrid w:val="0"/>
              <w:spacing w:line="240" w:lineRule="auto"/>
              <w:ind w:firstLine="0" w:firstLineChars="0"/>
              <w:rPr>
                <w:rFonts w:hint="eastAsia" w:ascii="宋体" w:hAnsi="宋体" w:eastAsia="宋体" w:cs="宋体"/>
                <w:color w:val="auto"/>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793B920C">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17D39D43">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除尘一次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35980BFA">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3A691B51">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无灰尘</w:t>
            </w:r>
          </w:p>
        </w:tc>
      </w:tr>
      <w:tr w14:paraId="78783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50CA3ED0">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46BFA2D2">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10</w:t>
            </w:r>
          </w:p>
        </w:tc>
        <w:tc>
          <w:tcPr>
            <w:tcW w:w="1460" w:type="dxa"/>
            <w:tcBorders>
              <w:top w:val="single" w:color="auto" w:sz="6" w:space="0"/>
              <w:left w:val="single" w:color="auto" w:sz="6" w:space="0"/>
              <w:bottom w:val="single" w:color="auto" w:sz="6" w:space="0"/>
              <w:right w:val="single" w:color="auto" w:sz="6" w:space="0"/>
            </w:tcBorders>
            <w:noWrap/>
            <w:vAlign w:val="center"/>
          </w:tcPr>
          <w:p w14:paraId="1CB427BF">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防火门</w:t>
            </w:r>
          </w:p>
        </w:tc>
        <w:tc>
          <w:tcPr>
            <w:tcW w:w="1156" w:type="dxa"/>
            <w:tcBorders>
              <w:top w:val="single" w:color="auto" w:sz="6" w:space="0"/>
              <w:left w:val="single" w:color="auto" w:sz="6" w:space="0"/>
              <w:bottom w:val="single" w:color="auto" w:sz="6" w:space="0"/>
              <w:right w:val="single" w:color="auto" w:sz="6" w:space="0"/>
            </w:tcBorders>
            <w:noWrap/>
            <w:vAlign w:val="center"/>
          </w:tcPr>
          <w:p w14:paraId="32034CCE">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清抹一次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58FCA5BF">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用清洁剂清抹一次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2FEE47E5">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08E65B57">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17E2A529">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干净、无污渍</w:t>
            </w:r>
          </w:p>
        </w:tc>
      </w:tr>
      <w:tr w14:paraId="3F93F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43DC15A5">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14BA8A19">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11</w:t>
            </w:r>
          </w:p>
        </w:tc>
        <w:tc>
          <w:tcPr>
            <w:tcW w:w="1460" w:type="dxa"/>
            <w:tcBorders>
              <w:top w:val="single" w:color="auto" w:sz="6" w:space="0"/>
              <w:left w:val="single" w:color="auto" w:sz="6" w:space="0"/>
              <w:bottom w:val="single" w:color="auto" w:sz="6" w:space="0"/>
              <w:right w:val="single" w:color="auto" w:sz="6" w:space="0"/>
            </w:tcBorders>
            <w:noWrap/>
            <w:vAlign w:val="center"/>
          </w:tcPr>
          <w:p w14:paraId="2A42648B">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卫生间</w:t>
            </w:r>
          </w:p>
        </w:tc>
        <w:tc>
          <w:tcPr>
            <w:tcW w:w="1156" w:type="dxa"/>
            <w:tcBorders>
              <w:top w:val="single" w:color="auto" w:sz="6" w:space="0"/>
              <w:left w:val="single" w:color="auto" w:sz="6" w:space="0"/>
              <w:bottom w:val="single" w:color="auto" w:sz="6" w:space="0"/>
              <w:right w:val="single" w:color="auto" w:sz="6" w:space="0"/>
            </w:tcBorders>
            <w:noWrap/>
            <w:vAlign w:val="center"/>
          </w:tcPr>
          <w:p w14:paraId="21F5499C">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每小时清拖一次，冲洗若干次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48BE2A87">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用清洁剂清洗三次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19F824B0">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48905FCC">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7A3ED247">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干净、无臭、无污水</w:t>
            </w:r>
          </w:p>
        </w:tc>
      </w:tr>
      <w:tr w14:paraId="021CC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restart"/>
            <w:tcBorders>
              <w:top w:val="single" w:color="auto" w:sz="6" w:space="0"/>
              <w:left w:val="single" w:color="auto" w:sz="6" w:space="0"/>
              <w:bottom w:val="single" w:color="auto" w:sz="6" w:space="0"/>
              <w:right w:val="single" w:color="auto" w:sz="6" w:space="0"/>
            </w:tcBorders>
            <w:noWrap/>
            <w:vAlign w:val="center"/>
          </w:tcPr>
          <w:p w14:paraId="2E5612D2">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室</w:t>
            </w:r>
          </w:p>
          <w:p w14:paraId="0ECE7C7D">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内</w:t>
            </w:r>
          </w:p>
          <w:p w14:paraId="6BB215D8">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公</w:t>
            </w:r>
          </w:p>
          <w:p w14:paraId="1D28699B">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区</w:t>
            </w:r>
          </w:p>
        </w:tc>
        <w:tc>
          <w:tcPr>
            <w:tcW w:w="530" w:type="dxa"/>
            <w:tcBorders>
              <w:top w:val="single" w:color="auto" w:sz="6" w:space="0"/>
              <w:left w:val="single" w:color="auto" w:sz="6" w:space="0"/>
              <w:bottom w:val="single" w:color="auto" w:sz="6" w:space="0"/>
              <w:right w:val="single" w:color="auto" w:sz="6" w:space="0"/>
            </w:tcBorders>
            <w:noWrap/>
            <w:vAlign w:val="center"/>
          </w:tcPr>
          <w:p w14:paraId="4FA1FCA2">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1460" w:type="dxa"/>
            <w:tcBorders>
              <w:top w:val="single" w:color="auto" w:sz="6" w:space="0"/>
              <w:left w:val="single" w:color="auto" w:sz="6" w:space="0"/>
              <w:bottom w:val="single" w:color="auto" w:sz="6" w:space="0"/>
              <w:right w:val="single" w:color="auto" w:sz="6" w:space="0"/>
            </w:tcBorders>
            <w:noWrap/>
            <w:vAlign w:val="center"/>
          </w:tcPr>
          <w:p w14:paraId="0A618A8A">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地面</w:t>
            </w:r>
          </w:p>
        </w:tc>
        <w:tc>
          <w:tcPr>
            <w:tcW w:w="1156" w:type="dxa"/>
            <w:tcBorders>
              <w:top w:val="single" w:color="auto" w:sz="6" w:space="0"/>
              <w:left w:val="single" w:color="auto" w:sz="6" w:space="0"/>
              <w:bottom w:val="single" w:color="auto" w:sz="6" w:space="0"/>
              <w:right w:val="single" w:color="auto" w:sz="6" w:space="0"/>
            </w:tcBorders>
            <w:noWrap/>
            <w:vAlign w:val="center"/>
          </w:tcPr>
          <w:p w14:paraId="1716F120">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瓷片地面：清拖二次，每季打蜡一次。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5E2986C9">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地毯每周吸尘二次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50859989">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5DFD4AD3">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01CCB646">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无杂物、无污渍、无水渍</w:t>
            </w:r>
          </w:p>
          <w:p w14:paraId="311DC992">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光亮度90以上。</w:t>
            </w:r>
          </w:p>
        </w:tc>
      </w:tr>
      <w:tr w14:paraId="16758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5C2D97EE">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64F41781">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p>
        </w:tc>
        <w:tc>
          <w:tcPr>
            <w:tcW w:w="1460" w:type="dxa"/>
            <w:tcBorders>
              <w:top w:val="single" w:color="auto" w:sz="6" w:space="0"/>
              <w:left w:val="single" w:color="auto" w:sz="6" w:space="0"/>
              <w:bottom w:val="single" w:color="auto" w:sz="6" w:space="0"/>
              <w:right w:val="single" w:color="auto" w:sz="6" w:space="0"/>
            </w:tcBorders>
            <w:noWrap/>
            <w:vAlign w:val="center"/>
          </w:tcPr>
          <w:p w14:paraId="4DE3A7C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墙面</w:t>
            </w:r>
          </w:p>
        </w:tc>
        <w:tc>
          <w:tcPr>
            <w:tcW w:w="1156" w:type="dxa"/>
            <w:tcBorders>
              <w:top w:val="single" w:color="auto" w:sz="6" w:space="0"/>
              <w:left w:val="single" w:color="auto" w:sz="6" w:space="0"/>
              <w:bottom w:val="single" w:color="auto" w:sz="6" w:space="0"/>
              <w:right w:val="single" w:color="auto" w:sz="6" w:space="0"/>
            </w:tcBorders>
            <w:noWrap/>
            <w:vAlign w:val="center"/>
          </w:tcPr>
          <w:p w14:paraId="55B5FD52">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随时保持清洁</w:t>
            </w:r>
          </w:p>
        </w:tc>
        <w:tc>
          <w:tcPr>
            <w:tcW w:w="1246" w:type="dxa"/>
            <w:tcBorders>
              <w:top w:val="single" w:color="auto" w:sz="6" w:space="0"/>
              <w:left w:val="single" w:color="auto" w:sz="6" w:space="0"/>
              <w:bottom w:val="single" w:color="auto" w:sz="6" w:space="0"/>
              <w:right w:val="single" w:color="auto" w:sz="6" w:space="0"/>
            </w:tcBorders>
            <w:noWrap/>
            <w:vAlign w:val="center"/>
          </w:tcPr>
          <w:p w14:paraId="4E42BBE6">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77657335">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1CC7105F">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全面清扫一次</w:t>
            </w:r>
          </w:p>
        </w:tc>
        <w:tc>
          <w:tcPr>
            <w:tcW w:w="2229" w:type="dxa"/>
            <w:tcBorders>
              <w:top w:val="single" w:color="auto" w:sz="6" w:space="0"/>
              <w:left w:val="single" w:color="auto" w:sz="6" w:space="0"/>
              <w:bottom w:val="single" w:color="auto" w:sz="6" w:space="0"/>
              <w:right w:val="single" w:color="auto" w:sz="6" w:space="0"/>
            </w:tcBorders>
            <w:noWrap/>
            <w:vAlign w:val="center"/>
          </w:tcPr>
          <w:p w14:paraId="76A26913">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无污渍、无灰尘、无蜘蛛网。</w:t>
            </w:r>
          </w:p>
        </w:tc>
      </w:tr>
      <w:tr w14:paraId="0CDAB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7D30700A">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4974BAD9">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1460" w:type="dxa"/>
            <w:tcBorders>
              <w:top w:val="single" w:color="auto" w:sz="6" w:space="0"/>
              <w:left w:val="single" w:color="auto" w:sz="6" w:space="0"/>
              <w:bottom w:val="single" w:color="auto" w:sz="6" w:space="0"/>
              <w:right w:val="single" w:color="auto" w:sz="6" w:space="0"/>
            </w:tcBorders>
            <w:noWrap/>
            <w:vAlign w:val="center"/>
          </w:tcPr>
          <w:p w14:paraId="44CCDDF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门、窗</w:t>
            </w:r>
          </w:p>
        </w:tc>
        <w:tc>
          <w:tcPr>
            <w:tcW w:w="1156" w:type="dxa"/>
            <w:tcBorders>
              <w:top w:val="single" w:color="auto" w:sz="6" w:space="0"/>
              <w:left w:val="single" w:color="auto" w:sz="6" w:space="0"/>
              <w:bottom w:val="single" w:color="auto" w:sz="6" w:space="0"/>
              <w:right w:val="single" w:color="auto" w:sz="6" w:space="0"/>
            </w:tcBorders>
            <w:noWrap/>
            <w:vAlign w:val="center"/>
          </w:tcPr>
          <w:p w14:paraId="2A991117">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清抹一次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2645418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用清洁剂清抹一次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6DA12B4F">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4838622A">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23547F1C">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无尘、无污渍</w:t>
            </w:r>
          </w:p>
        </w:tc>
      </w:tr>
      <w:tr w14:paraId="7EF9B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609854D5">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5AAC25F7">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w:t>
            </w:r>
          </w:p>
        </w:tc>
        <w:tc>
          <w:tcPr>
            <w:tcW w:w="1460" w:type="dxa"/>
            <w:tcBorders>
              <w:top w:val="single" w:color="auto" w:sz="6" w:space="0"/>
              <w:left w:val="single" w:color="auto" w:sz="6" w:space="0"/>
              <w:bottom w:val="single" w:color="auto" w:sz="6" w:space="0"/>
              <w:right w:val="single" w:color="auto" w:sz="6" w:space="0"/>
            </w:tcBorders>
            <w:noWrap/>
            <w:vAlign w:val="center"/>
          </w:tcPr>
          <w:p w14:paraId="4A70E17D">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桌、椅</w:t>
            </w:r>
          </w:p>
        </w:tc>
        <w:tc>
          <w:tcPr>
            <w:tcW w:w="1156" w:type="dxa"/>
            <w:tcBorders>
              <w:top w:val="single" w:color="auto" w:sz="6" w:space="0"/>
              <w:left w:val="single" w:color="auto" w:sz="6" w:space="0"/>
              <w:bottom w:val="single" w:color="auto" w:sz="6" w:space="0"/>
              <w:right w:val="single" w:color="auto" w:sz="6" w:space="0"/>
            </w:tcBorders>
            <w:noWrap/>
            <w:vAlign w:val="center"/>
          </w:tcPr>
          <w:p w14:paraId="32CC549A">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清抹一次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267028ED">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用清洁剂清抹一次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70D3F162">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0F29BF1E">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75F6892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无污渍</w:t>
            </w:r>
          </w:p>
        </w:tc>
      </w:tr>
      <w:tr w14:paraId="4CE97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4D3F50B7">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18C64C43">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w:t>
            </w:r>
          </w:p>
        </w:tc>
        <w:tc>
          <w:tcPr>
            <w:tcW w:w="1460" w:type="dxa"/>
            <w:tcBorders>
              <w:top w:val="single" w:color="auto" w:sz="6" w:space="0"/>
              <w:left w:val="single" w:color="auto" w:sz="6" w:space="0"/>
              <w:bottom w:val="single" w:color="auto" w:sz="6" w:space="0"/>
              <w:right w:val="single" w:color="auto" w:sz="6" w:space="0"/>
            </w:tcBorders>
            <w:noWrap/>
            <w:vAlign w:val="center"/>
          </w:tcPr>
          <w:p w14:paraId="64A02711">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饰物</w:t>
            </w:r>
          </w:p>
        </w:tc>
        <w:tc>
          <w:tcPr>
            <w:tcW w:w="1156" w:type="dxa"/>
            <w:tcBorders>
              <w:top w:val="single" w:color="auto" w:sz="6" w:space="0"/>
              <w:left w:val="single" w:color="auto" w:sz="6" w:space="0"/>
              <w:bottom w:val="single" w:color="auto" w:sz="6" w:space="0"/>
              <w:right w:val="single" w:color="auto" w:sz="6" w:space="0"/>
            </w:tcBorders>
            <w:noWrap/>
            <w:vAlign w:val="center"/>
          </w:tcPr>
          <w:p w14:paraId="3402B7C0">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清抹一次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50BCC88D">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用清洁剂清抹一次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07D2AA25">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51D2516B">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06E9784F">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无尘、无污渍</w:t>
            </w:r>
          </w:p>
        </w:tc>
      </w:tr>
      <w:tr w14:paraId="45F8A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2D7B19AF">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5E4AC307">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6</w:t>
            </w:r>
          </w:p>
        </w:tc>
        <w:tc>
          <w:tcPr>
            <w:tcW w:w="1460" w:type="dxa"/>
            <w:tcBorders>
              <w:top w:val="single" w:color="auto" w:sz="6" w:space="0"/>
              <w:left w:val="single" w:color="auto" w:sz="6" w:space="0"/>
              <w:bottom w:val="single" w:color="auto" w:sz="6" w:space="0"/>
              <w:right w:val="single" w:color="auto" w:sz="6" w:space="0"/>
            </w:tcBorders>
            <w:noWrap/>
            <w:vAlign w:val="center"/>
          </w:tcPr>
          <w:p w14:paraId="578AC3E5">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天花灯饰</w:t>
            </w:r>
          </w:p>
        </w:tc>
        <w:tc>
          <w:tcPr>
            <w:tcW w:w="1156" w:type="dxa"/>
            <w:tcBorders>
              <w:top w:val="single" w:color="auto" w:sz="6" w:space="0"/>
              <w:left w:val="single" w:color="auto" w:sz="6" w:space="0"/>
              <w:bottom w:val="single" w:color="auto" w:sz="6" w:space="0"/>
              <w:right w:val="single" w:color="auto" w:sz="6" w:space="0"/>
            </w:tcBorders>
            <w:noWrap/>
            <w:vAlign w:val="center"/>
          </w:tcPr>
          <w:p w14:paraId="0E5AE365">
            <w:pPr>
              <w:snapToGrid w:val="0"/>
              <w:spacing w:line="240" w:lineRule="auto"/>
              <w:ind w:firstLine="0" w:firstLineChars="0"/>
              <w:rPr>
                <w:rFonts w:hint="eastAsia" w:ascii="宋体" w:hAnsi="宋体" w:eastAsia="宋体" w:cs="宋体"/>
                <w:color w:val="auto"/>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47985285">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1D8C3B88">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20125EC7">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清扫一次</w:t>
            </w:r>
          </w:p>
        </w:tc>
        <w:tc>
          <w:tcPr>
            <w:tcW w:w="2229" w:type="dxa"/>
            <w:tcBorders>
              <w:top w:val="single" w:color="auto" w:sz="6" w:space="0"/>
              <w:left w:val="single" w:color="auto" w:sz="6" w:space="0"/>
              <w:bottom w:val="single" w:color="auto" w:sz="6" w:space="0"/>
              <w:right w:val="single" w:color="auto" w:sz="6" w:space="0"/>
            </w:tcBorders>
            <w:noWrap/>
            <w:vAlign w:val="center"/>
          </w:tcPr>
          <w:p w14:paraId="5AF5A76C">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干净、无蜘蛛网</w:t>
            </w:r>
          </w:p>
        </w:tc>
      </w:tr>
      <w:tr w14:paraId="1C8DE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3E96419B">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78BDF4AE">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7</w:t>
            </w:r>
          </w:p>
        </w:tc>
        <w:tc>
          <w:tcPr>
            <w:tcW w:w="1460" w:type="dxa"/>
            <w:tcBorders>
              <w:top w:val="single" w:color="auto" w:sz="6" w:space="0"/>
              <w:left w:val="single" w:color="auto" w:sz="6" w:space="0"/>
              <w:bottom w:val="single" w:color="auto" w:sz="6" w:space="0"/>
              <w:right w:val="single" w:color="auto" w:sz="6" w:space="0"/>
            </w:tcBorders>
            <w:noWrap/>
            <w:vAlign w:val="center"/>
          </w:tcPr>
          <w:p w14:paraId="562D4D83">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垃圾箱、篓</w:t>
            </w:r>
          </w:p>
        </w:tc>
        <w:tc>
          <w:tcPr>
            <w:tcW w:w="1156" w:type="dxa"/>
            <w:tcBorders>
              <w:top w:val="single" w:color="auto" w:sz="6" w:space="0"/>
              <w:left w:val="single" w:color="auto" w:sz="6" w:space="0"/>
              <w:bottom w:val="single" w:color="auto" w:sz="6" w:space="0"/>
              <w:right w:val="single" w:color="auto" w:sz="6" w:space="0"/>
            </w:tcBorders>
            <w:noWrap/>
            <w:vAlign w:val="center"/>
          </w:tcPr>
          <w:p w14:paraId="16D060E9">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清洁一次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0FB9A609">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44091C11">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79756556">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0DF887ED">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无过夜垃圾</w:t>
            </w:r>
          </w:p>
        </w:tc>
      </w:tr>
      <w:tr w14:paraId="28668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1773CFA6">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4233CC13">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8</w:t>
            </w:r>
          </w:p>
        </w:tc>
        <w:tc>
          <w:tcPr>
            <w:tcW w:w="1460" w:type="dxa"/>
            <w:tcBorders>
              <w:top w:val="single" w:color="auto" w:sz="6" w:space="0"/>
              <w:left w:val="single" w:color="auto" w:sz="6" w:space="0"/>
              <w:bottom w:val="single" w:color="auto" w:sz="6" w:space="0"/>
              <w:right w:val="single" w:color="auto" w:sz="6" w:space="0"/>
            </w:tcBorders>
            <w:noWrap/>
            <w:vAlign w:val="center"/>
          </w:tcPr>
          <w:p w14:paraId="681727FB">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空调出风口</w:t>
            </w:r>
          </w:p>
        </w:tc>
        <w:tc>
          <w:tcPr>
            <w:tcW w:w="1156" w:type="dxa"/>
            <w:tcBorders>
              <w:top w:val="single" w:color="auto" w:sz="6" w:space="0"/>
              <w:left w:val="single" w:color="auto" w:sz="6" w:space="0"/>
              <w:bottom w:val="single" w:color="auto" w:sz="6" w:space="0"/>
              <w:right w:val="single" w:color="auto" w:sz="6" w:space="0"/>
            </w:tcBorders>
            <w:noWrap/>
            <w:vAlign w:val="center"/>
          </w:tcPr>
          <w:p w14:paraId="45E0632A">
            <w:pPr>
              <w:snapToGrid w:val="0"/>
              <w:spacing w:line="240" w:lineRule="auto"/>
              <w:ind w:firstLine="0" w:firstLineChars="0"/>
              <w:rPr>
                <w:rFonts w:hint="eastAsia" w:ascii="宋体" w:hAnsi="宋体" w:eastAsia="宋体" w:cs="宋体"/>
                <w:color w:val="auto"/>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35769D68">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6DDF2332">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清洗一次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1BE5FA65">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7D76D3D5">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无尘、无污渍</w:t>
            </w:r>
          </w:p>
        </w:tc>
      </w:tr>
      <w:tr w14:paraId="5A91B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restart"/>
            <w:tcBorders>
              <w:top w:val="single" w:color="auto" w:sz="6" w:space="0"/>
              <w:left w:val="single" w:color="auto" w:sz="6" w:space="0"/>
              <w:bottom w:val="single" w:color="auto" w:sz="6" w:space="0"/>
              <w:right w:val="single" w:color="auto" w:sz="6" w:space="0"/>
            </w:tcBorders>
            <w:noWrap/>
            <w:vAlign w:val="center"/>
          </w:tcPr>
          <w:p w14:paraId="547BEC62">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w:t>
            </w:r>
          </w:p>
          <w:p w14:paraId="011A2E32">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下</w:t>
            </w:r>
          </w:p>
          <w:p w14:paraId="276C48AC">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室</w:t>
            </w:r>
          </w:p>
        </w:tc>
        <w:tc>
          <w:tcPr>
            <w:tcW w:w="530" w:type="dxa"/>
            <w:tcBorders>
              <w:top w:val="single" w:color="auto" w:sz="6" w:space="0"/>
              <w:left w:val="single" w:color="auto" w:sz="6" w:space="0"/>
              <w:bottom w:val="single" w:color="auto" w:sz="6" w:space="0"/>
              <w:right w:val="single" w:color="auto" w:sz="6" w:space="0"/>
            </w:tcBorders>
            <w:noWrap/>
            <w:vAlign w:val="center"/>
          </w:tcPr>
          <w:p w14:paraId="0DAE4331">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l</w:t>
            </w:r>
          </w:p>
        </w:tc>
        <w:tc>
          <w:tcPr>
            <w:tcW w:w="1460" w:type="dxa"/>
            <w:tcBorders>
              <w:top w:val="single" w:color="auto" w:sz="6" w:space="0"/>
              <w:left w:val="single" w:color="auto" w:sz="6" w:space="0"/>
              <w:bottom w:val="single" w:color="auto" w:sz="6" w:space="0"/>
              <w:right w:val="single" w:color="auto" w:sz="6" w:space="0"/>
            </w:tcBorders>
            <w:noWrap/>
            <w:vAlign w:val="center"/>
          </w:tcPr>
          <w:p w14:paraId="3F005A86">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地面</w:t>
            </w:r>
          </w:p>
        </w:tc>
        <w:tc>
          <w:tcPr>
            <w:tcW w:w="1156" w:type="dxa"/>
            <w:tcBorders>
              <w:top w:val="single" w:color="auto" w:sz="6" w:space="0"/>
              <w:left w:val="single" w:color="auto" w:sz="6" w:space="0"/>
              <w:bottom w:val="single" w:color="auto" w:sz="6" w:space="0"/>
              <w:right w:val="single" w:color="auto" w:sz="6" w:space="0"/>
            </w:tcBorders>
            <w:noWrap/>
            <w:vAlign w:val="center"/>
          </w:tcPr>
          <w:p w14:paraId="771BB9AC">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清扫二次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3146192E">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4EFA9DE6">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用清洁剂清洗一次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0DB2CA49">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30F098AC">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干净、无杂物、无污</w:t>
            </w:r>
          </w:p>
          <w:p w14:paraId="06875C3F">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渍、无积水</w:t>
            </w:r>
          </w:p>
        </w:tc>
      </w:tr>
      <w:tr w14:paraId="321C5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52ED8792">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3F916B98">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p>
        </w:tc>
        <w:tc>
          <w:tcPr>
            <w:tcW w:w="1460" w:type="dxa"/>
            <w:tcBorders>
              <w:top w:val="single" w:color="auto" w:sz="6" w:space="0"/>
              <w:left w:val="single" w:color="auto" w:sz="6" w:space="0"/>
              <w:bottom w:val="single" w:color="auto" w:sz="6" w:space="0"/>
              <w:right w:val="single" w:color="auto" w:sz="6" w:space="0"/>
            </w:tcBorders>
            <w:noWrap/>
            <w:vAlign w:val="center"/>
          </w:tcPr>
          <w:p w14:paraId="4A516381">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墙面</w:t>
            </w:r>
          </w:p>
        </w:tc>
        <w:tc>
          <w:tcPr>
            <w:tcW w:w="1156" w:type="dxa"/>
            <w:tcBorders>
              <w:top w:val="single" w:color="auto" w:sz="6" w:space="0"/>
              <w:left w:val="single" w:color="auto" w:sz="6" w:space="0"/>
              <w:bottom w:val="single" w:color="auto" w:sz="6" w:space="0"/>
              <w:right w:val="single" w:color="auto" w:sz="6" w:space="0"/>
            </w:tcBorders>
            <w:noWrap/>
            <w:vAlign w:val="center"/>
          </w:tcPr>
          <w:p w14:paraId="566563BC">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随时保持清洁</w:t>
            </w:r>
          </w:p>
        </w:tc>
        <w:tc>
          <w:tcPr>
            <w:tcW w:w="1246" w:type="dxa"/>
            <w:tcBorders>
              <w:top w:val="single" w:color="auto" w:sz="6" w:space="0"/>
              <w:left w:val="single" w:color="auto" w:sz="6" w:space="0"/>
              <w:bottom w:val="single" w:color="auto" w:sz="6" w:space="0"/>
              <w:right w:val="single" w:color="auto" w:sz="6" w:space="0"/>
            </w:tcBorders>
            <w:noWrap/>
            <w:vAlign w:val="center"/>
          </w:tcPr>
          <w:p w14:paraId="1D85983E">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5BD777D0">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4CF88229">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全面清扫一次</w:t>
            </w:r>
          </w:p>
        </w:tc>
        <w:tc>
          <w:tcPr>
            <w:tcW w:w="2229" w:type="dxa"/>
            <w:tcBorders>
              <w:top w:val="single" w:color="auto" w:sz="6" w:space="0"/>
              <w:left w:val="single" w:color="auto" w:sz="6" w:space="0"/>
              <w:bottom w:val="single" w:color="auto" w:sz="6" w:space="0"/>
              <w:right w:val="single" w:color="auto" w:sz="6" w:space="0"/>
            </w:tcBorders>
            <w:noWrap/>
            <w:vAlign w:val="center"/>
          </w:tcPr>
          <w:p w14:paraId="13EF926E">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干净、无灰尘、无污渍</w:t>
            </w:r>
          </w:p>
        </w:tc>
      </w:tr>
      <w:tr w14:paraId="74559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657A3B8B">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54FF51E8">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1460" w:type="dxa"/>
            <w:tcBorders>
              <w:top w:val="single" w:color="auto" w:sz="6" w:space="0"/>
              <w:left w:val="single" w:color="auto" w:sz="6" w:space="0"/>
              <w:bottom w:val="single" w:color="auto" w:sz="6" w:space="0"/>
              <w:right w:val="single" w:color="auto" w:sz="6" w:space="0"/>
            </w:tcBorders>
            <w:noWrap/>
            <w:vAlign w:val="center"/>
          </w:tcPr>
          <w:p w14:paraId="1D5065CC">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天花灯饰</w:t>
            </w:r>
          </w:p>
        </w:tc>
        <w:tc>
          <w:tcPr>
            <w:tcW w:w="1156" w:type="dxa"/>
            <w:tcBorders>
              <w:top w:val="single" w:color="auto" w:sz="6" w:space="0"/>
              <w:left w:val="single" w:color="auto" w:sz="6" w:space="0"/>
              <w:bottom w:val="single" w:color="auto" w:sz="6" w:space="0"/>
              <w:right w:val="single" w:color="auto" w:sz="6" w:space="0"/>
            </w:tcBorders>
            <w:noWrap/>
            <w:vAlign w:val="center"/>
          </w:tcPr>
          <w:p w14:paraId="067B5E36">
            <w:pPr>
              <w:snapToGrid w:val="0"/>
              <w:spacing w:line="240" w:lineRule="auto"/>
              <w:ind w:firstLine="0" w:firstLineChars="0"/>
              <w:rPr>
                <w:rFonts w:hint="eastAsia" w:ascii="宋体" w:hAnsi="宋体" w:eastAsia="宋体" w:cs="宋体"/>
                <w:color w:val="auto"/>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6A6B0C71">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7C12496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清抹一次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293381BC">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全面清抹一次</w:t>
            </w:r>
          </w:p>
        </w:tc>
        <w:tc>
          <w:tcPr>
            <w:tcW w:w="2229" w:type="dxa"/>
            <w:tcBorders>
              <w:top w:val="single" w:color="auto" w:sz="6" w:space="0"/>
              <w:left w:val="single" w:color="auto" w:sz="6" w:space="0"/>
              <w:bottom w:val="single" w:color="auto" w:sz="6" w:space="0"/>
              <w:right w:val="single" w:color="auto" w:sz="6" w:space="0"/>
            </w:tcBorders>
            <w:noWrap/>
            <w:vAlign w:val="center"/>
          </w:tcPr>
          <w:p w14:paraId="46EA5962">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干净、无蜘蛛网</w:t>
            </w:r>
          </w:p>
        </w:tc>
      </w:tr>
      <w:tr w14:paraId="07972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595E262F">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4CED1FCF">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w:t>
            </w:r>
          </w:p>
        </w:tc>
        <w:tc>
          <w:tcPr>
            <w:tcW w:w="1460" w:type="dxa"/>
            <w:tcBorders>
              <w:top w:val="single" w:color="auto" w:sz="6" w:space="0"/>
              <w:left w:val="single" w:color="auto" w:sz="6" w:space="0"/>
              <w:bottom w:val="single" w:color="auto" w:sz="6" w:space="0"/>
              <w:right w:val="single" w:color="auto" w:sz="6" w:space="0"/>
            </w:tcBorders>
            <w:noWrap/>
            <w:vAlign w:val="center"/>
          </w:tcPr>
          <w:p w14:paraId="1B18A249">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门、消防栓</w:t>
            </w:r>
          </w:p>
        </w:tc>
        <w:tc>
          <w:tcPr>
            <w:tcW w:w="1156" w:type="dxa"/>
            <w:tcBorders>
              <w:top w:val="single" w:color="auto" w:sz="6" w:space="0"/>
              <w:left w:val="single" w:color="auto" w:sz="6" w:space="0"/>
              <w:bottom w:val="single" w:color="auto" w:sz="6" w:space="0"/>
              <w:right w:val="single" w:color="auto" w:sz="6" w:space="0"/>
            </w:tcBorders>
            <w:noWrap/>
            <w:vAlign w:val="center"/>
          </w:tcPr>
          <w:p w14:paraId="1736B208">
            <w:pPr>
              <w:snapToGrid w:val="0"/>
              <w:spacing w:line="240" w:lineRule="auto"/>
              <w:ind w:firstLine="0" w:firstLineChars="0"/>
              <w:rPr>
                <w:rFonts w:hint="eastAsia" w:ascii="宋体" w:hAnsi="宋体" w:eastAsia="宋体" w:cs="宋体"/>
                <w:color w:val="auto"/>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09BC08EC">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清洁一次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3F4B3B23">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用清洁剂清洗一次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23BC64C4">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5BFE00F3">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干净、无污渍</w:t>
            </w:r>
          </w:p>
        </w:tc>
      </w:tr>
      <w:tr w14:paraId="07A43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5CD237A5">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4078B8C2">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w:t>
            </w:r>
          </w:p>
        </w:tc>
        <w:tc>
          <w:tcPr>
            <w:tcW w:w="1460" w:type="dxa"/>
            <w:tcBorders>
              <w:top w:val="single" w:color="auto" w:sz="6" w:space="0"/>
              <w:left w:val="single" w:color="auto" w:sz="6" w:space="0"/>
              <w:bottom w:val="single" w:color="auto" w:sz="6" w:space="0"/>
              <w:right w:val="single" w:color="auto" w:sz="6" w:space="0"/>
            </w:tcBorders>
            <w:noWrap/>
            <w:vAlign w:val="center"/>
          </w:tcPr>
          <w:p w14:paraId="7DE2DD66">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楼梯通道</w:t>
            </w:r>
          </w:p>
        </w:tc>
        <w:tc>
          <w:tcPr>
            <w:tcW w:w="1156" w:type="dxa"/>
            <w:tcBorders>
              <w:top w:val="single" w:color="auto" w:sz="6" w:space="0"/>
              <w:left w:val="single" w:color="auto" w:sz="6" w:space="0"/>
              <w:bottom w:val="single" w:color="auto" w:sz="6" w:space="0"/>
              <w:right w:val="single" w:color="auto" w:sz="6" w:space="0"/>
            </w:tcBorders>
            <w:noWrap/>
            <w:vAlign w:val="center"/>
          </w:tcPr>
          <w:p w14:paraId="5BB45746">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地面扫二次，扶手清抹一次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3B30C9E1">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5C807BE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用清洁剂清洗一次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343E11E3">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77D681A5">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干净、无杂物、无污渍</w:t>
            </w:r>
          </w:p>
        </w:tc>
      </w:tr>
      <w:tr w14:paraId="54C1B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0192F64D">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092B424B">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6</w:t>
            </w:r>
          </w:p>
        </w:tc>
        <w:tc>
          <w:tcPr>
            <w:tcW w:w="1460" w:type="dxa"/>
            <w:tcBorders>
              <w:top w:val="single" w:color="auto" w:sz="6" w:space="0"/>
              <w:left w:val="single" w:color="auto" w:sz="6" w:space="0"/>
              <w:bottom w:val="single" w:color="auto" w:sz="6" w:space="0"/>
              <w:right w:val="single" w:color="auto" w:sz="6" w:space="0"/>
            </w:tcBorders>
            <w:noWrap/>
            <w:vAlign w:val="center"/>
          </w:tcPr>
          <w:p w14:paraId="7B368582">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设备房</w:t>
            </w:r>
          </w:p>
        </w:tc>
        <w:tc>
          <w:tcPr>
            <w:tcW w:w="1156" w:type="dxa"/>
            <w:tcBorders>
              <w:top w:val="single" w:color="auto" w:sz="6" w:space="0"/>
              <w:left w:val="single" w:color="auto" w:sz="6" w:space="0"/>
              <w:bottom w:val="single" w:color="auto" w:sz="6" w:space="0"/>
              <w:right w:val="single" w:color="auto" w:sz="6" w:space="0"/>
            </w:tcBorders>
            <w:noWrap/>
            <w:vAlign w:val="center"/>
          </w:tcPr>
          <w:p w14:paraId="40C8833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清扫一次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78C1ECB9">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275064F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全面清拖一次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2C12219E">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7228419B">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干净、无积水、无蜘 蛛网</w:t>
            </w:r>
          </w:p>
        </w:tc>
      </w:tr>
      <w:tr w14:paraId="02F06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44"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1980CC5B">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0232B6C5">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7</w:t>
            </w:r>
          </w:p>
        </w:tc>
        <w:tc>
          <w:tcPr>
            <w:tcW w:w="1460" w:type="dxa"/>
            <w:tcBorders>
              <w:top w:val="single" w:color="auto" w:sz="6" w:space="0"/>
              <w:left w:val="single" w:color="auto" w:sz="6" w:space="0"/>
              <w:bottom w:val="single" w:color="auto" w:sz="6" w:space="0"/>
              <w:right w:val="single" w:color="auto" w:sz="6" w:space="0"/>
            </w:tcBorders>
            <w:noWrap/>
            <w:vAlign w:val="center"/>
          </w:tcPr>
          <w:p w14:paraId="71C73FA7">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地下室车库</w:t>
            </w:r>
          </w:p>
        </w:tc>
        <w:tc>
          <w:tcPr>
            <w:tcW w:w="1156" w:type="dxa"/>
            <w:tcBorders>
              <w:top w:val="single" w:color="auto" w:sz="6" w:space="0"/>
              <w:left w:val="single" w:color="auto" w:sz="6" w:space="0"/>
              <w:bottom w:val="single" w:color="auto" w:sz="6" w:space="0"/>
              <w:right w:val="single" w:color="auto" w:sz="6" w:space="0"/>
            </w:tcBorders>
            <w:noWrap/>
            <w:vAlign w:val="center"/>
          </w:tcPr>
          <w:p w14:paraId="352E32C6">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清扫一次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2EE0E84C">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0DD9816F">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冲洗一次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17C23B07">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6FA9D36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干净、无臭、无污水</w:t>
            </w:r>
          </w:p>
        </w:tc>
      </w:tr>
      <w:tr w14:paraId="3F69E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restart"/>
            <w:tcBorders>
              <w:top w:val="single" w:color="auto" w:sz="6" w:space="0"/>
              <w:left w:val="single" w:color="auto" w:sz="6" w:space="0"/>
              <w:bottom w:val="single" w:color="auto" w:sz="6" w:space="0"/>
              <w:right w:val="single" w:color="auto" w:sz="6" w:space="0"/>
            </w:tcBorders>
            <w:noWrap/>
            <w:vAlign w:val="center"/>
          </w:tcPr>
          <w:p w14:paraId="493B18D8">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电</w:t>
            </w:r>
          </w:p>
          <w:p w14:paraId="15D21EC1">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梯</w:t>
            </w:r>
          </w:p>
        </w:tc>
        <w:tc>
          <w:tcPr>
            <w:tcW w:w="530" w:type="dxa"/>
            <w:tcBorders>
              <w:top w:val="single" w:color="auto" w:sz="6" w:space="0"/>
              <w:left w:val="single" w:color="auto" w:sz="6" w:space="0"/>
              <w:bottom w:val="single" w:color="auto" w:sz="6" w:space="0"/>
              <w:right w:val="single" w:color="auto" w:sz="6" w:space="0"/>
            </w:tcBorders>
            <w:noWrap/>
            <w:vAlign w:val="center"/>
          </w:tcPr>
          <w:p w14:paraId="3A7AAC92">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1460" w:type="dxa"/>
            <w:tcBorders>
              <w:top w:val="single" w:color="auto" w:sz="6" w:space="0"/>
              <w:left w:val="single" w:color="auto" w:sz="6" w:space="0"/>
              <w:bottom w:val="single" w:color="auto" w:sz="6" w:space="0"/>
              <w:right w:val="single" w:color="auto" w:sz="6" w:space="0"/>
            </w:tcBorders>
            <w:noWrap/>
            <w:vAlign w:val="center"/>
          </w:tcPr>
          <w:p w14:paraId="1275729B">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不锈钢表面</w:t>
            </w:r>
          </w:p>
        </w:tc>
        <w:tc>
          <w:tcPr>
            <w:tcW w:w="1156" w:type="dxa"/>
            <w:tcBorders>
              <w:top w:val="single" w:color="auto" w:sz="6" w:space="0"/>
              <w:left w:val="single" w:color="auto" w:sz="6" w:space="0"/>
              <w:bottom w:val="single" w:color="auto" w:sz="6" w:space="0"/>
              <w:right w:val="single" w:color="auto" w:sz="6" w:space="0"/>
            </w:tcBorders>
            <w:noWrap/>
            <w:vAlign w:val="center"/>
          </w:tcPr>
          <w:p w14:paraId="10B2A481">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用不锈钢油</w:t>
            </w:r>
          </w:p>
          <w:p w14:paraId="591BD8A2">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清抹二次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1C87D643">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5D215BC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全面清洁一次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1FEDAF17">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5A31B082">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光洁明亮、无污渍</w:t>
            </w:r>
          </w:p>
        </w:tc>
      </w:tr>
      <w:tr w14:paraId="26936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38AC8B63">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379A0FC1">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p>
        </w:tc>
        <w:tc>
          <w:tcPr>
            <w:tcW w:w="1460" w:type="dxa"/>
            <w:tcBorders>
              <w:top w:val="single" w:color="auto" w:sz="6" w:space="0"/>
              <w:left w:val="single" w:color="auto" w:sz="6" w:space="0"/>
              <w:bottom w:val="single" w:color="auto" w:sz="6" w:space="0"/>
              <w:right w:val="single" w:color="auto" w:sz="6" w:space="0"/>
            </w:tcBorders>
            <w:noWrap/>
            <w:vAlign w:val="center"/>
          </w:tcPr>
          <w:p w14:paraId="1FC2BD99">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轿箱地面</w:t>
            </w:r>
          </w:p>
        </w:tc>
        <w:tc>
          <w:tcPr>
            <w:tcW w:w="1156" w:type="dxa"/>
            <w:tcBorders>
              <w:top w:val="single" w:color="auto" w:sz="6" w:space="0"/>
              <w:left w:val="single" w:color="auto" w:sz="6" w:space="0"/>
              <w:bottom w:val="single" w:color="auto" w:sz="6" w:space="0"/>
              <w:right w:val="single" w:color="auto" w:sz="6" w:space="0"/>
            </w:tcBorders>
            <w:noWrap/>
            <w:vAlign w:val="center"/>
          </w:tcPr>
          <w:p w14:paraId="7E11C9F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清洁地面若干次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5C0D1A12">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5811B166">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抛光一次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121E5CBD">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2AF92F93">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与石材地面要求相同</w:t>
            </w:r>
          </w:p>
        </w:tc>
      </w:tr>
      <w:tr w14:paraId="1C6C0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5F4422AE">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58A63943">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1460" w:type="dxa"/>
            <w:tcBorders>
              <w:top w:val="single" w:color="auto" w:sz="6" w:space="0"/>
              <w:left w:val="single" w:color="auto" w:sz="6" w:space="0"/>
              <w:bottom w:val="single" w:color="auto" w:sz="6" w:space="0"/>
              <w:right w:val="single" w:color="auto" w:sz="6" w:space="0"/>
            </w:tcBorders>
            <w:noWrap/>
            <w:vAlign w:val="center"/>
          </w:tcPr>
          <w:p w14:paraId="756F5532">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轿箱内地脚线</w:t>
            </w:r>
          </w:p>
        </w:tc>
        <w:tc>
          <w:tcPr>
            <w:tcW w:w="1156" w:type="dxa"/>
            <w:tcBorders>
              <w:top w:val="single" w:color="auto" w:sz="6" w:space="0"/>
              <w:left w:val="single" w:color="auto" w:sz="6" w:space="0"/>
              <w:bottom w:val="single" w:color="auto" w:sz="6" w:space="0"/>
              <w:right w:val="single" w:color="auto" w:sz="6" w:space="0"/>
            </w:tcBorders>
            <w:noWrap/>
            <w:vAlign w:val="center"/>
          </w:tcPr>
          <w:p w14:paraId="1BE4A819">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清抹一次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2F3756DC">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用清洁剂清抹一次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5BF9E930">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4FDD23E0">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65610683">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干净、无尘</w:t>
            </w:r>
          </w:p>
        </w:tc>
      </w:tr>
      <w:tr w14:paraId="175A9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53F03134">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2A001D77">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w:t>
            </w:r>
          </w:p>
        </w:tc>
        <w:tc>
          <w:tcPr>
            <w:tcW w:w="1460" w:type="dxa"/>
            <w:tcBorders>
              <w:top w:val="single" w:color="auto" w:sz="6" w:space="0"/>
              <w:left w:val="single" w:color="auto" w:sz="6" w:space="0"/>
              <w:bottom w:val="single" w:color="auto" w:sz="6" w:space="0"/>
              <w:right w:val="single" w:color="auto" w:sz="6" w:space="0"/>
            </w:tcBorders>
            <w:noWrap/>
            <w:vAlign w:val="center"/>
          </w:tcPr>
          <w:p w14:paraId="4E764C9E">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接钮、灯</w:t>
            </w:r>
          </w:p>
          <w:p w14:paraId="24382045">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饰、箱顶</w:t>
            </w:r>
          </w:p>
        </w:tc>
        <w:tc>
          <w:tcPr>
            <w:tcW w:w="1156" w:type="dxa"/>
            <w:tcBorders>
              <w:top w:val="single" w:color="auto" w:sz="6" w:space="0"/>
              <w:left w:val="single" w:color="auto" w:sz="6" w:space="0"/>
              <w:bottom w:val="single" w:color="auto" w:sz="6" w:space="0"/>
              <w:right w:val="single" w:color="auto" w:sz="6" w:space="0"/>
            </w:tcBorders>
            <w:noWrap/>
            <w:vAlign w:val="center"/>
          </w:tcPr>
          <w:p w14:paraId="7602424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清抹一次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246BC131">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0581D61B">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用清洁剂清洁一次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4DB30F2A">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4528FD9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干净、无灰尘</w:t>
            </w:r>
          </w:p>
        </w:tc>
      </w:tr>
    </w:tbl>
    <w:p w14:paraId="1A7229FF">
      <w:pPr>
        <w:numPr>
          <w:ilvl w:val="0"/>
          <w:numId w:val="9"/>
        </w:numPr>
        <w:spacing w:line="360" w:lineRule="auto"/>
        <w:ind w:firstLine="0" w:firstLineChars="0"/>
        <w:rPr>
          <w:rFonts w:hint="eastAsia" w:ascii="宋体" w:hAnsi="宋体" w:eastAsia="宋体" w:cs="宋体"/>
          <w:color w:val="auto"/>
          <w:sz w:val="21"/>
          <w:szCs w:val="21"/>
          <w:highlight w:val="none"/>
        </w:rPr>
      </w:pPr>
      <w:bookmarkStart w:id="600" w:name="_Toc28625"/>
      <w:bookmarkStart w:id="601" w:name="_Toc27191"/>
      <w:r>
        <w:rPr>
          <w:rFonts w:hint="eastAsia" w:ascii="宋体" w:hAnsi="宋体" w:eastAsia="宋体" w:cs="宋体"/>
          <w:color w:val="auto"/>
          <w:sz w:val="21"/>
          <w:szCs w:val="21"/>
          <w:highlight w:val="none"/>
          <w:lang w:val="en-US" w:eastAsia="zh-CN"/>
        </w:rPr>
        <w:t>租赁</w:t>
      </w:r>
      <w:r>
        <w:rPr>
          <w:rFonts w:hint="eastAsia" w:ascii="宋体" w:hAnsi="宋体" w:eastAsia="宋体" w:cs="宋体"/>
          <w:color w:val="auto"/>
          <w:sz w:val="21"/>
          <w:szCs w:val="21"/>
          <w:highlight w:val="none"/>
        </w:rPr>
        <w:t>区域外消杀作业要求与标准：（不得使用国家或地方明令禁止使用的药物）</w:t>
      </w:r>
    </w:p>
    <w:tbl>
      <w:tblPr>
        <w:tblStyle w:val="41"/>
        <w:tblW w:w="940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49"/>
        <w:gridCol w:w="691"/>
        <w:gridCol w:w="1117"/>
        <w:gridCol w:w="2422"/>
        <w:gridCol w:w="2450"/>
        <w:gridCol w:w="2177"/>
      </w:tblGrid>
      <w:tr w14:paraId="52EA0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restart"/>
            <w:tcBorders>
              <w:top w:val="single" w:color="auto" w:sz="6" w:space="0"/>
              <w:left w:val="single" w:color="auto" w:sz="6" w:space="0"/>
              <w:bottom w:val="single" w:color="auto" w:sz="6" w:space="0"/>
              <w:right w:val="single" w:color="auto" w:sz="6" w:space="0"/>
            </w:tcBorders>
            <w:noWrap/>
            <w:vAlign w:val="center"/>
          </w:tcPr>
          <w:p w14:paraId="2DDCC918">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序号</w:t>
            </w:r>
          </w:p>
        </w:tc>
        <w:tc>
          <w:tcPr>
            <w:tcW w:w="691" w:type="dxa"/>
            <w:vMerge w:val="restart"/>
            <w:tcBorders>
              <w:top w:val="single" w:color="auto" w:sz="6" w:space="0"/>
              <w:left w:val="single" w:color="auto" w:sz="6" w:space="0"/>
              <w:bottom w:val="single" w:color="auto" w:sz="6" w:space="0"/>
              <w:right w:val="single" w:color="auto" w:sz="6" w:space="0"/>
            </w:tcBorders>
            <w:noWrap/>
            <w:vAlign w:val="center"/>
          </w:tcPr>
          <w:p w14:paraId="66851F07">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位置</w:t>
            </w:r>
          </w:p>
        </w:tc>
        <w:tc>
          <w:tcPr>
            <w:tcW w:w="1117" w:type="dxa"/>
            <w:vMerge w:val="restart"/>
            <w:tcBorders>
              <w:top w:val="single" w:color="auto" w:sz="6" w:space="0"/>
              <w:left w:val="single" w:color="auto" w:sz="6" w:space="0"/>
              <w:bottom w:val="single" w:color="auto" w:sz="6" w:space="0"/>
              <w:right w:val="single" w:color="auto" w:sz="6" w:space="0"/>
            </w:tcBorders>
            <w:noWrap/>
            <w:vAlign w:val="center"/>
          </w:tcPr>
          <w:p w14:paraId="0B2F8706">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消杀项目</w:t>
            </w:r>
          </w:p>
        </w:tc>
        <w:tc>
          <w:tcPr>
            <w:tcW w:w="4872" w:type="dxa"/>
            <w:gridSpan w:val="2"/>
            <w:tcBorders>
              <w:top w:val="single" w:color="auto" w:sz="6" w:space="0"/>
              <w:left w:val="single" w:color="auto" w:sz="6" w:space="0"/>
              <w:bottom w:val="single" w:color="auto" w:sz="6" w:space="0"/>
              <w:right w:val="single" w:color="auto" w:sz="6" w:space="0"/>
            </w:tcBorders>
            <w:noWrap/>
            <w:vAlign w:val="center"/>
          </w:tcPr>
          <w:p w14:paraId="4C4355F8">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药物消杀安排</w:t>
            </w:r>
          </w:p>
        </w:tc>
        <w:tc>
          <w:tcPr>
            <w:tcW w:w="2177" w:type="dxa"/>
            <w:vMerge w:val="restart"/>
            <w:tcBorders>
              <w:top w:val="single" w:color="auto" w:sz="6" w:space="0"/>
              <w:left w:val="single" w:color="auto" w:sz="6" w:space="0"/>
              <w:bottom w:val="single" w:color="auto" w:sz="6" w:space="0"/>
              <w:right w:val="single" w:color="auto" w:sz="6" w:space="0"/>
            </w:tcBorders>
            <w:noWrap/>
            <w:vAlign w:val="center"/>
          </w:tcPr>
          <w:p w14:paraId="777977C2">
            <w:pPr>
              <w:snapToGrid w:val="0"/>
              <w:spacing w:line="240" w:lineRule="auto"/>
              <w:ind w:firstLine="0" w:firstLineChars="0"/>
              <w:jc w:val="center"/>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工作标准</w:t>
            </w:r>
          </w:p>
        </w:tc>
      </w:tr>
      <w:tr w14:paraId="77D29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continue"/>
            <w:tcBorders>
              <w:top w:val="single" w:color="auto" w:sz="6" w:space="0"/>
              <w:left w:val="single" w:color="auto" w:sz="6" w:space="0"/>
              <w:bottom w:val="single" w:color="auto" w:sz="6" w:space="0"/>
              <w:right w:val="single" w:color="auto" w:sz="6" w:space="0"/>
            </w:tcBorders>
            <w:noWrap/>
            <w:vAlign w:val="center"/>
          </w:tcPr>
          <w:p w14:paraId="55ADB516">
            <w:pPr>
              <w:spacing w:line="240" w:lineRule="auto"/>
              <w:ind w:firstLine="0" w:firstLineChars="0"/>
              <w:jc w:val="both"/>
              <w:rPr>
                <w:rFonts w:hint="eastAsia" w:ascii="宋体" w:hAnsi="宋体" w:eastAsia="宋体" w:cs="宋体"/>
                <w:b/>
                <w:bCs/>
                <w:color w:val="auto"/>
                <w:kern w:val="2"/>
                <w:sz w:val="21"/>
                <w:szCs w:val="21"/>
              </w:rPr>
            </w:pPr>
          </w:p>
        </w:tc>
        <w:tc>
          <w:tcPr>
            <w:tcW w:w="691" w:type="dxa"/>
            <w:vMerge w:val="continue"/>
            <w:tcBorders>
              <w:top w:val="single" w:color="auto" w:sz="6" w:space="0"/>
              <w:left w:val="single" w:color="auto" w:sz="6" w:space="0"/>
              <w:bottom w:val="single" w:color="auto" w:sz="6" w:space="0"/>
              <w:right w:val="single" w:color="auto" w:sz="6" w:space="0"/>
            </w:tcBorders>
            <w:noWrap/>
            <w:vAlign w:val="center"/>
          </w:tcPr>
          <w:p w14:paraId="797C1107">
            <w:pPr>
              <w:spacing w:line="240" w:lineRule="auto"/>
              <w:ind w:firstLine="0" w:firstLineChars="0"/>
              <w:jc w:val="both"/>
              <w:rPr>
                <w:rFonts w:hint="eastAsia" w:ascii="宋体" w:hAnsi="宋体" w:eastAsia="宋体" w:cs="宋体"/>
                <w:b/>
                <w:bCs/>
                <w:color w:val="auto"/>
                <w:kern w:val="2"/>
                <w:sz w:val="21"/>
                <w:szCs w:val="21"/>
              </w:rPr>
            </w:pPr>
          </w:p>
        </w:tc>
        <w:tc>
          <w:tcPr>
            <w:tcW w:w="1117" w:type="dxa"/>
            <w:vMerge w:val="continue"/>
            <w:tcBorders>
              <w:top w:val="single" w:color="auto" w:sz="6" w:space="0"/>
              <w:left w:val="single" w:color="auto" w:sz="6" w:space="0"/>
              <w:bottom w:val="single" w:color="auto" w:sz="6" w:space="0"/>
              <w:right w:val="single" w:color="auto" w:sz="6" w:space="0"/>
            </w:tcBorders>
            <w:noWrap/>
            <w:vAlign w:val="center"/>
          </w:tcPr>
          <w:p w14:paraId="624C56C6">
            <w:pPr>
              <w:spacing w:line="240" w:lineRule="auto"/>
              <w:ind w:firstLine="0" w:firstLineChars="0"/>
              <w:jc w:val="both"/>
              <w:rPr>
                <w:rFonts w:hint="eastAsia" w:ascii="宋体" w:hAnsi="宋体" w:eastAsia="宋体" w:cs="宋体"/>
                <w:b/>
                <w:bCs/>
                <w:color w:val="auto"/>
                <w:kern w:val="2"/>
                <w:sz w:val="21"/>
                <w:szCs w:val="21"/>
              </w:rPr>
            </w:pPr>
          </w:p>
        </w:tc>
        <w:tc>
          <w:tcPr>
            <w:tcW w:w="2422" w:type="dxa"/>
            <w:tcBorders>
              <w:top w:val="single" w:color="auto" w:sz="6" w:space="0"/>
              <w:left w:val="single" w:color="auto" w:sz="6" w:space="0"/>
              <w:bottom w:val="single" w:color="auto" w:sz="6" w:space="0"/>
              <w:right w:val="single" w:color="auto" w:sz="6" w:space="0"/>
            </w:tcBorders>
            <w:noWrap/>
            <w:vAlign w:val="center"/>
          </w:tcPr>
          <w:p w14:paraId="17EF5964">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每周</w:t>
            </w:r>
          </w:p>
        </w:tc>
        <w:tc>
          <w:tcPr>
            <w:tcW w:w="2450" w:type="dxa"/>
            <w:tcBorders>
              <w:top w:val="single" w:color="auto" w:sz="6" w:space="0"/>
              <w:left w:val="single" w:color="auto" w:sz="6" w:space="0"/>
              <w:bottom w:val="single" w:color="auto" w:sz="6" w:space="0"/>
              <w:right w:val="single" w:color="auto" w:sz="6" w:space="0"/>
            </w:tcBorders>
            <w:noWrap/>
            <w:vAlign w:val="center"/>
          </w:tcPr>
          <w:p w14:paraId="408B07CE">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每月</w:t>
            </w: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790A1FA5">
            <w:pPr>
              <w:spacing w:line="240" w:lineRule="auto"/>
              <w:ind w:firstLine="0" w:firstLineChars="0"/>
              <w:jc w:val="both"/>
              <w:rPr>
                <w:rFonts w:hint="eastAsia" w:ascii="宋体" w:hAnsi="宋体" w:eastAsia="宋体" w:cs="宋体"/>
                <w:color w:val="auto"/>
                <w:kern w:val="2"/>
                <w:sz w:val="21"/>
                <w:szCs w:val="21"/>
              </w:rPr>
            </w:pPr>
          </w:p>
        </w:tc>
      </w:tr>
      <w:tr w14:paraId="6CEEB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restart"/>
            <w:tcBorders>
              <w:top w:val="single" w:color="auto" w:sz="6" w:space="0"/>
              <w:left w:val="single" w:color="auto" w:sz="6" w:space="0"/>
              <w:bottom w:val="single" w:color="auto" w:sz="6" w:space="0"/>
              <w:right w:val="single" w:color="auto" w:sz="6" w:space="0"/>
            </w:tcBorders>
            <w:noWrap/>
            <w:vAlign w:val="center"/>
          </w:tcPr>
          <w:p w14:paraId="46D7BAE0">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691" w:type="dxa"/>
            <w:vMerge w:val="restart"/>
            <w:tcBorders>
              <w:top w:val="single" w:color="auto" w:sz="6" w:space="0"/>
              <w:left w:val="single" w:color="auto" w:sz="6" w:space="0"/>
              <w:bottom w:val="single" w:color="auto" w:sz="6" w:space="0"/>
              <w:right w:val="single" w:color="auto" w:sz="6" w:space="0"/>
            </w:tcBorders>
            <w:noWrap/>
            <w:vAlign w:val="center"/>
          </w:tcPr>
          <w:p w14:paraId="3F1F85B6">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卫</w:t>
            </w:r>
          </w:p>
          <w:p w14:paraId="4C817FA3">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生</w:t>
            </w:r>
          </w:p>
          <w:p w14:paraId="2A24639B">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间</w:t>
            </w:r>
          </w:p>
        </w:tc>
        <w:tc>
          <w:tcPr>
            <w:tcW w:w="1117" w:type="dxa"/>
            <w:tcBorders>
              <w:top w:val="single" w:color="auto" w:sz="6" w:space="0"/>
              <w:left w:val="single" w:color="auto" w:sz="6" w:space="0"/>
              <w:bottom w:val="single" w:color="auto" w:sz="6" w:space="0"/>
              <w:right w:val="single" w:color="auto" w:sz="6" w:space="0"/>
            </w:tcBorders>
            <w:noWrap/>
            <w:vAlign w:val="center"/>
          </w:tcPr>
          <w:p w14:paraId="40592A2D">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蟑螂</w:t>
            </w:r>
          </w:p>
        </w:tc>
        <w:tc>
          <w:tcPr>
            <w:tcW w:w="2422" w:type="dxa"/>
            <w:tcBorders>
              <w:top w:val="single" w:color="auto" w:sz="6" w:space="0"/>
              <w:left w:val="single" w:color="auto" w:sz="6" w:space="0"/>
              <w:bottom w:val="single" w:color="auto" w:sz="6" w:space="0"/>
              <w:right w:val="single" w:color="auto" w:sz="6" w:space="0"/>
            </w:tcBorders>
            <w:noWrap/>
            <w:vAlign w:val="center"/>
          </w:tcPr>
          <w:p w14:paraId="527DA225">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10%爱克宁、奋斗呐粉剂、拜力坦浮油交替喷洒到蟑螂藏藏身的洞穴、缝隙、角落、墙角等处，每周二次</w:t>
            </w:r>
          </w:p>
        </w:tc>
        <w:tc>
          <w:tcPr>
            <w:tcW w:w="2450" w:type="dxa"/>
            <w:tcBorders>
              <w:top w:val="single" w:color="auto" w:sz="6" w:space="0"/>
              <w:left w:val="single" w:color="auto" w:sz="6" w:space="0"/>
              <w:bottom w:val="single" w:color="auto" w:sz="6" w:space="0"/>
              <w:right w:val="single" w:color="auto" w:sz="6" w:space="0"/>
            </w:tcBorders>
            <w:noWrap/>
            <w:vAlign w:val="center"/>
          </w:tcPr>
          <w:p w14:paraId="56C270A8">
            <w:pPr>
              <w:snapToGrid w:val="0"/>
              <w:spacing w:line="240" w:lineRule="auto"/>
              <w:ind w:firstLine="0" w:firstLineChars="0"/>
              <w:rPr>
                <w:rFonts w:hint="eastAsia" w:ascii="宋体" w:hAnsi="宋体" w:eastAsia="宋体" w:cs="宋体"/>
                <w:color w:val="auto"/>
                <w:kern w:val="2"/>
                <w:sz w:val="21"/>
                <w:szCs w:val="21"/>
              </w:rPr>
            </w:pPr>
          </w:p>
        </w:tc>
        <w:tc>
          <w:tcPr>
            <w:tcW w:w="2177" w:type="dxa"/>
            <w:vMerge w:val="restart"/>
            <w:tcBorders>
              <w:top w:val="single" w:color="auto" w:sz="6" w:space="0"/>
              <w:left w:val="single" w:color="auto" w:sz="6" w:space="0"/>
              <w:bottom w:val="single" w:color="auto" w:sz="6" w:space="0"/>
              <w:right w:val="single" w:color="auto" w:sz="6" w:space="0"/>
            </w:tcBorders>
            <w:noWrap/>
            <w:vAlign w:val="center"/>
          </w:tcPr>
          <w:p w14:paraId="366D464A">
            <w:pPr>
              <w:spacing w:line="240" w:lineRule="auto"/>
              <w:ind w:firstLine="0" w:firstLineChars="0"/>
              <w:jc w:val="both"/>
              <w:rPr>
                <w:rFonts w:hint="eastAsia" w:ascii="宋体" w:hAnsi="宋体" w:eastAsia="宋体" w:cs="宋体"/>
                <w:color w:val="auto"/>
                <w:kern w:val="2"/>
                <w:sz w:val="21"/>
                <w:szCs w:val="21"/>
              </w:rPr>
            </w:pPr>
          </w:p>
          <w:p w14:paraId="7FF1AD9D">
            <w:pPr>
              <w:numPr>
                <w:ilvl w:val="0"/>
                <w:numId w:val="10"/>
              </w:numPr>
              <w:autoSpaceDE/>
              <w:autoSpaceDN/>
              <w:adjustRightInd/>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灭鼠标准：鼠密度不超过5%（粉迹法）；</w:t>
            </w:r>
          </w:p>
          <w:p w14:paraId="430BFDBC">
            <w:pPr>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2.灭蚊标准：积水中三龄幼蝇或蛹阳性率不超过3%；</w:t>
            </w:r>
          </w:p>
          <w:p w14:paraId="0EE31567">
            <w:pPr>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3.灭蝇标准：蝇类孽生的三龄虫和蛹检出率不超过3%；</w:t>
            </w:r>
          </w:p>
          <w:p w14:paraId="3528EACF">
            <w:pPr>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4.灭蟑螂标准：蟑螂密度不超过1%（粉迹法）；</w:t>
            </w:r>
          </w:p>
          <w:p w14:paraId="6C6BB1C9">
            <w:pPr>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5.灭白蚁标准：按《城市房屋白蚁防治管理规定》执行。</w:t>
            </w:r>
          </w:p>
        </w:tc>
      </w:tr>
      <w:tr w14:paraId="15A19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continue"/>
            <w:tcBorders>
              <w:top w:val="single" w:color="auto" w:sz="6" w:space="0"/>
              <w:left w:val="single" w:color="auto" w:sz="6" w:space="0"/>
              <w:bottom w:val="single" w:color="auto" w:sz="6" w:space="0"/>
              <w:right w:val="single" w:color="auto" w:sz="6" w:space="0"/>
            </w:tcBorders>
            <w:noWrap/>
            <w:vAlign w:val="center"/>
          </w:tcPr>
          <w:p w14:paraId="4AD3662E">
            <w:pPr>
              <w:spacing w:line="240" w:lineRule="auto"/>
              <w:ind w:firstLine="0" w:firstLineChars="0"/>
              <w:jc w:val="both"/>
              <w:rPr>
                <w:rFonts w:hint="eastAsia" w:ascii="宋体" w:hAnsi="宋体" w:eastAsia="宋体" w:cs="宋体"/>
                <w:color w:val="auto"/>
                <w:kern w:val="2"/>
                <w:sz w:val="21"/>
                <w:szCs w:val="21"/>
              </w:rPr>
            </w:pPr>
          </w:p>
        </w:tc>
        <w:tc>
          <w:tcPr>
            <w:tcW w:w="691" w:type="dxa"/>
            <w:vMerge w:val="continue"/>
            <w:tcBorders>
              <w:top w:val="single" w:color="auto" w:sz="6" w:space="0"/>
              <w:left w:val="single" w:color="auto" w:sz="6" w:space="0"/>
              <w:bottom w:val="single" w:color="auto" w:sz="6" w:space="0"/>
              <w:right w:val="single" w:color="auto" w:sz="6" w:space="0"/>
            </w:tcBorders>
            <w:noWrap/>
            <w:vAlign w:val="center"/>
          </w:tcPr>
          <w:p w14:paraId="1EBFF4AB">
            <w:pPr>
              <w:spacing w:line="240" w:lineRule="auto"/>
              <w:ind w:firstLine="0" w:firstLineChars="0"/>
              <w:jc w:val="both"/>
              <w:rPr>
                <w:rFonts w:hint="eastAsia" w:ascii="宋体" w:hAnsi="宋体" w:eastAsia="宋体" w:cs="宋体"/>
                <w:color w:val="auto"/>
                <w:kern w:val="2"/>
                <w:sz w:val="21"/>
                <w:szCs w:val="21"/>
              </w:rPr>
            </w:pPr>
          </w:p>
        </w:tc>
        <w:tc>
          <w:tcPr>
            <w:tcW w:w="1117" w:type="dxa"/>
            <w:tcBorders>
              <w:top w:val="single" w:color="auto" w:sz="6" w:space="0"/>
              <w:left w:val="single" w:color="auto" w:sz="6" w:space="0"/>
              <w:bottom w:val="single" w:color="auto" w:sz="6" w:space="0"/>
              <w:right w:val="single" w:color="auto" w:sz="6" w:space="0"/>
            </w:tcBorders>
            <w:noWrap/>
            <w:vAlign w:val="center"/>
          </w:tcPr>
          <w:p w14:paraId="64CEFA7A">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蚊、蝇</w:t>
            </w:r>
          </w:p>
        </w:tc>
        <w:tc>
          <w:tcPr>
            <w:tcW w:w="2422" w:type="dxa"/>
            <w:tcBorders>
              <w:top w:val="single" w:color="auto" w:sz="6" w:space="0"/>
              <w:left w:val="single" w:color="auto" w:sz="6" w:space="0"/>
              <w:bottom w:val="single" w:color="auto" w:sz="6" w:space="0"/>
              <w:right w:val="single" w:color="auto" w:sz="6" w:space="0"/>
            </w:tcBorders>
            <w:noWrap/>
            <w:vAlign w:val="center"/>
          </w:tcPr>
          <w:p w14:paraId="7A6289D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用家虫清、奋斗呐悬浮剂喷洒二次</w:t>
            </w:r>
          </w:p>
        </w:tc>
        <w:tc>
          <w:tcPr>
            <w:tcW w:w="2450" w:type="dxa"/>
            <w:tcBorders>
              <w:top w:val="single" w:color="auto" w:sz="6" w:space="0"/>
              <w:left w:val="single" w:color="auto" w:sz="6" w:space="0"/>
              <w:bottom w:val="single" w:color="auto" w:sz="6" w:space="0"/>
              <w:right w:val="single" w:color="auto" w:sz="6" w:space="0"/>
            </w:tcBorders>
            <w:noWrap/>
            <w:vAlign w:val="center"/>
          </w:tcPr>
          <w:p w14:paraId="08C8A5FC">
            <w:pPr>
              <w:snapToGrid w:val="0"/>
              <w:spacing w:line="240" w:lineRule="auto"/>
              <w:ind w:firstLine="0" w:firstLineChars="0"/>
              <w:rPr>
                <w:rFonts w:hint="eastAsia" w:ascii="宋体" w:hAnsi="宋体" w:eastAsia="宋体" w:cs="宋体"/>
                <w:color w:val="auto"/>
                <w:kern w:val="2"/>
                <w:sz w:val="21"/>
                <w:szCs w:val="21"/>
              </w:rPr>
            </w:pP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0553152C">
            <w:pPr>
              <w:spacing w:line="240" w:lineRule="auto"/>
              <w:ind w:firstLine="0" w:firstLineChars="0"/>
              <w:jc w:val="both"/>
              <w:rPr>
                <w:rFonts w:hint="eastAsia" w:ascii="宋体" w:hAnsi="宋体" w:eastAsia="宋体" w:cs="宋体"/>
                <w:color w:val="auto"/>
                <w:kern w:val="2"/>
                <w:sz w:val="21"/>
                <w:szCs w:val="21"/>
              </w:rPr>
            </w:pPr>
          </w:p>
        </w:tc>
      </w:tr>
      <w:tr w14:paraId="79B75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continue"/>
            <w:tcBorders>
              <w:top w:val="single" w:color="auto" w:sz="6" w:space="0"/>
              <w:left w:val="single" w:color="auto" w:sz="6" w:space="0"/>
              <w:bottom w:val="single" w:color="auto" w:sz="6" w:space="0"/>
              <w:right w:val="single" w:color="auto" w:sz="6" w:space="0"/>
            </w:tcBorders>
            <w:noWrap/>
            <w:vAlign w:val="center"/>
          </w:tcPr>
          <w:p w14:paraId="35149151">
            <w:pPr>
              <w:spacing w:line="240" w:lineRule="auto"/>
              <w:ind w:firstLine="0" w:firstLineChars="0"/>
              <w:jc w:val="both"/>
              <w:rPr>
                <w:rFonts w:hint="eastAsia" w:ascii="宋体" w:hAnsi="宋体" w:eastAsia="宋体" w:cs="宋体"/>
                <w:color w:val="auto"/>
                <w:kern w:val="2"/>
                <w:sz w:val="21"/>
                <w:szCs w:val="21"/>
              </w:rPr>
            </w:pPr>
          </w:p>
        </w:tc>
        <w:tc>
          <w:tcPr>
            <w:tcW w:w="691" w:type="dxa"/>
            <w:vMerge w:val="continue"/>
            <w:tcBorders>
              <w:top w:val="single" w:color="auto" w:sz="6" w:space="0"/>
              <w:left w:val="single" w:color="auto" w:sz="6" w:space="0"/>
              <w:bottom w:val="single" w:color="auto" w:sz="6" w:space="0"/>
              <w:right w:val="single" w:color="auto" w:sz="6" w:space="0"/>
            </w:tcBorders>
            <w:noWrap/>
            <w:vAlign w:val="center"/>
          </w:tcPr>
          <w:p w14:paraId="7D769D49">
            <w:pPr>
              <w:spacing w:line="240" w:lineRule="auto"/>
              <w:ind w:firstLine="0" w:firstLineChars="0"/>
              <w:jc w:val="both"/>
              <w:rPr>
                <w:rFonts w:hint="eastAsia" w:ascii="宋体" w:hAnsi="宋体" w:eastAsia="宋体" w:cs="宋体"/>
                <w:color w:val="auto"/>
                <w:kern w:val="2"/>
                <w:sz w:val="21"/>
                <w:szCs w:val="21"/>
              </w:rPr>
            </w:pPr>
          </w:p>
        </w:tc>
        <w:tc>
          <w:tcPr>
            <w:tcW w:w="1117" w:type="dxa"/>
            <w:tcBorders>
              <w:top w:val="single" w:color="auto" w:sz="6" w:space="0"/>
              <w:left w:val="single" w:color="auto" w:sz="6" w:space="0"/>
              <w:bottom w:val="single" w:color="auto" w:sz="6" w:space="0"/>
              <w:right w:val="single" w:color="auto" w:sz="6" w:space="0"/>
            </w:tcBorders>
            <w:noWrap/>
            <w:vAlign w:val="center"/>
          </w:tcPr>
          <w:p w14:paraId="4D7572D6">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老鼠</w:t>
            </w:r>
          </w:p>
        </w:tc>
        <w:tc>
          <w:tcPr>
            <w:tcW w:w="2422" w:type="dxa"/>
            <w:tcBorders>
              <w:top w:val="single" w:color="auto" w:sz="6" w:space="0"/>
              <w:left w:val="single" w:color="auto" w:sz="6" w:space="0"/>
              <w:bottom w:val="single" w:color="auto" w:sz="6" w:space="0"/>
              <w:right w:val="single" w:color="auto" w:sz="6" w:space="0"/>
            </w:tcBorders>
            <w:noWrap/>
            <w:vAlign w:val="center"/>
          </w:tcPr>
          <w:p w14:paraId="764EDDAA">
            <w:pPr>
              <w:spacing w:line="240" w:lineRule="auto"/>
              <w:ind w:firstLine="0" w:firstLineChars="0"/>
              <w:rPr>
                <w:rFonts w:hint="eastAsia" w:ascii="宋体" w:hAnsi="宋体" w:eastAsia="宋体" w:cs="宋体"/>
                <w:color w:val="auto"/>
                <w:kern w:val="2"/>
                <w:sz w:val="21"/>
                <w:szCs w:val="21"/>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3E10F25B">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于老鼠经常出没之地投放鼠药毒饵两次，几种鼠药轮换投放。</w:t>
            </w: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59371B97">
            <w:pPr>
              <w:spacing w:line="240" w:lineRule="auto"/>
              <w:ind w:firstLine="0" w:firstLineChars="0"/>
              <w:jc w:val="both"/>
              <w:rPr>
                <w:rFonts w:hint="eastAsia" w:ascii="宋体" w:hAnsi="宋体" w:eastAsia="宋体" w:cs="宋体"/>
                <w:color w:val="auto"/>
                <w:kern w:val="2"/>
                <w:sz w:val="21"/>
                <w:szCs w:val="21"/>
              </w:rPr>
            </w:pPr>
          </w:p>
        </w:tc>
      </w:tr>
      <w:tr w14:paraId="5AA5F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restart"/>
            <w:tcBorders>
              <w:top w:val="single" w:color="auto" w:sz="6" w:space="0"/>
              <w:left w:val="single" w:color="auto" w:sz="6" w:space="0"/>
              <w:bottom w:val="single" w:color="auto" w:sz="6" w:space="0"/>
              <w:right w:val="single" w:color="auto" w:sz="6" w:space="0"/>
            </w:tcBorders>
            <w:noWrap/>
            <w:vAlign w:val="center"/>
          </w:tcPr>
          <w:p w14:paraId="5565F928">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p>
        </w:tc>
        <w:tc>
          <w:tcPr>
            <w:tcW w:w="691" w:type="dxa"/>
            <w:vMerge w:val="restart"/>
            <w:tcBorders>
              <w:top w:val="single" w:color="auto" w:sz="6" w:space="0"/>
              <w:left w:val="single" w:color="auto" w:sz="6" w:space="0"/>
              <w:bottom w:val="single" w:color="auto" w:sz="6" w:space="0"/>
              <w:right w:val="single" w:color="auto" w:sz="6" w:space="0"/>
            </w:tcBorders>
            <w:noWrap/>
            <w:vAlign w:val="center"/>
          </w:tcPr>
          <w:p w14:paraId="53A794E7">
            <w:pPr>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消防通道地下室电梯间</w:t>
            </w:r>
          </w:p>
        </w:tc>
        <w:tc>
          <w:tcPr>
            <w:tcW w:w="1117" w:type="dxa"/>
            <w:tcBorders>
              <w:top w:val="single" w:color="auto" w:sz="6" w:space="0"/>
              <w:left w:val="single" w:color="auto" w:sz="6" w:space="0"/>
              <w:bottom w:val="single" w:color="auto" w:sz="6" w:space="0"/>
              <w:right w:val="single" w:color="auto" w:sz="6" w:space="0"/>
            </w:tcBorders>
            <w:noWrap/>
            <w:vAlign w:val="center"/>
          </w:tcPr>
          <w:p w14:paraId="1FC655A6">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蟑螂</w:t>
            </w:r>
          </w:p>
        </w:tc>
        <w:tc>
          <w:tcPr>
            <w:tcW w:w="2422" w:type="dxa"/>
            <w:tcBorders>
              <w:top w:val="single" w:color="auto" w:sz="6" w:space="0"/>
              <w:left w:val="single" w:color="auto" w:sz="6" w:space="0"/>
              <w:bottom w:val="single" w:color="auto" w:sz="6" w:space="0"/>
              <w:right w:val="single" w:color="auto" w:sz="6" w:space="0"/>
            </w:tcBorders>
            <w:noWrap/>
            <w:vAlign w:val="center"/>
          </w:tcPr>
          <w:p w14:paraId="4F09254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10%爱克宁、奋斗呐粉剂、拜力坦浮油交替喷洒到蟑螂藏藏身的洞穴、缝隙、角落、墙角等处，每周二次</w:t>
            </w:r>
          </w:p>
        </w:tc>
        <w:tc>
          <w:tcPr>
            <w:tcW w:w="2450" w:type="dxa"/>
            <w:tcBorders>
              <w:top w:val="single" w:color="auto" w:sz="6" w:space="0"/>
              <w:left w:val="single" w:color="auto" w:sz="6" w:space="0"/>
              <w:bottom w:val="single" w:color="auto" w:sz="6" w:space="0"/>
              <w:right w:val="single" w:color="auto" w:sz="6" w:space="0"/>
            </w:tcBorders>
            <w:noWrap/>
            <w:vAlign w:val="center"/>
          </w:tcPr>
          <w:p w14:paraId="40F3AFBB">
            <w:pPr>
              <w:snapToGrid w:val="0"/>
              <w:spacing w:line="240" w:lineRule="auto"/>
              <w:ind w:firstLine="0" w:firstLineChars="0"/>
              <w:rPr>
                <w:rFonts w:hint="eastAsia" w:ascii="宋体" w:hAnsi="宋体" w:eastAsia="宋体" w:cs="宋体"/>
                <w:color w:val="auto"/>
                <w:kern w:val="2"/>
                <w:sz w:val="21"/>
                <w:szCs w:val="21"/>
              </w:rPr>
            </w:pP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75493BF7">
            <w:pPr>
              <w:spacing w:line="240" w:lineRule="auto"/>
              <w:ind w:firstLine="0" w:firstLineChars="0"/>
              <w:jc w:val="both"/>
              <w:rPr>
                <w:rFonts w:hint="eastAsia" w:ascii="宋体" w:hAnsi="宋体" w:eastAsia="宋体" w:cs="宋体"/>
                <w:color w:val="auto"/>
                <w:kern w:val="2"/>
                <w:sz w:val="21"/>
                <w:szCs w:val="21"/>
              </w:rPr>
            </w:pPr>
          </w:p>
        </w:tc>
      </w:tr>
      <w:tr w14:paraId="28EED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continue"/>
            <w:tcBorders>
              <w:top w:val="single" w:color="auto" w:sz="6" w:space="0"/>
              <w:left w:val="single" w:color="auto" w:sz="6" w:space="0"/>
              <w:bottom w:val="single" w:color="auto" w:sz="6" w:space="0"/>
              <w:right w:val="single" w:color="auto" w:sz="6" w:space="0"/>
            </w:tcBorders>
            <w:noWrap/>
            <w:vAlign w:val="center"/>
          </w:tcPr>
          <w:p w14:paraId="3BB194B4">
            <w:pPr>
              <w:spacing w:line="240" w:lineRule="auto"/>
              <w:ind w:firstLine="0" w:firstLineChars="0"/>
              <w:jc w:val="both"/>
              <w:rPr>
                <w:rFonts w:hint="eastAsia" w:ascii="宋体" w:hAnsi="宋体" w:eastAsia="宋体" w:cs="宋体"/>
                <w:color w:val="auto"/>
                <w:kern w:val="2"/>
                <w:sz w:val="21"/>
                <w:szCs w:val="21"/>
              </w:rPr>
            </w:pPr>
          </w:p>
        </w:tc>
        <w:tc>
          <w:tcPr>
            <w:tcW w:w="691" w:type="dxa"/>
            <w:vMerge w:val="continue"/>
            <w:tcBorders>
              <w:top w:val="single" w:color="auto" w:sz="6" w:space="0"/>
              <w:left w:val="single" w:color="auto" w:sz="6" w:space="0"/>
              <w:bottom w:val="single" w:color="auto" w:sz="6" w:space="0"/>
              <w:right w:val="single" w:color="auto" w:sz="6" w:space="0"/>
            </w:tcBorders>
            <w:noWrap/>
            <w:vAlign w:val="center"/>
          </w:tcPr>
          <w:p w14:paraId="1771044D">
            <w:pPr>
              <w:spacing w:line="240" w:lineRule="auto"/>
              <w:ind w:firstLine="0" w:firstLineChars="0"/>
              <w:jc w:val="both"/>
              <w:rPr>
                <w:rFonts w:hint="eastAsia" w:ascii="宋体" w:hAnsi="宋体" w:eastAsia="宋体" w:cs="宋体"/>
                <w:color w:val="auto"/>
                <w:kern w:val="2"/>
                <w:sz w:val="21"/>
                <w:szCs w:val="21"/>
              </w:rPr>
            </w:pPr>
          </w:p>
        </w:tc>
        <w:tc>
          <w:tcPr>
            <w:tcW w:w="1117" w:type="dxa"/>
            <w:tcBorders>
              <w:top w:val="single" w:color="auto" w:sz="6" w:space="0"/>
              <w:left w:val="single" w:color="auto" w:sz="6" w:space="0"/>
              <w:bottom w:val="single" w:color="auto" w:sz="6" w:space="0"/>
              <w:right w:val="single" w:color="auto" w:sz="6" w:space="0"/>
            </w:tcBorders>
            <w:noWrap/>
            <w:vAlign w:val="center"/>
          </w:tcPr>
          <w:p w14:paraId="7E373741">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蚊、蝇</w:t>
            </w:r>
          </w:p>
        </w:tc>
        <w:tc>
          <w:tcPr>
            <w:tcW w:w="2422" w:type="dxa"/>
            <w:tcBorders>
              <w:top w:val="single" w:color="auto" w:sz="6" w:space="0"/>
              <w:left w:val="single" w:color="auto" w:sz="6" w:space="0"/>
              <w:bottom w:val="single" w:color="auto" w:sz="6" w:space="0"/>
              <w:right w:val="single" w:color="auto" w:sz="6" w:space="0"/>
            </w:tcBorders>
            <w:noWrap/>
            <w:vAlign w:val="center"/>
          </w:tcPr>
          <w:p w14:paraId="33A35B81">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用家虫清、奋斗呐悬浮剂喷洒二次</w:t>
            </w:r>
          </w:p>
        </w:tc>
        <w:tc>
          <w:tcPr>
            <w:tcW w:w="2450" w:type="dxa"/>
            <w:tcBorders>
              <w:top w:val="single" w:color="auto" w:sz="6" w:space="0"/>
              <w:left w:val="single" w:color="auto" w:sz="6" w:space="0"/>
              <w:bottom w:val="single" w:color="auto" w:sz="6" w:space="0"/>
              <w:right w:val="single" w:color="auto" w:sz="6" w:space="0"/>
            </w:tcBorders>
            <w:noWrap/>
            <w:vAlign w:val="center"/>
          </w:tcPr>
          <w:p w14:paraId="3B0B2B29">
            <w:pPr>
              <w:snapToGrid w:val="0"/>
              <w:spacing w:line="240" w:lineRule="auto"/>
              <w:ind w:firstLine="0" w:firstLineChars="0"/>
              <w:rPr>
                <w:rFonts w:hint="eastAsia" w:ascii="宋体" w:hAnsi="宋体" w:eastAsia="宋体" w:cs="宋体"/>
                <w:color w:val="auto"/>
                <w:kern w:val="2"/>
                <w:sz w:val="21"/>
                <w:szCs w:val="21"/>
              </w:rPr>
            </w:pP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077F77AA">
            <w:pPr>
              <w:spacing w:line="240" w:lineRule="auto"/>
              <w:ind w:firstLine="0" w:firstLineChars="0"/>
              <w:jc w:val="both"/>
              <w:rPr>
                <w:rFonts w:hint="eastAsia" w:ascii="宋体" w:hAnsi="宋体" w:eastAsia="宋体" w:cs="宋体"/>
                <w:color w:val="auto"/>
                <w:kern w:val="2"/>
                <w:sz w:val="21"/>
                <w:szCs w:val="21"/>
              </w:rPr>
            </w:pPr>
          </w:p>
        </w:tc>
      </w:tr>
      <w:tr w14:paraId="745B9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continue"/>
            <w:tcBorders>
              <w:top w:val="single" w:color="auto" w:sz="6" w:space="0"/>
              <w:left w:val="single" w:color="auto" w:sz="6" w:space="0"/>
              <w:bottom w:val="single" w:color="auto" w:sz="6" w:space="0"/>
              <w:right w:val="single" w:color="auto" w:sz="6" w:space="0"/>
            </w:tcBorders>
            <w:noWrap/>
            <w:vAlign w:val="center"/>
          </w:tcPr>
          <w:p w14:paraId="208B76A9">
            <w:pPr>
              <w:spacing w:line="240" w:lineRule="auto"/>
              <w:ind w:firstLine="0" w:firstLineChars="0"/>
              <w:jc w:val="both"/>
              <w:rPr>
                <w:rFonts w:hint="eastAsia" w:ascii="宋体" w:hAnsi="宋体" w:eastAsia="宋体" w:cs="宋体"/>
                <w:color w:val="auto"/>
                <w:kern w:val="2"/>
                <w:sz w:val="21"/>
                <w:szCs w:val="21"/>
              </w:rPr>
            </w:pPr>
          </w:p>
        </w:tc>
        <w:tc>
          <w:tcPr>
            <w:tcW w:w="691" w:type="dxa"/>
            <w:vMerge w:val="continue"/>
            <w:tcBorders>
              <w:top w:val="single" w:color="auto" w:sz="6" w:space="0"/>
              <w:left w:val="single" w:color="auto" w:sz="6" w:space="0"/>
              <w:bottom w:val="single" w:color="auto" w:sz="6" w:space="0"/>
              <w:right w:val="single" w:color="auto" w:sz="6" w:space="0"/>
            </w:tcBorders>
            <w:noWrap/>
            <w:vAlign w:val="center"/>
          </w:tcPr>
          <w:p w14:paraId="20D5BE74">
            <w:pPr>
              <w:spacing w:line="240" w:lineRule="auto"/>
              <w:ind w:firstLine="0" w:firstLineChars="0"/>
              <w:jc w:val="both"/>
              <w:rPr>
                <w:rFonts w:hint="eastAsia" w:ascii="宋体" w:hAnsi="宋体" w:eastAsia="宋体" w:cs="宋体"/>
                <w:color w:val="auto"/>
                <w:kern w:val="2"/>
                <w:sz w:val="21"/>
                <w:szCs w:val="21"/>
              </w:rPr>
            </w:pPr>
          </w:p>
        </w:tc>
        <w:tc>
          <w:tcPr>
            <w:tcW w:w="1117" w:type="dxa"/>
            <w:tcBorders>
              <w:top w:val="single" w:color="auto" w:sz="6" w:space="0"/>
              <w:left w:val="single" w:color="auto" w:sz="6" w:space="0"/>
              <w:bottom w:val="single" w:color="auto" w:sz="6" w:space="0"/>
              <w:right w:val="single" w:color="auto" w:sz="6" w:space="0"/>
            </w:tcBorders>
            <w:noWrap/>
            <w:vAlign w:val="center"/>
          </w:tcPr>
          <w:p w14:paraId="519C359C">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老鼠</w:t>
            </w:r>
          </w:p>
        </w:tc>
        <w:tc>
          <w:tcPr>
            <w:tcW w:w="2422" w:type="dxa"/>
            <w:tcBorders>
              <w:top w:val="single" w:color="auto" w:sz="6" w:space="0"/>
              <w:left w:val="single" w:color="auto" w:sz="6" w:space="0"/>
              <w:bottom w:val="single" w:color="auto" w:sz="6" w:space="0"/>
              <w:right w:val="single" w:color="auto" w:sz="6" w:space="0"/>
            </w:tcBorders>
            <w:noWrap/>
            <w:vAlign w:val="center"/>
          </w:tcPr>
          <w:p w14:paraId="7CB4897E">
            <w:pPr>
              <w:snapToGrid w:val="0"/>
              <w:spacing w:line="240" w:lineRule="auto"/>
              <w:ind w:firstLine="0" w:firstLineChars="0"/>
              <w:rPr>
                <w:rFonts w:hint="eastAsia" w:ascii="宋体" w:hAnsi="宋体" w:eastAsia="宋体" w:cs="宋体"/>
                <w:color w:val="auto"/>
                <w:kern w:val="2"/>
                <w:sz w:val="21"/>
                <w:szCs w:val="21"/>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378C32A7">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于老鼠经常出没之地投放鼠药毒饵两次，几种鼠药轮换投放。</w:t>
            </w: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761DD5D4">
            <w:pPr>
              <w:spacing w:line="240" w:lineRule="auto"/>
              <w:ind w:firstLine="0" w:firstLineChars="0"/>
              <w:jc w:val="both"/>
              <w:rPr>
                <w:rFonts w:hint="eastAsia" w:ascii="宋体" w:hAnsi="宋体" w:eastAsia="宋体" w:cs="宋体"/>
                <w:color w:val="auto"/>
                <w:kern w:val="2"/>
                <w:sz w:val="21"/>
                <w:szCs w:val="21"/>
              </w:rPr>
            </w:pPr>
          </w:p>
        </w:tc>
      </w:tr>
      <w:tr w14:paraId="3F911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restart"/>
            <w:tcBorders>
              <w:top w:val="single" w:color="auto" w:sz="6" w:space="0"/>
              <w:left w:val="single" w:color="auto" w:sz="6" w:space="0"/>
              <w:bottom w:val="single" w:color="auto" w:sz="6" w:space="0"/>
              <w:right w:val="single" w:color="auto" w:sz="6" w:space="0"/>
            </w:tcBorders>
            <w:noWrap/>
            <w:vAlign w:val="center"/>
          </w:tcPr>
          <w:p w14:paraId="447F4758">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691" w:type="dxa"/>
            <w:vMerge w:val="restart"/>
            <w:tcBorders>
              <w:top w:val="single" w:color="auto" w:sz="6" w:space="0"/>
              <w:left w:val="single" w:color="auto" w:sz="6" w:space="0"/>
              <w:bottom w:val="single" w:color="auto" w:sz="6" w:space="0"/>
              <w:right w:val="single" w:color="auto" w:sz="6" w:space="0"/>
            </w:tcBorders>
            <w:noWrap/>
            <w:vAlign w:val="center"/>
          </w:tcPr>
          <w:p w14:paraId="042ABAA8">
            <w:pPr>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污水井污水沟</w:t>
            </w:r>
          </w:p>
        </w:tc>
        <w:tc>
          <w:tcPr>
            <w:tcW w:w="1117" w:type="dxa"/>
            <w:tcBorders>
              <w:top w:val="single" w:color="auto" w:sz="6" w:space="0"/>
              <w:left w:val="single" w:color="auto" w:sz="6" w:space="0"/>
              <w:bottom w:val="single" w:color="auto" w:sz="6" w:space="0"/>
              <w:right w:val="single" w:color="auto" w:sz="6" w:space="0"/>
            </w:tcBorders>
            <w:noWrap/>
            <w:vAlign w:val="center"/>
          </w:tcPr>
          <w:p w14:paraId="055D0413">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蟑螂</w:t>
            </w:r>
          </w:p>
        </w:tc>
        <w:tc>
          <w:tcPr>
            <w:tcW w:w="2422" w:type="dxa"/>
            <w:tcBorders>
              <w:top w:val="single" w:color="auto" w:sz="6" w:space="0"/>
              <w:left w:val="single" w:color="auto" w:sz="6" w:space="0"/>
              <w:bottom w:val="single" w:color="auto" w:sz="6" w:space="0"/>
              <w:right w:val="single" w:color="auto" w:sz="6" w:space="0"/>
            </w:tcBorders>
            <w:noWrap/>
            <w:vAlign w:val="center"/>
          </w:tcPr>
          <w:p w14:paraId="2DCB92E9">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10%爱克宁、奋斗呐粉剂、拜力坦浮油交替喷洒到蟑螂藏藏身的洞穴、缝隙、角落、墙角等处，每周二次</w:t>
            </w:r>
          </w:p>
        </w:tc>
        <w:tc>
          <w:tcPr>
            <w:tcW w:w="2450" w:type="dxa"/>
            <w:tcBorders>
              <w:top w:val="single" w:color="auto" w:sz="6" w:space="0"/>
              <w:left w:val="single" w:color="auto" w:sz="6" w:space="0"/>
              <w:bottom w:val="single" w:color="auto" w:sz="6" w:space="0"/>
              <w:right w:val="single" w:color="auto" w:sz="6" w:space="0"/>
            </w:tcBorders>
            <w:noWrap/>
            <w:vAlign w:val="center"/>
          </w:tcPr>
          <w:p w14:paraId="775442A5">
            <w:pPr>
              <w:snapToGrid w:val="0"/>
              <w:spacing w:line="240" w:lineRule="auto"/>
              <w:ind w:firstLine="0" w:firstLineChars="0"/>
              <w:rPr>
                <w:rFonts w:hint="eastAsia" w:ascii="宋体" w:hAnsi="宋体" w:eastAsia="宋体" w:cs="宋体"/>
                <w:color w:val="auto"/>
                <w:kern w:val="2"/>
                <w:sz w:val="21"/>
                <w:szCs w:val="21"/>
              </w:rPr>
            </w:pP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4D144529">
            <w:pPr>
              <w:spacing w:line="240" w:lineRule="auto"/>
              <w:ind w:firstLine="0" w:firstLineChars="0"/>
              <w:jc w:val="both"/>
              <w:rPr>
                <w:rFonts w:hint="eastAsia" w:ascii="宋体" w:hAnsi="宋体" w:eastAsia="宋体" w:cs="宋体"/>
                <w:color w:val="auto"/>
                <w:kern w:val="2"/>
                <w:sz w:val="21"/>
                <w:szCs w:val="21"/>
              </w:rPr>
            </w:pPr>
          </w:p>
        </w:tc>
      </w:tr>
      <w:tr w14:paraId="271F7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continue"/>
            <w:tcBorders>
              <w:top w:val="single" w:color="auto" w:sz="6" w:space="0"/>
              <w:left w:val="single" w:color="auto" w:sz="6" w:space="0"/>
              <w:bottom w:val="single" w:color="auto" w:sz="6" w:space="0"/>
              <w:right w:val="single" w:color="auto" w:sz="6" w:space="0"/>
            </w:tcBorders>
            <w:noWrap/>
            <w:vAlign w:val="center"/>
          </w:tcPr>
          <w:p w14:paraId="6FB01EFF">
            <w:pPr>
              <w:spacing w:line="240" w:lineRule="auto"/>
              <w:ind w:firstLine="0" w:firstLineChars="0"/>
              <w:jc w:val="both"/>
              <w:rPr>
                <w:rFonts w:hint="eastAsia" w:ascii="宋体" w:hAnsi="宋体" w:eastAsia="宋体" w:cs="宋体"/>
                <w:color w:val="auto"/>
                <w:kern w:val="2"/>
                <w:sz w:val="21"/>
                <w:szCs w:val="21"/>
              </w:rPr>
            </w:pPr>
          </w:p>
        </w:tc>
        <w:tc>
          <w:tcPr>
            <w:tcW w:w="691" w:type="dxa"/>
            <w:vMerge w:val="continue"/>
            <w:tcBorders>
              <w:top w:val="single" w:color="auto" w:sz="6" w:space="0"/>
              <w:left w:val="single" w:color="auto" w:sz="6" w:space="0"/>
              <w:bottom w:val="single" w:color="auto" w:sz="6" w:space="0"/>
              <w:right w:val="single" w:color="auto" w:sz="6" w:space="0"/>
            </w:tcBorders>
            <w:noWrap/>
            <w:vAlign w:val="center"/>
          </w:tcPr>
          <w:p w14:paraId="0D61D590">
            <w:pPr>
              <w:spacing w:line="240" w:lineRule="auto"/>
              <w:ind w:firstLine="0" w:firstLineChars="0"/>
              <w:jc w:val="both"/>
              <w:rPr>
                <w:rFonts w:hint="eastAsia" w:ascii="宋体" w:hAnsi="宋体" w:eastAsia="宋体" w:cs="宋体"/>
                <w:color w:val="auto"/>
                <w:kern w:val="2"/>
                <w:sz w:val="21"/>
                <w:szCs w:val="21"/>
              </w:rPr>
            </w:pPr>
          </w:p>
        </w:tc>
        <w:tc>
          <w:tcPr>
            <w:tcW w:w="1117" w:type="dxa"/>
            <w:tcBorders>
              <w:top w:val="single" w:color="auto" w:sz="6" w:space="0"/>
              <w:left w:val="single" w:color="auto" w:sz="6" w:space="0"/>
              <w:bottom w:val="single" w:color="auto" w:sz="6" w:space="0"/>
              <w:right w:val="single" w:color="auto" w:sz="6" w:space="0"/>
            </w:tcBorders>
            <w:noWrap/>
            <w:vAlign w:val="center"/>
          </w:tcPr>
          <w:p w14:paraId="3B93DA0D">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“四害”消杀</w:t>
            </w:r>
          </w:p>
        </w:tc>
        <w:tc>
          <w:tcPr>
            <w:tcW w:w="2422" w:type="dxa"/>
            <w:tcBorders>
              <w:top w:val="single" w:color="auto" w:sz="6" w:space="0"/>
              <w:left w:val="single" w:color="auto" w:sz="6" w:space="0"/>
              <w:bottom w:val="single" w:color="auto" w:sz="6" w:space="0"/>
              <w:right w:val="single" w:color="auto" w:sz="6" w:space="0"/>
            </w:tcBorders>
            <w:noWrap/>
            <w:vAlign w:val="center"/>
          </w:tcPr>
          <w:p w14:paraId="0052AE3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用家虫清、奋斗呐悬浮剂喷洒二次</w:t>
            </w:r>
          </w:p>
        </w:tc>
        <w:tc>
          <w:tcPr>
            <w:tcW w:w="2450" w:type="dxa"/>
            <w:tcBorders>
              <w:top w:val="single" w:color="auto" w:sz="6" w:space="0"/>
              <w:left w:val="single" w:color="auto" w:sz="6" w:space="0"/>
              <w:bottom w:val="single" w:color="auto" w:sz="6" w:space="0"/>
              <w:right w:val="single" w:color="auto" w:sz="6" w:space="0"/>
            </w:tcBorders>
            <w:noWrap/>
            <w:vAlign w:val="center"/>
          </w:tcPr>
          <w:p w14:paraId="1C6D7A8A">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每周用球形芽孢喷洒两次。</w:t>
            </w: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11C38E31">
            <w:pPr>
              <w:spacing w:line="240" w:lineRule="auto"/>
              <w:ind w:firstLine="0" w:firstLineChars="0"/>
              <w:jc w:val="both"/>
              <w:rPr>
                <w:rFonts w:hint="eastAsia" w:ascii="宋体" w:hAnsi="宋体" w:eastAsia="宋体" w:cs="宋体"/>
                <w:color w:val="auto"/>
                <w:kern w:val="2"/>
                <w:sz w:val="21"/>
                <w:szCs w:val="21"/>
              </w:rPr>
            </w:pPr>
          </w:p>
        </w:tc>
      </w:tr>
      <w:tr w14:paraId="78DEC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tcBorders>
              <w:top w:val="single" w:color="auto" w:sz="6" w:space="0"/>
              <w:left w:val="single" w:color="auto" w:sz="6" w:space="0"/>
              <w:bottom w:val="single" w:color="auto" w:sz="6" w:space="0"/>
              <w:right w:val="single" w:color="auto" w:sz="6" w:space="0"/>
            </w:tcBorders>
            <w:noWrap/>
            <w:vAlign w:val="center"/>
          </w:tcPr>
          <w:p w14:paraId="7E3BACA0">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w:t>
            </w:r>
          </w:p>
        </w:tc>
        <w:tc>
          <w:tcPr>
            <w:tcW w:w="691" w:type="dxa"/>
            <w:tcBorders>
              <w:top w:val="single" w:color="auto" w:sz="6" w:space="0"/>
              <w:left w:val="single" w:color="auto" w:sz="6" w:space="0"/>
              <w:bottom w:val="single" w:color="auto" w:sz="6" w:space="0"/>
              <w:right w:val="single" w:color="auto" w:sz="6" w:space="0"/>
            </w:tcBorders>
            <w:noWrap/>
            <w:vAlign w:val="center"/>
          </w:tcPr>
          <w:p w14:paraId="4CCD6B67">
            <w:pPr>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污水井</w:t>
            </w:r>
          </w:p>
        </w:tc>
        <w:tc>
          <w:tcPr>
            <w:tcW w:w="1117" w:type="dxa"/>
            <w:tcBorders>
              <w:top w:val="single" w:color="auto" w:sz="6" w:space="0"/>
              <w:left w:val="single" w:color="auto" w:sz="6" w:space="0"/>
              <w:bottom w:val="single" w:color="auto" w:sz="6" w:space="0"/>
              <w:right w:val="single" w:color="auto" w:sz="6" w:space="0"/>
            </w:tcBorders>
            <w:noWrap/>
            <w:vAlign w:val="center"/>
          </w:tcPr>
          <w:p w14:paraId="6E0F50A2">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老鼠</w:t>
            </w:r>
          </w:p>
        </w:tc>
        <w:tc>
          <w:tcPr>
            <w:tcW w:w="2422" w:type="dxa"/>
            <w:tcBorders>
              <w:top w:val="single" w:color="auto" w:sz="6" w:space="0"/>
              <w:left w:val="single" w:color="auto" w:sz="6" w:space="0"/>
              <w:bottom w:val="single" w:color="auto" w:sz="6" w:space="0"/>
              <w:right w:val="single" w:color="auto" w:sz="6" w:space="0"/>
            </w:tcBorders>
            <w:noWrap/>
            <w:vAlign w:val="center"/>
          </w:tcPr>
          <w:p w14:paraId="2DE53DCF">
            <w:pPr>
              <w:snapToGrid w:val="0"/>
              <w:spacing w:line="240" w:lineRule="auto"/>
              <w:ind w:firstLine="0" w:firstLineChars="0"/>
              <w:rPr>
                <w:rFonts w:hint="eastAsia" w:ascii="宋体" w:hAnsi="宋体" w:eastAsia="宋体" w:cs="宋体"/>
                <w:color w:val="auto"/>
                <w:kern w:val="2"/>
                <w:sz w:val="21"/>
                <w:szCs w:val="21"/>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38617DB5">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于老鼠经常出没之地投放鼠药毒饵两次，几种鼠药轮换投放。</w:t>
            </w: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25A92E67">
            <w:pPr>
              <w:spacing w:line="240" w:lineRule="auto"/>
              <w:ind w:firstLine="0" w:firstLineChars="0"/>
              <w:jc w:val="both"/>
              <w:rPr>
                <w:rFonts w:hint="eastAsia" w:ascii="宋体" w:hAnsi="宋体" w:eastAsia="宋体" w:cs="宋体"/>
                <w:color w:val="auto"/>
                <w:kern w:val="2"/>
                <w:sz w:val="21"/>
                <w:szCs w:val="21"/>
              </w:rPr>
            </w:pPr>
          </w:p>
        </w:tc>
      </w:tr>
      <w:tr w14:paraId="4EBE3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restart"/>
            <w:tcBorders>
              <w:top w:val="single" w:color="auto" w:sz="6" w:space="0"/>
              <w:left w:val="single" w:color="auto" w:sz="6" w:space="0"/>
              <w:bottom w:val="single" w:color="auto" w:sz="6" w:space="0"/>
              <w:right w:val="single" w:color="auto" w:sz="6" w:space="0"/>
            </w:tcBorders>
            <w:noWrap/>
            <w:vAlign w:val="center"/>
          </w:tcPr>
          <w:p w14:paraId="7FD456A5">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w:t>
            </w:r>
          </w:p>
        </w:tc>
        <w:tc>
          <w:tcPr>
            <w:tcW w:w="691" w:type="dxa"/>
            <w:vMerge w:val="restart"/>
            <w:tcBorders>
              <w:top w:val="single" w:color="auto" w:sz="6" w:space="0"/>
              <w:left w:val="single" w:color="auto" w:sz="6" w:space="0"/>
              <w:bottom w:val="single" w:color="auto" w:sz="6" w:space="0"/>
              <w:right w:val="single" w:color="auto" w:sz="6" w:space="0"/>
            </w:tcBorders>
            <w:noWrap/>
            <w:vAlign w:val="center"/>
          </w:tcPr>
          <w:p w14:paraId="3529B417">
            <w:pPr>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垃圾中转站</w:t>
            </w:r>
          </w:p>
        </w:tc>
        <w:tc>
          <w:tcPr>
            <w:tcW w:w="1117" w:type="dxa"/>
            <w:tcBorders>
              <w:top w:val="single" w:color="auto" w:sz="6" w:space="0"/>
              <w:left w:val="single" w:color="auto" w:sz="6" w:space="0"/>
              <w:bottom w:val="single" w:color="auto" w:sz="6" w:space="0"/>
              <w:right w:val="single" w:color="auto" w:sz="6" w:space="0"/>
            </w:tcBorders>
            <w:noWrap/>
            <w:vAlign w:val="center"/>
          </w:tcPr>
          <w:p w14:paraId="2E715C5A">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蟑螂</w:t>
            </w:r>
          </w:p>
        </w:tc>
        <w:tc>
          <w:tcPr>
            <w:tcW w:w="2422" w:type="dxa"/>
            <w:tcBorders>
              <w:top w:val="single" w:color="auto" w:sz="6" w:space="0"/>
              <w:left w:val="single" w:color="auto" w:sz="6" w:space="0"/>
              <w:bottom w:val="single" w:color="auto" w:sz="6" w:space="0"/>
              <w:right w:val="single" w:color="auto" w:sz="6" w:space="0"/>
            </w:tcBorders>
            <w:noWrap/>
            <w:vAlign w:val="center"/>
          </w:tcPr>
          <w:p w14:paraId="51A5809C">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10%爱克宁、奋斗呐粉剂、拜力坦浮油交替喷洒到蟑螂藏藏身的洞穴、缝隙、角落、墙角等处，每周一次</w:t>
            </w:r>
          </w:p>
        </w:tc>
        <w:tc>
          <w:tcPr>
            <w:tcW w:w="2450" w:type="dxa"/>
            <w:tcBorders>
              <w:top w:val="single" w:color="auto" w:sz="6" w:space="0"/>
              <w:left w:val="single" w:color="auto" w:sz="6" w:space="0"/>
              <w:bottom w:val="single" w:color="auto" w:sz="6" w:space="0"/>
              <w:right w:val="single" w:color="auto" w:sz="6" w:space="0"/>
            </w:tcBorders>
            <w:noWrap/>
            <w:vAlign w:val="center"/>
          </w:tcPr>
          <w:p w14:paraId="6A0C06DE">
            <w:pPr>
              <w:snapToGrid w:val="0"/>
              <w:spacing w:line="240" w:lineRule="auto"/>
              <w:ind w:firstLine="0" w:firstLineChars="0"/>
              <w:rPr>
                <w:rFonts w:hint="eastAsia" w:ascii="宋体" w:hAnsi="宋体" w:eastAsia="宋体" w:cs="宋体"/>
                <w:color w:val="auto"/>
                <w:kern w:val="2"/>
                <w:sz w:val="21"/>
                <w:szCs w:val="21"/>
              </w:rPr>
            </w:pP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505E21C1">
            <w:pPr>
              <w:spacing w:line="240" w:lineRule="auto"/>
              <w:ind w:firstLine="0" w:firstLineChars="0"/>
              <w:jc w:val="both"/>
              <w:rPr>
                <w:rFonts w:hint="eastAsia" w:ascii="宋体" w:hAnsi="宋体" w:eastAsia="宋体" w:cs="宋体"/>
                <w:color w:val="auto"/>
                <w:kern w:val="2"/>
                <w:sz w:val="21"/>
                <w:szCs w:val="21"/>
              </w:rPr>
            </w:pPr>
          </w:p>
        </w:tc>
      </w:tr>
      <w:tr w14:paraId="42948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continue"/>
            <w:tcBorders>
              <w:top w:val="single" w:color="auto" w:sz="6" w:space="0"/>
              <w:left w:val="single" w:color="auto" w:sz="6" w:space="0"/>
              <w:bottom w:val="single" w:color="auto" w:sz="6" w:space="0"/>
              <w:right w:val="single" w:color="auto" w:sz="6" w:space="0"/>
            </w:tcBorders>
            <w:noWrap/>
            <w:vAlign w:val="center"/>
          </w:tcPr>
          <w:p w14:paraId="714194AC">
            <w:pPr>
              <w:spacing w:line="240" w:lineRule="auto"/>
              <w:ind w:firstLine="0" w:firstLineChars="0"/>
              <w:jc w:val="both"/>
              <w:rPr>
                <w:rFonts w:hint="eastAsia" w:ascii="宋体" w:hAnsi="宋体" w:eastAsia="宋体" w:cs="宋体"/>
                <w:color w:val="auto"/>
                <w:kern w:val="2"/>
                <w:sz w:val="21"/>
                <w:szCs w:val="21"/>
              </w:rPr>
            </w:pPr>
          </w:p>
        </w:tc>
        <w:tc>
          <w:tcPr>
            <w:tcW w:w="691" w:type="dxa"/>
            <w:vMerge w:val="continue"/>
            <w:tcBorders>
              <w:top w:val="single" w:color="auto" w:sz="6" w:space="0"/>
              <w:left w:val="single" w:color="auto" w:sz="6" w:space="0"/>
              <w:bottom w:val="single" w:color="auto" w:sz="6" w:space="0"/>
              <w:right w:val="single" w:color="auto" w:sz="6" w:space="0"/>
            </w:tcBorders>
            <w:noWrap/>
            <w:vAlign w:val="center"/>
          </w:tcPr>
          <w:p w14:paraId="7C6720F8">
            <w:pPr>
              <w:spacing w:line="240" w:lineRule="auto"/>
              <w:ind w:firstLine="0" w:firstLineChars="0"/>
              <w:jc w:val="both"/>
              <w:rPr>
                <w:rFonts w:hint="eastAsia" w:ascii="宋体" w:hAnsi="宋体" w:eastAsia="宋体" w:cs="宋体"/>
                <w:color w:val="auto"/>
                <w:kern w:val="2"/>
                <w:sz w:val="21"/>
                <w:szCs w:val="21"/>
              </w:rPr>
            </w:pPr>
          </w:p>
        </w:tc>
        <w:tc>
          <w:tcPr>
            <w:tcW w:w="1117" w:type="dxa"/>
            <w:tcBorders>
              <w:top w:val="single" w:color="auto" w:sz="6" w:space="0"/>
              <w:left w:val="single" w:color="auto" w:sz="6" w:space="0"/>
              <w:bottom w:val="single" w:color="auto" w:sz="6" w:space="0"/>
              <w:right w:val="single" w:color="auto" w:sz="6" w:space="0"/>
            </w:tcBorders>
            <w:noWrap/>
            <w:vAlign w:val="center"/>
          </w:tcPr>
          <w:p w14:paraId="0276075A">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蚊、蝇</w:t>
            </w:r>
          </w:p>
        </w:tc>
        <w:tc>
          <w:tcPr>
            <w:tcW w:w="2422" w:type="dxa"/>
            <w:tcBorders>
              <w:top w:val="single" w:color="auto" w:sz="6" w:space="0"/>
              <w:left w:val="single" w:color="auto" w:sz="6" w:space="0"/>
              <w:bottom w:val="single" w:color="auto" w:sz="6" w:space="0"/>
              <w:right w:val="single" w:color="auto" w:sz="6" w:space="0"/>
            </w:tcBorders>
            <w:noWrap/>
            <w:vAlign w:val="center"/>
          </w:tcPr>
          <w:p w14:paraId="1B467D1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用家虫清、奋斗呐悬浮剂喷洒一次</w:t>
            </w:r>
          </w:p>
        </w:tc>
        <w:tc>
          <w:tcPr>
            <w:tcW w:w="2450" w:type="dxa"/>
            <w:tcBorders>
              <w:top w:val="single" w:color="auto" w:sz="6" w:space="0"/>
              <w:left w:val="single" w:color="auto" w:sz="6" w:space="0"/>
              <w:bottom w:val="single" w:color="auto" w:sz="6" w:space="0"/>
              <w:right w:val="single" w:color="auto" w:sz="6" w:space="0"/>
            </w:tcBorders>
            <w:noWrap/>
            <w:vAlign w:val="center"/>
          </w:tcPr>
          <w:p w14:paraId="0C973118">
            <w:pPr>
              <w:snapToGrid w:val="0"/>
              <w:spacing w:line="240" w:lineRule="auto"/>
              <w:ind w:firstLine="0" w:firstLineChars="0"/>
              <w:rPr>
                <w:rFonts w:hint="eastAsia" w:ascii="宋体" w:hAnsi="宋体" w:eastAsia="宋体" w:cs="宋体"/>
                <w:color w:val="auto"/>
                <w:kern w:val="2"/>
                <w:sz w:val="21"/>
                <w:szCs w:val="21"/>
              </w:rPr>
            </w:pP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6A8E5C1C">
            <w:pPr>
              <w:spacing w:line="240" w:lineRule="auto"/>
              <w:ind w:firstLine="0" w:firstLineChars="0"/>
              <w:jc w:val="both"/>
              <w:rPr>
                <w:rFonts w:hint="eastAsia" w:ascii="宋体" w:hAnsi="宋体" w:eastAsia="宋体" w:cs="宋体"/>
                <w:color w:val="auto"/>
                <w:kern w:val="2"/>
                <w:sz w:val="21"/>
                <w:szCs w:val="21"/>
              </w:rPr>
            </w:pPr>
          </w:p>
        </w:tc>
      </w:tr>
      <w:tr w14:paraId="7C6C8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continue"/>
            <w:tcBorders>
              <w:top w:val="single" w:color="auto" w:sz="6" w:space="0"/>
              <w:left w:val="single" w:color="auto" w:sz="6" w:space="0"/>
              <w:bottom w:val="single" w:color="auto" w:sz="6" w:space="0"/>
              <w:right w:val="single" w:color="auto" w:sz="6" w:space="0"/>
            </w:tcBorders>
            <w:noWrap/>
            <w:vAlign w:val="center"/>
          </w:tcPr>
          <w:p w14:paraId="05373E44">
            <w:pPr>
              <w:spacing w:line="240" w:lineRule="auto"/>
              <w:ind w:firstLine="0" w:firstLineChars="0"/>
              <w:jc w:val="both"/>
              <w:rPr>
                <w:rFonts w:hint="eastAsia" w:ascii="宋体" w:hAnsi="宋体" w:eastAsia="宋体" w:cs="宋体"/>
                <w:color w:val="auto"/>
                <w:kern w:val="2"/>
                <w:sz w:val="21"/>
                <w:szCs w:val="21"/>
              </w:rPr>
            </w:pPr>
          </w:p>
        </w:tc>
        <w:tc>
          <w:tcPr>
            <w:tcW w:w="691" w:type="dxa"/>
            <w:vMerge w:val="continue"/>
            <w:tcBorders>
              <w:top w:val="single" w:color="auto" w:sz="6" w:space="0"/>
              <w:left w:val="single" w:color="auto" w:sz="6" w:space="0"/>
              <w:bottom w:val="single" w:color="auto" w:sz="6" w:space="0"/>
              <w:right w:val="single" w:color="auto" w:sz="6" w:space="0"/>
            </w:tcBorders>
            <w:noWrap/>
            <w:vAlign w:val="center"/>
          </w:tcPr>
          <w:p w14:paraId="42ABD5C6">
            <w:pPr>
              <w:spacing w:line="240" w:lineRule="auto"/>
              <w:ind w:firstLine="0" w:firstLineChars="0"/>
              <w:jc w:val="both"/>
              <w:rPr>
                <w:rFonts w:hint="eastAsia" w:ascii="宋体" w:hAnsi="宋体" w:eastAsia="宋体" w:cs="宋体"/>
                <w:color w:val="auto"/>
                <w:kern w:val="2"/>
                <w:sz w:val="21"/>
                <w:szCs w:val="21"/>
              </w:rPr>
            </w:pPr>
          </w:p>
        </w:tc>
        <w:tc>
          <w:tcPr>
            <w:tcW w:w="1117" w:type="dxa"/>
            <w:tcBorders>
              <w:top w:val="single" w:color="auto" w:sz="6" w:space="0"/>
              <w:left w:val="single" w:color="auto" w:sz="6" w:space="0"/>
              <w:bottom w:val="single" w:color="auto" w:sz="6" w:space="0"/>
              <w:right w:val="single" w:color="auto" w:sz="6" w:space="0"/>
            </w:tcBorders>
            <w:noWrap/>
            <w:vAlign w:val="center"/>
          </w:tcPr>
          <w:p w14:paraId="2BCC765C">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老鼠</w:t>
            </w:r>
          </w:p>
        </w:tc>
        <w:tc>
          <w:tcPr>
            <w:tcW w:w="2422" w:type="dxa"/>
            <w:tcBorders>
              <w:top w:val="single" w:color="auto" w:sz="6" w:space="0"/>
              <w:left w:val="single" w:color="auto" w:sz="6" w:space="0"/>
              <w:bottom w:val="single" w:color="auto" w:sz="6" w:space="0"/>
              <w:right w:val="single" w:color="auto" w:sz="6" w:space="0"/>
            </w:tcBorders>
            <w:noWrap/>
            <w:vAlign w:val="center"/>
          </w:tcPr>
          <w:p w14:paraId="1E026E46">
            <w:pPr>
              <w:snapToGrid w:val="0"/>
              <w:spacing w:line="240" w:lineRule="auto"/>
              <w:ind w:firstLine="0" w:firstLineChars="0"/>
              <w:rPr>
                <w:rFonts w:hint="eastAsia" w:ascii="宋体" w:hAnsi="宋体" w:eastAsia="宋体" w:cs="宋体"/>
                <w:color w:val="auto"/>
                <w:kern w:val="2"/>
                <w:sz w:val="21"/>
                <w:szCs w:val="21"/>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424B5FBD">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投放鼠必杀两次</w:t>
            </w: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22FDC63D">
            <w:pPr>
              <w:spacing w:line="240" w:lineRule="auto"/>
              <w:ind w:firstLine="0" w:firstLineChars="0"/>
              <w:jc w:val="both"/>
              <w:rPr>
                <w:rFonts w:hint="eastAsia" w:ascii="宋体" w:hAnsi="宋体" w:eastAsia="宋体" w:cs="宋体"/>
                <w:color w:val="auto"/>
                <w:kern w:val="2"/>
                <w:sz w:val="21"/>
                <w:szCs w:val="21"/>
              </w:rPr>
            </w:pPr>
          </w:p>
        </w:tc>
      </w:tr>
      <w:tr w14:paraId="3FCCA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tcBorders>
              <w:top w:val="single" w:color="auto" w:sz="6" w:space="0"/>
              <w:left w:val="single" w:color="auto" w:sz="6" w:space="0"/>
              <w:bottom w:val="single" w:color="auto" w:sz="6" w:space="0"/>
              <w:right w:val="single" w:color="auto" w:sz="6" w:space="0"/>
            </w:tcBorders>
            <w:noWrap/>
            <w:vAlign w:val="center"/>
          </w:tcPr>
          <w:p w14:paraId="4CA1ABFD">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6</w:t>
            </w:r>
          </w:p>
        </w:tc>
        <w:tc>
          <w:tcPr>
            <w:tcW w:w="691" w:type="dxa"/>
            <w:tcBorders>
              <w:top w:val="single" w:color="auto" w:sz="6" w:space="0"/>
              <w:left w:val="single" w:color="auto" w:sz="6" w:space="0"/>
              <w:bottom w:val="single" w:color="auto" w:sz="6" w:space="0"/>
              <w:right w:val="single" w:color="auto" w:sz="6" w:space="0"/>
            </w:tcBorders>
            <w:noWrap/>
            <w:vAlign w:val="center"/>
          </w:tcPr>
          <w:p w14:paraId="01952E07">
            <w:pPr>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建筑物内外</w:t>
            </w:r>
          </w:p>
        </w:tc>
        <w:tc>
          <w:tcPr>
            <w:tcW w:w="1117" w:type="dxa"/>
            <w:tcBorders>
              <w:top w:val="single" w:color="auto" w:sz="6" w:space="0"/>
              <w:left w:val="single" w:color="auto" w:sz="6" w:space="0"/>
              <w:bottom w:val="single" w:color="auto" w:sz="6" w:space="0"/>
              <w:right w:val="single" w:color="auto" w:sz="6" w:space="0"/>
            </w:tcBorders>
            <w:noWrap/>
            <w:vAlign w:val="center"/>
          </w:tcPr>
          <w:p w14:paraId="44A604C8">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白蚁</w:t>
            </w:r>
          </w:p>
        </w:tc>
        <w:tc>
          <w:tcPr>
            <w:tcW w:w="2422" w:type="dxa"/>
            <w:tcBorders>
              <w:top w:val="single" w:color="auto" w:sz="6" w:space="0"/>
              <w:left w:val="single" w:color="auto" w:sz="6" w:space="0"/>
              <w:bottom w:val="single" w:color="auto" w:sz="6" w:space="0"/>
              <w:right w:val="single" w:color="auto" w:sz="6" w:space="0"/>
            </w:tcBorders>
            <w:noWrap/>
            <w:vAlign w:val="center"/>
          </w:tcPr>
          <w:p w14:paraId="1563FA69">
            <w:pPr>
              <w:snapToGrid w:val="0"/>
              <w:spacing w:line="240" w:lineRule="auto"/>
              <w:ind w:firstLine="0" w:firstLineChars="0"/>
              <w:rPr>
                <w:rFonts w:hint="eastAsia" w:ascii="宋体" w:hAnsi="宋体" w:eastAsia="宋体" w:cs="宋体"/>
                <w:color w:val="auto"/>
                <w:kern w:val="2"/>
                <w:sz w:val="21"/>
                <w:szCs w:val="21"/>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3EEF0A60">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利用其生活习性和活动规律找巢，或利用药物借助于白蚁习性在群体内进行扩散，最后使全巢白蚁死亡，具体做法：用毒死蜱、灭蚁灵等进行诱杀、毒杀一次。</w:t>
            </w: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3E10E49F">
            <w:pPr>
              <w:spacing w:line="240" w:lineRule="auto"/>
              <w:ind w:firstLine="0" w:firstLineChars="0"/>
              <w:jc w:val="both"/>
              <w:rPr>
                <w:rFonts w:hint="eastAsia" w:ascii="宋体" w:hAnsi="宋体" w:eastAsia="宋体" w:cs="宋体"/>
                <w:color w:val="auto"/>
                <w:kern w:val="2"/>
                <w:sz w:val="21"/>
                <w:szCs w:val="21"/>
              </w:rPr>
            </w:pPr>
          </w:p>
        </w:tc>
      </w:tr>
    </w:tbl>
    <w:p w14:paraId="6E04A107">
      <w:pPr>
        <w:numPr>
          <w:ilvl w:val="0"/>
          <w:numId w:val="9"/>
        </w:numPr>
        <w:spacing w:line="360" w:lineRule="auto"/>
        <w:ind w:left="0"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对于突发事件引起的情况（如恶性传染病或者流感等），应做好管理区域内的卫生及日常消杀、消毒工作，确保工作环境安全。</w:t>
      </w:r>
    </w:p>
    <w:p w14:paraId="096C3405">
      <w:pPr>
        <w:numPr>
          <w:ilvl w:val="0"/>
          <w:numId w:val="9"/>
        </w:numPr>
        <w:spacing w:line="360" w:lineRule="auto"/>
        <w:ind w:left="0"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公共区域卫生间消耗品要求与标准</w:t>
      </w:r>
    </w:p>
    <w:p w14:paraId="6DF3BFA9">
      <w:pPr>
        <w:numPr>
          <w:ilvl w:val="-1"/>
          <w:numId w:val="0"/>
        </w:numPr>
        <w:spacing w:line="360" w:lineRule="auto"/>
        <w:ind w:lef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公共区域卫生间消耗品实行按需提供方式，中标人应按实际情况根据日常或特殊时期的使用习惯提供足够的卫生间消耗品（一般为平时每日3次，节假日每日2次，实际使用过程中应按需调整卫生消耗品的提供次数和用量）。</w:t>
      </w:r>
    </w:p>
    <w:p w14:paraId="1299BFFA">
      <w:pPr>
        <w:numPr>
          <w:ilvl w:val="-1"/>
          <w:numId w:val="0"/>
        </w:numPr>
        <w:spacing w:line="360" w:lineRule="auto"/>
        <w:ind w:left="420" w:firstLine="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卫生消耗品的品牌质量档次不得低于以下参考品牌：</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2826"/>
        <w:gridCol w:w="3935"/>
      </w:tblGrid>
      <w:tr w14:paraId="71DF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noWrap w:val="0"/>
            <w:vAlign w:val="top"/>
          </w:tcPr>
          <w:p w14:paraId="176AC222">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序号</w:t>
            </w:r>
          </w:p>
        </w:tc>
        <w:tc>
          <w:tcPr>
            <w:tcW w:w="2826" w:type="dxa"/>
            <w:noWrap w:val="0"/>
            <w:vAlign w:val="top"/>
          </w:tcPr>
          <w:p w14:paraId="3BD35199">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消耗品名称</w:t>
            </w:r>
          </w:p>
        </w:tc>
        <w:tc>
          <w:tcPr>
            <w:tcW w:w="3935" w:type="dxa"/>
            <w:noWrap w:val="0"/>
            <w:vAlign w:val="top"/>
          </w:tcPr>
          <w:p w14:paraId="4330A9B5">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参考品牌</w:t>
            </w:r>
          </w:p>
        </w:tc>
      </w:tr>
      <w:tr w14:paraId="201A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noWrap w:val="0"/>
            <w:vAlign w:val="top"/>
          </w:tcPr>
          <w:p w14:paraId="7DD8375C">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2826" w:type="dxa"/>
            <w:noWrap w:val="0"/>
            <w:vAlign w:val="top"/>
          </w:tcPr>
          <w:p w14:paraId="3F939183">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清洁剂</w:t>
            </w:r>
          </w:p>
        </w:tc>
        <w:tc>
          <w:tcPr>
            <w:tcW w:w="3935" w:type="dxa"/>
            <w:noWrap w:val="0"/>
            <w:vAlign w:val="top"/>
          </w:tcPr>
          <w:p w14:paraId="5E59369C">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威猛先生、蓝月亮、绿伞</w:t>
            </w:r>
          </w:p>
        </w:tc>
      </w:tr>
      <w:tr w14:paraId="168C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2" w:type="dxa"/>
            <w:noWrap w:val="0"/>
            <w:vAlign w:val="top"/>
          </w:tcPr>
          <w:p w14:paraId="0C8549FE">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2826" w:type="dxa"/>
            <w:noWrap w:val="0"/>
            <w:vAlign w:val="top"/>
          </w:tcPr>
          <w:p w14:paraId="4AD39E6E">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消毒剂</w:t>
            </w:r>
          </w:p>
        </w:tc>
        <w:tc>
          <w:tcPr>
            <w:tcW w:w="3935" w:type="dxa"/>
            <w:noWrap w:val="0"/>
            <w:vAlign w:val="top"/>
          </w:tcPr>
          <w:p w14:paraId="6FA79553">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威露士、滴露、蓝月亮</w:t>
            </w:r>
          </w:p>
        </w:tc>
      </w:tr>
      <w:tr w14:paraId="2925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noWrap w:val="0"/>
            <w:vAlign w:val="top"/>
          </w:tcPr>
          <w:p w14:paraId="246A4609">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2826" w:type="dxa"/>
            <w:noWrap w:val="0"/>
            <w:vAlign w:val="top"/>
          </w:tcPr>
          <w:p w14:paraId="2FF718DE">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除臭剂</w:t>
            </w:r>
          </w:p>
        </w:tc>
        <w:tc>
          <w:tcPr>
            <w:tcW w:w="3935" w:type="dxa"/>
            <w:noWrap w:val="0"/>
            <w:vAlign w:val="top"/>
          </w:tcPr>
          <w:p w14:paraId="1732FC74">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小林制药、花仙子、老管家</w:t>
            </w:r>
          </w:p>
        </w:tc>
      </w:tr>
      <w:tr w14:paraId="1EB2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noWrap w:val="0"/>
            <w:vAlign w:val="top"/>
          </w:tcPr>
          <w:p w14:paraId="07789C49">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w:t>
            </w:r>
          </w:p>
        </w:tc>
        <w:tc>
          <w:tcPr>
            <w:tcW w:w="2826" w:type="dxa"/>
            <w:noWrap w:val="0"/>
            <w:vAlign w:val="top"/>
          </w:tcPr>
          <w:p w14:paraId="025CCEF2">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洗手液</w:t>
            </w:r>
          </w:p>
        </w:tc>
        <w:tc>
          <w:tcPr>
            <w:tcW w:w="3935" w:type="dxa"/>
            <w:noWrap w:val="0"/>
            <w:vAlign w:val="top"/>
          </w:tcPr>
          <w:p w14:paraId="4CB6B660">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蓝月亮、威露士、滴露</w:t>
            </w:r>
          </w:p>
        </w:tc>
      </w:tr>
      <w:tr w14:paraId="3FA6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noWrap w:val="0"/>
            <w:vAlign w:val="top"/>
          </w:tcPr>
          <w:p w14:paraId="782DEDC4">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w:t>
            </w:r>
          </w:p>
        </w:tc>
        <w:tc>
          <w:tcPr>
            <w:tcW w:w="2826" w:type="dxa"/>
            <w:noWrap w:val="0"/>
            <w:vAlign w:val="top"/>
          </w:tcPr>
          <w:p w14:paraId="771EE239">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大卷纸</w:t>
            </w:r>
          </w:p>
        </w:tc>
        <w:tc>
          <w:tcPr>
            <w:tcW w:w="3935" w:type="dxa"/>
            <w:noWrap w:val="0"/>
            <w:vAlign w:val="top"/>
          </w:tcPr>
          <w:p w14:paraId="5A79657C">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维达、心相印、清风</w:t>
            </w:r>
          </w:p>
        </w:tc>
      </w:tr>
      <w:tr w14:paraId="2650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noWrap w:val="0"/>
            <w:vAlign w:val="top"/>
          </w:tcPr>
          <w:p w14:paraId="08076481">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w:t>
            </w:r>
          </w:p>
        </w:tc>
        <w:tc>
          <w:tcPr>
            <w:tcW w:w="2826" w:type="dxa"/>
            <w:noWrap w:val="0"/>
            <w:vAlign w:val="top"/>
          </w:tcPr>
          <w:p w14:paraId="6EDCD769">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擦手纸</w:t>
            </w:r>
          </w:p>
        </w:tc>
        <w:tc>
          <w:tcPr>
            <w:tcW w:w="3935" w:type="dxa"/>
            <w:noWrap w:val="0"/>
            <w:vAlign w:val="top"/>
          </w:tcPr>
          <w:p w14:paraId="73392B73">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维达、心相印、清风</w:t>
            </w:r>
          </w:p>
        </w:tc>
      </w:tr>
      <w:tr w14:paraId="19AD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noWrap w:val="0"/>
            <w:vAlign w:val="top"/>
          </w:tcPr>
          <w:p w14:paraId="2AA73F6E">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7</w:t>
            </w:r>
          </w:p>
        </w:tc>
        <w:tc>
          <w:tcPr>
            <w:tcW w:w="2826" w:type="dxa"/>
            <w:noWrap w:val="0"/>
            <w:vAlign w:val="top"/>
          </w:tcPr>
          <w:p w14:paraId="703230A9">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坐厕纸</w:t>
            </w:r>
          </w:p>
        </w:tc>
        <w:tc>
          <w:tcPr>
            <w:tcW w:w="3935" w:type="dxa"/>
            <w:noWrap w:val="0"/>
            <w:vAlign w:val="top"/>
          </w:tcPr>
          <w:p w14:paraId="00671E6A">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香臣、得力、无印良品</w:t>
            </w:r>
          </w:p>
        </w:tc>
      </w:tr>
    </w:tbl>
    <w:p w14:paraId="58463211">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0"/>
        <w:textAlignment w:val="auto"/>
        <w:outlineLvl w:val="9"/>
        <w:rPr>
          <w:rFonts w:hint="eastAsia" w:ascii="宋体" w:hAnsi="宋体" w:eastAsia="宋体" w:cs="宋体"/>
          <w:b w:val="0"/>
          <w:bCs w:val="0"/>
          <w:color w:val="auto"/>
          <w:sz w:val="21"/>
          <w:szCs w:val="21"/>
          <w:highlight w:val="none"/>
          <w:lang w:val="en-US" w:eastAsia="zh-CN"/>
        </w:rPr>
      </w:pPr>
      <w:bookmarkStart w:id="602" w:name="_Toc14802"/>
      <w:bookmarkStart w:id="603" w:name="_Toc22852"/>
      <w:bookmarkStart w:id="604" w:name="_Toc7527"/>
      <w:r>
        <w:rPr>
          <w:rFonts w:hint="eastAsia" w:ascii="宋体" w:hAnsi="宋体" w:eastAsia="宋体" w:cs="宋体"/>
          <w:b w:val="0"/>
          <w:bCs w:val="0"/>
          <w:color w:val="auto"/>
          <w:sz w:val="21"/>
          <w:szCs w:val="21"/>
          <w:highlight w:val="none"/>
          <w:lang w:val="en-US" w:eastAsia="zh-CN"/>
        </w:rPr>
        <w:t>租赁</w:t>
      </w:r>
      <w:r>
        <w:rPr>
          <w:rFonts w:hint="eastAsia" w:ascii="宋体" w:hAnsi="宋体" w:eastAsia="宋体" w:cs="宋体"/>
          <w:b w:val="0"/>
          <w:bCs w:val="0"/>
          <w:color w:val="auto"/>
          <w:sz w:val="21"/>
          <w:szCs w:val="21"/>
          <w:highlight w:val="none"/>
        </w:rPr>
        <w:t>区域</w:t>
      </w:r>
      <w:r>
        <w:rPr>
          <w:rFonts w:hint="eastAsia" w:ascii="宋体" w:hAnsi="宋体" w:eastAsia="宋体" w:cs="宋体"/>
          <w:b w:val="0"/>
          <w:bCs w:val="0"/>
          <w:color w:val="auto"/>
          <w:sz w:val="21"/>
          <w:szCs w:val="21"/>
          <w:highlight w:val="none"/>
          <w:lang w:val="en-US" w:eastAsia="zh-CN"/>
        </w:rPr>
        <w:t>内室内区域（适用于</w:t>
      </w:r>
      <w:bookmarkStart w:id="605" w:name="OLE_LINK21"/>
      <w:bookmarkStart w:id="606" w:name="OLE_LINK13"/>
      <w:r>
        <w:rPr>
          <w:rFonts w:hint="eastAsia" w:ascii="宋体" w:hAnsi="宋体" w:eastAsia="宋体" w:cs="宋体"/>
          <w:b w:val="0"/>
          <w:bCs w:val="0"/>
          <w:color w:val="auto"/>
          <w:kern w:val="0"/>
          <w:sz w:val="21"/>
          <w:szCs w:val="21"/>
          <w:highlight w:val="none"/>
          <w:lang w:val="en-US" w:eastAsia="zh-CN" w:bidi="en-US"/>
        </w:rPr>
        <w:t>招标人</w:t>
      </w:r>
      <w:bookmarkEnd w:id="605"/>
      <w:r>
        <w:rPr>
          <w:rFonts w:hint="eastAsia" w:ascii="宋体" w:hAnsi="宋体" w:eastAsia="宋体" w:cs="宋体"/>
          <w:b w:val="0"/>
          <w:bCs w:val="0"/>
          <w:color w:val="auto"/>
          <w:kern w:val="0"/>
          <w:sz w:val="21"/>
          <w:szCs w:val="21"/>
          <w:highlight w:val="none"/>
          <w:lang w:val="en-US" w:eastAsia="zh-CN" w:bidi="en-US"/>
        </w:rPr>
        <w:t>集团内部各企业</w:t>
      </w:r>
      <w:bookmarkEnd w:id="606"/>
      <w:r>
        <w:rPr>
          <w:rFonts w:hint="eastAsia" w:ascii="宋体" w:hAnsi="宋体" w:eastAsia="宋体" w:cs="宋体"/>
          <w:b w:val="0"/>
          <w:bCs w:val="0"/>
          <w:color w:val="auto"/>
          <w:kern w:val="0"/>
          <w:sz w:val="21"/>
          <w:szCs w:val="21"/>
          <w:highlight w:val="none"/>
          <w:lang w:val="en-US" w:eastAsia="zh-CN" w:bidi="en-US"/>
        </w:rPr>
        <w:t>办公区域</w:t>
      </w:r>
      <w:r>
        <w:rPr>
          <w:rFonts w:hint="eastAsia" w:ascii="宋体" w:hAnsi="宋体" w:eastAsia="宋体" w:cs="宋体"/>
          <w:b w:val="0"/>
          <w:bCs w:val="0"/>
          <w:color w:val="auto"/>
          <w:sz w:val="21"/>
          <w:szCs w:val="21"/>
          <w:highlight w:val="none"/>
          <w:lang w:val="en-US" w:eastAsia="zh-CN"/>
        </w:rPr>
        <w:t>）</w:t>
      </w:r>
    </w:p>
    <w:p w14:paraId="07C2276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auto"/>
          <w:szCs w:val="21"/>
          <w:highlight w:val="none"/>
        </w:rPr>
      </w:pPr>
      <w:bookmarkStart w:id="607" w:name="OLE_LINK12"/>
      <w:r>
        <w:rPr>
          <w:rFonts w:hint="eastAsia" w:ascii="宋体" w:hAnsi="宋体" w:eastAsia="宋体" w:cs="宋体"/>
          <w:b w:val="0"/>
          <w:bCs w:val="0"/>
          <w:color w:val="auto"/>
          <w:sz w:val="21"/>
          <w:szCs w:val="21"/>
          <w:highlight w:val="none"/>
          <w:lang w:val="en-US" w:eastAsia="zh-CN"/>
        </w:rPr>
        <w:t>1）</w:t>
      </w:r>
      <w:bookmarkEnd w:id="607"/>
      <w:r>
        <w:rPr>
          <w:rFonts w:hint="eastAsia" w:ascii="宋体" w:hAnsi="宋体" w:eastAsia="宋体" w:cs="宋体"/>
          <w:b w:val="0"/>
          <w:bCs w:val="0"/>
          <w:color w:val="auto"/>
          <w:sz w:val="21"/>
          <w:szCs w:val="21"/>
          <w:highlight w:val="none"/>
        </w:rPr>
        <w:t>清洁保洁服务包括但不限于以下内容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租赁</w:t>
      </w:r>
      <w:r>
        <w:rPr>
          <w:rFonts w:hint="eastAsia" w:ascii="宋体" w:hAnsi="宋体" w:eastAsia="宋体" w:cs="宋体"/>
          <w:b w:val="0"/>
          <w:bCs w:val="0"/>
          <w:color w:val="auto"/>
          <w:sz w:val="21"/>
          <w:szCs w:val="21"/>
          <w:highlight w:val="none"/>
        </w:rPr>
        <w:t>区域</w:t>
      </w:r>
      <w:r>
        <w:rPr>
          <w:rFonts w:hint="eastAsia" w:ascii="宋体" w:hAnsi="宋体" w:eastAsia="宋体" w:cs="宋体"/>
          <w:b w:val="0"/>
          <w:bCs w:val="0"/>
          <w:color w:val="auto"/>
          <w:sz w:val="21"/>
          <w:szCs w:val="21"/>
          <w:highlight w:val="none"/>
          <w:lang w:val="en-US" w:eastAsia="zh-CN"/>
        </w:rPr>
        <w:t>内</w:t>
      </w:r>
      <w:r>
        <w:rPr>
          <w:rFonts w:hint="eastAsia" w:ascii="宋体" w:hAnsi="宋体" w:eastAsia="宋体" w:cs="宋体"/>
          <w:b w:val="0"/>
          <w:bCs w:val="0"/>
          <w:color w:val="auto"/>
          <w:szCs w:val="21"/>
          <w:highlight w:val="none"/>
        </w:rPr>
        <w:t>所有办公区域的清洁保洁</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如办公区域、会议室、接待室、茶水间、</w:t>
      </w:r>
      <w:r>
        <w:rPr>
          <w:rFonts w:hint="eastAsia" w:ascii="宋体" w:hAnsi="宋体" w:eastAsia="宋体" w:cs="宋体"/>
          <w:b w:val="0"/>
          <w:bCs w:val="0"/>
          <w:color w:val="auto"/>
          <w:szCs w:val="21"/>
          <w:highlight w:val="none"/>
          <w:lang w:val="en-US" w:eastAsia="zh-CN"/>
        </w:rPr>
        <w:t>玻璃窗、</w:t>
      </w:r>
      <w:r>
        <w:rPr>
          <w:rFonts w:hint="eastAsia" w:ascii="宋体" w:hAnsi="宋体" w:eastAsia="宋体" w:cs="宋体"/>
          <w:b w:val="0"/>
          <w:bCs w:val="0"/>
          <w:color w:val="auto"/>
          <w:szCs w:val="21"/>
          <w:highlight w:val="none"/>
        </w:rPr>
        <w:t>洗手间、</w:t>
      </w:r>
      <w:r>
        <w:rPr>
          <w:rFonts w:hint="eastAsia" w:ascii="宋体" w:hAnsi="宋体" w:eastAsia="宋体" w:cs="宋体"/>
          <w:b w:val="0"/>
          <w:bCs w:val="0"/>
          <w:color w:val="auto"/>
          <w:sz w:val="21"/>
          <w:szCs w:val="21"/>
          <w:highlight w:val="none"/>
          <w:lang w:val="en-US" w:eastAsia="zh-CN"/>
        </w:rPr>
        <w:t>租赁</w:t>
      </w:r>
      <w:r>
        <w:rPr>
          <w:rFonts w:hint="eastAsia" w:ascii="宋体" w:hAnsi="宋体" w:eastAsia="宋体" w:cs="宋体"/>
          <w:b w:val="0"/>
          <w:bCs w:val="0"/>
          <w:color w:val="auto"/>
          <w:sz w:val="21"/>
          <w:szCs w:val="21"/>
          <w:highlight w:val="none"/>
        </w:rPr>
        <w:t>区域</w:t>
      </w:r>
      <w:r>
        <w:rPr>
          <w:rFonts w:hint="eastAsia" w:ascii="宋体" w:hAnsi="宋体" w:eastAsia="宋体" w:cs="宋体"/>
          <w:b w:val="0"/>
          <w:bCs w:val="0"/>
          <w:color w:val="auto"/>
          <w:sz w:val="21"/>
          <w:szCs w:val="21"/>
          <w:highlight w:val="none"/>
          <w:lang w:val="en-US" w:eastAsia="zh-CN"/>
        </w:rPr>
        <w:t>内</w:t>
      </w:r>
      <w:r>
        <w:rPr>
          <w:rFonts w:hint="eastAsia" w:ascii="宋体" w:hAnsi="宋体" w:eastAsia="宋体" w:cs="宋体"/>
          <w:b w:val="0"/>
          <w:bCs w:val="0"/>
          <w:color w:val="auto"/>
          <w:szCs w:val="21"/>
          <w:highlight w:val="none"/>
        </w:rPr>
        <w:t>公共区域、</w:t>
      </w:r>
      <w:r>
        <w:rPr>
          <w:rFonts w:hint="eastAsia" w:ascii="宋体" w:hAnsi="宋体" w:eastAsia="宋体" w:cs="宋体"/>
          <w:b w:val="0"/>
          <w:bCs w:val="0"/>
          <w:color w:val="auto"/>
          <w:szCs w:val="21"/>
          <w:highlight w:val="none"/>
          <w:lang w:val="en-US" w:eastAsia="zh-CN"/>
        </w:rPr>
        <w:t>办公室</w:t>
      </w:r>
      <w:r>
        <w:rPr>
          <w:rFonts w:hint="eastAsia" w:ascii="宋体" w:hAnsi="宋体" w:eastAsia="宋体" w:cs="宋体"/>
          <w:b w:val="0"/>
          <w:bCs w:val="0"/>
          <w:color w:val="auto"/>
          <w:szCs w:val="21"/>
          <w:highlight w:val="none"/>
        </w:rPr>
        <w:t>天花板的清洁保洁工作</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健身活动室及</w:t>
      </w:r>
      <w:r>
        <w:rPr>
          <w:rFonts w:hint="eastAsia" w:ascii="宋体" w:hAnsi="宋体" w:eastAsia="宋体" w:cs="宋体"/>
          <w:b w:val="0"/>
          <w:bCs w:val="0"/>
          <w:color w:val="auto"/>
          <w:sz w:val="21"/>
          <w:szCs w:val="21"/>
          <w:highlight w:val="none"/>
          <w:lang w:val="en-US" w:eastAsia="zh-CN"/>
        </w:rPr>
        <w:t>租赁</w:t>
      </w:r>
      <w:r>
        <w:rPr>
          <w:rFonts w:hint="eastAsia" w:ascii="宋体" w:hAnsi="宋体" w:eastAsia="宋体" w:cs="宋体"/>
          <w:b w:val="0"/>
          <w:bCs w:val="0"/>
          <w:color w:val="auto"/>
          <w:sz w:val="21"/>
          <w:szCs w:val="21"/>
          <w:highlight w:val="none"/>
        </w:rPr>
        <w:t>区域</w:t>
      </w:r>
      <w:r>
        <w:rPr>
          <w:rFonts w:hint="eastAsia" w:ascii="宋体" w:hAnsi="宋体" w:eastAsia="宋体" w:cs="宋体"/>
          <w:b w:val="0"/>
          <w:bCs w:val="0"/>
          <w:color w:val="auto"/>
          <w:sz w:val="21"/>
          <w:szCs w:val="21"/>
          <w:highlight w:val="none"/>
          <w:lang w:val="en-US" w:eastAsia="zh-CN"/>
        </w:rPr>
        <w:t>内</w:t>
      </w:r>
      <w:r>
        <w:rPr>
          <w:rFonts w:hint="eastAsia" w:ascii="宋体" w:hAnsi="宋体" w:eastAsia="宋体" w:cs="宋体"/>
          <w:b w:val="0"/>
          <w:bCs w:val="0"/>
          <w:color w:val="auto"/>
          <w:szCs w:val="21"/>
          <w:highlight w:val="none"/>
        </w:rPr>
        <w:t>相关公共区域的保洁工作。</w:t>
      </w:r>
    </w:p>
    <w:p w14:paraId="2798624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bookmarkStart w:id="608" w:name="OLE_LINK23"/>
      <w:r>
        <w:rPr>
          <w:rFonts w:hint="eastAsia" w:ascii="宋体" w:hAnsi="宋体" w:eastAsia="宋体" w:cs="宋体"/>
          <w:b w:val="0"/>
          <w:bCs w:val="0"/>
          <w:color w:val="auto"/>
          <w:sz w:val="21"/>
          <w:szCs w:val="21"/>
          <w:highlight w:val="none"/>
          <w:lang w:val="en-US" w:eastAsia="zh-CN"/>
        </w:rPr>
        <w:t>2）</w:t>
      </w:r>
      <w:bookmarkEnd w:id="608"/>
      <w:r>
        <w:rPr>
          <w:rFonts w:hint="eastAsia" w:ascii="宋体" w:hAnsi="宋体" w:eastAsia="宋体" w:cs="宋体"/>
          <w:b w:val="0"/>
          <w:bCs w:val="0"/>
          <w:color w:val="auto"/>
          <w:sz w:val="21"/>
          <w:szCs w:val="21"/>
          <w:highlight w:val="none"/>
          <w:lang w:val="en-US" w:eastAsia="zh-CN"/>
        </w:rPr>
        <w:t>服务标准：</w:t>
      </w:r>
    </w:p>
    <w:tbl>
      <w:tblPr>
        <w:tblStyle w:val="41"/>
        <w:tblW w:w="8011" w:type="dxa"/>
        <w:tblInd w:w="4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4"/>
        <w:gridCol w:w="1772"/>
        <w:gridCol w:w="5525"/>
      </w:tblGrid>
      <w:tr w14:paraId="5AE74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5AB3ED0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编号</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45BDE13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区域</w:t>
            </w:r>
          </w:p>
        </w:tc>
        <w:tc>
          <w:tcPr>
            <w:tcW w:w="5525" w:type="dxa"/>
            <w:tcBorders>
              <w:top w:val="single" w:color="000000" w:sz="4" w:space="0"/>
              <w:left w:val="single" w:color="000000" w:sz="4" w:space="0"/>
              <w:bottom w:val="single" w:color="000000" w:sz="4" w:space="0"/>
              <w:right w:val="single" w:color="000000" w:sz="4" w:space="0"/>
            </w:tcBorders>
            <w:noWrap/>
            <w:vAlign w:val="center"/>
          </w:tcPr>
          <w:p w14:paraId="275FD4E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清洁标准</w:t>
            </w:r>
          </w:p>
        </w:tc>
      </w:tr>
      <w:tr w14:paraId="30EFD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711977E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3BC8A02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办公区</w:t>
            </w:r>
          </w:p>
        </w:tc>
        <w:tc>
          <w:tcPr>
            <w:tcW w:w="5525" w:type="dxa"/>
            <w:tcBorders>
              <w:top w:val="single" w:color="000000" w:sz="4" w:space="0"/>
              <w:left w:val="single" w:color="000000" w:sz="4" w:space="0"/>
              <w:bottom w:val="single" w:color="000000" w:sz="4" w:space="0"/>
              <w:right w:val="single" w:color="000000" w:sz="4" w:space="0"/>
            </w:tcBorders>
            <w:noWrap w:val="0"/>
            <w:vAlign w:val="center"/>
          </w:tcPr>
          <w:p w14:paraId="0C588C77">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桌面：用干抹布擦拭，无灰尘，严禁触碰、移动、翻阅任何办公文件、资料及个人物品，清洁人员需签署保密承诺书。如确需小范围移动以便清洁，须在员工在场时进行。</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隔断：无灰尘、无手印。</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电话：每日用酒精消毒擦拭。</w:t>
            </w:r>
          </w:p>
          <w:p w14:paraId="5159715B">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垃圾桶：每日清倒，更换垃圾袋，外壁清洁。</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地面：地毯每日吸尘，无纸屑、无斑点；硬质地面保持光亮无尘、无污渍。</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门窗：玻璃洁净，轨道、窗台无积尘。</w:t>
            </w:r>
          </w:p>
        </w:tc>
      </w:tr>
      <w:tr w14:paraId="6FC3B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18E6CA0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065C90F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lang w:val="en-US"/>
              </w:rPr>
            </w:pPr>
            <w:r>
              <w:rPr>
                <w:rFonts w:hint="eastAsia" w:ascii="宋体" w:hAnsi="宋体" w:eastAsia="宋体" w:cs="宋体"/>
                <w:b w:val="0"/>
                <w:bCs w:val="0"/>
                <w:i w:val="0"/>
                <w:iCs w:val="0"/>
                <w:color w:val="auto"/>
                <w:kern w:val="0"/>
                <w:sz w:val="21"/>
                <w:szCs w:val="21"/>
                <w:u w:val="none"/>
                <w:lang w:val="en-US" w:eastAsia="zh-CN" w:bidi="ar"/>
              </w:rPr>
              <w:t>独立办公室/会议室</w:t>
            </w:r>
          </w:p>
        </w:tc>
        <w:tc>
          <w:tcPr>
            <w:tcW w:w="5525" w:type="dxa"/>
            <w:tcBorders>
              <w:top w:val="single" w:color="000000" w:sz="4" w:space="0"/>
              <w:left w:val="single" w:color="000000" w:sz="4" w:space="0"/>
              <w:bottom w:val="single" w:color="000000" w:sz="4" w:space="0"/>
              <w:right w:val="single" w:color="000000" w:sz="4" w:space="0"/>
            </w:tcBorders>
            <w:noWrap w:val="0"/>
            <w:vAlign w:val="center"/>
          </w:tcPr>
          <w:p w14:paraId="55FD36F9">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高标准要求：会议室清洁需在每次使用后30分钟内完成复位。复位标准包括：桌椅按标准布局摆放整齐、桌面无任何痕迹、白板擦拭干净、设备电源线收纳整齐。高管办公室除日常标准外，需增加对书柜、装饰品、绿植叶面等进行精细除尘。</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桌椅：摆放整齐，椅背、扶手等细节处无尘。</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电子设备：投影仪、电视屏幕无灰尘。</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白板/黑板：干净，笔槽无粉笔灰。</w:t>
            </w:r>
          </w:p>
        </w:tc>
      </w:tr>
      <w:tr w14:paraId="30D2B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18C3B74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40DFC60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茶水间</w:t>
            </w:r>
          </w:p>
        </w:tc>
        <w:tc>
          <w:tcPr>
            <w:tcW w:w="5525" w:type="dxa"/>
            <w:tcBorders>
              <w:top w:val="single" w:color="000000" w:sz="4" w:space="0"/>
              <w:left w:val="single" w:color="000000" w:sz="4" w:space="0"/>
              <w:bottom w:val="single" w:color="000000" w:sz="4" w:space="0"/>
              <w:right w:val="single" w:color="000000" w:sz="4" w:space="0"/>
            </w:tcBorders>
            <w:noWrap w:val="0"/>
            <w:vAlign w:val="center"/>
          </w:tcPr>
          <w:p w14:paraId="140E1ADA">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台面与水槽：无食物残渣、无水迹、无茶渍。</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微波炉、冰箱：内外清洁，无残留食物、无异味。</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饮水机：水槽无积水，表面无污渍。</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地面：保持干燥，严防滑倒。</w:t>
            </w:r>
          </w:p>
        </w:tc>
      </w:tr>
      <w:tr w14:paraId="19624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7"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42C3988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2FCCCA6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bookmarkStart w:id="609" w:name="OLE_LINK26"/>
            <w:r>
              <w:rPr>
                <w:rFonts w:hint="eastAsia" w:ascii="宋体" w:hAnsi="宋体" w:eastAsia="宋体" w:cs="宋体"/>
                <w:b w:val="0"/>
                <w:bCs w:val="0"/>
                <w:color w:val="auto"/>
                <w:sz w:val="21"/>
                <w:szCs w:val="21"/>
                <w:highlight w:val="none"/>
                <w:lang w:val="en-US" w:eastAsia="zh-CN"/>
              </w:rPr>
              <w:t>租赁</w:t>
            </w:r>
            <w:r>
              <w:rPr>
                <w:rFonts w:hint="eastAsia" w:ascii="宋体" w:hAnsi="宋体" w:eastAsia="宋体" w:cs="宋体"/>
                <w:b w:val="0"/>
                <w:bCs w:val="0"/>
                <w:color w:val="auto"/>
                <w:sz w:val="21"/>
                <w:szCs w:val="21"/>
                <w:highlight w:val="none"/>
              </w:rPr>
              <w:t>区域</w:t>
            </w:r>
            <w:r>
              <w:rPr>
                <w:rFonts w:hint="eastAsia" w:ascii="宋体" w:hAnsi="宋体" w:eastAsia="宋体" w:cs="宋体"/>
                <w:b w:val="0"/>
                <w:bCs w:val="0"/>
                <w:color w:val="auto"/>
                <w:sz w:val="21"/>
                <w:szCs w:val="21"/>
                <w:highlight w:val="none"/>
                <w:lang w:val="en-US" w:eastAsia="zh-CN"/>
              </w:rPr>
              <w:t>内</w:t>
            </w:r>
            <w:r>
              <w:rPr>
                <w:rFonts w:hint="eastAsia" w:ascii="宋体" w:hAnsi="宋体" w:eastAsia="宋体" w:cs="宋体"/>
                <w:b w:val="0"/>
                <w:bCs w:val="0"/>
                <w:i w:val="0"/>
                <w:iCs w:val="0"/>
                <w:color w:val="auto"/>
                <w:kern w:val="0"/>
                <w:sz w:val="21"/>
                <w:szCs w:val="21"/>
                <w:u w:val="none"/>
                <w:lang w:val="en-US" w:eastAsia="zh-CN" w:bidi="ar"/>
              </w:rPr>
              <w:t>公共办公区域</w:t>
            </w:r>
            <w:bookmarkEnd w:id="609"/>
          </w:p>
        </w:tc>
        <w:tc>
          <w:tcPr>
            <w:tcW w:w="5525" w:type="dxa"/>
            <w:tcBorders>
              <w:top w:val="single" w:color="000000" w:sz="4" w:space="0"/>
              <w:left w:val="single" w:color="000000" w:sz="4" w:space="0"/>
              <w:bottom w:val="single" w:color="000000" w:sz="4" w:space="0"/>
              <w:right w:val="single" w:color="000000" w:sz="4" w:space="0"/>
            </w:tcBorders>
            <w:noWrap w:val="0"/>
            <w:vAlign w:val="center"/>
          </w:tcPr>
          <w:p w14:paraId="0CDDE297">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玻璃及幕墙：内外光洁透明，无手印、无水痕、无污迹；金属边框及不锈钢立柱光亮无氧化，无指印。</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前台及接待区：台面光亮无尘，无杂物；家具、摆设、装饰品一尘不染；垃圾桶外观洁净，内置垃圾袋，垃圾不超过1/2容量。</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天花及灯具：天花板、风口、灯罩无灰尘、无蛛网；灯具明亮，无死蝇、无积尘。</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空气：通过有效的清洁和通风保持空气清新无异味。如需使用香氛系统或空气清新剂，其品牌、香型及使用频率须事先征得我方书面同意，应选用低敏、淡雅的商业级产品。</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地面（石材/瓷砖）：光亮如镜，无灰尘、无水迹、无脚印、无污渍；接缝处无黑垢，定期进行晶面处理或打蜡保养；门口地垫平整、干净，无积尘、无潮湿。</w:t>
            </w:r>
          </w:p>
        </w:tc>
      </w:tr>
      <w:tr w14:paraId="6022A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8"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7039383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5</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7C9611DA">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bookmarkStart w:id="610" w:name="OLE_LINK25"/>
            <w:r>
              <w:rPr>
                <w:rFonts w:hint="eastAsia" w:ascii="宋体" w:hAnsi="宋体" w:eastAsia="宋体" w:cs="宋体"/>
                <w:b w:val="0"/>
                <w:bCs w:val="0"/>
                <w:color w:val="auto"/>
                <w:sz w:val="21"/>
                <w:szCs w:val="21"/>
                <w:highlight w:val="none"/>
                <w:lang w:val="en-US" w:eastAsia="zh-CN"/>
              </w:rPr>
              <w:t>租赁</w:t>
            </w:r>
            <w:r>
              <w:rPr>
                <w:rFonts w:hint="eastAsia" w:ascii="宋体" w:hAnsi="宋体" w:eastAsia="宋体" w:cs="宋体"/>
                <w:b w:val="0"/>
                <w:bCs w:val="0"/>
                <w:color w:val="auto"/>
                <w:sz w:val="21"/>
                <w:szCs w:val="21"/>
                <w:highlight w:val="none"/>
              </w:rPr>
              <w:t>区域</w:t>
            </w:r>
            <w:r>
              <w:rPr>
                <w:rFonts w:hint="eastAsia" w:ascii="宋体" w:hAnsi="宋体" w:eastAsia="宋体" w:cs="宋体"/>
                <w:b w:val="0"/>
                <w:bCs w:val="0"/>
                <w:color w:val="auto"/>
                <w:sz w:val="21"/>
                <w:szCs w:val="21"/>
                <w:highlight w:val="none"/>
                <w:lang w:val="en-US" w:eastAsia="zh-CN"/>
              </w:rPr>
              <w:t>内</w:t>
            </w:r>
            <w:r>
              <w:rPr>
                <w:rFonts w:hint="eastAsia" w:ascii="宋体" w:hAnsi="宋体" w:eastAsia="宋体" w:cs="宋体"/>
                <w:b w:val="0"/>
                <w:bCs w:val="0"/>
                <w:i w:val="0"/>
                <w:iCs w:val="0"/>
                <w:color w:val="auto"/>
                <w:kern w:val="0"/>
                <w:sz w:val="21"/>
                <w:szCs w:val="21"/>
                <w:u w:val="none"/>
                <w:lang w:val="en-US" w:eastAsia="zh-CN" w:bidi="ar"/>
              </w:rPr>
              <w:t>公共走廊及通道</w:t>
            </w:r>
            <w:bookmarkEnd w:id="610"/>
          </w:p>
        </w:tc>
        <w:tc>
          <w:tcPr>
            <w:tcW w:w="5525" w:type="dxa"/>
            <w:tcBorders>
              <w:top w:val="single" w:color="000000" w:sz="4" w:space="0"/>
              <w:left w:val="single" w:color="000000" w:sz="4" w:space="0"/>
              <w:bottom w:val="single" w:color="000000" w:sz="4" w:space="0"/>
              <w:right w:val="single" w:color="000000" w:sz="4" w:space="0"/>
            </w:tcBorders>
            <w:noWrap w:val="0"/>
            <w:vAlign w:val="center"/>
          </w:tcPr>
          <w:p w14:paraId="49CBE733">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地面：同大堂标准，保持干燥，无垃圾、无水迹。</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墙面：无手印、无划痕、无污渍，踢脚线无灰尘。</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消防设施：灭火器箱、消防栓表面无尘，玻璃清晰。</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垃圾桶：位置正确，外观清洁，及时清倒。</w:t>
            </w:r>
          </w:p>
        </w:tc>
      </w:tr>
      <w:tr w14:paraId="22B94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8"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0DE1B59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6</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3BB50258">
            <w:pPr>
              <w:widowControl/>
              <w:jc w:val="left"/>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lang w:val="en-US" w:eastAsia="zh-CN"/>
              </w:rPr>
              <w:t>租赁</w:t>
            </w:r>
            <w:r>
              <w:rPr>
                <w:rFonts w:hint="eastAsia" w:ascii="宋体" w:hAnsi="宋体" w:eastAsia="宋体" w:cs="宋体"/>
                <w:b w:val="0"/>
                <w:bCs w:val="0"/>
                <w:color w:val="auto"/>
                <w:sz w:val="21"/>
                <w:szCs w:val="21"/>
                <w:highlight w:val="none"/>
              </w:rPr>
              <w:t>区域</w:t>
            </w:r>
            <w:r>
              <w:rPr>
                <w:rFonts w:hint="eastAsia" w:ascii="宋体" w:hAnsi="宋体" w:eastAsia="宋体" w:cs="宋体"/>
                <w:b w:val="0"/>
                <w:bCs w:val="0"/>
                <w:color w:val="auto"/>
                <w:sz w:val="21"/>
                <w:szCs w:val="21"/>
                <w:highlight w:val="none"/>
                <w:lang w:val="en-US" w:eastAsia="zh-CN"/>
              </w:rPr>
              <w:t>内</w:t>
            </w:r>
            <w:r>
              <w:rPr>
                <w:rFonts w:hint="eastAsia" w:ascii="宋体" w:hAnsi="宋体" w:eastAsia="宋体" w:cs="宋体"/>
                <w:b w:val="0"/>
                <w:bCs w:val="0"/>
                <w:i w:val="0"/>
                <w:iCs w:val="0"/>
                <w:color w:val="auto"/>
                <w:kern w:val="0"/>
                <w:sz w:val="21"/>
                <w:szCs w:val="21"/>
                <w:u w:val="none"/>
                <w:lang w:val="en-US" w:eastAsia="zh-CN" w:bidi="ar"/>
              </w:rPr>
              <w:t>办公区域卫生间</w:t>
            </w:r>
          </w:p>
        </w:tc>
        <w:tc>
          <w:tcPr>
            <w:tcW w:w="5525" w:type="dxa"/>
            <w:tcBorders>
              <w:top w:val="single" w:color="000000" w:sz="4" w:space="0"/>
              <w:left w:val="single" w:color="000000" w:sz="4" w:space="0"/>
              <w:bottom w:val="single" w:color="000000" w:sz="4" w:space="0"/>
              <w:right w:val="single" w:color="000000" w:sz="4" w:space="0"/>
            </w:tcBorders>
            <w:noWrap w:val="0"/>
            <w:vAlign w:val="center"/>
          </w:tcPr>
          <w:p w14:paraId="032916DB">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整体：空气清新，无异味。定期使用智能香氛机，品牌和香型需经我方确认。</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厕具：马桶、小便池内外光洁，无污垢、无尿碱、无异味；下水通畅，水面无杂物。</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台盆区：镜面光亮无水渍、无手印；台面无水迹、无毛发，洗手盆无污垢；水龙头、皂液器光亮无水迹。</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地面与墙面：干燥、洁净，无积水、无垃圾。</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耗材补充：卫生纸、擦手纸、洗手液及时补充，不缺不漏。</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垃圾处理：垃圾桶内垃圾不超过1/2，女性卫生间专用垃圾桶及时清理并消毒。</w:t>
            </w:r>
          </w:p>
          <w:p w14:paraId="1132AEFC">
            <w:pPr>
              <w:pStyle w:val="4"/>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每日对门把手、水龙头、皂液器等高频接触点进行至少4次消毒擦拭，并留有记录</w:t>
            </w:r>
            <w:r>
              <w:rPr>
                <w:rFonts w:hint="eastAsia" w:ascii="宋体" w:hAnsi="宋体" w:eastAsia="宋体" w:cs="宋体"/>
                <w:b w:val="0"/>
                <w:bCs w:val="0"/>
                <w:color w:val="auto"/>
                <w:sz w:val="21"/>
                <w:szCs w:val="21"/>
                <w:lang w:eastAsia="zh-CN"/>
              </w:rPr>
              <w:t>。</w:t>
            </w:r>
          </w:p>
        </w:tc>
      </w:tr>
    </w:tbl>
    <w:p w14:paraId="2D358100">
      <w:pPr>
        <w:widowControl/>
        <w:numPr>
          <w:ilvl w:val="0"/>
          <w:numId w:val="0"/>
        </w:numPr>
        <w:spacing w:line="360" w:lineRule="auto"/>
        <w:ind w:firstLine="420" w:firstLineChars="200"/>
        <w:rPr>
          <w:rFonts w:hint="eastAsia" w:ascii="宋体" w:hAnsi="宋体" w:eastAsia="宋体" w:cs="宋体"/>
          <w:b w:val="0"/>
          <w:bCs w:val="0"/>
          <w:color w:val="auto"/>
          <w:sz w:val="21"/>
          <w:szCs w:val="21"/>
          <w:highlight w:val="none"/>
          <w:lang w:val="en-US" w:eastAsia="zh-CN"/>
        </w:rPr>
      </w:pPr>
      <w:bookmarkStart w:id="611" w:name="OLE_LINK27"/>
      <w:r>
        <w:rPr>
          <w:rFonts w:hint="eastAsia" w:ascii="宋体" w:hAnsi="宋体" w:eastAsia="宋体" w:cs="宋体"/>
          <w:b w:val="0"/>
          <w:bCs w:val="0"/>
          <w:color w:val="auto"/>
          <w:sz w:val="21"/>
          <w:szCs w:val="21"/>
          <w:highlight w:val="none"/>
          <w:lang w:val="en-US" w:eastAsia="zh-CN"/>
        </w:rPr>
        <w:t>3）租赁</w:t>
      </w:r>
      <w:r>
        <w:rPr>
          <w:rFonts w:hint="eastAsia" w:ascii="宋体" w:hAnsi="宋体" w:eastAsia="宋体" w:cs="宋体"/>
          <w:b w:val="0"/>
          <w:bCs w:val="0"/>
          <w:color w:val="auto"/>
          <w:sz w:val="21"/>
          <w:szCs w:val="21"/>
          <w:highlight w:val="none"/>
        </w:rPr>
        <w:t>区域</w:t>
      </w:r>
      <w:r>
        <w:rPr>
          <w:rFonts w:hint="eastAsia" w:ascii="宋体" w:hAnsi="宋体" w:eastAsia="宋体" w:cs="宋体"/>
          <w:b w:val="0"/>
          <w:bCs w:val="0"/>
          <w:color w:val="auto"/>
          <w:sz w:val="21"/>
          <w:szCs w:val="21"/>
          <w:highlight w:val="none"/>
          <w:lang w:val="en-US" w:eastAsia="zh-CN"/>
        </w:rPr>
        <w:t>内清洁频率与作业要求：</w:t>
      </w:r>
    </w:p>
    <w:bookmarkEnd w:id="611"/>
    <w:tbl>
      <w:tblPr>
        <w:tblStyle w:val="41"/>
        <w:tblW w:w="8055" w:type="dxa"/>
        <w:tblInd w:w="4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1"/>
        <w:gridCol w:w="1612"/>
        <w:gridCol w:w="2268"/>
        <w:gridCol w:w="1956"/>
        <w:gridCol w:w="1488"/>
      </w:tblGrid>
      <w:tr w14:paraId="44AEC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31" w:type="dxa"/>
            <w:tcBorders>
              <w:top w:val="single" w:color="000000" w:sz="4" w:space="0"/>
              <w:left w:val="single" w:color="000000" w:sz="4" w:space="0"/>
              <w:bottom w:val="single" w:color="000000" w:sz="4" w:space="0"/>
              <w:right w:val="single" w:color="000000" w:sz="4" w:space="0"/>
            </w:tcBorders>
            <w:noWrap w:val="0"/>
            <w:vAlign w:val="center"/>
          </w:tcPr>
          <w:p w14:paraId="309642A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序号</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0187D8A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区域</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0A54F24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日常清洁</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14:paraId="3E3CD80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每周</w:t>
            </w:r>
            <w:r>
              <w:rPr>
                <w:rStyle w:val="214"/>
                <w:rFonts w:hint="eastAsia" w:ascii="宋体" w:hAnsi="宋体" w:eastAsia="宋体" w:cs="宋体"/>
                <w:b w:val="0"/>
                <w:bCs w:val="0"/>
                <w:color w:val="auto"/>
                <w:sz w:val="21"/>
                <w:szCs w:val="21"/>
                <w:lang w:val="en-US" w:eastAsia="zh-CN" w:bidi="ar"/>
              </w:rPr>
              <w:t>/</w:t>
            </w:r>
            <w:r>
              <w:rPr>
                <w:rStyle w:val="215"/>
                <w:rFonts w:hint="eastAsia" w:ascii="宋体" w:hAnsi="宋体" w:eastAsia="宋体" w:cs="宋体"/>
                <w:b w:val="0"/>
                <w:bCs w:val="0"/>
                <w:color w:val="auto"/>
                <w:sz w:val="21"/>
                <w:szCs w:val="21"/>
                <w:lang w:val="en-US" w:eastAsia="zh-CN" w:bidi="ar"/>
              </w:rPr>
              <w:t>定期</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4493168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备注</w:t>
            </w:r>
          </w:p>
        </w:tc>
      </w:tr>
      <w:tr w14:paraId="07B6F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31" w:type="dxa"/>
            <w:tcBorders>
              <w:top w:val="single" w:color="000000" w:sz="4" w:space="0"/>
              <w:left w:val="single" w:color="000000" w:sz="4" w:space="0"/>
              <w:bottom w:val="single" w:color="000000" w:sz="4" w:space="0"/>
              <w:right w:val="single" w:color="000000" w:sz="4" w:space="0"/>
            </w:tcBorders>
            <w:noWrap w:val="0"/>
            <w:vAlign w:val="center"/>
          </w:tcPr>
          <w:p w14:paraId="4976932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4B04B4F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color w:val="auto"/>
                <w:sz w:val="21"/>
                <w:szCs w:val="21"/>
                <w:highlight w:val="none"/>
                <w:lang w:val="en-US" w:eastAsia="zh-CN"/>
              </w:rPr>
              <w:t>租赁</w:t>
            </w:r>
            <w:r>
              <w:rPr>
                <w:rFonts w:hint="eastAsia" w:ascii="宋体" w:hAnsi="宋体" w:eastAsia="宋体" w:cs="宋体"/>
                <w:b w:val="0"/>
                <w:bCs w:val="0"/>
                <w:color w:val="auto"/>
                <w:sz w:val="21"/>
                <w:szCs w:val="21"/>
                <w:highlight w:val="none"/>
              </w:rPr>
              <w:t>区域</w:t>
            </w:r>
            <w:r>
              <w:rPr>
                <w:rFonts w:hint="eastAsia" w:ascii="宋体" w:hAnsi="宋体" w:eastAsia="宋体" w:cs="宋体"/>
                <w:b w:val="0"/>
                <w:bCs w:val="0"/>
                <w:color w:val="auto"/>
                <w:sz w:val="21"/>
                <w:szCs w:val="21"/>
                <w:highlight w:val="none"/>
                <w:lang w:val="en-US" w:eastAsia="zh-CN"/>
              </w:rPr>
              <w:t>内</w:t>
            </w:r>
            <w:r>
              <w:rPr>
                <w:rFonts w:hint="eastAsia" w:ascii="宋体" w:hAnsi="宋体" w:eastAsia="宋体" w:cs="宋体"/>
                <w:b w:val="0"/>
                <w:bCs w:val="0"/>
                <w:i w:val="0"/>
                <w:iCs w:val="0"/>
                <w:color w:val="auto"/>
                <w:kern w:val="0"/>
                <w:sz w:val="21"/>
                <w:szCs w:val="21"/>
                <w:u w:val="none"/>
                <w:lang w:val="en-US" w:eastAsia="zh-CN" w:bidi="ar"/>
              </w:rPr>
              <w:t>公共办公区域</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10261477">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循环保洁，随时清理</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14:paraId="25EF2309">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石材晶面处理；电梯深度保养</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6ED5A6C0">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高峰时段加强频率</w:t>
            </w:r>
          </w:p>
        </w:tc>
      </w:tr>
      <w:tr w14:paraId="0AD90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731" w:type="dxa"/>
            <w:tcBorders>
              <w:top w:val="single" w:color="000000" w:sz="4" w:space="0"/>
              <w:left w:val="single" w:color="000000" w:sz="4" w:space="0"/>
              <w:bottom w:val="single" w:color="000000" w:sz="4" w:space="0"/>
              <w:right w:val="single" w:color="000000" w:sz="4" w:space="0"/>
            </w:tcBorders>
            <w:noWrap w:val="0"/>
            <w:vAlign w:val="center"/>
          </w:tcPr>
          <w:p w14:paraId="170542B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5D19698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color w:val="auto"/>
                <w:sz w:val="21"/>
                <w:szCs w:val="21"/>
                <w:highlight w:val="none"/>
                <w:lang w:val="en-US" w:eastAsia="zh-CN"/>
              </w:rPr>
              <w:t>租赁</w:t>
            </w:r>
            <w:r>
              <w:rPr>
                <w:rFonts w:hint="eastAsia" w:ascii="宋体" w:hAnsi="宋体" w:eastAsia="宋体" w:cs="宋体"/>
                <w:b w:val="0"/>
                <w:bCs w:val="0"/>
                <w:color w:val="auto"/>
                <w:sz w:val="21"/>
                <w:szCs w:val="21"/>
                <w:highlight w:val="none"/>
              </w:rPr>
              <w:t>区域</w:t>
            </w:r>
            <w:r>
              <w:rPr>
                <w:rFonts w:hint="eastAsia" w:ascii="宋体" w:hAnsi="宋体" w:eastAsia="宋体" w:cs="宋体"/>
                <w:b w:val="0"/>
                <w:bCs w:val="0"/>
                <w:color w:val="auto"/>
                <w:sz w:val="21"/>
                <w:szCs w:val="21"/>
                <w:highlight w:val="none"/>
                <w:lang w:val="en-US" w:eastAsia="zh-CN"/>
              </w:rPr>
              <w:t>内</w:t>
            </w:r>
            <w:r>
              <w:rPr>
                <w:rFonts w:hint="eastAsia" w:ascii="宋体" w:hAnsi="宋体" w:eastAsia="宋体" w:cs="宋体"/>
                <w:b w:val="0"/>
                <w:bCs w:val="0"/>
                <w:i w:val="0"/>
                <w:iCs w:val="0"/>
                <w:color w:val="auto"/>
                <w:kern w:val="0"/>
                <w:sz w:val="21"/>
                <w:szCs w:val="21"/>
                <w:u w:val="none"/>
                <w:lang w:val="en-US" w:eastAsia="zh-CN" w:bidi="ar"/>
              </w:rPr>
              <w:t>办公区域卫生间</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627244B9">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每小时巡检一次，高峰时段加强（上午8:30-10:00，下午13:30-15:00）</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14:paraId="2214A2AF">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全面消毒；清洁天花板、墙面</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6C30652A">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记录检查表格</w:t>
            </w:r>
          </w:p>
        </w:tc>
      </w:tr>
      <w:tr w14:paraId="12F4A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731" w:type="dxa"/>
            <w:tcBorders>
              <w:top w:val="single" w:color="000000" w:sz="4" w:space="0"/>
              <w:left w:val="single" w:color="000000" w:sz="4" w:space="0"/>
              <w:bottom w:val="single" w:color="000000" w:sz="4" w:space="0"/>
              <w:right w:val="single" w:color="000000" w:sz="4" w:space="0"/>
            </w:tcBorders>
            <w:noWrap w:val="0"/>
            <w:vAlign w:val="center"/>
          </w:tcPr>
          <w:p w14:paraId="728221D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61D259E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color w:val="auto"/>
                <w:sz w:val="21"/>
                <w:szCs w:val="21"/>
                <w:highlight w:val="none"/>
                <w:lang w:val="en-US" w:eastAsia="zh-CN"/>
              </w:rPr>
              <w:t>租赁</w:t>
            </w:r>
            <w:r>
              <w:rPr>
                <w:rFonts w:hint="eastAsia" w:ascii="宋体" w:hAnsi="宋体" w:eastAsia="宋体" w:cs="宋体"/>
                <w:b w:val="0"/>
                <w:bCs w:val="0"/>
                <w:color w:val="auto"/>
                <w:sz w:val="21"/>
                <w:szCs w:val="21"/>
                <w:highlight w:val="none"/>
              </w:rPr>
              <w:t>区域</w:t>
            </w:r>
            <w:r>
              <w:rPr>
                <w:rFonts w:hint="eastAsia" w:ascii="宋体" w:hAnsi="宋体" w:eastAsia="宋体" w:cs="宋体"/>
                <w:b w:val="0"/>
                <w:bCs w:val="0"/>
                <w:color w:val="auto"/>
                <w:sz w:val="21"/>
                <w:szCs w:val="21"/>
                <w:highlight w:val="none"/>
                <w:lang w:val="en-US" w:eastAsia="zh-CN"/>
              </w:rPr>
              <w:t>内</w:t>
            </w:r>
            <w:r>
              <w:rPr>
                <w:rFonts w:hint="eastAsia" w:ascii="宋体" w:hAnsi="宋体" w:eastAsia="宋体" w:cs="宋体"/>
                <w:b w:val="0"/>
                <w:bCs w:val="0"/>
                <w:i w:val="0"/>
                <w:iCs w:val="0"/>
                <w:color w:val="auto"/>
                <w:kern w:val="0"/>
                <w:sz w:val="21"/>
                <w:szCs w:val="21"/>
                <w:u w:val="none"/>
                <w:lang w:val="en-US" w:eastAsia="zh-CN" w:bidi="ar"/>
              </w:rPr>
              <w:t>公共走廊及通道</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24DB7BEE">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每日全面清扫2次</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14:paraId="4F83BBE8">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墙面除尘；灯具清洁</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0C6DCEF0">
            <w:pPr>
              <w:jc w:val="left"/>
              <w:rPr>
                <w:rFonts w:hint="eastAsia" w:ascii="宋体" w:hAnsi="宋体" w:eastAsia="宋体" w:cs="宋体"/>
                <w:b w:val="0"/>
                <w:bCs w:val="0"/>
                <w:i w:val="0"/>
                <w:iCs w:val="0"/>
                <w:color w:val="auto"/>
                <w:sz w:val="21"/>
                <w:szCs w:val="21"/>
                <w:u w:val="none"/>
              </w:rPr>
            </w:pPr>
          </w:p>
        </w:tc>
      </w:tr>
      <w:tr w14:paraId="48300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31" w:type="dxa"/>
            <w:tcBorders>
              <w:top w:val="single" w:color="000000" w:sz="4" w:space="0"/>
              <w:left w:val="single" w:color="000000" w:sz="4" w:space="0"/>
              <w:bottom w:val="single" w:color="000000" w:sz="4" w:space="0"/>
              <w:right w:val="single" w:color="000000" w:sz="4" w:space="0"/>
            </w:tcBorders>
            <w:noWrap w:val="0"/>
            <w:vAlign w:val="center"/>
          </w:tcPr>
          <w:p w14:paraId="2183423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1799C0D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办公区</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633C1BF5">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上班前清洁须在早上8:30前完成，下班后清洁在晚上18:00后开始，以最大程度减少对员工办公的干扰。</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14:paraId="09BB7D7D">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地毯局部去渍；高空除尘</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35C1014E">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lang w:eastAsia="zh-CN"/>
              </w:rPr>
            </w:pPr>
            <w:r>
              <w:rPr>
                <w:rFonts w:hint="eastAsia" w:ascii="宋体" w:hAnsi="宋体" w:eastAsia="宋体" w:cs="宋体"/>
                <w:b w:val="0"/>
                <w:bCs w:val="0"/>
                <w:i w:val="0"/>
                <w:iCs w:val="0"/>
                <w:color w:val="auto"/>
                <w:sz w:val="21"/>
                <w:szCs w:val="21"/>
                <w:u w:val="none"/>
              </w:rPr>
              <w:t>清洁人员不得在办公区长时间逗留，不得使用办公区电源为私人设备充电</w:t>
            </w:r>
            <w:r>
              <w:rPr>
                <w:rFonts w:hint="eastAsia" w:ascii="宋体" w:hAnsi="宋体" w:eastAsia="宋体" w:cs="宋体"/>
                <w:b w:val="0"/>
                <w:bCs w:val="0"/>
                <w:i w:val="0"/>
                <w:iCs w:val="0"/>
                <w:color w:val="auto"/>
                <w:sz w:val="21"/>
                <w:szCs w:val="21"/>
                <w:u w:val="none"/>
                <w:lang w:eastAsia="zh-CN"/>
              </w:rPr>
              <w:t>。</w:t>
            </w:r>
          </w:p>
        </w:tc>
      </w:tr>
      <w:tr w14:paraId="5AEC8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731" w:type="dxa"/>
            <w:tcBorders>
              <w:top w:val="single" w:color="000000" w:sz="4" w:space="0"/>
              <w:left w:val="single" w:color="000000" w:sz="4" w:space="0"/>
              <w:bottom w:val="single" w:color="000000" w:sz="4" w:space="0"/>
              <w:right w:val="single" w:color="000000" w:sz="4" w:space="0"/>
            </w:tcBorders>
            <w:noWrap w:val="0"/>
            <w:vAlign w:val="center"/>
          </w:tcPr>
          <w:p w14:paraId="571BDA6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5</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6A44372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玻璃幕墙</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6D730141">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每日擦拭手印、污迹</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14:paraId="5E68148F">
            <w:pPr>
              <w:keepNext w:val="0"/>
              <w:keepLines w:val="0"/>
              <w:widowControl/>
              <w:suppressLineNumbers w:val="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定期专业、外窗清洗</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68E06CE1">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p>
        </w:tc>
      </w:tr>
    </w:tbl>
    <w:p w14:paraId="1B9A9BD6">
      <w:pPr>
        <w:widowControl/>
        <w:numPr>
          <w:ilvl w:val="0"/>
          <w:numId w:val="0"/>
        </w:numPr>
        <w:spacing w:line="360" w:lineRule="auto"/>
        <w:ind w:firstLine="420" w:firstLineChars="200"/>
        <w:rPr>
          <w:rFonts w:hint="eastAsia" w:ascii="宋体" w:hAnsi="宋体" w:eastAsia="宋体" w:cs="宋体"/>
          <w:b w:val="0"/>
          <w:bCs w:val="0"/>
          <w:color w:val="auto"/>
          <w:sz w:val="21"/>
          <w:szCs w:val="21"/>
          <w:highlight w:val="none"/>
          <w:lang w:val="en-US" w:eastAsia="zh-CN"/>
        </w:rPr>
      </w:pPr>
      <w:bookmarkStart w:id="612" w:name="OLE_LINK28"/>
      <w:r>
        <w:rPr>
          <w:rFonts w:hint="eastAsia" w:ascii="宋体" w:hAnsi="宋体" w:eastAsia="宋体" w:cs="宋体"/>
          <w:b w:val="0"/>
          <w:bCs w:val="0"/>
          <w:color w:val="auto"/>
          <w:sz w:val="21"/>
          <w:szCs w:val="21"/>
          <w:highlight w:val="none"/>
          <w:lang w:val="en-US" w:eastAsia="zh-CN"/>
        </w:rPr>
        <w:t>4）</w:t>
      </w:r>
      <w:bookmarkEnd w:id="612"/>
      <w:r>
        <w:rPr>
          <w:rFonts w:hint="eastAsia" w:ascii="宋体" w:hAnsi="宋体" w:eastAsia="宋体" w:cs="宋体"/>
          <w:b w:val="0"/>
          <w:bCs w:val="0"/>
          <w:color w:val="auto"/>
          <w:szCs w:val="21"/>
          <w:highlight w:val="none"/>
        </w:rPr>
        <w:t>专项服务标准</w:t>
      </w:r>
      <w:r>
        <w:rPr>
          <w:rFonts w:hint="eastAsia" w:ascii="宋体" w:hAnsi="宋体" w:eastAsia="宋体" w:cs="宋体"/>
          <w:b w:val="0"/>
          <w:bCs w:val="0"/>
          <w:color w:val="auto"/>
          <w:sz w:val="21"/>
          <w:szCs w:val="21"/>
          <w:highlight w:val="none"/>
          <w:lang w:val="en-US" w:eastAsia="zh-CN"/>
        </w:rPr>
        <w:t>：</w:t>
      </w:r>
    </w:p>
    <w:p w14:paraId="650D325B">
      <w:pPr>
        <w:widowControl/>
        <w:numPr>
          <w:ilvl w:val="0"/>
          <w:numId w:val="0"/>
        </w:num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①垃圾分类与清运：严格执行东莞市垃圾分类规定，定时、定点、分类清运，垃圾房保持整洁、无虫鼠、无异味。</w:t>
      </w:r>
    </w:p>
    <w:p w14:paraId="5FC05521">
      <w:pPr>
        <w:widowControl/>
        <w:numPr>
          <w:ilvl w:val="0"/>
          <w:numId w:val="0"/>
        </w:num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②消杀服务：每月至少进行2次全面的虫害防治（灭鼠、灭蟑、灭蚊蝇</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灭白蚁</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rPr>
        <w:t>建立消杀记录，并在公共区域张贴温馨提示。</w:t>
      </w:r>
    </w:p>
    <w:p w14:paraId="4E35DE0A">
      <w:pPr>
        <w:widowControl/>
        <w:numPr>
          <w:ilvl w:val="0"/>
          <w:numId w:val="0"/>
        </w:num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③高空作业：所有高空清洁（如天花、灯具、高窗）必须由经过培训的专业人员使用专业工具进行，确保安全。</w:t>
      </w:r>
    </w:p>
    <w:p w14:paraId="68D3EF14">
      <w:pPr>
        <w:widowControl/>
        <w:numPr>
          <w:ilvl w:val="0"/>
          <w:numId w:val="0"/>
        </w:num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④重大会议保障：“需提供会议/活动前、中、后的重点区域专项保洁服务。会议期间，保洁人员需在指定区域待命，随时响应茶歇区、卫生间的清洁需求。”</w:t>
      </w:r>
    </w:p>
    <w:p w14:paraId="37590687">
      <w:pPr>
        <w:widowControl/>
        <w:numPr>
          <w:ilvl w:val="0"/>
          <w:numId w:val="0"/>
        </w:numPr>
        <w:spacing w:line="360" w:lineRule="auto"/>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⑤应急清洁响应：“建立应急响应机制，对于突发的污渍（如咖啡、茶水泼洒）、卫生间堵塞等情况，需承诺在15分钟内响应并到场处理。”</w:t>
      </w:r>
    </w:p>
    <w:p w14:paraId="5A3E48A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5）服务质量管理与监督</w:t>
      </w:r>
    </w:p>
    <w:p w14:paraId="79132C07">
      <w:pPr>
        <w:bidi w:val="0"/>
        <w:spacing w:line="360" w:lineRule="auto"/>
        <w:ind w:firstLine="420" w:firstLineChars="200"/>
        <w:outlineLvl w:val="3"/>
        <w:rPr>
          <w:rFonts w:hint="eastAsia" w:ascii="宋体" w:hAnsi="宋体" w:eastAsia="宋体" w:cs="宋体"/>
          <w:b w:val="0"/>
          <w:bCs w:val="0"/>
          <w:color w:val="auto"/>
          <w:szCs w:val="21"/>
        </w:rPr>
      </w:pPr>
      <w:r>
        <w:rPr>
          <w:rFonts w:hint="eastAsia" w:ascii="宋体" w:hAnsi="宋体" w:eastAsia="宋体" w:cs="宋体"/>
          <w:b w:val="0"/>
          <w:bCs w:val="0"/>
          <w:color w:val="auto"/>
          <w:szCs w:val="21"/>
        </w:rPr>
        <w:t>①人员要求：所有驻场服务人员需提供无犯罪记录证明，统一着装，佩戴工牌，行为规范，礼貌避人，使用“轻声服务”。</w:t>
      </w:r>
    </w:p>
    <w:p w14:paraId="454D4C8E">
      <w:pPr>
        <w:bidi w:val="0"/>
        <w:spacing w:line="360" w:lineRule="auto"/>
        <w:ind w:firstLine="420" w:firstLineChars="200"/>
        <w:outlineLvl w:val="3"/>
        <w:rPr>
          <w:rFonts w:hint="eastAsia" w:ascii="宋体" w:hAnsi="宋体" w:eastAsia="宋体" w:cs="宋体"/>
          <w:b w:val="0"/>
          <w:bCs w:val="0"/>
          <w:color w:val="auto"/>
          <w:szCs w:val="21"/>
        </w:rPr>
      </w:pPr>
      <w:r>
        <w:rPr>
          <w:rFonts w:hint="eastAsia" w:ascii="宋体" w:hAnsi="宋体" w:eastAsia="宋体" w:cs="宋体"/>
          <w:b w:val="0"/>
          <w:bCs w:val="0"/>
          <w:color w:val="auto"/>
          <w:szCs w:val="21"/>
        </w:rPr>
        <w:t>②设备与药剂：使用先进的清洁设备（如高速抛光机、吸水机、高效吸尘器）。使用环保、低毒的清洁药剂，并正确稀释和使用。</w:t>
      </w:r>
    </w:p>
    <w:p w14:paraId="5E3076E8">
      <w:pPr>
        <w:bidi w:val="0"/>
        <w:spacing w:line="360" w:lineRule="auto"/>
        <w:ind w:firstLine="420" w:firstLineChars="200"/>
        <w:outlineLvl w:val="3"/>
        <w:rPr>
          <w:rFonts w:hint="eastAsia" w:ascii="宋体" w:hAnsi="宋体" w:eastAsia="宋体" w:cs="宋体"/>
          <w:b w:val="0"/>
          <w:bCs w:val="0"/>
          <w:color w:val="auto"/>
          <w:szCs w:val="21"/>
        </w:rPr>
      </w:pPr>
      <w:r>
        <w:rPr>
          <w:rFonts w:hint="eastAsia" w:ascii="宋体" w:hAnsi="宋体" w:eastAsia="宋体" w:cs="宋体"/>
          <w:b w:val="0"/>
          <w:bCs w:val="0"/>
          <w:color w:val="auto"/>
          <w:szCs w:val="21"/>
        </w:rPr>
        <w:t>③检查机制：</w:t>
      </w:r>
    </w:p>
    <w:p w14:paraId="127C1F4B">
      <w:pPr>
        <w:bidi w:val="0"/>
        <w:spacing w:line="360" w:lineRule="auto"/>
        <w:ind w:firstLine="420" w:firstLineChars="200"/>
        <w:outlineLvl w:val="3"/>
        <w:rPr>
          <w:rFonts w:hint="eastAsia" w:ascii="宋体" w:hAnsi="宋体" w:eastAsia="宋体" w:cs="宋体"/>
          <w:b w:val="0"/>
          <w:bCs w:val="0"/>
          <w:color w:val="auto"/>
          <w:szCs w:val="21"/>
        </w:rPr>
      </w:pPr>
      <w:r>
        <w:rPr>
          <w:rFonts w:hint="eastAsia" w:ascii="宋体" w:hAnsi="宋体" w:eastAsia="宋体" w:cs="宋体"/>
          <w:b w:val="0"/>
          <w:bCs w:val="0"/>
          <w:color w:val="auto"/>
          <w:szCs w:val="21"/>
        </w:rPr>
        <w:t>日常巡检：保洁领班每日不定时巡查，并填写日常清洁巡检表。</w:t>
      </w:r>
    </w:p>
    <w:p w14:paraId="77155271">
      <w:pPr>
        <w:bidi w:val="0"/>
        <w:spacing w:line="360" w:lineRule="auto"/>
        <w:ind w:firstLine="420" w:firstLineChars="200"/>
        <w:outlineLvl w:val="3"/>
        <w:rPr>
          <w:rFonts w:hint="eastAsia" w:ascii="宋体" w:hAnsi="宋体" w:eastAsia="宋体" w:cs="宋体"/>
          <w:b w:val="0"/>
          <w:bCs w:val="0"/>
          <w:color w:val="auto"/>
          <w:szCs w:val="21"/>
        </w:rPr>
      </w:pPr>
      <w:r>
        <w:rPr>
          <w:rFonts w:hint="eastAsia" w:ascii="宋体" w:hAnsi="宋体" w:eastAsia="宋体" w:cs="宋体"/>
          <w:b w:val="0"/>
          <w:bCs w:val="0"/>
          <w:color w:val="auto"/>
          <w:szCs w:val="21"/>
        </w:rPr>
        <w:t>周检/月检：</w:t>
      </w:r>
      <w:r>
        <w:rPr>
          <w:rFonts w:hint="eastAsia" w:ascii="宋体" w:hAnsi="宋体" w:eastAsia="宋体" w:cs="宋体"/>
          <w:b w:val="0"/>
          <w:bCs w:val="0"/>
          <w:color w:val="auto"/>
          <w:szCs w:val="21"/>
          <w:lang w:val="en-US" w:eastAsia="zh-CN"/>
        </w:rPr>
        <w:t>双方</w:t>
      </w:r>
      <w:r>
        <w:rPr>
          <w:rFonts w:hint="eastAsia" w:ascii="宋体" w:hAnsi="宋体" w:eastAsia="宋体" w:cs="宋体"/>
          <w:b w:val="0"/>
          <w:bCs w:val="0"/>
          <w:color w:val="auto"/>
          <w:szCs w:val="21"/>
        </w:rPr>
        <w:t>共同进行联合检查，并评分。</w:t>
      </w:r>
    </w:p>
    <w:p w14:paraId="429395B6">
      <w:pPr>
        <w:bidi w:val="0"/>
        <w:spacing w:line="360" w:lineRule="auto"/>
        <w:ind w:firstLine="420" w:firstLineChars="200"/>
        <w:outlineLvl w:val="3"/>
        <w:rPr>
          <w:rFonts w:hint="eastAsia" w:ascii="宋体" w:hAnsi="宋体" w:eastAsia="宋体" w:cs="宋体"/>
          <w:b w:val="0"/>
          <w:bCs w:val="0"/>
          <w:color w:val="auto"/>
          <w:szCs w:val="21"/>
        </w:rPr>
      </w:pPr>
      <w:r>
        <w:rPr>
          <w:rFonts w:hint="eastAsia" w:ascii="宋体" w:hAnsi="宋体" w:eastAsia="宋体" w:cs="宋体"/>
          <w:b w:val="0"/>
          <w:bCs w:val="0"/>
          <w:color w:val="auto"/>
          <w:szCs w:val="21"/>
        </w:rPr>
        <w:t>客户反馈：设立线上反馈二维码，张贴在卫生间、茶水间等显眼位置，确保问题能在第一时间被上报和处理。</w:t>
      </w:r>
    </w:p>
    <w:p w14:paraId="5A54296C">
      <w:pPr>
        <w:bidi w:val="0"/>
        <w:spacing w:line="360" w:lineRule="auto"/>
        <w:ind w:firstLine="420" w:firstLineChars="200"/>
        <w:outlineLvl w:val="3"/>
        <w:rPr>
          <w:rFonts w:hint="eastAsia" w:ascii="宋体" w:hAnsi="宋体" w:eastAsia="宋体" w:cs="宋体"/>
          <w:b w:val="0"/>
          <w:bCs w:val="0"/>
          <w:color w:val="auto"/>
          <w:szCs w:val="21"/>
        </w:rPr>
      </w:pPr>
      <w:r>
        <w:rPr>
          <w:rFonts w:hint="eastAsia" w:ascii="宋体" w:hAnsi="宋体" w:eastAsia="宋体" w:cs="宋体"/>
          <w:b w:val="0"/>
          <w:bCs w:val="0"/>
          <w:color w:val="auto"/>
          <w:szCs w:val="21"/>
        </w:rPr>
        <w:t>④文件记录：所有清洁计划、巡检记录、消杀报告、物料领用记录等均应存档备查。</w:t>
      </w:r>
    </w:p>
    <w:p w14:paraId="23F56741">
      <w:pPr>
        <w:bidi w:val="0"/>
        <w:spacing w:line="360" w:lineRule="auto"/>
        <w:ind w:firstLine="420" w:firstLineChars="200"/>
        <w:outlineLvl w:val="3"/>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Cs w:val="21"/>
          <w:lang w:val="en-US" w:eastAsia="zh-CN"/>
        </w:rPr>
        <w:t>⑤室内区域</w:t>
      </w:r>
      <w:r>
        <w:rPr>
          <w:rFonts w:hint="eastAsia" w:ascii="宋体" w:hAnsi="宋体" w:eastAsia="宋体" w:cs="宋体"/>
          <w:b w:val="0"/>
          <w:bCs w:val="0"/>
          <w:color w:val="auto"/>
          <w:sz w:val="21"/>
          <w:szCs w:val="21"/>
          <w:highlight w:val="none"/>
        </w:rPr>
        <w:t>清洁保洁服务</w:t>
      </w:r>
      <w:r>
        <w:rPr>
          <w:rFonts w:hint="eastAsia" w:ascii="宋体" w:hAnsi="宋体" w:eastAsia="宋体" w:cs="宋体"/>
          <w:b w:val="0"/>
          <w:bCs w:val="0"/>
          <w:color w:val="auto"/>
          <w:sz w:val="21"/>
          <w:szCs w:val="21"/>
          <w:highlight w:val="none"/>
          <w:lang w:val="en-US" w:eastAsia="zh-CN"/>
        </w:rPr>
        <w:t>考核</w:t>
      </w:r>
    </w:p>
    <w:p w14:paraId="5E214D4D">
      <w:pPr>
        <w:bidi w:val="0"/>
        <w:spacing w:line="360" w:lineRule="auto"/>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考核与费用核减机制</w:t>
      </w:r>
      <w:r>
        <w:rPr>
          <w:rFonts w:hint="eastAsia" w:ascii="宋体" w:hAnsi="宋体" w:eastAsia="宋体" w:cs="宋体"/>
          <w:b w:val="0"/>
          <w:bCs w:val="0"/>
          <w:color w:val="auto"/>
          <w:sz w:val="21"/>
          <w:szCs w:val="21"/>
          <w:lang w:val="en-US" w:eastAsia="zh-CN"/>
        </w:rPr>
        <w:t>:</w:t>
      </w:r>
    </w:p>
    <w:p w14:paraId="15FE7008">
      <w:pPr>
        <w:pStyle w:val="18"/>
        <w:widowControl/>
        <w:numPr>
          <w:ilvl w:val="0"/>
          <w:numId w:val="0"/>
        </w:numPr>
        <w:spacing w:line="360" w:lineRule="auto"/>
        <w:ind w:firstLine="420" w:firstLineChars="20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i w:val="0"/>
          <w:color w:val="auto"/>
          <w:sz w:val="21"/>
          <w:szCs w:val="21"/>
        </w:rPr>
        <w:t>月度应付服务费基数：本月度应付服务费基数根据合同约定，按实际派驻的清洁员人数及对应单价计算。计算公式：月度应付服务费基数=Σ</w:t>
      </w:r>
      <w:r>
        <w:rPr>
          <w:rFonts w:hint="eastAsia" w:ascii="宋体" w:hAnsi="宋体" w:eastAsia="宋体" w:cs="宋体"/>
          <w:b w:val="0"/>
          <w:bCs w:val="0"/>
          <w:i w:val="0"/>
          <w:color w:val="auto"/>
          <w:sz w:val="21"/>
          <w:szCs w:val="21"/>
          <w:lang w:eastAsia="zh-CN"/>
        </w:rPr>
        <w:t>（</w:t>
      </w:r>
      <w:r>
        <w:rPr>
          <w:rFonts w:hint="eastAsia" w:ascii="宋体" w:hAnsi="宋体" w:eastAsia="宋体" w:cs="宋体"/>
          <w:b w:val="0"/>
          <w:bCs w:val="0"/>
          <w:i w:val="0"/>
          <w:color w:val="auto"/>
          <w:sz w:val="21"/>
          <w:szCs w:val="21"/>
        </w:rPr>
        <w:t>各岗位清洁员人数×对应岗位单价</w:t>
      </w:r>
      <w:r>
        <w:rPr>
          <w:rFonts w:hint="eastAsia" w:ascii="宋体" w:hAnsi="宋体" w:eastAsia="宋体" w:cs="宋体"/>
          <w:b w:val="0"/>
          <w:bCs w:val="0"/>
          <w:i w:val="0"/>
          <w:color w:val="auto"/>
          <w:sz w:val="21"/>
          <w:szCs w:val="21"/>
          <w:lang w:eastAsia="zh-CN"/>
        </w:rPr>
        <w:t>）</w:t>
      </w:r>
    </w:p>
    <w:p w14:paraId="4BA01244">
      <w:pPr>
        <w:pStyle w:val="18"/>
        <w:widowControl/>
        <w:numPr>
          <w:ilvl w:val="0"/>
          <w:numId w:val="0"/>
        </w:numPr>
        <w:spacing w:line="360" w:lineRule="auto"/>
        <w:ind w:firstLine="420" w:firstLineChars="200"/>
        <w:jc w:val="left"/>
        <w:rPr>
          <w:rFonts w:hint="eastAsia" w:ascii="宋体" w:hAnsi="宋体" w:eastAsia="宋体" w:cs="宋体"/>
          <w:b w:val="0"/>
          <w:bCs w:val="0"/>
          <w:color w:val="auto"/>
          <w:sz w:val="21"/>
          <w:szCs w:val="21"/>
        </w:rPr>
      </w:pPr>
      <w:r>
        <w:rPr>
          <w:rFonts w:hint="eastAsia" w:ascii="宋体" w:hAnsi="宋体" w:eastAsia="宋体" w:cs="宋体"/>
          <w:b w:val="0"/>
          <w:bCs w:val="0"/>
          <w:i w:val="0"/>
          <w:color w:val="auto"/>
          <w:sz w:val="21"/>
          <w:szCs w:val="21"/>
        </w:rPr>
        <w:t>评分与费用核减规则：最终支付的服务费将根据本月度考核综合得分，在“月度应付服务费基数”的基础上进行核减。</w:t>
      </w:r>
    </w:p>
    <w:tbl>
      <w:tblPr>
        <w:tblStyle w:val="41"/>
        <w:tblW w:w="5258" w:type="pct"/>
        <w:tblInd w:w="0" w:type="dxa"/>
        <w:tblBorders>
          <w:top w:val="single" w:color="000000" w:sz="0" w:space="0"/>
          <w:left w:val="none" w:color="auto" w:sz="0" w:space="0"/>
          <w:bottom w:val="single" w:color="000000"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1293"/>
        <w:gridCol w:w="1055"/>
        <w:gridCol w:w="2156"/>
        <w:gridCol w:w="6195"/>
      </w:tblGrid>
      <w:tr w14:paraId="34B8D323">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08" w:hRule="atLeast"/>
          <w:tblHeader/>
        </w:trPr>
        <w:tc>
          <w:tcPr>
            <w:tcW w:w="604" w:type="pct"/>
            <w:tcBorders>
              <w:top w:val="single" w:color="auto" w:sz="4" w:space="0"/>
              <w:left w:val="single" w:color="auto" w:sz="4" w:space="0"/>
              <w:bottom w:val="single" w:color="auto" w:sz="4" w:space="0"/>
              <w:right w:val="single" w:color="auto" w:sz="4" w:space="0"/>
            </w:tcBorders>
            <w:noWrap w:val="0"/>
            <w:vAlign w:val="center"/>
          </w:tcPr>
          <w:p w14:paraId="5F7089EB">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i w:val="0"/>
                <w:iCs w:val="0"/>
                <w:color w:val="auto"/>
                <w:sz w:val="21"/>
                <w:szCs w:val="21"/>
              </w:rPr>
              <w:t>月度综合得分</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S</w:t>
            </w:r>
            <w:r>
              <w:rPr>
                <w:rFonts w:hint="eastAsia" w:ascii="宋体" w:hAnsi="宋体" w:eastAsia="宋体" w:cs="宋体"/>
                <w:b w:val="0"/>
                <w:bCs w:val="0"/>
                <w:i w:val="0"/>
                <w:iCs w:val="0"/>
                <w:color w:val="auto"/>
                <w:sz w:val="21"/>
                <w:szCs w:val="21"/>
                <w:lang w:eastAsia="zh-CN"/>
              </w:rPr>
              <w:t>）</w:t>
            </w:r>
          </w:p>
        </w:tc>
        <w:tc>
          <w:tcPr>
            <w:tcW w:w="493" w:type="pct"/>
            <w:tcBorders>
              <w:top w:val="single" w:color="auto" w:sz="4" w:space="0"/>
              <w:left w:val="single" w:color="auto" w:sz="4" w:space="0"/>
              <w:bottom w:val="single" w:color="auto" w:sz="4" w:space="0"/>
              <w:right w:val="single" w:color="auto" w:sz="4" w:space="0"/>
            </w:tcBorders>
            <w:noWrap w:val="0"/>
            <w:vAlign w:val="center"/>
          </w:tcPr>
          <w:p w14:paraId="0538B526">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绩效等级</w:t>
            </w:r>
          </w:p>
        </w:tc>
        <w:tc>
          <w:tcPr>
            <w:tcW w:w="1007" w:type="pct"/>
            <w:tcBorders>
              <w:top w:val="single" w:color="auto" w:sz="4" w:space="0"/>
              <w:left w:val="single" w:color="auto" w:sz="4" w:space="0"/>
              <w:bottom w:val="single" w:color="auto" w:sz="4" w:space="0"/>
              <w:right w:val="single" w:color="auto" w:sz="4" w:space="0"/>
            </w:tcBorders>
            <w:noWrap w:val="0"/>
            <w:vAlign w:val="center"/>
          </w:tcPr>
          <w:p w14:paraId="57FB4C49">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i w:val="0"/>
                <w:iCs w:val="0"/>
                <w:color w:val="auto"/>
                <w:sz w:val="21"/>
                <w:szCs w:val="21"/>
              </w:rPr>
              <w:t>费用核减比例</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从应付基数中扣除</w:t>
            </w:r>
            <w:r>
              <w:rPr>
                <w:rFonts w:hint="eastAsia" w:ascii="宋体" w:hAnsi="宋体" w:eastAsia="宋体" w:cs="宋体"/>
                <w:b w:val="0"/>
                <w:bCs w:val="0"/>
                <w:i w:val="0"/>
                <w:iCs w:val="0"/>
                <w:color w:val="auto"/>
                <w:sz w:val="21"/>
                <w:szCs w:val="21"/>
                <w:lang w:eastAsia="zh-CN"/>
              </w:rPr>
              <w:t>）</w:t>
            </w:r>
          </w:p>
        </w:tc>
        <w:tc>
          <w:tcPr>
            <w:tcW w:w="2894" w:type="pct"/>
            <w:tcBorders>
              <w:top w:val="single" w:color="auto" w:sz="4" w:space="0"/>
              <w:left w:val="single" w:color="auto" w:sz="4" w:space="0"/>
              <w:bottom w:val="single" w:color="auto" w:sz="4" w:space="0"/>
              <w:right w:val="single" w:color="auto" w:sz="4" w:space="0"/>
            </w:tcBorders>
            <w:noWrap w:val="0"/>
            <w:vAlign w:val="center"/>
          </w:tcPr>
          <w:p w14:paraId="3A1909D4">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说明</w:t>
            </w:r>
          </w:p>
        </w:tc>
      </w:tr>
      <w:tr w14:paraId="47A7A28A">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64" w:hRule="atLeast"/>
        </w:trPr>
        <w:tc>
          <w:tcPr>
            <w:tcW w:w="604" w:type="pct"/>
            <w:tcBorders>
              <w:top w:val="single" w:color="auto" w:sz="4" w:space="0"/>
              <w:left w:val="single" w:color="auto" w:sz="4" w:space="0"/>
              <w:bottom w:val="single" w:color="auto" w:sz="4" w:space="0"/>
              <w:right w:val="single" w:color="auto" w:sz="4" w:space="0"/>
            </w:tcBorders>
            <w:noWrap w:val="0"/>
            <w:vAlign w:val="center"/>
          </w:tcPr>
          <w:p w14:paraId="10E0000B">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S≥95分</w:t>
            </w:r>
          </w:p>
        </w:tc>
        <w:tc>
          <w:tcPr>
            <w:tcW w:w="493" w:type="pct"/>
            <w:tcBorders>
              <w:top w:val="single" w:color="auto" w:sz="4" w:space="0"/>
              <w:left w:val="single" w:color="auto" w:sz="4" w:space="0"/>
              <w:bottom w:val="single" w:color="auto" w:sz="4" w:space="0"/>
              <w:right w:val="single" w:color="auto" w:sz="4" w:space="0"/>
            </w:tcBorders>
            <w:noWrap w:val="0"/>
            <w:vAlign w:val="center"/>
          </w:tcPr>
          <w:p w14:paraId="2F94D8D1">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好</w:t>
            </w:r>
          </w:p>
        </w:tc>
        <w:tc>
          <w:tcPr>
            <w:tcW w:w="1007" w:type="pct"/>
            <w:tcBorders>
              <w:top w:val="single" w:color="auto" w:sz="4" w:space="0"/>
              <w:left w:val="single" w:color="auto" w:sz="4" w:space="0"/>
              <w:bottom w:val="single" w:color="auto" w:sz="4" w:space="0"/>
              <w:right w:val="single" w:color="auto" w:sz="4" w:space="0"/>
            </w:tcBorders>
            <w:noWrap w:val="0"/>
            <w:vAlign w:val="center"/>
          </w:tcPr>
          <w:p w14:paraId="564011E5">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i w:val="0"/>
                <w:iCs w:val="0"/>
                <w:color w:val="auto"/>
                <w:sz w:val="21"/>
                <w:szCs w:val="21"/>
              </w:rPr>
              <w:t>0%</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不扣款</w:t>
            </w:r>
            <w:r>
              <w:rPr>
                <w:rFonts w:hint="eastAsia" w:ascii="宋体" w:hAnsi="宋体" w:eastAsia="宋体" w:cs="宋体"/>
                <w:b w:val="0"/>
                <w:bCs w:val="0"/>
                <w:i w:val="0"/>
                <w:iCs w:val="0"/>
                <w:color w:val="auto"/>
                <w:sz w:val="21"/>
                <w:szCs w:val="21"/>
                <w:lang w:eastAsia="zh-CN"/>
              </w:rPr>
              <w:t>）</w:t>
            </w:r>
          </w:p>
        </w:tc>
        <w:tc>
          <w:tcPr>
            <w:tcW w:w="2894" w:type="pct"/>
            <w:tcBorders>
              <w:top w:val="single" w:color="auto" w:sz="4" w:space="0"/>
              <w:left w:val="single" w:color="auto" w:sz="4" w:space="0"/>
              <w:bottom w:val="single" w:color="auto" w:sz="4" w:space="0"/>
              <w:right w:val="single" w:color="auto" w:sz="4" w:space="0"/>
            </w:tcBorders>
            <w:noWrap w:val="0"/>
            <w:vAlign w:val="center"/>
          </w:tcPr>
          <w:p w14:paraId="285CB19A">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服务品质优秀，超出预期，值得表扬。</w:t>
            </w:r>
          </w:p>
        </w:tc>
      </w:tr>
      <w:tr w14:paraId="5DCE1988">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08" w:hRule="atLeast"/>
        </w:trPr>
        <w:tc>
          <w:tcPr>
            <w:tcW w:w="604" w:type="pct"/>
            <w:tcBorders>
              <w:top w:val="single" w:color="auto" w:sz="4" w:space="0"/>
              <w:left w:val="single" w:color="auto" w:sz="4" w:space="0"/>
              <w:bottom w:val="single" w:color="auto" w:sz="4" w:space="0"/>
              <w:right w:val="single" w:color="auto" w:sz="4" w:space="0"/>
            </w:tcBorders>
            <w:noWrap w:val="0"/>
            <w:vAlign w:val="center"/>
          </w:tcPr>
          <w:p w14:paraId="164D217D">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85分≤S&lt;95分</w:t>
            </w:r>
          </w:p>
        </w:tc>
        <w:tc>
          <w:tcPr>
            <w:tcW w:w="493" w:type="pct"/>
            <w:tcBorders>
              <w:top w:val="single" w:color="auto" w:sz="4" w:space="0"/>
              <w:left w:val="single" w:color="auto" w:sz="4" w:space="0"/>
              <w:bottom w:val="single" w:color="auto" w:sz="4" w:space="0"/>
              <w:right w:val="single" w:color="auto" w:sz="4" w:space="0"/>
            </w:tcBorders>
            <w:noWrap w:val="0"/>
            <w:vAlign w:val="center"/>
          </w:tcPr>
          <w:p w14:paraId="5B5DD8AC">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标准</w:t>
            </w:r>
          </w:p>
        </w:tc>
        <w:tc>
          <w:tcPr>
            <w:tcW w:w="1007" w:type="pct"/>
            <w:tcBorders>
              <w:top w:val="single" w:color="auto" w:sz="4" w:space="0"/>
              <w:left w:val="single" w:color="auto" w:sz="4" w:space="0"/>
              <w:bottom w:val="single" w:color="auto" w:sz="4" w:space="0"/>
              <w:right w:val="single" w:color="auto" w:sz="4" w:space="0"/>
            </w:tcBorders>
            <w:noWrap w:val="0"/>
            <w:vAlign w:val="center"/>
          </w:tcPr>
          <w:p w14:paraId="72456A01">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i w:val="0"/>
                <w:iCs w:val="0"/>
                <w:color w:val="auto"/>
                <w:sz w:val="21"/>
                <w:szCs w:val="21"/>
              </w:rPr>
              <w:t>0%</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不扣款</w:t>
            </w:r>
            <w:r>
              <w:rPr>
                <w:rFonts w:hint="eastAsia" w:ascii="宋体" w:hAnsi="宋体" w:eastAsia="宋体" w:cs="宋体"/>
                <w:b w:val="0"/>
                <w:bCs w:val="0"/>
                <w:i w:val="0"/>
                <w:iCs w:val="0"/>
                <w:color w:val="auto"/>
                <w:sz w:val="21"/>
                <w:szCs w:val="21"/>
                <w:lang w:eastAsia="zh-CN"/>
              </w:rPr>
              <w:t>）</w:t>
            </w:r>
          </w:p>
        </w:tc>
        <w:tc>
          <w:tcPr>
            <w:tcW w:w="2894" w:type="pct"/>
            <w:tcBorders>
              <w:top w:val="single" w:color="auto" w:sz="4" w:space="0"/>
              <w:left w:val="single" w:color="auto" w:sz="4" w:space="0"/>
              <w:bottom w:val="single" w:color="auto" w:sz="4" w:space="0"/>
              <w:right w:val="single" w:color="auto" w:sz="4" w:space="0"/>
            </w:tcBorders>
            <w:noWrap w:val="0"/>
            <w:vAlign w:val="center"/>
          </w:tcPr>
          <w:p w14:paraId="1097C8C4">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此为合同要求的基础服务水平。全面达到约定标准，服务质量稳定可靠。</w:t>
            </w:r>
          </w:p>
        </w:tc>
      </w:tr>
      <w:tr w14:paraId="0EC09CCE">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08" w:hRule="atLeast"/>
        </w:trPr>
        <w:tc>
          <w:tcPr>
            <w:tcW w:w="604" w:type="pct"/>
            <w:tcBorders>
              <w:top w:val="single" w:color="auto" w:sz="4" w:space="0"/>
              <w:left w:val="single" w:color="auto" w:sz="4" w:space="0"/>
              <w:bottom w:val="single" w:color="auto" w:sz="4" w:space="0"/>
              <w:right w:val="single" w:color="auto" w:sz="4" w:space="0"/>
            </w:tcBorders>
            <w:noWrap w:val="0"/>
            <w:vAlign w:val="center"/>
          </w:tcPr>
          <w:p w14:paraId="6D294328">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75分≤S&lt;85分</w:t>
            </w:r>
          </w:p>
        </w:tc>
        <w:tc>
          <w:tcPr>
            <w:tcW w:w="493" w:type="pct"/>
            <w:tcBorders>
              <w:top w:val="single" w:color="auto" w:sz="4" w:space="0"/>
              <w:left w:val="single" w:color="auto" w:sz="4" w:space="0"/>
              <w:bottom w:val="single" w:color="auto" w:sz="4" w:space="0"/>
              <w:right w:val="single" w:color="auto" w:sz="4" w:space="0"/>
            </w:tcBorders>
            <w:noWrap w:val="0"/>
            <w:vAlign w:val="center"/>
          </w:tcPr>
          <w:p w14:paraId="18A6A2F5">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合格</w:t>
            </w:r>
          </w:p>
        </w:tc>
        <w:tc>
          <w:tcPr>
            <w:tcW w:w="1007" w:type="pct"/>
            <w:tcBorders>
              <w:top w:val="single" w:color="auto" w:sz="4" w:space="0"/>
              <w:left w:val="single" w:color="auto" w:sz="4" w:space="0"/>
              <w:bottom w:val="single" w:color="auto" w:sz="4" w:space="0"/>
              <w:right w:val="single" w:color="auto" w:sz="4" w:space="0"/>
            </w:tcBorders>
            <w:noWrap w:val="0"/>
            <w:vAlign w:val="center"/>
          </w:tcPr>
          <w:p w14:paraId="7773E87A">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固定核减5%</w:t>
            </w:r>
          </w:p>
        </w:tc>
        <w:tc>
          <w:tcPr>
            <w:tcW w:w="2894" w:type="pct"/>
            <w:tcBorders>
              <w:top w:val="single" w:color="auto" w:sz="4" w:space="0"/>
              <w:left w:val="single" w:color="auto" w:sz="4" w:space="0"/>
              <w:bottom w:val="single" w:color="auto" w:sz="4" w:space="0"/>
              <w:right w:val="single" w:color="auto" w:sz="4" w:space="0"/>
            </w:tcBorders>
            <w:noWrap w:val="0"/>
            <w:vAlign w:val="center"/>
          </w:tcPr>
          <w:p w14:paraId="10D96958">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服务基本达标，但存在个别问题，需提交书面整改报告。</w:t>
            </w:r>
          </w:p>
        </w:tc>
      </w:tr>
      <w:tr w14:paraId="47191827">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08" w:hRule="atLeast"/>
        </w:trPr>
        <w:tc>
          <w:tcPr>
            <w:tcW w:w="604" w:type="pct"/>
            <w:tcBorders>
              <w:top w:val="single" w:color="auto" w:sz="4" w:space="0"/>
              <w:left w:val="single" w:color="auto" w:sz="4" w:space="0"/>
              <w:bottom w:val="single" w:color="auto" w:sz="4" w:space="0"/>
              <w:right w:val="single" w:color="auto" w:sz="4" w:space="0"/>
            </w:tcBorders>
            <w:noWrap w:val="0"/>
            <w:vAlign w:val="center"/>
          </w:tcPr>
          <w:p w14:paraId="0A7B20AA">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60分≤S&lt;75分</w:t>
            </w:r>
          </w:p>
        </w:tc>
        <w:tc>
          <w:tcPr>
            <w:tcW w:w="493" w:type="pct"/>
            <w:tcBorders>
              <w:top w:val="single" w:color="auto" w:sz="4" w:space="0"/>
              <w:left w:val="single" w:color="auto" w:sz="4" w:space="0"/>
              <w:bottom w:val="single" w:color="auto" w:sz="4" w:space="0"/>
              <w:right w:val="single" w:color="auto" w:sz="4" w:space="0"/>
            </w:tcBorders>
            <w:noWrap w:val="0"/>
            <w:vAlign w:val="center"/>
          </w:tcPr>
          <w:p w14:paraId="4BA3A35F">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待改进</w:t>
            </w:r>
          </w:p>
        </w:tc>
        <w:tc>
          <w:tcPr>
            <w:tcW w:w="1007" w:type="pct"/>
            <w:tcBorders>
              <w:top w:val="single" w:color="auto" w:sz="4" w:space="0"/>
              <w:left w:val="single" w:color="auto" w:sz="4" w:space="0"/>
              <w:bottom w:val="single" w:color="auto" w:sz="4" w:space="0"/>
              <w:right w:val="single" w:color="auto" w:sz="4" w:space="0"/>
            </w:tcBorders>
            <w:noWrap w:val="0"/>
            <w:vAlign w:val="center"/>
          </w:tcPr>
          <w:p w14:paraId="39B5FE1B">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固定核减15%</w:t>
            </w:r>
          </w:p>
        </w:tc>
        <w:tc>
          <w:tcPr>
            <w:tcW w:w="2894" w:type="pct"/>
            <w:tcBorders>
              <w:top w:val="single" w:color="auto" w:sz="4" w:space="0"/>
              <w:left w:val="single" w:color="auto" w:sz="4" w:space="0"/>
              <w:bottom w:val="single" w:color="auto" w:sz="4" w:space="0"/>
              <w:right w:val="single" w:color="auto" w:sz="4" w:space="0"/>
            </w:tcBorders>
            <w:noWrap w:val="0"/>
            <w:vAlign w:val="center"/>
          </w:tcPr>
          <w:p w14:paraId="4FEFE352">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出现多项、重复性问题，服务质量明显不达标。需提交专项整改计划，并由双方管理层共同复核。</w:t>
            </w:r>
          </w:p>
        </w:tc>
      </w:tr>
      <w:tr w14:paraId="3AE2AC46">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064" w:hRule="atLeast"/>
        </w:trPr>
        <w:tc>
          <w:tcPr>
            <w:tcW w:w="604" w:type="pct"/>
            <w:tcBorders>
              <w:top w:val="single" w:color="auto" w:sz="4" w:space="0"/>
              <w:left w:val="single" w:color="auto" w:sz="4" w:space="0"/>
              <w:bottom w:val="single" w:color="auto" w:sz="4" w:space="0"/>
              <w:right w:val="single" w:color="auto" w:sz="4" w:space="0"/>
            </w:tcBorders>
            <w:noWrap w:val="0"/>
            <w:vAlign w:val="center"/>
          </w:tcPr>
          <w:p w14:paraId="3862996B">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S&lt;60分</w:t>
            </w:r>
          </w:p>
        </w:tc>
        <w:tc>
          <w:tcPr>
            <w:tcW w:w="493" w:type="pct"/>
            <w:tcBorders>
              <w:top w:val="single" w:color="auto" w:sz="4" w:space="0"/>
              <w:left w:val="single" w:color="auto" w:sz="4" w:space="0"/>
              <w:bottom w:val="single" w:color="auto" w:sz="4" w:space="0"/>
              <w:right w:val="single" w:color="auto" w:sz="4" w:space="0"/>
            </w:tcBorders>
            <w:noWrap w:val="0"/>
            <w:vAlign w:val="center"/>
          </w:tcPr>
          <w:p w14:paraId="50560F70">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不合格</w:t>
            </w:r>
          </w:p>
        </w:tc>
        <w:tc>
          <w:tcPr>
            <w:tcW w:w="1007" w:type="pct"/>
            <w:tcBorders>
              <w:top w:val="single" w:color="auto" w:sz="4" w:space="0"/>
              <w:left w:val="single" w:color="auto" w:sz="4" w:space="0"/>
              <w:bottom w:val="single" w:color="auto" w:sz="4" w:space="0"/>
              <w:right w:val="single" w:color="auto" w:sz="4" w:space="0"/>
            </w:tcBorders>
            <w:noWrap w:val="0"/>
            <w:vAlign w:val="center"/>
          </w:tcPr>
          <w:p w14:paraId="1862EC54">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固定核减30%</w:t>
            </w:r>
          </w:p>
        </w:tc>
        <w:tc>
          <w:tcPr>
            <w:tcW w:w="2894" w:type="pct"/>
            <w:tcBorders>
              <w:top w:val="single" w:color="auto" w:sz="4" w:space="0"/>
              <w:left w:val="single" w:color="auto" w:sz="4" w:space="0"/>
              <w:bottom w:val="single" w:color="auto" w:sz="4" w:space="0"/>
              <w:right w:val="single" w:color="auto" w:sz="4" w:space="0"/>
            </w:tcBorders>
            <w:noWrap w:val="0"/>
            <w:vAlign w:val="center"/>
          </w:tcPr>
          <w:p w14:paraId="64D0BA96">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服务存在严重缺陷，影响集团正常办公及企业形象。将触发合同违约条款，集团保留进一步追究责任及终止合同的权利。</w:t>
            </w:r>
          </w:p>
        </w:tc>
      </w:tr>
    </w:tbl>
    <w:p w14:paraId="5EE235B0">
      <w:pPr>
        <w:pStyle w:val="18"/>
        <w:widowControl/>
        <w:numPr>
          <w:ilvl w:val="0"/>
          <w:numId w:val="0"/>
        </w:numPr>
        <w:spacing w:line="360" w:lineRule="auto"/>
        <w:ind w:firstLine="420" w:firstLineChars="20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i w:val="0"/>
          <w:color w:val="auto"/>
          <w:sz w:val="21"/>
          <w:szCs w:val="21"/>
        </w:rPr>
        <w:t>重大问题处理规则：如在考核期内发生以下任何一项重大问题，无论总分多少，当月服务费直接按“不合格”等级处理，即固定核减30%的费用：</w:t>
      </w:r>
      <w:r>
        <w:rPr>
          <w:rFonts w:hint="eastAsia" w:ascii="宋体" w:hAnsi="宋体" w:eastAsia="宋体" w:cs="宋体"/>
          <w:b w:val="0"/>
          <w:bCs w:val="0"/>
          <w:i w:val="0"/>
          <w:color w:val="auto"/>
          <w:sz w:val="21"/>
          <w:szCs w:val="21"/>
          <w:lang w:val="en-US" w:eastAsia="zh-CN"/>
        </w:rPr>
        <w:t>1.</w:t>
      </w:r>
      <w:r>
        <w:rPr>
          <w:rFonts w:hint="eastAsia" w:ascii="宋体" w:hAnsi="宋体" w:eastAsia="宋体" w:cs="宋体"/>
          <w:b w:val="0"/>
          <w:bCs w:val="0"/>
          <w:i w:val="0"/>
          <w:color w:val="auto"/>
          <w:sz w:val="21"/>
          <w:szCs w:val="21"/>
        </w:rPr>
        <w:t>发生安全生产责任事故。</w:t>
      </w:r>
      <w:r>
        <w:rPr>
          <w:rFonts w:hint="eastAsia" w:ascii="宋体" w:hAnsi="宋体" w:eastAsia="宋体" w:cs="宋体"/>
          <w:b w:val="0"/>
          <w:bCs w:val="0"/>
          <w:i w:val="0"/>
          <w:color w:val="auto"/>
          <w:sz w:val="21"/>
          <w:szCs w:val="21"/>
          <w:lang w:val="en-US" w:eastAsia="zh-CN"/>
        </w:rPr>
        <w:t>2.</w:t>
      </w:r>
      <w:r>
        <w:rPr>
          <w:rFonts w:hint="eastAsia" w:ascii="宋体" w:hAnsi="宋体" w:eastAsia="宋体" w:cs="宋体"/>
          <w:b w:val="0"/>
          <w:bCs w:val="0"/>
          <w:i w:val="0"/>
          <w:color w:val="auto"/>
          <w:sz w:val="21"/>
          <w:szCs w:val="21"/>
        </w:rPr>
        <w:t>因清洁疏忽导致设施设备严重损坏。</w:t>
      </w:r>
      <w:r>
        <w:rPr>
          <w:rFonts w:hint="eastAsia" w:ascii="宋体" w:hAnsi="宋体" w:eastAsia="宋体" w:cs="宋体"/>
          <w:b w:val="0"/>
          <w:bCs w:val="0"/>
          <w:i w:val="0"/>
          <w:color w:val="auto"/>
          <w:sz w:val="21"/>
          <w:szCs w:val="21"/>
          <w:lang w:val="en-US" w:eastAsia="zh-CN"/>
        </w:rPr>
        <w:t>3.发生严重违反保密协议的行为。</w:t>
      </w:r>
    </w:p>
    <w:p w14:paraId="3B2C1551">
      <w:pPr>
        <w:bidi w:val="0"/>
        <w:spacing w:line="360" w:lineRule="auto"/>
        <w:ind w:firstLine="420" w:firstLineChars="200"/>
        <w:outlineLvl w:val="3"/>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Cs w:val="21"/>
        </w:rPr>
        <w:t>评分细则</w:t>
      </w:r>
      <w:r>
        <w:rPr>
          <w:rFonts w:hint="eastAsia" w:ascii="宋体" w:hAnsi="宋体" w:eastAsia="宋体" w:cs="宋体"/>
          <w:b w:val="0"/>
          <w:bCs w:val="0"/>
          <w:color w:val="auto"/>
          <w:szCs w:val="21"/>
          <w:lang w:eastAsia="zh-CN"/>
        </w:rPr>
        <w:t>（</w:t>
      </w:r>
      <w:r>
        <w:rPr>
          <w:rFonts w:hint="eastAsia" w:ascii="宋体" w:hAnsi="宋体" w:eastAsia="宋体" w:cs="宋体"/>
          <w:b w:val="0"/>
          <w:bCs w:val="0"/>
          <w:color w:val="auto"/>
          <w:szCs w:val="21"/>
        </w:rPr>
        <w:t>总分100分</w:t>
      </w:r>
      <w:r>
        <w:rPr>
          <w:rFonts w:hint="eastAsia" w:ascii="宋体" w:hAnsi="宋体" w:eastAsia="宋体" w:cs="宋体"/>
          <w:b w:val="0"/>
          <w:bCs w:val="0"/>
          <w:color w:val="auto"/>
          <w:szCs w:val="21"/>
          <w:lang w:eastAsia="zh-CN"/>
        </w:rPr>
        <w:t>）</w:t>
      </w:r>
      <w:r>
        <w:rPr>
          <w:rFonts w:hint="eastAsia" w:ascii="宋体" w:hAnsi="宋体" w:eastAsia="宋体" w:cs="宋体"/>
          <w:b w:val="0"/>
          <w:bCs w:val="0"/>
          <w:color w:val="auto"/>
          <w:szCs w:val="21"/>
          <w:lang w:val="en-US" w:eastAsia="zh-CN"/>
        </w:rPr>
        <w:t>:</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60"/>
        <w:gridCol w:w="712"/>
        <w:gridCol w:w="6754"/>
        <w:gridCol w:w="535"/>
        <w:gridCol w:w="385"/>
        <w:gridCol w:w="728"/>
      </w:tblGrid>
      <w:tr w14:paraId="2068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5000" w:type="pct"/>
            <w:gridSpan w:val="6"/>
            <w:tcBorders>
              <w:tl2br w:val="nil"/>
              <w:tr2bl w:val="nil"/>
            </w:tcBorders>
            <w:noWrap w:val="0"/>
            <w:vAlign w:val="center"/>
          </w:tcPr>
          <w:p w14:paraId="2ADFBFCD">
            <w:pPr>
              <w:pStyle w:val="18"/>
              <w:widowControl/>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水业大厦租赁区域内物业清洁服务月度考核评分卡</w:t>
            </w:r>
          </w:p>
          <w:p w14:paraId="4F8AC4E2">
            <w:pPr>
              <w:pStyle w:val="18"/>
              <w:widowControl/>
              <w:jc w:val="left"/>
              <w:rPr>
                <w:rFonts w:hint="eastAsia" w:ascii="宋体" w:hAnsi="宋体" w:eastAsia="宋体" w:cs="宋体"/>
                <w:b w:val="0"/>
                <w:bCs w:val="0"/>
                <w:i w:val="0"/>
                <w:color w:val="auto"/>
                <w:sz w:val="21"/>
                <w:szCs w:val="21"/>
              </w:rPr>
            </w:pPr>
            <w:r>
              <w:rPr>
                <w:rFonts w:hint="eastAsia" w:ascii="宋体" w:hAnsi="宋体" w:eastAsia="宋体" w:cs="宋体"/>
                <w:b w:val="0"/>
                <w:bCs w:val="0"/>
                <w:i w:val="0"/>
                <w:color w:val="auto"/>
                <w:sz w:val="21"/>
                <w:szCs w:val="21"/>
              </w:rPr>
              <w:t>考核月份：________年____月</w:t>
            </w:r>
          </w:p>
          <w:p w14:paraId="0C08083D">
            <w:pPr>
              <w:pStyle w:val="18"/>
              <w:widowControl/>
              <w:jc w:val="left"/>
              <w:rPr>
                <w:rFonts w:hint="eastAsia" w:ascii="宋体" w:hAnsi="宋体" w:eastAsia="宋体" w:cs="宋体"/>
                <w:b w:val="0"/>
                <w:bCs w:val="0"/>
                <w:i w:val="0"/>
                <w:color w:val="auto"/>
                <w:sz w:val="21"/>
                <w:szCs w:val="21"/>
              </w:rPr>
            </w:pPr>
            <w:r>
              <w:rPr>
                <w:rFonts w:hint="eastAsia" w:ascii="宋体" w:hAnsi="宋体" w:eastAsia="宋体" w:cs="宋体"/>
                <w:b w:val="0"/>
                <w:bCs w:val="0"/>
                <w:i w:val="0"/>
                <w:color w:val="auto"/>
                <w:sz w:val="21"/>
                <w:szCs w:val="21"/>
              </w:rPr>
              <w:t>服务单位：</w:t>
            </w:r>
          </w:p>
          <w:p w14:paraId="76825D7E">
            <w:pPr>
              <w:pStyle w:val="18"/>
              <w:widowControl/>
              <w:jc w:val="left"/>
              <w:rPr>
                <w:rFonts w:hint="eastAsia" w:ascii="宋体" w:hAnsi="宋体" w:eastAsia="宋体" w:cs="宋体"/>
                <w:b w:val="0"/>
                <w:bCs w:val="0"/>
                <w:i w:val="0"/>
                <w:color w:val="auto"/>
                <w:sz w:val="21"/>
                <w:szCs w:val="21"/>
              </w:rPr>
            </w:pPr>
            <w:r>
              <w:rPr>
                <w:rFonts w:hint="eastAsia" w:ascii="宋体" w:hAnsi="宋体" w:eastAsia="宋体" w:cs="宋体"/>
                <w:b w:val="0"/>
                <w:bCs w:val="0"/>
                <w:i w:val="0"/>
                <w:color w:val="auto"/>
                <w:sz w:val="21"/>
                <w:szCs w:val="21"/>
              </w:rPr>
              <w:t>考核单位：</w:t>
            </w:r>
          </w:p>
          <w:p w14:paraId="694D50E2">
            <w:pPr>
              <w:pStyle w:val="18"/>
              <w:widowControl/>
              <w:jc w:val="left"/>
              <w:rPr>
                <w:rFonts w:hint="eastAsia" w:ascii="宋体" w:hAnsi="宋体" w:eastAsia="宋体" w:cs="宋体"/>
                <w:b w:val="0"/>
                <w:bCs w:val="0"/>
                <w:i w:val="0"/>
                <w:iCs w:val="0"/>
                <w:color w:val="auto"/>
                <w:sz w:val="21"/>
                <w:szCs w:val="21"/>
              </w:rPr>
            </w:pPr>
            <w:r>
              <w:rPr>
                <w:rFonts w:hint="eastAsia" w:ascii="宋体" w:hAnsi="宋体" w:eastAsia="宋体" w:cs="宋体"/>
                <w:b w:val="0"/>
                <w:bCs w:val="0"/>
                <w:i w:val="0"/>
                <w:color w:val="auto"/>
                <w:sz w:val="21"/>
                <w:szCs w:val="21"/>
              </w:rPr>
              <w:t>考核人：___________考核日期：___________</w:t>
            </w:r>
          </w:p>
        </w:tc>
      </w:tr>
      <w:tr w14:paraId="49E9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521" w:type="pct"/>
            <w:tcBorders>
              <w:tl2br w:val="nil"/>
              <w:tr2bl w:val="nil"/>
            </w:tcBorders>
            <w:noWrap w:val="0"/>
            <w:vAlign w:val="center"/>
          </w:tcPr>
          <w:p w14:paraId="688A09DA">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考核大项</w:t>
            </w:r>
          </w:p>
        </w:tc>
        <w:tc>
          <w:tcPr>
            <w:tcW w:w="350" w:type="pct"/>
            <w:tcBorders>
              <w:tl2br w:val="nil"/>
              <w:tr2bl w:val="nil"/>
            </w:tcBorders>
            <w:noWrap w:val="0"/>
            <w:vAlign w:val="center"/>
          </w:tcPr>
          <w:p w14:paraId="725AF3E4">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权重</w:t>
            </w:r>
          </w:p>
        </w:tc>
        <w:tc>
          <w:tcPr>
            <w:tcW w:w="3319" w:type="pct"/>
            <w:tcBorders>
              <w:tl2br w:val="nil"/>
              <w:tr2bl w:val="nil"/>
            </w:tcBorders>
            <w:noWrap w:val="0"/>
            <w:vAlign w:val="center"/>
          </w:tcPr>
          <w:p w14:paraId="0EF9F258">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考核内容及标准</w:t>
            </w:r>
          </w:p>
        </w:tc>
        <w:tc>
          <w:tcPr>
            <w:tcW w:w="263" w:type="pct"/>
            <w:tcBorders>
              <w:tl2br w:val="nil"/>
              <w:tr2bl w:val="nil"/>
            </w:tcBorders>
            <w:noWrap w:val="0"/>
            <w:vAlign w:val="center"/>
          </w:tcPr>
          <w:p w14:paraId="2FF3C1A2">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标准分</w:t>
            </w:r>
          </w:p>
        </w:tc>
        <w:tc>
          <w:tcPr>
            <w:tcW w:w="189" w:type="pct"/>
            <w:tcBorders>
              <w:tl2br w:val="nil"/>
              <w:tr2bl w:val="nil"/>
            </w:tcBorders>
            <w:noWrap w:val="0"/>
            <w:vAlign w:val="center"/>
          </w:tcPr>
          <w:p w14:paraId="4D4B0206">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实得分</w:t>
            </w:r>
          </w:p>
        </w:tc>
        <w:tc>
          <w:tcPr>
            <w:tcW w:w="356" w:type="pct"/>
            <w:tcBorders>
              <w:tl2br w:val="nil"/>
              <w:tr2bl w:val="nil"/>
            </w:tcBorders>
            <w:noWrap w:val="0"/>
            <w:vAlign w:val="center"/>
          </w:tcPr>
          <w:p w14:paraId="31DE0BF3">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扣分说明</w:t>
            </w:r>
          </w:p>
        </w:tc>
      </w:tr>
      <w:tr w14:paraId="5E29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21" w:type="pct"/>
            <w:tcBorders>
              <w:tl2br w:val="nil"/>
              <w:tr2bl w:val="nil"/>
            </w:tcBorders>
            <w:noWrap w:val="0"/>
            <w:vAlign w:val="center"/>
          </w:tcPr>
          <w:p w14:paraId="52D1D027">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i w:val="0"/>
                <w:iCs w:val="0"/>
                <w:color w:val="auto"/>
                <w:sz w:val="21"/>
                <w:szCs w:val="21"/>
              </w:rPr>
              <w:t>A.公共区域</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30%</w:t>
            </w:r>
            <w:r>
              <w:rPr>
                <w:rFonts w:hint="eastAsia" w:ascii="宋体" w:hAnsi="宋体" w:eastAsia="宋体" w:cs="宋体"/>
                <w:b w:val="0"/>
                <w:bCs w:val="0"/>
                <w:i w:val="0"/>
                <w:iCs w:val="0"/>
                <w:color w:val="auto"/>
                <w:sz w:val="21"/>
                <w:szCs w:val="21"/>
                <w:lang w:eastAsia="zh-CN"/>
              </w:rPr>
              <w:t>）</w:t>
            </w:r>
          </w:p>
        </w:tc>
        <w:tc>
          <w:tcPr>
            <w:tcW w:w="350" w:type="pct"/>
            <w:tcBorders>
              <w:tl2br w:val="nil"/>
              <w:tr2bl w:val="nil"/>
            </w:tcBorders>
            <w:noWrap w:val="0"/>
            <w:vAlign w:val="center"/>
          </w:tcPr>
          <w:p w14:paraId="74FEAF10">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30%</w:t>
            </w:r>
          </w:p>
        </w:tc>
        <w:tc>
          <w:tcPr>
            <w:tcW w:w="3319" w:type="pct"/>
            <w:tcBorders>
              <w:tl2br w:val="nil"/>
              <w:tr2bl w:val="nil"/>
            </w:tcBorders>
            <w:noWrap w:val="0"/>
            <w:vAlign w:val="center"/>
          </w:tcPr>
          <w:p w14:paraId="06F697DD">
            <w:pPr>
              <w:jc w:val="left"/>
              <w:rPr>
                <w:rFonts w:hint="eastAsia" w:ascii="宋体" w:hAnsi="宋体" w:eastAsia="宋体" w:cs="宋体"/>
                <w:b w:val="0"/>
                <w:bCs w:val="0"/>
                <w:i w:val="0"/>
                <w:iCs w:val="0"/>
                <w:color w:val="auto"/>
                <w:sz w:val="21"/>
                <w:szCs w:val="21"/>
                <w:lang w:eastAsia="zh-CN"/>
              </w:rPr>
            </w:pPr>
            <w:r>
              <w:rPr>
                <w:rFonts w:hint="eastAsia" w:ascii="宋体" w:hAnsi="宋体" w:eastAsia="宋体" w:cs="宋体"/>
                <w:b w:val="0"/>
                <w:bCs w:val="0"/>
                <w:i w:val="0"/>
                <w:iCs w:val="0"/>
                <w:color w:val="auto"/>
                <w:sz w:val="21"/>
                <w:szCs w:val="21"/>
              </w:rPr>
              <w:t>A1.前台/大堂/接待区：地面光亮无脚印，台面无尘无杂物，玻璃门无手印，垃圾桶。</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10分</w:t>
            </w:r>
            <w:r>
              <w:rPr>
                <w:rFonts w:hint="eastAsia" w:ascii="宋体" w:hAnsi="宋体" w:eastAsia="宋体" w:cs="宋体"/>
                <w:b w:val="0"/>
                <w:bCs w:val="0"/>
                <w:i w:val="0"/>
                <w:iCs w:val="0"/>
                <w:color w:val="auto"/>
                <w:sz w:val="21"/>
                <w:szCs w:val="21"/>
                <w:lang w:eastAsia="zh-CN"/>
              </w:rPr>
              <w:t>）</w:t>
            </w:r>
          </w:p>
          <w:p w14:paraId="19F64101">
            <w:pPr>
              <w:jc w:val="left"/>
              <w:rPr>
                <w:rFonts w:hint="eastAsia" w:ascii="宋体" w:hAnsi="宋体" w:eastAsia="宋体" w:cs="宋体"/>
                <w:b w:val="0"/>
                <w:bCs w:val="0"/>
                <w:i w:val="0"/>
                <w:iCs w:val="0"/>
                <w:color w:val="auto"/>
                <w:sz w:val="21"/>
                <w:szCs w:val="21"/>
                <w:lang w:eastAsia="zh-CN"/>
              </w:rPr>
            </w:pPr>
            <w:r>
              <w:rPr>
                <w:rFonts w:hint="eastAsia" w:ascii="宋体" w:hAnsi="宋体" w:eastAsia="宋体" w:cs="宋体"/>
                <w:b w:val="0"/>
                <w:bCs w:val="0"/>
                <w:i w:val="0"/>
                <w:iCs w:val="0"/>
                <w:color w:val="auto"/>
                <w:sz w:val="21"/>
                <w:szCs w:val="21"/>
              </w:rPr>
              <w:t>A2.公共走廊/通道：地面干燥洁净，墙面/踢脚线无污渍，消防设施无尘。</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10分</w:t>
            </w:r>
            <w:r>
              <w:rPr>
                <w:rFonts w:hint="eastAsia" w:ascii="宋体" w:hAnsi="宋体" w:eastAsia="宋体" w:cs="宋体"/>
                <w:b w:val="0"/>
                <w:bCs w:val="0"/>
                <w:i w:val="0"/>
                <w:iCs w:val="0"/>
                <w:color w:val="auto"/>
                <w:sz w:val="21"/>
                <w:szCs w:val="21"/>
                <w:lang w:eastAsia="zh-CN"/>
              </w:rPr>
              <w:t>）</w:t>
            </w:r>
          </w:p>
          <w:p w14:paraId="7DEC7884">
            <w:pPr>
              <w:jc w:val="left"/>
              <w:rPr>
                <w:rFonts w:hint="eastAsia" w:ascii="宋体" w:hAnsi="宋体" w:eastAsia="宋体" w:cs="宋体"/>
                <w:b w:val="0"/>
                <w:bCs w:val="0"/>
                <w:i w:val="0"/>
                <w:iCs w:val="0"/>
                <w:color w:val="auto"/>
                <w:sz w:val="21"/>
                <w:szCs w:val="21"/>
                <w:lang w:eastAsia="zh-CN"/>
              </w:rPr>
            </w:pPr>
            <w:r>
              <w:rPr>
                <w:rFonts w:hint="eastAsia" w:ascii="宋体" w:hAnsi="宋体" w:eastAsia="宋体" w:cs="宋体"/>
                <w:b w:val="0"/>
                <w:bCs w:val="0"/>
                <w:i w:val="0"/>
                <w:iCs w:val="0"/>
                <w:color w:val="auto"/>
                <w:sz w:val="21"/>
                <w:szCs w:val="21"/>
              </w:rPr>
              <w:t>A3.天花/灯具/风口：无灰尘、无蛛网，灯光明亮。</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5分</w:t>
            </w:r>
            <w:r>
              <w:rPr>
                <w:rFonts w:hint="eastAsia" w:ascii="宋体" w:hAnsi="宋体" w:eastAsia="宋体" w:cs="宋体"/>
                <w:b w:val="0"/>
                <w:bCs w:val="0"/>
                <w:i w:val="0"/>
                <w:iCs w:val="0"/>
                <w:color w:val="auto"/>
                <w:sz w:val="21"/>
                <w:szCs w:val="21"/>
                <w:lang w:eastAsia="zh-CN"/>
              </w:rPr>
              <w:t>）</w:t>
            </w:r>
          </w:p>
          <w:p w14:paraId="598339FC">
            <w:pPr>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i w:val="0"/>
                <w:iCs w:val="0"/>
                <w:color w:val="auto"/>
                <w:sz w:val="21"/>
                <w:szCs w:val="21"/>
              </w:rPr>
              <w:t>A4.空气质量：空气清新无异味，符合约定标准。</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5分</w:t>
            </w:r>
            <w:r>
              <w:rPr>
                <w:rFonts w:hint="eastAsia" w:ascii="宋体" w:hAnsi="宋体" w:eastAsia="宋体" w:cs="宋体"/>
                <w:b w:val="0"/>
                <w:bCs w:val="0"/>
                <w:i w:val="0"/>
                <w:iCs w:val="0"/>
                <w:color w:val="auto"/>
                <w:sz w:val="21"/>
                <w:szCs w:val="21"/>
                <w:lang w:eastAsia="zh-CN"/>
              </w:rPr>
              <w:t>）</w:t>
            </w:r>
          </w:p>
        </w:tc>
        <w:tc>
          <w:tcPr>
            <w:tcW w:w="263" w:type="pct"/>
            <w:tcBorders>
              <w:tl2br w:val="nil"/>
              <w:tr2bl w:val="nil"/>
            </w:tcBorders>
            <w:noWrap w:val="0"/>
            <w:vAlign w:val="center"/>
          </w:tcPr>
          <w:p w14:paraId="5E4EDA54">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30</w:t>
            </w:r>
          </w:p>
        </w:tc>
        <w:tc>
          <w:tcPr>
            <w:tcW w:w="189" w:type="pct"/>
            <w:tcBorders>
              <w:tl2br w:val="nil"/>
              <w:tr2bl w:val="nil"/>
            </w:tcBorders>
            <w:noWrap w:val="0"/>
            <w:vAlign w:val="center"/>
          </w:tcPr>
          <w:p w14:paraId="33EDAD67">
            <w:pPr>
              <w:jc w:val="center"/>
              <w:rPr>
                <w:rFonts w:hint="eastAsia" w:ascii="宋体" w:hAnsi="宋体" w:eastAsia="宋体" w:cs="宋体"/>
                <w:b w:val="0"/>
                <w:bCs w:val="0"/>
                <w:color w:val="auto"/>
                <w:sz w:val="21"/>
                <w:szCs w:val="21"/>
              </w:rPr>
            </w:pPr>
          </w:p>
        </w:tc>
        <w:tc>
          <w:tcPr>
            <w:tcW w:w="356" w:type="pct"/>
            <w:tcBorders>
              <w:tl2br w:val="nil"/>
              <w:tr2bl w:val="nil"/>
            </w:tcBorders>
            <w:noWrap w:val="0"/>
            <w:vAlign w:val="center"/>
          </w:tcPr>
          <w:p w14:paraId="323722E5">
            <w:pPr>
              <w:jc w:val="center"/>
              <w:rPr>
                <w:rFonts w:hint="eastAsia" w:ascii="宋体" w:hAnsi="宋体" w:eastAsia="宋体" w:cs="宋体"/>
                <w:b w:val="0"/>
                <w:bCs w:val="0"/>
                <w:color w:val="auto"/>
                <w:sz w:val="21"/>
                <w:szCs w:val="21"/>
              </w:rPr>
            </w:pPr>
          </w:p>
        </w:tc>
      </w:tr>
      <w:tr w14:paraId="1194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21" w:type="pct"/>
            <w:tcBorders>
              <w:tl2br w:val="nil"/>
              <w:tr2bl w:val="nil"/>
            </w:tcBorders>
            <w:noWrap w:val="0"/>
            <w:vAlign w:val="center"/>
          </w:tcPr>
          <w:p w14:paraId="56FA8212">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i w:val="0"/>
                <w:iCs w:val="0"/>
                <w:color w:val="auto"/>
                <w:sz w:val="21"/>
                <w:szCs w:val="21"/>
              </w:rPr>
              <w:t>B.办公区域</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25%</w:t>
            </w:r>
            <w:r>
              <w:rPr>
                <w:rFonts w:hint="eastAsia" w:ascii="宋体" w:hAnsi="宋体" w:eastAsia="宋体" w:cs="宋体"/>
                <w:b w:val="0"/>
                <w:bCs w:val="0"/>
                <w:i w:val="0"/>
                <w:iCs w:val="0"/>
                <w:color w:val="auto"/>
                <w:sz w:val="21"/>
                <w:szCs w:val="21"/>
                <w:lang w:eastAsia="zh-CN"/>
              </w:rPr>
              <w:t>）</w:t>
            </w:r>
          </w:p>
        </w:tc>
        <w:tc>
          <w:tcPr>
            <w:tcW w:w="350" w:type="pct"/>
            <w:tcBorders>
              <w:tl2br w:val="nil"/>
              <w:tr2bl w:val="nil"/>
            </w:tcBorders>
            <w:noWrap w:val="0"/>
            <w:vAlign w:val="center"/>
          </w:tcPr>
          <w:p w14:paraId="6F617356">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25%</w:t>
            </w:r>
          </w:p>
        </w:tc>
        <w:tc>
          <w:tcPr>
            <w:tcW w:w="3319" w:type="pct"/>
            <w:tcBorders>
              <w:tl2br w:val="nil"/>
              <w:tr2bl w:val="nil"/>
            </w:tcBorders>
            <w:noWrap w:val="0"/>
            <w:vAlign w:val="center"/>
          </w:tcPr>
          <w:p w14:paraId="642D7186">
            <w:pPr>
              <w:jc w:val="left"/>
              <w:rPr>
                <w:rFonts w:hint="eastAsia" w:ascii="宋体" w:hAnsi="宋体" w:eastAsia="宋体" w:cs="宋体"/>
                <w:b w:val="0"/>
                <w:bCs w:val="0"/>
                <w:i w:val="0"/>
                <w:iCs w:val="0"/>
                <w:color w:val="auto"/>
                <w:sz w:val="21"/>
                <w:szCs w:val="21"/>
                <w:lang w:eastAsia="zh-CN"/>
              </w:rPr>
            </w:pPr>
            <w:r>
              <w:rPr>
                <w:rFonts w:hint="eastAsia" w:ascii="宋体" w:hAnsi="宋体" w:eastAsia="宋体" w:cs="宋体"/>
                <w:b w:val="0"/>
                <w:bCs w:val="0"/>
                <w:i w:val="0"/>
                <w:iCs w:val="0"/>
                <w:color w:val="auto"/>
                <w:sz w:val="21"/>
                <w:szCs w:val="21"/>
              </w:rPr>
              <w:t>B1.开放办公区：地面/地毯洁净，垃圾桶清空，隔断无手印，电话消毒记录可查。</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10分</w:t>
            </w:r>
            <w:r>
              <w:rPr>
                <w:rFonts w:hint="eastAsia" w:ascii="宋体" w:hAnsi="宋体" w:eastAsia="宋体" w:cs="宋体"/>
                <w:b w:val="0"/>
                <w:bCs w:val="0"/>
                <w:i w:val="0"/>
                <w:iCs w:val="0"/>
                <w:color w:val="auto"/>
                <w:sz w:val="21"/>
                <w:szCs w:val="21"/>
                <w:lang w:eastAsia="zh-CN"/>
              </w:rPr>
              <w:t>）</w:t>
            </w:r>
          </w:p>
          <w:p w14:paraId="2E43A949">
            <w:pPr>
              <w:jc w:val="left"/>
              <w:rPr>
                <w:rFonts w:hint="eastAsia" w:ascii="宋体" w:hAnsi="宋体" w:eastAsia="宋体" w:cs="宋体"/>
                <w:b w:val="0"/>
                <w:bCs w:val="0"/>
                <w:i w:val="0"/>
                <w:iCs w:val="0"/>
                <w:color w:val="auto"/>
                <w:sz w:val="21"/>
                <w:szCs w:val="21"/>
                <w:lang w:eastAsia="zh-CN"/>
              </w:rPr>
            </w:pPr>
            <w:r>
              <w:rPr>
                <w:rFonts w:hint="eastAsia" w:ascii="宋体" w:hAnsi="宋体" w:eastAsia="宋体" w:cs="宋体"/>
                <w:b w:val="0"/>
                <w:bCs w:val="0"/>
                <w:i w:val="0"/>
                <w:iCs w:val="0"/>
                <w:color w:val="auto"/>
                <w:sz w:val="21"/>
                <w:szCs w:val="21"/>
              </w:rPr>
              <w:t>B2.独立办公室/会议室：符合所有办公区标准，会后及时复位，设备无尘，白板洁净。</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10分</w:t>
            </w:r>
            <w:r>
              <w:rPr>
                <w:rFonts w:hint="eastAsia" w:ascii="宋体" w:hAnsi="宋体" w:eastAsia="宋体" w:cs="宋体"/>
                <w:b w:val="0"/>
                <w:bCs w:val="0"/>
                <w:i w:val="0"/>
                <w:iCs w:val="0"/>
                <w:color w:val="auto"/>
                <w:sz w:val="21"/>
                <w:szCs w:val="21"/>
                <w:lang w:eastAsia="zh-CN"/>
              </w:rPr>
              <w:t>）</w:t>
            </w:r>
          </w:p>
          <w:p w14:paraId="66A459E6">
            <w:pPr>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i w:val="0"/>
                <w:iCs w:val="0"/>
                <w:color w:val="auto"/>
                <w:sz w:val="21"/>
                <w:szCs w:val="21"/>
              </w:rPr>
              <w:t>B3.保密与规范：清洁过程未移动/触碰文件，作业时间符合规定，无干扰办公现象。</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5分</w:t>
            </w:r>
            <w:r>
              <w:rPr>
                <w:rFonts w:hint="eastAsia" w:ascii="宋体" w:hAnsi="宋体" w:eastAsia="宋体" w:cs="宋体"/>
                <w:b w:val="0"/>
                <w:bCs w:val="0"/>
                <w:i w:val="0"/>
                <w:iCs w:val="0"/>
                <w:color w:val="auto"/>
                <w:sz w:val="21"/>
                <w:szCs w:val="21"/>
                <w:lang w:eastAsia="zh-CN"/>
              </w:rPr>
              <w:t>）</w:t>
            </w:r>
          </w:p>
        </w:tc>
        <w:tc>
          <w:tcPr>
            <w:tcW w:w="263" w:type="pct"/>
            <w:tcBorders>
              <w:tl2br w:val="nil"/>
              <w:tr2bl w:val="nil"/>
            </w:tcBorders>
            <w:noWrap w:val="0"/>
            <w:vAlign w:val="center"/>
          </w:tcPr>
          <w:p w14:paraId="29F4CD1A">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25</w:t>
            </w:r>
          </w:p>
        </w:tc>
        <w:tc>
          <w:tcPr>
            <w:tcW w:w="189" w:type="pct"/>
            <w:tcBorders>
              <w:tl2br w:val="nil"/>
              <w:tr2bl w:val="nil"/>
            </w:tcBorders>
            <w:noWrap w:val="0"/>
            <w:vAlign w:val="center"/>
          </w:tcPr>
          <w:p w14:paraId="20521E14">
            <w:pPr>
              <w:jc w:val="center"/>
              <w:rPr>
                <w:rFonts w:hint="eastAsia" w:ascii="宋体" w:hAnsi="宋体" w:eastAsia="宋体" w:cs="宋体"/>
                <w:b w:val="0"/>
                <w:bCs w:val="0"/>
                <w:color w:val="auto"/>
                <w:sz w:val="21"/>
                <w:szCs w:val="21"/>
              </w:rPr>
            </w:pPr>
          </w:p>
        </w:tc>
        <w:tc>
          <w:tcPr>
            <w:tcW w:w="356" w:type="pct"/>
            <w:tcBorders>
              <w:tl2br w:val="nil"/>
              <w:tr2bl w:val="nil"/>
            </w:tcBorders>
            <w:noWrap w:val="0"/>
            <w:vAlign w:val="center"/>
          </w:tcPr>
          <w:p w14:paraId="4AEE4FAA">
            <w:pPr>
              <w:jc w:val="center"/>
              <w:rPr>
                <w:rFonts w:hint="eastAsia" w:ascii="宋体" w:hAnsi="宋体" w:eastAsia="宋体" w:cs="宋体"/>
                <w:b w:val="0"/>
                <w:bCs w:val="0"/>
                <w:color w:val="auto"/>
                <w:sz w:val="21"/>
                <w:szCs w:val="21"/>
              </w:rPr>
            </w:pPr>
          </w:p>
        </w:tc>
      </w:tr>
      <w:tr w14:paraId="5A80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21" w:type="pct"/>
            <w:tcBorders>
              <w:tl2br w:val="nil"/>
              <w:tr2bl w:val="nil"/>
            </w:tcBorders>
            <w:noWrap w:val="0"/>
            <w:vAlign w:val="center"/>
          </w:tcPr>
          <w:p w14:paraId="27465A42">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i w:val="0"/>
                <w:iCs w:val="0"/>
                <w:color w:val="auto"/>
                <w:sz w:val="21"/>
                <w:szCs w:val="21"/>
              </w:rPr>
              <w:t>C.卫生间</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25%</w:t>
            </w:r>
            <w:r>
              <w:rPr>
                <w:rFonts w:hint="eastAsia" w:ascii="宋体" w:hAnsi="宋体" w:eastAsia="宋体" w:cs="宋体"/>
                <w:b w:val="0"/>
                <w:bCs w:val="0"/>
                <w:i w:val="0"/>
                <w:iCs w:val="0"/>
                <w:color w:val="auto"/>
                <w:sz w:val="21"/>
                <w:szCs w:val="21"/>
                <w:lang w:eastAsia="zh-CN"/>
              </w:rPr>
              <w:t>）</w:t>
            </w:r>
          </w:p>
        </w:tc>
        <w:tc>
          <w:tcPr>
            <w:tcW w:w="350" w:type="pct"/>
            <w:tcBorders>
              <w:tl2br w:val="nil"/>
              <w:tr2bl w:val="nil"/>
            </w:tcBorders>
            <w:noWrap w:val="0"/>
            <w:vAlign w:val="center"/>
          </w:tcPr>
          <w:p w14:paraId="3BFAE217">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25%</w:t>
            </w:r>
          </w:p>
        </w:tc>
        <w:tc>
          <w:tcPr>
            <w:tcW w:w="3319" w:type="pct"/>
            <w:tcBorders>
              <w:tl2br w:val="nil"/>
              <w:tr2bl w:val="nil"/>
            </w:tcBorders>
            <w:noWrap w:val="0"/>
            <w:vAlign w:val="center"/>
          </w:tcPr>
          <w:p w14:paraId="79B9131E">
            <w:pPr>
              <w:jc w:val="left"/>
              <w:rPr>
                <w:rFonts w:hint="eastAsia" w:ascii="宋体" w:hAnsi="宋体" w:eastAsia="宋体" w:cs="宋体"/>
                <w:b w:val="0"/>
                <w:bCs w:val="0"/>
                <w:i w:val="0"/>
                <w:iCs w:val="0"/>
                <w:color w:val="auto"/>
                <w:sz w:val="21"/>
                <w:szCs w:val="21"/>
                <w:lang w:eastAsia="zh-CN"/>
              </w:rPr>
            </w:pPr>
            <w:r>
              <w:rPr>
                <w:rFonts w:hint="eastAsia" w:ascii="宋体" w:hAnsi="宋体" w:eastAsia="宋体" w:cs="宋体"/>
                <w:b w:val="0"/>
                <w:bCs w:val="0"/>
                <w:i w:val="0"/>
                <w:iCs w:val="0"/>
                <w:color w:val="auto"/>
                <w:sz w:val="21"/>
                <w:szCs w:val="21"/>
              </w:rPr>
              <w:t>C1.整体环境：空气清新无异味，巡检记录规范填写（每小时一次）。</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5分</w:t>
            </w:r>
            <w:r>
              <w:rPr>
                <w:rFonts w:hint="eastAsia" w:ascii="宋体" w:hAnsi="宋体" w:eastAsia="宋体" w:cs="宋体"/>
                <w:b w:val="0"/>
                <w:bCs w:val="0"/>
                <w:i w:val="0"/>
                <w:iCs w:val="0"/>
                <w:color w:val="auto"/>
                <w:sz w:val="21"/>
                <w:szCs w:val="21"/>
                <w:lang w:eastAsia="zh-CN"/>
              </w:rPr>
              <w:t>）</w:t>
            </w:r>
          </w:p>
          <w:p w14:paraId="07D6F86A">
            <w:pPr>
              <w:jc w:val="left"/>
              <w:rPr>
                <w:rFonts w:hint="eastAsia" w:ascii="宋体" w:hAnsi="宋体" w:eastAsia="宋体" w:cs="宋体"/>
                <w:b w:val="0"/>
                <w:bCs w:val="0"/>
                <w:i w:val="0"/>
                <w:iCs w:val="0"/>
                <w:color w:val="auto"/>
                <w:sz w:val="21"/>
                <w:szCs w:val="21"/>
                <w:lang w:eastAsia="zh-CN"/>
              </w:rPr>
            </w:pPr>
            <w:r>
              <w:rPr>
                <w:rFonts w:hint="eastAsia" w:ascii="宋体" w:hAnsi="宋体" w:eastAsia="宋体" w:cs="宋体"/>
                <w:b w:val="0"/>
                <w:bCs w:val="0"/>
                <w:i w:val="0"/>
                <w:iCs w:val="0"/>
                <w:color w:val="auto"/>
                <w:sz w:val="21"/>
                <w:szCs w:val="21"/>
              </w:rPr>
              <w:t>C2.设施设备：厕具、台盆、镜面、龙头光洁无水渍污垢。</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10分</w:t>
            </w:r>
            <w:r>
              <w:rPr>
                <w:rFonts w:hint="eastAsia" w:ascii="宋体" w:hAnsi="宋体" w:eastAsia="宋体" w:cs="宋体"/>
                <w:b w:val="0"/>
                <w:bCs w:val="0"/>
                <w:i w:val="0"/>
                <w:iCs w:val="0"/>
                <w:color w:val="auto"/>
                <w:sz w:val="21"/>
                <w:szCs w:val="21"/>
                <w:lang w:eastAsia="zh-CN"/>
              </w:rPr>
              <w:t>）</w:t>
            </w:r>
          </w:p>
          <w:p w14:paraId="2EADF43F">
            <w:pPr>
              <w:jc w:val="left"/>
              <w:rPr>
                <w:rFonts w:hint="eastAsia" w:ascii="宋体" w:hAnsi="宋体" w:eastAsia="宋体" w:cs="宋体"/>
                <w:b w:val="0"/>
                <w:bCs w:val="0"/>
                <w:i w:val="0"/>
                <w:iCs w:val="0"/>
                <w:color w:val="auto"/>
                <w:sz w:val="21"/>
                <w:szCs w:val="21"/>
                <w:lang w:eastAsia="zh-CN"/>
              </w:rPr>
            </w:pPr>
            <w:r>
              <w:rPr>
                <w:rFonts w:hint="eastAsia" w:ascii="宋体" w:hAnsi="宋体" w:eastAsia="宋体" w:cs="宋体"/>
                <w:b w:val="0"/>
                <w:bCs w:val="0"/>
                <w:i w:val="0"/>
                <w:iCs w:val="0"/>
                <w:color w:val="auto"/>
                <w:sz w:val="21"/>
                <w:szCs w:val="21"/>
              </w:rPr>
              <w:t>C3.地面墙面：保持干燥洁净，无积水。</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5分</w:t>
            </w:r>
            <w:r>
              <w:rPr>
                <w:rFonts w:hint="eastAsia" w:ascii="宋体" w:hAnsi="宋体" w:eastAsia="宋体" w:cs="宋体"/>
                <w:b w:val="0"/>
                <w:bCs w:val="0"/>
                <w:i w:val="0"/>
                <w:iCs w:val="0"/>
                <w:color w:val="auto"/>
                <w:sz w:val="21"/>
                <w:szCs w:val="21"/>
                <w:lang w:eastAsia="zh-CN"/>
              </w:rPr>
              <w:t>）</w:t>
            </w:r>
          </w:p>
          <w:p w14:paraId="5CF7EB32">
            <w:pPr>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i w:val="0"/>
                <w:iCs w:val="0"/>
                <w:color w:val="auto"/>
                <w:sz w:val="21"/>
                <w:szCs w:val="21"/>
              </w:rPr>
              <w:t>C4.耗材与垃圾：耗材及时补充，垃圾桶2，及时清倒。</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5分</w:t>
            </w:r>
            <w:r>
              <w:rPr>
                <w:rFonts w:hint="eastAsia" w:ascii="宋体" w:hAnsi="宋体" w:eastAsia="宋体" w:cs="宋体"/>
                <w:b w:val="0"/>
                <w:bCs w:val="0"/>
                <w:i w:val="0"/>
                <w:iCs w:val="0"/>
                <w:color w:val="auto"/>
                <w:sz w:val="21"/>
                <w:szCs w:val="21"/>
                <w:lang w:eastAsia="zh-CN"/>
              </w:rPr>
              <w:t>）</w:t>
            </w:r>
          </w:p>
        </w:tc>
        <w:tc>
          <w:tcPr>
            <w:tcW w:w="263" w:type="pct"/>
            <w:tcBorders>
              <w:tl2br w:val="nil"/>
              <w:tr2bl w:val="nil"/>
            </w:tcBorders>
            <w:noWrap w:val="0"/>
            <w:vAlign w:val="center"/>
          </w:tcPr>
          <w:p w14:paraId="5E52F2AD">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25</w:t>
            </w:r>
          </w:p>
        </w:tc>
        <w:tc>
          <w:tcPr>
            <w:tcW w:w="189" w:type="pct"/>
            <w:tcBorders>
              <w:tl2br w:val="nil"/>
              <w:tr2bl w:val="nil"/>
            </w:tcBorders>
            <w:noWrap w:val="0"/>
            <w:vAlign w:val="center"/>
          </w:tcPr>
          <w:p w14:paraId="78493D6F">
            <w:pPr>
              <w:jc w:val="center"/>
              <w:rPr>
                <w:rFonts w:hint="eastAsia" w:ascii="宋体" w:hAnsi="宋体" w:eastAsia="宋体" w:cs="宋体"/>
                <w:b w:val="0"/>
                <w:bCs w:val="0"/>
                <w:color w:val="auto"/>
                <w:sz w:val="21"/>
                <w:szCs w:val="21"/>
              </w:rPr>
            </w:pPr>
          </w:p>
        </w:tc>
        <w:tc>
          <w:tcPr>
            <w:tcW w:w="356" w:type="pct"/>
            <w:tcBorders>
              <w:tl2br w:val="nil"/>
              <w:tr2bl w:val="nil"/>
            </w:tcBorders>
            <w:noWrap w:val="0"/>
            <w:vAlign w:val="center"/>
          </w:tcPr>
          <w:p w14:paraId="2B5035C1">
            <w:pPr>
              <w:jc w:val="center"/>
              <w:rPr>
                <w:rFonts w:hint="eastAsia" w:ascii="宋体" w:hAnsi="宋体" w:eastAsia="宋体" w:cs="宋体"/>
                <w:b w:val="0"/>
                <w:bCs w:val="0"/>
                <w:color w:val="auto"/>
                <w:sz w:val="21"/>
                <w:szCs w:val="21"/>
              </w:rPr>
            </w:pPr>
          </w:p>
        </w:tc>
      </w:tr>
      <w:tr w14:paraId="3B38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21" w:type="pct"/>
            <w:tcBorders>
              <w:tl2br w:val="nil"/>
              <w:tr2bl w:val="nil"/>
            </w:tcBorders>
            <w:noWrap w:val="0"/>
            <w:vAlign w:val="center"/>
          </w:tcPr>
          <w:p w14:paraId="6F3CB456">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i w:val="0"/>
                <w:iCs w:val="0"/>
                <w:color w:val="auto"/>
                <w:sz w:val="21"/>
                <w:szCs w:val="21"/>
              </w:rPr>
              <w:t>D.茶水间及其他</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5%</w:t>
            </w:r>
            <w:r>
              <w:rPr>
                <w:rFonts w:hint="eastAsia" w:ascii="宋体" w:hAnsi="宋体" w:eastAsia="宋体" w:cs="宋体"/>
                <w:b w:val="0"/>
                <w:bCs w:val="0"/>
                <w:i w:val="0"/>
                <w:iCs w:val="0"/>
                <w:color w:val="auto"/>
                <w:sz w:val="21"/>
                <w:szCs w:val="21"/>
                <w:lang w:eastAsia="zh-CN"/>
              </w:rPr>
              <w:t>）</w:t>
            </w:r>
          </w:p>
        </w:tc>
        <w:tc>
          <w:tcPr>
            <w:tcW w:w="350" w:type="pct"/>
            <w:tcBorders>
              <w:tl2br w:val="nil"/>
              <w:tr2bl w:val="nil"/>
            </w:tcBorders>
            <w:noWrap w:val="0"/>
            <w:vAlign w:val="center"/>
          </w:tcPr>
          <w:p w14:paraId="50DA8CA0">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5%</w:t>
            </w:r>
          </w:p>
        </w:tc>
        <w:tc>
          <w:tcPr>
            <w:tcW w:w="3319" w:type="pct"/>
            <w:tcBorders>
              <w:tl2br w:val="nil"/>
              <w:tr2bl w:val="nil"/>
            </w:tcBorders>
            <w:noWrap w:val="0"/>
            <w:vAlign w:val="center"/>
          </w:tcPr>
          <w:p w14:paraId="157846E7">
            <w:pPr>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i w:val="0"/>
                <w:iCs w:val="0"/>
                <w:color w:val="auto"/>
                <w:sz w:val="21"/>
                <w:szCs w:val="21"/>
              </w:rPr>
              <w:t>D1.茶水间：台面、水槽、微波炉、冰箱内外洁净无异味，地面干燥。</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5分</w:t>
            </w:r>
            <w:r>
              <w:rPr>
                <w:rFonts w:hint="eastAsia" w:ascii="宋体" w:hAnsi="宋体" w:eastAsia="宋体" w:cs="宋体"/>
                <w:b w:val="0"/>
                <w:bCs w:val="0"/>
                <w:i w:val="0"/>
                <w:iCs w:val="0"/>
                <w:color w:val="auto"/>
                <w:sz w:val="21"/>
                <w:szCs w:val="21"/>
                <w:lang w:eastAsia="zh-CN"/>
              </w:rPr>
              <w:t>）</w:t>
            </w:r>
          </w:p>
        </w:tc>
        <w:tc>
          <w:tcPr>
            <w:tcW w:w="263" w:type="pct"/>
            <w:tcBorders>
              <w:tl2br w:val="nil"/>
              <w:tr2bl w:val="nil"/>
            </w:tcBorders>
            <w:noWrap w:val="0"/>
            <w:vAlign w:val="center"/>
          </w:tcPr>
          <w:p w14:paraId="3D6FB597">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5</w:t>
            </w:r>
          </w:p>
        </w:tc>
        <w:tc>
          <w:tcPr>
            <w:tcW w:w="189" w:type="pct"/>
            <w:tcBorders>
              <w:tl2br w:val="nil"/>
              <w:tr2bl w:val="nil"/>
            </w:tcBorders>
            <w:noWrap w:val="0"/>
            <w:vAlign w:val="center"/>
          </w:tcPr>
          <w:p w14:paraId="0CF18EA4">
            <w:pPr>
              <w:jc w:val="center"/>
              <w:rPr>
                <w:rFonts w:hint="eastAsia" w:ascii="宋体" w:hAnsi="宋体" w:eastAsia="宋体" w:cs="宋体"/>
                <w:b w:val="0"/>
                <w:bCs w:val="0"/>
                <w:color w:val="auto"/>
                <w:sz w:val="21"/>
                <w:szCs w:val="21"/>
              </w:rPr>
            </w:pPr>
          </w:p>
        </w:tc>
        <w:tc>
          <w:tcPr>
            <w:tcW w:w="356" w:type="pct"/>
            <w:tcBorders>
              <w:tl2br w:val="nil"/>
              <w:tr2bl w:val="nil"/>
            </w:tcBorders>
            <w:noWrap w:val="0"/>
            <w:vAlign w:val="center"/>
          </w:tcPr>
          <w:p w14:paraId="75FEA041">
            <w:pPr>
              <w:jc w:val="center"/>
              <w:rPr>
                <w:rFonts w:hint="eastAsia" w:ascii="宋体" w:hAnsi="宋体" w:eastAsia="宋体" w:cs="宋体"/>
                <w:b w:val="0"/>
                <w:bCs w:val="0"/>
                <w:color w:val="auto"/>
                <w:sz w:val="21"/>
                <w:szCs w:val="21"/>
              </w:rPr>
            </w:pPr>
          </w:p>
        </w:tc>
      </w:tr>
      <w:tr w14:paraId="677F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21" w:type="pct"/>
            <w:tcBorders>
              <w:tl2br w:val="nil"/>
              <w:tr2bl w:val="nil"/>
            </w:tcBorders>
            <w:noWrap w:val="0"/>
            <w:vAlign w:val="center"/>
          </w:tcPr>
          <w:p w14:paraId="2E384008">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i w:val="0"/>
                <w:iCs w:val="0"/>
                <w:color w:val="auto"/>
                <w:sz w:val="21"/>
                <w:szCs w:val="21"/>
              </w:rPr>
              <w:t>E.服务管理</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15%</w:t>
            </w:r>
            <w:r>
              <w:rPr>
                <w:rFonts w:hint="eastAsia" w:ascii="宋体" w:hAnsi="宋体" w:eastAsia="宋体" w:cs="宋体"/>
                <w:b w:val="0"/>
                <w:bCs w:val="0"/>
                <w:i w:val="0"/>
                <w:iCs w:val="0"/>
                <w:color w:val="auto"/>
                <w:sz w:val="21"/>
                <w:szCs w:val="21"/>
                <w:lang w:eastAsia="zh-CN"/>
              </w:rPr>
              <w:t>）</w:t>
            </w:r>
          </w:p>
        </w:tc>
        <w:tc>
          <w:tcPr>
            <w:tcW w:w="350" w:type="pct"/>
            <w:tcBorders>
              <w:tl2br w:val="nil"/>
              <w:tr2bl w:val="nil"/>
            </w:tcBorders>
            <w:noWrap w:val="0"/>
            <w:vAlign w:val="center"/>
          </w:tcPr>
          <w:p w14:paraId="3B87073C">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15%</w:t>
            </w:r>
          </w:p>
        </w:tc>
        <w:tc>
          <w:tcPr>
            <w:tcW w:w="3319" w:type="pct"/>
            <w:tcBorders>
              <w:tl2br w:val="nil"/>
              <w:tr2bl w:val="nil"/>
            </w:tcBorders>
            <w:noWrap w:val="0"/>
            <w:vAlign w:val="center"/>
          </w:tcPr>
          <w:p w14:paraId="6CAB7CE7">
            <w:pPr>
              <w:jc w:val="left"/>
              <w:rPr>
                <w:rFonts w:hint="eastAsia" w:ascii="宋体" w:hAnsi="宋体" w:eastAsia="宋体" w:cs="宋体"/>
                <w:b w:val="0"/>
                <w:bCs w:val="0"/>
                <w:i w:val="0"/>
                <w:iCs w:val="0"/>
                <w:color w:val="auto"/>
                <w:sz w:val="21"/>
                <w:szCs w:val="21"/>
                <w:lang w:eastAsia="zh-CN"/>
              </w:rPr>
            </w:pPr>
            <w:r>
              <w:rPr>
                <w:rFonts w:hint="eastAsia" w:ascii="宋体" w:hAnsi="宋体" w:eastAsia="宋体" w:cs="宋体"/>
                <w:b w:val="0"/>
                <w:bCs w:val="0"/>
                <w:i w:val="0"/>
                <w:iCs w:val="0"/>
                <w:color w:val="auto"/>
                <w:sz w:val="21"/>
                <w:szCs w:val="21"/>
              </w:rPr>
              <w:t>E1.员工形象与礼仪：统一着装佩戴工牌，行为规范，礼貌待人。</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5分</w:t>
            </w:r>
            <w:r>
              <w:rPr>
                <w:rFonts w:hint="eastAsia" w:ascii="宋体" w:hAnsi="宋体" w:eastAsia="宋体" w:cs="宋体"/>
                <w:b w:val="0"/>
                <w:bCs w:val="0"/>
                <w:i w:val="0"/>
                <w:iCs w:val="0"/>
                <w:color w:val="auto"/>
                <w:sz w:val="21"/>
                <w:szCs w:val="21"/>
                <w:lang w:eastAsia="zh-CN"/>
              </w:rPr>
              <w:t>）</w:t>
            </w:r>
          </w:p>
          <w:p w14:paraId="668FE2D7">
            <w:pPr>
              <w:jc w:val="left"/>
              <w:rPr>
                <w:rFonts w:hint="eastAsia" w:ascii="宋体" w:hAnsi="宋体" w:eastAsia="宋体" w:cs="宋体"/>
                <w:b w:val="0"/>
                <w:bCs w:val="0"/>
                <w:i w:val="0"/>
                <w:iCs w:val="0"/>
                <w:color w:val="auto"/>
                <w:sz w:val="21"/>
                <w:szCs w:val="21"/>
                <w:lang w:eastAsia="zh-CN"/>
              </w:rPr>
            </w:pPr>
            <w:r>
              <w:rPr>
                <w:rFonts w:hint="eastAsia" w:ascii="宋体" w:hAnsi="宋体" w:eastAsia="宋体" w:cs="宋体"/>
                <w:b w:val="0"/>
                <w:bCs w:val="0"/>
                <w:i w:val="0"/>
                <w:iCs w:val="0"/>
                <w:color w:val="auto"/>
                <w:sz w:val="21"/>
                <w:szCs w:val="21"/>
              </w:rPr>
              <w:t>E2.响应及时性：对突发清洁需求（如污渍处理）及投诉，响应和处理速度符合约定。</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5分</w:t>
            </w:r>
            <w:r>
              <w:rPr>
                <w:rFonts w:hint="eastAsia" w:ascii="宋体" w:hAnsi="宋体" w:eastAsia="宋体" w:cs="宋体"/>
                <w:b w:val="0"/>
                <w:bCs w:val="0"/>
                <w:i w:val="0"/>
                <w:iCs w:val="0"/>
                <w:color w:val="auto"/>
                <w:sz w:val="21"/>
                <w:szCs w:val="21"/>
                <w:lang w:eastAsia="zh-CN"/>
              </w:rPr>
              <w:t>）</w:t>
            </w:r>
          </w:p>
          <w:p w14:paraId="5150692C">
            <w:pPr>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i w:val="0"/>
                <w:iCs w:val="0"/>
                <w:color w:val="auto"/>
                <w:sz w:val="21"/>
                <w:szCs w:val="21"/>
              </w:rPr>
              <w:t>E3.流程与记录：垃圾分类、消杀、巡检等记录完整规范，存档备查。</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5分</w:t>
            </w:r>
            <w:r>
              <w:rPr>
                <w:rFonts w:hint="eastAsia" w:ascii="宋体" w:hAnsi="宋体" w:eastAsia="宋体" w:cs="宋体"/>
                <w:b w:val="0"/>
                <w:bCs w:val="0"/>
                <w:i w:val="0"/>
                <w:iCs w:val="0"/>
                <w:color w:val="auto"/>
                <w:sz w:val="21"/>
                <w:szCs w:val="21"/>
                <w:lang w:eastAsia="zh-CN"/>
              </w:rPr>
              <w:t>）</w:t>
            </w:r>
          </w:p>
        </w:tc>
        <w:tc>
          <w:tcPr>
            <w:tcW w:w="263" w:type="pct"/>
            <w:tcBorders>
              <w:tl2br w:val="nil"/>
              <w:tr2bl w:val="nil"/>
            </w:tcBorders>
            <w:noWrap w:val="0"/>
            <w:vAlign w:val="center"/>
          </w:tcPr>
          <w:p w14:paraId="64295B0A">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15</w:t>
            </w:r>
          </w:p>
        </w:tc>
        <w:tc>
          <w:tcPr>
            <w:tcW w:w="189" w:type="pct"/>
            <w:tcBorders>
              <w:tl2br w:val="nil"/>
              <w:tr2bl w:val="nil"/>
            </w:tcBorders>
            <w:noWrap w:val="0"/>
            <w:vAlign w:val="center"/>
          </w:tcPr>
          <w:p w14:paraId="337D9454">
            <w:pPr>
              <w:jc w:val="center"/>
              <w:rPr>
                <w:rFonts w:hint="eastAsia" w:ascii="宋体" w:hAnsi="宋体" w:eastAsia="宋体" w:cs="宋体"/>
                <w:b w:val="0"/>
                <w:bCs w:val="0"/>
                <w:color w:val="auto"/>
                <w:sz w:val="21"/>
                <w:szCs w:val="21"/>
              </w:rPr>
            </w:pPr>
          </w:p>
        </w:tc>
        <w:tc>
          <w:tcPr>
            <w:tcW w:w="356" w:type="pct"/>
            <w:tcBorders>
              <w:tl2br w:val="nil"/>
              <w:tr2bl w:val="nil"/>
            </w:tcBorders>
            <w:noWrap w:val="0"/>
            <w:vAlign w:val="center"/>
          </w:tcPr>
          <w:p w14:paraId="6BC74382">
            <w:pPr>
              <w:jc w:val="center"/>
              <w:rPr>
                <w:rFonts w:hint="eastAsia" w:ascii="宋体" w:hAnsi="宋体" w:eastAsia="宋体" w:cs="宋体"/>
                <w:b w:val="0"/>
                <w:bCs w:val="0"/>
                <w:color w:val="auto"/>
                <w:sz w:val="21"/>
                <w:szCs w:val="21"/>
              </w:rPr>
            </w:pPr>
          </w:p>
        </w:tc>
      </w:tr>
      <w:tr w14:paraId="767E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21" w:type="pct"/>
            <w:tcBorders>
              <w:tl2br w:val="nil"/>
              <w:tr2bl w:val="nil"/>
            </w:tcBorders>
            <w:noWrap w:val="0"/>
            <w:vAlign w:val="center"/>
          </w:tcPr>
          <w:p w14:paraId="41C4B175">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总计</w:t>
            </w:r>
          </w:p>
        </w:tc>
        <w:tc>
          <w:tcPr>
            <w:tcW w:w="350" w:type="pct"/>
            <w:tcBorders>
              <w:tl2br w:val="nil"/>
              <w:tr2bl w:val="nil"/>
            </w:tcBorders>
            <w:noWrap w:val="0"/>
            <w:vAlign w:val="center"/>
          </w:tcPr>
          <w:p w14:paraId="2522EB6C">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100%</w:t>
            </w:r>
          </w:p>
        </w:tc>
        <w:tc>
          <w:tcPr>
            <w:tcW w:w="3319" w:type="pct"/>
            <w:tcBorders>
              <w:tl2br w:val="nil"/>
              <w:tr2bl w:val="nil"/>
            </w:tcBorders>
            <w:noWrap w:val="0"/>
            <w:vAlign w:val="center"/>
          </w:tcPr>
          <w:p w14:paraId="3776570A">
            <w:pPr>
              <w:jc w:val="center"/>
              <w:rPr>
                <w:rFonts w:hint="eastAsia" w:ascii="宋体" w:hAnsi="宋体" w:eastAsia="宋体" w:cs="宋体"/>
                <w:b w:val="0"/>
                <w:bCs w:val="0"/>
                <w:color w:val="auto"/>
                <w:sz w:val="21"/>
                <w:szCs w:val="21"/>
              </w:rPr>
            </w:pPr>
          </w:p>
        </w:tc>
        <w:tc>
          <w:tcPr>
            <w:tcW w:w="263" w:type="pct"/>
            <w:tcBorders>
              <w:tl2br w:val="nil"/>
              <w:tr2bl w:val="nil"/>
            </w:tcBorders>
            <w:noWrap w:val="0"/>
            <w:vAlign w:val="center"/>
          </w:tcPr>
          <w:p w14:paraId="7A5AFDA4">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100</w:t>
            </w:r>
          </w:p>
        </w:tc>
        <w:tc>
          <w:tcPr>
            <w:tcW w:w="189" w:type="pct"/>
            <w:tcBorders>
              <w:tl2br w:val="nil"/>
              <w:tr2bl w:val="nil"/>
            </w:tcBorders>
            <w:noWrap w:val="0"/>
            <w:vAlign w:val="center"/>
          </w:tcPr>
          <w:p w14:paraId="343AB16F">
            <w:pPr>
              <w:jc w:val="center"/>
              <w:rPr>
                <w:rFonts w:hint="eastAsia" w:ascii="宋体" w:hAnsi="宋体" w:eastAsia="宋体" w:cs="宋体"/>
                <w:b w:val="0"/>
                <w:bCs w:val="0"/>
                <w:color w:val="auto"/>
                <w:sz w:val="21"/>
                <w:szCs w:val="21"/>
              </w:rPr>
            </w:pPr>
          </w:p>
        </w:tc>
        <w:tc>
          <w:tcPr>
            <w:tcW w:w="356" w:type="pct"/>
            <w:tcBorders>
              <w:tl2br w:val="nil"/>
              <w:tr2bl w:val="nil"/>
            </w:tcBorders>
            <w:noWrap w:val="0"/>
            <w:vAlign w:val="center"/>
          </w:tcPr>
          <w:p w14:paraId="7EEF565D">
            <w:pPr>
              <w:jc w:val="center"/>
              <w:rPr>
                <w:rFonts w:hint="eastAsia" w:ascii="宋体" w:hAnsi="宋体" w:eastAsia="宋体" w:cs="宋体"/>
                <w:b w:val="0"/>
                <w:bCs w:val="0"/>
                <w:color w:val="auto"/>
                <w:sz w:val="21"/>
                <w:szCs w:val="21"/>
              </w:rPr>
            </w:pPr>
          </w:p>
        </w:tc>
      </w:tr>
      <w:tr w14:paraId="635F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000" w:type="pct"/>
            <w:gridSpan w:val="6"/>
            <w:tcBorders>
              <w:tl2br w:val="nil"/>
              <w:tr2bl w:val="nil"/>
            </w:tcBorders>
            <w:noWrap w:val="0"/>
            <w:vAlign w:val="center"/>
          </w:tcPr>
          <w:p w14:paraId="5E467F8A">
            <w:pPr>
              <w:pStyle w:val="18"/>
              <w:widowControl/>
              <w:jc w:val="both"/>
              <w:rPr>
                <w:rFonts w:hint="eastAsia" w:ascii="宋体" w:hAnsi="宋体" w:eastAsia="宋体" w:cs="宋体"/>
                <w:b w:val="0"/>
                <w:bCs w:val="0"/>
                <w:color w:val="auto"/>
                <w:sz w:val="21"/>
                <w:szCs w:val="21"/>
                <w:lang w:eastAsia="zh-CN"/>
              </w:rPr>
            </w:pPr>
            <w:r>
              <w:rPr>
                <w:rFonts w:hint="eastAsia" w:ascii="宋体" w:hAnsi="宋体" w:eastAsia="宋体" w:cs="宋体"/>
                <w:b w:val="0"/>
                <w:bCs w:val="0"/>
                <w:i w:val="0"/>
                <w:color w:val="auto"/>
                <w:sz w:val="21"/>
                <w:szCs w:val="21"/>
              </w:rPr>
              <w:t>计算公式：最终得分</w:t>
            </w:r>
            <w:r>
              <w:rPr>
                <w:rFonts w:hint="eastAsia" w:ascii="宋体" w:hAnsi="宋体" w:eastAsia="宋体" w:cs="宋体"/>
                <w:b w:val="0"/>
                <w:bCs w:val="0"/>
                <w:i w:val="0"/>
                <w:color w:val="auto"/>
                <w:sz w:val="21"/>
                <w:szCs w:val="21"/>
                <w:lang w:eastAsia="zh-CN"/>
              </w:rPr>
              <w:t>（</w:t>
            </w:r>
            <w:r>
              <w:rPr>
                <w:rFonts w:hint="eastAsia" w:ascii="宋体" w:hAnsi="宋体" w:eastAsia="宋体" w:cs="宋体"/>
                <w:b w:val="0"/>
                <w:bCs w:val="0"/>
                <w:i w:val="0"/>
                <w:color w:val="auto"/>
                <w:sz w:val="21"/>
                <w:szCs w:val="21"/>
              </w:rPr>
              <w:t>S</w:t>
            </w:r>
            <w:r>
              <w:rPr>
                <w:rFonts w:hint="eastAsia" w:ascii="宋体" w:hAnsi="宋体" w:eastAsia="宋体" w:cs="宋体"/>
                <w:b w:val="0"/>
                <w:bCs w:val="0"/>
                <w:i w:val="0"/>
                <w:color w:val="auto"/>
                <w:sz w:val="21"/>
                <w:szCs w:val="21"/>
                <w:lang w:eastAsia="zh-CN"/>
              </w:rPr>
              <w:t>）</w:t>
            </w:r>
            <w:r>
              <w:rPr>
                <w:rFonts w:hint="eastAsia" w:ascii="宋体" w:hAnsi="宋体" w:eastAsia="宋体" w:cs="宋体"/>
                <w:b w:val="0"/>
                <w:bCs w:val="0"/>
                <w:i w:val="0"/>
                <w:color w:val="auto"/>
                <w:sz w:val="21"/>
                <w:szCs w:val="21"/>
              </w:rPr>
              <w:t>=</w:t>
            </w:r>
            <w:r>
              <w:rPr>
                <w:rFonts w:hint="eastAsia" w:ascii="宋体" w:hAnsi="宋体" w:eastAsia="宋体" w:cs="宋体"/>
                <w:b w:val="0"/>
                <w:bCs w:val="0"/>
                <w:i w:val="0"/>
                <w:color w:val="auto"/>
                <w:sz w:val="21"/>
                <w:szCs w:val="21"/>
                <w:lang w:eastAsia="zh-CN"/>
              </w:rPr>
              <w:t>（</w:t>
            </w:r>
            <w:r>
              <w:rPr>
                <w:rFonts w:hint="eastAsia" w:ascii="宋体" w:hAnsi="宋体" w:eastAsia="宋体" w:cs="宋体"/>
                <w:b w:val="0"/>
                <w:bCs w:val="0"/>
                <w:i w:val="0"/>
                <w:color w:val="auto"/>
                <w:sz w:val="21"/>
                <w:szCs w:val="21"/>
              </w:rPr>
              <w:t>A项得分+B项得分+C项得分+D项得分+E项得分</w:t>
            </w:r>
            <w:r>
              <w:rPr>
                <w:rFonts w:hint="eastAsia" w:ascii="宋体" w:hAnsi="宋体" w:eastAsia="宋体" w:cs="宋体"/>
                <w:b w:val="0"/>
                <w:bCs w:val="0"/>
                <w:i w:val="0"/>
                <w:color w:val="auto"/>
                <w:sz w:val="21"/>
                <w:szCs w:val="21"/>
                <w:lang w:eastAsia="zh-CN"/>
              </w:rPr>
              <w:t>）</w:t>
            </w:r>
          </w:p>
          <w:p w14:paraId="24E50D61">
            <w:pPr>
              <w:pStyle w:val="18"/>
              <w:widowControl/>
              <w:ind w:left="0" w:leftChars="0" w:firstLine="0" w:firstLineChars="0"/>
              <w:jc w:val="both"/>
              <w:rPr>
                <w:rFonts w:hint="eastAsia" w:ascii="宋体" w:hAnsi="宋体" w:eastAsia="宋体" w:cs="宋体"/>
                <w:b w:val="0"/>
                <w:bCs w:val="0"/>
                <w:i w:val="0"/>
                <w:color w:val="auto"/>
                <w:sz w:val="21"/>
                <w:szCs w:val="21"/>
              </w:rPr>
            </w:pPr>
          </w:p>
          <w:p w14:paraId="46DBAEED">
            <w:pPr>
              <w:pStyle w:val="18"/>
              <w:widowControl/>
              <w:ind w:left="0" w:leftChars="0" w:firstLine="0" w:firstLineChars="0"/>
              <w:jc w:val="both"/>
              <w:rPr>
                <w:rFonts w:hint="eastAsia" w:ascii="宋体" w:hAnsi="宋体" w:eastAsia="宋体" w:cs="宋体"/>
                <w:b w:val="0"/>
                <w:bCs w:val="0"/>
                <w:i w:val="0"/>
                <w:color w:val="auto"/>
                <w:sz w:val="21"/>
                <w:szCs w:val="21"/>
              </w:rPr>
            </w:pPr>
          </w:p>
          <w:p w14:paraId="7EEF75C7">
            <w:pPr>
              <w:pStyle w:val="18"/>
              <w:widowControl/>
              <w:ind w:left="0" w:leftChars="0" w:firstLine="0" w:firstLineChars="0"/>
              <w:jc w:val="both"/>
              <w:rPr>
                <w:rFonts w:hint="eastAsia" w:ascii="宋体" w:hAnsi="宋体" w:eastAsia="宋体" w:cs="宋体"/>
                <w:b w:val="0"/>
                <w:bCs w:val="0"/>
                <w:color w:val="auto"/>
                <w:sz w:val="21"/>
                <w:szCs w:val="21"/>
              </w:rPr>
            </w:pPr>
            <w:r>
              <w:rPr>
                <w:rFonts w:hint="eastAsia" w:ascii="宋体" w:hAnsi="宋体" w:eastAsia="宋体" w:cs="宋体"/>
                <w:b w:val="0"/>
                <w:bCs w:val="0"/>
                <w:i w:val="0"/>
                <w:color w:val="auto"/>
                <w:sz w:val="21"/>
                <w:szCs w:val="21"/>
              </w:rPr>
              <w:t>考核方（</w:t>
            </w:r>
            <w:r>
              <w:rPr>
                <w:rFonts w:hint="eastAsia" w:ascii="宋体" w:hAnsi="宋体" w:eastAsia="宋体" w:cs="宋体"/>
                <w:b w:val="0"/>
                <w:bCs w:val="0"/>
                <w:i w:val="0"/>
                <w:color w:val="auto"/>
                <w:sz w:val="21"/>
                <w:szCs w:val="21"/>
                <w:lang w:val="en-US" w:eastAsia="zh-CN"/>
              </w:rPr>
              <w:t>甲方</w:t>
            </w:r>
            <w:r>
              <w:rPr>
                <w:rFonts w:hint="eastAsia" w:ascii="宋体" w:hAnsi="宋体" w:eastAsia="宋体" w:cs="宋体"/>
                <w:b w:val="0"/>
                <w:bCs w:val="0"/>
                <w:i w:val="0"/>
                <w:color w:val="auto"/>
                <w:sz w:val="21"/>
                <w:szCs w:val="21"/>
              </w:rPr>
              <w:t>代表）签字：_______________</w:t>
            </w:r>
          </w:p>
          <w:p w14:paraId="1C0D5081">
            <w:pPr>
              <w:pStyle w:val="18"/>
              <w:widowControl/>
              <w:ind w:left="0" w:leftChars="0" w:firstLine="0" w:firstLineChars="0"/>
              <w:jc w:val="both"/>
              <w:rPr>
                <w:rFonts w:hint="eastAsia" w:ascii="宋体" w:hAnsi="宋体" w:eastAsia="宋体" w:cs="宋体"/>
                <w:b w:val="0"/>
                <w:bCs w:val="0"/>
                <w:i w:val="0"/>
                <w:color w:val="auto"/>
                <w:sz w:val="21"/>
                <w:szCs w:val="21"/>
              </w:rPr>
            </w:pPr>
          </w:p>
          <w:p w14:paraId="2FA88251">
            <w:pPr>
              <w:pStyle w:val="18"/>
              <w:widowControl/>
              <w:ind w:left="0" w:leftChars="0" w:firstLine="0" w:firstLineChars="0"/>
              <w:jc w:val="both"/>
              <w:rPr>
                <w:rFonts w:hint="eastAsia" w:ascii="宋体" w:hAnsi="宋体" w:eastAsia="宋体" w:cs="宋体"/>
                <w:b w:val="0"/>
                <w:bCs w:val="0"/>
                <w:color w:val="auto"/>
                <w:sz w:val="21"/>
                <w:szCs w:val="21"/>
              </w:rPr>
            </w:pPr>
            <w:r>
              <w:rPr>
                <w:rFonts w:hint="eastAsia" w:ascii="宋体" w:hAnsi="宋体" w:eastAsia="宋体" w:cs="宋体"/>
                <w:b w:val="0"/>
                <w:bCs w:val="0"/>
                <w:i w:val="0"/>
                <w:color w:val="auto"/>
                <w:sz w:val="21"/>
                <w:szCs w:val="21"/>
              </w:rPr>
              <w:t>被考核方（</w:t>
            </w:r>
            <w:r>
              <w:rPr>
                <w:rFonts w:hint="eastAsia" w:ascii="宋体" w:hAnsi="宋体" w:eastAsia="宋体" w:cs="宋体"/>
                <w:b w:val="0"/>
                <w:bCs w:val="0"/>
                <w:i w:val="0"/>
                <w:color w:val="auto"/>
                <w:sz w:val="21"/>
                <w:szCs w:val="21"/>
                <w:lang w:val="en-US" w:eastAsia="zh-CN"/>
              </w:rPr>
              <w:t>乙方代表</w:t>
            </w:r>
            <w:r>
              <w:rPr>
                <w:rFonts w:hint="eastAsia" w:ascii="宋体" w:hAnsi="宋体" w:eastAsia="宋体" w:cs="宋体"/>
                <w:b w:val="0"/>
                <w:bCs w:val="0"/>
                <w:i w:val="0"/>
                <w:color w:val="auto"/>
                <w:sz w:val="21"/>
                <w:szCs w:val="21"/>
              </w:rPr>
              <w:t>）签字：_______________</w:t>
            </w:r>
          </w:p>
          <w:p w14:paraId="3B8270C1">
            <w:pPr>
              <w:spacing w:before="120" w:after="120"/>
              <w:rPr>
                <w:rFonts w:hint="eastAsia" w:ascii="宋体" w:hAnsi="宋体" w:eastAsia="宋体" w:cs="宋体"/>
                <w:b w:val="0"/>
                <w:bCs w:val="0"/>
                <w:i w:val="0"/>
                <w:iCs w:val="0"/>
                <w:color w:val="auto"/>
                <w:sz w:val="21"/>
                <w:szCs w:val="21"/>
              </w:rPr>
            </w:pPr>
          </w:p>
          <w:p w14:paraId="0C5420B2">
            <w:pPr>
              <w:jc w:val="both"/>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确认日期：_______年____月____日</w:t>
            </w:r>
          </w:p>
        </w:tc>
      </w:tr>
    </w:tbl>
    <w:p w14:paraId="745E2B29">
      <w:pPr>
        <w:bidi w:val="0"/>
        <w:spacing w:line="360" w:lineRule="auto"/>
        <w:ind w:firstLine="422" w:firstLineChars="200"/>
        <w:outlineLvl w:val="3"/>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2.2.4园林绿化养护和管理</w:t>
      </w:r>
      <w:bookmarkEnd w:id="600"/>
      <w:bookmarkEnd w:id="601"/>
      <w:bookmarkEnd w:id="602"/>
      <w:bookmarkEnd w:id="603"/>
      <w:bookmarkEnd w:id="604"/>
    </w:p>
    <w:p w14:paraId="02B24567">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常花卉栽培养护管理要求每天巡查2次，发现问题及时处理。每天1次在责任区内除杂草、落叶，观察植物生长情况，每月一次松土、施肥，绿化地无明显黄土裸露；绿化植被应叶片茂盛，枝条均匀，花朵鲜艳，成活率达95%以上，绿化完好率达99%以上，大树、名木成活率达100％。</w:t>
      </w:r>
    </w:p>
    <w:p w14:paraId="37738A57">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施肥：乔木、灌木每年12月15日前施基肥，3月15日前施追肥各一次；草坪在每年3月15日前和9月15日前各施肥一次，根据实际情况需要可进行追补施肥；花卉每月施肥二次，酌情补追。</w:t>
      </w:r>
    </w:p>
    <w:p w14:paraId="25BA726A">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浇水：花卉类植物每天早或晚浇水一次，干旱时可适当多浇水；树木草坪在旱季时应适时补浇水。</w:t>
      </w:r>
    </w:p>
    <w:p w14:paraId="195C7AA5">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病虫害：树木类绿化物每季度喷打一次药，早发现虫害早喷打药物；草坪夏、秋季各打药一次，早发现早喷打药物；花卉类绿化物每月喷药一次，早发现早喷打药；做好病虫害的防治，随时发现随时治理，虫害高发期，酌情增打药物次数。</w:t>
      </w:r>
    </w:p>
    <w:p w14:paraId="4C04BBF7">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行道树下缘线整齐，修剪适度，干直冠美，无死树缺枝，无枯枝残叶，景观效果优良。</w:t>
      </w:r>
    </w:p>
    <w:p w14:paraId="213A896E">
      <w:pPr>
        <w:bidi w:val="0"/>
        <w:spacing w:line="360" w:lineRule="auto"/>
        <w:ind w:firstLine="422" w:firstLineChars="200"/>
        <w:outlineLvl w:val="3"/>
        <w:rPr>
          <w:rFonts w:hint="eastAsia" w:ascii="宋体" w:hAnsi="宋体" w:eastAsia="宋体" w:cs="宋体"/>
          <w:b/>
          <w:bCs/>
          <w:color w:val="auto"/>
          <w:sz w:val="21"/>
          <w:szCs w:val="21"/>
          <w:lang w:val="en-US" w:eastAsia="zh-CN"/>
        </w:rPr>
      </w:pPr>
      <w:bookmarkStart w:id="613" w:name="_Toc19165"/>
      <w:bookmarkStart w:id="614" w:name="_Toc12050"/>
      <w:bookmarkStart w:id="615" w:name="_Toc19283"/>
      <w:bookmarkStart w:id="616" w:name="_Toc3545"/>
      <w:bookmarkStart w:id="617" w:name="_Toc22921"/>
      <w:r>
        <w:rPr>
          <w:rFonts w:hint="eastAsia" w:ascii="宋体" w:hAnsi="宋体" w:eastAsia="宋体" w:cs="宋体"/>
          <w:b/>
          <w:bCs/>
          <w:color w:val="auto"/>
          <w:sz w:val="21"/>
          <w:szCs w:val="21"/>
          <w:lang w:val="en-US" w:eastAsia="zh-CN"/>
        </w:rPr>
        <w:t>2.2.5空调系统维护保养管理</w:t>
      </w:r>
      <w:bookmarkEnd w:id="613"/>
      <w:bookmarkEnd w:id="614"/>
      <w:bookmarkEnd w:id="615"/>
      <w:bookmarkEnd w:id="616"/>
      <w:bookmarkEnd w:id="617"/>
    </w:p>
    <w:p w14:paraId="2506A3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立规范完善的空调运行制度和维修保养制度并严格执行；空调系统安全、正常，保持状况良好。设备及环境整洁，无异常噪声及滴漏水现象；有准确完整的空调系统档案资料，各项运行记录和维修保养记录齐全，并归档保存。制定切实可行节能运行制度，有明显节能降耗成果。保养要求</w:t>
      </w:r>
      <w:r>
        <w:rPr>
          <w:rFonts w:hint="eastAsia" w:ascii="宋体" w:hAnsi="宋体" w:eastAsia="宋体" w:cs="宋体"/>
          <w:color w:val="auto"/>
          <w:sz w:val="21"/>
          <w:szCs w:val="21"/>
          <w:highlight w:val="none"/>
          <w:lang w:val="en-US" w:eastAsia="zh-CN"/>
        </w:rPr>
        <w:t>如下</w:t>
      </w:r>
      <w:r>
        <w:rPr>
          <w:rFonts w:hint="eastAsia" w:ascii="宋体" w:hAnsi="宋体" w:eastAsia="宋体" w:cs="宋体"/>
          <w:color w:val="auto"/>
          <w:sz w:val="21"/>
          <w:szCs w:val="21"/>
          <w:highlight w:val="none"/>
        </w:rPr>
        <w:t>：</w:t>
      </w:r>
    </w:p>
    <w:tbl>
      <w:tblPr>
        <w:tblStyle w:val="41"/>
        <w:tblW w:w="49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6"/>
        <w:gridCol w:w="3280"/>
        <w:gridCol w:w="2683"/>
        <w:gridCol w:w="1838"/>
      </w:tblGrid>
      <w:tr w14:paraId="3B71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54" w:type="pct"/>
            <w:noWrap/>
            <w:vAlign w:val="center"/>
          </w:tcPr>
          <w:p w14:paraId="74B10CC5">
            <w:pPr>
              <w:snapToGrid w:val="0"/>
              <w:spacing w:line="240" w:lineRule="auto"/>
              <w:ind w:firstLine="0" w:firstLineChars="0"/>
              <w:jc w:val="center"/>
              <w:rPr>
                <w:rFonts w:hint="eastAsia" w:ascii="宋体" w:hAnsi="宋体" w:eastAsia="宋体" w:cs="宋体"/>
                <w:b/>
                <w:bCs/>
                <w:color w:val="auto"/>
                <w:kern w:val="11"/>
                <w:sz w:val="21"/>
                <w:szCs w:val="21"/>
              </w:rPr>
            </w:pPr>
            <w:r>
              <w:rPr>
                <w:rFonts w:hint="eastAsia" w:ascii="宋体" w:hAnsi="宋体" w:eastAsia="宋体" w:cs="宋体"/>
                <w:b/>
                <w:bCs/>
                <w:color w:val="auto"/>
                <w:kern w:val="11"/>
                <w:sz w:val="21"/>
                <w:szCs w:val="21"/>
              </w:rPr>
              <w:t>序号</w:t>
            </w:r>
          </w:p>
        </w:tc>
        <w:tc>
          <w:tcPr>
            <w:tcW w:w="780" w:type="pct"/>
            <w:noWrap/>
            <w:vAlign w:val="center"/>
          </w:tcPr>
          <w:p w14:paraId="2F01F16C">
            <w:pPr>
              <w:snapToGrid w:val="0"/>
              <w:spacing w:line="240" w:lineRule="auto"/>
              <w:ind w:firstLine="0" w:firstLineChars="0"/>
              <w:jc w:val="center"/>
              <w:rPr>
                <w:rFonts w:hint="eastAsia" w:ascii="宋体" w:hAnsi="宋体" w:eastAsia="宋体" w:cs="宋体"/>
                <w:b/>
                <w:bCs/>
                <w:color w:val="auto"/>
                <w:kern w:val="11"/>
                <w:sz w:val="21"/>
                <w:szCs w:val="21"/>
              </w:rPr>
            </w:pPr>
            <w:r>
              <w:rPr>
                <w:rFonts w:hint="eastAsia" w:ascii="宋体" w:hAnsi="宋体" w:eastAsia="宋体" w:cs="宋体"/>
                <w:b/>
                <w:bCs/>
                <w:color w:val="auto"/>
                <w:kern w:val="11"/>
                <w:sz w:val="21"/>
                <w:szCs w:val="21"/>
              </w:rPr>
              <w:t>保养检查项目</w:t>
            </w:r>
          </w:p>
        </w:tc>
        <w:tc>
          <w:tcPr>
            <w:tcW w:w="1624" w:type="pct"/>
            <w:noWrap/>
            <w:vAlign w:val="center"/>
          </w:tcPr>
          <w:p w14:paraId="7808516D">
            <w:pPr>
              <w:snapToGrid w:val="0"/>
              <w:spacing w:line="240" w:lineRule="auto"/>
              <w:ind w:firstLine="0" w:firstLineChars="0"/>
              <w:jc w:val="center"/>
              <w:rPr>
                <w:rFonts w:hint="eastAsia" w:ascii="宋体" w:hAnsi="宋体" w:eastAsia="宋体" w:cs="宋体"/>
                <w:b/>
                <w:bCs/>
                <w:color w:val="auto"/>
                <w:kern w:val="11"/>
                <w:sz w:val="21"/>
                <w:szCs w:val="21"/>
              </w:rPr>
            </w:pPr>
            <w:r>
              <w:rPr>
                <w:rFonts w:hint="eastAsia" w:ascii="宋体" w:hAnsi="宋体" w:eastAsia="宋体" w:cs="宋体"/>
                <w:b/>
                <w:bCs/>
                <w:color w:val="auto"/>
                <w:kern w:val="11"/>
                <w:sz w:val="21"/>
                <w:szCs w:val="21"/>
              </w:rPr>
              <w:t>保养内容</w:t>
            </w:r>
          </w:p>
        </w:tc>
        <w:tc>
          <w:tcPr>
            <w:tcW w:w="1329" w:type="pct"/>
            <w:noWrap/>
            <w:vAlign w:val="center"/>
          </w:tcPr>
          <w:p w14:paraId="07CFB4ED">
            <w:pPr>
              <w:spacing w:line="240" w:lineRule="auto"/>
              <w:ind w:firstLine="0" w:firstLineChars="0"/>
              <w:jc w:val="center"/>
              <w:rPr>
                <w:rFonts w:hint="eastAsia" w:ascii="宋体" w:hAnsi="宋体" w:eastAsia="宋体" w:cs="宋体"/>
                <w:b/>
                <w:bCs/>
                <w:color w:val="auto"/>
                <w:kern w:val="11"/>
                <w:sz w:val="21"/>
                <w:szCs w:val="21"/>
              </w:rPr>
            </w:pPr>
            <w:r>
              <w:rPr>
                <w:rFonts w:hint="eastAsia" w:ascii="宋体" w:hAnsi="宋体" w:eastAsia="宋体" w:cs="宋体"/>
                <w:b/>
                <w:bCs/>
                <w:color w:val="auto"/>
                <w:kern w:val="11"/>
                <w:sz w:val="21"/>
                <w:szCs w:val="21"/>
              </w:rPr>
              <w:t>保养要求</w:t>
            </w:r>
          </w:p>
        </w:tc>
        <w:tc>
          <w:tcPr>
            <w:tcW w:w="910" w:type="pct"/>
            <w:noWrap/>
            <w:vAlign w:val="center"/>
          </w:tcPr>
          <w:p w14:paraId="760441C7">
            <w:pPr>
              <w:spacing w:line="240" w:lineRule="auto"/>
              <w:ind w:firstLine="0" w:firstLineChars="0"/>
              <w:jc w:val="center"/>
              <w:rPr>
                <w:rFonts w:hint="eastAsia" w:ascii="宋体" w:hAnsi="宋体" w:eastAsia="宋体" w:cs="宋体"/>
                <w:b/>
                <w:bCs/>
                <w:color w:val="auto"/>
                <w:kern w:val="11"/>
                <w:sz w:val="21"/>
                <w:szCs w:val="21"/>
              </w:rPr>
            </w:pPr>
            <w:r>
              <w:rPr>
                <w:rFonts w:hint="eastAsia" w:ascii="宋体" w:hAnsi="宋体" w:eastAsia="宋体" w:cs="宋体"/>
                <w:b/>
                <w:bCs/>
                <w:color w:val="auto"/>
                <w:kern w:val="11"/>
                <w:sz w:val="21"/>
                <w:szCs w:val="21"/>
              </w:rPr>
              <w:t>备注</w:t>
            </w:r>
          </w:p>
        </w:tc>
      </w:tr>
      <w:tr w14:paraId="62F2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000" w:type="pct"/>
            <w:gridSpan w:val="5"/>
            <w:noWrap/>
            <w:vAlign w:val="center"/>
          </w:tcPr>
          <w:p w14:paraId="1DDD1434">
            <w:pPr>
              <w:spacing w:line="240" w:lineRule="auto"/>
              <w:ind w:firstLine="0" w:firstLineChars="0"/>
              <w:rPr>
                <w:rFonts w:hint="eastAsia" w:ascii="宋体" w:hAnsi="宋体" w:eastAsia="宋体" w:cs="宋体"/>
                <w:b/>
                <w:bCs/>
                <w:color w:val="auto"/>
                <w:kern w:val="13"/>
                <w:sz w:val="21"/>
                <w:szCs w:val="21"/>
              </w:rPr>
            </w:pPr>
            <w:r>
              <w:rPr>
                <w:rFonts w:hint="eastAsia" w:ascii="宋体" w:hAnsi="宋体" w:eastAsia="宋体" w:cs="宋体"/>
                <w:color w:val="auto"/>
                <w:kern w:val="13"/>
                <w:sz w:val="21"/>
                <w:szCs w:val="21"/>
              </w:rPr>
              <w:t>一、室外机部分</w:t>
            </w:r>
          </w:p>
        </w:tc>
      </w:tr>
      <w:tr w14:paraId="5B7C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9" w:hRule="atLeast"/>
          <w:jc w:val="center"/>
        </w:trPr>
        <w:tc>
          <w:tcPr>
            <w:tcW w:w="354" w:type="pct"/>
            <w:noWrap/>
            <w:vAlign w:val="center"/>
          </w:tcPr>
          <w:p w14:paraId="1CEC6F3A">
            <w:pPr>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1</w:t>
            </w:r>
          </w:p>
        </w:tc>
        <w:tc>
          <w:tcPr>
            <w:tcW w:w="780" w:type="pct"/>
            <w:noWrap/>
            <w:vAlign w:val="center"/>
          </w:tcPr>
          <w:p w14:paraId="09987BD2">
            <w:pPr>
              <w:tabs>
                <w:tab w:val="left" w:pos="-51"/>
                <w:tab w:val="left" w:pos="878"/>
              </w:tabs>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热交换器的清扫</w:t>
            </w:r>
          </w:p>
        </w:tc>
        <w:tc>
          <w:tcPr>
            <w:tcW w:w="1624" w:type="pct"/>
            <w:noWrap/>
            <w:vAlign w:val="center"/>
          </w:tcPr>
          <w:p w14:paraId="16300EBB">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清除通风口的杂物，清洁室外通风网罩内的异物，清除室外机冷凝器上的堵塞杂物，视清洁程度可用清水冲洗室外机冷凝器翅片冲洗水压不要超过0.5Mpa，避免损伤翅片。</w:t>
            </w:r>
          </w:p>
        </w:tc>
        <w:tc>
          <w:tcPr>
            <w:tcW w:w="1329" w:type="pct"/>
            <w:noWrap/>
            <w:vAlign w:val="center"/>
          </w:tcPr>
          <w:p w14:paraId="0D441154">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冷凝器表面清洁无灰尘油污等堆积、翅片无倒伏、通风网罩内无异物、通风口畅通无阻。</w:t>
            </w:r>
          </w:p>
        </w:tc>
        <w:tc>
          <w:tcPr>
            <w:tcW w:w="910" w:type="pct"/>
            <w:noWrap/>
            <w:vAlign w:val="center"/>
          </w:tcPr>
          <w:p w14:paraId="61F6FAB2">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防止喷溅浸湿电气部件。</w:t>
            </w:r>
          </w:p>
        </w:tc>
      </w:tr>
      <w:tr w14:paraId="3C64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8" w:hRule="atLeast"/>
          <w:jc w:val="center"/>
        </w:trPr>
        <w:tc>
          <w:tcPr>
            <w:tcW w:w="354" w:type="pct"/>
            <w:noWrap/>
            <w:vAlign w:val="center"/>
          </w:tcPr>
          <w:p w14:paraId="58E98D5C">
            <w:pPr>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2</w:t>
            </w:r>
          </w:p>
        </w:tc>
        <w:tc>
          <w:tcPr>
            <w:tcW w:w="780" w:type="pct"/>
            <w:noWrap/>
            <w:vAlign w:val="center"/>
          </w:tcPr>
          <w:p w14:paraId="004CC65E">
            <w:pPr>
              <w:tabs>
                <w:tab w:val="left" w:pos="-51"/>
                <w:tab w:val="left" w:pos="878"/>
              </w:tabs>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电气盒内的清洁</w:t>
            </w:r>
          </w:p>
        </w:tc>
        <w:tc>
          <w:tcPr>
            <w:tcW w:w="1624" w:type="pct"/>
            <w:noWrap/>
            <w:vAlign w:val="center"/>
          </w:tcPr>
          <w:p w14:paraId="58450DF5">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用干净软毛刷清扫，用吸尘器清除积尘；或用干燥压缩空气、干燥氮气吹扫。</w:t>
            </w:r>
          </w:p>
        </w:tc>
        <w:tc>
          <w:tcPr>
            <w:tcW w:w="1329" w:type="pct"/>
            <w:noWrap/>
            <w:vAlign w:val="center"/>
          </w:tcPr>
          <w:p w14:paraId="243C69E7">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电气盒内无积尘、每个电气部件表面无灰尘。</w:t>
            </w:r>
          </w:p>
        </w:tc>
        <w:tc>
          <w:tcPr>
            <w:tcW w:w="910" w:type="pct"/>
            <w:noWrap/>
            <w:vAlign w:val="center"/>
          </w:tcPr>
          <w:p w14:paraId="18106FCB">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操作时要断开外机电源(氮气由物业服务中心提供)。</w:t>
            </w:r>
          </w:p>
        </w:tc>
      </w:tr>
      <w:tr w14:paraId="25597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54" w:type="pct"/>
            <w:tcBorders>
              <w:left w:val="single" w:color="auto" w:sz="4" w:space="0"/>
            </w:tcBorders>
            <w:noWrap/>
            <w:vAlign w:val="center"/>
          </w:tcPr>
          <w:p w14:paraId="4B56EBAA">
            <w:pPr>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3</w:t>
            </w:r>
          </w:p>
        </w:tc>
        <w:tc>
          <w:tcPr>
            <w:tcW w:w="780" w:type="pct"/>
            <w:noWrap/>
            <w:vAlign w:val="center"/>
          </w:tcPr>
          <w:p w14:paraId="550A498D">
            <w:pPr>
              <w:tabs>
                <w:tab w:val="left" w:pos="-51"/>
                <w:tab w:val="left" w:pos="878"/>
              </w:tabs>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电气系统的检查</w:t>
            </w:r>
          </w:p>
        </w:tc>
        <w:tc>
          <w:tcPr>
            <w:tcW w:w="1624" w:type="pct"/>
            <w:noWrap/>
            <w:vAlign w:val="center"/>
          </w:tcPr>
          <w:p w14:paraId="3D73E4F7">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1）检查、紧固空调室外机接线端子检查空调室外机电气绝缘。</w:t>
            </w:r>
          </w:p>
          <w:p w14:paraId="2041F9AB">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2）检查室外机拨码设置，清理拨码上的灰尘，保持清洁，避免因拨码上积灰导致导通不良出现故障。</w:t>
            </w:r>
          </w:p>
        </w:tc>
        <w:tc>
          <w:tcPr>
            <w:tcW w:w="1329" w:type="pct"/>
            <w:noWrap/>
            <w:vAlign w:val="center"/>
          </w:tcPr>
          <w:p w14:paraId="79314F0F">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接线端子无松动，各电源的火线、零线对地电阻1MΩ以上</w:t>
            </w:r>
          </w:p>
          <w:p w14:paraId="21818B78">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各种拨码设置正确，不存在导通不良的问题。</w:t>
            </w:r>
          </w:p>
        </w:tc>
        <w:tc>
          <w:tcPr>
            <w:tcW w:w="910" w:type="pct"/>
            <w:noWrap/>
            <w:vAlign w:val="center"/>
          </w:tcPr>
          <w:p w14:paraId="7E438B64">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操作时要断开外机电源。</w:t>
            </w:r>
          </w:p>
        </w:tc>
      </w:tr>
      <w:tr w14:paraId="5B60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jc w:val="center"/>
        </w:trPr>
        <w:tc>
          <w:tcPr>
            <w:tcW w:w="354" w:type="pct"/>
            <w:tcBorders>
              <w:left w:val="single" w:color="auto" w:sz="4" w:space="0"/>
            </w:tcBorders>
            <w:noWrap/>
            <w:vAlign w:val="center"/>
          </w:tcPr>
          <w:p w14:paraId="6CE38B68">
            <w:pPr>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4</w:t>
            </w:r>
          </w:p>
        </w:tc>
        <w:tc>
          <w:tcPr>
            <w:tcW w:w="780" w:type="pct"/>
            <w:noWrap/>
            <w:vAlign w:val="center"/>
          </w:tcPr>
          <w:p w14:paraId="21914B4F">
            <w:pPr>
              <w:tabs>
                <w:tab w:val="left" w:pos="-51"/>
                <w:tab w:val="left" w:pos="878"/>
              </w:tabs>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机内底部的清洁</w:t>
            </w:r>
          </w:p>
        </w:tc>
        <w:tc>
          <w:tcPr>
            <w:tcW w:w="1624" w:type="pct"/>
            <w:noWrap/>
            <w:vAlign w:val="center"/>
          </w:tcPr>
          <w:p w14:paraId="6952474D">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清扫机壳内底部的杂物，用抹布擦洗底壳的油污。</w:t>
            </w:r>
          </w:p>
        </w:tc>
        <w:tc>
          <w:tcPr>
            <w:tcW w:w="1329" w:type="pct"/>
            <w:noWrap/>
            <w:vAlign w:val="center"/>
          </w:tcPr>
          <w:p w14:paraId="5BEAA2C0">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干净，无杂物。</w:t>
            </w:r>
          </w:p>
        </w:tc>
        <w:tc>
          <w:tcPr>
            <w:tcW w:w="910" w:type="pct"/>
            <w:noWrap/>
            <w:vAlign w:val="center"/>
          </w:tcPr>
          <w:p w14:paraId="1F729CA8">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操作时要断开外机电源。</w:t>
            </w:r>
          </w:p>
        </w:tc>
      </w:tr>
      <w:tr w14:paraId="474C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atLeast"/>
          <w:jc w:val="center"/>
        </w:trPr>
        <w:tc>
          <w:tcPr>
            <w:tcW w:w="354" w:type="pct"/>
            <w:tcBorders>
              <w:left w:val="single" w:color="auto" w:sz="4" w:space="0"/>
            </w:tcBorders>
            <w:noWrap/>
            <w:vAlign w:val="center"/>
          </w:tcPr>
          <w:p w14:paraId="760ADD0A">
            <w:pPr>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5</w:t>
            </w:r>
          </w:p>
        </w:tc>
        <w:tc>
          <w:tcPr>
            <w:tcW w:w="780" w:type="pct"/>
            <w:noWrap/>
            <w:vAlign w:val="center"/>
          </w:tcPr>
          <w:p w14:paraId="629D4F5C">
            <w:pPr>
              <w:tabs>
                <w:tab w:val="left" w:pos="-51"/>
                <w:tab w:val="left" w:pos="878"/>
              </w:tabs>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外壳的清洁</w:t>
            </w:r>
          </w:p>
        </w:tc>
        <w:tc>
          <w:tcPr>
            <w:tcW w:w="1624" w:type="pct"/>
            <w:noWrap/>
            <w:vAlign w:val="center"/>
          </w:tcPr>
          <w:p w14:paraId="375A5061">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用抹布擦洗外壳的灰尘，视肮脏程度可用洗洁净，最后用清水冲洗干净。</w:t>
            </w:r>
          </w:p>
        </w:tc>
        <w:tc>
          <w:tcPr>
            <w:tcW w:w="1329" w:type="pct"/>
            <w:noWrap/>
            <w:vAlign w:val="center"/>
          </w:tcPr>
          <w:p w14:paraId="4F6FAFA1">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表面干净无积尘无油污。</w:t>
            </w:r>
          </w:p>
        </w:tc>
        <w:tc>
          <w:tcPr>
            <w:tcW w:w="910" w:type="pct"/>
            <w:noWrap/>
            <w:vAlign w:val="center"/>
          </w:tcPr>
          <w:p w14:paraId="2041FC30">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操作时要断开外机电源。</w:t>
            </w:r>
          </w:p>
        </w:tc>
      </w:tr>
      <w:tr w14:paraId="6237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54" w:type="pct"/>
            <w:tcBorders>
              <w:left w:val="single" w:color="auto" w:sz="4" w:space="0"/>
            </w:tcBorders>
            <w:noWrap/>
            <w:vAlign w:val="center"/>
          </w:tcPr>
          <w:p w14:paraId="076D195E">
            <w:pPr>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6</w:t>
            </w:r>
          </w:p>
        </w:tc>
        <w:tc>
          <w:tcPr>
            <w:tcW w:w="780" w:type="pct"/>
            <w:noWrap/>
            <w:vAlign w:val="center"/>
          </w:tcPr>
          <w:p w14:paraId="1E84F455">
            <w:pPr>
              <w:tabs>
                <w:tab w:val="left" w:pos="-51"/>
                <w:tab w:val="left" w:pos="878"/>
              </w:tabs>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风扇运行声音</w:t>
            </w:r>
          </w:p>
        </w:tc>
        <w:tc>
          <w:tcPr>
            <w:tcW w:w="1624" w:type="pct"/>
            <w:noWrap/>
            <w:vAlign w:val="center"/>
          </w:tcPr>
          <w:p w14:paraId="45EFFF4A">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开机运行时听风扇和电机是否有异音，风扇是否有抖动现象。</w:t>
            </w:r>
          </w:p>
        </w:tc>
        <w:tc>
          <w:tcPr>
            <w:tcW w:w="1329" w:type="pct"/>
            <w:noWrap/>
            <w:vAlign w:val="center"/>
          </w:tcPr>
          <w:p w14:paraId="07304EE7">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风扇和电机运行声音无异常。</w:t>
            </w:r>
          </w:p>
        </w:tc>
        <w:tc>
          <w:tcPr>
            <w:tcW w:w="910" w:type="pct"/>
            <w:noWrap/>
            <w:vAlign w:val="center"/>
          </w:tcPr>
          <w:p w14:paraId="719CAADE">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p>
        </w:tc>
      </w:tr>
      <w:tr w14:paraId="6EA2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 w:hRule="atLeast"/>
          <w:jc w:val="center"/>
        </w:trPr>
        <w:tc>
          <w:tcPr>
            <w:tcW w:w="354" w:type="pct"/>
            <w:tcBorders>
              <w:left w:val="single" w:color="auto" w:sz="4" w:space="0"/>
            </w:tcBorders>
            <w:noWrap/>
            <w:vAlign w:val="center"/>
          </w:tcPr>
          <w:p w14:paraId="3895735D">
            <w:pPr>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7</w:t>
            </w:r>
          </w:p>
        </w:tc>
        <w:tc>
          <w:tcPr>
            <w:tcW w:w="780" w:type="pct"/>
            <w:noWrap/>
            <w:vAlign w:val="center"/>
          </w:tcPr>
          <w:p w14:paraId="2883FFE3">
            <w:pPr>
              <w:tabs>
                <w:tab w:val="left" w:pos="-51"/>
                <w:tab w:val="left" w:pos="878"/>
              </w:tabs>
              <w:snapToGrid w:val="0"/>
              <w:spacing w:line="240" w:lineRule="auto"/>
              <w:ind w:firstLine="0" w:firstLineChars="0"/>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1）检查系统的油的色度</w:t>
            </w:r>
          </w:p>
          <w:p w14:paraId="374A7EBF">
            <w:pPr>
              <w:tabs>
                <w:tab w:val="left" w:pos="-51"/>
                <w:tab w:val="left" w:pos="878"/>
              </w:tabs>
              <w:snapToGrid w:val="0"/>
              <w:spacing w:line="240" w:lineRule="auto"/>
              <w:ind w:firstLine="0" w:firstLineChars="0"/>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2）检查空压机运行声音</w:t>
            </w:r>
          </w:p>
        </w:tc>
        <w:tc>
          <w:tcPr>
            <w:tcW w:w="1624" w:type="pct"/>
            <w:noWrap/>
            <w:vAlign w:val="center"/>
          </w:tcPr>
          <w:p w14:paraId="79EB887E">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1）停机状态下，从油分的加油管 放出一点油，使用透明容器接住，然后查看润滑油是否变色或受污染。如已变质就需要更换新的冷冻油，以更好的为压缩机提供润滑。</w:t>
            </w:r>
          </w:p>
          <w:p w14:paraId="1AC187B9">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2）开机运行时听每个压缩机是否有异音，如有异常噪音须向用户提前告知。</w:t>
            </w:r>
          </w:p>
        </w:tc>
        <w:tc>
          <w:tcPr>
            <w:tcW w:w="1329" w:type="pct"/>
            <w:noWrap/>
            <w:vAlign w:val="center"/>
          </w:tcPr>
          <w:p w14:paraId="510F07DC">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1）油的色度的正常。</w:t>
            </w:r>
          </w:p>
          <w:p w14:paraId="6668D28D">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2）压机运行时声音无异常。</w:t>
            </w:r>
          </w:p>
        </w:tc>
        <w:tc>
          <w:tcPr>
            <w:tcW w:w="910" w:type="pct"/>
            <w:noWrap/>
            <w:vAlign w:val="center"/>
          </w:tcPr>
          <w:p w14:paraId="76CF45A8">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p>
        </w:tc>
      </w:tr>
      <w:tr w14:paraId="7867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jc w:val="center"/>
        </w:trPr>
        <w:tc>
          <w:tcPr>
            <w:tcW w:w="5000" w:type="pct"/>
            <w:gridSpan w:val="5"/>
            <w:tcBorders>
              <w:left w:val="single" w:color="auto" w:sz="4" w:space="0"/>
            </w:tcBorders>
            <w:noWrap/>
            <w:vAlign w:val="center"/>
          </w:tcPr>
          <w:p w14:paraId="5E9301D7">
            <w:pPr>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二、室内机部分</w:t>
            </w:r>
          </w:p>
        </w:tc>
      </w:tr>
      <w:tr w14:paraId="3B93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354" w:type="pct"/>
            <w:tcBorders>
              <w:left w:val="single" w:color="auto" w:sz="4" w:space="0"/>
            </w:tcBorders>
            <w:noWrap/>
            <w:vAlign w:val="center"/>
          </w:tcPr>
          <w:p w14:paraId="251F0094">
            <w:pPr>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1</w:t>
            </w:r>
          </w:p>
        </w:tc>
        <w:tc>
          <w:tcPr>
            <w:tcW w:w="780" w:type="pct"/>
            <w:noWrap/>
            <w:vAlign w:val="center"/>
          </w:tcPr>
          <w:p w14:paraId="58CAC6AC">
            <w:pPr>
              <w:tabs>
                <w:tab w:val="left" w:pos="-51"/>
                <w:tab w:val="left" w:pos="878"/>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回风过滤网的清洗</w:t>
            </w:r>
          </w:p>
        </w:tc>
        <w:tc>
          <w:tcPr>
            <w:tcW w:w="1624" w:type="pct"/>
            <w:noWrap/>
            <w:vAlign w:val="center"/>
          </w:tcPr>
          <w:p w14:paraId="2C8DD04C">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取下过滤网，(室内机可将回风格栅拆卸，一起清洗)用干净刷子，把附在过滤网上的绝大部分脏物刷干净，可用水或吸尘器清洗过滤网，水温不要超过40度，用热的湿布或中性洗涤剂清洗，如果过滤网很脏，可浸泡在含有特效空调机清洗液或洗洁精和肥皂粉的中性混合液中，浸泡时间10—20分钟，浸泡完用平刷轻轻刷过滤网，再用清水冲洗干净后，用净抹布擦干或风干。</w:t>
            </w:r>
          </w:p>
        </w:tc>
        <w:tc>
          <w:tcPr>
            <w:tcW w:w="1329" w:type="pct"/>
            <w:noWrap/>
            <w:vAlign w:val="center"/>
          </w:tcPr>
          <w:p w14:paraId="7EEA561C">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让每个滤孔清澈透 明，无脏堵痕迹，检 查完好无损，把过滤 网安装原位。</w:t>
            </w:r>
          </w:p>
        </w:tc>
        <w:tc>
          <w:tcPr>
            <w:tcW w:w="910" w:type="pct"/>
            <w:noWrap/>
            <w:vAlign w:val="center"/>
          </w:tcPr>
          <w:p w14:paraId="76589A62">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不能用杀虫剂或其他化学洗涤剂清洗过滤网。 每年两次清洗。</w:t>
            </w:r>
          </w:p>
        </w:tc>
      </w:tr>
      <w:tr w14:paraId="6C0D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jc w:val="center"/>
        </w:trPr>
        <w:tc>
          <w:tcPr>
            <w:tcW w:w="354" w:type="pct"/>
            <w:noWrap/>
            <w:vAlign w:val="center"/>
          </w:tcPr>
          <w:p w14:paraId="4D2245F8">
            <w:pPr>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2</w:t>
            </w:r>
          </w:p>
        </w:tc>
        <w:tc>
          <w:tcPr>
            <w:tcW w:w="780" w:type="pct"/>
            <w:noWrap/>
            <w:vAlign w:val="center"/>
          </w:tcPr>
          <w:p w14:paraId="4A7527D9">
            <w:pPr>
              <w:tabs>
                <w:tab w:val="left" w:pos="-51"/>
                <w:tab w:val="left" w:pos="878"/>
              </w:tabs>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检查室内机的声音</w:t>
            </w:r>
          </w:p>
        </w:tc>
        <w:tc>
          <w:tcPr>
            <w:tcW w:w="1624" w:type="pct"/>
            <w:noWrap/>
            <w:vAlign w:val="center"/>
          </w:tcPr>
          <w:p w14:paraId="34810B45">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回风过滤网清洗回装后，室内机开送风模式分别实验1-2-3档风量，检查风扇电机运转时有无机械异常杂音。</w:t>
            </w:r>
          </w:p>
        </w:tc>
        <w:tc>
          <w:tcPr>
            <w:tcW w:w="1329" w:type="pct"/>
            <w:noWrap/>
            <w:vAlign w:val="center"/>
          </w:tcPr>
          <w:p w14:paraId="320DD94B">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无过滤网安装不良产生的振动噪音、风扇的异常摩擦噪音等。</w:t>
            </w:r>
          </w:p>
        </w:tc>
        <w:tc>
          <w:tcPr>
            <w:tcW w:w="910" w:type="pct"/>
            <w:noWrap/>
            <w:vAlign w:val="center"/>
          </w:tcPr>
          <w:p w14:paraId="4E84CD7A">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p>
        </w:tc>
      </w:tr>
      <w:tr w14:paraId="69B2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000" w:type="pct"/>
            <w:gridSpan w:val="5"/>
            <w:noWrap/>
            <w:vAlign w:val="center"/>
          </w:tcPr>
          <w:p w14:paraId="6410BD23">
            <w:pPr>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三、系统运行状态检查</w:t>
            </w:r>
          </w:p>
        </w:tc>
      </w:tr>
      <w:tr w14:paraId="54EC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354" w:type="pct"/>
            <w:noWrap/>
            <w:vAlign w:val="center"/>
          </w:tcPr>
          <w:p w14:paraId="4ED8D5E8">
            <w:pPr>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1</w:t>
            </w:r>
          </w:p>
        </w:tc>
        <w:tc>
          <w:tcPr>
            <w:tcW w:w="780" w:type="pct"/>
            <w:noWrap/>
            <w:vAlign w:val="center"/>
          </w:tcPr>
          <w:p w14:paraId="5B5956E3">
            <w:pPr>
              <w:tabs>
                <w:tab w:val="left" w:pos="-51"/>
                <w:tab w:val="left" w:pos="878"/>
              </w:tabs>
              <w:snapToGrid w:val="0"/>
              <w:spacing w:line="240" w:lineRule="auto"/>
              <w:ind w:firstLine="0" w:firstLineChars="0"/>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开机试运转</w:t>
            </w:r>
          </w:p>
        </w:tc>
        <w:tc>
          <w:tcPr>
            <w:tcW w:w="1624" w:type="pct"/>
            <w:noWrap/>
            <w:vAlign w:val="center"/>
          </w:tcPr>
          <w:p w14:paraId="2CF8F115">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每个系统开机试运行至少两小时。</w:t>
            </w:r>
          </w:p>
        </w:tc>
        <w:tc>
          <w:tcPr>
            <w:tcW w:w="1329" w:type="pct"/>
            <w:noWrap/>
            <w:vAlign w:val="center"/>
          </w:tcPr>
          <w:p w14:paraId="557A358E">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在两小时内所有的室内机不停机连续开启。</w:t>
            </w:r>
          </w:p>
        </w:tc>
        <w:tc>
          <w:tcPr>
            <w:tcW w:w="910" w:type="pct"/>
            <w:noWrap/>
            <w:vAlign w:val="center"/>
          </w:tcPr>
          <w:p w14:paraId="68429384">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p>
        </w:tc>
      </w:tr>
      <w:tr w14:paraId="5F38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0" w:hRule="atLeast"/>
          <w:jc w:val="center"/>
        </w:trPr>
        <w:tc>
          <w:tcPr>
            <w:tcW w:w="354" w:type="pct"/>
            <w:noWrap/>
            <w:vAlign w:val="center"/>
          </w:tcPr>
          <w:p w14:paraId="13A15DAC">
            <w:pPr>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2</w:t>
            </w:r>
          </w:p>
        </w:tc>
        <w:tc>
          <w:tcPr>
            <w:tcW w:w="780" w:type="pct"/>
            <w:noWrap/>
            <w:vAlign w:val="center"/>
          </w:tcPr>
          <w:p w14:paraId="76B503B8">
            <w:pPr>
              <w:tabs>
                <w:tab w:val="left" w:pos="-51"/>
                <w:tab w:val="left" w:pos="878"/>
              </w:tabs>
              <w:snapToGrid w:val="0"/>
              <w:spacing w:line="240" w:lineRule="auto"/>
              <w:ind w:firstLine="0" w:firstLineChars="0"/>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检查和记录系统运行的所有参数是否正常</w:t>
            </w:r>
          </w:p>
        </w:tc>
        <w:tc>
          <w:tcPr>
            <w:tcW w:w="1624" w:type="pct"/>
            <w:noWrap/>
            <w:vAlign w:val="center"/>
          </w:tcPr>
          <w:p w14:paraId="7E68E7F7">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1）系统正常运行30分钟后记录系统的室内机和室外机的所有的运行参数。</w:t>
            </w:r>
          </w:p>
          <w:p w14:paraId="54B9D942">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2）查看每个压缩机的运行时间。</w:t>
            </w:r>
          </w:p>
          <w:p w14:paraId="37BD59D1">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3）检查系统的效果，根据运行参数分析，如果是系统的泄露请查找系统泄露的原因。</w:t>
            </w:r>
          </w:p>
        </w:tc>
        <w:tc>
          <w:tcPr>
            <w:tcW w:w="1329" w:type="pct"/>
            <w:noWrap/>
            <w:vAlign w:val="center"/>
          </w:tcPr>
          <w:p w14:paraId="68068B92">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1）参数的获取可以是从室外机的七段显示码或有线遥控器或通过check电脑获取。</w:t>
            </w:r>
          </w:p>
          <w:p w14:paraId="658AF64C">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2）根据参数判断系统是否运行正常，以及运行的效果。</w:t>
            </w:r>
          </w:p>
        </w:tc>
        <w:tc>
          <w:tcPr>
            <w:tcW w:w="910" w:type="pct"/>
            <w:noWrap/>
            <w:vAlign w:val="center"/>
          </w:tcPr>
          <w:p w14:paraId="533543E1">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填写机组运行参数表，每个系统一 份。</w:t>
            </w:r>
          </w:p>
        </w:tc>
      </w:tr>
      <w:tr w14:paraId="461D8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5000" w:type="pct"/>
            <w:gridSpan w:val="5"/>
            <w:noWrap/>
            <w:vAlign w:val="center"/>
          </w:tcPr>
          <w:p w14:paraId="2CD197B9">
            <w:pPr>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四、计费系统运行状态检查</w:t>
            </w:r>
          </w:p>
        </w:tc>
      </w:tr>
      <w:tr w14:paraId="63B2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54" w:type="pct"/>
            <w:noWrap/>
            <w:vAlign w:val="center"/>
          </w:tcPr>
          <w:p w14:paraId="5E929597">
            <w:pPr>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1</w:t>
            </w:r>
          </w:p>
        </w:tc>
        <w:tc>
          <w:tcPr>
            <w:tcW w:w="780" w:type="pct"/>
            <w:noWrap/>
            <w:vAlign w:val="center"/>
          </w:tcPr>
          <w:p w14:paraId="5CC0E59E">
            <w:pPr>
              <w:tabs>
                <w:tab w:val="left" w:pos="-51"/>
                <w:tab w:val="left" w:pos="878"/>
              </w:tabs>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计费系统维护</w:t>
            </w:r>
          </w:p>
        </w:tc>
        <w:tc>
          <w:tcPr>
            <w:tcW w:w="1624" w:type="pct"/>
            <w:noWrap/>
            <w:vAlign w:val="center"/>
          </w:tcPr>
          <w:p w14:paraId="3491B674">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检查计费软件是否运行正常，检查抄表器，空调网关运行状态。</w:t>
            </w:r>
          </w:p>
        </w:tc>
        <w:tc>
          <w:tcPr>
            <w:tcW w:w="1329" w:type="pct"/>
            <w:noWrap/>
            <w:vAlign w:val="center"/>
          </w:tcPr>
          <w:p w14:paraId="1DF9F18D">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确保计费系统运行正常，计费正常。</w:t>
            </w:r>
          </w:p>
        </w:tc>
        <w:tc>
          <w:tcPr>
            <w:tcW w:w="910" w:type="pct"/>
            <w:noWrap/>
            <w:vAlign w:val="center"/>
          </w:tcPr>
          <w:p w14:paraId="071284E9">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p>
        </w:tc>
      </w:tr>
    </w:tbl>
    <w:p w14:paraId="580D0CEA">
      <w:pPr>
        <w:bidi w:val="0"/>
        <w:spacing w:line="360" w:lineRule="auto"/>
        <w:ind w:firstLine="422" w:firstLineChars="200"/>
        <w:outlineLvl w:val="3"/>
        <w:rPr>
          <w:rFonts w:hint="eastAsia" w:ascii="宋体" w:hAnsi="宋体" w:eastAsia="宋体" w:cs="宋体"/>
          <w:b/>
          <w:bCs/>
          <w:color w:val="auto"/>
          <w:sz w:val="21"/>
          <w:szCs w:val="21"/>
          <w:lang w:val="en-US" w:eastAsia="zh-CN"/>
        </w:rPr>
      </w:pPr>
      <w:bookmarkStart w:id="618" w:name="_Toc15294"/>
      <w:bookmarkStart w:id="619" w:name="_Toc25443"/>
      <w:bookmarkStart w:id="620" w:name="_Toc23434"/>
      <w:bookmarkStart w:id="621" w:name="_Toc26534"/>
      <w:bookmarkStart w:id="622" w:name="_Toc17978"/>
      <w:r>
        <w:rPr>
          <w:rFonts w:hint="eastAsia" w:ascii="宋体" w:hAnsi="宋体" w:eastAsia="宋体" w:cs="宋体"/>
          <w:b/>
          <w:bCs/>
          <w:color w:val="auto"/>
          <w:sz w:val="21"/>
          <w:szCs w:val="21"/>
          <w:lang w:val="en-US" w:eastAsia="zh-CN"/>
        </w:rPr>
        <w:t>2.2.6消防系统维护保养管理</w:t>
      </w:r>
      <w:bookmarkEnd w:id="618"/>
      <w:bookmarkEnd w:id="619"/>
      <w:bookmarkEnd w:id="620"/>
      <w:bookmarkEnd w:id="621"/>
      <w:bookmarkEnd w:id="622"/>
    </w:p>
    <w:p w14:paraId="69FB1BF1">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本项目设置一间消防控制室，要求</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全天24小时消防中心值班，24小时消防主机监管，消防中心值班人员每班不得少于2人（消防值班人员必须满足相关职业资格要求，并取得相关证书）。</w:t>
      </w:r>
    </w:p>
    <w:p w14:paraId="4CD64296">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控制中心及消防系统设施配备齐全，完好无损，待机状态良好；落实区域消防安全责任人、义务消防人员，定期进行演练，开展消防知识及法规的宣传教育，保证火灾发生率为“0”；落实消防部门关于1分钟响应到达、3分钟处理的消防流程；制定火灾应急方案，设立消防疏散示意图，紧急疏散通道畅通，照明设备、引路标志完好；消防设备完好率100%，零修合格率100%。保养要求如下：</w:t>
      </w:r>
    </w:p>
    <w:tbl>
      <w:tblPr>
        <w:tblStyle w:val="41"/>
        <w:tblW w:w="9967" w:type="dxa"/>
        <w:jc w:val="center"/>
        <w:tblLayout w:type="fixed"/>
        <w:tblCellMar>
          <w:top w:w="0" w:type="dxa"/>
          <w:left w:w="108" w:type="dxa"/>
          <w:bottom w:w="0" w:type="dxa"/>
          <w:right w:w="108" w:type="dxa"/>
        </w:tblCellMar>
      </w:tblPr>
      <w:tblGrid>
        <w:gridCol w:w="1481"/>
        <w:gridCol w:w="987"/>
        <w:gridCol w:w="6159"/>
        <w:gridCol w:w="1340"/>
      </w:tblGrid>
      <w:tr w14:paraId="485A1D6C">
        <w:tblPrEx>
          <w:tblCellMar>
            <w:top w:w="0" w:type="dxa"/>
            <w:left w:w="108" w:type="dxa"/>
            <w:bottom w:w="0" w:type="dxa"/>
            <w:right w:w="108" w:type="dxa"/>
          </w:tblCellMar>
        </w:tblPrEx>
        <w:trPr>
          <w:trHeight w:val="337" w:hRule="atLeast"/>
          <w:jc w:val="center"/>
        </w:trPr>
        <w:tc>
          <w:tcPr>
            <w:tcW w:w="1481" w:type="dxa"/>
            <w:tcBorders>
              <w:top w:val="single" w:color="000000" w:sz="6" w:space="0"/>
              <w:left w:val="single" w:color="000000" w:sz="6" w:space="0"/>
              <w:bottom w:val="single" w:color="000000" w:sz="6" w:space="0"/>
              <w:right w:val="single" w:color="000000" w:sz="6" w:space="0"/>
            </w:tcBorders>
            <w:noWrap/>
            <w:vAlign w:val="center"/>
          </w:tcPr>
          <w:p w14:paraId="196F19FF">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项目</w:t>
            </w: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524ED4B3">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频次</w:t>
            </w:r>
          </w:p>
        </w:tc>
        <w:tc>
          <w:tcPr>
            <w:tcW w:w="6159" w:type="dxa"/>
            <w:tcBorders>
              <w:top w:val="single" w:color="000000" w:sz="6" w:space="0"/>
              <w:left w:val="single" w:color="000000" w:sz="6" w:space="0"/>
              <w:bottom w:val="single" w:color="000000" w:sz="6" w:space="0"/>
              <w:right w:val="single" w:color="000000" w:sz="6" w:space="0"/>
            </w:tcBorders>
            <w:noWrap/>
            <w:vAlign w:val="center"/>
          </w:tcPr>
          <w:p w14:paraId="379C3B17">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保养内容</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322A231C">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保养要求</w:t>
            </w:r>
          </w:p>
        </w:tc>
      </w:tr>
      <w:tr w14:paraId="3CB16FA5">
        <w:tblPrEx>
          <w:tblCellMar>
            <w:top w:w="0" w:type="dxa"/>
            <w:left w:w="108" w:type="dxa"/>
            <w:bottom w:w="0" w:type="dxa"/>
            <w:right w:w="108" w:type="dxa"/>
          </w:tblCellMar>
        </w:tblPrEx>
        <w:trPr>
          <w:trHeight w:val="1076" w:hRule="atLeast"/>
          <w:jc w:val="center"/>
        </w:trPr>
        <w:tc>
          <w:tcPr>
            <w:tcW w:w="1481" w:type="dxa"/>
            <w:vMerge w:val="restart"/>
            <w:tcBorders>
              <w:top w:val="single" w:color="000000" w:sz="6" w:space="0"/>
              <w:left w:val="single" w:color="000000" w:sz="6" w:space="0"/>
              <w:bottom w:val="single" w:color="000000" w:sz="6" w:space="0"/>
              <w:right w:val="single" w:color="000000" w:sz="6" w:space="0"/>
            </w:tcBorders>
            <w:noWrap/>
            <w:vAlign w:val="center"/>
          </w:tcPr>
          <w:p w14:paraId="403D07A4">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火灾自动报警系统</w:t>
            </w:r>
          </w:p>
          <w:p w14:paraId="097FF767">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（FAS）</w:t>
            </w: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5F9FB859">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每天</w:t>
            </w:r>
          </w:p>
          <w:p w14:paraId="08DC2872">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一次</w:t>
            </w:r>
          </w:p>
        </w:tc>
        <w:tc>
          <w:tcPr>
            <w:tcW w:w="6159" w:type="dxa"/>
            <w:tcBorders>
              <w:top w:val="single" w:color="000000" w:sz="6" w:space="0"/>
              <w:left w:val="single" w:color="000000" w:sz="6" w:space="0"/>
              <w:bottom w:val="single" w:color="000000" w:sz="6" w:space="0"/>
              <w:right w:val="single" w:color="000000" w:sz="6" w:space="0"/>
            </w:tcBorders>
            <w:noWrap/>
            <w:vAlign w:val="top"/>
          </w:tcPr>
          <w:p w14:paraId="225BBE3C">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1.每天对火灾自动报警系统控制器的运行状态进行检查，着重检查火警功能及故障监视状态及动作监视状态，一有故障，及时处理，并进行主、备电源切换试验。</w:t>
            </w:r>
          </w:p>
          <w:p w14:paraId="3003EF18">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2.对主机及联运柜外表进行清洁。</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7A38EA4E">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外观良好，功能正常。</w:t>
            </w:r>
          </w:p>
        </w:tc>
      </w:tr>
      <w:tr w14:paraId="5783A6A8">
        <w:tblPrEx>
          <w:tblCellMar>
            <w:top w:w="0" w:type="dxa"/>
            <w:left w:w="108" w:type="dxa"/>
            <w:bottom w:w="0" w:type="dxa"/>
            <w:right w:w="108" w:type="dxa"/>
          </w:tblCellMar>
        </w:tblPrEx>
        <w:trPr>
          <w:trHeight w:val="2933" w:hRule="atLeast"/>
          <w:jc w:val="center"/>
        </w:trPr>
        <w:tc>
          <w:tcPr>
            <w:tcW w:w="1481" w:type="dxa"/>
            <w:vMerge w:val="continue"/>
            <w:tcBorders>
              <w:top w:val="single" w:color="000000" w:sz="6" w:space="0"/>
              <w:left w:val="single" w:color="000000" w:sz="6" w:space="0"/>
              <w:bottom w:val="single" w:color="000000" w:sz="6" w:space="0"/>
              <w:right w:val="single" w:color="000000" w:sz="6" w:space="0"/>
            </w:tcBorders>
            <w:noWrap/>
            <w:vAlign w:val="center"/>
          </w:tcPr>
          <w:p w14:paraId="20A18D30">
            <w:pPr>
              <w:snapToGrid w:val="0"/>
              <w:spacing w:line="240" w:lineRule="auto"/>
              <w:ind w:firstLine="0" w:firstLineChars="0"/>
              <w:jc w:val="both"/>
              <w:rPr>
                <w:rFonts w:hint="eastAsia" w:ascii="宋体" w:hAnsi="宋体" w:eastAsia="宋体" w:cs="宋体"/>
                <w:color w:val="auto"/>
                <w:kern w:val="2"/>
                <w:sz w:val="21"/>
                <w:szCs w:val="21"/>
              </w:rPr>
            </w:pP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29237B28">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p w14:paraId="77D875CA">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一次</w:t>
            </w:r>
          </w:p>
        </w:tc>
        <w:tc>
          <w:tcPr>
            <w:tcW w:w="6159" w:type="dxa"/>
            <w:tcBorders>
              <w:top w:val="single" w:color="000000" w:sz="6" w:space="0"/>
              <w:left w:val="single" w:color="000000" w:sz="6" w:space="0"/>
              <w:bottom w:val="single" w:color="000000" w:sz="6" w:space="0"/>
              <w:right w:val="single" w:color="000000" w:sz="6" w:space="0"/>
            </w:tcBorders>
            <w:noWrap/>
            <w:vAlign w:val="top"/>
          </w:tcPr>
          <w:p w14:paraId="13207F4F">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1.完成日检查保养全部内容。</w:t>
            </w:r>
          </w:p>
          <w:p w14:paraId="39B03AF3">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2.控制器主要工作电压测试。</w:t>
            </w:r>
          </w:p>
          <w:p w14:paraId="60BEDEFC">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3.烟感、温感探头安装倾斜度不大于45度，与底座接触是否良好，外观是否洁净完好。</w:t>
            </w:r>
          </w:p>
          <w:p w14:paraId="4240F34F">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4.随机抽取不低于2％的温、烟感探头，检查报警是否正确。</w:t>
            </w:r>
          </w:p>
          <w:p w14:paraId="28F34807">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手动报警按钮，检查安装是否牢固，有无破损及丢失。</w:t>
            </w:r>
          </w:p>
          <w:p w14:paraId="2DB3F0B1">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1.任选手动报警按钮模拟报警，测试报警功能是否正常。</w:t>
            </w:r>
          </w:p>
          <w:p w14:paraId="3F99D7E2">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2.检查系统外围设备的反馈信号，确保正常运行。</w:t>
            </w:r>
          </w:p>
          <w:p w14:paraId="3DDC43F6">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3.检查消防电话插孔的消防电话是否正常。</w:t>
            </w:r>
          </w:p>
          <w:p w14:paraId="4EDECDBF">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4.检查工作电池组、充电器的工作状态以及检查备用电池的容量是否符合标准。</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1112BB32">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设备运行正常，各项功能正常。</w:t>
            </w:r>
          </w:p>
        </w:tc>
      </w:tr>
      <w:tr w14:paraId="41045D4A">
        <w:tblPrEx>
          <w:tblCellMar>
            <w:top w:w="0" w:type="dxa"/>
            <w:left w:w="108" w:type="dxa"/>
            <w:bottom w:w="0" w:type="dxa"/>
            <w:right w:w="108" w:type="dxa"/>
          </w:tblCellMar>
        </w:tblPrEx>
        <w:trPr>
          <w:trHeight w:val="1341" w:hRule="atLeast"/>
          <w:jc w:val="center"/>
        </w:trPr>
        <w:tc>
          <w:tcPr>
            <w:tcW w:w="1481" w:type="dxa"/>
            <w:vMerge w:val="continue"/>
            <w:tcBorders>
              <w:top w:val="single" w:color="000000" w:sz="6" w:space="0"/>
              <w:left w:val="single" w:color="000000" w:sz="6" w:space="0"/>
              <w:bottom w:val="single" w:color="000000" w:sz="6" w:space="0"/>
              <w:right w:val="single" w:color="000000" w:sz="6" w:space="0"/>
            </w:tcBorders>
            <w:noWrap/>
            <w:vAlign w:val="center"/>
          </w:tcPr>
          <w:p w14:paraId="5504ECD4">
            <w:pPr>
              <w:spacing w:line="240" w:lineRule="auto"/>
              <w:ind w:firstLine="0" w:firstLineChars="0"/>
              <w:jc w:val="both"/>
              <w:rPr>
                <w:rFonts w:hint="eastAsia" w:ascii="宋体" w:hAnsi="宋体" w:eastAsia="宋体" w:cs="宋体"/>
                <w:color w:val="auto"/>
                <w:kern w:val="2"/>
                <w:sz w:val="21"/>
                <w:szCs w:val="21"/>
              </w:rPr>
            </w:pP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1B92A397">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w:t>
            </w:r>
          </w:p>
          <w:p w14:paraId="4563C361">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二次</w:t>
            </w:r>
          </w:p>
        </w:tc>
        <w:tc>
          <w:tcPr>
            <w:tcW w:w="6159" w:type="dxa"/>
            <w:tcBorders>
              <w:top w:val="single" w:color="000000" w:sz="6" w:space="0"/>
              <w:left w:val="single" w:color="000000" w:sz="6" w:space="0"/>
              <w:bottom w:val="single" w:color="000000" w:sz="6" w:space="0"/>
              <w:right w:val="single" w:color="000000" w:sz="6" w:space="0"/>
            </w:tcBorders>
            <w:noWrap/>
            <w:vAlign w:val="top"/>
          </w:tcPr>
          <w:p w14:paraId="4CE4E6A5">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1.对楼层内弱电井中各模块箱进行外观检查，外接线是否固定良好。</w:t>
            </w:r>
          </w:p>
          <w:p w14:paraId="6F1B5217">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2.火灾报警控制柜、联动柜等进行清扫除尘。</w:t>
            </w:r>
          </w:p>
          <w:p w14:paraId="51C9BAD4">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3.线路松动，应进行紧固。对自检、消音、复位功能检查，主电源与备用电源切换、报警检查。</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5EF11FE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设备运行正常，各项功能正常。</w:t>
            </w:r>
          </w:p>
        </w:tc>
      </w:tr>
      <w:tr w14:paraId="47378F5A">
        <w:tblPrEx>
          <w:tblCellMar>
            <w:top w:w="0" w:type="dxa"/>
            <w:left w:w="108" w:type="dxa"/>
            <w:bottom w:w="0" w:type="dxa"/>
            <w:right w:w="108" w:type="dxa"/>
          </w:tblCellMar>
        </w:tblPrEx>
        <w:trPr>
          <w:trHeight w:val="1357" w:hRule="atLeast"/>
          <w:jc w:val="center"/>
        </w:trPr>
        <w:tc>
          <w:tcPr>
            <w:tcW w:w="1481" w:type="dxa"/>
            <w:tcBorders>
              <w:top w:val="single" w:color="000000" w:sz="6" w:space="0"/>
              <w:left w:val="single" w:color="000000" w:sz="6" w:space="0"/>
              <w:bottom w:val="single" w:color="000000" w:sz="6" w:space="0"/>
              <w:right w:val="single" w:color="000000" w:sz="6" w:space="0"/>
            </w:tcBorders>
            <w:noWrap/>
            <w:vAlign w:val="center"/>
          </w:tcPr>
          <w:p w14:paraId="35C38F27">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消防联动系统</w:t>
            </w: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52CF16C3">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p w14:paraId="3CB9F1DC">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一次</w:t>
            </w:r>
          </w:p>
        </w:tc>
        <w:tc>
          <w:tcPr>
            <w:tcW w:w="6159" w:type="dxa"/>
            <w:tcBorders>
              <w:top w:val="single" w:color="000000" w:sz="6" w:space="0"/>
              <w:left w:val="single" w:color="000000" w:sz="6" w:space="0"/>
              <w:bottom w:val="single" w:color="000000" w:sz="6" w:space="0"/>
              <w:right w:val="single" w:color="000000" w:sz="6" w:space="0"/>
            </w:tcBorders>
            <w:noWrap/>
            <w:vAlign w:val="top"/>
          </w:tcPr>
          <w:p w14:paraId="4571BA82">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1.消防送风和排烟风机功能及送风阀和排烟阀联动讯号试验。</w:t>
            </w:r>
          </w:p>
          <w:p w14:paraId="020E67ED">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2.新风系统新风机和排气机的防火阀功能及联动讯号试验。</w:t>
            </w:r>
          </w:p>
          <w:p w14:paraId="3C3BF7C0">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3.消防电梯的人工迫降的信号检查试验。</w:t>
            </w:r>
          </w:p>
          <w:p w14:paraId="7089B86D">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4.非消防电梯迫降首层的信号和联锁信号试验。</w:t>
            </w:r>
          </w:p>
          <w:p w14:paraId="6C154D9B">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5.以上各联动机构连接消防中心相应控制屏的讯号是否正常。</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147D6AF0">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各功能正常</w:t>
            </w:r>
          </w:p>
        </w:tc>
      </w:tr>
      <w:tr w14:paraId="4D2D9388">
        <w:tblPrEx>
          <w:tblCellMar>
            <w:top w:w="0" w:type="dxa"/>
            <w:left w:w="108" w:type="dxa"/>
            <w:bottom w:w="0" w:type="dxa"/>
            <w:right w:w="108" w:type="dxa"/>
          </w:tblCellMar>
        </w:tblPrEx>
        <w:trPr>
          <w:trHeight w:val="2137" w:hRule="atLeast"/>
          <w:jc w:val="center"/>
        </w:trPr>
        <w:tc>
          <w:tcPr>
            <w:tcW w:w="1481" w:type="dxa"/>
            <w:tcBorders>
              <w:top w:val="single" w:color="000000" w:sz="6" w:space="0"/>
              <w:left w:val="single" w:color="000000" w:sz="6" w:space="0"/>
              <w:bottom w:val="single" w:color="000000" w:sz="6" w:space="0"/>
              <w:right w:val="single" w:color="000000" w:sz="6" w:space="0"/>
            </w:tcBorders>
            <w:noWrap/>
            <w:vAlign w:val="center"/>
          </w:tcPr>
          <w:p w14:paraId="763BA637">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应急广播和消防对讲电话</w:t>
            </w: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15BA0578">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p w14:paraId="09864BD0">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一次</w:t>
            </w:r>
          </w:p>
        </w:tc>
        <w:tc>
          <w:tcPr>
            <w:tcW w:w="6159" w:type="dxa"/>
            <w:tcBorders>
              <w:top w:val="single" w:color="000000" w:sz="6" w:space="0"/>
              <w:left w:val="single" w:color="000000" w:sz="6" w:space="0"/>
              <w:bottom w:val="single" w:color="000000" w:sz="6" w:space="0"/>
              <w:right w:val="single" w:color="000000" w:sz="6" w:space="0"/>
            </w:tcBorders>
            <w:noWrap/>
            <w:vAlign w:val="top"/>
          </w:tcPr>
          <w:p w14:paraId="096DF85C">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1.清洁设备。</w:t>
            </w:r>
          </w:p>
          <w:p w14:paraId="2A6E5FC3">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2.检查外观是否良好，检查线路及设备是正常。</w:t>
            </w:r>
          </w:p>
          <w:p w14:paraId="735C3595">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3.检测每层广播喇叭和电话的效果，有故障，马上更换。</w:t>
            </w:r>
          </w:p>
          <w:p w14:paraId="3AF9B7E6">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4.检查测试消防广播主机和扩音机各功能是否正常，循环检查完所有的消防广播。</w:t>
            </w:r>
          </w:p>
          <w:p w14:paraId="4DDDE3F2">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5.每月定期模拟火灾时测试系统的切换功能是否正常。</w:t>
            </w:r>
          </w:p>
          <w:p w14:paraId="053C11A4">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6.每月定期检测系统各项运行参数是否正常，是否达到消防广播效果。</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37689BFE">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通信畅通，音响效果达到要求</w:t>
            </w:r>
          </w:p>
        </w:tc>
      </w:tr>
      <w:tr w14:paraId="66CCB274">
        <w:tblPrEx>
          <w:tblCellMar>
            <w:top w:w="0" w:type="dxa"/>
            <w:left w:w="108" w:type="dxa"/>
            <w:bottom w:w="0" w:type="dxa"/>
            <w:right w:w="108" w:type="dxa"/>
          </w:tblCellMar>
        </w:tblPrEx>
        <w:trPr>
          <w:trHeight w:val="811" w:hRule="atLeast"/>
          <w:jc w:val="center"/>
        </w:trPr>
        <w:tc>
          <w:tcPr>
            <w:tcW w:w="1481" w:type="dxa"/>
            <w:tcBorders>
              <w:top w:val="single" w:color="000000" w:sz="6" w:space="0"/>
              <w:left w:val="single" w:color="000000" w:sz="6" w:space="0"/>
              <w:bottom w:val="single" w:color="000000" w:sz="6" w:space="0"/>
              <w:right w:val="single" w:color="000000" w:sz="6" w:space="0"/>
            </w:tcBorders>
            <w:noWrap/>
            <w:vAlign w:val="center"/>
          </w:tcPr>
          <w:p w14:paraId="547C901F">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防排烟</w:t>
            </w:r>
          </w:p>
          <w:p w14:paraId="1EE4CE5B">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风机</w:t>
            </w: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0C7F8686">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p w14:paraId="56707AEE">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一次</w:t>
            </w:r>
          </w:p>
        </w:tc>
        <w:tc>
          <w:tcPr>
            <w:tcW w:w="6159" w:type="dxa"/>
            <w:tcBorders>
              <w:top w:val="single" w:color="000000" w:sz="6" w:space="0"/>
              <w:left w:val="single" w:color="000000" w:sz="6" w:space="0"/>
              <w:bottom w:val="single" w:color="000000" w:sz="6" w:space="0"/>
              <w:right w:val="single" w:color="000000" w:sz="6" w:space="0"/>
            </w:tcBorders>
            <w:noWrap/>
            <w:vAlign w:val="top"/>
          </w:tcPr>
          <w:p w14:paraId="3D5C9FC3">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1.清洁卫生。</w:t>
            </w:r>
          </w:p>
          <w:p w14:paraId="3E109E46">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2.手动运行一次。</w:t>
            </w:r>
          </w:p>
          <w:p w14:paraId="6C3E54B1">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3.设备标示。</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3AD42F5C">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外观良好、</w:t>
            </w:r>
          </w:p>
          <w:p w14:paraId="0530CB7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运行正常、</w:t>
            </w:r>
          </w:p>
          <w:p w14:paraId="46F6F3C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标示清楚。</w:t>
            </w:r>
          </w:p>
        </w:tc>
      </w:tr>
      <w:tr w14:paraId="1E040FB7">
        <w:tblPrEx>
          <w:tblCellMar>
            <w:top w:w="0" w:type="dxa"/>
            <w:left w:w="108" w:type="dxa"/>
            <w:bottom w:w="0" w:type="dxa"/>
            <w:right w:w="108" w:type="dxa"/>
          </w:tblCellMar>
        </w:tblPrEx>
        <w:trPr>
          <w:trHeight w:val="1607" w:hRule="atLeast"/>
          <w:jc w:val="center"/>
        </w:trPr>
        <w:tc>
          <w:tcPr>
            <w:tcW w:w="1481" w:type="dxa"/>
            <w:vMerge w:val="restart"/>
            <w:tcBorders>
              <w:top w:val="single" w:color="000000" w:sz="6" w:space="0"/>
              <w:left w:val="single" w:color="000000" w:sz="6" w:space="0"/>
              <w:bottom w:val="single" w:color="000000" w:sz="6" w:space="0"/>
              <w:right w:val="single" w:color="000000" w:sz="6" w:space="0"/>
            </w:tcBorders>
            <w:noWrap/>
            <w:vAlign w:val="center"/>
          </w:tcPr>
          <w:p w14:paraId="63C5A50B">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防排烟</w:t>
            </w:r>
          </w:p>
          <w:p w14:paraId="220136EB">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风机</w:t>
            </w: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539A17F7">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每季度一次</w:t>
            </w:r>
          </w:p>
        </w:tc>
        <w:tc>
          <w:tcPr>
            <w:tcW w:w="6159" w:type="dxa"/>
            <w:tcBorders>
              <w:top w:val="single" w:color="000000" w:sz="6" w:space="0"/>
              <w:left w:val="single" w:color="000000" w:sz="6" w:space="0"/>
              <w:bottom w:val="single" w:color="000000" w:sz="6" w:space="0"/>
              <w:right w:val="single" w:color="000000" w:sz="6" w:space="0"/>
            </w:tcBorders>
            <w:noWrap/>
            <w:vAlign w:val="top"/>
          </w:tcPr>
          <w:p w14:paraId="266BA08F">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1.断开主电源，挂上标示牌，检查电机接地是否良好。</w:t>
            </w:r>
          </w:p>
          <w:p w14:paraId="6172BC53">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2.紧固各部分松动的螺丝及联轴器。</w:t>
            </w:r>
          </w:p>
          <w:p w14:paraId="3A397E55">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3.检测电动机的绝缘电阻，检查主回路接触点。</w:t>
            </w:r>
          </w:p>
          <w:p w14:paraId="5F6649B1">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4.调整皮带松紧，手转皮带轮，观察转动是否良好。</w:t>
            </w:r>
          </w:p>
          <w:p w14:paraId="1E12F1D0">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5.清洁电机及风滤器和机壳内部。</w:t>
            </w:r>
          </w:p>
          <w:p w14:paraId="229359D0">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6.转动部位加润滑油，保证联轴器及轴承灵活及稳定。</w:t>
            </w:r>
          </w:p>
          <w:p w14:paraId="385ACB09">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7.检查防火阀的机械开闭动作、开闭角度标志。</w:t>
            </w:r>
          </w:p>
          <w:p w14:paraId="2AC35A9E">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8.手动开机测定三相电流值，检查指示灯电压、电流表，听查风机各部件运行声音。</w:t>
            </w:r>
          </w:p>
          <w:p w14:paraId="01AD5A58">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9.各远控点的控制箱(含箱内元件)全面检查。</w:t>
            </w:r>
          </w:p>
          <w:p w14:paraId="75997459">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10.连续三次停开机检查手动各点远控的正确性、可靠性。</w:t>
            </w:r>
          </w:p>
          <w:p w14:paraId="2487DB13">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11.连续运转半小时验证风机运转正常。</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120A1791">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润滑良好，</w:t>
            </w:r>
          </w:p>
          <w:p w14:paraId="77C88B0F">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运行正常。</w:t>
            </w:r>
          </w:p>
        </w:tc>
      </w:tr>
      <w:tr w14:paraId="2F7375E1">
        <w:tblPrEx>
          <w:tblCellMar>
            <w:top w:w="0" w:type="dxa"/>
            <w:left w:w="108" w:type="dxa"/>
            <w:bottom w:w="0" w:type="dxa"/>
            <w:right w:w="108" w:type="dxa"/>
          </w:tblCellMar>
        </w:tblPrEx>
        <w:trPr>
          <w:trHeight w:val="545" w:hRule="atLeast"/>
          <w:jc w:val="center"/>
        </w:trPr>
        <w:tc>
          <w:tcPr>
            <w:tcW w:w="1481" w:type="dxa"/>
            <w:vMerge w:val="continue"/>
            <w:tcBorders>
              <w:top w:val="single" w:color="000000" w:sz="6" w:space="0"/>
              <w:left w:val="single" w:color="000000" w:sz="6" w:space="0"/>
              <w:bottom w:val="single" w:color="000000" w:sz="6" w:space="0"/>
              <w:right w:val="single" w:color="000000" w:sz="6" w:space="0"/>
            </w:tcBorders>
            <w:noWrap/>
            <w:vAlign w:val="center"/>
          </w:tcPr>
          <w:p w14:paraId="5B91F260">
            <w:pPr>
              <w:spacing w:line="240" w:lineRule="auto"/>
              <w:ind w:firstLine="0" w:firstLineChars="0"/>
              <w:jc w:val="both"/>
              <w:rPr>
                <w:rFonts w:hint="eastAsia" w:ascii="宋体" w:hAnsi="宋体" w:eastAsia="宋体" w:cs="宋体"/>
                <w:color w:val="auto"/>
                <w:kern w:val="2"/>
                <w:sz w:val="21"/>
                <w:szCs w:val="21"/>
              </w:rPr>
            </w:pP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6D5E7244">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w:t>
            </w:r>
          </w:p>
          <w:p w14:paraId="4A162EF2">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二次</w:t>
            </w:r>
          </w:p>
        </w:tc>
        <w:tc>
          <w:tcPr>
            <w:tcW w:w="6159" w:type="dxa"/>
            <w:tcBorders>
              <w:top w:val="single" w:color="000000" w:sz="6" w:space="0"/>
              <w:left w:val="single" w:color="000000" w:sz="6" w:space="0"/>
              <w:bottom w:val="single" w:color="000000" w:sz="6" w:space="0"/>
              <w:right w:val="single" w:color="000000" w:sz="6" w:space="0"/>
            </w:tcBorders>
            <w:noWrap/>
            <w:vAlign w:val="top"/>
          </w:tcPr>
          <w:p w14:paraId="549CFCD4">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1.清洗、更换风机轴承，检测接地电阻。</w:t>
            </w:r>
          </w:p>
          <w:p w14:paraId="2EC76293">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2.风机外壳清锈、刷漆。</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1C2CCC4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外观良好，</w:t>
            </w:r>
          </w:p>
          <w:p w14:paraId="6C5362F6">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标示清晰。</w:t>
            </w:r>
          </w:p>
        </w:tc>
      </w:tr>
      <w:tr w14:paraId="4A219D06">
        <w:tblPrEx>
          <w:tblCellMar>
            <w:top w:w="0" w:type="dxa"/>
            <w:left w:w="108" w:type="dxa"/>
            <w:bottom w:w="0" w:type="dxa"/>
            <w:right w:w="108" w:type="dxa"/>
          </w:tblCellMar>
        </w:tblPrEx>
        <w:trPr>
          <w:trHeight w:val="811" w:hRule="atLeast"/>
          <w:jc w:val="center"/>
        </w:trPr>
        <w:tc>
          <w:tcPr>
            <w:tcW w:w="1481" w:type="dxa"/>
            <w:vMerge w:val="restart"/>
            <w:tcBorders>
              <w:top w:val="single" w:color="000000" w:sz="6" w:space="0"/>
              <w:left w:val="single" w:color="000000" w:sz="6" w:space="0"/>
              <w:bottom w:val="single" w:color="000000" w:sz="6" w:space="0"/>
              <w:right w:val="single" w:color="000000" w:sz="6" w:space="0"/>
            </w:tcBorders>
            <w:noWrap/>
            <w:vAlign w:val="center"/>
          </w:tcPr>
          <w:p w14:paraId="247E637A">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气体灭火系统</w:t>
            </w: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35934EC3">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p w14:paraId="62FDE14D">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一次</w:t>
            </w:r>
          </w:p>
        </w:tc>
        <w:tc>
          <w:tcPr>
            <w:tcW w:w="6159" w:type="dxa"/>
            <w:tcBorders>
              <w:top w:val="single" w:color="000000" w:sz="6" w:space="0"/>
              <w:left w:val="single" w:color="000000" w:sz="6" w:space="0"/>
              <w:bottom w:val="single" w:color="000000" w:sz="6" w:space="0"/>
              <w:right w:val="single" w:color="000000" w:sz="6" w:space="0"/>
            </w:tcBorders>
            <w:noWrap/>
            <w:vAlign w:val="top"/>
          </w:tcPr>
          <w:p w14:paraId="121D8D4F">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1.清洁卫生。</w:t>
            </w:r>
          </w:p>
          <w:p w14:paraId="34A49BD4">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2.检查外观是否完好，有无泄漏气体现象。</w:t>
            </w:r>
          </w:p>
          <w:p w14:paraId="00EC45C4">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3.检查气压表的完好情况。</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130D539A">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外观良好，</w:t>
            </w:r>
          </w:p>
          <w:p w14:paraId="35D5F44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压力正常。</w:t>
            </w:r>
          </w:p>
        </w:tc>
      </w:tr>
      <w:tr w14:paraId="354B1540">
        <w:tblPrEx>
          <w:tblCellMar>
            <w:top w:w="0" w:type="dxa"/>
            <w:left w:w="108" w:type="dxa"/>
            <w:bottom w:w="0" w:type="dxa"/>
            <w:right w:w="108" w:type="dxa"/>
          </w:tblCellMar>
        </w:tblPrEx>
        <w:trPr>
          <w:trHeight w:val="1872" w:hRule="atLeast"/>
          <w:jc w:val="center"/>
        </w:trPr>
        <w:tc>
          <w:tcPr>
            <w:tcW w:w="1481" w:type="dxa"/>
            <w:vMerge w:val="continue"/>
            <w:tcBorders>
              <w:top w:val="single" w:color="000000" w:sz="6" w:space="0"/>
              <w:left w:val="single" w:color="000000" w:sz="6" w:space="0"/>
              <w:bottom w:val="single" w:color="000000" w:sz="6" w:space="0"/>
              <w:right w:val="single" w:color="000000" w:sz="6" w:space="0"/>
            </w:tcBorders>
            <w:noWrap/>
            <w:vAlign w:val="center"/>
          </w:tcPr>
          <w:p w14:paraId="533BC43E">
            <w:pPr>
              <w:spacing w:line="240" w:lineRule="auto"/>
              <w:ind w:firstLine="0" w:firstLineChars="0"/>
              <w:jc w:val="both"/>
              <w:rPr>
                <w:rFonts w:hint="eastAsia" w:ascii="宋体" w:hAnsi="宋体" w:eastAsia="宋体" w:cs="宋体"/>
                <w:color w:val="auto"/>
                <w:kern w:val="2"/>
                <w:sz w:val="21"/>
                <w:szCs w:val="21"/>
              </w:rPr>
            </w:pP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300916E5">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每半年一次</w:t>
            </w:r>
          </w:p>
        </w:tc>
        <w:tc>
          <w:tcPr>
            <w:tcW w:w="6159" w:type="dxa"/>
            <w:tcBorders>
              <w:top w:val="single" w:color="000000" w:sz="6" w:space="0"/>
              <w:left w:val="single" w:color="000000" w:sz="6" w:space="0"/>
              <w:bottom w:val="single" w:color="000000" w:sz="6" w:space="0"/>
              <w:right w:val="single" w:color="000000" w:sz="6" w:space="0"/>
            </w:tcBorders>
            <w:noWrap/>
            <w:vAlign w:val="top"/>
          </w:tcPr>
          <w:p w14:paraId="6DD8A6FC">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1.检查气瓶压力。</w:t>
            </w:r>
          </w:p>
          <w:p w14:paraId="6A85E277">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2.气瓶外壳除锈，刷保护漆。</w:t>
            </w:r>
          </w:p>
          <w:p w14:paraId="12D13559">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3.模拟测试气体消防灭火系统的运作情况。</w:t>
            </w:r>
          </w:p>
          <w:p w14:paraId="19148FC9">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4.检查试验手动和自动放气装置是否正常。</w:t>
            </w:r>
          </w:p>
          <w:p w14:paraId="21B33D64">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5.模拟自动报警系统中的烟、温感探测器同时动作，检查气瓶的电磁阀，检查气瓶的电磁阀电压是否正常，检查联动防烟防火阀情况。</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7F630ACE">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压力正常、</w:t>
            </w:r>
          </w:p>
          <w:p w14:paraId="580BAB53">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运行正常。</w:t>
            </w:r>
          </w:p>
        </w:tc>
      </w:tr>
      <w:tr w14:paraId="165E8DCE">
        <w:tblPrEx>
          <w:tblCellMar>
            <w:top w:w="0" w:type="dxa"/>
            <w:left w:w="108" w:type="dxa"/>
            <w:bottom w:w="0" w:type="dxa"/>
            <w:right w:w="108" w:type="dxa"/>
          </w:tblCellMar>
        </w:tblPrEx>
        <w:trPr>
          <w:trHeight w:val="2137" w:hRule="atLeast"/>
          <w:jc w:val="center"/>
        </w:trPr>
        <w:tc>
          <w:tcPr>
            <w:tcW w:w="1481" w:type="dxa"/>
            <w:vMerge w:val="restart"/>
            <w:tcBorders>
              <w:top w:val="single" w:color="000000" w:sz="6" w:space="0"/>
              <w:left w:val="single" w:color="000000" w:sz="6" w:space="0"/>
              <w:bottom w:val="single" w:color="000000" w:sz="6" w:space="0"/>
              <w:right w:val="single" w:color="000000" w:sz="6" w:space="0"/>
            </w:tcBorders>
            <w:noWrap/>
            <w:vAlign w:val="center"/>
          </w:tcPr>
          <w:p w14:paraId="38F60983">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消火栓</w:t>
            </w:r>
          </w:p>
          <w:p w14:paraId="7CF2201E">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及管网</w:t>
            </w: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4AD5F2D6">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p w14:paraId="1A73F8AD">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一次</w:t>
            </w:r>
          </w:p>
        </w:tc>
        <w:tc>
          <w:tcPr>
            <w:tcW w:w="6159" w:type="dxa"/>
            <w:tcBorders>
              <w:top w:val="single" w:color="000000" w:sz="6" w:space="0"/>
              <w:left w:val="single" w:color="000000" w:sz="6" w:space="0"/>
              <w:bottom w:val="single" w:color="000000" w:sz="6" w:space="0"/>
              <w:right w:val="single" w:color="000000" w:sz="6" w:space="0"/>
            </w:tcBorders>
            <w:noWrap/>
            <w:vAlign w:val="top"/>
          </w:tcPr>
          <w:p w14:paraId="10C372E1">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1.清洁箱内卫生。</w:t>
            </w:r>
          </w:p>
          <w:p w14:paraId="03A19FDF">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2.检查箱件是否齐全。包括检查每个消火栓出水口的压力是否足够和是否渗漏，破玻按钮是否破碎。</w:t>
            </w:r>
          </w:p>
          <w:p w14:paraId="18295199">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3.检查室外消火栓、水泵接合器，应无漏水，附件齐全。</w:t>
            </w:r>
          </w:p>
          <w:p w14:paraId="2F50E22C">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4.检查各阀门是否处于正常工作状态，是否完好不渗漏。</w:t>
            </w:r>
          </w:p>
          <w:p w14:paraId="3D78078C">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5.检查系统各项连接联动屏或主控屏的讯号功能是否正常。</w:t>
            </w:r>
          </w:p>
          <w:p w14:paraId="104EC9C0">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6.每月定期检查各区间管网总阀是否开启正常、不漏水滴。</w:t>
            </w:r>
          </w:p>
          <w:p w14:paraId="61F3DFE9">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7.每月定期检查试验天面消火栓的工作压力。</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56C9DBDA">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卫生良好，</w:t>
            </w:r>
          </w:p>
          <w:p w14:paraId="7F95BB86">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配件齐全</w:t>
            </w:r>
          </w:p>
        </w:tc>
      </w:tr>
      <w:tr w14:paraId="59ABE749">
        <w:tblPrEx>
          <w:tblCellMar>
            <w:top w:w="0" w:type="dxa"/>
            <w:left w:w="108" w:type="dxa"/>
            <w:bottom w:w="0" w:type="dxa"/>
            <w:right w:w="108" w:type="dxa"/>
          </w:tblCellMar>
        </w:tblPrEx>
        <w:trPr>
          <w:trHeight w:val="1577" w:hRule="atLeast"/>
          <w:jc w:val="center"/>
        </w:trPr>
        <w:tc>
          <w:tcPr>
            <w:tcW w:w="1481" w:type="dxa"/>
            <w:vMerge w:val="continue"/>
            <w:tcBorders>
              <w:top w:val="single" w:color="000000" w:sz="6" w:space="0"/>
              <w:left w:val="single" w:color="000000" w:sz="6" w:space="0"/>
              <w:bottom w:val="single" w:color="000000" w:sz="6" w:space="0"/>
              <w:right w:val="single" w:color="000000" w:sz="6" w:space="0"/>
            </w:tcBorders>
            <w:noWrap/>
            <w:vAlign w:val="center"/>
          </w:tcPr>
          <w:p w14:paraId="34AFFE52">
            <w:pPr>
              <w:spacing w:line="240" w:lineRule="auto"/>
              <w:ind w:firstLine="0" w:firstLineChars="0"/>
              <w:jc w:val="both"/>
              <w:rPr>
                <w:rFonts w:hint="eastAsia" w:ascii="宋体" w:hAnsi="宋体" w:eastAsia="宋体" w:cs="宋体"/>
                <w:color w:val="auto"/>
                <w:kern w:val="2"/>
                <w:sz w:val="21"/>
                <w:szCs w:val="21"/>
              </w:rPr>
            </w:pP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4D405EE2">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每半年一次</w:t>
            </w:r>
          </w:p>
        </w:tc>
        <w:tc>
          <w:tcPr>
            <w:tcW w:w="6159" w:type="dxa"/>
            <w:tcBorders>
              <w:top w:val="single" w:color="000000" w:sz="6" w:space="0"/>
              <w:left w:val="single" w:color="000000" w:sz="6" w:space="0"/>
              <w:bottom w:val="single" w:color="000000" w:sz="6" w:space="0"/>
              <w:right w:val="single" w:color="000000" w:sz="6" w:space="0"/>
            </w:tcBorders>
            <w:noWrap/>
            <w:vAlign w:val="top"/>
          </w:tcPr>
          <w:p w14:paraId="3D6B1D5D">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1.消防栓水压测试射程在13米，能实现联动。</w:t>
            </w:r>
          </w:p>
          <w:p w14:paraId="0F39A44F">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2.对水带进行防霉处理。</w:t>
            </w:r>
          </w:p>
          <w:p w14:paraId="540A76FA">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3.检查测试报警系统，试验破玻按钮，警铃是否有动作信号、指示灯是否亮、消防水泵是否有启动信号、消防中心是否有指示。</w:t>
            </w:r>
          </w:p>
          <w:p w14:paraId="1443F088">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4.室外消火栓水压测试符合规范要求，消火栓接合器功能测试正常。</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57591A8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无滴漏、</w:t>
            </w:r>
          </w:p>
          <w:p w14:paraId="7C76C241">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压力正常、</w:t>
            </w:r>
          </w:p>
          <w:p w14:paraId="37E6F847">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工作正常。</w:t>
            </w:r>
          </w:p>
        </w:tc>
      </w:tr>
      <w:tr w14:paraId="12AC4F65">
        <w:tblPrEx>
          <w:tblCellMar>
            <w:top w:w="0" w:type="dxa"/>
            <w:left w:w="108" w:type="dxa"/>
            <w:bottom w:w="0" w:type="dxa"/>
            <w:right w:w="108" w:type="dxa"/>
          </w:tblCellMar>
        </w:tblPrEx>
        <w:trPr>
          <w:trHeight w:val="545" w:hRule="atLeast"/>
          <w:jc w:val="center"/>
        </w:trPr>
        <w:tc>
          <w:tcPr>
            <w:tcW w:w="1481" w:type="dxa"/>
            <w:vMerge w:val="restart"/>
            <w:tcBorders>
              <w:top w:val="single" w:color="000000" w:sz="6" w:space="0"/>
              <w:left w:val="single" w:color="000000" w:sz="6" w:space="0"/>
              <w:bottom w:val="single" w:color="000000" w:sz="6" w:space="0"/>
              <w:right w:val="single" w:color="000000" w:sz="6" w:space="0"/>
            </w:tcBorders>
            <w:noWrap/>
            <w:vAlign w:val="center"/>
          </w:tcPr>
          <w:p w14:paraId="1DFC4770">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疏散</w:t>
            </w:r>
          </w:p>
          <w:p w14:paraId="60C325AC">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指示牌</w:t>
            </w: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76CA92B1">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每天</w:t>
            </w:r>
          </w:p>
          <w:p w14:paraId="2DC4E83B">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一次</w:t>
            </w:r>
          </w:p>
        </w:tc>
        <w:tc>
          <w:tcPr>
            <w:tcW w:w="6159" w:type="dxa"/>
            <w:tcBorders>
              <w:top w:val="single" w:color="000000" w:sz="6" w:space="0"/>
              <w:left w:val="single" w:color="000000" w:sz="6" w:space="0"/>
              <w:bottom w:val="single" w:color="000000" w:sz="6" w:space="0"/>
              <w:right w:val="single" w:color="000000" w:sz="6" w:space="0"/>
            </w:tcBorders>
            <w:noWrap/>
            <w:vAlign w:val="center"/>
          </w:tcPr>
          <w:p w14:paraId="2AAEAB83">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1.检查外观有无破损及不亮，一旦发现及时维修。</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07FC8990">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设施完好。</w:t>
            </w:r>
          </w:p>
        </w:tc>
      </w:tr>
      <w:tr w14:paraId="50720879">
        <w:tblPrEx>
          <w:tblCellMar>
            <w:top w:w="0" w:type="dxa"/>
            <w:left w:w="108" w:type="dxa"/>
            <w:bottom w:w="0" w:type="dxa"/>
            <w:right w:w="108" w:type="dxa"/>
          </w:tblCellMar>
        </w:tblPrEx>
        <w:trPr>
          <w:trHeight w:val="1076" w:hRule="atLeast"/>
          <w:jc w:val="center"/>
        </w:trPr>
        <w:tc>
          <w:tcPr>
            <w:tcW w:w="1481" w:type="dxa"/>
            <w:vMerge w:val="continue"/>
            <w:tcBorders>
              <w:top w:val="single" w:color="000000" w:sz="6" w:space="0"/>
              <w:left w:val="single" w:color="000000" w:sz="6" w:space="0"/>
              <w:bottom w:val="single" w:color="000000" w:sz="6" w:space="0"/>
              <w:right w:val="single" w:color="000000" w:sz="6" w:space="0"/>
            </w:tcBorders>
            <w:noWrap/>
            <w:vAlign w:val="center"/>
          </w:tcPr>
          <w:p w14:paraId="5F8CB6F7">
            <w:pPr>
              <w:spacing w:line="240" w:lineRule="auto"/>
              <w:ind w:firstLine="0" w:firstLineChars="0"/>
              <w:jc w:val="both"/>
              <w:rPr>
                <w:rFonts w:hint="eastAsia" w:ascii="宋体" w:hAnsi="宋体" w:eastAsia="宋体" w:cs="宋体"/>
                <w:color w:val="auto"/>
                <w:kern w:val="2"/>
                <w:sz w:val="21"/>
                <w:szCs w:val="21"/>
              </w:rPr>
            </w:pP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18F28F3A">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p w14:paraId="0C20EDB6">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一次</w:t>
            </w:r>
          </w:p>
        </w:tc>
        <w:tc>
          <w:tcPr>
            <w:tcW w:w="6159" w:type="dxa"/>
            <w:tcBorders>
              <w:top w:val="single" w:color="000000" w:sz="6" w:space="0"/>
              <w:left w:val="single" w:color="000000" w:sz="6" w:space="0"/>
              <w:bottom w:val="single" w:color="000000" w:sz="6" w:space="0"/>
              <w:right w:val="single" w:color="000000" w:sz="6" w:space="0"/>
            </w:tcBorders>
            <w:noWrap/>
            <w:vAlign w:val="top"/>
          </w:tcPr>
          <w:p w14:paraId="100F66EA">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1.面板有无划伤或破裂现象。</w:t>
            </w:r>
          </w:p>
          <w:p w14:paraId="437FD302">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2.检查安装是否牢固。</w:t>
            </w:r>
          </w:p>
          <w:p w14:paraId="197DA47E">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3.针对检查中发现的缺陷取下来进行修复，再装回原位。</w:t>
            </w:r>
          </w:p>
          <w:p w14:paraId="27A7927C">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4.面板擦拭干净。</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0D070426">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设施完好，</w:t>
            </w:r>
          </w:p>
          <w:p w14:paraId="6FAD5FEB">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运行正常。</w:t>
            </w:r>
          </w:p>
        </w:tc>
      </w:tr>
      <w:tr w14:paraId="6E418BBC">
        <w:tblPrEx>
          <w:tblCellMar>
            <w:top w:w="0" w:type="dxa"/>
            <w:left w:w="108" w:type="dxa"/>
            <w:bottom w:w="0" w:type="dxa"/>
            <w:right w:w="108" w:type="dxa"/>
          </w:tblCellMar>
        </w:tblPrEx>
        <w:trPr>
          <w:trHeight w:val="811" w:hRule="atLeast"/>
          <w:jc w:val="center"/>
        </w:trPr>
        <w:tc>
          <w:tcPr>
            <w:tcW w:w="1481" w:type="dxa"/>
            <w:vMerge w:val="restart"/>
            <w:tcBorders>
              <w:top w:val="single" w:color="000000" w:sz="6" w:space="0"/>
              <w:left w:val="single" w:color="000000" w:sz="6" w:space="0"/>
              <w:bottom w:val="single" w:color="000000" w:sz="6" w:space="0"/>
              <w:right w:val="single" w:color="000000" w:sz="6" w:space="0"/>
            </w:tcBorders>
            <w:noWrap/>
            <w:vAlign w:val="center"/>
          </w:tcPr>
          <w:p w14:paraId="4E4EA8FF">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消防泵</w:t>
            </w:r>
          </w:p>
          <w:p w14:paraId="0587D914">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喷淋泵</w:t>
            </w: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49F9CDAD">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p w14:paraId="4BED36E0">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一次</w:t>
            </w:r>
          </w:p>
        </w:tc>
        <w:tc>
          <w:tcPr>
            <w:tcW w:w="6159" w:type="dxa"/>
            <w:tcBorders>
              <w:top w:val="single" w:color="000000" w:sz="6" w:space="0"/>
              <w:left w:val="single" w:color="000000" w:sz="6" w:space="0"/>
              <w:bottom w:val="single" w:color="000000" w:sz="6" w:space="0"/>
              <w:right w:val="single" w:color="000000" w:sz="6" w:space="0"/>
            </w:tcBorders>
            <w:noWrap/>
            <w:vAlign w:val="top"/>
          </w:tcPr>
          <w:p w14:paraId="47CE8219">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1.手动试运行，查看盘根滴水是否符合规范。</w:t>
            </w:r>
          </w:p>
          <w:p w14:paraId="6FBABB24">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2.水压是否正常，是否有异声异味。</w:t>
            </w:r>
          </w:p>
          <w:p w14:paraId="799644AE">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3.控制柜指示灯，柜内元器件工作是否正常。</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773B5625">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外观良好，</w:t>
            </w:r>
          </w:p>
          <w:p w14:paraId="6FCBC277">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运行正常。</w:t>
            </w:r>
          </w:p>
        </w:tc>
      </w:tr>
      <w:tr w14:paraId="60EBAA57">
        <w:tblPrEx>
          <w:tblCellMar>
            <w:top w:w="0" w:type="dxa"/>
            <w:left w:w="108" w:type="dxa"/>
            <w:bottom w:w="0" w:type="dxa"/>
            <w:right w:w="108" w:type="dxa"/>
          </w:tblCellMar>
        </w:tblPrEx>
        <w:trPr>
          <w:trHeight w:val="1076" w:hRule="atLeast"/>
          <w:jc w:val="center"/>
        </w:trPr>
        <w:tc>
          <w:tcPr>
            <w:tcW w:w="1481" w:type="dxa"/>
            <w:vMerge w:val="continue"/>
            <w:tcBorders>
              <w:top w:val="single" w:color="000000" w:sz="6" w:space="0"/>
              <w:left w:val="single" w:color="000000" w:sz="6" w:space="0"/>
              <w:bottom w:val="single" w:color="000000" w:sz="6" w:space="0"/>
              <w:right w:val="single" w:color="000000" w:sz="6" w:space="0"/>
            </w:tcBorders>
            <w:noWrap/>
            <w:vAlign w:val="center"/>
          </w:tcPr>
          <w:p w14:paraId="46A10759">
            <w:pPr>
              <w:spacing w:line="240" w:lineRule="auto"/>
              <w:ind w:firstLine="0" w:firstLineChars="0"/>
              <w:jc w:val="both"/>
              <w:rPr>
                <w:rFonts w:hint="eastAsia" w:ascii="宋体" w:hAnsi="宋体" w:eastAsia="宋体" w:cs="宋体"/>
                <w:color w:val="auto"/>
                <w:kern w:val="2"/>
                <w:sz w:val="21"/>
                <w:szCs w:val="21"/>
              </w:rPr>
            </w:pP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544B6C72">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w:t>
            </w:r>
          </w:p>
          <w:p w14:paraId="6A7C5206">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一次</w:t>
            </w:r>
          </w:p>
        </w:tc>
        <w:tc>
          <w:tcPr>
            <w:tcW w:w="6159" w:type="dxa"/>
            <w:tcBorders>
              <w:top w:val="single" w:color="000000" w:sz="6" w:space="0"/>
              <w:left w:val="single" w:color="000000" w:sz="6" w:space="0"/>
              <w:bottom w:val="single" w:color="000000" w:sz="6" w:space="0"/>
              <w:right w:val="single" w:color="000000" w:sz="6" w:space="0"/>
            </w:tcBorders>
            <w:noWrap/>
            <w:vAlign w:val="top"/>
          </w:tcPr>
          <w:p w14:paraId="6E3BDAF8">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1.电机、轴承加注黄油；如有异响，应更换轴承。</w:t>
            </w:r>
          </w:p>
          <w:p w14:paraId="129CEC11">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2.泵体及管道阀门除锈刷漆。</w:t>
            </w:r>
          </w:p>
          <w:p w14:paraId="2C61F32B">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3.喷淋泵应启动管网末端试水装置放水试验。</w:t>
            </w:r>
          </w:p>
          <w:p w14:paraId="3AE99571">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4.消防栓泵应启动消防栓按钮试验，是否联动。</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41324F19">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润滑良好，</w:t>
            </w:r>
          </w:p>
          <w:p w14:paraId="54DAEECB">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运行正常。</w:t>
            </w:r>
          </w:p>
        </w:tc>
      </w:tr>
      <w:tr w14:paraId="37BC42CD">
        <w:tblPrEx>
          <w:tblCellMar>
            <w:top w:w="0" w:type="dxa"/>
            <w:left w:w="108" w:type="dxa"/>
            <w:bottom w:w="0" w:type="dxa"/>
            <w:right w:w="108" w:type="dxa"/>
          </w:tblCellMar>
        </w:tblPrEx>
        <w:trPr>
          <w:trHeight w:val="545" w:hRule="atLeast"/>
          <w:jc w:val="center"/>
        </w:trPr>
        <w:tc>
          <w:tcPr>
            <w:tcW w:w="1481" w:type="dxa"/>
            <w:tcBorders>
              <w:top w:val="single" w:color="000000" w:sz="6" w:space="0"/>
              <w:left w:val="single" w:color="000000" w:sz="6" w:space="0"/>
              <w:bottom w:val="single" w:color="000000" w:sz="6" w:space="0"/>
              <w:right w:val="single" w:color="000000" w:sz="6" w:space="0"/>
            </w:tcBorders>
            <w:noWrap/>
            <w:vAlign w:val="center"/>
          </w:tcPr>
          <w:p w14:paraId="384C5EEB">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喷淋管网</w:t>
            </w: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07A8939F">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p w14:paraId="3DBBB5B8">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一次</w:t>
            </w:r>
          </w:p>
        </w:tc>
        <w:tc>
          <w:tcPr>
            <w:tcW w:w="6159" w:type="dxa"/>
            <w:tcBorders>
              <w:top w:val="single" w:color="000000" w:sz="6" w:space="0"/>
              <w:left w:val="single" w:color="000000" w:sz="6" w:space="0"/>
              <w:bottom w:val="single" w:color="000000" w:sz="6" w:space="0"/>
              <w:right w:val="single" w:color="000000" w:sz="6" w:space="0"/>
            </w:tcBorders>
            <w:noWrap/>
            <w:vAlign w:val="center"/>
          </w:tcPr>
          <w:p w14:paraId="0B68AF4C">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1.检查喷淋头是否滴漏，喷淋管网压力是否正常。</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236E886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无滴漏、</w:t>
            </w:r>
          </w:p>
          <w:p w14:paraId="54F55EF3">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压力正靠。</w:t>
            </w:r>
          </w:p>
        </w:tc>
      </w:tr>
      <w:tr w14:paraId="6676F3B0">
        <w:tblPrEx>
          <w:tblCellMar>
            <w:top w:w="0" w:type="dxa"/>
            <w:left w:w="108" w:type="dxa"/>
            <w:bottom w:w="0" w:type="dxa"/>
            <w:right w:w="108" w:type="dxa"/>
          </w:tblCellMar>
        </w:tblPrEx>
        <w:trPr>
          <w:trHeight w:val="1596" w:hRule="atLeast"/>
          <w:jc w:val="center"/>
        </w:trPr>
        <w:tc>
          <w:tcPr>
            <w:tcW w:w="1481" w:type="dxa"/>
            <w:tcBorders>
              <w:top w:val="single" w:color="000000" w:sz="6" w:space="0"/>
              <w:left w:val="single" w:color="000000" w:sz="6" w:space="0"/>
              <w:bottom w:val="single" w:color="000000" w:sz="6" w:space="0"/>
              <w:right w:val="single" w:color="000000" w:sz="6" w:space="0"/>
            </w:tcBorders>
            <w:noWrap/>
            <w:vAlign w:val="center"/>
          </w:tcPr>
          <w:p w14:paraId="642FE415">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各类阀门</w:t>
            </w: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67B4262A">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每半年一次</w:t>
            </w:r>
          </w:p>
        </w:tc>
        <w:tc>
          <w:tcPr>
            <w:tcW w:w="6159" w:type="dxa"/>
            <w:tcBorders>
              <w:top w:val="single" w:color="000000" w:sz="6" w:space="0"/>
              <w:left w:val="single" w:color="000000" w:sz="6" w:space="0"/>
              <w:bottom w:val="single" w:color="000000" w:sz="6" w:space="0"/>
              <w:right w:val="single" w:color="000000" w:sz="6" w:space="0"/>
            </w:tcBorders>
            <w:noWrap/>
            <w:vAlign w:val="top"/>
          </w:tcPr>
          <w:p w14:paraId="06060706">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1.更换失灵压力表。</w:t>
            </w:r>
          </w:p>
          <w:p w14:paraId="49B9CE7E">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2.排除管网污水，并试验。</w:t>
            </w:r>
          </w:p>
          <w:p w14:paraId="6373112A">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3.室外管道清锈刷漆，并标注水流方向及水系统色环。</w:t>
            </w:r>
          </w:p>
          <w:p w14:paraId="3E8662F7">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4.阀门丝杆加注黄油并加装防护套。</w:t>
            </w:r>
          </w:p>
          <w:p w14:paraId="47F7B49C">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5.检测湿式报警阀工作是否正常，水力警铃声响是否洪亮。</w:t>
            </w:r>
          </w:p>
          <w:p w14:paraId="354BE382">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6.检测自喷系统水流指示器指示是否正确，信号反馈是否及时。</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754B2C03">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无滴漏、</w:t>
            </w:r>
          </w:p>
          <w:p w14:paraId="5A6E35D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压力正常、</w:t>
            </w:r>
          </w:p>
          <w:p w14:paraId="3AB649EA">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工作正常。</w:t>
            </w:r>
          </w:p>
        </w:tc>
      </w:tr>
    </w:tbl>
    <w:p w14:paraId="5BBE7FD7">
      <w:pPr>
        <w:bidi w:val="0"/>
        <w:spacing w:line="360" w:lineRule="auto"/>
        <w:ind w:firstLine="422" w:firstLineChars="200"/>
        <w:outlineLvl w:val="3"/>
        <w:rPr>
          <w:rFonts w:hint="eastAsia" w:ascii="宋体" w:hAnsi="宋体" w:eastAsia="宋体" w:cs="宋体"/>
          <w:b/>
          <w:bCs/>
          <w:color w:val="auto"/>
          <w:sz w:val="21"/>
          <w:szCs w:val="21"/>
          <w:lang w:val="en-US" w:eastAsia="zh-CN"/>
        </w:rPr>
      </w:pPr>
      <w:bookmarkStart w:id="623" w:name="_Toc30170"/>
      <w:bookmarkStart w:id="624" w:name="_Toc11658"/>
      <w:bookmarkStart w:id="625" w:name="_Toc18099"/>
      <w:bookmarkStart w:id="626" w:name="_Toc9112"/>
      <w:bookmarkStart w:id="627" w:name="_Toc29583"/>
      <w:r>
        <w:rPr>
          <w:rFonts w:hint="eastAsia" w:ascii="宋体" w:hAnsi="宋体" w:eastAsia="宋体" w:cs="宋体"/>
          <w:b/>
          <w:bCs/>
          <w:color w:val="auto"/>
          <w:sz w:val="21"/>
          <w:szCs w:val="21"/>
          <w:lang w:val="en-US" w:eastAsia="zh-CN"/>
        </w:rPr>
        <w:t>2.2.7供配电系统维护保养管理</w:t>
      </w:r>
      <w:bookmarkEnd w:id="623"/>
      <w:bookmarkEnd w:id="624"/>
      <w:bookmarkEnd w:id="625"/>
      <w:bookmarkEnd w:id="626"/>
      <w:bookmarkEnd w:id="627"/>
    </w:p>
    <w:p w14:paraId="5F85DC7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highlight w:val="none"/>
        </w:rPr>
        <w:t>保证供配电设备24小时正常运行，确保分列的电表数据准确；零修合格率100%，设备完好率100%；应急发电机可随时启动，在市政停电情况下，保证发电机在15秒钟内运转供电。保养要求如下：</w:t>
      </w:r>
    </w:p>
    <w:tbl>
      <w:tblPr>
        <w:tblStyle w:val="41"/>
        <w:tblW w:w="9621" w:type="dxa"/>
        <w:jc w:val="center"/>
        <w:tblLayout w:type="fixed"/>
        <w:tblCellMar>
          <w:top w:w="0" w:type="dxa"/>
          <w:left w:w="108" w:type="dxa"/>
          <w:bottom w:w="0" w:type="dxa"/>
          <w:right w:w="108" w:type="dxa"/>
        </w:tblCellMar>
      </w:tblPr>
      <w:tblGrid>
        <w:gridCol w:w="945"/>
        <w:gridCol w:w="1000"/>
        <w:gridCol w:w="4313"/>
        <w:gridCol w:w="3363"/>
      </w:tblGrid>
      <w:tr w14:paraId="61B3916E">
        <w:tblPrEx>
          <w:tblCellMar>
            <w:top w:w="0" w:type="dxa"/>
            <w:left w:w="108" w:type="dxa"/>
            <w:bottom w:w="0" w:type="dxa"/>
            <w:right w:w="108" w:type="dxa"/>
          </w:tblCellMar>
        </w:tblPrEx>
        <w:trPr>
          <w:trHeight w:val="343" w:hRule="atLeast"/>
          <w:jc w:val="center"/>
        </w:trPr>
        <w:tc>
          <w:tcPr>
            <w:tcW w:w="945" w:type="dxa"/>
            <w:tcBorders>
              <w:top w:val="single" w:color="000000" w:sz="6" w:space="0"/>
              <w:left w:val="single" w:color="000000" w:sz="6" w:space="0"/>
              <w:bottom w:val="single" w:color="000000" w:sz="6" w:space="0"/>
              <w:right w:val="single" w:color="000000" w:sz="6" w:space="0"/>
            </w:tcBorders>
            <w:noWrap/>
            <w:vAlign w:val="center"/>
          </w:tcPr>
          <w:p w14:paraId="6EE6AB35">
            <w:pPr>
              <w:snapToGrid w:val="0"/>
              <w:spacing w:line="240" w:lineRule="auto"/>
              <w:ind w:firstLine="0" w:firstLineChars="0"/>
              <w:jc w:val="center"/>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项目</w:t>
            </w:r>
          </w:p>
        </w:tc>
        <w:tc>
          <w:tcPr>
            <w:tcW w:w="1000" w:type="dxa"/>
            <w:tcBorders>
              <w:top w:val="single" w:color="000000" w:sz="6" w:space="0"/>
              <w:left w:val="single" w:color="000000" w:sz="6" w:space="0"/>
              <w:bottom w:val="single" w:color="000000" w:sz="6" w:space="0"/>
              <w:right w:val="single" w:color="000000" w:sz="6" w:space="0"/>
            </w:tcBorders>
            <w:noWrap/>
            <w:vAlign w:val="center"/>
          </w:tcPr>
          <w:p w14:paraId="390F185A">
            <w:pPr>
              <w:snapToGrid w:val="0"/>
              <w:spacing w:line="240" w:lineRule="auto"/>
              <w:ind w:firstLine="0" w:firstLineChars="0"/>
              <w:jc w:val="center"/>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频次</w:t>
            </w:r>
          </w:p>
        </w:tc>
        <w:tc>
          <w:tcPr>
            <w:tcW w:w="4313" w:type="dxa"/>
            <w:tcBorders>
              <w:top w:val="single" w:color="000000" w:sz="6" w:space="0"/>
              <w:left w:val="single" w:color="000000" w:sz="6" w:space="0"/>
              <w:bottom w:val="single" w:color="000000" w:sz="6" w:space="0"/>
              <w:right w:val="single" w:color="000000" w:sz="6" w:space="0"/>
            </w:tcBorders>
            <w:noWrap/>
            <w:vAlign w:val="center"/>
          </w:tcPr>
          <w:p w14:paraId="5483965D">
            <w:pPr>
              <w:snapToGrid w:val="0"/>
              <w:spacing w:line="240" w:lineRule="auto"/>
              <w:ind w:firstLine="0" w:firstLineChars="0"/>
              <w:jc w:val="center"/>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保养内容</w:t>
            </w:r>
          </w:p>
        </w:tc>
        <w:tc>
          <w:tcPr>
            <w:tcW w:w="3363" w:type="dxa"/>
            <w:tcBorders>
              <w:top w:val="single" w:color="000000" w:sz="6" w:space="0"/>
              <w:left w:val="single" w:color="000000" w:sz="6" w:space="0"/>
              <w:bottom w:val="single" w:color="000000" w:sz="6" w:space="0"/>
              <w:right w:val="single" w:color="000000" w:sz="6" w:space="0"/>
            </w:tcBorders>
            <w:noWrap/>
            <w:vAlign w:val="center"/>
          </w:tcPr>
          <w:p w14:paraId="31749634">
            <w:pPr>
              <w:snapToGrid w:val="0"/>
              <w:spacing w:line="240" w:lineRule="auto"/>
              <w:ind w:firstLine="0" w:firstLineChars="0"/>
              <w:jc w:val="center"/>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保养要求</w:t>
            </w:r>
          </w:p>
        </w:tc>
      </w:tr>
      <w:tr w14:paraId="0FEED15F">
        <w:tblPrEx>
          <w:tblCellMar>
            <w:top w:w="0" w:type="dxa"/>
            <w:left w:w="108" w:type="dxa"/>
            <w:bottom w:w="0" w:type="dxa"/>
            <w:right w:w="108" w:type="dxa"/>
          </w:tblCellMar>
        </w:tblPrEx>
        <w:trPr>
          <w:trHeight w:val="1115" w:hRule="atLeast"/>
          <w:jc w:val="center"/>
        </w:trPr>
        <w:tc>
          <w:tcPr>
            <w:tcW w:w="945" w:type="dxa"/>
            <w:vMerge w:val="restart"/>
            <w:tcBorders>
              <w:top w:val="single" w:color="000000" w:sz="6" w:space="0"/>
              <w:left w:val="single" w:color="000000" w:sz="6" w:space="0"/>
              <w:bottom w:val="single" w:color="000000" w:sz="6" w:space="0"/>
              <w:right w:val="single" w:color="000000" w:sz="6" w:space="0"/>
            </w:tcBorders>
            <w:noWrap/>
            <w:vAlign w:val="center"/>
          </w:tcPr>
          <w:p w14:paraId="4BA9FB60">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配电柜</w:t>
            </w:r>
          </w:p>
        </w:tc>
        <w:tc>
          <w:tcPr>
            <w:tcW w:w="1000" w:type="dxa"/>
            <w:tcBorders>
              <w:top w:val="single" w:color="000000" w:sz="6" w:space="0"/>
              <w:left w:val="single" w:color="000000" w:sz="6" w:space="0"/>
              <w:bottom w:val="single" w:color="000000" w:sz="6" w:space="0"/>
              <w:right w:val="single" w:color="000000" w:sz="6" w:space="0"/>
            </w:tcBorders>
            <w:noWrap/>
            <w:vAlign w:val="center"/>
          </w:tcPr>
          <w:p w14:paraId="32CEF8C8">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每月一次</w:t>
            </w:r>
          </w:p>
        </w:tc>
        <w:tc>
          <w:tcPr>
            <w:tcW w:w="4313" w:type="dxa"/>
            <w:tcBorders>
              <w:top w:val="single" w:color="000000" w:sz="6" w:space="0"/>
              <w:left w:val="single" w:color="000000" w:sz="6" w:space="0"/>
              <w:bottom w:val="single" w:color="000000" w:sz="6" w:space="0"/>
              <w:right w:val="single" w:color="000000" w:sz="6" w:space="0"/>
            </w:tcBorders>
            <w:noWrap/>
            <w:vAlign w:val="top"/>
          </w:tcPr>
          <w:p w14:paraId="2E0A2781">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1.每日检查外观是否良好，有无异声。</w:t>
            </w:r>
          </w:p>
          <w:p w14:paraId="12645301">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2.每月清理外部灰尘。</w:t>
            </w:r>
          </w:p>
          <w:p w14:paraId="5D84EF53">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3.指示灯是否完好。</w:t>
            </w:r>
          </w:p>
          <w:p w14:paraId="44173BA4">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4.警示标识挂设位置是否正确。</w:t>
            </w:r>
          </w:p>
        </w:tc>
        <w:tc>
          <w:tcPr>
            <w:tcW w:w="3363" w:type="dxa"/>
            <w:tcBorders>
              <w:top w:val="single" w:color="000000" w:sz="6" w:space="0"/>
              <w:left w:val="single" w:color="000000" w:sz="6" w:space="0"/>
              <w:bottom w:val="single" w:color="000000" w:sz="6" w:space="0"/>
              <w:right w:val="single" w:color="000000" w:sz="6" w:space="0"/>
            </w:tcBorders>
            <w:noWrap/>
            <w:vAlign w:val="center"/>
          </w:tcPr>
          <w:p w14:paraId="09CF1FD5">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外观整洁；</w:t>
            </w:r>
          </w:p>
          <w:p w14:paraId="6C4633E1">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指示灯完好；</w:t>
            </w:r>
          </w:p>
          <w:p w14:paraId="4F7B14CD">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标示位置正确。</w:t>
            </w:r>
          </w:p>
        </w:tc>
      </w:tr>
      <w:tr w14:paraId="12F884AD">
        <w:tblPrEx>
          <w:tblCellMar>
            <w:top w:w="0" w:type="dxa"/>
            <w:left w:w="108" w:type="dxa"/>
            <w:bottom w:w="0" w:type="dxa"/>
            <w:right w:w="108" w:type="dxa"/>
          </w:tblCellMar>
        </w:tblPrEx>
        <w:trPr>
          <w:trHeight w:val="775" w:hRule="atLeast"/>
          <w:jc w:val="center"/>
        </w:trPr>
        <w:tc>
          <w:tcPr>
            <w:tcW w:w="945" w:type="dxa"/>
            <w:vMerge w:val="continue"/>
            <w:tcBorders>
              <w:top w:val="single" w:color="000000" w:sz="6" w:space="0"/>
              <w:left w:val="single" w:color="000000" w:sz="6" w:space="0"/>
              <w:bottom w:val="single" w:color="000000" w:sz="6" w:space="0"/>
              <w:right w:val="single" w:color="000000" w:sz="6" w:space="0"/>
            </w:tcBorders>
            <w:noWrap/>
            <w:vAlign w:val="center"/>
          </w:tcPr>
          <w:p w14:paraId="1D164161">
            <w:pPr>
              <w:spacing w:line="240" w:lineRule="auto"/>
              <w:ind w:firstLine="0" w:firstLineChars="0"/>
              <w:jc w:val="both"/>
              <w:rPr>
                <w:rFonts w:hint="eastAsia" w:ascii="宋体" w:hAnsi="宋体" w:eastAsia="宋体" w:cs="宋体"/>
                <w:color w:val="auto"/>
                <w:kern w:val="2"/>
                <w:sz w:val="21"/>
                <w:szCs w:val="21"/>
              </w:rPr>
            </w:pPr>
          </w:p>
        </w:tc>
        <w:tc>
          <w:tcPr>
            <w:tcW w:w="1000" w:type="dxa"/>
            <w:tcBorders>
              <w:top w:val="single" w:color="000000" w:sz="6" w:space="0"/>
              <w:left w:val="single" w:color="000000" w:sz="6" w:space="0"/>
              <w:bottom w:val="single" w:color="000000" w:sz="6" w:space="0"/>
              <w:right w:val="single" w:color="000000" w:sz="6" w:space="0"/>
            </w:tcBorders>
            <w:noWrap/>
            <w:vAlign w:val="center"/>
          </w:tcPr>
          <w:p w14:paraId="64362988">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半年一次</w:t>
            </w:r>
          </w:p>
        </w:tc>
        <w:tc>
          <w:tcPr>
            <w:tcW w:w="4313" w:type="dxa"/>
            <w:tcBorders>
              <w:top w:val="single" w:color="000000" w:sz="6" w:space="0"/>
              <w:left w:val="single" w:color="000000" w:sz="6" w:space="0"/>
              <w:bottom w:val="single" w:color="000000" w:sz="6" w:space="0"/>
              <w:right w:val="single" w:color="000000" w:sz="6" w:space="0"/>
            </w:tcBorders>
            <w:noWrap/>
            <w:vAlign w:val="top"/>
          </w:tcPr>
          <w:p w14:paraId="5E5B2287">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1.检查操作机构是否灵活、互锁机构是否正确。</w:t>
            </w:r>
          </w:p>
          <w:p w14:paraId="3A63665B">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2.检测接地电阻、连接点是否可靠。</w:t>
            </w:r>
          </w:p>
          <w:p w14:paraId="78265329">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3.检查电源接线装置，并紧固螺丝。</w:t>
            </w:r>
          </w:p>
        </w:tc>
        <w:tc>
          <w:tcPr>
            <w:tcW w:w="3363" w:type="dxa"/>
            <w:tcBorders>
              <w:top w:val="single" w:color="000000" w:sz="6" w:space="0"/>
              <w:left w:val="single" w:color="000000" w:sz="6" w:space="0"/>
              <w:bottom w:val="single" w:color="000000" w:sz="6" w:space="0"/>
              <w:right w:val="single" w:color="000000" w:sz="6" w:space="0"/>
            </w:tcBorders>
            <w:noWrap/>
            <w:vAlign w:val="center"/>
          </w:tcPr>
          <w:p w14:paraId="2340B0B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阻值符合规范；</w:t>
            </w:r>
          </w:p>
          <w:p w14:paraId="315B18F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线头紧固；</w:t>
            </w:r>
          </w:p>
          <w:p w14:paraId="66D93F3B">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操作机构灵活。</w:t>
            </w:r>
          </w:p>
        </w:tc>
      </w:tr>
      <w:tr w14:paraId="081E22ED">
        <w:tblPrEx>
          <w:tblCellMar>
            <w:top w:w="0" w:type="dxa"/>
            <w:left w:w="108" w:type="dxa"/>
            <w:bottom w:w="0" w:type="dxa"/>
            <w:right w:w="108" w:type="dxa"/>
          </w:tblCellMar>
        </w:tblPrEx>
        <w:trPr>
          <w:trHeight w:val="2951" w:hRule="atLeast"/>
          <w:jc w:val="center"/>
        </w:trPr>
        <w:tc>
          <w:tcPr>
            <w:tcW w:w="945" w:type="dxa"/>
            <w:vMerge w:val="restart"/>
            <w:tcBorders>
              <w:top w:val="single" w:color="000000" w:sz="6" w:space="0"/>
              <w:left w:val="single" w:color="000000" w:sz="6" w:space="0"/>
              <w:bottom w:val="single" w:color="000000" w:sz="6" w:space="0"/>
              <w:right w:val="single" w:color="000000" w:sz="6" w:space="0"/>
            </w:tcBorders>
            <w:noWrap/>
            <w:vAlign w:val="center"/>
          </w:tcPr>
          <w:p w14:paraId="15DDA5D8">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配电电容器屏</w:t>
            </w:r>
          </w:p>
        </w:tc>
        <w:tc>
          <w:tcPr>
            <w:tcW w:w="1000" w:type="dxa"/>
            <w:tcBorders>
              <w:top w:val="single" w:color="000000" w:sz="6" w:space="0"/>
              <w:left w:val="single" w:color="000000" w:sz="6" w:space="0"/>
              <w:bottom w:val="single" w:color="000000" w:sz="6" w:space="0"/>
              <w:right w:val="single" w:color="000000" w:sz="6" w:space="0"/>
            </w:tcBorders>
            <w:noWrap/>
            <w:vAlign w:val="center"/>
          </w:tcPr>
          <w:p w14:paraId="0B2B8E37">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每月一次</w:t>
            </w:r>
          </w:p>
        </w:tc>
        <w:tc>
          <w:tcPr>
            <w:tcW w:w="4313" w:type="dxa"/>
            <w:tcBorders>
              <w:top w:val="single" w:color="000000" w:sz="6" w:space="0"/>
              <w:left w:val="single" w:color="000000" w:sz="6" w:space="0"/>
              <w:bottom w:val="single" w:color="000000" w:sz="6" w:space="0"/>
              <w:right w:val="single" w:color="000000" w:sz="6" w:space="0"/>
            </w:tcBorders>
            <w:noWrap/>
            <w:vAlign w:val="top"/>
          </w:tcPr>
          <w:p w14:paraId="69228F82">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1.清洁卫生。</w:t>
            </w:r>
          </w:p>
          <w:p w14:paraId="624C1DC0">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2.检查外观是否完好，指示灯是否显示正常，电压、电流是否正常，三相负荷是否平衡，有无异声、异味。检查开关是否在正确位置，标示是否清楚。</w:t>
            </w:r>
          </w:p>
          <w:p w14:paraId="64CEF6BC">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3.检查无功补偿设备工作是否正常，功率因数是否达到要求。</w:t>
            </w:r>
          </w:p>
          <w:p w14:paraId="657194B8">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4.检查电容器、熔断器是否过热，熔断。</w:t>
            </w:r>
          </w:p>
          <w:p w14:paraId="257323E3">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5.检查开关触头接触是否良好，有无短路、过载现象。</w:t>
            </w:r>
          </w:p>
          <w:p w14:paraId="05486E0E">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6.检查电力监控系统监控模块工作是否正常。</w:t>
            </w:r>
          </w:p>
        </w:tc>
        <w:tc>
          <w:tcPr>
            <w:tcW w:w="3363" w:type="dxa"/>
            <w:tcBorders>
              <w:top w:val="single" w:color="000000" w:sz="6" w:space="0"/>
              <w:left w:val="single" w:color="000000" w:sz="6" w:space="0"/>
              <w:bottom w:val="single" w:color="000000" w:sz="6" w:space="0"/>
              <w:right w:val="single" w:color="000000" w:sz="6" w:space="0"/>
            </w:tcBorders>
            <w:noWrap/>
            <w:vAlign w:val="center"/>
          </w:tcPr>
          <w:p w14:paraId="127A638F">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设备卫生；</w:t>
            </w:r>
          </w:p>
          <w:p w14:paraId="000913EB">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标示清楚；</w:t>
            </w:r>
          </w:p>
          <w:p w14:paraId="0E1731AF">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设备运行正常。</w:t>
            </w:r>
          </w:p>
        </w:tc>
      </w:tr>
      <w:tr w14:paraId="52067A5A">
        <w:tblPrEx>
          <w:tblCellMar>
            <w:top w:w="0" w:type="dxa"/>
            <w:left w:w="108" w:type="dxa"/>
            <w:bottom w:w="0" w:type="dxa"/>
            <w:right w:w="108" w:type="dxa"/>
          </w:tblCellMar>
        </w:tblPrEx>
        <w:trPr>
          <w:trHeight w:val="1115" w:hRule="atLeast"/>
          <w:jc w:val="center"/>
        </w:trPr>
        <w:tc>
          <w:tcPr>
            <w:tcW w:w="945" w:type="dxa"/>
            <w:vMerge w:val="continue"/>
            <w:tcBorders>
              <w:top w:val="single" w:color="000000" w:sz="6" w:space="0"/>
              <w:left w:val="single" w:color="000000" w:sz="6" w:space="0"/>
              <w:bottom w:val="single" w:color="000000" w:sz="6" w:space="0"/>
              <w:right w:val="single" w:color="000000" w:sz="6" w:space="0"/>
            </w:tcBorders>
            <w:noWrap/>
            <w:vAlign w:val="center"/>
          </w:tcPr>
          <w:p w14:paraId="7DB8A6EA">
            <w:pPr>
              <w:spacing w:line="240" w:lineRule="auto"/>
              <w:ind w:firstLine="0" w:firstLineChars="0"/>
              <w:jc w:val="both"/>
              <w:rPr>
                <w:rFonts w:hint="eastAsia" w:ascii="宋体" w:hAnsi="宋体" w:eastAsia="宋体" w:cs="宋体"/>
                <w:color w:val="auto"/>
                <w:kern w:val="2"/>
                <w:sz w:val="21"/>
                <w:szCs w:val="21"/>
              </w:rPr>
            </w:pPr>
          </w:p>
        </w:tc>
        <w:tc>
          <w:tcPr>
            <w:tcW w:w="1000" w:type="dxa"/>
            <w:tcBorders>
              <w:top w:val="single" w:color="000000" w:sz="6" w:space="0"/>
              <w:left w:val="single" w:color="000000" w:sz="6" w:space="0"/>
              <w:bottom w:val="single" w:color="000000" w:sz="6" w:space="0"/>
              <w:right w:val="single" w:color="000000" w:sz="6" w:space="0"/>
            </w:tcBorders>
            <w:noWrap/>
            <w:vAlign w:val="center"/>
          </w:tcPr>
          <w:p w14:paraId="20E9AD5A">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半年一次</w:t>
            </w:r>
          </w:p>
        </w:tc>
        <w:tc>
          <w:tcPr>
            <w:tcW w:w="4313" w:type="dxa"/>
            <w:tcBorders>
              <w:top w:val="single" w:color="000000" w:sz="6" w:space="0"/>
              <w:left w:val="single" w:color="000000" w:sz="6" w:space="0"/>
              <w:bottom w:val="single" w:color="000000" w:sz="6" w:space="0"/>
              <w:right w:val="single" w:color="000000" w:sz="6" w:space="0"/>
            </w:tcBorders>
            <w:noWrap/>
            <w:vAlign w:val="top"/>
          </w:tcPr>
          <w:p w14:paraId="511A429B">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1.清洁卫生。</w:t>
            </w:r>
          </w:p>
          <w:p w14:paraId="6709790D">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2.紧固螺丝，调整接触点隙，更换打磨烧坏的动静触头。</w:t>
            </w:r>
          </w:p>
          <w:p w14:paraId="1A99CA6E">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3.若有过载现象，应更换容量大的配电设备。</w:t>
            </w:r>
          </w:p>
        </w:tc>
        <w:tc>
          <w:tcPr>
            <w:tcW w:w="3363" w:type="dxa"/>
            <w:tcBorders>
              <w:top w:val="single" w:color="000000" w:sz="6" w:space="0"/>
              <w:left w:val="single" w:color="000000" w:sz="6" w:space="0"/>
              <w:bottom w:val="single" w:color="000000" w:sz="6" w:space="0"/>
              <w:right w:val="single" w:color="000000" w:sz="6" w:space="0"/>
            </w:tcBorders>
            <w:noWrap/>
            <w:vAlign w:val="center"/>
          </w:tcPr>
          <w:p w14:paraId="4E315A71">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设备卫生；</w:t>
            </w:r>
          </w:p>
          <w:p w14:paraId="7DAF0310">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开关状态良好。</w:t>
            </w:r>
          </w:p>
        </w:tc>
      </w:tr>
      <w:tr w14:paraId="44687332">
        <w:tblPrEx>
          <w:tblCellMar>
            <w:top w:w="0" w:type="dxa"/>
            <w:left w:w="108" w:type="dxa"/>
            <w:bottom w:w="0" w:type="dxa"/>
            <w:right w:w="108" w:type="dxa"/>
          </w:tblCellMar>
        </w:tblPrEx>
        <w:trPr>
          <w:trHeight w:val="1025" w:hRule="atLeast"/>
          <w:jc w:val="center"/>
        </w:trPr>
        <w:tc>
          <w:tcPr>
            <w:tcW w:w="945" w:type="dxa"/>
            <w:vMerge w:val="continue"/>
            <w:tcBorders>
              <w:top w:val="single" w:color="000000" w:sz="6" w:space="0"/>
              <w:left w:val="single" w:color="000000" w:sz="6" w:space="0"/>
              <w:bottom w:val="single" w:color="000000" w:sz="6" w:space="0"/>
              <w:right w:val="single" w:color="000000" w:sz="6" w:space="0"/>
            </w:tcBorders>
            <w:noWrap/>
            <w:vAlign w:val="center"/>
          </w:tcPr>
          <w:p w14:paraId="227E72B0">
            <w:pPr>
              <w:spacing w:line="240" w:lineRule="auto"/>
              <w:ind w:firstLine="0" w:firstLineChars="0"/>
              <w:jc w:val="both"/>
              <w:rPr>
                <w:rFonts w:hint="eastAsia" w:ascii="宋体" w:hAnsi="宋体" w:eastAsia="宋体" w:cs="宋体"/>
                <w:color w:val="auto"/>
                <w:kern w:val="2"/>
                <w:sz w:val="21"/>
                <w:szCs w:val="21"/>
              </w:rPr>
            </w:pPr>
          </w:p>
        </w:tc>
        <w:tc>
          <w:tcPr>
            <w:tcW w:w="1000" w:type="dxa"/>
            <w:tcBorders>
              <w:top w:val="single" w:color="000000" w:sz="6" w:space="0"/>
              <w:left w:val="single" w:color="000000" w:sz="6" w:space="0"/>
              <w:bottom w:val="single" w:color="000000" w:sz="6" w:space="0"/>
              <w:right w:val="single" w:color="000000" w:sz="6" w:space="0"/>
            </w:tcBorders>
            <w:noWrap/>
            <w:vAlign w:val="center"/>
          </w:tcPr>
          <w:p w14:paraId="2EC903A7">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每年一次</w:t>
            </w:r>
          </w:p>
        </w:tc>
        <w:tc>
          <w:tcPr>
            <w:tcW w:w="4313" w:type="dxa"/>
            <w:tcBorders>
              <w:top w:val="single" w:color="000000" w:sz="6" w:space="0"/>
              <w:left w:val="single" w:color="000000" w:sz="6" w:space="0"/>
              <w:bottom w:val="single" w:color="000000" w:sz="6" w:space="0"/>
              <w:right w:val="single" w:color="000000" w:sz="6" w:space="0"/>
            </w:tcBorders>
            <w:noWrap/>
            <w:vAlign w:val="center"/>
          </w:tcPr>
          <w:p w14:paraId="3BBF3EA7">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1.检测接地电阻。</w:t>
            </w:r>
          </w:p>
          <w:p w14:paraId="0E460A74">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2.测试过流保护装置、联锁装置是否可靠。</w:t>
            </w:r>
          </w:p>
        </w:tc>
        <w:tc>
          <w:tcPr>
            <w:tcW w:w="3363" w:type="dxa"/>
            <w:tcBorders>
              <w:top w:val="single" w:color="000000" w:sz="6" w:space="0"/>
              <w:left w:val="single" w:color="000000" w:sz="6" w:space="0"/>
              <w:bottom w:val="single" w:color="000000" w:sz="6" w:space="0"/>
              <w:right w:val="single" w:color="000000" w:sz="6" w:space="0"/>
            </w:tcBorders>
            <w:noWrap/>
            <w:vAlign w:val="center"/>
          </w:tcPr>
          <w:p w14:paraId="6F389A83">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屏内清洁无杂物，连接件无松动，无发热变色，仪表等附件完好无损；</w:t>
            </w:r>
          </w:p>
          <w:p w14:paraId="59A6E525">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动力配电系统运行安全可靠。</w:t>
            </w:r>
          </w:p>
        </w:tc>
      </w:tr>
      <w:tr w14:paraId="1471254D">
        <w:tblPrEx>
          <w:tblCellMar>
            <w:top w:w="0" w:type="dxa"/>
            <w:left w:w="108" w:type="dxa"/>
            <w:bottom w:w="0" w:type="dxa"/>
            <w:right w:w="108" w:type="dxa"/>
          </w:tblCellMar>
        </w:tblPrEx>
        <w:trPr>
          <w:trHeight w:val="2215" w:hRule="atLeast"/>
          <w:jc w:val="center"/>
        </w:trPr>
        <w:tc>
          <w:tcPr>
            <w:tcW w:w="945" w:type="dxa"/>
            <w:tcBorders>
              <w:top w:val="single" w:color="000000" w:sz="6" w:space="0"/>
              <w:left w:val="single" w:color="000000" w:sz="6" w:space="0"/>
              <w:bottom w:val="single" w:color="000000" w:sz="6" w:space="0"/>
              <w:right w:val="single" w:color="000000" w:sz="6" w:space="0"/>
            </w:tcBorders>
            <w:noWrap/>
            <w:vAlign w:val="center"/>
          </w:tcPr>
          <w:p w14:paraId="2989BC42">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照明器具</w:t>
            </w:r>
          </w:p>
        </w:tc>
        <w:tc>
          <w:tcPr>
            <w:tcW w:w="1000" w:type="dxa"/>
            <w:tcBorders>
              <w:top w:val="single" w:color="000000" w:sz="6" w:space="0"/>
              <w:left w:val="single" w:color="000000" w:sz="6" w:space="0"/>
              <w:bottom w:val="single" w:color="000000" w:sz="6" w:space="0"/>
              <w:right w:val="single" w:color="000000" w:sz="6" w:space="0"/>
            </w:tcBorders>
            <w:noWrap/>
            <w:vAlign w:val="center"/>
          </w:tcPr>
          <w:p w14:paraId="04002066">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每月一次</w:t>
            </w:r>
          </w:p>
        </w:tc>
        <w:tc>
          <w:tcPr>
            <w:tcW w:w="4313" w:type="dxa"/>
            <w:tcBorders>
              <w:top w:val="single" w:color="000000" w:sz="6" w:space="0"/>
              <w:left w:val="single" w:color="000000" w:sz="6" w:space="0"/>
              <w:bottom w:val="single" w:color="000000" w:sz="6" w:space="0"/>
              <w:right w:val="single" w:color="000000" w:sz="6" w:space="0"/>
            </w:tcBorders>
            <w:noWrap/>
            <w:vAlign w:val="top"/>
          </w:tcPr>
          <w:p w14:paraId="3000EB04">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1.照明器具的清洁卫生。</w:t>
            </w:r>
          </w:p>
          <w:p w14:paraId="1140E8BA">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2.检查外观是否良好，有无异声。</w:t>
            </w:r>
          </w:p>
          <w:p w14:paraId="7A7714AA">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3.检查灯具照度的均匀度；如有异常，马上处理。</w:t>
            </w:r>
          </w:p>
          <w:p w14:paraId="6A7C6FD2">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4.调整照明器具亮度，节约能源。</w:t>
            </w:r>
          </w:p>
          <w:p w14:paraId="39886781">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5.更换过热、故障配件、避免短路现象。</w:t>
            </w:r>
          </w:p>
          <w:p w14:paraId="07FC852C">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6.根据季节和要求合理调整灯光工程的开机时间。</w:t>
            </w:r>
          </w:p>
        </w:tc>
        <w:tc>
          <w:tcPr>
            <w:tcW w:w="3363" w:type="dxa"/>
            <w:tcBorders>
              <w:top w:val="single" w:color="000000" w:sz="6" w:space="0"/>
              <w:left w:val="single" w:color="000000" w:sz="6" w:space="0"/>
              <w:bottom w:val="single" w:color="000000" w:sz="6" w:space="0"/>
              <w:right w:val="single" w:color="000000" w:sz="6" w:space="0"/>
            </w:tcBorders>
            <w:noWrap/>
            <w:vAlign w:val="center"/>
          </w:tcPr>
          <w:p w14:paraId="6812417F">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灯具卫生；</w:t>
            </w:r>
          </w:p>
          <w:p w14:paraId="1BF1CF2F">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工作正常。</w:t>
            </w:r>
          </w:p>
        </w:tc>
      </w:tr>
      <w:tr w14:paraId="1A2C8E4E">
        <w:tblPrEx>
          <w:tblCellMar>
            <w:top w:w="0" w:type="dxa"/>
            <w:left w:w="108" w:type="dxa"/>
            <w:bottom w:w="0" w:type="dxa"/>
            <w:right w:w="108" w:type="dxa"/>
          </w:tblCellMar>
        </w:tblPrEx>
        <w:trPr>
          <w:trHeight w:val="1557" w:hRule="atLeast"/>
          <w:jc w:val="center"/>
        </w:trPr>
        <w:tc>
          <w:tcPr>
            <w:tcW w:w="945" w:type="dxa"/>
            <w:vMerge w:val="restart"/>
            <w:tcBorders>
              <w:top w:val="single" w:color="000000" w:sz="6" w:space="0"/>
              <w:left w:val="single" w:color="000000" w:sz="6" w:space="0"/>
              <w:bottom w:val="single" w:color="000000" w:sz="6" w:space="0"/>
              <w:right w:val="single" w:color="000000" w:sz="6" w:space="0"/>
            </w:tcBorders>
            <w:noWrap/>
            <w:vAlign w:val="center"/>
          </w:tcPr>
          <w:p w14:paraId="1AE4F696">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供电线路</w:t>
            </w:r>
          </w:p>
        </w:tc>
        <w:tc>
          <w:tcPr>
            <w:tcW w:w="1000" w:type="dxa"/>
            <w:tcBorders>
              <w:top w:val="single" w:color="000000" w:sz="6" w:space="0"/>
              <w:left w:val="single" w:color="000000" w:sz="6" w:space="0"/>
              <w:bottom w:val="single" w:color="000000" w:sz="6" w:space="0"/>
              <w:right w:val="single" w:color="000000" w:sz="6" w:space="0"/>
            </w:tcBorders>
            <w:noWrap/>
            <w:vAlign w:val="center"/>
          </w:tcPr>
          <w:p w14:paraId="3E35DDAD">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每月一次</w:t>
            </w:r>
          </w:p>
        </w:tc>
        <w:tc>
          <w:tcPr>
            <w:tcW w:w="4313" w:type="dxa"/>
            <w:tcBorders>
              <w:top w:val="single" w:color="000000" w:sz="6" w:space="0"/>
              <w:left w:val="single" w:color="000000" w:sz="6" w:space="0"/>
              <w:bottom w:val="single" w:color="000000" w:sz="6" w:space="0"/>
              <w:right w:val="single" w:color="000000" w:sz="6" w:space="0"/>
            </w:tcBorders>
            <w:noWrap/>
            <w:vAlign w:val="top"/>
          </w:tcPr>
          <w:p w14:paraId="2DCEBC27">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1.清洁卫生。</w:t>
            </w:r>
          </w:p>
          <w:p w14:paraId="4EDFA1C8">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2.清楚环境无积水、杂物。</w:t>
            </w:r>
          </w:p>
          <w:p w14:paraId="728E881F">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3.供电电缆标示是否清晰、脱落，如有马上处理。</w:t>
            </w:r>
          </w:p>
          <w:p w14:paraId="67B107E6">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4.检查线路有无过热现象、进出线路接线装置是否完好。</w:t>
            </w:r>
          </w:p>
        </w:tc>
        <w:tc>
          <w:tcPr>
            <w:tcW w:w="3363" w:type="dxa"/>
            <w:tcBorders>
              <w:top w:val="single" w:color="000000" w:sz="6" w:space="0"/>
              <w:left w:val="single" w:color="000000" w:sz="6" w:space="0"/>
              <w:bottom w:val="single" w:color="000000" w:sz="6" w:space="0"/>
              <w:right w:val="single" w:color="000000" w:sz="6" w:space="0"/>
            </w:tcBorders>
            <w:noWrap/>
            <w:vAlign w:val="center"/>
          </w:tcPr>
          <w:p w14:paraId="2C79EC0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线路无过热现象，接线装置紧固，标示清晰。</w:t>
            </w:r>
          </w:p>
        </w:tc>
      </w:tr>
      <w:tr w14:paraId="6BBFE40D">
        <w:tblPrEx>
          <w:tblCellMar>
            <w:top w:w="0" w:type="dxa"/>
            <w:left w:w="108" w:type="dxa"/>
            <w:bottom w:w="0" w:type="dxa"/>
            <w:right w:w="108" w:type="dxa"/>
          </w:tblCellMar>
        </w:tblPrEx>
        <w:trPr>
          <w:trHeight w:val="564" w:hRule="atLeast"/>
          <w:jc w:val="center"/>
        </w:trPr>
        <w:tc>
          <w:tcPr>
            <w:tcW w:w="945" w:type="dxa"/>
            <w:vMerge w:val="continue"/>
            <w:tcBorders>
              <w:top w:val="single" w:color="000000" w:sz="6" w:space="0"/>
              <w:left w:val="single" w:color="000000" w:sz="6" w:space="0"/>
              <w:bottom w:val="single" w:color="000000" w:sz="6" w:space="0"/>
              <w:right w:val="single" w:color="000000" w:sz="6" w:space="0"/>
            </w:tcBorders>
            <w:noWrap/>
            <w:vAlign w:val="center"/>
          </w:tcPr>
          <w:p w14:paraId="1CBF79BF">
            <w:pPr>
              <w:spacing w:line="240" w:lineRule="auto"/>
              <w:ind w:firstLine="0" w:firstLineChars="0"/>
              <w:jc w:val="both"/>
              <w:rPr>
                <w:rFonts w:hint="eastAsia" w:ascii="宋体" w:hAnsi="宋体" w:eastAsia="宋体" w:cs="宋体"/>
                <w:color w:val="auto"/>
                <w:kern w:val="2"/>
                <w:sz w:val="21"/>
                <w:szCs w:val="21"/>
              </w:rPr>
            </w:pPr>
          </w:p>
        </w:tc>
        <w:tc>
          <w:tcPr>
            <w:tcW w:w="1000" w:type="dxa"/>
            <w:tcBorders>
              <w:top w:val="single" w:color="000000" w:sz="6" w:space="0"/>
              <w:left w:val="single" w:color="000000" w:sz="6" w:space="0"/>
              <w:bottom w:val="single" w:color="000000" w:sz="6" w:space="0"/>
              <w:right w:val="single" w:color="000000" w:sz="6" w:space="0"/>
            </w:tcBorders>
            <w:noWrap/>
            <w:vAlign w:val="center"/>
          </w:tcPr>
          <w:p w14:paraId="26F639A6">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每年一次</w:t>
            </w:r>
          </w:p>
        </w:tc>
        <w:tc>
          <w:tcPr>
            <w:tcW w:w="4313" w:type="dxa"/>
            <w:tcBorders>
              <w:top w:val="single" w:color="000000" w:sz="6" w:space="0"/>
              <w:left w:val="single" w:color="000000" w:sz="6" w:space="0"/>
              <w:bottom w:val="single" w:color="000000" w:sz="6" w:space="0"/>
              <w:right w:val="single" w:color="000000" w:sz="6" w:space="0"/>
            </w:tcBorders>
            <w:noWrap/>
            <w:vAlign w:val="top"/>
          </w:tcPr>
          <w:p w14:paraId="72F3B804">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1.用仪表检测线路绝缘电阻。</w:t>
            </w:r>
          </w:p>
          <w:p w14:paraId="3C9D189B">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2.对金属支架、电缆套管涂防锈漆或沥青。</w:t>
            </w:r>
          </w:p>
        </w:tc>
        <w:tc>
          <w:tcPr>
            <w:tcW w:w="3363" w:type="dxa"/>
            <w:tcBorders>
              <w:top w:val="single" w:color="000000" w:sz="6" w:space="0"/>
              <w:left w:val="single" w:color="000000" w:sz="6" w:space="0"/>
              <w:bottom w:val="single" w:color="000000" w:sz="6" w:space="0"/>
              <w:right w:val="single" w:color="000000" w:sz="6" w:space="0"/>
            </w:tcBorders>
            <w:noWrap/>
            <w:vAlign w:val="center"/>
          </w:tcPr>
          <w:p w14:paraId="1CE94677">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阻值符合规范，无锈蚀。</w:t>
            </w:r>
          </w:p>
        </w:tc>
      </w:tr>
      <w:tr w14:paraId="7181B275">
        <w:tblPrEx>
          <w:tblCellMar>
            <w:top w:w="0" w:type="dxa"/>
            <w:left w:w="108" w:type="dxa"/>
            <w:bottom w:w="0" w:type="dxa"/>
            <w:right w:w="108" w:type="dxa"/>
          </w:tblCellMar>
        </w:tblPrEx>
        <w:trPr>
          <w:trHeight w:val="2491" w:hRule="atLeast"/>
          <w:jc w:val="center"/>
        </w:trPr>
        <w:tc>
          <w:tcPr>
            <w:tcW w:w="945" w:type="dxa"/>
            <w:vMerge w:val="restart"/>
            <w:tcBorders>
              <w:top w:val="single" w:color="000000" w:sz="6" w:space="0"/>
              <w:left w:val="single" w:color="000000" w:sz="6" w:space="0"/>
              <w:bottom w:val="single" w:color="000000" w:sz="6" w:space="0"/>
              <w:right w:val="single" w:color="000000" w:sz="6" w:space="0"/>
            </w:tcBorders>
            <w:noWrap/>
            <w:vAlign w:val="center"/>
          </w:tcPr>
          <w:p w14:paraId="41A64ED4">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柴油发电机</w:t>
            </w:r>
          </w:p>
        </w:tc>
        <w:tc>
          <w:tcPr>
            <w:tcW w:w="1000" w:type="dxa"/>
            <w:tcBorders>
              <w:top w:val="single" w:color="000000" w:sz="6" w:space="0"/>
              <w:left w:val="single" w:color="000000" w:sz="6" w:space="0"/>
              <w:bottom w:val="single" w:color="000000" w:sz="6" w:space="0"/>
              <w:right w:val="single" w:color="000000" w:sz="6" w:space="0"/>
            </w:tcBorders>
            <w:noWrap/>
            <w:vAlign w:val="center"/>
          </w:tcPr>
          <w:p w14:paraId="0B2A5C12">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每月一次</w:t>
            </w:r>
          </w:p>
        </w:tc>
        <w:tc>
          <w:tcPr>
            <w:tcW w:w="4313" w:type="dxa"/>
            <w:tcBorders>
              <w:top w:val="single" w:color="000000" w:sz="6" w:space="0"/>
              <w:left w:val="single" w:color="000000" w:sz="6" w:space="0"/>
              <w:bottom w:val="single" w:color="000000" w:sz="6" w:space="0"/>
              <w:right w:val="single" w:color="000000" w:sz="6" w:space="0"/>
            </w:tcBorders>
            <w:noWrap/>
            <w:vAlign w:val="top"/>
          </w:tcPr>
          <w:p w14:paraId="31505C12">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1.保持机房、设备清洁；检查润滑油位、冷却水位、燃油量、蓄电池电位和传动皮带，排烟、空气系统、控制系统是否正常。</w:t>
            </w:r>
          </w:p>
          <w:p w14:paraId="678214CA">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2.外观检查发动机有无损坏、渗漏、皮带是否松弛或磨损。</w:t>
            </w:r>
          </w:p>
          <w:p w14:paraId="73F9AB49">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3.每月四次试运行，15-20分钟/次，观察油压、水温、电压等是否正常。</w:t>
            </w:r>
          </w:p>
          <w:p w14:paraId="05D7D09E">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4.蓄电池电池液高于极板15-20MM，节点螺丝紧固。</w:t>
            </w:r>
          </w:p>
        </w:tc>
        <w:tc>
          <w:tcPr>
            <w:tcW w:w="3363" w:type="dxa"/>
            <w:tcBorders>
              <w:top w:val="single" w:color="000000" w:sz="6" w:space="0"/>
              <w:left w:val="single" w:color="000000" w:sz="6" w:space="0"/>
              <w:bottom w:val="single" w:color="000000" w:sz="6" w:space="0"/>
              <w:right w:val="single" w:color="000000" w:sz="6" w:space="0"/>
            </w:tcBorders>
            <w:noWrap/>
            <w:vAlign w:val="center"/>
          </w:tcPr>
          <w:p w14:paraId="365F62A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设备清洁、正常有效。</w:t>
            </w:r>
          </w:p>
        </w:tc>
      </w:tr>
      <w:tr w14:paraId="6BBAC9A0">
        <w:tblPrEx>
          <w:tblCellMar>
            <w:top w:w="0" w:type="dxa"/>
            <w:left w:w="108" w:type="dxa"/>
            <w:bottom w:w="0" w:type="dxa"/>
            <w:right w:w="108" w:type="dxa"/>
          </w:tblCellMar>
        </w:tblPrEx>
        <w:trPr>
          <w:trHeight w:val="1115" w:hRule="atLeast"/>
          <w:jc w:val="center"/>
        </w:trPr>
        <w:tc>
          <w:tcPr>
            <w:tcW w:w="945" w:type="dxa"/>
            <w:vMerge w:val="continue"/>
            <w:tcBorders>
              <w:top w:val="single" w:color="000000" w:sz="6" w:space="0"/>
              <w:left w:val="single" w:color="000000" w:sz="6" w:space="0"/>
              <w:bottom w:val="single" w:color="000000" w:sz="6" w:space="0"/>
              <w:right w:val="single" w:color="000000" w:sz="6" w:space="0"/>
            </w:tcBorders>
            <w:noWrap/>
            <w:vAlign w:val="center"/>
          </w:tcPr>
          <w:p w14:paraId="5966F55B">
            <w:pPr>
              <w:spacing w:line="240" w:lineRule="auto"/>
              <w:ind w:firstLine="0" w:firstLineChars="0"/>
              <w:jc w:val="both"/>
              <w:rPr>
                <w:rFonts w:hint="eastAsia" w:ascii="宋体" w:hAnsi="宋体" w:eastAsia="宋体" w:cs="宋体"/>
                <w:color w:val="auto"/>
                <w:kern w:val="2"/>
                <w:sz w:val="21"/>
                <w:szCs w:val="21"/>
              </w:rPr>
            </w:pPr>
          </w:p>
        </w:tc>
        <w:tc>
          <w:tcPr>
            <w:tcW w:w="1000" w:type="dxa"/>
            <w:tcBorders>
              <w:top w:val="single" w:color="000000" w:sz="6" w:space="0"/>
              <w:left w:val="single" w:color="000000" w:sz="6" w:space="0"/>
              <w:bottom w:val="single" w:color="000000" w:sz="6" w:space="0"/>
              <w:right w:val="single" w:color="000000" w:sz="6" w:space="0"/>
            </w:tcBorders>
            <w:noWrap/>
            <w:vAlign w:val="center"/>
          </w:tcPr>
          <w:p w14:paraId="6597D807">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半年一次</w:t>
            </w:r>
          </w:p>
        </w:tc>
        <w:tc>
          <w:tcPr>
            <w:tcW w:w="4313" w:type="dxa"/>
            <w:tcBorders>
              <w:top w:val="single" w:color="000000" w:sz="6" w:space="0"/>
              <w:left w:val="single" w:color="000000" w:sz="6" w:space="0"/>
              <w:bottom w:val="single" w:color="000000" w:sz="6" w:space="0"/>
              <w:right w:val="single" w:color="000000" w:sz="6" w:space="0"/>
            </w:tcBorders>
            <w:noWrap/>
            <w:vAlign w:val="top"/>
          </w:tcPr>
          <w:p w14:paraId="36B25B6A">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1.检查发动机绕组对地绝缘电阻。</w:t>
            </w:r>
          </w:p>
          <w:p w14:paraId="73546F29">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2.检查配电柜、控制屏接头是否拧紧，各类传感信号正常。</w:t>
            </w:r>
          </w:p>
          <w:p w14:paraId="09A625AF">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3.设备整体除尘清洁。</w:t>
            </w:r>
          </w:p>
        </w:tc>
        <w:tc>
          <w:tcPr>
            <w:tcW w:w="3363" w:type="dxa"/>
            <w:tcBorders>
              <w:top w:val="single" w:color="000000" w:sz="6" w:space="0"/>
              <w:left w:val="single" w:color="000000" w:sz="6" w:space="0"/>
              <w:bottom w:val="single" w:color="000000" w:sz="6" w:space="0"/>
              <w:right w:val="single" w:color="000000" w:sz="6" w:space="0"/>
            </w:tcBorders>
            <w:noWrap/>
            <w:vAlign w:val="center"/>
          </w:tcPr>
          <w:p w14:paraId="3715A2EB">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阻值合格、接头无松动、信号正确。</w:t>
            </w:r>
          </w:p>
        </w:tc>
      </w:tr>
      <w:tr w14:paraId="5A5374C2">
        <w:tblPrEx>
          <w:tblCellMar>
            <w:top w:w="0" w:type="dxa"/>
            <w:left w:w="108" w:type="dxa"/>
            <w:bottom w:w="0" w:type="dxa"/>
            <w:right w:w="108" w:type="dxa"/>
          </w:tblCellMar>
        </w:tblPrEx>
        <w:trPr>
          <w:trHeight w:val="1115" w:hRule="atLeast"/>
          <w:jc w:val="center"/>
        </w:trPr>
        <w:tc>
          <w:tcPr>
            <w:tcW w:w="945" w:type="dxa"/>
            <w:vMerge w:val="continue"/>
            <w:tcBorders>
              <w:top w:val="single" w:color="000000" w:sz="6" w:space="0"/>
              <w:left w:val="single" w:color="000000" w:sz="6" w:space="0"/>
              <w:bottom w:val="single" w:color="000000" w:sz="6" w:space="0"/>
              <w:right w:val="single" w:color="000000" w:sz="6" w:space="0"/>
            </w:tcBorders>
            <w:noWrap/>
            <w:vAlign w:val="center"/>
          </w:tcPr>
          <w:p w14:paraId="0F5D1723">
            <w:pPr>
              <w:spacing w:line="240" w:lineRule="auto"/>
              <w:ind w:firstLine="0" w:firstLineChars="0"/>
              <w:jc w:val="both"/>
              <w:rPr>
                <w:rFonts w:hint="eastAsia" w:ascii="宋体" w:hAnsi="宋体" w:eastAsia="宋体" w:cs="宋体"/>
                <w:color w:val="auto"/>
                <w:kern w:val="2"/>
                <w:sz w:val="21"/>
                <w:szCs w:val="21"/>
              </w:rPr>
            </w:pPr>
          </w:p>
        </w:tc>
        <w:tc>
          <w:tcPr>
            <w:tcW w:w="1000" w:type="dxa"/>
            <w:tcBorders>
              <w:top w:val="single" w:color="000000" w:sz="6" w:space="0"/>
              <w:left w:val="single" w:color="000000" w:sz="6" w:space="0"/>
              <w:bottom w:val="single" w:color="000000" w:sz="6" w:space="0"/>
              <w:right w:val="single" w:color="000000" w:sz="6" w:space="0"/>
            </w:tcBorders>
            <w:noWrap/>
            <w:vAlign w:val="center"/>
          </w:tcPr>
          <w:p w14:paraId="56104597">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每年一次</w:t>
            </w:r>
          </w:p>
        </w:tc>
        <w:tc>
          <w:tcPr>
            <w:tcW w:w="4313" w:type="dxa"/>
            <w:tcBorders>
              <w:top w:val="single" w:color="000000" w:sz="6" w:space="0"/>
              <w:left w:val="single" w:color="000000" w:sz="6" w:space="0"/>
              <w:bottom w:val="single" w:color="000000" w:sz="6" w:space="0"/>
              <w:right w:val="single" w:color="000000" w:sz="6" w:space="0"/>
            </w:tcBorders>
            <w:noWrap/>
            <w:vAlign w:val="top"/>
          </w:tcPr>
          <w:p w14:paraId="21D86F6B">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1.清洗调整气门及喷油嘴，调整皮带张紧轮、水泵后部张紧轮。</w:t>
            </w:r>
          </w:p>
          <w:p w14:paraId="4AAAF85F">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2.视运行时间而定更换机油、润滑油、机油滤清器、燃油过滤器和空气过滤器。</w:t>
            </w:r>
          </w:p>
        </w:tc>
        <w:tc>
          <w:tcPr>
            <w:tcW w:w="3363" w:type="dxa"/>
            <w:tcBorders>
              <w:top w:val="single" w:color="000000" w:sz="6" w:space="0"/>
              <w:left w:val="single" w:color="000000" w:sz="6" w:space="0"/>
              <w:bottom w:val="single" w:color="000000" w:sz="6" w:space="0"/>
              <w:right w:val="single" w:color="000000" w:sz="6" w:space="0"/>
            </w:tcBorders>
            <w:noWrap/>
            <w:vAlign w:val="center"/>
          </w:tcPr>
          <w:p w14:paraId="47DE4EBB">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皮带无破损和打滑现象，更换存在缺陷的配件。</w:t>
            </w:r>
          </w:p>
        </w:tc>
      </w:tr>
      <w:tr w14:paraId="09773978">
        <w:tblPrEx>
          <w:tblCellMar>
            <w:top w:w="0" w:type="dxa"/>
            <w:left w:w="108" w:type="dxa"/>
            <w:bottom w:w="0" w:type="dxa"/>
            <w:right w:w="108" w:type="dxa"/>
          </w:tblCellMar>
        </w:tblPrEx>
        <w:trPr>
          <w:trHeight w:val="1390" w:hRule="atLeast"/>
          <w:jc w:val="center"/>
        </w:trPr>
        <w:tc>
          <w:tcPr>
            <w:tcW w:w="945" w:type="dxa"/>
            <w:vMerge w:val="continue"/>
            <w:tcBorders>
              <w:top w:val="single" w:color="000000" w:sz="6" w:space="0"/>
              <w:left w:val="single" w:color="000000" w:sz="6" w:space="0"/>
              <w:bottom w:val="single" w:color="000000" w:sz="6" w:space="0"/>
              <w:right w:val="single" w:color="000000" w:sz="6" w:space="0"/>
            </w:tcBorders>
            <w:noWrap/>
            <w:vAlign w:val="center"/>
          </w:tcPr>
          <w:p w14:paraId="3E34D33F">
            <w:pPr>
              <w:spacing w:line="240" w:lineRule="auto"/>
              <w:ind w:firstLine="0" w:firstLineChars="0"/>
              <w:jc w:val="both"/>
              <w:rPr>
                <w:rFonts w:hint="eastAsia" w:ascii="宋体" w:hAnsi="宋体" w:eastAsia="宋体" w:cs="宋体"/>
                <w:color w:val="auto"/>
                <w:kern w:val="2"/>
                <w:sz w:val="21"/>
                <w:szCs w:val="21"/>
              </w:rPr>
            </w:pPr>
          </w:p>
        </w:tc>
        <w:tc>
          <w:tcPr>
            <w:tcW w:w="1000" w:type="dxa"/>
            <w:tcBorders>
              <w:top w:val="single" w:color="000000" w:sz="6" w:space="0"/>
              <w:left w:val="single" w:color="000000" w:sz="6" w:space="0"/>
              <w:bottom w:val="single" w:color="000000" w:sz="6" w:space="0"/>
              <w:right w:val="single" w:color="000000" w:sz="6" w:space="0"/>
            </w:tcBorders>
            <w:noWrap/>
            <w:vAlign w:val="center"/>
          </w:tcPr>
          <w:p w14:paraId="7887C756">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两年一次</w:t>
            </w:r>
          </w:p>
        </w:tc>
        <w:tc>
          <w:tcPr>
            <w:tcW w:w="4313" w:type="dxa"/>
            <w:tcBorders>
              <w:top w:val="single" w:color="000000" w:sz="6" w:space="0"/>
              <w:left w:val="single" w:color="000000" w:sz="6" w:space="0"/>
              <w:bottom w:val="single" w:color="000000" w:sz="6" w:space="0"/>
              <w:right w:val="single" w:color="000000" w:sz="6" w:space="0"/>
            </w:tcBorders>
            <w:noWrap/>
            <w:vAlign w:val="top"/>
          </w:tcPr>
          <w:p w14:paraId="2A390920">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1.清洗校准油嘴、燃油泵及控制器系统。</w:t>
            </w:r>
          </w:p>
          <w:p w14:paraId="57D76DF1">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2.检查风扇、水泵、皮带、轴承。</w:t>
            </w:r>
          </w:p>
          <w:p w14:paraId="2E6BB9E6">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3.检查机油泵、燃油泵、冷却水泵，并清洗水箱。</w:t>
            </w:r>
          </w:p>
          <w:p w14:paraId="206EE3DD">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4.更换各类易损件。</w:t>
            </w:r>
          </w:p>
        </w:tc>
        <w:tc>
          <w:tcPr>
            <w:tcW w:w="3363" w:type="dxa"/>
            <w:tcBorders>
              <w:top w:val="single" w:color="000000" w:sz="6" w:space="0"/>
              <w:left w:val="single" w:color="000000" w:sz="6" w:space="0"/>
              <w:bottom w:val="single" w:color="000000" w:sz="6" w:space="0"/>
              <w:right w:val="single" w:color="000000" w:sz="6" w:space="0"/>
            </w:tcBorders>
            <w:noWrap/>
            <w:vAlign w:val="center"/>
          </w:tcPr>
          <w:p w14:paraId="18386F7B">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保持设备运行正常。</w:t>
            </w:r>
          </w:p>
        </w:tc>
      </w:tr>
      <w:tr w14:paraId="27946988">
        <w:tblPrEx>
          <w:tblCellMar>
            <w:top w:w="0" w:type="dxa"/>
            <w:left w:w="108" w:type="dxa"/>
            <w:bottom w:w="0" w:type="dxa"/>
            <w:right w:w="108" w:type="dxa"/>
          </w:tblCellMar>
        </w:tblPrEx>
        <w:trPr>
          <w:trHeight w:val="1310" w:hRule="atLeast"/>
          <w:jc w:val="center"/>
        </w:trPr>
        <w:tc>
          <w:tcPr>
            <w:tcW w:w="945" w:type="dxa"/>
            <w:tcBorders>
              <w:top w:val="single" w:color="000000" w:sz="6" w:space="0"/>
              <w:left w:val="single" w:color="000000" w:sz="6" w:space="0"/>
              <w:bottom w:val="single" w:color="000000" w:sz="6" w:space="0"/>
              <w:right w:val="single" w:color="000000" w:sz="6" w:space="0"/>
            </w:tcBorders>
            <w:noWrap/>
            <w:vAlign w:val="center"/>
          </w:tcPr>
          <w:p w14:paraId="1E0FF16C">
            <w:pPr>
              <w:snapToGrid w:val="0"/>
              <w:spacing w:line="240" w:lineRule="auto"/>
              <w:ind w:firstLine="0" w:firstLineChars="0"/>
              <w:jc w:val="center"/>
              <w:rPr>
                <w:rFonts w:hint="eastAsia" w:ascii="宋体" w:hAnsi="宋体" w:eastAsia="宋体" w:cs="宋体"/>
                <w:bCs/>
                <w:color w:val="auto"/>
                <w:kern w:val="2"/>
                <w:sz w:val="21"/>
                <w:szCs w:val="21"/>
              </w:rPr>
            </w:pPr>
            <w:r>
              <w:rPr>
                <w:rFonts w:hint="eastAsia" w:ascii="宋体" w:hAnsi="宋体" w:eastAsia="宋体" w:cs="宋体"/>
                <w:color w:val="auto"/>
                <w:kern w:val="2"/>
                <w:sz w:val="21"/>
                <w:szCs w:val="21"/>
              </w:rPr>
              <w:t>应急</w:t>
            </w:r>
            <w:r>
              <w:rPr>
                <w:rFonts w:hint="eastAsia" w:ascii="宋体" w:hAnsi="宋体" w:eastAsia="宋体" w:cs="宋体"/>
                <w:bCs/>
                <w:color w:val="auto"/>
                <w:kern w:val="2"/>
                <w:sz w:val="21"/>
                <w:szCs w:val="21"/>
              </w:rPr>
              <w:t>照明电源装置</w:t>
            </w:r>
          </w:p>
        </w:tc>
        <w:tc>
          <w:tcPr>
            <w:tcW w:w="1000" w:type="dxa"/>
            <w:tcBorders>
              <w:top w:val="single" w:color="000000" w:sz="6" w:space="0"/>
              <w:left w:val="single" w:color="000000" w:sz="6" w:space="0"/>
              <w:bottom w:val="single" w:color="000000" w:sz="6" w:space="0"/>
              <w:right w:val="single" w:color="000000" w:sz="6" w:space="0"/>
            </w:tcBorders>
            <w:noWrap/>
            <w:vAlign w:val="center"/>
          </w:tcPr>
          <w:p w14:paraId="23908419">
            <w:pPr>
              <w:spacing w:line="240" w:lineRule="auto"/>
              <w:ind w:firstLine="0" w:firstLineChars="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每月一次</w:t>
            </w:r>
          </w:p>
        </w:tc>
        <w:tc>
          <w:tcPr>
            <w:tcW w:w="4313" w:type="dxa"/>
            <w:tcBorders>
              <w:top w:val="single" w:color="000000" w:sz="6" w:space="0"/>
              <w:left w:val="single" w:color="000000" w:sz="6" w:space="0"/>
              <w:bottom w:val="single" w:color="000000" w:sz="6" w:space="0"/>
              <w:right w:val="single" w:color="000000" w:sz="6" w:space="0"/>
            </w:tcBorders>
            <w:noWrap/>
            <w:vAlign w:val="center"/>
          </w:tcPr>
          <w:p w14:paraId="0D083496">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1.查看EPS指示灯状态，各项参数、故障信息。</w:t>
            </w:r>
          </w:p>
          <w:p w14:paraId="2DF23164">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2.EPS两路交流输入电源切换功能测试。</w:t>
            </w:r>
          </w:p>
          <w:p w14:paraId="60EE5F57">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3.EPS内部元器件检查。</w:t>
            </w:r>
          </w:p>
          <w:p w14:paraId="3D90068B">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4.逆变功能测试。</w:t>
            </w:r>
          </w:p>
        </w:tc>
        <w:tc>
          <w:tcPr>
            <w:tcW w:w="3363" w:type="dxa"/>
            <w:tcBorders>
              <w:top w:val="single" w:color="000000" w:sz="6" w:space="0"/>
              <w:left w:val="single" w:color="000000" w:sz="6" w:space="0"/>
              <w:bottom w:val="single" w:color="000000" w:sz="6" w:space="0"/>
              <w:right w:val="single" w:color="000000" w:sz="6" w:space="0"/>
            </w:tcBorders>
            <w:noWrap/>
            <w:vAlign w:val="center"/>
          </w:tcPr>
          <w:p w14:paraId="4FA8FDE7">
            <w:pPr>
              <w:spacing w:line="240" w:lineRule="auto"/>
              <w:ind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1.EPS指示灯状态正常点亮，工作正常，电池电压正常，无故障信息；</w:t>
            </w:r>
          </w:p>
          <w:p w14:paraId="3F3DFA71">
            <w:pPr>
              <w:spacing w:line="240" w:lineRule="auto"/>
              <w:ind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2.EPS双电源切换功能正常；</w:t>
            </w:r>
          </w:p>
          <w:p w14:paraId="4F16B415">
            <w:pPr>
              <w:spacing w:line="240" w:lineRule="auto"/>
              <w:ind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3.EPS内部元器件无异常；</w:t>
            </w:r>
          </w:p>
          <w:p w14:paraId="2F7EAEBA">
            <w:pPr>
              <w:spacing w:line="240" w:lineRule="auto"/>
              <w:ind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4.EPS逆变功能正常。</w:t>
            </w:r>
          </w:p>
        </w:tc>
      </w:tr>
      <w:tr w14:paraId="1C84B170">
        <w:tblPrEx>
          <w:tblCellMar>
            <w:top w:w="0" w:type="dxa"/>
            <w:left w:w="108" w:type="dxa"/>
            <w:bottom w:w="0" w:type="dxa"/>
            <w:right w:w="108" w:type="dxa"/>
          </w:tblCellMar>
        </w:tblPrEx>
        <w:trPr>
          <w:trHeight w:val="2321" w:hRule="atLeast"/>
          <w:jc w:val="center"/>
        </w:trPr>
        <w:tc>
          <w:tcPr>
            <w:tcW w:w="945" w:type="dxa"/>
            <w:tcBorders>
              <w:top w:val="single" w:color="000000" w:sz="6" w:space="0"/>
              <w:left w:val="single" w:color="000000" w:sz="6" w:space="0"/>
              <w:bottom w:val="single" w:color="000000" w:sz="6" w:space="0"/>
              <w:right w:val="single" w:color="000000" w:sz="6" w:space="0"/>
            </w:tcBorders>
            <w:noWrap/>
            <w:vAlign w:val="center"/>
          </w:tcPr>
          <w:p w14:paraId="6B696C3C">
            <w:pPr>
              <w:snapToGrid w:val="0"/>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kern w:val="2"/>
                <w:sz w:val="21"/>
                <w:szCs w:val="21"/>
              </w:rPr>
              <w:t>蓄电池</w:t>
            </w:r>
          </w:p>
        </w:tc>
        <w:tc>
          <w:tcPr>
            <w:tcW w:w="1000" w:type="dxa"/>
            <w:tcBorders>
              <w:top w:val="single" w:color="000000" w:sz="6" w:space="0"/>
              <w:left w:val="single" w:color="000000" w:sz="6" w:space="0"/>
              <w:bottom w:val="single" w:color="000000" w:sz="6" w:space="0"/>
              <w:right w:val="single" w:color="000000" w:sz="6" w:space="0"/>
            </w:tcBorders>
            <w:noWrap/>
            <w:vAlign w:val="center"/>
          </w:tcPr>
          <w:p w14:paraId="01CD5E32">
            <w:pPr>
              <w:spacing w:line="240" w:lineRule="auto"/>
              <w:ind w:firstLine="0" w:firstLineChars="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每年一次</w:t>
            </w:r>
          </w:p>
        </w:tc>
        <w:tc>
          <w:tcPr>
            <w:tcW w:w="4313" w:type="dxa"/>
            <w:tcBorders>
              <w:top w:val="single" w:color="000000" w:sz="6" w:space="0"/>
              <w:left w:val="single" w:color="000000" w:sz="6" w:space="0"/>
              <w:bottom w:val="single" w:color="000000" w:sz="6" w:space="0"/>
              <w:right w:val="single" w:color="000000" w:sz="6" w:space="0"/>
            </w:tcBorders>
            <w:noWrap/>
            <w:vAlign w:val="center"/>
          </w:tcPr>
          <w:p w14:paraId="559E3B58">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1.蓄电池组情况检查。</w:t>
            </w:r>
          </w:p>
          <w:p w14:paraId="6DD5FB65">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2.蓄电池电压检查。</w:t>
            </w:r>
          </w:p>
          <w:p w14:paraId="6584DBE5">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3.箱（柜）体内、外清洁（包括充馈电柜、电池柜和每个电池）。</w:t>
            </w:r>
          </w:p>
          <w:p w14:paraId="2E4AE5B5">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4.蓄电池连接件、各连接端子及主、控回路接线紧固。</w:t>
            </w:r>
          </w:p>
          <w:p w14:paraId="07E8116E">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5.蓄电池放电测试。</w:t>
            </w:r>
          </w:p>
        </w:tc>
        <w:tc>
          <w:tcPr>
            <w:tcW w:w="3363" w:type="dxa"/>
            <w:tcBorders>
              <w:top w:val="single" w:color="000000" w:sz="6" w:space="0"/>
              <w:left w:val="single" w:color="000000" w:sz="6" w:space="0"/>
              <w:bottom w:val="single" w:color="000000" w:sz="6" w:space="0"/>
              <w:right w:val="single" w:color="000000" w:sz="6" w:space="0"/>
            </w:tcBorders>
            <w:noWrap/>
            <w:vAlign w:val="center"/>
          </w:tcPr>
          <w:p w14:paraId="77B8C7D6">
            <w:pPr>
              <w:spacing w:line="240" w:lineRule="auto"/>
              <w:ind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1.蓄电池外观正常，无漏液、鼓胀；</w:t>
            </w:r>
          </w:p>
          <w:p w14:paraId="2044747F">
            <w:pPr>
              <w:spacing w:line="240" w:lineRule="auto"/>
              <w:ind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2.测量蓄电池单节电压，电压正常。</w:t>
            </w:r>
          </w:p>
          <w:p w14:paraId="2A3FD7BA">
            <w:pPr>
              <w:spacing w:line="240" w:lineRule="auto"/>
              <w:ind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3.EPS内、外清洁、无灰尘、污垢；</w:t>
            </w:r>
          </w:p>
          <w:p w14:paraId="455B2B78">
            <w:pPr>
              <w:spacing w:line="240" w:lineRule="auto"/>
              <w:ind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4.电线连接牢固，有可视化防松标识。</w:t>
            </w:r>
          </w:p>
          <w:p w14:paraId="5D905F1D">
            <w:pPr>
              <w:spacing w:line="240" w:lineRule="auto"/>
              <w:ind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5.蓄电池放电测试约半小时，放电后电池电压无异常。</w:t>
            </w:r>
          </w:p>
        </w:tc>
      </w:tr>
      <w:tr w14:paraId="207B03C9">
        <w:tblPrEx>
          <w:tblCellMar>
            <w:top w:w="0" w:type="dxa"/>
            <w:left w:w="108" w:type="dxa"/>
            <w:bottom w:w="0" w:type="dxa"/>
            <w:right w:w="108" w:type="dxa"/>
          </w:tblCellMar>
        </w:tblPrEx>
        <w:trPr>
          <w:trHeight w:val="289" w:hRule="atLeast"/>
          <w:jc w:val="center"/>
        </w:trPr>
        <w:tc>
          <w:tcPr>
            <w:tcW w:w="945" w:type="dxa"/>
            <w:tcBorders>
              <w:top w:val="single" w:color="000000" w:sz="6" w:space="0"/>
              <w:left w:val="single" w:color="000000" w:sz="6" w:space="0"/>
              <w:bottom w:val="single" w:color="000000" w:sz="6" w:space="0"/>
              <w:right w:val="single" w:color="000000" w:sz="6" w:space="0"/>
            </w:tcBorders>
            <w:noWrap/>
            <w:vAlign w:val="center"/>
          </w:tcPr>
          <w:p w14:paraId="1DF732A3">
            <w:pPr>
              <w:snapToGrid w:val="0"/>
              <w:spacing w:line="240" w:lineRule="auto"/>
              <w:ind w:firstLine="0" w:firstLineChars="0"/>
              <w:jc w:val="center"/>
              <w:rPr>
                <w:rFonts w:hint="eastAsia" w:ascii="宋体" w:hAnsi="宋体" w:eastAsia="宋体" w:cs="宋体"/>
                <w:bCs/>
                <w:color w:val="auto"/>
                <w:kern w:val="2"/>
                <w:sz w:val="21"/>
                <w:szCs w:val="21"/>
              </w:rPr>
            </w:pPr>
            <w:r>
              <w:rPr>
                <w:rFonts w:hint="eastAsia" w:ascii="宋体" w:hAnsi="宋体" w:eastAsia="宋体" w:cs="宋体"/>
                <w:color w:val="auto"/>
                <w:kern w:val="2"/>
                <w:sz w:val="21"/>
                <w:szCs w:val="21"/>
              </w:rPr>
              <w:t>配电</w:t>
            </w:r>
            <w:r>
              <w:rPr>
                <w:rFonts w:hint="eastAsia" w:ascii="宋体" w:hAnsi="宋体" w:eastAsia="宋体" w:cs="宋体"/>
                <w:bCs/>
                <w:color w:val="auto"/>
                <w:kern w:val="2"/>
                <w:sz w:val="21"/>
                <w:szCs w:val="21"/>
              </w:rPr>
              <w:t>箱</w:t>
            </w:r>
          </w:p>
        </w:tc>
        <w:tc>
          <w:tcPr>
            <w:tcW w:w="1000" w:type="dxa"/>
            <w:tcBorders>
              <w:top w:val="single" w:color="000000" w:sz="6" w:space="0"/>
              <w:left w:val="single" w:color="000000" w:sz="6" w:space="0"/>
              <w:bottom w:val="single" w:color="000000" w:sz="6" w:space="0"/>
              <w:right w:val="single" w:color="000000" w:sz="6" w:space="0"/>
            </w:tcBorders>
            <w:noWrap/>
            <w:vAlign w:val="center"/>
          </w:tcPr>
          <w:p w14:paraId="0F83347F">
            <w:pPr>
              <w:spacing w:line="240" w:lineRule="auto"/>
              <w:ind w:firstLine="0" w:firstLineChars="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每月一次</w:t>
            </w:r>
          </w:p>
        </w:tc>
        <w:tc>
          <w:tcPr>
            <w:tcW w:w="4313" w:type="dxa"/>
            <w:tcBorders>
              <w:top w:val="single" w:color="000000" w:sz="6" w:space="0"/>
              <w:left w:val="single" w:color="000000" w:sz="6" w:space="0"/>
              <w:bottom w:val="single" w:color="000000" w:sz="6" w:space="0"/>
              <w:right w:val="single" w:color="000000" w:sz="6" w:space="0"/>
            </w:tcBorders>
            <w:noWrap/>
            <w:vAlign w:val="center"/>
          </w:tcPr>
          <w:p w14:paraId="43AE3865">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1.各指示灯指示是否正确。</w:t>
            </w:r>
          </w:p>
          <w:p w14:paraId="3EA7FD2E">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2.各转换开关位置是否正确。</w:t>
            </w:r>
          </w:p>
          <w:p w14:paraId="4E4FEF0E">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3.接触器、继电器线圈交流声是否异常。</w:t>
            </w:r>
          </w:p>
          <w:p w14:paraId="0C5029CB">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4.更换损坏指示灯。</w:t>
            </w:r>
          </w:p>
        </w:tc>
        <w:tc>
          <w:tcPr>
            <w:tcW w:w="3363" w:type="dxa"/>
            <w:tcBorders>
              <w:top w:val="single" w:color="000000" w:sz="6" w:space="0"/>
              <w:left w:val="single" w:color="000000" w:sz="6" w:space="0"/>
              <w:bottom w:val="single" w:color="000000" w:sz="6" w:space="0"/>
              <w:right w:val="single" w:color="000000" w:sz="6" w:space="0"/>
            </w:tcBorders>
            <w:noWrap/>
            <w:vAlign w:val="center"/>
          </w:tcPr>
          <w:p w14:paraId="377627A1">
            <w:pPr>
              <w:spacing w:line="240" w:lineRule="auto"/>
              <w:ind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1.各指示灯、转换开关正确；</w:t>
            </w:r>
          </w:p>
          <w:p w14:paraId="31306A91">
            <w:pPr>
              <w:spacing w:line="240" w:lineRule="auto"/>
              <w:ind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2.接触器、继电器线圈交流声无异常；</w:t>
            </w:r>
          </w:p>
          <w:p w14:paraId="4EC24B66">
            <w:pPr>
              <w:spacing w:line="240" w:lineRule="auto"/>
              <w:ind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3.指示灯(灯泡)工作正常。</w:t>
            </w:r>
          </w:p>
        </w:tc>
      </w:tr>
      <w:tr w14:paraId="0C707107">
        <w:tblPrEx>
          <w:tblCellMar>
            <w:top w:w="0" w:type="dxa"/>
            <w:left w:w="108" w:type="dxa"/>
            <w:bottom w:w="0" w:type="dxa"/>
            <w:right w:w="108" w:type="dxa"/>
          </w:tblCellMar>
        </w:tblPrEx>
        <w:trPr>
          <w:trHeight w:val="1697" w:hRule="atLeast"/>
          <w:jc w:val="center"/>
        </w:trPr>
        <w:tc>
          <w:tcPr>
            <w:tcW w:w="945" w:type="dxa"/>
            <w:tcBorders>
              <w:top w:val="single" w:color="000000" w:sz="6" w:space="0"/>
              <w:left w:val="single" w:color="000000" w:sz="6" w:space="0"/>
              <w:bottom w:val="single" w:color="000000" w:sz="6" w:space="0"/>
              <w:right w:val="single" w:color="000000" w:sz="6" w:space="0"/>
            </w:tcBorders>
            <w:noWrap/>
            <w:vAlign w:val="center"/>
          </w:tcPr>
          <w:p w14:paraId="372044B0">
            <w:pPr>
              <w:snapToGrid w:val="0"/>
              <w:spacing w:line="240" w:lineRule="auto"/>
              <w:ind w:firstLine="0" w:firstLineChars="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配电箱元器件</w:t>
            </w:r>
          </w:p>
        </w:tc>
        <w:tc>
          <w:tcPr>
            <w:tcW w:w="1000" w:type="dxa"/>
            <w:tcBorders>
              <w:top w:val="single" w:color="000000" w:sz="6" w:space="0"/>
              <w:left w:val="single" w:color="000000" w:sz="6" w:space="0"/>
              <w:bottom w:val="single" w:color="000000" w:sz="6" w:space="0"/>
              <w:right w:val="single" w:color="000000" w:sz="6" w:space="0"/>
            </w:tcBorders>
            <w:noWrap/>
            <w:vAlign w:val="center"/>
          </w:tcPr>
          <w:p w14:paraId="1E97F5CD">
            <w:pPr>
              <w:tabs>
                <w:tab w:val="left" w:pos="502"/>
                <w:tab w:val="left" w:pos="734"/>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每年一次</w:t>
            </w:r>
          </w:p>
        </w:tc>
        <w:tc>
          <w:tcPr>
            <w:tcW w:w="4313" w:type="dxa"/>
            <w:tcBorders>
              <w:top w:val="single" w:color="000000" w:sz="6" w:space="0"/>
              <w:left w:val="single" w:color="000000" w:sz="6" w:space="0"/>
              <w:bottom w:val="single" w:color="000000" w:sz="6" w:space="0"/>
              <w:right w:val="single" w:color="000000" w:sz="6" w:space="0"/>
            </w:tcBorders>
            <w:noWrap/>
            <w:vAlign w:val="center"/>
          </w:tcPr>
          <w:p w14:paraId="0445029C">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1.配电箱内元器件检查。</w:t>
            </w:r>
          </w:p>
          <w:p w14:paraId="2D2C9123">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2.箱体内、外清洁。</w:t>
            </w:r>
          </w:p>
          <w:p w14:paraId="7F8227BF">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3.各开关、线路及5S标识检查。</w:t>
            </w:r>
          </w:p>
          <w:p w14:paraId="280ED442">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4.主、控回路接线是否松动，各接线端子接线紧固。</w:t>
            </w:r>
          </w:p>
          <w:p w14:paraId="0154A44F">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5.两路交流输入电源切换功能测试。</w:t>
            </w:r>
          </w:p>
        </w:tc>
        <w:tc>
          <w:tcPr>
            <w:tcW w:w="3363" w:type="dxa"/>
            <w:tcBorders>
              <w:top w:val="single" w:color="000000" w:sz="6" w:space="0"/>
              <w:left w:val="single" w:color="000000" w:sz="6" w:space="0"/>
              <w:bottom w:val="single" w:color="000000" w:sz="6" w:space="0"/>
              <w:right w:val="single" w:color="000000" w:sz="6" w:space="0"/>
            </w:tcBorders>
            <w:noWrap/>
            <w:vAlign w:val="center"/>
          </w:tcPr>
          <w:p w14:paraId="2B0ECF1C">
            <w:pPr>
              <w:spacing w:line="240" w:lineRule="auto"/>
              <w:ind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1.元器件外观良好、安装牢固；</w:t>
            </w:r>
          </w:p>
          <w:p w14:paraId="69DD7C05">
            <w:pPr>
              <w:spacing w:line="240" w:lineRule="auto"/>
              <w:ind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2.元器件无积尘；</w:t>
            </w:r>
          </w:p>
          <w:p w14:paraId="7CA32FC0">
            <w:pPr>
              <w:spacing w:line="240" w:lineRule="auto"/>
              <w:ind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3.标识清晰；</w:t>
            </w:r>
          </w:p>
          <w:p w14:paraId="1D61F584">
            <w:pPr>
              <w:spacing w:line="240" w:lineRule="auto"/>
              <w:ind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4.主、控回路接线紧固；</w:t>
            </w:r>
          </w:p>
          <w:p w14:paraId="343F7CF9">
            <w:pPr>
              <w:spacing w:line="240" w:lineRule="auto"/>
              <w:ind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双电源切换箱切换功能正常，输出电压正常。</w:t>
            </w:r>
          </w:p>
        </w:tc>
      </w:tr>
      <w:tr w14:paraId="0C4CF746">
        <w:tblPrEx>
          <w:tblCellMar>
            <w:top w:w="0" w:type="dxa"/>
            <w:left w:w="108" w:type="dxa"/>
            <w:bottom w:w="0" w:type="dxa"/>
            <w:right w:w="108" w:type="dxa"/>
          </w:tblCellMar>
        </w:tblPrEx>
        <w:trPr>
          <w:trHeight w:val="1681" w:hRule="atLeast"/>
          <w:jc w:val="center"/>
        </w:trPr>
        <w:tc>
          <w:tcPr>
            <w:tcW w:w="945" w:type="dxa"/>
            <w:tcBorders>
              <w:top w:val="single" w:color="000000" w:sz="6" w:space="0"/>
              <w:left w:val="single" w:color="000000" w:sz="6" w:space="0"/>
              <w:bottom w:val="single" w:color="000000" w:sz="6" w:space="0"/>
              <w:right w:val="single" w:color="000000" w:sz="6" w:space="0"/>
            </w:tcBorders>
            <w:noWrap/>
            <w:vAlign w:val="center"/>
          </w:tcPr>
          <w:p w14:paraId="3F80C247">
            <w:pPr>
              <w:snapToGrid w:val="0"/>
              <w:spacing w:line="240" w:lineRule="auto"/>
              <w:ind w:firstLine="0" w:firstLineChars="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漏电保护器</w:t>
            </w:r>
          </w:p>
        </w:tc>
        <w:tc>
          <w:tcPr>
            <w:tcW w:w="1000" w:type="dxa"/>
            <w:tcBorders>
              <w:top w:val="single" w:color="000000" w:sz="6" w:space="0"/>
              <w:left w:val="single" w:color="000000" w:sz="6" w:space="0"/>
              <w:bottom w:val="single" w:color="000000" w:sz="6" w:space="0"/>
              <w:right w:val="single" w:color="000000" w:sz="6" w:space="0"/>
            </w:tcBorders>
            <w:noWrap/>
            <w:vAlign w:val="center"/>
          </w:tcPr>
          <w:p w14:paraId="7E87133C">
            <w:pPr>
              <w:tabs>
                <w:tab w:val="left" w:pos="502"/>
                <w:tab w:val="left" w:pos="734"/>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每月一次</w:t>
            </w:r>
          </w:p>
        </w:tc>
        <w:tc>
          <w:tcPr>
            <w:tcW w:w="4313" w:type="dxa"/>
            <w:tcBorders>
              <w:top w:val="single" w:color="000000" w:sz="6" w:space="0"/>
              <w:left w:val="single" w:color="000000" w:sz="6" w:space="0"/>
              <w:bottom w:val="single" w:color="000000" w:sz="6" w:space="0"/>
              <w:right w:val="single" w:color="000000" w:sz="6" w:space="0"/>
            </w:tcBorders>
            <w:noWrap/>
            <w:vAlign w:val="center"/>
          </w:tcPr>
          <w:p w14:paraId="208AD871">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1.定期清扫灰尘。</w:t>
            </w:r>
          </w:p>
          <w:p w14:paraId="44AD406B">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2.保持漏电保护器操作手柄动作灵活、可靠。</w:t>
            </w:r>
          </w:p>
          <w:p w14:paraId="19373958">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3.检查漏电保护器接线及保护接地装置是否松动和接触不良等。</w:t>
            </w:r>
          </w:p>
          <w:p w14:paraId="3A9764E7">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4.检验漏电保护器动作的可靠性。</w:t>
            </w:r>
          </w:p>
          <w:p w14:paraId="64E70423">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5.更换到了使用寿命的漏电保护器。</w:t>
            </w:r>
          </w:p>
        </w:tc>
        <w:tc>
          <w:tcPr>
            <w:tcW w:w="3363" w:type="dxa"/>
            <w:tcBorders>
              <w:top w:val="single" w:color="000000" w:sz="6" w:space="0"/>
              <w:left w:val="single" w:color="000000" w:sz="6" w:space="0"/>
              <w:bottom w:val="single" w:color="000000" w:sz="6" w:space="0"/>
              <w:right w:val="single" w:color="000000" w:sz="6" w:space="0"/>
            </w:tcBorders>
            <w:noWrap/>
            <w:vAlign w:val="center"/>
          </w:tcPr>
          <w:p w14:paraId="022DFEE7">
            <w:pPr>
              <w:spacing w:line="240" w:lineRule="auto"/>
              <w:ind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外观良好、整洁，</w:t>
            </w:r>
          </w:p>
          <w:p w14:paraId="411C1D79">
            <w:pPr>
              <w:spacing w:line="240" w:lineRule="auto"/>
              <w:ind w:firstLine="0" w:firstLineChars="0"/>
              <w:rPr>
                <w:rFonts w:hint="eastAsia" w:ascii="宋体" w:hAnsi="宋体" w:eastAsia="宋体" w:cs="宋体"/>
                <w:color w:val="auto"/>
                <w:sz w:val="21"/>
                <w:szCs w:val="21"/>
              </w:rPr>
            </w:pPr>
            <w:r>
              <w:rPr>
                <w:rFonts w:hint="eastAsia" w:ascii="宋体" w:hAnsi="宋体" w:eastAsia="宋体" w:cs="宋体"/>
                <w:bCs/>
                <w:color w:val="auto"/>
                <w:kern w:val="2"/>
                <w:sz w:val="21"/>
                <w:szCs w:val="21"/>
              </w:rPr>
              <w:t>安装牢固、接触良好。</w:t>
            </w:r>
          </w:p>
        </w:tc>
      </w:tr>
    </w:tbl>
    <w:p w14:paraId="07A0AF30">
      <w:pPr>
        <w:bidi w:val="0"/>
        <w:spacing w:line="360" w:lineRule="auto"/>
        <w:ind w:firstLine="422" w:firstLineChars="200"/>
        <w:outlineLvl w:val="3"/>
        <w:rPr>
          <w:rFonts w:hint="eastAsia" w:ascii="宋体" w:hAnsi="宋体" w:eastAsia="宋体" w:cs="宋体"/>
          <w:b/>
          <w:bCs/>
          <w:color w:val="auto"/>
          <w:sz w:val="21"/>
          <w:szCs w:val="21"/>
          <w:lang w:val="en-US" w:eastAsia="zh-CN"/>
        </w:rPr>
      </w:pPr>
      <w:bookmarkStart w:id="628" w:name="_Toc30633"/>
      <w:bookmarkStart w:id="629" w:name="_Toc19548"/>
      <w:bookmarkStart w:id="630" w:name="_Toc24937"/>
      <w:bookmarkStart w:id="631" w:name="_Toc12035"/>
      <w:bookmarkStart w:id="632" w:name="_Toc9200"/>
      <w:r>
        <w:rPr>
          <w:rFonts w:hint="eastAsia" w:ascii="宋体" w:hAnsi="宋体" w:eastAsia="宋体" w:cs="宋体"/>
          <w:b/>
          <w:bCs/>
          <w:color w:val="auto"/>
          <w:sz w:val="21"/>
          <w:szCs w:val="21"/>
          <w:lang w:val="en-US" w:eastAsia="zh-CN"/>
        </w:rPr>
        <w:t>2.2.8给排水系统维护保养管理</w:t>
      </w:r>
      <w:bookmarkEnd w:id="628"/>
      <w:bookmarkEnd w:id="629"/>
      <w:bookmarkEnd w:id="630"/>
      <w:bookmarkEnd w:id="631"/>
      <w:bookmarkEnd w:id="632"/>
    </w:p>
    <w:p w14:paraId="394A50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立用水、供水管理制度并落实，积极协助用户安排合理的用水和实施节水计划；建立给排水设备维修保养制度并严格执行，设备和管道系统状况良好，如遇爆管、设备故障等，维修人员及时到场抢修；供水系统功能正常，排水系统通畅，零修合格率100%，设备完好率100%；限水、停水能预先通知用户；按规定定期清洗大厦供水蓄水设备；设备及周围环境整洁，有封闭措施；确保大厦内分列的水表行数据准确。保养要求如下：</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1013"/>
        <w:gridCol w:w="5220"/>
        <w:gridCol w:w="2223"/>
      </w:tblGrid>
      <w:tr w14:paraId="54E2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74" w:type="dxa"/>
            <w:noWrap/>
            <w:vAlign w:val="center"/>
          </w:tcPr>
          <w:p w14:paraId="6A4AB56F">
            <w:pPr>
              <w:snapToGrid w:val="0"/>
              <w:spacing w:line="240" w:lineRule="auto"/>
              <w:ind w:firstLine="0" w:firstLineChars="0"/>
              <w:jc w:val="center"/>
              <w:rPr>
                <w:rFonts w:hint="eastAsia" w:ascii="宋体" w:hAnsi="宋体" w:eastAsia="宋体" w:cs="宋体"/>
                <w:b/>
                <w:color w:val="auto"/>
                <w:spacing w:val="20"/>
                <w:kern w:val="2"/>
                <w:sz w:val="21"/>
                <w:szCs w:val="21"/>
              </w:rPr>
            </w:pPr>
            <w:r>
              <w:rPr>
                <w:rFonts w:hint="eastAsia" w:ascii="宋体" w:hAnsi="宋体" w:eastAsia="宋体" w:cs="宋体"/>
                <w:b/>
                <w:color w:val="auto"/>
                <w:spacing w:val="20"/>
                <w:kern w:val="2"/>
                <w:sz w:val="21"/>
                <w:szCs w:val="21"/>
              </w:rPr>
              <w:t>项目</w:t>
            </w:r>
          </w:p>
        </w:tc>
        <w:tc>
          <w:tcPr>
            <w:tcW w:w="1013" w:type="dxa"/>
            <w:noWrap/>
            <w:vAlign w:val="center"/>
          </w:tcPr>
          <w:p w14:paraId="7446C303">
            <w:pPr>
              <w:snapToGrid w:val="0"/>
              <w:spacing w:line="240" w:lineRule="auto"/>
              <w:ind w:firstLine="0" w:firstLineChars="0"/>
              <w:jc w:val="center"/>
              <w:rPr>
                <w:rFonts w:hint="eastAsia" w:ascii="宋体" w:hAnsi="宋体" w:eastAsia="宋体" w:cs="宋体"/>
                <w:b/>
                <w:color w:val="auto"/>
                <w:spacing w:val="20"/>
                <w:kern w:val="2"/>
                <w:sz w:val="21"/>
                <w:szCs w:val="21"/>
              </w:rPr>
            </w:pPr>
            <w:r>
              <w:rPr>
                <w:rFonts w:hint="eastAsia" w:ascii="宋体" w:hAnsi="宋体" w:eastAsia="宋体" w:cs="宋体"/>
                <w:b/>
                <w:color w:val="auto"/>
                <w:spacing w:val="20"/>
                <w:kern w:val="2"/>
                <w:sz w:val="21"/>
                <w:szCs w:val="21"/>
              </w:rPr>
              <w:t>频次</w:t>
            </w:r>
          </w:p>
        </w:tc>
        <w:tc>
          <w:tcPr>
            <w:tcW w:w="5220" w:type="dxa"/>
            <w:noWrap/>
            <w:vAlign w:val="center"/>
          </w:tcPr>
          <w:p w14:paraId="0E40D47B">
            <w:pPr>
              <w:snapToGrid w:val="0"/>
              <w:spacing w:line="240" w:lineRule="auto"/>
              <w:ind w:firstLine="0" w:firstLineChars="0"/>
              <w:jc w:val="center"/>
              <w:rPr>
                <w:rFonts w:hint="eastAsia" w:ascii="宋体" w:hAnsi="宋体" w:eastAsia="宋体" w:cs="宋体"/>
                <w:b/>
                <w:color w:val="auto"/>
                <w:spacing w:val="20"/>
                <w:kern w:val="2"/>
                <w:sz w:val="21"/>
                <w:szCs w:val="21"/>
              </w:rPr>
            </w:pPr>
            <w:r>
              <w:rPr>
                <w:rFonts w:hint="eastAsia" w:ascii="宋体" w:hAnsi="宋体" w:eastAsia="宋体" w:cs="宋体"/>
                <w:b/>
                <w:color w:val="auto"/>
                <w:spacing w:val="20"/>
                <w:kern w:val="2"/>
                <w:sz w:val="21"/>
                <w:szCs w:val="21"/>
              </w:rPr>
              <w:t>保养内容</w:t>
            </w:r>
          </w:p>
        </w:tc>
        <w:tc>
          <w:tcPr>
            <w:tcW w:w="2223" w:type="dxa"/>
            <w:noWrap/>
            <w:vAlign w:val="center"/>
          </w:tcPr>
          <w:p w14:paraId="2DBECA6E">
            <w:pPr>
              <w:snapToGrid w:val="0"/>
              <w:spacing w:line="240" w:lineRule="auto"/>
              <w:ind w:firstLine="0" w:firstLineChars="0"/>
              <w:jc w:val="center"/>
              <w:rPr>
                <w:rFonts w:hint="eastAsia" w:ascii="宋体" w:hAnsi="宋体" w:eastAsia="宋体" w:cs="宋体"/>
                <w:b/>
                <w:color w:val="auto"/>
                <w:spacing w:val="20"/>
                <w:kern w:val="2"/>
                <w:sz w:val="21"/>
                <w:szCs w:val="21"/>
              </w:rPr>
            </w:pPr>
            <w:r>
              <w:rPr>
                <w:rFonts w:hint="eastAsia" w:ascii="宋体" w:hAnsi="宋体" w:eastAsia="宋体" w:cs="宋体"/>
                <w:b/>
                <w:color w:val="auto"/>
                <w:spacing w:val="20"/>
                <w:kern w:val="2"/>
                <w:sz w:val="21"/>
                <w:szCs w:val="21"/>
              </w:rPr>
              <w:t>保养要求</w:t>
            </w:r>
          </w:p>
        </w:tc>
      </w:tr>
      <w:tr w14:paraId="27AD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1074" w:type="dxa"/>
            <w:vMerge w:val="restart"/>
            <w:noWrap/>
            <w:vAlign w:val="center"/>
          </w:tcPr>
          <w:p w14:paraId="30C56FE4">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生活泵排污泵</w:t>
            </w:r>
          </w:p>
        </w:tc>
        <w:tc>
          <w:tcPr>
            <w:tcW w:w="1013" w:type="dxa"/>
            <w:noWrap/>
            <w:vAlign w:val="center"/>
          </w:tcPr>
          <w:p w14:paraId="4486964C">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每天一次</w:t>
            </w:r>
          </w:p>
        </w:tc>
        <w:tc>
          <w:tcPr>
            <w:tcW w:w="5220" w:type="dxa"/>
            <w:noWrap/>
            <w:vAlign w:val="top"/>
          </w:tcPr>
          <w:p w14:paraId="250B281B">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1.保持设备房、机体卫生清洁。</w:t>
            </w:r>
          </w:p>
          <w:p w14:paraId="1459CCC0">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2.每天每2小时观察其水位、水压等指示是否正常，3.运行时有无异声、异味。</w:t>
            </w:r>
          </w:p>
          <w:p w14:paraId="30783C06">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4.检查盘根处滴水是否符合规范，如不规范及时处理。</w:t>
            </w:r>
          </w:p>
          <w:p w14:paraId="7242BD79">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5.检查水位深度指示是否清晰。</w:t>
            </w:r>
          </w:p>
          <w:p w14:paraId="6659325A">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6.发现故障及故障隐患及时处理。</w:t>
            </w:r>
          </w:p>
        </w:tc>
        <w:tc>
          <w:tcPr>
            <w:tcW w:w="2223" w:type="dxa"/>
            <w:noWrap/>
            <w:vAlign w:val="center"/>
          </w:tcPr>
          <w:p w14:paraId="4FA14850">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设备卫生，水位指示清晰。</w:t>
            </w:r>
          </w:p>
        </w:tc>
      </w:tr>
      <w:tr w14:paraId="268F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074" w:type="dxa"/>
            <w:vMerge w:val="continue"/>
            <w:noWrap/>
            <w:vAlign w:val="center"/>
          </w:tcPr>
          <w:p w14:paraId="0AD7960C">
            <w:pPr>
              <w:spacing w:line="240" w:lineRule="auto"/>
              <w:ind w:firstLine="0" w:firstLineChars="0"/>
              <w:jc w:val="both"/>
              <w:rPr>
                <w:rFonts w:hint="eastAsia" w:ascii="宋体" w:hAnsi="宋体" w:eastAsia="宋体" w:cs="宋体"/>
                <w:color w:val="auto"/>
                <w:kern w:val="2"/>
                <w:sz w:val="21"/>
                <w:szCs w:val="21"/>
              </w:rPr>
            </w:pPr>
          </w:p>
        </w:tc>
        <w:tc>
          <w:tcPr>
            <w:tcW w:w="1013" w:type="dxa"/>
            <w:noWrap/>
            <w:vAlign w:val="center"/>
          </w:tcPr>
          <w:p w14:paraId="6AB34E94">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每季一次</w:t>
            </w:r>
          </w:p>
        </w:tc>
        <w:tc>
          <w:tcPr>
            <w:tcW w:w="5220" w:type="dxa"/>
            <w:noWrap/>
            <w:vAlign w:val="top"/>
          </w:tcPr>
          <w:p w14:paraId="6C18D381">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1.电机、轴承加注黄油：如有异响，应更换轴承。</w:t>
            </w:r>
          </w:p>
          <w:p w14:paraId="69261ECB">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2.泵体及管道阀门除锈刷漆；紧固柜各线路接头螺母，清扫柜内灰尘等。</w:t>
            </w:r>
          </w:p>
        </w:tc>
        <w:tc>
          <w:tcPr>
            <w:tcW w:w="2223" w:type="dxa"/>
            <w:noWrap/>
            <w:vAlign w:val="center"/>
          </w:tcPr>
          <w:p w14:paraId="5164E8D6">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润滑良好，线头紧固良好。</w:t>
            </w:r>
          </w:p>
        </w:tc>
      </w:tr>
      <w:tr w14:paraId="3C6B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074" w:type="dxa"/>
            <w:vMerge w:val="restart"/>
            <w:noWrap/>
            <w:vAlign w:val="center"/>
          </w:tcPr>
          <w:p w14:paraId="0E70A402">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供水排污管网</w:t>
            </w:r>
          </w:p>
        </w:tc>
        <w:tc>
          <w:tcPr>
            <w:tcW w:w="1013" w:type="dxa"/>
            <w:noWrap/>
            <w:vAlign w:val="center"/>
          </w:tcPr>
          <w:p w14:paraId="33869C26">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每周一次</w:t>
            </w:r>
          </w:p>
        </w:tc>
        <w:tc>
          <w:tcPr>
            <w:tcW w:w="5220" w:type="dxa"/>
            <w:noWrap/>
            <w:vAlign w:val="top"/>
          </w:tcPr>
          <w:p w14:paraId="5D09AA9F">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1.检查外观是否完好，应无滴、漏现象。</w:t>
            </w:r>
          </w:p>
          <w:p w14:paraId="27BD80EB">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2.检查闸阀，观察供压力表是否正常。阀门开启位置是否正确，标示是否清晰。</w:t>
            </w:r>
          </w:p>
        </w:tc>
        <w:tc>
          <w:tcPr>
            <w:tcW w:w="2223" w:type="dxa"/>
            <w:noWrap/>
            <w:vAlign w:val="center"/>
          </w:tcPr>
          <w:p w14:paraId="2DDEAF95">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运行正常。</w:t>
            </w:r>
          </w:p>
        </w:tc>
      </w:tr>
      <w:tr w14:paraId="313F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074" w:type="dxa"/>
            <w:vMerge w:val="continue"/>
            <w:noWrap/>
            <w:vAlign w:val="center"/>
          </w:tcPr>
          <w:p w14:paraId="503CB946">
            <w:pPr>
              <w:spacing w:line="240" w:lineRule="auto"/>
              <w:ind w:firstLine="0" w:firstLineChars="0"/>
              <w:jc w:val="both"/>
              <w:rPr>
                <w:rFonts w:hint="eastAsia" w:ascii="宋体" w:hAnsi="宋体" w:eastAsia="宋体" w:cs="宋体"/>
                <w:color w:val="auto"/>
                <w:kern w:val="2"/>
                <w:sz w:val="21"/>
                <w:szCs w:val="21"/>
              </w:rPr>
            </w:pPr>
          </w:p>
        </w:tc>
        <w:tc>
          <w:tcPr>
            <w:tcW w:w="1013" w:type="dxa"/>
            <w:vMerge w:val="restart"/>
            <w:noWrap/>
            <w:vAlign w:val="center"/>
          </w:tcPr>
          <w:p w14:paraId="155F7A38">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每季一次</w:t>
            </w:r>
          </w:p>
        </w:tc>
        <w:tc>
          <w:tcPr>
            <w:tcW w:w="5220" w:type="dxa"/>
            <w:vMerge w:val="restart"/>
            <w:noWrap/>
            <w:vAlign w:val="top"/>
          </w:tcPr>
          <w:p w14:paraId="231983DA">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1.清理管道内的杂物，疏通排污管道。</w:t>
            </w:r>
          </w:p>
          <w:p w14:paraId="554FEDAD">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2.检查闸阀开启、关闭是否灵活，有无跑、冒、滴、漏现象。</w:t>
            </w:r>
          </w:p>
          <w:p w14:paraId="7ADB1992">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3.检查修整全部管架。</w:t>
            </w:r>
          </w:p>
          <w:p w14:paraId="1090B6FB">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4.管道及支架除锈刷漆。</w:t>
            </w:r>
          </w:p>
          <w:p w14:paraId="14B3D541">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5.检查止回阀、浮球阀、液位控制器是否正常；管道内部清洗、作防腐处理。</w:t>
            </w:r>
          </w:p>
          <w:p w14:paraId="5108BABA">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6.更换各类阀门标示，并标注管内水流方向；各类阀门丝杆上油并加装防护套。</w:t>
            </w:r>
          </w:p>
        </w:tc>
        <w:tc>
          <w:tcPr>
            <w:tcW w:w="2223" w:type="dxa"/>
            <w:noWrap/>
            <w:vAlign w:val="center"/>
          </w:tcPr>
          <w:p w14:paraId="21627D77">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管道内无杂物，阀门开启灵活，无泄漏。</w:t>
            </w:r>
          </w:p>
        </w:tc>
      </w:tr>
      <w:tr w14:paraId="4C149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074" w:type="dxa"/>
            <w:vMerge w:val="continue"/>
            <w:noWrap/>
            <w:vAlign w:val="center"/>
          </w:tcPr>
          <w:p w14:paraId="79C2EA96">
            <w:pPr>
              <w:spacing w:line="240" w:lineRule="auto"/>
              <w:ind w:firstLine="0" w:firstLineChars="0"/>
              <w:jc w:val="both"/>
              <w:rPr>
                <w:rFonts w:hint="eastAsia" w:ascii="宋体" w:hAnsi="宋体" w:eastAsia="宋体" w:cs="宋体"/>
                <w:color w:val="auto"/>
                <w:kern w:val="2"/>
                <w:sz w:val="21"/>
                <w:szCs w:val="21"/>
              </w:rPr>
            </w:pPr>
          </w:p>
        </w:tc>
        <w:tc>
          <w:tcPr>
            <w:tcW w:w="1013" w:type="dxa"/>
            <w:vMerge w:val="continue"/>
            <w:noWrap/>
            <w:vAlign w:val="center"/>
          </w:tcPr>
          <w:p w14:paraId="130F0608">
            <w:pPr>
              <w:snapToGrid w:val="0"/>
              <w:spacing w:line="240" w:lineRule="auto"/>
              <w:ind w:firstLine="0" w:firstLineChars="0"/>
              <w:jc w:val="center"/>
              <w:rPr>
                <w:rFonts w:hint="eastAsia" w:ascii="宋体" w:hAnsi="宋体" w:eastAsia="宋体" w:cs="宋体"/>
                <w:color w:val="auto"/>
                <w:kern w:val="2"/>
                <w:sz w:val="21"/>
                <w:szCs w:val="21"/>
              </w:rPr>
            </w:pPr>
          </w:p>
        </w:tc>
        <w:tc>
          <w:tcPr>
            <w:tcW w:w="5220" w:type="dxa"/>
            <w:vMerge w:val="continue"/>
            <w:noWrap/>
            <w:vAlign w:val="top"/>
          </w:tcPr>
          <w:p w14:paraId="75CCD5D0">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p>
        </w:tc>
        <w:tc>
          <w:tcPr>
            <w:tcW w:w="2223" w:type="dxa"/>
            <w:noWrap/>
            <w:vAlign w:val="center"/>
          </w:tcPr>
          <w:p w14:paraId="06CFDB30">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管架防锈良好，阀门工作正常，标示清晰。</w:t>
            </w:r>
          </w:p>
        </w:tc>
      </w:tr>
      <w:tr w14:paraId="5129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074" w:type="dxa"/>
            <w:vMerge w:val="restart"/>
            <w:noWrap/>
            <w:vAlign w:val="center"/>
          </w:tcPr>
          <w:p w14:paraId="0A5AB3E5">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生活水池</w:t>
            </w:r>
          </w:p>
        </w:tc>
        <w:tc>
          <w:tcPr>
            <w:tcW w:w="1013" w:type="dxa"/>
            <w:noWrap/>
            <w:vAlign w:val="center"/>
          </w:tcPr>
          <w:p w14:paraId="3AE33B1A">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每周一次</w:t>
            </w:r>
          </w:p>
        </w:tc>
        <w:tc>
          <w:tcPr>
            <w:tcW w:w="5220" w:type="dxa"/>
            <w:noWrap/>
            <w:vAlign w:val="top"/>
          </w:tcPr>
          <w:p w14:paraId="0C59B518">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1.检查外观是否完好，有无跑冒、滴、漏现象，箱口及透气管防虫纱网是否完好。</w:t>
            </w:r>
          </w:p>
          <w:p w14:paraId="7C41F088">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2.打开排污阀排污。检查进水浮阀并作手动进水试验。</w:t>
            </w:r>
          </w:p>
          <w:p w14:paraId="2DE719FC">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3.观察水质情况，检测水的PH值和含氯量。</w:t>
            </w:r>
          </w:p>
          <w:p w14:paraId="1BADA266">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4.水箱、水池盖板是否上锁并且完好。</w:t>
            </w:r>
          </w:p>
        </w:tc>
        <w:tc>
          <w:tcPr>
            <w:tcW w:w="2223" w:type="dxa"/>
            <w:noWrap/>
            <w:vAlign w:val="center"/>
          </w:tcPr>
          <w:p w14:paraId="0D80B223">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无泄漏，防虫网、盖板完好，水质合格。</w:t>
            </w:r>
          </w:p>
        </w:tc>
      </w:tr>
      <w:tr w14:paraId="1932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74" w:type="dxa"/>
            <w:vMerge w:val="continue"/>
            <w:noWrap/>
            <w:vAlign w:val="center"/>
          </w:tcPr>
          <w:p w14:paraId="145B6868">
            <w:pPr>
              <w:spacing w:line="240" w:lineRule="auto"/>
              <w:ind w:firstLine="0" w:firstLineChars="0"/>
              <w:jc w:val="both"/>
              <w:rPr>
                <w:rFonts w:hint="eastAsia" w:ascii="宋体" w:hAnsi="宋体" w:eastAsia="宋体" w:cs="宋体"/>
                <w:color w:val="auto"/>
                <w:kern w:val="2"/>
                <w:sz w:val="21"/>
                <w:szCs w:val="21"/>
              </w:rPr>
            </w:pPr>
          </w:p>
        </w:tc>
        <w:tc>
          <w:tcPr>
            <w:tcW w:w="1013" w:type="dxa"/>
            <w:noWrap/>
            <w:vAlign w:val="center"/>
          </w:tcPr>
          <w:p w14:paraId="232E9ABA">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每月一次</w:t>
            </w:r>
          </w:p>
        </w:tc>
        <w:tc>
          <w:tcPr>
            <w:tcW w:w="5220" w:type="dxa"/>
            <w:noWrap/>
            <w:vAlign w:val="center"/>
          </w:tcPr>
          <w:p w14:paraId="784C47D5">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1.按规定比例按时投放消毒药品。</w:t>
            </w:r>
          </w:p>
        </w:tc>
        <w:tc>
          <w:tcPr>
            <w:tcW w:w="2223" w:type="dxa"/>
            <w:noWrap/>
            <w:vAlign w:val="center"/>
          </w:tcPr>
          <w:p w14:paraId="17037645">
            <w:pPr>
              <w:snapToGrid w:val="0"/>
              <w:spacing w:line="240" w:lineRule="auto"/>
              <w:ind w:firstLine="0" w:firstLineChars="0"/>
              <w:rPr>
                <w:rFonts w:hint="eastAsia" w:ascii="宋体" w:hAnsi="宋体" w:eastAsia="宋体" w:cs="宋体"/>
                <w:color w:val="auto"/>
                <w:kern w:val="2"/>
                <w:sz w:val="21"/>
                <w:szCs w:val="21"/>
              </w:rPr>
            </w:pPr>
          </w:p>
        </w:tc>
      </w:tr>
      <w:tr w14:paraId="3772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074" w:type="dxa"/>
            <w:vMerge w:val="continue"/>
            <w:noWrap/>
            <w:vAlign w:val="center"/>
          </w:tcPr>
          <w:p w14:paraId="30024871">
            <w:pPr>
              <w:spacing w:line="240" w:lineRule="auto"/>
              <w:ind w:firstLine="0" w:firstLineChars="0"/>
              <w:jc w:val="both"/>
              <w:rPr>
                <w:rFonts w:hint="eastAsia" w:ascii="宋体" w:hAnsi="宋体" w:eastAsia="宋体" w:cs="宋体"/>
                <w:color w:val="auto"/>
                <w:kern w:val="2"/>
                <w:sz w:val="21"/>
                <w:szCs w:val="21"/>
              </w:rPr>
            </w:pPr>
          </w:p>
        </w:tc>
        <w:tc>
          <w:tcPr>
            <w:tcW w:w="1013" w:type="dxa"/>
            <w:noWrap/>
            <w:vAlign w:val="center"/>
          </w:tcPr>
          <w:p w14:paraId="6EE11D73">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每年二次</w:t>
            </w:r>
          </w:p>
        </w:tc>
        <w:tc>
          <w:tcPr>
            <w:tcW w:w="5220" w:type="dxa"/>
            <w:noWrap/>
            <w:vAlign w:val="center"/>
          </w:tcPr>
          <w:p w14:paraId="00CDB48A">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1.提前24小时通知相关部门做好储水准备。</w:t>
            </w:r>
          </w:p>
          <w:p w14:paraId="04E59840">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2.提前关闭水池进水闸阀，排放干水池。</w:t>
            </w:r>
          </w:p>
          <w:p w14:paraId="1795E995">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3.专业公司清洗消毒。</w:t>
            </w:r>
          </w:p>
        </w:tc>
        <w:tc>
          <w:tcPr>
            <w:tcW w:w="2223" w:type="dxa"/>
            <w:noWrap/>
            <w:vAlign w:val="center"/>
          </w:tcPr>
          <w:p w14:paraId="036498E9">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水池内无泥沙及沉积物，水样检测合格，由市水质检测中心开具合格报告书。</w:t>
            </w:r>
          </w:p>
        </w:tc>
      </w:tr>
      <w:tr w14:paraId="074D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074" w:type="dxa"/>
            <w:vMerge w:val="restart"/>
            <w:noWrap/>
            <w:vAlign w:val="center"/>
          </w:tcPr>
          <w:p w14:paraId="0D5E1FFC">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给水井雨水井污水井化粪池</w:t>
            </w:r>
          </w:p>
        </w:tc>
        <w:tc>
          <w:tcPr>
            <w:tcW w:w="1013" w:type="dxa"/>
            <w:noWrap/>
            <w:vAlign w:val="center"/>
          </w:tcPr>
          <w:p w14:paraId="01F4B35E">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每月一次</w:t>
            </w:r>
          </w:p>
        </w:tc>
        <w:tc>
          <w:tcPr>
            <w:tcW w:w="5220" w:type="dxa"/>
            <w:noWrap/>
            <w:vAlign w:val="center"/>
          </w:tcPr>
          <w:p w14:paraId="36D79D08">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1.检查井盖是否盖严、完好，开盖检查井底是否有污物，如有则清除干净。</w:t>
            </w:r>
          </w:p>
          <w:p w14:paraId="5DEF6D15">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2.检查井盖铸造字迹是否清晰、正确。</w:t>
            </w:r>
          </w:p>
        </w:tc>
        <w:tc>
          <w:tcPr>
            <w:tcW w:w="2223" w:type="dxa"/>
            <w:noWrap/>
            <w:vAlign w:val="center"/>
          </w:tcPr>
          <w:p w14:paraId="023DC791">
            <w:pPr>
              <w:snapToGrid w:val="0"/>
              <w:spacing w:line="240" w:lineRule="auto"/>
              <w:ind w:firstLine="0" w:firstLineChars="0"/>
              <w:jc w:val="both"/>
              <w:rPr>
                <w:rFonts w:hint="eastAsia" w:ascii="宋体" w:hAnsi="宋体" w:eastAsia="宋体" w:cs="宋体"/>
                <w:color w:val="auto"/>
                <w:kern w:val="2"/>
                <w:sz w:val="21"/>
                <w:szCs w:val="21"/>
              </w:rPr>
            </w:pPr>
          </w:p>
        </w:tc>
      </w:tr>
      <w:tr w14:paraId="153F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74" w:type="dxa"/>
            <w:vMerge w:val="continue"/>
            <w:noWrap/>
            <w:vAlign w:val="center"/>
          </w:tcPr>
          <w:p w14:paraId="1812BDDE">
            <w:pPr>
              <w:spacing w:line="240" w:lineRule="auto"/>
              <w:ind w:firstLine="0" w:firstLineChars="0"/>
              <w:jc w:val="both"/>
              <w:rPr>
                <w:rFonts w:hint="eastAsia" w:ascii="宋体" w:hAnsi="宋体" w:eastAsia="宋体" w:cs="宋体"/>
                <w:color w:val="auto"/>
                <w:kern w:val="2"/>
                <w:sz w:val="21"/>
                <w:szCs w:val="21"/>
              </w:rPr>
            </w:pPr>
          </w:p>
        </w:tc>
        <w:tc>
          <w:tcPr>
            <w:tcW w:w="1013" w:type="dxa"/>
            <w:noWrap/>
            <w:vAlign w:val="center"/>
          </w:tcPr>
          <w:p w14:paraId="54A00922">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每季一次</w:t>
            </w:r>
          </w:p>
        </w:tc>
        <w:tc>
          <w:tcPr>
            <w:tcW w:w="5220" w:type="dxa"/>
            <w:noWrap/>
            <w:vAlign w:val="center"/>
          </w:tcPr>
          <w:p w14:paraId="48E26037">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1.清理污泥，疏通下水管道。</w:t>
            </w:r>
          </w:p>
          <w:p w14:paraId="22254A65">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2.各类井盖及金属构件刷漆。</w:t>
            </w:r>
          </w:p>
        </w:tc>
        <w:tc>
          <w:tcPr>
            <w:tcW w:w="2223" w:type="dxa"/>
            <w:noWrap/>
            <w:vAlign w:val="center"/>
          </w:tcPr>
          <w:p w14:paraId="07165028">
            <w:pPr>
              <w:snapToGrid w:val="0"/>
              <w:spacing w:line="240" w:lineRule="auto"/>
              <w:ind w:firstLine="0" w:firstLineChars="0"/>
              <w:jc w:val="both"/>
              <w:rPr>
                <w:rFonts w:hint="eastAsia" w:ascii="宋体" w:hAnsi="宋体" w:eastAsia="宋体" w:cs="宋体"/>
                <w:color w:val="auto"/>
                <w:kern w:val="2"/>
                <w:sz w:val="21"/>
                <w:szCs w:val="21"/>
              </w:rPr>
            </w:pPr>
          </w:p>
        </w:tc>
      </w:tr>
    </w:tbl>
    <w:p w14:paraId="066F72CB">
      <w:pPr>
        <w:bidi w:val="0"/>
        <w:spacing w:line="360" w:lineRule="auto"/>
        <w:ind w:firstLine="422" w:firstLineChars="200"/>
        <w:outlineLvl w:val="3"/>
        <w:rPr>
          <w:rFonts w:hint="eastAsia" w:ascii="宋体" w:hAnsi="宋体" w:eastAsia="宋体" w:cs="宋体"/>
          <w:b/>
          <w:bCs/>
          <w:color w:val="auto"/>
          <w:sz w:val="21"/>
          <w:szCs w:val="21"/>
          <w:lang w:val="en-US" w:eastAsia="zh-CN"/>
        </w:rPr>
      </w:pPr>
      <w:bookmarkStart w:id="633" w:name="_Toc260"/>
      <w:bookmarkStart w:id="634" w:name="_Toc19944"/>
      <w:bookmarkStart w:id="635" w:name="_Toc26048"/>
      <w:bookmarkStart w:id="636" w:name="_Toc2588"/>
      <w:bookmarkStart w:id="637" w:name="_Toc23850"/>
      <w:r>
        <w:rPr>
          <w:rFonts w:hint="eastAsia" w:ascii="宋体" w:hAnsi="宋体" w:eastAsia="宋体" w:cs="宋体"/>
          <w:b/>
          <w:bCs/>
          <w:color w:val="auto"/>
          <w:sz w:val="21"/>
          <w:szCs w:val="21"/>
          <w:lang w:val="en-US" w:eastAsia="zh-CN"/>
        </w:rPr>
        <w:t>2.2.9智能化系统维护与保养管理</w:t>
      </w:r>
      <w:bookmarkEnd w:id="633"/>
      <w:bookmarkEnd w:id="634"/>
      <w:bookmarkEnd w:id="635"/>
      <w:bookmarkEnd w:id="636"/>
      <w:bookmarkEnd w:id="637"/>
    </w:p>
    <w:p w14:paraId="7F15FA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eastAsia="zh-CN"/>
        </w:rPr>
        <w:t>建立24小时维修值班制度，及时排除故障，确保智能化系统24小时正常、安全运行，做好各项运行和维修保养记录。</w:t>
      </w:r>
      <w:r>
        <w:rPr>
          <w:rFonts w:hint="eastAsia" w:ascii="宋体" w:hAnsi="宋体" w:eastAsia="宋体" w:cs="宋体"/>
          <w:color w:val="auto"/>
          <w:sz w:val="21"/>
          <w:szCs w:val="21"/>
          <w:highlight w:val="none"/>
        </w:rPr>
        <w:t>确保相关设备100%完好率，每4小时巡检一次并做好台账。</w:t>
      </w:r>
      <w:r>
        <w:rPr>
          <w:rFonts w:hint="eastAsia" w:ascii="宋体" w:hAnsi="宋体" w:eastAsia="宋体" w:cs="宋体"/>
          <w:color w:val="auto"/>
          <w:sz w:val="21"/>
          <w:szCs w:val="21"/>
          <w:highlight w:val="none"/>
          <w:lang w:val="en-US" w:eastAsia="zh-CN"/>
        </w:rPr>
        <w:t>保养要求如下：</w:t>
      </w:r>
    </w:p>
    <w:tbl>
      <w:tblPr>
        <w:tblStyle w:val="41"/>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929"/>
        <w:gridCol w:w="963"/>
        <w:gridCol w:w="4917"/>
        <w:gridCol w:w="1351"/>
      </w:tblGrid>
      <w:tr w14:paraId="0089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noWrap/>
            <w:vAlign w:val="center"/>
          </w:tcPr>
          <w:p w14:paraId="2248557F">
            <w:pPr>
              <w:tabs>
                <w:tab w:val="left" w:pos="-51"/>
                <w:tab w:val="left" w:pos="878"/>
              </w:tabs>
              <w:snapToGrid w:val="0"/>
              <w:spacing w:line="240" w:lineRule="auto"/>
              <w:ind w:firstLine="0" w:firstLineChars="0"/>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项目</w:t>
            </w:r>
          </w:p>
        </w:tc>
        <w:tc>
          <w:tcPr>
            <w:tcW w:w="929" w:type="dxa"/>
            <w:noWrap/>
            <w:vAlign w:val="center"/>
          </w:tcPr>
          <w:p w14:paraId="43D854AE">
            <w:pPr>
              <w:tabs>
                <w:tab w:val="left" w:pos="-51"/>
                <w:tab w:val="left" w:pos="878"/>
              </w:tabs>
              <w:snapToGrid w:val="0"/>
              <w:spacing w:line="240" w:lineRule="auto"/>
              <w:ind w:firstLine="0" w:firstLineChars="0"/>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设备名称</w:t>
            </w:r>
          </w:p>
        </w:tc>
        <w:tc>
          <w:tcPr>
            <w:tcW w:w="963" w:type="dxa"/>
            <w:noWrap/>
            <w:vAlign w:val="center"/>
          </w:tcPr>
          <w:p w14:paraId="67FC65C1">
            <w:pPr>
              <w:tabs>
                <w:tab w:val="left" w:pos="-51"/>
                <w:tab w:val="left" w:pos="878"/>
              </w:tabs>
              <w:snapToGrid w:val="0"/>
              <w:spacing w:line="240" w:lineRule="auto"/>
              <w:ind w:firstLine="0" w:firstLineChars="0"/>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频次</w:t>
            </w:r>
          </w:p>
        </w:tc>
        <w:tc>
          <w:tcPr>
            <w:tcW w:w="4917" w:type="dxa"/>
            <w:noWrap/>
            <w:vAlign w:val="center"/>
          </w:tcPr>
          <w:p w14:paraId="12A22AD9">
            <w:pPr>
              <w:tabs>
                <w:tab w:val="left" w:pos="-51"/>
                <w:tab w:val="left" w:pos="878"/>
              </w:tabs>
              <w:snapToGrid w:val="0"/>
              <w:spacing w:line="240" w:lineRule="auto"/>
              <w:ind w:firstLine="0" w:firstLineChars="0"/>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保养内容</w:t>
            </w:r>
          </w:p>
        </w:tc>
        <w:tc>
          <w:tcPr>
            <w:tcW w:w="1351" w:type="dxa"/>
            <w:noWrap/>
            <w:vAlign w:val="center"/>
          </w:tcPr>
          <w:p w14:paraId="2B7EC96F">
            <w:pPr>
              <w:tabs>
                <w:tab w:val="left" w:pos="-51"/>
                <w:tab w:val="left" w:pos="878"/>
              </w:tabs>
              <w:snapToGrid w:val="0"/>
              <w:spacing w:line="240" w:lineRule="auto"/>
              <w:ind w:firstLine="0" w:firstLineChars="0"/>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保养要求</w:t>
            </w:r>
          </w:p>
        </w:tc>
      </w:tr>
      <w:tr w14:paraId="5112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231" w:type="dxa"/>
            <w:gridSpan w:val="5"/>
            <w:noWrap/>
            <w:vAlign w:val="center"/>
          </w:tcPr>
          <w:p w14:paraId="51D50E0D">
            <w:pPr>
              <w:tabs>
                <w:tab w:val="left" w:pos="-51"/>
                <w:tab w:val="left" w:pos="878"/>
              </w:tabs>
              <w:snapToGrid w:val="0"/>
              <w:spacing w:line="240" w:lineRule="auto"/>
              <w:ind w:firstLine="0" w:firstLineChars="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一、通信自动化系统</w:t>
            </w:r>
          </w:p>
        </w:tc>
      </w:tr>
      <w:tr w14:paraId="47D2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00" w:type="dxa"/>
            <w:gridSpan w:val="2"/>
            <w:noWrap/>
            <w:vAlign w:val="center"/>
          </w:tcPr>
          <w:p w14:paraId="4FF19F24">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综合布线系统</w:t>
            </w:r>
          </w:p>
        </w:tc>
        <w:tc>
          <w:tcPr>
            <w:tcW w:w="963" w:type="dxa"/>
            <w:noWrap/>
            <w:vAlign w:val="center"/>
          </w:tcPr>
          <w:p w14:paraId="7C317220">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日常维护</w:t>
            </w:r>
          </w:p>
        </w:tc>
        <w:tc>
          <w:tcPr>
            <w:tcW w:w="4917" w:type="dxa"/>
            <w:noWrap/>
            <w:vAlign w:val="center"/>
          </w:tcPr>
          <w:p w14:paraId="1043C3D5">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1.清除机柜内外综合布线系统上的灰尘。</w:t>
            </w:r>
          </w:p>
          <w:p w14:paraId="42C86CD6">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2.检查综合布线桥架的平整度，对发生变形、支架螺丝脱落等与安装图纸不相符合的情况进行修复。</w:t>
            </w:r>
          </w:p>
          <w:p w14:paraId="230D99E7">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3.检查机房内双绞线上、面板上、配线架、跳线上的标签是否粘连牢固，更换有损伤的标签。</w:t>
            </w:r>
          </w:p>
          <w:p w14:paraId="412FE142">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4.使用性能测试仪对铜缆信道和未使用的光纤信道进行抽检，并与原始记录进行核对。</w:t>
            </w:r>
          </w:p>
          <w:p w14:paraId="10D5FD36">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5.对电子配线架系统进行抽样检查，检查实时报警的响应时间和报警音响是否正常工作。</w:t>
            </w:r>
          </w:p>
          <w:p w14:paraId="2A5990BD">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6.检查综合布线管理软件(含电子配线架中的软件)电子记录是否完整性。</w:t>
            </w:r>
          </w:p>
        </w:tc>
        <w:tc>
          <w:tcPr>
            <w:tcW w:w="1351" w:type="dxa"/>
            <w:noWrap/>
            <w:vAlign w:val="center"/>
          </w:tcPr>
          <w:p w14:paraId="6A98E682">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线缆捆扎整齐，无随意乱拉的飞线、跳线，运行正常。</w:t>
            </w:r>
          </w:p>
        </w:tc>
      </w:tr>
      <w:tr w14:paraId="54EA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00" w:type="dxa"/>
            <w:gridSpan w:val="2"/>
            <w:noWrap/>
            <w:vAlign w:val="center"/>
          </w:tcPr>
          <w:p w14:paraId="06CE1C62">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计算机网络系统</w:t>
            </w:r>
          </w:p>
        </w:tc>
        <w:tc>
          <w:tcPr>
            <w:tcW w:w="963" w:type="dxa"/>
            <w:noWrap/>
            <w:vAlign w:val="center"/>
          </w:tcPr>
          <w:p w14:paraId="005A8616">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日常维护</w:t>
            </w:r>
          </w:p>
        </w:tc>
        <w:tc>
          <w:tcPr>
            <w:tcW w:w="4917" w:type="dxa"/>
            <w:noWrap/>
            <w:vAlign w:val="center"/>
          </w:tcPr>
          <w:p w14:paraId="0BA216E6">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1.更新计算机杀毒软件，系统全面查杀病毒，优化整理磁盘空间。</w:t>
            </w:r>
          </w:p>
          <w:p w14:paraId="46E10E32">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2.检查计算机所用电源与接电线路是否负载过大。</w:t>
            </w:r>
          </w:p>
          <w:p w14:paraId="3F016CBB">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3.测试网络连接，保证网络上每一个节点的工作站网络接入正常。</w:t>
            </w:r>
          </w:p>
          <w:p w14:paraId="34E8CE62">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4.配线间的日常清洁。</w:t>
            </w:r>
          </w:p>
        </w:tc>
        <w:tc>
          <w:tcPr>
            <w:tcW w:w="1351" w:type="dxa"/>
            <w:noWrap/>
            <w:vAlign w:val="center"/>
          </w:tcPr>
          <w:p w14:paraId="2A2C1F3A">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运行稳定，无异常。</w:t>
            </w:r>
          </w:p>
        </w:tc>
      </w:tr>
      <w:tr w14:paraId="3910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00" w:type="dxa"/>
            <w:gridSpan w:val="2"/>
            <w:noWrap/>
            <w:vAlign w:val="center"/>
          </w:tcPr>
          <w:p w14:paraId="3205255F">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光纤入户</w:t>
            </w:r>
          </w:p>
        </w:tc>
        <w:tc>
          <w:tcPr>
            <w:tcW w:w="963" w:type="dxa"/>
            <w:noWrap/>
            <w:vAlign w:val="center"/>
          </w:tcPr>
          <w:p w14:paraId="307575F0">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日常维护</w:t>
            </w:r>
          </w:p>
        </w:tc>
        <w:tc>
          <w:tcPr>
            <w:tcW w:w="4917" w:type="dxa"/>
            <w:noWrap/>
            <w:vAlign w:val="center"/>
          </w:tcPr>
          <w:p w14:paraId="7110E5E8">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测试网络连接是否正常、信号强度是否稳定。</w:t>
            </w:r>
          </w:p>
        </w:tc>
        <w:tc>
          <w:tcPr>
            <w:tcW w:w="1351" w:type="dxa"/>
            <w:noWrap/>
            <w:vAlign w:val="center"/>
          </w:tcPr>
          <w:p w14:paraId="3958C569">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网络正常，信号稳定。</w:t>
            </w:r>
          </w:p>
        </w:tc>
      </w:tr>
      <w:tr w14:paraId="76A4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00" w:type="dxa"/>
            <w:gridSpan w:val="2"/>
            <w:noWrap/>
            <w:vAlign w:val="center"/>
          </w:tcPr>
          <w:p w14:paraId="510C33B8">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信息引导和发布系统</w:t>
            </w:r>
          </w:p>
        </w:tc>
        <w:tc>
          <w:tcPr>
            <w:tcW w:w="963" w:type="dxa"/>
            <w:noWrap/>
            <w:vAlign w:val="center"/>
          </w:tcPr>
          <w:p w14:paraId="0AA4E135">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日常维护</w:t>
            </w:r>
          </w:p>
        </w:tc>
        <w:tc>
          <w:tcPr>
            <w:tcW w:w="4917" w:type="dxa"/>
            <w:noWrap/>
            <w:vAlign w:val="center"/>
          </w:tcPr>
          <w:p w14:paraId="3519EAFD">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检查显示屏及控制系统工作情况。</w:t>
            </w:r>
          </w:p>
        </w:tc>
        <w:tc>
          <w:tcPr>
            <w:tcW w:w="1351" w:type="dxa"/>
            <w:noWrap/>
            <w:vAlign w:val="center"/>
          </w:tcPr>
          <w:p w14:paraId="22A9BD04">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工作正常、清洁。</w:t>
            </w:r>
          </w:p>
        </w:tc>
      </w:tr>
      <w:tr w14:paraId="20CF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00" w:type="dxa"/>
            <w:gridSpan w:val="2"/>
            <w:noWrap/>
            <w:vAlign w:val="center"/>
          </w:tcPr>
          <w:p w14:paraId="5977D348">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无线WIFI接入及认证系统</w:t>
            </w:r>
          </w:p>
        </w:tc>
        <w:tc>
          <w:tcPr>
            <w:tcW w:w="963" w:type="dxa"/>
            <w:noWrap/>
            <w:vAlign w:val="center"/>
          </w:tcPr>
          <w:p w14:paraId="57302837">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日常维护</w:t>
            </w:r>
          </w:p>
        </w:tc>
        <w:tc>
          <w:tcPr>
            <w:tcW w:w="4917" w:type="dxa"/>
            <w:noWrap/>
            <w:vAlign w:val="center"/>
          </w:tcPr>
          <w:p w14:paraId="2D05549A">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测试网络连接是否正常、信号强度是否稳定。</w:t>
            </w:r>
          </w:p>
        </w:tc>
        <w:tc>
          <w:tcPr>
            <w:tcW w:w="1351" w:type="dxa"/>
            <w:noWrap/>
            <w:vAlign w:val="center"/>
          </w:tcPr>
          <w:p w14:paraId="641AECF7">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网络正常，信号稳定。</w:t>
            </w:r>
          </w:p>
        </w:tc>
      </w:tr>
      <w:tr w14:paraId="244C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00" w:type="dxa"/>
            <w:gridSpan w:val="2"/>
            <w:noWrap/>
            <w:vAlign w:val="center"/>
          </w:tcPr>
          <w:p w14:paraId="0AD6C306">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5G信号覆盖</w:t>
            </w:r>
          </w:p>
        </w:tc>
        <w:tc>
          <w:tcPr>
            <w:tcW w:w="963" w:type="dxa"/>
            <w:noWrap/>
            <w:vAlign w:val="center"/>
          </w:tcPr>
          <w:p w14:paraId="7BC1F119">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日常维护</w:t>
            </w:r>
          </w:p>
        </w:tc>
        <w:tc>
          <w:tcPr>
            <w:tcW w:w="4917" w:type="dxa"/>
            <w:noWrap/>
            <w:vAlign w:val="center"/>
          </w:tcPr>
          <w:p w14:paraId="0B44EB3C">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测试网络连接是否正常、信号强度是否稳定。</w:t>
            </w:r>
          </w:p>
        </w:tc>
        <w:tc>
          <w:tcPr>
            <w:tcW w:w="1351" w:type="dxa"/>
            <w:noWrap/>
            <w:vAlign w:val="center"/>
          </w:tcPr>
          <w:p w14:paraId="44845053">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网络正常，信号稳定。</w:t>
            </w:r>
          </w:p>
        </w:tc>
      </w:tr>
      <w:tr w14:paraId="0CF3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00" w:type="dxa"/>
            <w:gridSpan w:val="2"/>
            <w:noWrap/>
            <w:vAlign w:val="center"/>
          </w:tcPr>
          <w:p w14:paraId="2A8BFC3B">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弱电UPS备用电源系统</w:t>
            </w:r>
          </w:p>
        </w:tc>
        <w:tc>
          <w:tcPr>
            <w:tcW w:w="963" w:type="dxa"/>
            <w:noWrap/>
            <w:vAlign w:val="center"/>
          </w:tcPr>
          <w:p w14:paraId="5257ED0C">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日常维护</w:t>
            </w:r>
          </w:p>
        </w:tc>
        <w:tc>
          <w:tcPr>
            <w:tcW w:w="4917" w:type="dxa"/>
            <w:noWrap/>
            <w:vAlign w:val="center"/>
          </w:tcPr>
          <w:p w14:paraId="2373BD6A">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1.检查室内温度是否过高或过低。</w:t>
            </w:r>
          </w:p>
          <w:p w14:paraId="6C79019A">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2.清理室内灰尘，检查室内通风是否正常。</w:t>
            </w:r>
          </w:p>
          <w:p w14:paraId="1055DBC4">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3.检查UPS运行状态是否正常，记录各种运行数据。</w:t>
            </w:r>
          </w:p>
          <w:p w14:paraId="59CA6EA7">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4.检查UPS主机内部有无异响、震动，风扇有无异响，滤网是否干净，运行是否正常。</w:t>
            </w:r>
          </w:p>
          <w:p w14:paraId="5297DADB">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5.检查UPS入、输出柜各进出线开关状态是否正常。</w:t>
            </w:r>
          </w:p>
          <w:p w14:paraId="31F98B5E">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6.检查电池外观有无明显鼓胀、渗液或开裂。</w:t>
            </w:r>
          </w:p>
        </w:tc>
        <w:tc>
          <w:tcPr>
            <w:tcW w:w="1351" w:type="dxa"/>
            <w:noWrap/>
            <w:vAlign w:val="center"/>
          </w:tcPr>
          <w:p w14:paraId="2FD6F5FF">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运行稳定，无异常。</w:t>
            </w:r>
          </w:p>
        </w:tc>
      </w:tr>
      <w:tr w14:paraId="26FF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231" w:type="dxa"/>
            <w:gridSpan w:val="5"/>
            <w:noWrap/>
            <w:vAlign w:val="center"/>
          </w:tcPr>
          <w:p w14:paraId="03398B18">
            <w:pPr>
              <w:tabs>
                <w:tab w:val="left" w:pos="-51"/>
                <w:tab w:val="left" w:pos="878"/>
              </w:tabs>
              <w:snapToGrid w:val="0"/>
              <w:spacing w:line="240" w:lineRule="auto"/>
              <w:ind w:firstLine="0" w:firstLineChars="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二、楼宇智能化系统</w:t>
            </w:r>
          </w:p>
        </w:tc>
      </w:tr>
      <w:tr w14:paraId="0CE5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00" w:type="dxa"/>
            <w:gridSpan w:val="2"/>
            <w:noWrap/>
            <w:vAlign w:val="center"/>
          </w:tcPr>
          <w:p w14:paraId="2D6C90EE">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智能照明系统</w:t>
            </w:r>
          </w:p>
        </w:tc>
        <w:tc>
          <w:tcPr>
            <w:tcW w:w="963" w:type="dxa"/>
            <w:noWrap/>
            <w:vAlign w:val="center"/>
          </w:tcPr>
          <w:p w14:paraId="41734F57">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每月一次</w:t>
            </w:r>
          </w:p>
        </w:tc>
        <w:tc>
          <w:tcPr>
            <w:tcW w:w="4917" w:type="dxa"/>
            <w:noWrap/>
            <w:vAlign w:val="center"/>
          </w:tcPr>
          <w:p w14:paraId="1800FDB8">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1.灯具表面、配电柜内清扫除尘。</w:t>
            </w:r>
          </w:p>
          <w:p w14:paraId="438D2E7D">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2.检查照明灯具是否正常工作，是否有划伤、破裂现象。</w:t>
            </w:r>
          </w:p>
          <w:p w14:paraId="13CF45C2">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3.检查配电柜内开关、接触器与电线的接触情况是否良好，螺丝有无松动，标识是否脱落。</w:t>
            </w:r>
          </w:p>
          <w:p w14:paraId="6AE0E13E">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4.测量柜中给主机供电的电源的电压，保证其稳定性。</w:t>
            </w:r>
          </w:p>
        </w:tc>
        <w:tc>
          <w:tcPr>
            <w:tcW w:w="1351" w:type="dxa"/>
            <w:noWrap/>
            <w:vAlign w:val="center"/>
          </w:tcPr>
          <w:p w14:paraId="010DB566">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各零部件无损坏、无老化。</w:t>
            </w:r>
          </w:p>
        </w:tc>
      </w:tr>
      <w:tr w14:paraId="5CE5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00" w:type="dxa"/>
            <w:gridSpan w:val="2"/>
            <w:noWrap/>
            <w:vAlign w:val="center"/>
          </w:tcPr>
          <w:p w14:paraId="12C28E89">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背景音乐和广播系统</w:t>
            </w:r>
          </w:p>
        </w:tc>
        <w:tc>
          <w:tcPr>
            <w:tcW w:w="963" w:type="dxa"/>
            <w:noWrap/>
            <w:vAlign w:val="center"/>
          </w:tcPr>
          <w:p w14:paraId="4955038B">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日常维护</w:t>
            </w:r>
          </w:p>
        </w:tc>
        <w:tc>
          <w:tcPr>
            <w:tcW w:w="4917" w:type="dxa"/>
            <w:noWrap/>
            <w:vAlign w:val="center"/>
          </w:tcPr>
          <w:p w14:paraId="21D67381">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检查背景音乐和广播系统工作情况。</w:t>
            </w:r>
          </w:p>
        </w:tc>
        <w:tc>
          <w:tcPr>
            <w:tcW w:w="1351" w:type="dxa"/>
            <w:noWrap/>
            <w:vAlign w:val="center"/>
          </w:tcPr>
          <w:p w14:paraId="454E5C41">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系统稳定、工作正常。</w:t>
            </w:r>
          </w:p>
        </w:tc>
      </w:tr>
      <w:tr w14:paraId="730D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71" w:type="dxa"/>
            <w:vMerge w:val="restart"/>
            <w:noWrap/>
            <w:vAlign w:val="center"/>
          </w:tcPr>
          <w:p w14:paraId="6426453D">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门禁系统</w:t>
            </w:r>
          </w:p>
        </w:tc>
        <w:tc>
          <w:tcPr>
            <w:tcW w:w="929" w:type="dxa"/>
            <w:vMerge w:val="restart"/>
            <w:noWrap/>
            <w:vAlign w:val="center"/>
          </w:tcPr>
          <w:p w14:paraId="57C9F40C">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通道闸</w:t>
            </w:r>
          </w:p>
        </w:tc>
        <w:tc>
          <w:tcPr>
            <w:tcW w:w="963" w:type="dxa"/>
            <w:noWrap/>
            <w:vAlign w:val="center"/>
          </w:tcPr>
          <w:p w14:paraId="0069835B">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日常维护</w:t>
            </w:r>
          </w:p>
        </w:tc>
        <w:tc>
          <w:tcPr>
            <w:tcW w:w="4917" w:type="dxa"/>
            <w:noWrap/>
            <w:vAlign w:val="center"/>
          </w:tcPr>
          <w:p w14:paraId="07D30211">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1.检查所有道闸是否开闭正常，外表有无划痕，指示灯是否正常工作。</w:t>
            </w:r>
          </w:p>
          <w:p w14:paraId="1E77EE5A">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2.清抹道闸。</w:t>
            </w:r>
          </w:p>
        </w:tc>
        <w:tc>
          <w:tcPr>
            <w:tcW w:w="1351" w:type="dxa"/>
            <w:noWrap/>
            <w:vAlign w:val="center"/>
          </w:tcPr>
          <w:p w14:paraId="4D8D405B">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外观良好、运行正常。</w:t>
            </w:r>
          </w:p>
        </w:tc>
      </w:tr>
      <w:tr w14:paraId="78A1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71" w:type="dxa"/>
            <w:vMerge w:val="continue"/>
            <w:noWrap/>
            <w:vAlign w:val="center"/>
          </w:tcPr>
          <w:p w14:paraId="7637B91F">
            <w:pPr>
              <w:snapToGrid w:val="0"/>
              <w:spacing w:line="240" w:lineRule="auto"/>
              <w:ind w:firstLine="0" w:firstLineChars="0"/>
              <w:rPr>
                <w:rFonts w:hint="eastAsia" w:ascii="宋体" w:hAnsi="宋体" w:eastAsia="宋体" w:cs="宋体"/>
                <w:b w:val="0"/>
                <w:bCs/>
                <w:color w:val="auto"/>
                <w:sz w:val="21"/>
                <w:szCs w:val="21"/>
              </w:rPr>
            </w:pPr>
          </w:p>
        </w:tc>
        <w:tc>
          <w:tcPr>
            <w:tcW w:w="929" w:type="dxa"/>
            <w:vMerge w:val="continue"/>
            <w:noWrap/>
            <w:vAlign w:val="center"/>
          </w:tcPr>
          <w:p w14:paraId="5DC8C488">
            <w:pPr>
              <w:snapToGrid w:val="0"/>
              <w:spacing w:line="240" w:lineRule="auto"/>
              <w:ind w:firstLine="0" w:firstLineChars="0"/>
              <w:rPr>
                <w:rFonts w:hint="eastAsia" w:ascii="宋体" w:hAnsi="宋体" w:eastAsia="宋体" w:cs="宋体"/>
                <w:b w:val="0"/>
                <w:bCs/>
                <w:color w:val="auto"/>
                <w:sz w:val="21"/>
                <w:szCs w:val="21"/>
              </w:rPr>
            </w:pPr>
          </w:p>
        </w:tc>
        <w:tc>
          <w:tcPr>
            <w:tcW w:w="963" w:type="dxa"/>
            <w:noWrap/>
            <w:vAlign w:val="center"/>
          </w:tcPr>
          <w:p w14:paraId="59CB8110">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每年两次</w:t>
            </w:r>
          </w:p>
        </w:tc>
        <w:tc>
          <w:tcPr>
            <w:tcW w:w="4917" w:type="dxa"/>
            <w:noWrap/>
            <w:vAlign w:val="center"/>
          </w:tcPr>
          <w:p w14:paraId="38212E39">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1.检查道闸开闭时间是否符合使用要求。</w:t>
            </w:r>
          </w:p>
          <w:p w14:paraId="29E8326F">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2.检查内部硬件是否正常工作，清理内部硬件设备上的灰尘及杂物，</w:t>
            </w:r>
          </w:p>
          <w:p w14:paraId="533CA3E6">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3.检查并更换道闸上的老化软胶。</w:t>
            </w:r>
          </w:p>
          <w:p w14:paraId="16E21320">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4.检查并更换道闸上损坏的红外线器件。</w:t>
            </w:r>
          </w:p>
          <w:p w14:paraId="7E4ADF8F">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5.检查各连接端口、摆闸、螺丝是否牢固，添加润滑油。</w:t>
            </w:r>
          </w:p>
        </w:tc>
        <w:tc>
          <w:tcPr>
            <w:tcW w:w="1351" w:type="dxa"/>
            <w:noWrap/>
            <w:vAlign w:val="center"/>
          </w:tcPr>
          <w:p w14:paraId="2315D5A2">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各零部件无损坏、无老化。</w:t>
            </w:r>
          </w:p>
        </w:tc>
      </w:tr>
      <w:tr w14:paraId="1862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71" w:type="dxa"/>
            <w:vMerge w:val="continue"/>
            <w:noWrap/>
            <w:vAlign w:val="center"/>
          </w:tcPr>
          <w:p w14:paraId="785A0884">
            <w:pPr>
              <w:snapToGrid w:val="0"/>
              <w:spacing w:line="240" w:lineRule="auto"/>
              <w:ind w:firstLine="0" w:firstLineChars="0"/>
              <w:rPr>
                <w:rFonts w:hint="eastAsia" w:ascii="宋体" w:hAnsi="宋体" w:eastAsia="宋体" w:cs="宋体"/>
                <w:b w:val="0"/>
                <w:bCs/>
                <w:color w:val="auto"/>
                <w:sz w:val="21"/>
                <w:szCs w:val="21"/>
              </w:rPr>
            </w:pPr>
          </w:p>
        </w:tc>
        <w:tc>
          <w:tcPr>
            <w:tcW w:w="929" w:type="dxa"/>
            <w:noWrap/>
            <w:vAlign w:val="center"/>
          </w:tcPr>
          <w:p w14:paraId="49BBAE2D">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考勤机</w:t>
            </w:r>
          </w:p>
        </w:tc>
        <w:tc>
          <w:tcPr>
            <w:tcW w:w="963" w:type="dxa"/>
            <w:noWrap/>
            <w:vAlign w:val="center"/>
          </w:tcPr>
          <w:p w14:paraId="0605A2BF">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日常维护</w:t>
            </w:r>
          </w:p>
        </w:tc>
        <w:tc>
          <w:tcPr>
            <w:tcW w:w="4917" w:type="dxa"/>
            <w:noWrap/>
            <w:vAlign w:val="center"/>
          </w:tcPr>
          <w:p w14:paraId="04C0810C">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1.清洁考勤机。</w:t>
            </w:r>
          </w:p>
          <w:p w14:paraId="389074F2">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2.检查考勤机是否工作正常。</w:t>
            </w:r>
          </w:p>
        </w:tc>
        <w:tc>
          <w:tcPr>
            <w:tcW w:w="1351" w:type="dxa"/>
            <w:noWrap/>
            <w:vAlign w:val="center"/>
          </w:tcPr>
          <w:p w14:paraId="4D17300F">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设备干净、运行正常。</w:t>
            </w:r>
          </w:p>
        </w:tc>
      </w:tr>
      <w:tr w14:paraId="08BE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vMerge w:val="continue"/>
            <w:noWrap/>
            <w:vAlign w:val="center"/>
          </w:tcPr>
          <w:p w14:paraId="2E2A3D6F">
            <w:pPr>
              <w:snapToGrid w:val="0"/>
              <w:spacing w:line="240" w:lineRule="auto"/>
              <w:ind w:firstLine="0" w:firstLineChars="0"/>
              <w:rPr>
                <w:rFonts w:hint="eastAsia" w:ascii="宋体" w:hAnsi="宋体" w:eastAsia="宋体" w:cs="宋体"/>
                <w:b w:val="0"/>
                <w:bCs/>
                <w:color w:val="auto"/>
                <w:sz w:val="21"/>
                <w:szCs w:val="21"/>
              </w:rPr>
            </w:pPr>
          </w:p>
        </w:tc>
        <w:tc>
          <w:tcPr>
            <w:tcW w:w="929" w:type="dxa"/>
            <w:noWrap/>
            <w:vAlign w:val="center"/>
          </w:tcPr>
          <w:p w14:paraId="09343D74">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身份识别系统</w:t>
            </w:r>
          </w:p>
        </w:tc>
        <w:tc>
          <w:tcPr>
            <w:tcW w:w="963" w:type="dxa"/>
            <w:noWrap/>
            <w:vAlign w:val="center"/>
          </w:tcPr>
          <w:p w14:paraId="4362F69F">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日常维护</w:t>
            </w:r>
          </w:p>
        </w:tc>
        <w:tc>
          <w:tcPr>
            <w:tcW w:w="4917" w:type="dxa"/>
            <w:noWrap/>
            <w:vAlign w:val="center"/>
          </w:tcPr>
          <w:p w14:paraId="2A1F67B0">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1.检查外表是否完好，清洁机身。</w:t>
            </w:r>
          </w:p>
          <w:p w14:paraId="39445D7C">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2.检查身份识别显示屏是否显示正常，刷卡人员与显示资料是否匹配。</w:t>
            </w:r>
          </w:p>
          <w:p w14:paraId="1360BE50">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3.更新管理电脑的杀毒软件，为系统全面查杀病毒，优化整理磁盘空间，每周1次。</w:t>
            </w:r>
          </w:p>
        </w:tc>
        <w:tc>
          <w:tcPr>
            <w:tcW w:w="1351" w:type="dxa"/>
            <w:noWrap/>
            <w:vAlign w:val="center"/>
          </w:tcPr>
          <w:p w14:paraId="3ADC7804">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设备干净、运行正常。</w:t>
            </w:r>
          </w:p>
        </w:tc>
      </w:tr>
      <w:tr w14:paraId="16DD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vMerge w:val="continue"/>
            <w:noWrap/>
            <w:vAlign w:val="center"/>
          </w:tcPr>
          <w:p w14:paraId="7A0FE724">
            <w:pPr>
              <w:snapToGrid w:val="0"/>
              <w:spacing w:line="240" w:lineRule="auto"/>
              <w:ind w:firstLine="0" w:firstLineChars="0"/>
              <w:rPr>
                <w:rFonts w:hint="eastAsia" w:ascii="宋体" w:hAnsi="宋体" w:eastAsia="宋体" w:cs="宋体"/>
                <w:b w:val="0"/>
                <w:bCs/>
                <w:color w:val="auto"/>
                <w:sz w:val="21"/>
                <w:szCs w:val="21"/>
              </w:rPr>
            </w:pPr>
          </w:p>
        </w:tc>
        <w:tc>
          <w:tcPr>
            <w:tcW w:w="929" w:type="dxa"/>
            <w:noWrap/>
            <w:vAlign w:val="center"/>
          </w:tcPr>
          <w:p w14:paraId="500AC1E3">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服务器</w:t>
            </w:r>
          </w:p>
        </w:tc>
        <w:tc>
          <w:tcPr>
            <w:tcW w:w="963" w:type="dxa"/>
            <w:noWrap/>
            <w:vAlign w:val="center"/>
          </w:tcPr>
          <w:p w14:paraId="0C97BE08">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每月一次</w:t>
            </w:r>
          </w:p>
        </w:tc>
        <w:tc>
          <w:tcPr>
            <w:tcW w:w="4917" w:type="dxa"/>
            <w:noWrap/>
            <w:vAlign w:val="center"/>
          </w:tcPr>
          <w:p w14:paraId="159E85E6">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1.全面诊断设备硬件。</w:t>
            </w:r>
          </w:p>
          <w:p w14:paraId="17E4E4B9">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2.检查系统性能和状态、使用记录、错误的历史记录，针对检查结果提供分析报告，并书面提交用户。</w:t>
            </w:r>
          </w:p>
          <w:p w14:paraId="2FBA9725">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3.更新服务器及客户端电脑的杀毒软件，系统全面查杀病毒，优化整理磁盘空间。</w:t>
            </w:r>
          </w:p>
          <w:p w14:paraId="65FE182A">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4.提供所发布的相关软件更新和补丁的情况，及时通知影响系统安全运行的软件漏洞和修补方法。</w:t>
            </w:r>
          </w:p>
        </w:tc>
        <w:tc>
          <w:tcPr>
            <w:tcW w:w="1351" w:type="dxa"/>
            <w:noWrap/>
            <w:vAlign w:val="center"/>
          </w:tcPr>
          <w:p w14:paraId="6782B76D">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运行稳定，无异常。</w:t>
            </w:r>
          </w:p>
        </w:tc>
      </w:tr>
      <w:tr w14:paraId="737C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vMerge w:val="continue"/>
            <w:noWrap/>
            <w:vAlign w:val="center"/>
          </w:tcPr>
          <w:p w14:paraId="45B3542E">
            <w:pPr>
              <w:snapToGrid w:val="0"/>
              <w:spacing w:line="240" w:lineRule="auto"/>
              <w:ind w:firstLine="0" w:firstLineChars="0"/>
              <w:rPr>
                <w:rFonts w:hint="eastAsia" w:ascii="宋体" w:hAnsi="宋体" w:eastAsia="宋体" w:cs="宋体"/>
                <w:b w:val="0"/>
                <w:bCs/>
                <w:color w:val="auto"/>
                <w:sz w:val="21"/>
                <w:szCs w:val="21"/>
              </w:rPr>
            </w:pPr>
          </w:p>
        </w:tc>
        <w:tc>
          <w:tcPr>
            <w:tcW w:w="929" w:type="dxa"/>
            <w:noWrap/>
            <w:vAlign w:val="center"/>
          </w:tcPr>
          <w:p w14:paraId="23D20225">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弱电井设备</w:t>
            </w:r>
          </w:p>
        </w:tc>
        <w:tc>
          <w:tcPr>
            <w:tcW w:w="963" w:type="dxa"/>
            <w:noWrap/>
            <w:vAlign w:val="center"/>
          </w:tcPr>
          <w:p w14:paraId="55D95CCF">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每年两次</w:t>
            </w:r>
          </w:p>
        </w:tc>
        <w:tc>
          <w:tcPr>
            <w:tcW w:w="4917" w:type="dxa"/>
            <w:noWrap/>
            <w:vAlign w:val="center"/>
          </w:tcPr>
          <w:p w14:paraId="453DC03E">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清理弱电井设备上的灰尘，检查硬件设备是否正常工作，指示灯是否正常工作。</w:t>
            </w:r>
          </w:p>
        </w:tc>
        <w:tc>
          <w:tcPr>
            <w:tcW w:w="1351" w:type="dxa"/>
            <w:noWrap/>
            <w:vAlign w:val="center"/>
          </w:tcPr>
          <w:p w14:paraId="3DAB1D71">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硬件无尘、干净。</w:t>
            </w:r>
          </w:p>
        </w:tc>
      </w:tr>
      <w:tr w14:paraId="4AF22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vMerge w:val="continue"/>
            <w:noWrap/>
            <w:vAlign w:val="center"/>
          </w:tcPr>
          <w:p w14:paraId="21BDE534">
            <w:pPr>
              <w:snapToGrid w:val="0"/>
              <w:spacing w:line="240" w:lineRule="auto"/>
              <w:ind w:firstLine="0" w:firstLineChars="0"/>
              <w:rPr>
                <w:rFonts w:hint="eastAsia" w:ascii="宋体" w:hAnsi="宋体" w:eastAsia="宋体" w:cs="宋体"/>
                <w:b w:val="0"/>
                <w:bCs/>
                <w:color w:val="auto"/>
                <w:sz w:val="21"/>
                <w:szCs w:val="21"/>
              </w:rPr>
            </w:pPr>
          </w:p>
        </w:tc>
        <w:tc>
          <w:tcPr>
            <w:tcW w:w="929" w:type="dxa"/>
            <w:noWrap/>
            <w:vAlign w:val="center"/>
          </w:tcPr>
          <w:p w14:paraId="7D476382">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电插锁读卡器</w:t>
            </w:r>
          </w:p>
        </w:tc>
        <w:tc>
          <w:tcPr>
            <w:tcW w:w="963" w:type="dxa"/>
            <w:noWrap/>
            <w:vAlign w:val="center"/>
          </w:tcPr>
          <w:p w14:paraId="514F56F6">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日常维护</w:t>
            </w:r>
          </w:p>
        </w:tc>
        <w:tc>
          <w:tcPr>
            <w:tcW w:w="4917" w:type="dxa"/>
            <w:noWrap/>
            <w:vAlign w:val="center"/>
          </w:tcPr>
          <w:p w14:paraId="78D88BD0">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1.巡查所有电插锁与读卡器是否正常工作，如有损坏，必须马上更换。</w:t>
            </w:r>
          </w:p>
          <w:p w14:paraId="0B7F926F">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2.检查指示灯是否正常工作。</w:t>
            </w:r>
          </w:p>
        </w:tc>
        <w:tc>
          <w:tcPr>
            <w:tcW w:w="1351" w:type="dxa"/>
            <w:noWrap/>
            <w:vAlign w:val="center"/>
          </w:tcPr>
          <w:p w14:paraId="2E86509C">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工作状态正常。</w:t>
            </w:r>
          </w:p>
        </w:tc>
      </w:tr>
      <w:tr w14:paraId="188B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vMerge w:val="continue"/>
            <w:noWrap/>
            <w:vAlign w:val="center"/>
          </w:tcPr>
          <w:p w14:paraId="43821E2C">
            <w:pPr>
              <w:snapToGrid w:val="0"/>
              <w:spacing w:line="240" w:lineRule="auto"/>
              <w:ind w:firstLine="0" w:firstLineChars="0"/>
              <w:rPr>
                <w:rFonts w:hint="eastAsia" w:ascii="宋体" w:hAnsi="宋体" w:eastAsia="宋体" w:cs="宋体"/>
                <w:b w:val="0"/>
                <w:bCs/>
                <w:color w:val="auto"/>
                <w:sz w:val="21"/>
                <w:szCs w:val="21"/>
              </w:rPr>
            </w:pPr>
          </w:p>
        </w:tc>
        <w:tc>
          <w:tcPr>
            <w:tcW w:w="929" w:type="dxa"/>
            <w:noWrap/>
            <w:vAlign w:val="center"/>
          </w:tcPr>
          <w:p w14:paraId="26334BE7">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数据库</w:t>
            </w:r>
          </w:p>
        </w:tc>
        <w:tc>
          <w:tcPr>
            <w:tcW w:w="963" w:type="dxa"/>
            <w:noWrap/>
            <w:vAlign w:val="center"/>
          </w:tcPr>
          <w:p w14:paraId="6F6F2978">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每月一次</w:t>
            </w:r>
          </w:p>
        </w:tc>
        <w:tc>
          <w:tcPr>
            <w:tcW w:w="4917" w:type="dxa"/>
            <w:noWrap/>
            <w:vAlign w:val="center"/>
          </w:tcPr>
          <w:p w14:paraId="53BD926B">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1.检查数据库文件是否完好。</w:t>
            </w:r>
          </w:p>
          <w:p w14:paraId="6D718AE3">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2.数据备份。</w:t>
            </w:r>
          </w:p>
        </w:tc>
        <w:tc>
          <w:tcPr>
            <w:tcW w:w="1351" w:type="dxa"/>
            <w:noWrap/>
            <w:vAlign w:val="center"/>
          </w:tcPr>
          <w:p w14:paraId="7FD821D7">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系统稳定</w:t>
            </w:r>
          </w:p>
        </w:tc>
      </w:tr>
      <w:tr w14:paraId="7FAD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vMerge w:val="restart"/>
            <w:noWrap/>
            <w:vAlign w:val="center"/>
          </w:tcPr>
          <w:p w14:paraId="3D26491A">
            <w:pPr>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楼宇自控系统</w:t>
            </w:r>
          </w:p>
        </w:tc>
        <w:tc>
          <w:tcPr>
            <w:tcW w:w="929" w:type="dxa"/>
            <w:noWrap/>
            <w:vAlign w:val="center"/>
          </w:tcPr>
          <w:p w14:paraId="5DCFB783">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管理主机</w:t>
            </w:r>
          </w:p>
        </w:tc>
        <w:tc>
          <w:tcPr>
            <w:tcW w:w="963" w:type="dxa"/>
            <w:noWrap/>
            <w:vAlign w:val="center"/>
          </w:tcPr>
          <w:p w14:paraId="4476DB52">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每月一次</w:t>
            </w:r>
          </w:p>
        </w:tc>
        <w:tc>
          <w:tcPr>
            <w:tcW w:w="4917" w:type="dxa"/>
            <w:noWrap/>
            <w:vAlign w:val="center"/>
          </w:tcPr>
          <w:p w14:paraId="1235841B">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1.清除管理主机灰尘。</w:t>
            </w:r>
          </w:p>
          <w:p w14:paraId="55273212">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2.检查控制室内通风是否正常及温度情况。</w:t>
            </w:r>
          </w:p>
          <w:p w14:paraId="481C9F82">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3.检查主机电源供电情况是否正常。</w:t>
            </w:r>
          </w:p>
          <w:p w14:paraId="6FF45545">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4.更新计算机杀毒软件，系统全面查杀病毒，优化整理磁盘空间。</w:t>
            </w:r>
          </w:p>
        </w:tc>
        <w:tc>
          <w:tcPr>
            <w:tcW w:w="1351" w:type="dxa"/>
            <w:noWrap/>
            <w:vAlign w:val="center"/>
          </w:tcPr>
          <w:p w14:paraId="3A29AD0A">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系统稳定。</w:t>
            </w:r>
          </w:p>
        </w:tc>
      </w:tr>
      <w:tr w14:paraId="6E54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vMerge w:val="continue"/>
            <w:noWrap/>
            <w:vAlign w:val="center"/>
          </w:tcPr>
          <w:p w14:paraId="773AC027">
            <w:pPr>
              <w:snapToGrid w:val="0"/>
              <w:spacing w:line="240" w:lineRule="auto"/>
              <w:ind w:firstLine="0" w:firstLineChars="0"/>
              <w:rPr>
                <w:rFonts w:hint="eastAsia" w:ascii="宋体" w:hAnsi="宋体" w:eastAsia="宋体" w:cs="宋体"/>
                <w:b w:val="0"/>
                <w:bCs/>
                <w:color w:val="auto"/>
                <w:sz w:val="21"/>
                <w:szCs w:val="21"/>
              </w:rPr>
            </w:pPr>
          </w:p>
        </w:tc>
        <w:tc>
          <w:tcPr>
            <w:tcW w:w="929" w:type="dxa"/>
            <w:noWrap/>
            <w:vAlign w:val="center"/>
          </w:tcPr>
          <w:p w14:paraId="7EE3DA29">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模块及控制器</w:t>
            </w:r>
          </w:p>
        </w:tc>
        <w:tc>
          <w:tcPr>
            <w:tcW w:w="963" w:type="dxa"/>
            <w:noWrap/>
            <w:vAlign w:val="center"/>
          </w:tcPr>
          <w:p w14:paraId="35631555">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每周一次</w:t>
            </w:r>
          </w:p>
        </w:tc>
        <w:tc>
          <w:tcPr>
            <w:tcW w:w="4917" w:type="dxa"/>
            <w:noWrap/>
            <w:vAlign w:val="center"/>
          </w:tcPr>
          <w:p w14:paraId="1209B994">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1.检查模块工作状况及各指示灯情况。</w:t>
            </w:r>
          </w:p>
          <w:p w14:paraId="0F6D2181">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2.检查清洁控制器，必要时加注润滑油。</w:t>
            </w:r>
          </w:p>
        </w:tc>
        <w:tc>
          <w:tcPr>
            <w:tcW w:w="1351" w:type="dxa"/>
            <w:noWrap/>
            <w:vAlign w:val="center"/>
          </w:tcPr>
          <w:p w14:paraId="3359EF8C">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工作状态正常。</w:t>
            </w:r>
          </w:p>
        </w:tc>
      </w:tr>
      <w:tr w14:paraId="4ED0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vMerge w:val="continue"/>
            <w:noWrap/>
            <w:vAlign w:val="center"/>
          </w:tcPr>
          <w:p w14:paraId="4669C1BD">
            <w:pPr>
              <w:snapToGrid w:val="0"/>
              <w:spacing w:line="240" w:lineRule="auto"/>
              <w:ind w:firstLine="0" w:firstLineChars="0"/>
              <w:rPr>
                <w:rFonts w:hint="eastAsia" w:ascii="宋体" w:hAnsi="宋体" w:eastAsia="宋体" w:cs="宋体"/>
                <w:b w:val="0"/>
                <w:bCs/>
                <w:color w:val="auto"/>
                <w:sz w:val="21"/>
                <w:szCs w:val="21"/>
              </w:rPr>
            </w:pPr>
          </w:p>
        </w:tc>
        <w:tc>
          <w:tcPr>
            <w:tcW w:w="929" w:type="dxa"/>
            <w:noWrap/>
            <w:vAlign w:val="center"/>
          </w:tcPr>
          <w:p w14:paraId="735E5B8A">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终端执行设备</w:t>
            </w:r>
          </w:p>
        </w:tc>
        <w:tc>
          <w:tcPr>
            <w:tcW w:w="963" w:type="dxa"/>
            <w:noWrap/>
            <w:vAlign w:val="center"/>
          </w:tcPr>
          <w:p w14:paraId="752B30BC">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每周一次</w:t>
            </w:r>
          </w:p>
        </w:tc>
        <w:tc>
          <w:tcPr>
            <w:tcW w:w="4917" w:type="dxa"/>
            <w:noWrap/>
            <w:vAlign w:val="center"/>
          </w:tcPr>
          <w:p w14:paraId="0482087E">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检查终端执行设备情况。</w:t>
            </w:r>
          </w:p>
        </w:tc>
        <w:tc>
          <w:tcPr>
            <w:tcW w:w="1351" w:type="dxa"/>
            <w:noWrap/>
            <w:vAlign w:val="center"/>
          </w:tcPr>
          <w:p w14:paraId="07F2F677">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工作状态正常。</w:t>
            </w:r>
          </w:p>
        </w:tc>
      </w:tr>
      <w:tr w14:paraId="3EA0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231" w:type="dxa"/>
            <w:gridSpan w:val="5"/>
            <w:noWrap/>
            <w:vAlign w:val="center"/>
          </w:tcPr>
          <w:p w14:paraId="121B73D0">
            <w:pPr>
              <w:tabs>
                <w:tab w:val="left" w:pos="-51"/>
                <w:tab w:val="left" w:pos="878"/>
              </w:tabs>
              <w:snapToGrid w:val="0"/>
              <w:spacing w:line="240" w:lineRule="auto"/>
              <w:ind w:firstLine="0" w:firstLineChars="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三、安防监控系统</w:t>
            </w:r>
          </w:p>
        </w:tc>
      </w:tr>
      <w:tr w14:paraId="2D06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vMerge w:val="restart"/>
            <w:noWrap/>
            <w:vAlign w:val="center"/>
          </w:tcPr>
          <w:p w14:paraId="4F157D9C">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视频监控系统</w:t>
            </w:r>
          </w:p>
        </w:tc>
        <w:tc>
          <w:tcPr>
            <w:tcW w:w="929" w:type="dxa"/>
            <w:noWrap/>
            <w:vAlign w:val="center"/>
          </w:tcPr>
          <w:p w14:paraId="7CC3448F">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摄像头</w:t>
            </w:r>
          </w:p>
        </w:tc>
        <w:tc>
          <w:tcPr>
            <w:tcW w:w="963" w:type="dxa"/>
            <w:noWrap/>
            <w:vAlign w:val="center"/>
          </w:tcPr>
          <w:p w14:paraId="72992D7B">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日常维护</w:t>
            </w:r>
          </w:p>
        </w:tc>
        <w:tc>
          <w:tcPr>
            <w:tcW w:w="4917" w:type="dxa"/>
            <w:noWrap/>
            <w:vAlign w:val="center"/>
          </w:tcPr>
          <w:p w14:paraId="1CD298F1">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1.检查摄像头是否正常工作，图像是否清晰。</w:t>
            </w:r>
          </w:p>
          <w:p w14:paraId="0CF2DA2B">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2.每季度定期清洗摄像头，保证摄像质量。</w:t>
            </w:r>
          </w:p>
        </w:tc>
        <w:tc>
          <w:tcPr>
            <w:tcW w:w="1351" w:type="dxa"/>
            <w:noWrap/>
            <w:vAlign w:val="center"/>
          </w:tcPr>
          <w:p w14:paraId="2E675FC5">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正常工作</w:t>
            </w:r>
          </w:p>
          <w:p w14:paraId="4DB42252">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图像清晰</w:t>
            </w:r>
          </w:p>
        </w:tc>
      </w:tr>
      <w:tr w14:paraId="4898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vMerge w:val="continue"/>
            <w:noWrap/>
            <w:vAlign w:val="center"/>
          </w:tcPr>
          <w:p w14:paraId="74F01B12">
            <w:pPr>
              <w:snapToGrid w:val="0"/>
              <w:spacing w:line="240" w:lineRule="auto"/>
              <w:ind w:firstLine="0" w:firstLineChars="0"/>
              <w:rPr>
                <w:rFonts w:hint="eastAsia" w:ascii="宋体" w:hAnsi="宋体" w:eastAsia="宋体" w:cs="宋体"/>
                <w:b w:val="0"/>
                <w:bCs/>
                <w:color w:val="auto"/>
                <w:sz w:val="21"/>
                <w:szCs w:val="21"/>
              </w:rPr>
            </w:pPr>
          </w:p>
        </w:tc>
        <w:tc>
          <w:tcPr>
            <w:tcW w:w="929" w:type="dxa"/>
            <w:noWrap/>
            <w:vAlign w:val="center"/>
          </w:tcPr>
          <w:p w14:paraId="7089A03B">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监控显示屏</w:t>
            </w:r>
          </w:p>
        </w:tc>
        <w:tc>
          <w:tcPr>
            <w:tcW w:w="963" w:type="dxa"/>
            <w:noWrap/>
            <w:vAlign w:val="center"/>
          </w:tcPr>
          <w:p w14:paraId="23FA9505">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日常维护</w:t>
            </w:r>
          </w:p>
        </w:tc>
        <w:tc>
          <w:tcPr>
            <w:tcW w:w="4917" w:type="dxa"/>
            <w:noWrap/>
            <w:vAlign w:val="center"/>
          </w:tcPr>
          <w:p w14:paraId="3EBD4867">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巡检显示屏是否显示清晰，有没有雪花，如有异常，及时修理或者更换。</w:t>
            </w:r>
          </w:p>
        </w:tc>
        <w:tc>
          <w:tcPr>
            <w:tcW w:w="1351" w:type="dxa"/>
            <w:noWrap/>
            <w:vAlign w:val="center"/>
          </w:tcPr>
          <w:p w14:paraId="69255D0A">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正常工作</w:t>
            </w:r>
          </w:p>
          <w:p w14:paraId="50D454A0">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显示清晰</w:t>
            </w:r>
          </w:p>
        </w:tc>
      </w:tr>
      <w:tr w14:paraId="544D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vMerge w:val="continue"/>
            <w:noWrap/>
            <w:vAlign w:val="center"/>
          </w:tcPr>
          <w:p w14:paraId="74458044">
            <w:pPr>
              <w:snapToGrid w:val="0"/>
              <w:spacing w:line="240" w:lineRule="auto"/>
              <w:ind w:firstLine="0" w:firstLineChars="0"/>
              <w:rPr>
                <w:rFonts w:hint="eastAsia" w:ascii="宋体" w:hAnsi="宋体" w:eastAsia="宋体" w:cs="宋体"/>
                <w:b w:val="0"/>
                <w:bCs/>
                <w:color w:val="auto"/>
                <w:sz w:val="21"/>
                <w:szCs w:val="21"/>
              </w:rPr>
            </w:pPr>
          </w:p>
        </w:tc>
        <w:tc>
          <w:tcPr>
            <w:tcW w:w="929" w:type="dxa"/>
            <w:noWrap/>
            <w:vAlign w:val="center"/>
          </w:tcPr>
          <w:p w14:paraId="69365A54">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控制</w:t>
            </w:r>
          </w:p>
          <w:p w14:paraId="01D4C9CD">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系统</w:t>
            </w:r>
          </w:p>
        </w:tc>
        <w:tc>
          <w:tcPr>
            <w:tcW w:w="963" w:type="dxa"/>
            <w:noWrap/>
            <w:vAlign w:val="center"/>
          </w:tcPr>
          <w:p w14:paraId="64E1ED2D">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每月一次</w:t>
            </w:r>
          </w:p>
        </w:tc>
        <w:tc>
          <w:tcPr>
            <w:tcW w:w="4917" w:type="dxa"/>
            <w:noWrap/>
            <w:vAlign w:val="center"/>
          </w:tcPr>
          <w:p w14:paraId="5CEF1A64">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1.全面检查设备硬件。</w:t>
            </w:r>
          </w:p>
          <w:p w14:paraId="5CAF5B18">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2.更新客户端电脑的杀毒软件，系统全面查杀病毒，优化整理磁盘空间。</w:t>
            </w:r>
          </w:p>
        </w:tc>
        <w:tc>
          <w:tcPr>
            <w:tcW w:w="1351" w:type="dxa"/>
            <w:noWrap/>
            <w:vAlign w:val="center"/>
          </w:tcPr>
          <w:p w14:paraId="2112014A">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系统稳定</w:t>
            </w:r>
          </w:p>
        </w:tc>
      </w:tr>
      <w:tr w14:paraId="079E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vMerge w:val="continue"/>
            <w:noWrap/>
            <w:vAlign w:val="center"/>
          </w:tcPr>
          <w:p w14:paraId="3BA90544">
            <w:pPr>
              <w:snapToGrid w:val="0"/>
              <w:spacing w:line="240" w:lineRule="auto"/>
              <w:ind w:firstLine="0" w:firstLineChars="0"/>
              <w:rPr>
                <w:rFonts w:hint="eastAsia" w:ascii="宋体" w:hAnsi="宋体" w:eastAsia="宋体" w:cs="宋体"/>
                <w:b w:val="0"/>
                <w:bCs/>
                <w:color w:val="auto"/>
                <w:sz w:val="21"/>
                <w:szCs w:val="21"/>
              </w:rPr>
            </w:pPr>
          </w:p>
        </w:tc>
        <w:tc>
          <w:tcPr>
            <w:tcW w:w="929" w:type="dxa"/>
            <w:noWrap/>
            <w:vAlign w:val="center"/>
          </w:tcPr>
          <w:p w14:paraId="27EA552A">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数据库</w:t>
            </w:r>
          </w:p>
        </w:tc>
        <w:tc>
          <w:tcPr>
            <w:tcW w:w="963" w:type="dxa"/>
            <w:noWrap/>
            <w:vAlign w:val="center"/>
          </w:tcPr>
          <w:p w14:paraId="594FC13E">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每月一次</w:t>
            </w:r>
          </w:p>
        </w:tc>
        <w:tc>
          <w:tcPr>
            <w:tcW w:w="4917" w:type="dxa"/>
            <w:noWrap/>
            <w:vAlign w:val="center"/>
          </w:tcPr>
          <w:p w14:paraId="63554DBC">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1.检查数据库文件是否完好。</w:t>
            </w:r>
          </w:p>
          <w:p w14:paraId="362692BA">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2.数据备份。</w:t>
            </w:r>
          </w:p>
        </w:tc>
        <w:tc>
          <w:tcPr>
            <w:tcW w:w="1351" w:type="dxa"/>
            <w:noWrap/>
            <w:vAlign w:val="center"/>
          </w:tcPr>
          <w:p w14:paraId="00CA859F">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系统稳定</w:t>
            </w:r>
          </w:p>
        </w:tc>
      </w:tr>
      <w:tr w14:paraId="1E84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vMerge w:val="restart"/>
            <w:noWrap/>
            <w:vAlign w:val="center"/>
          </w:tcPr>
          <w:p w14:paraId="4816D9B3">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车库管理系统</w:t>
            </w:r>
          </w:p>
        </w:tc>
        <w:tc>
          <w:tcPr>
            <w:tcW w:w="929" w:type="dxa"/>
            <w:vMerge w:val="restart"/>
            <w:noWrap/>
            <w:vAlign w:val="center"/>
          </w:tcPr>
          <w:p w14:paraId="5E2F5FBC">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车闸</w:t>
            </w:r>
          </w:p>
        </w:tc>
        <w:tc>
          <w:tcPr>
            <w:tcW w:w="963" w:type="dxa"/>
            <w:noWrap/>
            <w:vAlign w:val="center"/>
          </w:tcPr>
          <w:p w14:paraId="0A84A07B">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日常维护</w:t>
            </w:r>
          </w:p>
        </w:tc>
        <w:tc>
          <w:tcPr>
            <w:tcW w:w="4917" w:type="dxa"/>
            <w:noWrap/>
            <w:vAlign w:val="center"/>
          </w:tcPr>
          <w:p w14:paraId="4B93C113">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1.检查所有道闸是否开闭正常。</w:t>
            </w:r>
          </w:p>
          <w:p w14:paraId="08DE88F6">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2.清抹道闸外表并检查是否完好，有没有划痕。</w:t>
            </w:r>
          </w:p>
        </w:tc>
        <w:tc>
          <w:tcPr>
            <w:tcW w:w="1351" w:type="dxa"/>
            <w:noWrap/>
            <w:vAlign w:val="center"/>
          </w:tcPr>
          <w:p w14:paraId="7887F4B6">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外观良好、运行正常</w:t>
            </w:r>
          </w:p>
        </w:tc>
      </w:tr>
      <w:tr w14:paraId="7467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vMerge w:val="continue"/>
            <w:noWrap/>
            <w:vAlign w:val="center"/>
          </w:tcPr>
          <w:p w14:paraId="10A55921">
            <w:pPr>
              <w:snapToGrid w:val="0"/>
              <w:spacing w:line="240" w:lineRule="auto"/>
              <w:ind w:firstLine="0" w:firstLineChars="0"/>
              <w:rPr>
                <w:rFonts w:hint="eastAsia" w:ascii="宋体" w:hAnsi="宋体" w:eastAsia="宋体" w:cs="宋体"/>
                <w:b w:val="0"/>
                <w:bCs/>
                <w:color w:val="auto"/>
                <w:sz w:val="21"/>
                <w:szCs w:val="21"/>
              </w:rPr>
            </w:pPr>
          </w:p>
        </w:tc>
        <w:tc>
          <w:tcPr>
            <w:tcW w:w="929" w:type="dxa"/>
            <w:vMerge w:val="continue"/>
            <w:noWrap/>
            <w:vAlign w:val="center"/>
          </w:tcPr>
          <w:p w14:paraId="06E4F0E5">
            <w:pPr>
              <w:snapToGrid w:val="0"/>
              <w:spacing w:line="240" w:lineRule="auto"/>
              <w:ind w:firstLine="0" w:firstLineChars="0"/>
              <w:rPr>
                <w:rFonts w:hint="eastAsia" w:ascii="宋体" w:hAnsi="宋体" w:eastAsia="宋体" w:cs="宋体"/>
                <w:b w:val="0"/>
                <w:bCs/>
                <w:color w:val="auto"/>
                <w:sz w:val="21"/>
                <w:szCs w:val="21"/>
              </w:rPr>
            </w:pPr>
          </w:p>
        </w:tc>
        <w:tc>
          <w:tcPr>
            <w:tcW w:w="963" w:type="dxa"/>
            <w:noWrap/>
            <w:vAlign w:val="center"/>
          </w:tcPr>
          <w:p w14:paraId="23778F15">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每年两次</w:t>
            </w:r>
          </w:p>
        </w:tc>
        <w:tc>
          <w:tcPr>
            <w:tcW w:w="4917" w:type="dxa"/>
            <w:noWrap/>
            <w:vAlign w:val="center"/>
          </w:tcPr>
          <w:p w14:paraId="01E5F228">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1.检查所有道闸开闭默认时间是否符合使用要求。</w:t>
            </w:r>
          </w:p>
          <w:p w14:paraId="44601902">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2.清理内部硬件设备上的灰尘及杂物，检查硬件设备是否正常工作，指示灯是否正常工作。</w:t>
            </w:r>
          </w:p>
          <w:p w14:paraId="0FB7AF5A">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3.检查道闸上的软胶是否老化变色，若老化必须马上更换。</w:t>
            </w:r>
          </w:p>
          <w:p w14:paraId="1DF952A6">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4.检查各连接端口的可靠性，摆闸是否牢固，螺丝是否松脱，并适当添加润滑油。</w:t>
            </w:r>
          </w:p>
        </w:tc>
        <w:tc>
          <w:tcPr>
            <w:tcW w:w="1351" w:type="dxa"/>
            <w:noWrap/>
            <w:vAlign w:val="center"/>
          </w:tcPr>
          <w:p w14:paraId="121EFFB8">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各零部件无损坏、无老化</w:t>
            </w:r>
          </w:p>
        </w:tc>
      </w:tr>
      <w:tr w14:paraId="2D20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vMerge w:val="continue"/>
            <w:noWrap/>
            <w:vAlign w:val="center"/>
          </w:tcPr>
          <w:p w14:paraId="5EDE7EDC">
            <w:pPr>
              <w:snapToGrid w:val="0"/>
              <w:spacing w:line="240" w:lineRule="auto"/>
              <w:ind w:firstLine="0" w:firstLineChars="0"/>
              <w:rPr>
                <w:rFonts w:hint="eastAsia" w:ascii="宋体" w:hAnsi="宋体" w:eastAsia="宋体" w:cs="宋体"/>
                <w:b w:val="0"/>
                <w:bCs/>
                <w:color w:val="auto"/>
                <w:sz w:val="21"/>
                <w:szCs w:val="21"/>
              </w:rPr>
            </w:pPr>
          </w:p>
        </w:tc>
        <w:tc>
          <w:tcPr>
            <w:tcW w:w="929" w:type="dxa"/>
            <w:noWrap/>
            <w:vAlign w:val="center"/>
          </w:tcPr>
          <w:p w14:paraId="7E0D1CF8">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摄像头</w:t>
            </w:r>
          </w:p>
        </w:tc>
        <w:tc>
          <w:tcPr>
            <w:tcW w:w="963" w:type="dxa"/>
            <w:noWrap/>
            <w:vAlign w:val="center"/>
          </w:tcPr>
          <w:p w14:paraId="332F2C3D">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日常维护</w:t>
            </w:r>
          </w:p>
        </w:tc>
        <w:tc>
          <w:tcPr>
            <w:tcW w:w="4917" w:type="dxa"/>
            <w:noWrap/>
            <w:vAlign w:val="center"/>
          </w:tcPr>
          <w:p w14:paraId="68ABBD6B">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1.检查摄像枪是否正常工作，图像是否清晰。</w:t>
            </w:r>
          </w:p>
          <w:p w14:paraId="6E5C1B29">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2.每季度定期清洗摄像头，保证摄像质量。</w:t>
            </w:r>
          </w:p>
        </w:tc>
        <w:tc>
          <w:tcPr>
            <w:tcW w:w="1351" w:type="dxa"/>
            <w:noWrap/>
            <w:vAlign w:val="center"/>
          </w:tcPr>
          <w:p w14:paraId="4EAC1DB3">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正常工作、图像清晰。</w:t>
            </w:r>
          </w:p>
        </w:tc>
      </w:tr>
      <w:tr w14:paraId="1174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vMerge w:val="continue"/>
            <w:noWrap/>
            <w:vAlign w:val="center"/>
          </w:tcPr>
          <w:p w14:paraId="2E0E42AB">
            <w:pPr>
              <w:snapToGrid w:val="0"/>
              <w:spacing w:line="240" w:lineRule="auto"/>
              <w:ind w:firstLine="0" w:firstLineChars="0"/>
              <w:rPr>
                <w:rFonts w:hint="eastAsia" w:ascii="宋体" w:hAnsi="宋体" w:eastAsia="宋体" w:cs="宋体"/>
                <w:b w:val="0"/>
                <w:bCs/>
                <w:color w:val="auto"/>
                <w:sz w:val="21"/>
                <w:szCs w:val="21"/>
              </w:rPr>
            </w:pPr>
          </w:p>
        </w:tc>
        <w:tc>
          <w:tcPr>
            <w:tcW w:w="929" w:type="dxa"/>
            <w:noWrap/>
            <w:vAlign w:val="center"/>
          </w:tcPr>
          <w:p w14:paraId="647EFCC2">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控制</w:t>
            </w:r>
          </w:p>
          <w:p w14:paraId="4AA5156C">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系统</w:t>
            </w:r>
          </w:p>
        </w:tc>
        <w:tc>
          <w:tcPr>
            <w:tcW w:w="963" w:type="dxa"/>
            <w:noWrap/>
            <w:vAlign w:val="center"/>
          </w:tcPr>
          <w:p w14:paraId="4A138D4F">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每月一次</w:t>
            </w:r>
          </w:p>
        </w:tc>
        <w:tc>
          <w:tcPr>
            <w:tcW w:w="4917" w:type="dxa"/>
            <w:noWrap/>
            <w:vAlign w:val="center"/>
          </w:tcPr>
          <w:p w14:paraId="1BB5EF0C">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1.全面检查设备硬件。</w:t>
            </w:r>
          </w:p>
          <w:p w14:paraId="4F7C8F20">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2.更新客户端电脑的杀毒软件，系统全面查杀病毒，优化整理磁盘空间。</w:t>
            </w:r>
          </w:p>
          <w:p w14:paraId="79A148AD">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3.整理摄像数据，导出并备份摄像数据。</w:t>
            </w:r>
          </w:p>
        </w:tc>
        <w:tc>
          <w:tcPr>
            <w:tcW w:w="1351" w:type="dxa"/>
            <w:noWrap/>
            <w:vAlign w:val="center"/>
          </w:tcPr>
          <w:p w14:paraId="4C0BDE7A">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系统稳定。</w:t>
            </w:r>
          </w:p>
        </w:tc>
      </w:tr>
      <w:tr w14:paraId="2EF4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vMerge w:val="continue"/>
            <w:noWrap/>
            <w:vAlign w:val="center"/>
          </w:tcPr>
          <w:p w14:paraId="22C44AE0">
            <w:pPr>
              <w:snapToGrid w:val="0"/>
              <w:spacing w:line="240" w:lineRule="auto"/>
              <w:ind w:firstLine="0" w:firstLineChars="0"/>
              <w:rPr>
                <w:rFonts w:hint="eastAsia" w:ascii="宋体" w:hAnsi="宋体" w:eastAsia="宋体" w:cs="宋体"/>
                <w:b w:val="0"/>
                <w:bCs/>
                <w:color w:val="auto"/>
                <w:sz w:val="21"/>
                <w:szCs w:val="21"/>
              </w:rPr>
            </w:pPr>
          </w:p>
        </w:tc>
        <w:tc>
          <w:tcPr>
            <w:tcW w:w="929" w:type="dxa"/>
            <w:noWrap/>
            <w:vAlign w:val="center"/>
          </w:tcPr>
          <w:p w14:paraId="3F3F2608">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出入卡</w:t>
            </w:r>
          </w:p>
        </w:tc>
        <w:tc>
          <w:tcPr>
            <w:tcW w:w="963" w:type="dxa"/>
            <w:noWrap/>
            <w:vAlign w:val="center"/>
          </w:tcPr>
          <w:p w14:paraId="274FEF4C">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日常维护</w:t>
            </w:r>
          </w:p>
        </w:tc>
        <w:tc>
          <w:tcPr>
            <w:tcW w:w="4917" w:type="dxa"/>
            <w:noWrap/>
            <w:vAlign w:val="center"/>
          </w:tcPr>
          <w:p w14:paraId="2F355F04">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1.对进出车辆发卡与收卡，核对出入卡总数量，定期补增损坏及遗失的出入卡。</w:t>
            </w:r>
          </w:p>
          <w:p w14:paraId="6CE3A4CD">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2.对于固定卡，根据用户要求，整理、录入、更改及删除人员资料和车牌号码。</w:t>
            </w:r>
          </w:p>
        </w:tc>
        <w:tc>
          <w:tcPr>
            <w:tcW w:w="1351" w:type="dxa"/>
            <w:noWrap/>
            <w:vAlign w:val="center"/>
          </w:tcPr>
          <w:p w14:paraId="4EFAFF10">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卡片完好，总数量不变。</w:t>
            </w:r>
          </w:p>
        </w:tc>
      </w:tr>
      <w:tr w14:paraId="5A4C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vMerge w:val="continue"/>
            <w:noWrap/>
            <w:vAlign w:val="center"/>
          </w:tcPr>
          <w:p w14:paraId="4F235CD7">
            <w:pPr>
              <w:snapToGrid w:val="0"/>
              <w:spacing w:line="240" w:lineRule="auto"/>
              <w:ind w:firstLine="0" w:firstLineChars="0"/>
              <w:rPr>
                <w:rFonts w:hint="eastAsia" w:ascii="宋体" w:hAnsi="宋体" w:eastAsia="宋体" w:cs="宋体"/>
                <w:b w:val="0"/>
                <w:bCs/>
                <w:color w:val="auto"/>
                <w:sz w:val="21"/>
                <w:szCs w:val="21"/>
              </w:rPr>
            </w:pPr>
          </w:p>
        </w:tc>
        <w:tc>
          <w:tcPr>
            <w:tcW w:w="929" w:type="dxa"/>
            <w:noWrap/>
            <w:vAlign w:val="center"/>
          </w:tcPr>
          <w:p w14:paraId="42776B18">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数据库</w:t>
            </w:r>
          </w:p>
        </w:tc>
        <w:tc>
          <w:tcPr>
            <w:tcW w:w="963" w:type="dxa"/>
            <w:noWrap/>
            <w:vAlign w:val="center"/>
          </w:tcPr>
          <w:p w14:paraId="48CD7CE1">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每月一次</w:t>
            </w:r>
          </w:p>
        </w:tc>
        <w:tc>
          <w:tcPr>
            <w:tcW w:w="4917" w:type="dxa"/>
            <w:noWrap/>
            <w:vAlign w:val="center"/>
          </w:tcPr>
          <w:p w14:paraId="3336CE92">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1.检查数据库文件是否完好。</w:t>
            </w:r>
          </w:p>
          <w:p w14:paraId="0086C5E4">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2.数据备份。</w:t>
            </w:r>
          </w:p>
        </w:tc>
        <w:tc>
          <w:tcPr>
            <w:tcW w:w="1351" w:type="dxa"/>
            <w:noWrap/>
            <w:vAlign w:val="center"/>
          </w:tcPr>
          <w:p w14:paraId="3FFACB6E">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系统稳定。</w:t>
            </w:r>
          </w:p>
        </w:tc>
      </w:tr>
      <w:tr w14:paraId="2507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00" w:type="dxa"/>
            <w:gridSpan w:val="2"/>
            <w:noWrap/>
            <w:vAlign w:val="center"/>
          </w:tcPr>
          <w:p w14:paraId="0F111AF4">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无线巡更系统</w:t>
            </w:r>
          </w:p>
        </w:tc>
        <w:tc>
          <w:tcPr>
            <w:tcW w:w="963" w:type="dxa"/>
            <w:noWrap/>
            <w:vAlign w:val="center"/>
          </w:tcPr>
          <w:p w14:paraId="0EDE65C7">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每月一次</w:t>
            </w:r>
          </w:p>
        </w:tc>
        <w:tc>
          <w:tcPr>
            <w:tcW w:w="4917" w:type="dxa"/>
            <w:noWrap/>
            <w:vAlign w:val="center"/>
          </w:tcPr>
          <w:p w14:paraId="1EF4438C">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1.清除巡更检测点及巡更器灰尘。</w:t>
            </w:r>
          </w:p>
          <w:p w14:paraId="2BBD2DDE">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2.检查巡更器及巡更检测点是否完整无损伤，巡更器能否正常完成记录工作，各个巡更检测点能否由巡更器正常识别。</w:t>
            </w:r>
          </w:p>
          <w:p w14:paraId="5307DFBF">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3.检查巡更检测点安装是否牢固。</w:t>
            </w:r>
          </w:p>
          <w:p w14:paraId="77C8624B">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4.检查管理电脑能否正常下载巡更器所采集的数据，并检查记录数据是否正确。</w:t>
            </w:r>
          </w:p>
          <w:p w14:paraId="47E1D301">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5.更新电脑的杀毒软件，系统全面查杀病毒，优化整理磁盘空间。</w:t>
            </w:r>
          </w:p>
        </w:tc>
        <w:tc>
          <w:tcPr>
            <w:tcW w:w="1351" w:type="dxa"/>
            <w:noWrap/>
            <w:vAlign w:val="center"/>
          </w:tcPr>
          <w:p w14:paraId="662E75E4">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系统稳定，运行正常。</w:t>
            </w:r>
          </w:p>
        </w:tc>
      </w:tr>
      <w:tr w14:paraId="46A9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00" w:type="dxa"/>
            <w:gridSpan w:val="2"/>
            <w:noWrap/>
            <w:vAlign w:val="center"/>
          </w:tcPr>
          <w:p w14:paraId="33047A79">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电梯五方通话系统</w:t>
            </w:r>
          </w:p>
        </w:tc>
        <w:tc>
          <w:tcPr>
            <w:tcW w:w="963" w:type="dxa"/>
            <w:noWrap/>
            <w:vAlign w:val="center"/>
          </w:tcPr>
          <w:p w14:paraId="6B467EEE">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每月两次</w:t>
            </w:r>
          </w:p>
        </w:tc>
        <w:tc>
          <w:tcPr>
            <w:tcW w:w="4917" w:type="dxa"/>
            <w:noWrap/>
            <w:vAlign w:val="center"/>
          </w:tcPr>
          <w:p w14:paraId="3FC8115F">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检查电梯五方通话系统工作情况。</w:t>
            </w:r>
          </w:p>
        </w:tc>
        <w:tc>
          <w:tcPr>
            <w:tcW w:w="1351" w:type="dxa"/>
            <w:noWrap/>
            <w:vAlign w:val="center"/>
          </w:tcPr>
          <w:p w14:paraId="3A9D8252">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五方通话正常。</w:t>
            </w:r>
          </w:p>
        </w:tc>
      </w:tr>
      <w:tr w14:paraId="63A5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00" w:type="dxa"/>
            <w:gridSpan w:val="2"/>
            <w:noWrap/>
            <w:vAlign w:val="center"/>
          </w:tcPr>
          <w:p w14:paraId="645B7012">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紧急报警系统</w:t>
            </w:r>
          </w:p>
        </w:tc>
        <w:tc>
          <w:tcPr>
            <w:tcW w:w="963" w:type="dxa"/>
            <w:noWrap/>
            <w:vAlign w:val="center"/>
          </w:tcPr>
          <w:p w14:paraId="22A6D493">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每月两次</w:t>
            </w:r>
          </w:p>
        </w:tc>
        <w:tc>
          <w:tcPr>
            <w:tcW w:w="4917" w:type="dxa"/>
            <w:noWrap/>
            <w:vAlign w:val="center"/>
          </w:tcPr>
          <w:p w14:paraId="203CE592">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检查报警系统工作情况，报警按钮状态。</w:t>
            </w:r>
          </w:p>
        </w:tc>
        <w:tc>
          <w:tcPr>
            <w:tcW w:w="1351" w:type="dxa"/>
            <w:noWrap/>
            <w:vAlign w:val="center"/>
          </w:tcPr>
          <w:p w14:paraId="0AC27918">
            <w:pPr>
              <w:tabs>
                <w:tab w:val="left" w:pos="-51"/>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系统工作正常，按钮良好。</w:t>
            </w:r>
          </w:p>
        </w:tc>
      </w:tr>
      <w:tr w14:paraId="3A5D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00" w:type="dxa"/>
            <w:gridSpan w:val="2"/>
            <w:noWrap/>
            <w:vAlign w:val="center"/>
          </w:tcPr>
          <w:p w14:paraId="5457110D">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无线对讲系统</w:t>
            </w:r>
          </w:p>
        </w:tc>
        <w:tc>
          <w:tcPr>
            <w:tcW w:w="963" w:type="dxa"/>
            <w:noWrap/>
            <w:vAlign w:val="center"/>
          </w:tcPr>
          <w:p w14:paraId="1EA4A1F4">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每月一次</w:t>
            </w:r>
          </w:p>
        </w:tc>
        <w:tc>
          <w:tcPr>
            <w:tcW w:w="4917" w:type="dxa"/>
            <w:noWrap/>
            <w:vAlign w:val="center"/>
          </w:tcPr>
          <w:p w14:paraId="4ECE1878">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1.清理中转台及机柜设备表面灰尘。</w:t>
            </w:r>
          </w:p>
          <w:p w14:paraId="757FF50D">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2.对设备分路器及合路器除尘维修。</w:t>
            </w:r>
          </w:p>
          <w:p w14:paraId="6CCE8C46">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3.检查电源是否正常。</w:t>
            </w:r>
          </w:p>
          <w:p w14:paraId="3FA00AEA">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4.检查中转台及机柜设备是否正常运转。</w:t>
            </w:r>
          </w:p>
        </w:tc>
        <w:tc>
          <w:tcPr>
            <w:tcW w:w="1351" w:type="dxa"/>
            <w:noWrap/>
            <w:vAlign w:val="center"/>
          </w:tcPr>
          <w:p w14:paraId="2C4EB074">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系统稳定，运行正常。</w:t>
            </w:r>
          </w:p>
        </w:tc>
      </w:tr>
      <w:tr w14:paraId="17FA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31" w:type="dxa"/>
            <w:gridSpan w:val="5"/>
            <w:noWrap/>
            <w:vAlign w:val="center"/>
          </w:tcPr>
          <w:p w14:paraId="402E127B">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四、办公自动化系统</w:t>
            </w:r>
          </w:p>
        </w:tc>
      </w:tr>
      <w:tr w14:paraId="1C66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00" w:type="dxa"/>
            <w:gridSpan w:val="2"/>
            <w:noWrap/>
            <w:vAlign w:val="center"/>
          </w:tcPr>
          <w:p w14:paraId="6D26E054">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多媒体/无线化多功能会议系统</w:t>
            </w:r>
          </w:p>
        </w:tc>
        <w:tc>
          <w:tcPr>
            <w:tcW w:w="963" w:type="dxa"/>
            <w:noWrap/>
            <w:vAlign w:val="center"/>
          </w:tcPr>
          <w:p w14:paraId="4494FB8D">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日常维护</w:t>
            </w:r>
          </w:p>
        </w:tc>
        <w:tc>
          <w:tcPr>
            <w:tcW w:w="4917" w:type="dxa"/>
            <w:noWrap/>
            <w:vAlign w:val="center"/>
          </w:tcPr>
          <w:p w14:paraId="6E3B5E10">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1.清理设备上的灰尘。</w:t>
            </w:r>
          </w:p>
          <w:p w14:paraId="733CF884">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2.检查设备连接线是否有松动。</w:t>
            </w:r>
          </w:p>
          <w:p w14:paraId="07FABBB2">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3.检查会议系统常用功能是否存在隐患。</w:t>
            </w:r>
          </w:p>
          <w:p w14:paraId="7799F24D">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4.查看设备日志，检查设备在使用过程中是否有发出故障报警。</w:t>
            </w:r>
          </w:p>
          <w:p w14:paraId="5F9F3640">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5.检查设备环境是否符合要求。</w:t>
            </w:r>
          </w:p>
        </w:tc>
        <w:tc>
          <w:tcPr>
            <w:tcW w:w="1351" w:type="dxa"/>
            <w:noWrap/>
            <w:vAlign w:val="center"/>
          </w:tcPr>
          <w:p w14:paraId="7189E350">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外观良好，运行正常。</w:t>
            </w:r>
          </w:p>
        </w:tc>
      </w:tr>
    </w:tbl>
    <w:p w14:paraId="0B21C6DD">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eastAsia="宋体" w:cs="宋体"/>
          <w:b/>
          <w:bCs/>
          <w:color w:val="auto"/>
          <w:sz w:val="21"/>
          <w:szCs w:val="21"/>
          <w:lang w:val="en-US" w:eastAsia="zh-CN"/>
        </w:rPr>
      </w:pPr>
      <w:bookmarkStart w:id="638" w:name="_Toc22563"/>
      <w:bookmarkStart w:id="639" w:name="_Toc18544"/>
      <w:bookmarkStart w:id="640" w:name="_Toc27598"/>
      <w:bookmarkStart w:id="641" w:name="_Toc23144"/>
      <w:bookmarkStart w:id="642" w:name="_Toc18798"/>
      <w:r>
        <w:rPr>
          <w:rFonts w:hint="eastAsia" w:ascii="宋体" w:hAnsi="宋体" w:eastAsia="宋体" w:cs="宋体"/>
          <w:b/>
          <w:bCs/>
          <w:color w:val="auto"/>
          <w:sz w:val="21"/>
          <w:szCs w:val="21"/>
          <w:lang w:val="en-US" w:eastAsia="zh-CN"/>
        </w:rPr>
        <w:t>2.2.10电梯系统维护与保养管理</w:t>
      </w:r>
      <w:bookmarkEnd w:id="638"/>
      <w:bookmarkEnd w:id="639"/>
      <w:bookmarkEnd w:id="640"/>
      <w:bookmarkEnd w:id="641"/>
      <w:bookmarkEnd w:id="642"/>
    </w:p>
    <w:p w14:paraId="4A2DFB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电梯维修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养人员均持证上岗，电梯各种年审证件齐全；严密的安全运行和维修保养规章制度得到落实，维护保养、巡视记录统一归档管理，资料完整；电梯运行状态良好，安全设施齐全有效，轿厢及机房整洁，通风、照明及其他附属设施完好，设备完好率100%；出现运行故障后（如困人），</w:t>
      </w:r>
      <w:r>
        <w:rPr>
          <w:rFonts w:hint="eastAsia" w:ascii="宋体" w:hAnsi="宋体" w:eastAsia="宋体" w:cs="宋体"/>
          <w:color w:val="auto"/>
          <w:sz w:val="21"/>
          <w:szCs w:val="21"/>
          <w:highlight w:val="none"/>
          <w:lang w:val="en-US" w:eastAsia="zh-CN"/>
        </w:rPr>
        <w:t>物业</w:t>
      </w:r>
      <w:r>
        <w:rPr>
          <w:rFonts w:hint="eastAsia" w:ascii="宋体" w:hAnsi="宋体" w:eastAsia="宋体" w:cs="宋体"/>
          <w:color w:val="auto"/>
          <w:sz w:val="21"/>
          <w:szCs w:val="21"/>
          <w:highlight w:val="none"/>
        </w:rPr>
        <w:t>维修人员在5分钟内到达现场处理，无发生因困人处理不当造成的安全责任事故。保养要求如下：</w:t>
      </w:r>
    </w:p>
    <w:tbl>
      <w:tblPr>
        <w:tblStyle w:val="41"/>
        <w:tblW w:w="49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4145"/>
        <w:gridCol w:w="5095"/>
      </w:tblGrid>
      <w:tr w14:paraId="6795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top"/>
          </w:tcPr>
          <w:p w14:paraId="3BCCFD09">
            <w:pPr>
              <w:spacing w:line="240" w:lineRule="auto"/>
              <w:ind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2032" w:type="pct"/>
            <w:noWrap w:val="0"/>
            <w:vAlign w:val="top"/>
          </w:tcPr>
          <w:p w14:paraId="46C28337">
            <w:pPr>
              <w:spacing w:line="240" w:lineRule="auto"/>
              <w:ind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保养项目</w:t>
            </w:r>
          </w:p>
        </w:tc>
        <w:tc>
          <w:tcPr>
            <w:tcW w:w="2498" w:type="pct"/>
            <w:noWrap w:val="0"/>
            <w:vAlign w:val="top"/>
          </w:tcPr>
          <w:p w14:paraId="5F0DAA37">
            <w:pPr>
              <w:spacing w:line="240" w:lineRule="auto"/>
              <w:ind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保养内容及要求</w:t>
            </w:r>
          </w:p>
        </w:tc>
      </w:tr>
      <w:tr w14:paraId="3F3E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501" w:type="pct"/>
            <w:gridSpan w:val="2"/>
            <w:noWrap w:val="0"/>
            <w:vAlign w:val="top"/>
          </w:tcPr>
          <w:p w14:paraId="78F9C422">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一、每隔半个月维保项目</w:t>
            </w:r>
          </w:p>
        </w:tc>
        <w:tc>
          <w:tcPr>
            <w:tcW w:w="2498" w:type="pct"/>
            <w:noWrap w:val="0"/>
            <w:vAlign w:val="top"/>
          </w:tcPr>
          <w:p w14:paraId="18B2F424">
            <w:pPr>
              <w:spacing w:line="240" w:lineRule="auto"/>
              <w:ind w:firstLine="0" w:firstLineChars="0"/>
              <w:rPr>
                <w:rFonts w:hint="eastAsia" w:ascii="宋体" w:hAnsi="宋体" w:eastAsia="宋体" w:cs="宋体"/>
                <w:b w:val="0"/>
                <w:bCs w:val="0"/>
                <w:color w:val="auto"/>
                <w:sz w:val="21"/>
                <w:szCs w:val="21"/>
              </w:rPr>
            </w:pPr>
          </w:p>
        </w:tc>
      </w:tr>
      <w:tr w14:paraId="6F49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5664959C">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w:t>
            </w:r>
          </w:p>
        </w:tc>
        <w:tc>
          <w:tcPr>
            <w:tcW w:w="2032" w:type="pct"/>
            <w:noWrap w:val="0"/>
            <w:vAlign w:val="center"/>
          </w:tcPr>
          <w:p w14:paraId="39978ECD">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机房、滑轮间环境</w:t>
            </w:r>
          </w:p>
        </w:tc>
        <w:tc>
          <w:tcPr>
            <w:tcW w:w="2498" w:type="pct"/>
            <w:noWrap w:val="0"/>
            <w:vAlign w:val="center"/>
          </w:tcPr>
          <w:p w14:paraId="4D91BE85">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清洁，门窗完好、照明正常。</w:t>
            </w:r>
          </w:p>
        </w:tc>
      </w:tr>
      <w:tr w14:paraId="272E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15149C3B">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1.2</w:t>
            </w:r>
          </w:p>
        </w:tc>
        <w:tc>
          <w:tcPr>
            <w:tcW w:w="2032" w:type="pct"/>
            <w:noWrap w:val="0"/>
            <w:vAlign w:val="center"/>
          </w:tcPr>
          <w:p w14:paraId="76E6B20C">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手动紧急操作装置</w:t>
            </w:r>
          </w:p>
        </w:tc>
        <w:tc>
          <w:tcPr>
            <w:tcW w:w="2498" w:type="pct"/>
            <w:noWrap w:val="0"/>
            <w:vAlign w:val="center"/>
          </w:tcPr>
          <w:p w14:paraId="3D9F8A96">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齐全，在指定位置。</w:t>
            </w:r>
          </w:p>
        </w:tc>
      </w:tr>
      <w:tr w14:paraId="6562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4FC0E6A3">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1.3</w:t>
            </w:r>
          </w:p>
        </w:tc>
        <w:tc>
          <w:tcPr>
            <w:tcW w:w="2032" w:type="pct"/>
            <w:noWrap w:val="0"/>
            <w:vAlign w:val="center"/>
          </w:tcPr>
          <w:p w14:paraId="5B0F2F31">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曳引机</w:t>
            </w:r>
          </w:p>
        </w:tc>
        <w:tc>
          <w:tcPr>
            <w:tcW w:w="2498" w:type="pct"/>
            <w:noWrap w:val="0"/>
            <w:vAlign w:val="center"/>
          </w:tcPr>
          <w:p w14:paraId="4740BB74">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运行时无异常振动和异常声响。</w:t>
            </w:r>
          </w:p>
        </w:tc>
      </w:tr>
      <w:tr w14:paraId="0C9E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5661C13E">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1.4</w:t>
            </w:r>
          </w:p>
        </w:tc>
        <w:tc>
          <w:tcPr>
            <w:tcW w:w="2032" w:type="pct"/>
            <w:noWrap w:val="0"/>
            <w:vAlign w:val="center"/>
          </w:tcPr>
          <w:p w14:paraId="2E7E09B5">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制动器各销轴部位</w:t>
            </w:r>
          </w:p>
        </w:tc>
        <w:tc>
          <w:tcPr>
            <w:tcW w:w="2498" w:type="pct"/>
            <w:noWrap w:val="0"/>
            <w:vAlign w:val="center"/>
          </w:tcPr>
          <w:p w14:paraId="6FDF3BFA">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润滑，动作灵活。</w:t>
            </w:r>
          </w:p>
        </w:tc>
      </w:tr>
      <w:tr w14:paraId="7723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45992F76">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1.5</w:t>
            </w:r>
          </w:p>
        </w:tc>
        <w:tc>
          <w:tcPr>
            <w:tcW w:w="2032" w:type="pct"/>
            <w:noWrap w:val="0"/>
            <w:vAlign w:val="center"/>
          </w:tcPr>
          <w:p w14:paraId="14AEE1F7">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制动器间隙</w:t>
            </w:r>
          </w:p>
        </w:tc>
        <w:tc>
          <w:tcPr>
            <w:tcW w:w="2498" w:type="pct"/>
            <w:noWrap w:val="0"/>
            <w:vAlign w:val="center"/>
          </w:tcPr>
          <w:p w14:paraId="45749E97">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打开时制动衬与制动轮不发生摩擦，间隙值符合制造单位要求。</w:t>
            </w:r>
          </w:p>
        </w:tc>
      </w:tr>
      <w:tr w14:paraId="0F26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50D23476">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1.6</w:t>
            </w:r>
          </w:p>
        </w:tc>
        <w:tc>
          <w:tcPr>
            <w:tcW w:w="2032" w:type="pct"/>
            <w:noWrap w:val="0"/>
            <w:vAlign w:val="center"/>
          </w:tcPr>
          <w:p w14:paraId="4E99069C">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制动器作为轿厢意外移动保护装置制停子系统时的自监测</w:t>
            </w:r>
          </w:p>
        </w:tc>
        <w:tc>
          <w:tcPr>
            <w:tcW w:w="2498" w:type="pct"/>
            <w:noWrap w:val="0"/>
            <w:vAlign w:val="center"/>
          </w:tcPr>
          <w:p w14:paraId="0D1EF9FF">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制动力人工方式检测符合使用维护说明书要求；制动力自监测系统有记录。</w:t>
            </w:r>
          </w:p>
        </w:tc>
      </w:tr>
      <w:tr w14:paraId="7D59A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0F7F491E">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1.7</w:t>
            </w:r>
          </w:p>
        </w:tc>
        <w:tc>
          <w:tcPr>
            <w:tcW w:w="2032" w:type="pct"/>
            <w:noWrap w:val="0"/>
            <w:vAlign w:val="center"/>
          </w:tcPr>
          <w:p w14:paraId="2EC92ACD">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编码器</w:t>
            </w:r>
          </w:p>
        </w:tc>
        <w:tc>
          <w:tcPr>
            <w:tcW w:w="2498" w:type="pct"/>
            <w:noWrap w:val="0"/>
            <w:vAlign w:val="center"/>
          </w:tcPr>
          <w:p w14:paraId="4891DF7A">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清洁，安装牢固。</w:t>
            </w:r>
          </w:p>
        </w:tc>
      </w:tr>
      <w:tr w14:paraId="37F4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3D643D91">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1.8</w:t>
            </w:r>
          </w:p>
        </w:tc>
        <w:tc>
          <w:tcPr>
            <w:tcW w:w="2032" w:type="pct"/>
            <w:noWrap w:val="0"/>
            <w:vAlign w:val="center"/>
          </w:tcPr>
          <w:p w14:paraId="6C8E6286">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限速器各销轴部位</w:t>
            </w:r>
          </w:p>
        </w:tc>
        <w:tc>
          <w:tcPr>
            <w:tcW w:w="2498" w:type="pct"/>
            <w:noWrap w:val="0"/>
            <w:vAlign w:val="center"/>
          </w:tcPr>
          <w:p w14:paraId="17E5BC02">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润滑，转动灵活；电气开关正常。</w:t>
            </w:r>
          </w:p>
        </w:tc>
      </w:tr>
      <w:tr w14:paraId="7148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5C4BA995">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1.9</w:t>
            </w:r>
          </w:p>
        </w:tc>
        <w:tc>
          <w:tcPr>
            <w:tcW w:w="2032" w:type="pct"/>
            <w:noWrap w:val="0"/>
            <w:vAlign w:val="center"/>
          </w:tcPr>
          <w:p w14:paraId="79D193BD">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层门和轿门旁路装置</w:t>
            </w:r>
          </w:p>
        </w:tc>
        <w:tc>
          <w:tcPr>
            <w:tcW w:w="2498" w:type="pct"/>
            <w:noWrap w:val="0"/>
            <w:vAlign w:val="center"/>
          </w:tcPr>
          <w:p w14:paraId="6473724B">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工作正常。</w:t>
            </w:r>
          </w:p>
        </w:tc>
      </w:tr>
      <w:tr w14:paraId="0AC0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01741A2F">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1.10</w:t>
            </w:r>
          </w:p>
        </w:tc>
        <w:tc>
          <w:tcPr>
            <w:tcW w:w="2032" w:type="pct"/>
            <w:noWrap w:val="0"/>
            <w:vAlign w:val="center"/>
          </w:tcPr>
          <w:p w14:paraId="35051BBA">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紧急电动运行</w:t>
            </w:r>
          </w:p>
        </w:tc>
        <w:tc>
          <w:tcPr>
            <w:tcW w:w="2498" w:type="pct"/>
            <w:noWrap w:val="0"/>
            <w:vAlign w:val="center"/>
          </w:tcPr>
          <w:p w14:paraId="069122DF">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工作正常。</w:t>
            </w:r>
          </w:p>
        </w:tc>
      </w:tr>
      <w:tr w14:paraId="2BC3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27C1FF3F">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1.11</w:t>
            </w:r>
          </w:p>
        </w:tc>
        <w:tc>
          <w:tcPr>
            <w:tcW w:w="2032" w:type="pct"/>
            <w:noWrap w:val="0"/>
            <w:vAlign w:val="center"/>
          </w:tcPr>
          <w:p w14:paraId="358636F5">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轿顶</w:t>
            </w:r>
          </w:p>
        </w:tc>
        <w:tc>
          <w:tcPr>
            <w:tcW w:w="2498" w:type="pct"/>
            <w:noWrap w:val="0"/>
            <w:vAlign w:val="center"/>
          </w:tcPr>
          <w:p w14:paraId="509A3534">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清洁，防护栏安全可靠。</w:t>
            </w:r>
          </w:p>
        </w:tc>
      </w:tr>
      <w:tr w14:paraId="42AC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3B76539A">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1.12</w:t>
            </w:r>
          </w:p>
        </w:tc>
        <w:tc>
          <w:tcPr>
            <w:tcW w:w="2032" w:type="pct"/>
            <w:noWrap w:val="0"/>
            <w:vAlign w:val="center"/>
          </w:tcPr>
          <w:p w14:paraId="1BB26DA8">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轿顶检修开关、停止装置</w:t>
            </w:r>
          </w:p>
        </w:tc>
        <w:tc>
          <w:tcPr>
            <w:tcW w:w="2498" w:type="pct"/>
            <w:noWrap w:val="0"/>
            <w:vAlign w:val="center"/>
          </w:tcPr>
          <w:p w14:paraId="17905E38">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工作正常。</w:t>
            </w:r>
          </w:p>
        </w:tc>
      </w:tr>
      <w:tr w14:paraId="7510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521CC54A">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1.13</w:t>
            </w:r>
          </w:p>
        </w:tc>
        <w:tc>
          <w:tcPr>
            <w:tcW w:w="2032" w:type="pct"/>
            <w:noWrap w:val="0"/>
            <w:vAlign w:val="center"/>
          </w:tcPr>
          <w:p w14:paraId="0B09A201">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导靴上油杯</w:t>
            </w:r>
          </w:p>
        </w:tc>
        <w:tc>
          <w:tcPr>
            <w:tcW w:w="2498" w:type="pct"/>
            <w:noWrap w:val="0"/>
            <w:vAlign w:val="center"/>
          </w:tcPr>
          <w:p w14:paraId="2DB09860">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吸油毛毡齐全，油量适宜，油杯无泄漏。</w:t>
            </w:r>
          </w:p>
        </w:tc>
      </w:tr>
      <w:tr w14:paraId="16E0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498BFDA7">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1.14</w:t>
            </w:r>
          </w:p>
        </w:tc>
        <w:tc>
          <w:tcPr>
            <w:tcW w:w="2032" w:type="pct"/>
            <w:noWrap w:val="0"/>
            <w:vAlign w:val="center"/>
          </w:tcPr>
          <w:p w14:paraId="274E1884">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对重块及其压板</w:t>
            </w:r>
          </w:p>
        </w:tc>
        <w:tc>
          <w:tcPr>
            <w:tcW w:w="2498" w:type="pct"/>
            <w:noWrap w:val="0"/>
            <w:vAlign w:val="center"/>
          </w:tcPr>
          <w:p w14:paraId="5A1921F6">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对重块无松动，压板紧固。</w:t>
            </w:r>
          </w:p>
        </w:tc>
      </w:tr>
      <w:tr w14:paraId="7541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17533F7A">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1.15</w:t>
            </w:r>
          </w:p>
        </w:tc>
        <w:tc>
          <w:tcPr>
            <w:tcW w:w="2032" w:type="pct"/>
            <w:noWrap w:val="0"/>
            <w:vAlign w:val="center"/>
          </w:tcPr>
          <w:p w14:paraId="5792D927">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井道照明</w:t>
            </w:r>
          </w:p>
        </w:tc>
        <w:tc>
          <w:tcPr>
            <w:tcW w:w="2498" w:type="pct"/>
            <w:noWrap w:val="0"/>
            <w:vAlign w:val="center"/>
          </w:tcPr>
          <w:p w14:paraId="7CCC15EF">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齐全、正常。</w:t>
            </w:r>
          </w:p>
        </w:tc>
      </w:tr>
      <w:tr w14:paraId="0CC9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478C0C56">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1.16</w:t>
            </w:r>
          </w:p>
        </w:tc>
        <w:tc>
          <w:tcPr>
            <w:tcW w:w="2032" w:type="pct"/>
            <w:noWrap w:val="0"/>
            <w:vAlign w:val="center"/>
          </w:tcPr>
          <w:p w14:paraId="02DA9E2B">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轿厢照明、风扇、应急照明</w:t>
            </w:r>
          </w:p>
        </w:tc>
        <w:tc>
          <w:tcPr>
            <w:tcW w:w="2498" w:type="pct"/>
            <w:noWrap w:val="0"/>
            <w:vAlign w:val="center"/>
          </w:tcPr>
          <w:p w14:paraId="5B99A21C">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工作正常。</w:t>
            </w:r>
          </w:p>
        </w:tc>
      </w:tr>
      <w:tr w14:paraId="15A2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147EFD0F">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1.17</w:t>
            </w:r>
          </w:p>
        </w:tc>
        <w:tc>
          <w:tcPr>
            <w:tcW w:w="2032" w:type="pct"/>
            <w:noWrap w:val="0"/>
            <w:vAlign w:val="center"/>
          </w:tcPr>
          <w:p w14:paraId="12399580">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轿厢检修开关、停止装置</w:t>
            </w:r>
          </w:p>
        </w:tc>
        <w:tc>
          <w:tcPr>
            <w:tcW w:w="2498" w:type="pct"/>
            <w:noWrap w:val="0"/>
            <w:vAlign w:val="center"/>
          </w:tcPr>
          <w:p w14:paraId="47237CDD">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工作正常。</w:t>
            </w:r>
          </w:p>
        </w:tc>
      </w:tr>
      <w:tr w14:paraId="1B2A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71C8CB05">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1.18</w:t>
            </w:r>
          </w:p>
        </w:tc>
        <w:tc>
          <w:tcPr>
            <w:tcW w:w="2032" w:type="pct"/>
            <w:noWrap w:val="0"/>
            <w:vAlign w:val="center"/>
          </w:tcPr>
          <w:p w14:paraId="553F2138">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轿内报警装置、对讲系统</w:t>
            </w:r>
          </w:p>
        </w:tc>
        <w:tc>
          <w:tcPr>
            <w:tcW w:w="2498" w:type="pct"/>
            <w:noWrap w:val="0"/>
            <w:vAlign w:val="center"/>
          </w:tcPr>
          <w:p w14:paraId="373D37EC">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工作正常。</w:t>
            </w:r>
          </w:p>
        </w:tc>
      </w:tr>
      <w:tr w14:paraId="2B49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749FF4F2">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1.19</w:t>
            </w:r>
          </w:p>
        </w:tc>
        <w:tc>
          <w:tcPr>
            <w:tcW w:w="2032" w:type="pct"/>
            <w:noWrap w:val="0"/>
            <w:vAlign w:val="center"/>
          </w:tcPr>
          <w:p w14:paraId="6094C0A1">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轿内显示、指令按钮</w:t>
            </w:r>
          </w:p>
        </w:tc>
        <w:tc>
          <w:tcPr>
            <w:tcW w:w="2498" w:type="pct"/>
            <w:noWrap w:val="0"/>
            <w:vAlign w:val="center"/>
          </w:tcPr>
          <w:p w14:paraId="660C7BCE">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齐全、有效。</w:t>
            </w:r>
          </w:p>
        </w:tc>
      </w:tr>
      <w:tr w14:paraId="77A6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75BDB690">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1.20</w:t>
            </w:r>
          </w:p>
        </w:tc>
        <w:tc>
          <w:tcPr>
            <w:tcW w:w="2032" w:type="pct"/>
            <w:noWrap w:val="0"/>
            <w:vAlign w:val="center"/>
          </w:tcPr>
          <w:p w14:paraId="3ACEA3C1">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轿门安全装置（安全触板，光幕、光电等）</w:t>
            </w:r>
          </w:p>
        </w:tc>
        <w:tc>
          <w:tcPr>
            <w:tcW w:w="2498" w:type="pct"/>
            <w:noWrap w:val="0"/>
            <w:vAlign w:val="center"/>
          </w:tcPr>
          <w:p w14:paraId="0DC2B065">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功能有效。</w:t>
            </w:r>
          </w:p>
        </w:tc>
      </w:tr>
      <w:tr w14:paraId="2A1D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5E6CCB21">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1.21</w:t>
            </w:r>
          </w:p>
        </w:tc>
        <w:tc>
          <w:tcPr>
            <w:tcW w:w="2032" w:type="pct"/>
            <w:noWrap w:val="0"/>
            <w:vAlign w:val="center"/>
          </w:tcPr>
          <w:p w14:paraId="49A859B8">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轿门门锁电气触点</w:t>
            </w:r>
          </w:p>
        </w:tc>
        <w:tc>
          <w:tcPr>
            <w:tcW w:w="2498" w:type="pct"/>
            <w:noWrap w:val="0"/>
            <w:vAlign w:val="center"/>
          </w:tcPr>
          <w:p w14:paraId="3913157E">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清洁，触点接触良好，接线可靠。</w:t>
            </w:r>
          </w:p>
        </w:tc>
      </w:tr>
      <w:tr w14:paraId="6DB8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47AEC767">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1.22</w:t>
            </w:r>
          </w:p>
        </w:tc>
        <w:tc>
          <w:tcPr>
            <w:tcW w:w="2032" w:type="pct"/>
            <w:noWrap w:val="0"/>
            <w:vAlign w:val="center"/>
          </w:tcPr>
          <w:p w14:paraId="2FF83CDF">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轿门运行</w:t>
            </w:r>
          </w:p>
        </w:tc>
        <w:tc>
          <w:tcPr>
            <w:tcW w:w="2498" w:type="pct"/>
            <w:noWrap w:val="0"/>
            <w:vAlign w:val="center"/>
          </w:tcPr>
          <w:p w14:paraId="0C1D7AB3">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开启和关闭工作正常。</w:t>
            </w:r>
          </w:p>
        </w:tc>
      </w:tr>
      <w:tr w14:paraId="7148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5483D01B">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1.23</w:t>
            </w:r>
          </w:p>
        </w:tc>
        <w:tc>
          <w:tcPr>
            <w:tcW w:w="2032" w:type="pct"/>
            <w:noWrap w:val="0"/>
            <w:vAlign w:val="center"/>
          </w:tcPr>
          <w:p w14:paraId="06E6B878">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轿厢平层准确度</w:t>
            </w:r>
          </w:p>
        </w:tc>
        <w:tc>
          <w:tcPr>
            <w:tcW w:w="2498" w:type="pct"/>
            <w:noWrap w:val="0"/>
            <w:vAlign w:val="center"/>
          </w:tcPr>
          <w:p w14:paraId="30E6B173">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符合标准值。</w:t>
            </w:r>
          </w:p>
        </w:tc>
      </w:tr>
      <w:tr w14:paraId="7500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1A5D2A05">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1.24</w:t>
            </w:r>
          </w:p>
        </w:tc>
        <w:tc>
          <w:tcPr>
            <w:tcW w:w="2032" w:type="pct"/>
            <w:noWrap w:val="0"/>
            <w:vAlign w:val="center"/>
          </w:tcPr>
          <w:p w14:paraId="14FB8511">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层站召唤、层楼显示</w:t>
            </w:r>
          </w:p>
        </w:tc>
        <w:tc>
          <w:tcPr>
            <w:tcW w:w="2498" w:type="pct"/>
            <w:noWrap w:val="0"/>
            <w:vAlign w:val="center"/>
          </w:tcPr>
          <w:p w14:paraId="313521AA">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齐全、有效。</w:t>
            </w:r>
          </w:p>
        </w:tc>
      </w:tr>
      <w:tr w14:paraId="7A81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5468A740">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1.25</w:t>
            </w:r>
          </w:p>
        </w:tc>
        <w:tc>
          <w:tcPr>
            <w:tcW w:w="2032" w:type="pct"/>
            <w:noWrap w:val="0"/>
            <w:vAlign w:val="center"/>
          </w:tcPr>
          <w:p w14:paraId="0CA6B5F3">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层门地坎</w:t>
            </w:r>
          </w:p>
        </w:tc>
        <w:tc>
          <w:tcPr>
            <w:tcW w:w="2498" w:type="pct"/>
            <w:noWrap w:val="0"/>
            <w:vAlign w:val="center"/>
          </w:tcPr>
          <w:p w14:paraId="465E3515">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清洁。</w:t>
            </w:r>
          </w:p>
        </w:tc>
      </w:tr>
      <w:tr w14:paraId="2E18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1194C1CF">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1.26</w:t>
            </w:r>
          </w:p>
        </w:tc>
        <w:tc>
          <w:tcPr>
            <w:tcW w:w="2032" w:type="pct"/>
            <w:noWrap w:val="0"/>
            <w:vAlign w:val="center"/>
          </w:tcPr>
          <w:p w14:paraId="79324DAF">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层门及自动关门装置</w:t>
            </w:r>
          </w:p>
        </w:tc>
        <w:tc>
          <w:tcPr>
            <w:tcW w:w="2498" w:type="pct"/>
            <w:noWrap w:val="0"/>
            <w:vAlign w:val="center"/>
          </w:tcPr>
          <w:p w14:paraId="3EE1E3F3">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正常。</w:t>
            </w:r>
          </w:p>
        </w:tc>
      </w:tr>
      <w:tr w14:paraId="3F66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1F47EA9F">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1.27</w:t>
            </w:r>
          </w:p>
        </w:tc>
        <w:tc>
          <w:tcPr>
            <w:tcW w:w="2032" w:type="pct"/>
            <w:noWrap w:val="0"/>
            <w:vAlign w:val="center"/>
          </w:tcPr>
          <w:p w14:paraId="014B60B6">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层门门锁自动复位</w:t>
            </w:r>
          </w:p>
        </w:tc>
        <w:tc>
          <w:tcPr>
            <w:tcW w:w="2498" w:type="pct"/>
            <w:noWrap w:val="0"/>
            <w:vAlign w:val="center"/>
          </w:tcPr>
          <w:p w14:paraId="1F4F44AC">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用层门钥匙打开手动开锁装置释放后，层门门锁能自动复位。</w:t>
            </w:r>
          </w:p>
        </w:tc>
      </w:tr>
      <w:tr w14:paraId="510A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36715E47">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1.28</w:t>
            </w:r>
          </w:p>
        </w:tc>
        <w:tc>
          <w:tcPr>
            <w:tcW w:w="2032" w:type="pct"/>
            <w:noWrap w:val="0"/>
            <w:vAlign w:val="center"/>
          </w:tcPr>
          <w:p w14:paraId="0B9A36A4">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层门门锁电气触点</w:t>
            </w:r>
          </w:p>
        </w:tc>
        <w:tc>
          <w:tcPr>
            <w:tcW w:w="2498" w:type="pct"/>
            <w:noWrap w:val="0"/>
            <w:vAlign w:val="center"/>
          </w:tcPr>
          <w:p w14:paraId="0BBA3957">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清洁，触点接触良好，接线可靠。</w:t>
            </w:r>
          </w:p>
        </w:tc>
      </w:tr>
      <w:tr w14:paraId="5791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3594B43E">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1.29</w:t>
            </w:r>
          </w:p>
        </w:tc>
        <w:tc>
          <w:tcPr>
            <w:tcW w:w="2032" w:type="pct"/>
            <w:noWrap w:val="0"/>
            <w:vAlign w:val="center"/>
          </w:tcPr>
          <w:p w14:paraId="3D06EEDF">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层门锁紧元件啮合长度</w:t>
            </w:r>
          </w:p>
        </w:tc>
        <w:tc>
          <w:tcPr>
            <w:tcW w:w="2498" w:type="pct"/>
            <w:noWrap w:val="0"/>
            <w:vAlign w:val="center"/>
          </w:tcPr>
          <w:p w14:paraId="3D932A7B">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不小于7mm。</w:t>
            </w:r>
          </w:p>
        </w:tc>
      </w:tr>
      <w:tr w14:paraId="33BA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64C6A8AE">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1.30</w:t>
            </w:r>
          </w:p>
        </w:tc>
        <w:tc>
          <w:tcPr>
            <w:tcW w:w="2032" w:type="pct"/>
            <w:noWrap w:val="0"/>
            <w:vAlign w:val="center"/>
          </w:tcPr>
          <w:p w14:paraId="02F7A4D9">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底坑环境</w:t>
            </w:r>
          </w:p>
        </w:tc>
        <w:tc>
          <w:tcPr>
            <w:tcW w:w="2498" w:type="pct"/>
            <w:noWrap w:val="0"/>
            <w:vAlign w:val="center"/>
          </w:tcPr>
          <w:p w14:paraId="2BE23B6C">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清洁，无渗水、积水，照明正常。</w:t>
            </w:r>
          </w:p>
        </w:tc>
      </w:tr>
      <w:tr w14:paraId="4243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4F6217C7">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1.31</w:t>
            </w:r>
          </w:p>
        </w:tc>
        <w:tc>
          <w:tcPr>
            <w:tcW w:w="2032" w:type="pct"/>
            <w:noWrap w:val="0"/>
            <w:vAlign w:val="center"/>
          </w:tcPr>
          <w:p w14:paraId="7EE2812B">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底坑停止装置</w:t>
            </w:r>
          </w:p>
        </w:tc>
        <w:tc>
          <w:tcPr>
            <w:tcW w:w="2498" w:type="pct"/>
            <w:noWrap w:val="0"/>
            <w:vAlign w:val="center"/>
          </w:tcPr>
          <w:p w14:paraId="143473D1">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工作正常。</w:t>
            </w:r>
          </w:p>
        </w:tc>
      </w:tr>
      <w:tr w14:paraId="01F3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501" w:type="pct"/>
            <w:gridSpan w:val="2"/>
            <w:noWrap w:val="0"/>
            <w:vAlign w:val="top"/>
          </w:tcPr>
          <w:p w14:paraId="006505A7">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二、每季度维保项目</w:t>
            </w:r>
          </w:p>
        </w:tc>
        <w:tc>
          <w:tcPr>
            <w:tcW w:w="2498" w:type="pct"/>
            <w:noWrap w:val="0"/>
            <w:vAlign w:val="top"/>
          </w:tcPr>
          <w:p w14:paraId="57EC25F7">
            <w:pPr>
              <w:spacing w:line="240" w:lineRule="auto"/>
              <w:ind w:firstLine="0" w:firstLineChars="0"/>
              <w:jc w:val="center"/>
              <w:rPr>
                <w:rFonts w:hint="eastAsia" w:ascii="宋体" w:hAnsi="宋体" w:eastAsia="宋体" w:cs="宋体"/>
                <w:b w:val="0"/>
                <w:bCs w:val="0"/>
                <w:color w:val="auto"/>
                <w:sz w:val="21"/>
                <w:szCs w:val="21"/>
              </w:rPr>
            </w:pPr>
          </w:p>
        </w:tc>
      </w:tr>
      <w:tr w14:paraId="5498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47BCAC53">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w:t>
            </w:r>
          </w:p>
        </w:tc>
        <w:tc>
          <w:tcPr>
            <w:tcW w:w="2032" w:type="pct"/>
            <w:noWrap w:val="0"/>
            <w:vAlign w:val="center"/>
          </w:tcPr>
          <w:p w14:paraId="7822D092">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减速机润滑油</w:t>
            </w:r>
          </w:p>
        </w:tc>
        <w:tc>
          <w:tcPr>
            <w:tcW w:w="2498" w:type="pct"/>
            <w:noWrap w:val="0"/>
            <w:vAlign w:val="center"/>
          </w:tcPr>
          <w:p w14:paraId="20FFF727">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油量适宜，除蜗杆伸出端外均无渗漏。</w:t>
            </w:r>
          </w:p>
        </w:tc>
      </w:tr>
      <w:tr w14:paraId="2F558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6EAF1B84">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2.2</w:t>
            </w:r>
          </w:p>
        </w:tc>
        <w:tc>
          <w:tcPr>
            <w:tcW w:w="2032" w:type="pct"/>
            <w:noWrap w:val="0"/>
            <w:vAlign w:val="center"/>
          </w:tcPr>
          <w:p w14:paraId="23349FF8">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制动衬</w:t>
            </w:r>
          </w:p>
        </w:tc>
        <w:tc>
          <w:tcPr>
            <w:tcW w:w="2498" w:type="pct"/>
            <w:noWrap w:val="0"/>
            <w:vAlign w:val="center"/>
          </w:tcPr>
          <w:p w14:paraId="1C792AA8">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清洁，磨损量不超过制造单位要求。</w:t>
            </w:r>
          </w:p>
        </w:tc>
      </w:tr>
      <w:tr w14:paraId="3C3E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6EEBCA5B">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2.3</w:t>
            </w:r>
          </w:p>
        </w:tc>
        <w:tc>
          <w:tcPr>
            <w:tcW w:w="2032" w:type="pct"/>
            <w:noWrap w:val="0"/>
            <w:vAlign w:val="center"/>
          </w:tcPr>
          <w:p w14:paraId="51A149C8">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位置脉冲发生器</w:t>
            </w:r>
          </w:p>
        </w:tc>
        <w:tc>
          <w:tcPr>
            <w:tcW w:w="2498" w:type="pct"/>
            <w:noWrap w:val="0"/>
            <w:vAlign w:val="center"/>
          </w:tcPr>
          <w:p w14:paraId="4587E444">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工作正常。</w:t>
            </w:r>
          </w:p>
        </w:tc>
      </w:tr>
      <w:tr w14:paraId="4CA60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2ABD6EDD">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2.4</w:t>
            </w:r>
          </w:p>
        </w:tc>
        <w:tc>
          <w:tcPr>
            <w:tcW w:w="2032" w:type="pct"/>
            <w:noWrap w:val="0"/>
            <w:vAlign w:val="center"/>
          </w:tcPr>
          <w:p w14:paraId="069C2E9E">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选层器动静触点</w:t>
            </w:r>
          </w:p>
        </w:tc>
        <w:tc>
          <w:tcPr>
            <w:tcW w:w="2498" w:type="pct"/>
            <w:noWrap w:val="0"/>
            <w:vAlign w:val="center"/>
          </w:tcPr>
          <w:p w14:paraId="68CB6D93">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清洁，无烧蚀。</w:t>
            </w:r>
          </w:p>
        </w:tc>
      </w:tr>
      <w:tr w14:paraId="2E07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4EB81480">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2.5</w:t>
            </w:r>
          </w:p>
        </w:tc>
        <w:tc>
          <w:tcPr>
            <w:tcW w:w="2032" w:type="pct"/>
            <w:noWrap w:val="0"/>
            <w:vAlign w:val="center"/>
          </w:tcPr>
          <w:p w14:paraId="76035B84">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曳引轮槽、曳引钢丝绳</w:t>
            </w:r>
          </w:p>
        </w:tc>
        <w:tc>
          <w:tcPr>
            <w:tcW w:w="2498" w:type="pct"/>
            <w:noWrap w:val="0"/>
            <w:vAlign w:val="center"/>
          </w:tcPr>
          <w:p w14:paraId="364EEF92">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曳引轮槽、曳引钢丝绳清洁，无严重油腻，张力均匀，符合制造单位要求。</w:t>
            </w:r>
          </w:p>
        </w:tc>
      </w:tr>
      <w:tr w14:paraId="0129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68158754">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2.6</w:t>
            </w:r>
          </w:p>
        </w:tc>
        <w:tc>
          <w:tcPr>
            <w:tcW w:w="2032" w:type="pct"/>
            <w:noWrap w:val="0"/>
            <w:vAlign w:val="center"/>
          </w:tcPr>
          <w:p w14:paraId="2CA48FAF">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限速器轮槽、限速器钢丝绳</w:t>
            </w:r>
          </w:p>
        </w:tc>
        <w:tc>
          <w:tcPr>
            <w:tcW w:w="2498" w:type="pct"/>
            <w:noWrap w:val="0"/>
            <w:vAlign w:val="center"/>
          </w:tcPr>
          <w:p w14:paraId="696F753E">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清洁，无严重油腻。</w:t>
            </w:r>
          </w:p>
        </w:tc>
      </w:tr>
      <w:tr w14:paraId="1DF6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2F64ED32">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2.7</w:t>
            </w:r>
          </w:p>
        </w:tc>
        <w:tc>
          <w:tcPr>
            <w:tcW w:w="2032" w:type="pct"/>
            <w:noWrap w:val="0"/>
            <w:vAlign w:val="center"/>
          </w:tcPr>
          <w:p w14:paraId="537A9DCE">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靴衬、滚轮</w:t>
            </w:r>
          </w:p>
        </w:tc>
        <w:tc>
          <w:tcPr>
            <w:tcW w:w="2498" w:type="pct"/>
            <w:noWrap w:val="0"/>
            <w:vAlign w:val="center"/>
          </w:tcPr>
          <w:p w14:paraId="23ED1381">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清洁，磨损量不超过制造单位要求。</w:t>
            </w:r>
          </w:p>
        </w:tc>
      </w:tr>
      <w:tr w14:paraId="1DC71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69804AF2">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2.8</w:t>
            </w:r>
          </w:p>
        </w:tc>
        <w:tc>
          <w:tcPr>
            <w:tcW w:w="2032" w:type="pct"/>
            <w:noWrap w:val="0"/>
            <w:vAlign w:val="center"/>
          </w:tcPr>
          <w:p w14:paraId="36799782">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验证轿门关闭的电气安全装置</w:t>
            </w:r>
          </w:p>
        </w:tc>
        <w:tc>
          <w:tcPr>
            <w:tcW w:w="2498" w:type="pct"/>
            <w:noWrap w:val="0"/>
            <w:vAlign w:val="center"/>
          </w:tcPr>
          <w:p w14:paraId="5CE3B113">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工作正常。</w:t>
            </w:r>
          </w:p>
        </w:tc>
      </w:tr>
      <w:tr w14:paraId="1A5B0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73CF66FC">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2.9</w:t>
            </w:r>
          </w:p>
        </w:tc>
        <w:tc>
          <w:tcPr>
            <w:tcW w:w="2032" w:type="pct"/>
            <w:noWrap w:val="0"/>
            <w:vAlign w:val="center"/>
          </w:tcPr>
          <w:p w14:paraId="3381FFA0">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层门、轿门系统中传动钢丝绳、链条、传动带</w:t>
            </w:r>
          </w:p>
        </w:tc>
        <w:tc>
          <w:tcPr>
            <w:tcW w:w="2498" w:type="pct"/>
            <w:noWrap w:val="0"/>
            <w:vAlign w:val="center"/>
          </w:tcPr>
          <w:p w14:paraId="2D1A2313">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按照制造单位要求进行清洁、调整。</w:t>
            </w:r>
          </w:p>
        </w:tc>
      </w:tr>
      <w:tr w14:paraId="6B3F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073A1709">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2.10</w:t>
            </w:r>
          </w:p>
        </w:tc>
        <w:tc>
          <w:tcPr>
            <w:tcW w:w="2032" w:type="pct"/>
            <w:noWrap w:val="0"/>
            <w:vAlign w:val="center"/>
          </w:tcPr>
          <w:p w14:paraId="3A31DBB8">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层门门导靴</w:t>
            </w:r>
          </w:p>
        </w:tc>
        <w:tc>
          <w:tcPr>
            <w:tcW w:w="2498" w:type="pct"/>
            <w:noWrap w:val="0"/>
            <w:vAlign w:val="center"/>
          </w:tcPr>
          <w:p w14:paraId="215BBDA1">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磨损量不超过制造单位要求。</w:t>
            </w:r>
          </w:p>
        </w:tc>
      </w:tr>
      <w:tr w14:paraId="0C5C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71863550">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2.11</w:t>
            </w:r>
          </w:p>
        </w:tc>
        <w:tc>
          <w:tcPr>
            <w:tcW w:w="2032" w:type="pct"/>
            <w:noWrap w:val="0"/>
            <w:vAlign w:val="center"/>
          </w:tcPr>
          <w:p w14:paraId="1B8E60A0">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消防开关</w:t>
            </w:r>
          </w:p>
        </w:tc>
        <w:tc>
          <w:tcPr>
            <w:tcW w:w="2498" w:type="pct"/>
            <w:noWrap w:val="0"/>
            <w:vAlign w:val="center"/>
          </w:tcPr>
          <w:p w14:paraId="0815429A">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工作正常，功能有效。</w:t>
            </w:r>
          </w:p>
        </w:tc>
      </w:tr>
      <w:tr w14:paraId="692D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71DB5D9A">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2.12</w:t>
            </w:r>
          </w:p>
        </w:tc>
        <w:tc>
          <w:tcPr>
            <w:tcW w:w="2032" w:type="pct"/>
            <w:noWrap w:val="0"/>
            <w:vAlign w:val="center"/>
          </w:tcPr>
          <w:p w14:paraId="61B9FA84">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耗能缓冲器</w:t>
            </w:r>
          </w:p>
        </w:tc>
        <w:tc>
          <w:tcPr>
            <w:tcW w:w="2498" w:type="pct"/>
            <w:noWrap w:val="0"/>
            <w:vAlign w:val="center"/>
          </w:tcPr>
          <w:p w14:paraId="5BF7BBBF">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电气安全装置功能有效，油量适宜，柱塞无锈蚀。</w:t>
            </w:r>
          </w:p>
        </w:tc>
      </w:tr>
      <w:tr w14:paraId="3DEF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1113F7B2">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2.13</w:t>
            </w:r>
          </w:p>
        </w:tc>
        <w:tc>
          <w:tcPr>
            <w:tcW w:w="2032" w:type="pct"/>
            <w:noWrap w:val="0"/>
            <w:vAlign w:val="center"/>
          </w:tcPr>
          <w:p w14:paraId="30CB9F7C">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限速器张紧轮装置和电气安全装置</w:t>
            </w:r>
          </w:p>
        </w:tc>
        <w:tc>
          <w:tcPr>
            <w:tcW w:w="2498" w:type="pct"/>
            <w:noWrap w:val="0"/>
            <w:vAlign w:val="center"/>
          </w:tcPr>
          <w:p w14:paraId="13B8D26F">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工作正常。</w:t>
            </w:r>
          </w:p>
        </w:tc>
      </w:tr>
      <w:tr w14:paraId="45E7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501" w:type="pct"/>
            <w:gridSpan w:val="2"/>
            <w:noWrap w:val="0"/>
            <w:vAlign w:val="top"/>
          </w:tcPr>
          <w:p w14:paraId="5A20A6CD">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三、每隔半年维保项目</w:t>
            </w:r>
          </w:p>
        </w:tc>
        <w:tc>
          <w:tcPr>
            <w:tcW w:w="2498" w:type="pct"/>
            <w:noWrap w:val="0"/>
            <w:vAlign w:val="top"/>
          </w:tcPr>
          <w:p w14:paraId="1A2B609E">
            <w:pPr>
              <w:spacing w:line="240" w:lineRule="auto"/>
              <w:ind w:firstLine="0" w:firstLineChars="0"/>
              <w:jc w:val="center"/>
              <w:rPr>
                <w:rFonts w:hint="eastAsia" w:ascii="宋体" w:hAnsi="宋体" w:eastAsia="宋体" w:cs="宋体"/>
                <w:b w:val="0"/>
                <w:bCs w:val="0"/>
                <w:color w:val="auto"/>
                <w:sz w:val="21"/>
                <w:szCs w:val="21"/>
              </w:rPr>
            </w:pPr>
          </w:p>
        </w:tc>
      </w:tr>
      <w:tr w14:paraId="1C76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37C665A6">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3.1</w:t>
            </w:r>
          </w:p>
        </w:tc>
        <w:tc>
          <w:tcPr>
            <w:tcW w:w="2032" w:type="pct"/>
            <w:noWrap w:val="0"/>
            <w:vAlign w:val="center"/>
          </w:tcPr>
          <w:p w14:paraId="268BBE5F">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电动机与减速机联轴器</w:t>
            </w:r>
          </w:p>
        </w:tc>
        <w:tc>
          <w:tcPr>
            <w:tcW w:w="2498" w:type="pct"/>
            <w:noWrap w:val="0"/>
            <w:vAlign w:val="center"/>
          </w:tcPr>
          <w:p w14:paraId="3BB464C4">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连接无松动，弹性元件外观良好，无老化等现象。</w:t>
            </w:r>
          </w:p>
        </w:tc>
      </w:tr>
      <w:tr w14:paraId="6A01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23E44F37">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3.2</w:t>
            </w:r>
          </w:p>
        </w:tc>
        <w:tc>
          <w:tcPr>
            <w:tcW w:w="2032" w:type="pct"/>
            <w:noWrap w:val="0"/>
            <w:vAlign w:val="center"/>
          </w:tcPr>
          <w:p w14:paraId="70C12FFA">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曳引轮、导向轮轴承部</w:t>
            </w:r>
          </w:p>
        </w:tc>
        <w:tc>
          <w:tcPr>
            <w:tcW w:w="2498" w:type="pct"/>
            <w:noWrap w:val="0"/>
            <w:vAlign w:val="center"/>
          </w:tcPr>
          <w:p w14:paraId="62F7C3AA">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无异常声响，无震动，润滑良好。</w:t>
            </w:r>
          </w:p>
        </w:tc>
      </w:tr>
      <w:tr w14:paraId="48E8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50201267">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3.3</w:t>
            </w:r>
          </w:p>
        </w:tc>
        <w:tc>
          <w:tcPr>
            <w:tcW w:w="2032" w:type="pct"/>
            <w:noWrap w:val="0"/>
            <w:vAlign w:val="center"/>
          </w:tcPr>
          <w:p w14:paraId="670DC9B9">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曳引轮槽</w:t>
            </w:r>
          </w:p>
        </w:tc>
        <w:tc>
          <w:tcPr>
            <w:tcW w:w="2498" w:type="pct"/>
            <w:noWrap w:val="0"/>
            <w:vAlign w:val="center"/>
          </w:tcPr>
          <w:p w14:paraId="1C849B5E">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磨损量不超过制造单位要求。</w:t>
            </w:r>
          </w:p>
        </w:tc>
      </w:tr>
      <w:tr w14:paraId="1E29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2F5542B2">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3.4</w:t>
            </w:r>
          </w:p>
        </w:tc>
        <w:tc>
          <w:tcPr>
            <w:tcW w:w="2032" w:type="pct"/>
            <w:noWrap w:val="0"/>
            <w:vAlign w:val="center"/>
          </w:tcPr>
          <w:p w14:paraId="1C25B9C8">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制动器动作状态监测装置</w:t>
            </w:r>
          </w:p>
        </w:tc>
        <w:tc>
          <w:tcPr>
            <w:tcW w:w="2498" w:type="pct"/>
            <w:noWrap w:val="0"/>
            <w:vAlign w:val="center"/>
          </w:tcPr>
          <w:p w14:paraId="77FE1BB2">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工作正常，制动器动作可靠。</w:t>
            </w:r>
          </w:p>
        </w:tc>
      </w:tr>
      <w:tr w14:paraId="74F2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72011C85">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3.5</w:t>
            </w:r>
          </w:p>
        </w:tc>
        <w:tc>
          <w:tcPr>
            <w:tcW w:w="2032" w:type="pct"/>
            <w:noWrap w:val="0"/>
            <w:vAlign w:val="center"/>
          </w:tcPr>
          <w:p w14:paraId="2FB596A0">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控制柜内各接线端子</w:t>
            </w:r>
          </w:p>
        </w:tc>
        <w:tc>
          <w:tcPr>
            <w:tcW w:w="2498" w:type="pct"/>
            <w:noWrap w:val="0"/>
            <w:vAlign w:val="center"/>
          </w:tcPr>
          <w:p w14:paraId="5F2C0307">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各接线紧固、整齐，线号齐全清晰。</w:t>
            </w:r>
          </w:p>
        </w:tc>
      </w:tr>
      <w:tr w14:paraId="3132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75FFE2B4">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3.6</w:t>
            </w:r>
          </w:p>
        </w:tc>
        <w:tc>
          <w:tcPr>
            <w:tcW w:w="2032" w:type="pct"/>
            <w:noWrap w:val="0"/>
            <w:vAlign w:val="center"/>
          </w:tcPr>
          <w:p w14:paraId="78E5BB2D">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控制柜各仪表</w:t>
            </w:r>
          </w:p>
        </w:tc>
        <w:tc>
          <w:tcPr>
            <w:tcW w:w="2498" w:type="pct"/>
            <w:noWrap w:val="0"/>
            <w:vAlign w:val="center"/>
          </w:tcPr>
          <w:p w14:paraId="4A689ACB">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显示正常。</w:t>
            </w:r>
          </w:p>
        </w:tc>
      </w:tr>
      <w:tr w14:paraId="6F4D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425F234C">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3.7</w:t>
            </w:r>
          </w:p>
        </w:tc>
        <w:tc>
          <w:tcPr>
            <w:tcW w:w="2032" w:type="pct"/>
            <w:noWrap w:val="0"/>
            <w:vAlign w:val="center"/>
          </w:tcPr>
          <w:p w14:paraId="03239057">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井道、对重、轿顶各反绳轮轴承部</w:t>
            </w:r>
          </w:p>
        </w:tc>
        <w:tc>
          <w:tcPr>
            <w:tcW w:w="2498" w:type="pct"/>
            <w:noWrap w:val="0"/>
            <w:vAlign w:val="center"/>
          </w:tcPr>
          <w:p w14:paraId="5434369B">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无异常声，无振动，润滑良好。</w:t>
            </w:r>
          </w:p>
        </w:tc>
      </w:tr>
      <w:tr w14:paraId="5119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31AC5E10">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3.8</w:t>
            </w:r>
          </w:p>
        </w:tc>
        <w:tc>
          <w:tcPr>
            <w:tcW w:w="2032" w:type="pct"/>
            <w:noWrap w:val="0"/>
            <w:vAlign w:val="center"/>
          </w:tcPr>
          <w:p w14:paraId="05E8A67D">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曳引绳、补偿绳</w:t>
            </w:r>
          </w:p>
        </w:tc>
        <w:tc>
          <w:tcPr>
            <w:tcW w:w="2498" w:type="pct"/>
            <w:noWrap w:val="0"/>
            <w:vAlign w:val="center"/>
          </w:tcPr>
          <w:p w14:paraId="0C0B38C0">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磨损量、断丝数不超过要求。</w:t>
            </w:r>
          </w:p>
        </w:tc>
      </w:tr>
      <w:tr w14:paraId="0D07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64A80410">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3.9</w:t>
            </w:r>
          </w:p>
        </w:tc>
        <w:tc>
          <w:tcPr>
            <w:tcW w:w="2032" w:type="pct"/>
            <w:noWrap w:val="0"/>
            <w:vAlign w:val="center"/>
          </w:tcPr>
          <w:p w14:paraId="1BCE5B65">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曳引绳绳头组合</w:t>
            </w:r>
          </w:p>
        </w:tc>
        <w:tc>
          <w:tcPr>
            <w:tcW w:w="2498" w:type="pct"/>
            <w:noWrap w:val="0"/>
            <w:vAlign w:val="center"/>
          </w:tcPr>
          <w:p w14:paraId="00D09BAE">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部件齐全、固定可靠，紧固件无松动。</w:t>
            </w:r>
          </w:p>
        </w:tc>
      </w:tr>
      <w:tr w14:paraId="38A3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62BC7270">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3.10</w:t>
            </w:r>
          </w:p>
        </w:tc>
        <w:tc>
          <w:tcPr>
            <w:tcW w:w="2032" w:type="pct"/>
            <w:noWrap w:val="0"/>
            <w:vAlign w:val="center"/>
          </w:tcPr>
          <w:p w14:paraId="351E1D53">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限速器钢丝绳</w:t>
            </w:r>
          </w:p>
        </w:tc>
        <w:tc>
          <w:tcPr>
            <w:tcW w:w="2498" w:type="pct"/>
            <w:noWrap w:val="0"/>
            <w:vAlign w:val="center"/>
          </w:tcPr>
          <w:p w14:paraId="73844840">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磨损量、断丝数不超过制造单位要求。</w:t>
            </w:r>
          </w:p>
        </w:tc>
      </w:tr>
      <w:tr w14:paraId="4C73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763C74CC">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3.11</w:t>
            </w:r>
          </w:p>
        </w:tc>
        <w:tc>
          <w:tcPr>
            <w:tcW w:w="2032" w:type="pct"/>
            <w:noWrap w:val="0"/>
            <w:vAlign w:val="center"/>
          </w:tcPr>
          <w:p w14:paraId="4D2F8129">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层门、轿门门扇</w:t>
            </w:r>
          </w:p>
        </w:tc>
        <w:tc>
          <w:tcPr>
            <w:tcW w:w="2498" w:type="pct"/>
            <w:noWrap w:val="0"/>
            <w:vAlign w:val="center"/>
          </w:tcPr>
          <w:p w14:paraId="3D72D1E8">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门扇各相关间隙符合标准值。</w:t>
            </w:r>
          </w:p>
        </w:tc>
      </w:tr>
      <w:tr w14:paraId="77DF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07DD294C">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3.12</w:t>
            </w:r>
          </w:p>
        </w:tc>
        <w:tc>
          <w:tcPr>
            <w:tcW w:w="2032" w:type="pct"/>
            <w:noWrap w:val="0"/>
            <w:vAlign w:val="center"/>
          </w:tcPr>
          <w:p w14:paraId="17C3205B">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轿门开门限制装置</w:t>
            </w:r>
          </w:p>
        </w:tc>
        <w:tc>
          <w:tcPr>
            <w:tcW w:w="2498" w:type="pct"/>
            <w:noWrap w:val="0"/>
            <w:vAlign w:val="center"/>
          </w:tcPr>
          <w:p w14:paraId="098E7F2A">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工作正常。</w:t>
            </w:r>
          </w:p>
        </w:tc>
      </w:tr>
      <w:tr w14:paraId="67CD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50C9DCB0">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3.13</w:t>
            </w:r>
          </w:p>
        </w:tc>
        <w:tc>
          <w:tcPr>
            <w:tcW w:w="2032" w:type="pct"/>
            <w:noWrap w:val="0"/>
            <w:vAlign w:val="center"/>
          </w:tcPr>
          <w:p w14:paraId="243C2627">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对重缓冲距离</w:t>
            </w:r>
          </w:p>
        </w:tc>
        <w:tc>
          <w:tcPr>
            <w:tcW w:w="2498" w:type="pct"/>
            <w:noWrap w:val="0"/>
            <w:vAlign w:val="center"/>
          </w:tcPr>
          <w:p w14:paraId="00A14F2A">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符合标准值。</w:t>
            </w:r>
          </w:p>
        </w:tc>
      </w:tr>
      <w:tr w14:paraId="1ACE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2808D560">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3.14</w:t>
            </w:r>
          </w:p>
        </w:tc>
        <w:tc>
          <w:tcPr>
            <w:tcW w:w="2032" w:type="pct"/>
            <w:noWrap w:val="0"/>
            <w:vAlign w:val="center"/>
          </w:tcPr>
          <w:p w14:paraId="3A7452C4">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补偿链（绳）与轿厢、对重接合处</w:t>
            </w:r>
          </w:p>
        </w:tc>
        <w:tc>
          <w:tcPr>
            <w:tcW w:w="2498" w:type="pct"/>
            <w:noWrap w:val="0"/>
            <w:vAlign w:val="center"/>
          </w:tcPr>
          <w:p w14:paraId="4FBFA90B">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固定、无松动。</w:t>
            </w:r>
          </w:p>
        </w:tc>
      </w:tr>
      <w:tr w14:paraId="0A05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1E1E0342">
            <w:pPr>
              <w:pStyle w:val="37"/>
              <w:spacing w:before="0" w:beforeAutospacing="0" w:after="0" w:afterAutospacing="0"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3.15</w:t>
            </w:r>
          </w:p>
        </w:tc>
        <w:tc>
          <w:tcPr>
            <w:tcW w:w="2032" w:type="pct"/>
            <w:noWrap w:val="0"/>
            <w:vAlign w:val="center"/>
          </w:tcPr>
          <w:p w14:paraId="68E0650A">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上下极限开关</w:t>
            </w:r>
          </w:p>
        </w:tc>
        <w:tc>
          <w:tcPr>
            <w:tcW w:w="2498" w:type="pct"/>
            <w:noWrap w:val="0"/>
            <w:vAlign w:val="center"/>
          </w:tcPr>
          <w:p w14:paraId="74A3E076">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工作正常。</w:t>
            </w:r>
          </w:p>
        </w:tc>
      </w:tr>
      <w:tr w14:paraId="7F87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00" w:type="pct"/>
            <w:gridSpan w:val="3"/>
            <w:noWrap w:val="0"/>
            <w:vAlign w:val="top"/>
          </w:tcPr>
          <w:p w14:paraId="59B6C0F0">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四、每年度维保项目</w:t>
            </w:r>
          </w:p>
        </w:tc>
      </w:tr>
      <w:tr w14:paraId="20F8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2A80F0AF">
            <w:pPr>
              <w:pStyle w:val="37"/>
              <w:spacing w:before="0" w:beforeAutospacing="0" w:after="0" w:afterAutospacing="0"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4.1</w:t>
            </w:r>
          </w:p>
        </w:tc>
        <w:tc>
          <w:tcPr>
            <w:tcW w:w="2032" w:type="pct"/>
            <w:noWrap w:val="0"/>
            <w:vAlign w:val="center"/>
          </w:tcPr>
          <w:p w14:paraId="2684B92E">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减速机润滑油</w:t>
            </w:r>
          </w:p>
        </w:tc>
        <w:tc>
          <w:tcPr>
            <w:tcW w:w="2498" w:type="pct"/>
            <w:noWrap w:val="0"/>
            <w:vAlign w:val="center"/>
          </w:tcPr>
          <w:p w14:paraId="646C0C4C">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按照制造单位要求适时更换，保证油质符合要求。</w:t>
            </w:r>
          </w:p>
        </w:tc>
      </w:tr>
      <w:tr w14:paraId="5F37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6B369BC8">
            <w:pPr>
              <w:pStyle w:val="37"/>
              <w:spacing w:before="0" w:beforeAutospacing="0" w:after="0" w:afterAutospacing="0"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4.2</w:t>
            </w:r>
          </w:p>
        </w:tc>
        <w:tc>
          <w:tcPr>
            <w:tcW w:w="2032" w:type="pct"/>
            <w:noWrap w:val="0"/>
            <w:vAlign w:val="center"/>
          </w:tcPr>
          <w:p w14:paraId="710E84B9">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控制柜接触器、继电器触点</w:t>
            </w:r>
          </w:p>
        </w:tc>
        <w:tc>
          <w:tcPr>
            <w:tcW w:w="2498" w:type="pct"/>
            <w:noWrap w:val="0"/>
            <w:vAlign w:val="center"/>
          </w:tcPr>
          <w:p w14:paraId="7ED256E9">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接触良好。</w:t>
            </w:r>
          </w:p>
        </w:tc>
      </w:tr>
      <w:tr w14:paraId="4F62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67A34E1A">
            <w:pPr>
              <w:pStyle w:val="37"/>
              <w:spacing w:before="0" w:beforeAutospacing="0" w:after="0" w:afterAutospacing="0"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4.3</w:t>
            </w:r>
          </w:p>
        </w:tc>
        <w:tc>
          <w:tcPr>
            <w:tcW w:w="2032" w:type="pct"/>
            <w:noWrap w:val="0"/>
            <w:vAlign w:val="center"/>
          </w:tcPr>
          <w:p w14:paraId="69F01E98">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制动器铁芯（柱塞）</w:t>
            </w:r>
          </w:p>
        </w:tc>
        <w:tc>
          <w:tcPr>
            <w:tcW w:w="2498" w:type="pct"/>
            <w:noWrap w:val="0"/>
            <w:vAlign w:val="center"/>
          </w:tcPr>
          <w:p w14:paraId="6B5A2AB4">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进行清洁、润滑、检查，磨损量不超过制造单位要求。</w:t>
            </w:r>
          </w:p>
        </w:tc>
      </w:tr>
      <w:tr w14:paraId="2D80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7B83B43A">
            <w:pPr>
              <w:pStyle w:val="37"/>
              <w:spacing w:before="0" w:beforeAutospacing="0" w:after="0" w:afterAutospacing="0"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4.4</w:t>
            </w:r>
          </w:p>
        </w:tc>
        <w:tc>
          <w:tcPr>
            <w:tcW w:w="2032" w:type="pct"/>
            <w:noWrap w:val="0"/>
            <w:vAlign w:val="center"/>
          </w:tcPr>
          <w:p w14:paraId="27C8F1CC">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制动器制动能力</w:t>
            </w:r>
          </w:p>
        </w:tc>
        <w:tc>
          <w:tcPr>
            <w:tcW w:w="2498" w:type="pct"/>
            <w:noWrap w:val="0"/>
            <w:vAlign w:val="center"/>
          </w:tcPr>
          <w:p w14:paraId="25E3D5B9">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符合制造单位要求，保持有足够的制动力，必要时进行轿厢装载125%额定载重量的制动试验。</w:t>
            </w:r>
          </w:p>
        </w:tc>
      </w:tr>
      <w:tr w14:paraId="344F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1E74F5D1">
            <w:pPr>
              <w:pStyle w:val="37"/>
              <w:spacing w:before="0" w:beforeAutospacing="0" w:after="0" w:afterAutospacing="0"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4.5</w:t>
            </w:r>
          </w:p>
        </w:tc>
        <w:tc>
          <w:tcPr>
            <w:tcW w:w="2032" w:type="pct"/>
            <w:noWrap w:val="0"/>
            <w:vAlign w:val="center"/>
          </w:tcPr>
          <w:p w14:paraId="58875EBD">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导电回路绝缘性能测试</w:t>
            </w:r>
          </w:p>
        </w:tc>
        <w:tc>
          <w:tcPr>
            <w:tcW w:w="2498" w:type="pct"/>
            <w:noWrap w:val="0"/>
            <w:vAlign w:val="center"/>
          </w:tcPr>
          <w:p w14:paraId="6EF9548D">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符合标准。</w:t>
            </w:r>
          </w:p>
        </w:tc>
      </w:tr>
      <w:tr w14:paraId="7783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1348DCD8">
            <w:pPr>
              <w:pStyle w:val="37"/>
              <w:spacing w:before="0" w:beforeAutospacing="0" w:after="0" w:afterAutospacing="0"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4.6</w:t>
            </w:r>
          </w:p>
        </w:tc>
        <w:tc>
          <w:tcPr>
            <w:tcW w:w="2032" w:type="pct"/>
            <w:noWrap w:val="0"/>
            <w:vAlign w:val="center"/>
          </w:tcPr>
          <w:p w14:paraId="681EFE44">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限速器安全钳联动试验</w:t>
            </w:r>
          </w:p>
        </w:tc>
        <w:tc>
          <w:tcPr>
            <w:tcW w:w="2498" w:type="pct"/>
            <w:noWrap w:val="0"/>
            <w:vAlign w:val="center"/>
          </w:tcPr>
          <w:p w14:paraId="11291BD5">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工作正常。</w:t>
            </w:r>
          </w:p>
        </w:tc>
      </w:tr>
      <w:tr w14:paraId="73AC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06D20B24">
            <w:pPr>
              <w:pStyle w:val="37"/>
              <w:spacing w:before="0" w:beforeAutospacing="0" w:after="0" w:afterAutospacing="0"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4.7</w:t>
            </w:r>
          </w:p>
        </w:tc>
        <w:tc>
          <w:tcPr>
            <w:tcW w:w="2032" w:type="pct"/>
            <w:noWrap w:val="0"/>
            <w:vAlign w:val="center"/>
          </w:tcPr>
          <w:p w14:paraId="705574A4">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轿厢意外移动时保护装置动作试验</w:t>
            </w:r>
          </w:p>
        </w:tc>
        <w:tc>
          <w:tcPr>
            <w:tcW w:w="2498" w:type="pct"/>
            <w:noWrap w:val="0"/>
            <w:vAlign w:val="center"/>
          </w:tcPr>
          <w:p w14:paraId="15D987B7">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工作正常。</w:t>
            </w:r>
          </w:p>
        </w:tc>
      </w:tr>
      <w:tr w14:paraId="66CEF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4ED4528E">
            <w:pPr>
              <w:pStyle w:val="37"/>
              <w:spacing w:before="0" w:beforeAutospacing="0" w:after="0" w:afterAutospacing="0"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4.8</w:t>
            </w:r>
          </w:p>
        </w:tc>
        <w:tc>
          <w:tcPr>
            <w:tcW w:w="2032" w:type="pct"/>
            <w:noWrap w:val="0"/>
            <w:vAlign w:val="center"/>
          </w:tcPr>
          <w:p w14:paraId="792EB5E8">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上行超速保护装置动作试验</w:t>
            </w:r>
          </w:p>
        </w:tc>
        <w:tc>
          <w:tcPr>
            <w:tcW w:w="2498" w:type="pct"/>
            <w:noWrap w:val="0"/>
            <w:vAlign w:val="center"/>
          </w:tcPr>
          <w:p w14:paraId="2E6FD5E2">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工作正常。</w:t>
            </w:r>
          </w:p>
        </w:tc>
      </w:tr>
      <w:tr w14:paraId="052C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74F50A51">
            <w:pPr>
              <w:pStyle w:val="37"/>
              <w:spacing w:before="0" w:beforeAutospacing="0" w:after="0" w:afterAutospacing="0"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4.9</w:t>
            </w:r>
          </w:p>
        </w:tc>
        <w:tc>
          <w:tcPr>
            <w:tcW w:w="2032" w:type="pct"/>
            <w:noWrap w:val="0"/>
            <w:vAlign w:val="center"/>
          </w:tcPr>
          <w:p w14:paraId="636BEF9A">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轿顶、轿厢架、轿门及其附件安装螺栓</w:t>
            </w:r>
          </w:p>
        </w:tc>
        <w:tc>
          <w:tcPr>
            <w:tcW w:w="2498" w:type="pct"/>
            <w:noWrap w:val="0"/>
            <w:vAlign w:val="center"/>
          </w:tcPr>
          <w:p w14:paraId="0E53BDF6">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紧固。</w:t>
            </w:r>
          </w:p>
        </w:tc>
      </w:tr>
      <w:tr w14:paraId="3C5A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345FA115">
            <w:pPr>
              <w:pStyle w:val="37"/>
              <w:spacing w:before="0" w:beforeAutospacing="0" w:after="0" w:afterAutospacing="0"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4.10</w:t>
            </w:r>
          </w:p>
        </w:tc>
        <w:tc>
          <w:tcPr>
            <w:tcW w:w="2032" w:type="pct"/>
            <w:noWrap w:val="0"/>
            <w:vAlign w:val="center"/>
          </w:tcPr>
          <w:p w14:paraId="57E4F670">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轿厢和对重/平衡重的导轨支架</w:t>
            </w:r>
          </w:p>
        </w:tc>
        <w:tc>
          <w:tcPr>
            <w:tcW w:w="2498" w:type="pct"/>
            <w:noWrap w:val="0"/>
            <w:vAlign w:val="center"/>
          </w:tcPr>
          <w:p w14:paraId="40BAD6D5">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固定，无松动。</w:t>
            </w:r>
          </w:p>
        </w:tc>
      </w:tr>
      <w:tr w14:paraId="50F9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42AAE281">
            <w:pPr>
              <w:pStyle w:val="37"/>
              <w:spacing w:before="0" w:beforeAutospacing="0" w:after="0" w:afterAutospacing="0"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4.11</w:t>
            </w:r>
          </w:p>
        </w:tc>
        <w:tc>
          <w:tcPr>
            <w:tcW w:w="2032" w:type="pct"/>
            <w:noWrap w:val="0"/>
            <w:vAlign w:val="center"/>
          </w:tcPr>
          <w:p w14:paraId="5C68C1EB">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轿厢和对重/平衡重的导轨</w:t>
            </w:r>
          </w:p>
        </w:tc>
        <w:tc>
          <w:tcPr>
            <w:tcW w:w="2498" w:type="pct"/>
            <w:noWrap w:val="0"/>
            <w:vAlign w:val="center"/>
          </w:tcPr>
          <w:p w14:paraId="72153F76">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清洁，压板牢固。</w:t>
            </w:r>
          </w:p>
        </w:tc>
      </w:tr>
      <w:tr w14:paraId="0F2D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04D94D1A">
            <w:pPr>
              <w:pStyle w:val="37"/>
              <w:spacing w:before="0" w:beforeAutospacing="0" w:after="0" w:afterAutospacing="0"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4.12</w:t>
            </w:r>
          </w:p>
        </w:tc>
        <w:tc>
          <w:tcPr>
            <w:tcW w:w="2032" w:type="pct"/>
            <w:noWrap w:val="0"/>
            <w:vAlign w:val="center"/>
          </w:tcPr>
          <w:p w14:paraId="37AFD9B9">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随行电缆</w:t>
            </w:r>
          </w:p>
        </w:tc>
        <w:tc>
          <w:tcPr>
            <w:tcW w:w="2498" w:type="pct"/>
            <w:noWrap w:val="0"/>
            <w:vAlign w:val="center"/>
          </w:tcPr>
          <w:p w14:paraId="731F7FFB">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无损伤。</w:t>
            </w:r>
          </w:p>
        </w:tc>
      </w:tr>
      <w:tr w14:paraId="620BA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26D0BF69">
            <w:pPr>
              <w:pStyle w:val="37"/>
              <w:spacing w:before="0" w:beforeAutospacing="0" w:after="0" w:afterAutospacing="0"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4.13</w:t>
            </w:r>
          </w:p>
        </w:tc>
        <w:tc>
          <w:tcPr>
            <w:tcW w:w="2032" w:type="pct"/>
            <w:noWrap w:val="0"/>
            <w:vAlign w:val="center"/>
          </w:tcPr>
          <w:p w14:paraId="0C241D14">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层门装置和地坎</w:t>
            </w:r>
          </w:p>
        </w:tc>
        <w:tc>
          <w:tcPr>
            <w:tcW w:w="2498" w:type="pct"/>
            <w:noWrap w:val="0"/>
            <w:vAlign w:val="center"/>
          </w:tcPr>
          <w:p w14:paraId="412B9B78">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无影响正常使用的变形，各安装螺栓紧固。</w:t>
            </w:r>
          </w:p>
        </w:tc>
      </w:tr>
      <w:tr w14:paraId="3266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4DBFF6A5">
            <w:pPr>
              <w:pStyle w:val="37"/>
              <w:spacing w:before="0" w:beforeAutospacing="0" w:after="0" w:afterAutospacing="0"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4.14</w:t>
            </w:r>
          </w:p>
        </w:tc>
        <w:tc>
          <w:tcPr>
            <w:tcW w:w="2032" w:type="pct"/>
            <w:noWrap w:val="0"/>
            <w:vAlign w:val="center"/>
          </w:tcPr>
          <w:p w14:paraId="06B2EA78">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轿厢称重装置</w:t>
            </w:r>
          </w:p>
        </w:tc>
        <w:tc>
          <w:tcPr>
            <w:tcW w:w="2498" w:type="pct"/>
            <w:noWrap w:val="0"/>
            <w:vAlign w:val="center"/>
          </w:tcPr>
          <w:p w14:paraId="682FC98D">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准确有效。</w:t>
            </w:r>
          </w:p>
        </w:tc>
      </w:tr>
      <w:tr w14:paraId="1BAB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12F27E46">
            <w:pPr>
              <w:pStyle w:val="37"/>
              <w:spacing w:before="0" w:beforeAutospacing="0" w:after="0" w:afterAutospacing="0"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4.15</w:t>
            </w:r>
          </w:p>
        </w:tc>
        <w:tc>
          <w:tcPr>
            <w:tcW w:w="2032" w:type="pct"/>
            <w:noWrap w:val="0"/>
            <w:vAlign w:val="center"/>
          </w:tcPr>
          <w:p w14:paraId="2D429D2D">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安全钳钳座</w:t>
            </w:r>
          </w:p>
        </w:tc>
        <w:tc>
          <w:tcPr>
            <w:tcW w:w="2498" w:type="pct"/>
            <w:noWrap w:val="0"/>
            <w:vAlign w:val="center"/>
          </w:tcPr>
          <w:p w14:paraId="0C23EAA9">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固定，无松动。</w:t>
            </w:r>
          </w:p>
        </w:tc>
      </w:tr>
      <w:tr w14:paraId="17C4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1A2E1C03">
            <w:pPr>
              <w:pStyle w:val="37"/>
              <w:spacing w:before="0" w:beforeAutospacing="0" w:after="0" w:afterAutospacing="0"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4.16</w:t>
            </w:r>
          </w:p>
        </w:tc>
        <w:tc>
          <w:tcPr>
            <w:tcW w:w="2032" w:type="pct"/>
            <w:noWrap w:val="0"/>
            <w:vAlign w:val="center"/>
          </w:tcPr>
          <w:p w14:paraId="6CAF2C27">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轿底各安装螺栓</w:t>
            </w:r>
          </w:p>
        </w:tc>
        <w:tc>
          <w:tcPr>
            <w:tcW w:w="2498" w:type="pct"/>
            <w:noWrap w:val="0"/>
            <w:vAlign w:val="center"/>
          </w:tcPr>
          <w:p w14:paraId="413F79BA">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紧固。</w:t>
            </w:r>
          </w:p>
        </w:tc>
      </w:tr>
      <w:tr w14:paraId="1390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7BBBABD8">
            <w:pPr>
              <w:pStyle w:val="37"/>
              <w:spacing w:before="0" w:beforeAutospacing="0" w:after="0" w:afterAutospacing="0"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4.17</w:t>
            </w:r>
          </w:p>
        </w:tc>
        <w:tc>
          <w:tcPr>
            <w:tcW w:w="2032" w:type="pct"/>
            <w:noWrap w:val="0"/>
            <w:vAlign w:val="center"/>
          </w:tcPr>
          <w:p w14:paraId="432B41D8">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缓冲器</w:t>
            </w:r>
          </w:p>
        </w:tc>
        <w:tc>
          <w:tcPr>
            <w:tcW w:w="2498" w:type="pct"/>
            <w:noWrap w:val="0"/>
            <w:vAlign w:val="center"/>
          </w:tcPr>
          <w:p w14:paraId="14CB7F2B">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固定，无松动。</w:t>
            </w:r>
          </w:p>
        </w:tc>
      </w:tr>
    </w:tbl>
    <w:p w14:paraId="6E20F12F">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eastAsia="宋体" w:cs="宋体"/>
          <w:b/>
          <w:bCs/>
          <w:color w:val="auto"/>
          <w:sz w:val="21"/>
          <w:szCs w:val="21"/>
          <w:lang w:val="en-US" w:eastAsia="zh-CN"/>
        </w:rPr>
      </w:pPr>
      <w:bookmarkStart w:id="643" w:name="_Toc456014925"/>
      <w:bookmarkStart w:id="644" w:name="_Toc459101074"/>
      <w:bookmarkStart w:id="645" w:name="_Toc310432588"/>
      <w:bookmarkStart w:id="646" w:name="_Toc231660704"/>
      <w:bookmarkStart w:id="647" w:name="_Toc231236265"/>
      <w:bookmarkStart w:id="648" w:name="_Toc5128"/>
      <w:bookmarkStart w:id="649" w:name="_Toc1907"/>
      <w:bookmarkStart w:id="650" w:name="_Toc17052"/>
      <w:bookmarkStart w:id="651" w:name="_Toc22321"/>
      <w:bookmarkStart w:id="652" w:name="_Toc13166"/>
      <w:r>
        <w:rPr>
          <w:rFonts w:hint="eastAsia" w:ascii="宋体" w:hAnsi="宋体" w:eastAsia="宋体" w:cs="宋体"/>
          <w:b/>
          <w:bCs/>
          <w:color w:val="auto"/>
          <w:sz w:val="21"/>
          <w:szCs w:val="21"/>
          <w:lang w:val="en-US" w:eastAsia="zh-CN"/>
        </w:rPr>
        <w:t>2.2.11突发</w:t>
      </w:r>
      <w:bookmarkEnd w:id="643"/>
      <w:bookmarkEnd w:id="644"/>
      <w:bookmarkEnd w:id="645"/>
      <w:bookmarkEnd w:id="646"/>
      <w:bookmarkEnd w:id="647"/>
      <w:r>
        <w:rPr>
          <w:rFonts w:hint="eastAsia" w:ascii="宋体" w:hAnsi="宋体" w:eastAsia="宋体" w:cs="宋体"/>
          <w:b/>
          <w:bCs/>
          <w:color w:val="auto"/>
          <w:sz w:val="21"/>
          <w:szCs w:val="21"/>
          <w:lang w:val="en-US" w:eastAsia="zh-CN"/>
        </w:rPr>
        <w:t>应急管理</w:t>
      </w:r>
      <w:bookmarkEnd w:id="648"/>
      <w:bookmarkEnd w:id="649"/>
      <w:bookmarkEnd w:id="650"/>
      <w:bookmarkEnd w:id="651"/>
      <w:bookmarkEnd w:id="652"/>
    </w:p>
    <w:p w14:paraId="7D3ACA45">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本部分服务的招标范围为大厦规划红线范围的区域，委托内容包括但不限于以下内容： </w:t>
      </w:r>
    </w:p>
    <w:p w14:paraId="7AB3BFC7">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物业管理服务相关的突发事件应急处置。包括火警应急处理方案、初中期火灾应急处理方案、大厦</w:t>
      </w:r>
      <w:r>
        <w:rPr>
          <w:rFonts w:hint="eastAsia" w:ascii="宋体" w:hAnsi="宋体" w:eastAsia="宋体" w:cs="宋体"/>
          <w:color w:val="auto"/>
          <w:sz w:val="21"/>
          <w:szCs w:val="21"/>
          <w:highlight w:val="none"/>
          <w:lang w:val="en-US" w:eastAsia="zh-CN"/>
        </w:rPr>
        <w:t>燃气</w:t>
      </w:r>
      <w:r>
        <w:rPr>
          <w:rFonts w:hint="eastAsia" w:ascii="宋体" w:hAnsi="宋体" w:eastAsia="宋体" w:cs="宋体"/>
          <w:color w:val="auto"/>
          <w:sz w:val="21"/>
          <w:szCs w:val="21"/>
          <w:highlight w:val="none"/>
          <w:lang w:eastAsia="zh-CN"/>
        </w:rPr>
        <w:t>泄漏</w:t>
      </w:r>
      <w:r>
        <w:rPr>
          <w:rFonts w:hint="eastAsia" w:ascii="宋体" w:hAnsi="宋体" w:eastAsia="宋体" w:cs="宋体"/>
          <w:color w:val="auto"/>
          <w:sz w:val="21"/>
          <w:szCs w:val="21"/>
          <w:highlight w:val="none"/>
        </w:rPr>
        <w:t>应急方案、电梯困人应急处理方案等；</w:t>
      </w:r>
    </w:p>
    <w:p w14:paraId="59BFEF0F">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针对可能发生的自然灾害、事故灾难、公共卫生事件和社会安全事件制定应急防范措施，并在发生突发事件时组织人力物力处置突发事件；</w:t>
      </w:r>
    </w:p>
    <w:p w14:paraId="185D7D0D">
      <w:pPr>
        <w:numPr>
          <w:ilvl w:val="0"/>
          <w:numId w:val="13"/>
        </w:numPr>
        <w:snapToGrid/>
        <w:spacing w:line="360" w:lineRule="auto"/>
        <w:ind w:left="0" w:leftChars="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针对公共卫生事件，中标人需在每个月月底前向招标方以书面的形式汇报月度具体防疫工作方案、情况说明、突发情况处理等当月事件； </w:t>
      </w:r>
    </w:p>
    <w:p w14:paraId="7B4915D9">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可能发生的各类突发事件，中标人内部组织突发事件应急演练（防火、防恐防暴、高空抛物、防台、防汛、防疫、电梯困人等），联合街道和消防部门组织大型综合消防应急演练，并按照招标人要求留下文字记录。中标人人员全面熟练掌握消防监控报警、干式灭火（气体）、湿式灭火（喷淋）、防排烟及消防栓等系统的作用、位置和操作方法。</w:t>
      </w:r>
    </w:p>
    <w:p w14:paraId="4E9CC4A0">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招标人要求的其他应急服务。</w:t>
      </w:r>
    </w:p>
    <w:p w14:paraId="7A5546B0">
      <w:pPr>
        <w:spacing w:line="360" w:lineRule="auto"/>
        <w:ind w:firstLine="422" w:firstLineChars="200"/>
        <w:outlineLvl w:val="3"/>
        <w:rPr>
          <w:rFonts w:hint="eastAsia" w:ascii="宋体" w:hAnsi="宋体" w:eastAsia="宋体" w:cs="宋体"/>
          <w:b/>
          <w:bCs/>
          <w:color w:val="auto"/>
          <w:sz w:val="21"/>
          <w:szCs w:val="21"/>
          <w:lang w:eastAsia="zh-CN"/>
        </w:rPr>
      </w:pPr>
      <w:bookmarkStart w:id="653" w:name="_Toc135256457"/>
      <w:bookmarkStart w:id="654" w:name="_Toc135163442"/>
      <w:bookmarkStart w:id="655" w:name="_Toc135162412"/>
      <w:bookmarkStart w:id="656" w:name="_Toc135162963"/>
      <w:bookmarkStart w:id="657" w:name="_Toc22268"/>
      <w:bookmarkStart w:id="658" w:name="_Toc135161957"/>
      <w:bookmarkStart w:id="659" w:name="_Toc135162758"/>
      <w:bookmarkStart w:id="660" w:name="_Toc135256702"/>
      <w:bookmarkStart w:id="661" w:name="_Toc31638"/>
      <w:bookmarkStart w:id="662" w:name="_Toc135160305"/>
      <w:bookmarkStart w:id="663" w:name="_Toc3398"/>
      <w:bookmarkStart w:id="664" w:name="_Toc23730"/>
      <w:bookmarkStart w:id="665" w:name="_Toc134830167"/>
      <w:r>
        <w:rPr>
          <w:rFonts w:hint="eastAsia" w:ascii="宋体" w:hAnsi="宋体" w:eastAsia="宋体" w:cs="宋体"/>
          <w:b/>
          <w:bCs/>
          <w:color w:val="auto"/>
          <w:sz w:val="21"/>
          <w:szCs w:val="21"/>
          <w:lang w:eastAsia="zh-CN"/>
        </w:rPr>
        <w:t>2.2.12楼宇主体及其附属设施、公共配套设施维护与保养</w:t>
      </w:r>
      <w:bookmarkEnd w:id="653"/>
      <w:bookmarkEnd w:id="654"/>
      <w:bookmarkEnd w:id="655"/>
      <w:bookmarkEnd w:id="656"/>
      <w:bookmarkEnd w:id="657"/>
      <w:bookmarkEnd w:id="658"/>
      <w:bookmarkEnd w:id="659"/>
      <w:bookmarkEnd w:id="660"/>
      <w:bookmarkEnd w:id="661"/>
      <w:bookmarkEnd w:id="662"/>
      <w:bookmarkEnd w:id="663"/>
      <w:bookmarkEnd w:id="664"/>
      <w:bookmarkEnd w:id="665"/>
    </w:p>
    <w:p w14:paraId="4EC2D2AF">
      <w:pPr>
        <w:keepNext/>
        <w:keepLines/>
        <w:numPr>
          <w:ilvl w:val="0"/>
          <w:numId w:val="14"/>
        </w:numPr>
        <w:snapToGrid w:val="0"/>
        <w:spacing w:line="360" w:lineRule="auto"/>
        <w:ind w:left="0" w:firstLine="420"/>
        <w:rPr>
          <w:rFonts w:hint="eastAsia" w:ascii="宋体" w:hAnsi="宋体" w:eastAsia="宋体" w:cs="宋体"/>
          <w:color w:val="auto"/>
          <w:sz w:val="21"/>
          <w:szCs w:val="21"/>
        </w:rPr>
      </w:pPr>
      <w:r>
        <w:rPr>
          <w:rFonts w:hint="eastAsia" w:ascii="宋体" w:hAnsi="宋体" w:eastAsia="宋体" w:cs="宋体"/>
          <w:color w:val="auto"/>
          <w:sz w:val="21"/>
          <w:szCs w:val="21"/>
        </w:rPr>
        <w:t>楼宇主体及附属设施维护与保养</w:t>
      </w:r>
    </w:p>
    <w:p w14:paraId="3B569A75">
      <w:pPr>
        <w:keepNext/>
        <w:keepLines/>
        <w:numPr>
          <w:ilvl w:val="0"/>
          <w:numId w:val="15"/>
        </w:numPr>
        <w:snapToGrid w:val="0"/>
        <w:spacing w:line="360" w:lineRule="auto"/>
        <w:ind w:left="0" w:leftChars="0" w:firstLine="420"/>
        <w:rPr>
          <w:rFonts w:hint="eastAsia" w:ascii="宋体" w:hAnsi="宋体" w:eastAsia="宋体" w:cs="宋体"/>
          <w:color w:val="auto"/>
          <w:sz w:val="21"/>
          <w:szCs w:val="21"/>
        </w:rPr>
      </w:pPr>
      <w:r>
        <w:rPr>
          <w:rFonts w:hint="eastAsia" w:ascii="宋体" w:hAnsi="宋体" w:eastAsia="宋体" w:cs="宋体"/>
          <w:color w:val="auto"/>
          <w:sz w:val="21"/>
          <w:szCs w:val="21"/>
        </w:rPr>
        <w:t>确保楼宇主体及附属设施维护保养实施过程中所使用材料符合环保要求，并事先通过招标人审核。</w:t>
      </w:r>
    </w:p>
    <w:p w14:paraId="1DF1B8FA">
      <w:pPr>
        <w:keepNext/>
        <w:keepLines/>
        <w:numPr>
          <w:ilvl w:val="0"/>
          <w:numId w:val="15"/>
        </w:numPr>
        <w:snapToGrid w:val="0"/>
        <w:spacing w:line="360" w:lineRule="auto"/>
        <w:ind w:left="0" w:leftChars="0" w:firstLine="420"/>
        <w:rPr>
          <w:rFonts w:hint="eastAsia" w:ascii="宋体" w:hAnsi="宋体" w:eastAsia="宋体" w:cs="宋体"/>
          <w:color w:val="auto"/>
          <w:sz w:val="21"/>
          <w:szCs w:val="21"/>
        </w:rPr>
      </w:pPr>
      <w:r>
        <w:rPr>
          <w:rFonts w:hint="eastAsia" w:ascii="宋体" w:hAnsi="宋体" w:eastAsia="宋体" w:cs="宋体"/>
          <w:color w:val="auto"/>
          <w:sz w:val="21"/>
          <w:szCs w:val="21"/>
        </w:rPr>
        <w:t>楼宇主体及附属设施完好率&gt;98%，零修工程合格率100%，返修率&lt;0.5%，重大维修工程回访率100%。</w:t>
      </w:r>
    </w:p>
    <w:p w14:paraId="28814450">
      <w:pPr>
        <w:numPr>
          <w:ilvl w:val="0"/>
          <w:numId w:val="15"/>
        </w:numPr>
        <w:snapToGrid w:val="0"/>
        <w:spacing w:line="360" w:lineRule="auto"/>
        <w:ind w:left="0" w:leftChars="0" w:firstLine="420"/>
        <w:rPr>
          <w:rFonts w:hint="eastAsia" w:ascii="宋体" w:hAnsi="宋体" w:eastAsia="宋体" w:cs="宋体"/>
          <w:color w:val="auto"/>
          <w:sz w:val="21"/>
          <w:szCs w:val="21"/>
        </w:rPr>
      </w:pPr>
      <w:r>
        <w:rPr>
          <w:rFonts w:hint="eastAsia" w:ascii="宋体" w:hAnsi="宋体" w:eastAsia="宋体" w:cs="宋体"/>
          <w:color w:val="auto"/>
          <w:sz w:val="21"/>
          <w:szCs w:val="21"/>
        </w:rPr>
        <w:t>楼宇主体及附属设施维护保养要求：</w:t>
      </w:r>
    </w:p>
    <w:tbl>
      <w:tblPr>
        <w:tblStyle w:val="41"/>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297"/>
        <w:gridCol w:w="228"/>
        <w:gridCol w:w="415"/>
        <w:gridCol w:w="1062"/>
        <w:gridCol w:w="229"/>
        <w:gridCol w:w="1179"/>
        <w:gridCol w:w="5214"/>
      </w:tblGrid>
      <w:tr w14:paraId="48EB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44" w:type="dxa"/>
            <w:gridSpan w:val="4"/>
            <w:noWrap/>
            <w:vAlign w:val="center"/>
          </w:tcPr>
          <w:p w14:paraId="09B8B484">
            <w:pPr>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项  目</w:t>
            </w:r>
          </w:p>
        </w:tc>
        <w:tc>
          <w:tcPr>
            <w:tcW w:w="1291" w:type="dxa"/>
            <w:gridSpan w:val="2"/>
            <w:noWrap/>
            <w:vAlign w:val="center"/>
          </w:tcPr>
          <w:p w14:paraId="46CC4704">
            <w:pPr>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时间间隔</w:t>
            </w:r>
          </w:p>
        </w:tc>
        <w:tc>
          <w:tcPr>
            <w:tcW w:w="1179" w:type="dxa"/>
            <w:noWrap/>
            <w:vAlign w:val="center"/>
          </w:tcPr>
          <w:p w14:paraId="05111584">
            <w:pPr>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次数</w:t>
            </w:r>
          </w:p>
        </w:tc>
        <w:tc>
          <w:tcPr>
            <w:tcW w:w="5214" w:type="dxa"/>
            <w:noWrap/>
            <w:vAlign w:val="center"/>
          </w:tcPr>
          <w:p w14:paraId="10B011EC">
            <w:pPr>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维护保养内容</w:t>
            </w:r>
          </w:p>
        </w:tc>
      </w:tr>
      <w:tr w14:paraId="6E6E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4" w:type="dxa"/>
            <w:gridSpan w:val="4"/>
            <w:noWrap/>
            <w:vAlign w:val="center"/>
          </w:tcPr>
          <w:p w14:paraId="56C3D44B">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地基基础</w:t>
            </w:r>
          </w:p>
        </w:tc>
        <w:tc>
          <w:tcPr>
            <w:tcW w:w="1291" w:type="dxa"/>
            <w:gridSpan w:val="2"/>
            <w:noWrap/>
            <w:vAlign w:val="center"/>
          </w:tcPr>
          <w:p w14:paraId="17768C25">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w:t>
            </w:r>
          </w:p>
        </w:tc>
        <w:tc>
          <w:tcPr>
            <w:tcW w:w="1179" w:type="dxa"/>
            <w:noWrap/>
            <w:vAlign w:val="center"/>
          </w:tcPr>
          <w:p w14:paraId="4AC5A476">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top"/>
          </w:tcPr>
          <w:p w14:paraId="0F842988">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1）检查地基有无超过允许范围的不均匀沉降。</w:t>
            </w:r>
          </w:p>
          <w:p w14:paraId="7360CAFF">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检查基础有无开裂、破损，勒脚有无破损。</w:t>
            </w:r>
          </w:p>
        </w:tc>
      </w:tr>
      <w:tr w14:paraId="15FB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1" w:type="dxa"/>
            <w:gridSpan w:val="2"/>
            <w:vMerge w:val="restart"/>
            <w:noWrap/>
            <w:vAlign w:val="center"/>
          </w:tcPr>
          <w:p w14:paraId="64DBD6A6">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承</w:t>
            </w:r>
          </w:p>
          <w:p w14:paraId="172B6295">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重</w:t>
            </w:r>
          </w:p>
          <w:p w14:paraId="2BFEB380">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结</w:t>
            </w:r>
          </w:p>
          <w:p w14:paraId="23A9D051">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构</w:t>
            </w:r>
          </w:p>
        </w:tc>
        <w:tc>
          <w:tcPr>
            <w:tcW w:w="643" w:type="dxa"/>
            <w:gridSpan w:val="2"/>
            <w:noWrap/>
            <w:vAlign w:val="center"/>
          </w:tcPr>
          <w:p w14:paraId="55C81A3B">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梁</w:t>
            </w:r>
          </w:p>
        </w:tc>
        <w:tc>
          <w:tcPr>
            <w:tcW w:w="1291" w:type="dxa"/>
            <w:gridSpan w:val="2"/>
            <w:noWrap/>
            <w:vAlign w:val="center"/>
          </w:tcPr>
          <w:p w14:paraId="50590AB5">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w:t>
            </w:r>
          </w:p>
        </w:tc>
        <w:tc>
          <w:tcPr>
            <w:tcW w:w="1179" w:type="dxa"/>
            <w:noWrap/>
            <w:vAlign w:val="center"/>
          </w:tcPr>
          <w:p w14:paraId="24D11748">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top"/>
          </w:tcPr>
          <w:p w14:paraId="53D608E0">
            <w:pPr>
              <w:tabs>
                <w:tab w:val="left" w:pos="-51"/>
                <w:tab w:val="left" w:pos="502"/>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检查有无变形、裂缝、腐蚀。</w:t>
            </w:r>
          </w:p>
          <w:p w14:paraId="58E3E5CD">
            <w:pPr>
              <w:tabs>
                <w:tab w:val="left" w:pos="-51"/>
                <w:tab w:val="left" w:pos="502"/>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检查整体结构性能是否完好。</w:t>
            </w:r>
          </w:p>
        </w:tc>
      </w:tr>
      <w:tr w14:paraId="1043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1" w:type="dxa"/>
            <w:gridSpan w:val="2"/>
            <w:vMerge w:val="continue"/>
            <w:noWrap/>
            <w:vAlign w:val="center"/>
          </w:tcPr>
          <w:p w14:paraId="3F6D97FA">
            <w:pPr>
              <w:spacing w:line="240" w:lineRule="auto"/>
              <w:ind w:firstLine="0" w:firstLineChars="0"/>
              <w:jc w:val="both"/>
              <w:rPr>
                <w:rFonts w:hint="eastAsia" w:ascii="宋体" w:hAnsi="宋体" w:eastAsia="宋体" w:cs="宋体"/>
                <w:color w:val="auto"/>
                <w:kern w:val="2"/>
                <w:sz w:val="21"/>
                <w:szCs w:val="21"/>
              </w:rPr>
            </w:pPr>
          </w:p>
        </w:tc>
        <w:tc>
          <w:tcPr>
            <w:tcW w:w="643" w:type="dxa"/>
            <w:gridSpan w:val="2"/>
            <w:noWrap/>
            <w:vAlign w:val="center"/>
          </w:tcPr>
          <w:p w14:paraId="73878EE0">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板</w:t>
            </w:r>
          </w:p>
        </w:tc>
        <w:tc>
          <w:tcPr>
            <w:tcW w:w="1291" w:type="dxa"/>
            <w:gridSpan w:val="2"/>
            <w:noWrap/>
            <w:vAlign w:val="center"/>
          </w:tcPr>
          <w:p w14:paraId="175FE6A1">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w:t>
            </w:r>
          </w:p>
        </w:tc>
        <w:tc>
          <w:tcPr>
            <w:tcW w:w="1179" w:type="dxa"/>
            <w:noWrap/>
            <w:vAlign w:val="center"/>
          </w:tcPr>
          <w:p w14:paraId="3A528030">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top"/>
          </w:tcPr>
          <w:p w14:paraId="6ED7FB5C">
            <w:pPr>
              <w:tabs>
                <w:tab w:val="left" w:pos="-51"/>
                <w:tab w:val="left" w:pos="502"/>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检查有无弯曲变形、裂缝、腐蚀。</w:t>
            </w:r>
          </w:p>
          <w:p w14:paraId="72BBE484">
            <w:pPr>
              <w:tabs>
                <w:tab w:val="left" w:pos="-51"/>
                <w:tab w:val="left" w:pos="502"/>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检查整体结构性能是否完好。</w:t>
            </w:r>
          </w:p>
        </w:tc>
      </w:tr>
      <w:tr w14:paraId="01A6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1" w:type="dxa"/>
            <w:gridSpan w:val="2"/>
            <w:vMerge w:val="continue"/>
            <w:noWrap/>
            <w:vAlign w:val="center"/>
          </w:tcPr>
          <w:p w14:paraId="251461A7">
            <w:pPr>
              <w:spacing w:line="240" w:lineRule="auto"/>
              <w:ind w:firstLine="0" w:firstLineChars="0"/>
              <w:jc w:val="both"/>
              <w:rPr>
                <w:rFonts w:hint="eastAsia" w:ascii="宋体" w:hAnsi="宋体" w:eastAsia="宋体" w:cs="宋体"/>
                <w:color w:val="auto"/>
                <w:kern w:val="2"/>
                <w:sz w:val="21"/>
                <w:szCs w:val="21"/>
              </w:rPr>
            </w:pPr>
          </w:p>
        </w:tc>
        <w:tc>
          <w:tcPr>
            <w:tcW w:w="643" w:type="dxa"/>
            <w:gridSpan w:val="2"/>
            <w:noWrap/>
            <w:vAlign w:val="center"/>
          </w:tcPr>
          <w:p w14:paraId="5A0F553F">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柱</w:t>
            </w:r>
          </w:p>
        </w:tc>
        <w:tc>
          <w:tcPr>
            <w:tcW w:w="1291" w:type="dxa"/>
            <w:gridSpan w:val="2"/>
            <w:noWrap/>
            <w:vAlign w:val="center"/>
          </w:tcPr>
          <w:p w14:paraId="49FC0D7A">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w:t>
            </w:r>
          </w:p>
        </w:tc>
        <w:tc>
          <w:tcPr>
            <w:tcW w:w="1179" w:type="dxa"/>
            <w:noWrap/>
            <w:vAlign w:val="center"/>
          </w:tcPr>
          <w:p w14:paraId="2C7D2FF2">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top"/>
          </w:tcPr>
          <w:p w14:paraId="22A46D37">
            <w:pPr>
              <w:tabs>
                <w:tab w:val="left" w:pos="-51"/>
                <w:tab w:val="left" w:pos="502"/>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检查有无倾斜，变形、裂缝、腐蚀。</w:t>
            </w:r>
          </w:p>
          <w:p w14:paraId="749AEB49">
            <w:pPr>
              <w:tabs>
                <w:tab w:val="left" w:pos="-51"/>
                <w:tab w:val="left" w:pos="502"/>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检查整体结构性能是否完好。</w:t>
            </w:r>
          </w:p>
        </w:tc>
      </w:tr>
      <w:tr w14:paraId="5B5F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1" w:type="dxa"/>
            <w:gridSpan w:val="2"/>
            <w:vMerge w:val="continue"/>
            <w:noWrap/>
            <w:vAlign w:val="center"/>
          </w:tcPr>
          <w:p w14:paraId="1D268B5E">
            <w:pPr>
              <w:spacing w:line="240" w:lineRule="auto"/>
              <w:ind w:firstLine="0" w:firstLineChars="0"/>
              <w:jc w:val="both"/>
              <w:rPr>
                <w:rFonts w:hint="eastAsia" w:ascii="宋体" w:hAnsi="宋体" w:eastAsia="宋体" w:cs="宋体"/>
                <w:color w:val="auto"/>
                <w:kern w:val="2"/>
                <w:sz w:val="21"/>
                <w:szCs w:val="21"/>
              </w:rPr>
            </w:pPr>
          </w:p>
        </w:tc>
        <w:tc>
          <w:tcPr>
            <w:tcW w:w="643" w:type="dxa"/>
            <w:gridSpan w:val="2"/>
            <w:noWrap/>
            <w:vAlign w:val="center"/>
          </w:tcPr>
          <w:p w14:paraId="7999AD11">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承重墙</w:t>
            </w:r>
          </w:p>
        </w:tc>
        <w:tc>
          <w:tcPr>
            <w:tcW w:w="1291" w:type="dxa"/>
            <w:gridSpan w:val="2"/>
            <w:noWrap/>
            <w:vAlign w:val="center"/>
          </w:tcPr>
          <w:p w14:paraId="0191C70D">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w:t>
            </w:r>
          </w:p>
        </w:tc>
        <w:tc>
          <w:tcPr>
            <w:tcW w:w="1179" w:type="dxa"/>
            <w:noWrap/>
            <w:vAlign w:val="center"/>
          </w:tcPr>
          <w:p w14:paraId="07EB70F6">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top"/>
          </w:tcPr>
          <w:p w14:paraId="0A43FD2A">
            <w:pPr>
              <w:tabs>
                <w:tab w:val="left" w:pos="-51"/>
                <w:tab w:val="left" w:pos="502"/>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检查有无孔洞、裂缝、腐蚀。</w:t>
            </w:r>
          </w:p>
          <w:p w14:paraId="68A8696E">
            <w:pPr>
              <w:tabs>
                <w:tab w:val="left" w:pos="-51"/>
                <w:tab w:val="left" w:pos="502"/>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检查整体结构性能是否完好。</w:t>
            </w:r>
          </w:p>
        </w:tc>
      </w:tr>
      <w:tr w14:paraId="1D33E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44" w:type="dxa"/>
            <w:gridSpan w:val="4"/>
            <w:noWrap/>
            <w:vAlign w:val="center"/>
          </w:tcPr>
          <w:p w14:paraId="1D8DB1B1">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非承重墙</w:t>
            </w:r>
          </w:p>
        </w:tc>
        <w:tc>
          <w:tcPr>
            <w:tcW w:w="1291" w:type="dxa"/>
            <w:gridSpan w:val="2"/>
            <w:noWrap/>
            <w:vAlign w:val="center"/>
          </w:tcPr>
          <w:p w14:paraId="13673661">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每半年</w:t>
            </w:r>
          </w:p>
        </w:tc>
        <w:tc>
          <w:tcPr>
            <w:tcW w:w="1179" w:type="dxa"/>
            <w:noWrap/>
            <w:vAlign w:val="center"/>
          </w:tcPr>
          <w:p w14:paraId="310710F3">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center"/>
          </w:tcPr>
          <w:p w14:paraId="6CE6D5BB">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1）检查墙体有无裂缝、孔洞、风化等缺陷。</w:t>
            </w:r>
          </w:p>
        </w:tc>
      </w:tr>
      <w:tr w14:paraId="07F1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4" w:type="dxa"/>
            <w:gridSpan w:val="4"/>
            <w:noWrap/>
            <w:vAlign w:val="center"/>
          </w:tcPr>
          <w:p w14:paraId="579980A9">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屋面</w:t>
            </w:r>
          </w:p>
        </w:tc>
        <w:tc>
          <w:tcPr>
            <w:tcW w:w="1291" w:type="dxa"/>
            <w:gridSpan w:val="2"/>
            <w:noWrap/>
            <w:vAlign w:val="center"/>
          </w:tcPr>
          <w:p w14:paraId="5487CBFF">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每周</w:t>
            </w:r>
          </w:p>
        </w:tc>
        <w:tc>
          <w:tcPr>
            <w:tcW w:w="1179" w:type="dxa"/>
            <w:noWrap/>
            <w:vAlign w:val="center"/>
          </w:tcPr>
          <w:p w14:paraId="27ECB319">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top"/>
          </w:tcPr>
          <w:p w14:paraId="22ACAFEE">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检查雨水口有无堵塞，发现异常及时疏通。</w:t>
            </w:r>
          </w:p>
          <w:p w14:paraId="0FD44CA2">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发现涂料防水层破损、老化造成屋面渗漏的，及时修复或更换。</w:t>
            </w:r>
          </w:p>
          <w:p w14:paraId="2D45C082">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检查隔热层，有无空洞、起鼓、渗漏，发现损坏及时修复。</w:t>
            </w:r>
          </w:p>
          <w:p w14:paraId="5F2EAE63">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检查避雷网有无脱焊和间断，发现异常及时补焊、油漆。</w:t>
            </w:r>
          </w:p>
        </w:tc>
      </w:tr>
      <w:tr w14:paraId="549C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444" w:type="dxa"/>
            <w:gridSpan w:val="4"/>
            <w:vMerge w:val="restart"/>
            <w:noWrap/>
            <w:vAlign w:val="center"/>
          </w:tcPr>
          <w:p w14:paraId="43F17408">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楼地面</w:t>
            </w:r>
          </w:p>
        </w:tc>
        <w:tc>
          <w:tcPr>
            <w:tcW w:w="1291" w:type="dxa"/>
            <w:gridSpan w:val="2"/>
            <w:noWrap/>
            <w:vAlign w:val="center"/>
          </w:tcPr>
          <w:p w14:paraId="47EEFFFC">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tc>
        <w:tc>
          <w:tcPr>
            <w:tcW w:w="1179" w:type="dxa"/>
            <w:noWrap/>
            <w:vAlign w:val="center"/>
          </w:tcPr>
          <w:p w14:paraId="4F9DFE65">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center"/>
          </w:tcPr>
          <w:p w14:paraId="1409F70C">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检查楼地面是否平整完好，有无空鼓和破裂。</w:t>
            </w:r>
          </w:p>
          <w:p w14:paraId="3B665C23">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检查地面饰面材料有无松脱、空鼓、破损，发现问题及时处理，更换松脱、破损的地面饰面材料。</w:t>
            </w:r>
          </w:p>
        </w:tc>
      </w:tr>
      <w:tr w14:paraId="075A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44" w:type="dxa"/>
            <w:gridSpan w:val="4"/>
            <w:vMerge w:val="continue"/>
            <w:noWrap/>
            <w:vAlign w:val="center"/>
          </w:tcPr>
          <w:p w14:paraId="4D0B7C8D">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p>
        </w:tc>
        <w:tc>
          <w:tcPr>
            <w:tcW w:w="1291" w:type="dxa"/>
            <w:gridSpan w:val="2"/>
            <w:noWrap/>
            <w:vAlign w:val="center"/>
          </w:tcPr>
          <w:p w14:paraId="5EC50A8C">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每季</w:t>
            </w:r>
          </w:p>
        </w:tc>
        <w:tc>
          <w:tcPr>
            <w:tcW w:w="1179" w:type="dxa"/>
            <w:noWrap/>
            <w:vAlign w:val="center"/>
          </w:tcPr>
          <w:p w14:paraId="25D28AA9">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center"/>
          </w:tcPr>
          <w:p w14:paraId="77E9778A">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1）对大理石（如有）进行抛光、晶面、打蜡处理。</w:t>
            </w:r>
          </w:p>
        </w:tc>
      </w:tr>
      <w:tr w14:paraId="50E2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444" w:type="dxa"/>
            <w:gridSpan w:val="4"/>
            <w:noWrap/>
            <w:vAlign w:val="center"/>
          </w:tcPr>
          <w:p w14:paraId="6710C014">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楼梯</w:t>
            </w:r>
          </w:p>
        </w:tc>
        <w:tc>
          <w:tcPr>
            <w:tcW w:w="1291" w:type="dxa"/>
            <w:gridSpan w:val="2"/>
            <w:noWrap/>
            <w:vAlign w:val="center"/>
          </w:tcPr>
          <w:p w14:paraId="148C7B59">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tc>
        <w:tc>
          <w:tcPr>
            <w:tcW w:w="1179" w:type="dxa"/>
            <w:noWrap/>
            <w:vAlign w:val="center"/>
          </w:tcPr>
          <w:p w14:paraId="5D3F409D">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center"/>
          </w:tcPr>
          <w:p w14:paraId="049B38D1">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检查扶手、踏步有无损坏，发现异常随时修复。</w:t>
            </w:r>
          </w:p>
          <w:p w14:paraId="41E50548">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补换损坏的地砖。</w:t>
            </w:r>
          </w:p>
          <w:p w14:paraId="34297082">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修复空鼓的地砖。</w:t>
            </w:r>
          </w:p>
        </w:tc>
      </w:tr>
      <w:tr w14:paraId="39A7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4" w:type="dxa"/>
            <w:gridSpan w:val="4"/>
            <w:vMerge w:val="restart"/>
            <w:noWrap/>
            <w:vAlign w:val="center"/>
          </w:tcPr>
          <w:p w14:paraId="332B44FA">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公共通道</w:t>
            </w:r>
          </w:p>
        </w:tc>
        <w:tc>
          <w:tcPr>
            <w:tcW w:w="1291" w:type="dxa"/>
            <w:gridSpan w:val="2"/>
            <w:noWrap/>
            <w:vAlign w:val="center"/>
          </w:tcPr>
          <w:p w14:paraId="78F5B453">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每周</w:t>
            </w:r>
          </w:p>
        </w:tc>
        <w:tc>
          <w:tcPr>
            <w:tcW w:w="1179" w:type="dxa"/>
            <w:noWrap/>
            <w:vAlign w:val="center"/>
          </w:tcPr>
          <w:p w14:paraId="02563484">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top"/>
          </w:tcPr>
          <w:p w14:paraId="20A27370">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检查地面砖有无起砂、空鼓、开裂、松脱；发现异常及时修复。</w:t>
            </w:r>
          </w:p>
          <w:p w14:paraId="407747F8">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公共通道及门厅的墙面有无污迹和剥落，发现异常随时处理。</w:t>
            </w:r>
          </w:p>
          <w:p w14:paraId="39D8D032">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检查裙楼屋面外廊护栏玻璃、支架、护栏网是否完好，发现异常及时处理。</w:t>
            </w:r>
          </w:p>
        </w:tc>
      </w:tr>
      <w:tr w14:paraId="5C2E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4" w:type="dxa"/>
            <w:gridSpan w:val="4"/>
            <w:vMerge w:val="continue"/>
            <w:noWrap/>
            <w:vAlign w:val="center"/>
          </w:tcPr>
          <w:p w14:paraId="111549B8">
            <w:pPr>
              <w:spacing w:line="240" w:lineRule="auto"/>
              <w:ind w:firstLine="0" w:firstLineChars="0"/>
              <w:jc w:val="both"/>
              <w:rPr>
                <w:rFonts w:hint="eastAsia" w:ascii="宋体" w:hAnsi="宋体" w:eastAsia="宋体" w:cs="宋体"/>
                <w:color w:val="auto"/>
                <w:kern w:val="2"/>
                <w:sz w:val="21"/>
                <w:szCs w:val="21"/>
              </w:rPr>
            </w:pPr>
          </w:p>
        </w:tc>
        <w:tc>
          <w:tcPr>
            <w:tcW w:w="1291" w:type="dxa"/>
            <w:gridSpan w:val="2"/>
            <w:noWrap/>
            <w:vAlign w:val="center"/>
          </w:tcPr>
          <w:p w14:paraId="4F95CB94">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tc>
        <w:tc>
          <w:tcPr>
            <w:tcW w:w="1179" w:type="dxa"/>
            <w:noWrap/>
            <w:vAlign w:val="center"/>
          </w:tcPr>
          <w:p w14:paraId="53CFFF50">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top"/>
          </w:tcPr>
          <w:p w14:paraId="4BE2524F">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检查扶手、踏步有无损坏，发现异常随时修复。</w:t>
            </w:r>
          </w:p>
          <w:p w14:paraId="57AF39C2">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补换损坏、空鼓的地砖。</w:t>
            </w:r>
          </w:p>
        </w:tc>
      </w:tr>
      <w:tr w14:paraId="77507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444" w:type="dxa"/>
            <w:gridSpan w:val="4"/>
            <w:vMerge w:val="continue"/>
            <w:noWrap/>
            <w:vAlign w:val="center"/>
          </w:tcPr>
          <w:p w14:paraId="41BC448E">
            <w:pPr>
              <w:spacing w:line="240" w:lineRule="auto"/>
              <w:ind w:firstLine="0" w:firstLineChars="0"/>
              <w:jc w:val="both"/>
              <w:rPr>
                <w:rFonts w:hint="eastAsia" w:ascii="宋体" w:hAnsi="宋体" w:eastAsia="宋体" w:cs="宋体"/>
                <w:color w:val="auto"/>
                <w:kern w:val="2"/>
                <w:sz w:val="21"/>
                <w:szCs w:val="21"/>
              </w:rPr>
            </w:pPr>
          </w:p>
        </w:tc>
        <w:tc>
          <w:tcPr>
            <w:tcW w:w="1291" w:type="dxa"/>
            <w:gridSpan w:val="2"/>
            <w:noWrap/>
            <w:vAlign w:val="center"/>
          </w:tcPr>
          <w:p w14:paraId="79EA8490">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w:t>
            </w:r>
          </w:p>
        </w:tc>
        <w:tc>
          <w:tcPr>
            <w:tcW w:w="1179" w:type="dxa"/>
            <w:noWrap/>
            <w:vAlign w:val="center"/>
          </w:tcPr>
          <w:p w14:paraId="7311B527">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center"/>
          </w:tcPr>
          <w:p w14:paraId="7A5F7552">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油漆金属支架和护栏网。</w:t>
            </w:r>
          </w:p>
        </w:tc>
      </w:tr>
      <w:tr w14:paraId="631D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444" w:type="dxa"/>
            <w:gridSpan w:val="4"/>
            <w:vMerge w:val="restart"/>
            <w:noWrap/>
            <w:vAlign w:val="center"/>
          </w:tcPr>
          <w:p w14:paraId="40031565">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内墙面、天花</w:t>
            </w:r>
          </w:p>
        </w:tc>
        <w:tc>
          <w:tcPr>
            <w:tcW w:w="2470" w:type="dxa"/>
            <w:gridSpan w:val="3"/>
            <w:noWrap/>
            <w:vAlign w:val="center"/>
          </w:tcPr>
          <w:p w14:paraId="7A90A78C">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根据需要</w:t>
            </w:r>
          </w:p>
        </w:tc>
        <w:tc>
          <w:tcPr>
            <w:tcW w:w="5214" w:type="dxa"/>
            <w:noWrap/>
            <w:vAlign w:val="top"/>
          </w:tcPr>
          <w:p w14:paraId="2378B372">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检查大楼内公共区域及办公室内部的墙面及天花，根据需要加固天花龙骨；修补天花和墙面裂缝。翻新和修补时须贴附角线和防裂纱布，并批腻子粉3遍和乳胶漆3遍。</w:t>
            </w:r>
          </w:p>
          <w:p w14:paraId="1FB3D6CD">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处理内墙面及天花零星的渗漏。</w:t>
            </w:r>
          </w:p>
        </w:tc>
      </w:tr>
      <w:tr w14:paraId="590C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444" w:type="dxa"/>
            <w:gridSpan w:val="4"/>
            <w:vMerge w:val="continue"/>
            <w:noWrap/>
            <w:vAlign w:val="center"/>
          </w:tcPr>
          <w:p w14:paraId="76107B3E">
            <w:pPr>
              <w:spacing w:line="240" w:lineRule="auto"/>
              <w:ind w:firstLine="0" w:firstLineChars="0"/>
              <w:jc w:val="both"/>
              <w:rPr>
                <w:rFonts w:hint="eastAsia" w:ascii="宋体" w:hAnsi="宋体" w:eastAsia="宋体" w:cs="宋体"/>
                <w:color w:val="auto"/>
                <w:kern w:val="2"/>
                <w:sz w:val="21"/>
                <w:szCs w:val="21"/>
              </w:rPr>
            </w:pPr>
          </w:p>
        </w:tc>
        <w:tc>
          <w:tcPr>
            <w:tcW w:w="1291" w:type="dxa"/>
            <w:gridSpan w:val="2"/>
            <w:noWrap/>
            <w:vAlign w:val="center"/>
          </w:tcPr>
          <w:p w14:paraId="55458E07">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w:t>
            </w:r>
          </w:p>
        </w:tc>
        <w:tc>
          <w:tcPr>
            <w:tcW w:w="1179" w:type="dxa"/>
            <w:noWrap/>
            <w:vAlign w:val="center"/>
          </w:tcPr>
          <w:p w14:paraId="5A5C291B">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p>
        </w:tc>
        <w:tc>
          <w:tcPr>
            <w:tcW w:w="5214" w:type="dxa"/>
            <w:noWrap/>
            <w:vAlign w:val="center"/>
          </w:tcPr>
          <w:p w14:paraId="00554CC7">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雨季前后对用户窗台进行密封维护检查，杜绝雨水侵入。</w:t>
            </w:r>
          </w:p>
        </w:tc>
      </w:tr>
      <w:tr w14:paraId="09C8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9" w:type="dxa"/>
            <w:gridSpan w:val="3"/>
            <w:vMerge w:val="restart"/>
            <w:noWrap/>
            <w:vAlign w:val="center"/>
          </w:tcPr>
          <w:p w14:paraId="66872C99">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外墙面</w:t>
            </w:r>
          </w:p>
        </w:tc>
        <w:tc>
          <w:tcPr>
            <w:tcW w:w="415" w:type="dxa"/>
            <w:vMerge w:val="restart"/>
            <w:noWrap/>
            <w:vAlign w:val="center"/>
          </w:tcPr>
          <w:p w14:paraId="51DE5796">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装饰、玻璃</w:t>
            </w:r>
          </w:p>
        </w:tc>
        <w:tc>
          <w:tcPr>
            <w:tcW w:w="1291" w:type="dxa"/>
            <w:gridSpan w:val="2"/>
            <w:noWrap/>
            <w:vAlign w:val="center"/>
          </w:tcPr>
          <w:p w14:paraId="200C5DEB">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每周</w:t>
            </w:r>
          </w:p>
        </w:tc>
        <w:tc>
          <w:tcPr>
            <w:tcW w:w="1179" w:type="dxa"/>
            <w:noWrap/>
            <w:vAlign w:val="center"/>
          </w:tcPr>
          <w:p w14:paraId="3475824F">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top"/>
          </w:tcPr>
          <w:p w14:paraId="4DF7A4CC">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检查外墙玻璃和石材是否有破损现象，协助专业公司维修作业。</w:t>
            </w:r>
          </w:p>
        </w:tc>
      </w:tr>
      <w:tr w14:paraId="2536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9" w:type="dxa"/>
            <w:gridSpan w:val="3"/>
            <w:vMerge w:val="continue"/>
            <w:noWrap/>
            <w:vAlign w:val="center"/>
          </w:tcPr>
          <w:p w14:paraId="5593320D">
            <w:pPr>
              <w:spacing w:line="240" w:lineRule="auto"/>
              <w:ind w:firstLine="0" w:firstLineChars="0"/>
              <w:jc w:val="both"/>
              <w:rPr>
                <w:rFonts w:hint="eastAsia" w:ascii="宋体" w:hAnsi="宋体" w:eastAsia="宋体" w:cs="宋体"/>
                <w:color w:val="auto"/>
                <w:kern w:val="2"/>
                <w:sz w:val="21"/>
                <w:szCs w:val="21"/>
              </w:rPr>
            </w:pPr>
          </w:p>
        </w:tc>
        <w:tc>
          <w:tcPr>
            <w:tcW w:w="415" w:type="dxa"/>
            <w:vMerge w:val="continue"/>
            <w:noWrap/>
            <w:vAlign w:val="center"/>
          </w:tcPr>
          <w:p w14:paraId="45ABF2B2">
            <w:pPr>
              <w:spacing w:line="240" w:lineRule="auto"/>
              <w:ind w:firstLine="0" w:firstLineChars="0"/>
              <w:jc w:val="both"/>
              <w:rPr>
                <w:rFonts w:hint="eastAsia" w:ascii="宋体" w:hAnsi="宋体" w:eastAsia="宋体" w:cs="宋体"/>
                <w:color w:val="auto"/>
                <w:kern w:val="2"/>
                <w:sz w:val="21"/>
                <w:szCs w:val="21"/>
              </w:rPr>
            </w:pPr>
          </w:p>
        </w:tc>
        <w:tc>
          <w:tcPr>
            <w:tcW w:w="1291" w:type="dxa"/>
            <w:gridSpan w:val="2"/>
            <w:noWrap/>
            <w:vAlign w:val="center"/>
          </w:tcPr>
          <w:p w14:paraId="793032BC">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w:t>
            </w:r>
          </w:p>
        </w:tc>
        <w:tc>
          <w:tcPr>
            <w:tcW w:w="1179" w:type="dxa"/>
            <w:noWrap/>
            <w:vAlign w:val="center"/>
          </w:tcPr>
          <w:p w14:paraId="26EA0606">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top"/>
          </w:tcPr>
          <w:p w14:paraId="03950A7B">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结合外墙清洗作业，并检查外墙面的使用状况。</w:t>
            </w:r>
          </w:p>
          <w:p w14:paraId="086E8B59">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处理外墙面变色现象；检查并加固外墙金属构件。</w:t>
            </w:r>
          </w:p>
        </w:tc>
      </w:tr>
      <w:tr w14:paraId="5C2A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9" w:type="dxa"/>
            <w:gridSpan w:val="3"/>
            <w:vMerge w:val="continue"/>
            <w:noWrap/>
            <w:vAlign w:val="center"/>
          </w:tcPr>
          <w:p w14:paraId="3CEB3F22">
            <w:pPr>
              <w:spacing w:line="240" w:lineRule="auto"/>
              <w:ind w:firstLine="0" w:firstLineChars="0"/>
              <w:jc w:val="both"/>
              <w:rPr>
                <w:rFonts w:hint="eastAsia" w:ascii="宋体" w:hAnsi="宋体" w:eastAsia="宋体" w:cs="宋体"/>
                <w:color w:val="auto"/>
                <w:kern w:val="2"/>
                <w:sz w:val="21"/>
                <w:szCs w:val="21"/>
              </w:rPr>
            </w:pPr>
          </w:p>
        </w:tc>
        <w:tc>
          <w:tcPr>
            <w:tcW w:w="415" w:type="dxa"/>
            <w:vMerge w:val="continue"/>
            <w:noWrap/>
            <w:vAlign w:val="center"/>
          </w:tcPr>
          <w:p w14:paraId="4971AF0E">
            <w:pPr>
              <w:spacing w:line="240" w:lineRule="auto"/>
              <w:ind w:firstLine="0" w:firstLineChars="0"/>
              <w:jc w:val="both"/>
              <w:rPr>
                <w:rFonts w:hint="eastAsia" w:ascii="宋体" w:hAnsi="宋体" w:eastAsia="宋体" w:cs="宋体"/>
                <w:color w:val="auto"/>
                <w:kern w:val="2"/>
                <w:sz w:val="21"/>
                <w:szCs w:val="21"/>
              </w:rPr>
            </w:pPr>
          </w:p>
        </w:tc>
        <w:tc>
          <w:tcPr>
            <w:tcW w:w="1291" w:type="dxa"/>
            <w:gridSpan w:val="2"/>
            <w:noWrap/>
            <w:vAlign w:val="center"/>
          </w:tcPr>
          <w:p w14:paraId="3C085751">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w:t>
            </w:r>
          </w:p>
        </w:tc>
        <w:tc>
          <w:tcPr>
            <w:tcW w:w="1179" w:type="dxa"/>
            <w:noWrap/>
            <w:vAlign w:val="center"/>
          </w:tcPr>
          <w:p w14:paraId="73398822">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top"/>
          </w:tcPr>
          <w:p w14:paraId="43555B84">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雨季时期对用户窗台进行密封维护检查，杜绝雨水侵入。</w:t>
            </w:r>
          </w:p>
          <w:p w14:paraId="5FC5C724">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对外墙大面积渗漏久修无效的，局部翻新以防止渗漏面积扩大。</w:t>
            </w:r>
          </w:p>
        </w:tc>
      </w:tr>
      <w:tr w14:paraId="6714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4" w:type="dxa"/>
            <w:gridSpan w:val="4"/>
            <w:vMerge w:val="restart"/>
            <w:noWrap/>
            <w:vAlign w:val="center"/>
          </w:tcPr>
          <w:p w14:paraId="7FF87E5F">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吊顶</w:t>
            </w:r>
          </w:p>
        </w:tc>
        <w:tc>
          <w:tcPr>
            <w:tcW w:w="1291" w:type="dxa"/>
            <w:gridSpan w:val="2"/>
            <w:noWrap/>
            <w:vAlign w:val="center"/>
          </w:tcPr>
          <w:p w14:paraId="16BA5A0B">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每周</w:t>
            </w:r>
          </w:p>
        </w:tc>
        <w:tc>
          <w:tcPr>
            <w:tcW w:w="1179" w:type="dxa"/>
            <w:noWrap/>
            <w:vAlign w:val="center"/>
          </w:tcPr>
          <w:p w14:paraId="7B24CAF7">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top"/>
          </w:tcPr>
          <w:p w14:paraId="64AAA3BC">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检查有无擦、划、刮、踏坏，发现损坏及时修补。</w:t>
            </w:r>
          </w:p>
        </w:tc>
      </w:tr>
      <w:tr w14:paraId="6E92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4" w:type="dxa"/>
            <w:gridSpan w:val="4"/>
            <w:vMerge w:val="continue"/>
            <w:noWrap/>
            <w:vAlign w:val="center"/>
          </w:tcPr>
          <w:p w14:paraId="3172AC72">
            <w:pPr>
              <w:spacing w:line="240" w:lineRule="auto"/>
              <w:ind w:firstLine="0" w:firstLineChars="0"/>
              <w:jc w:val="both"/>
              <w:rPr>
                <w:rFonts w:hint="eastAsia" w:ascii="宋体" w:hAnsi="宋体" w:eastAsia="宋体" w:cs="宋体"/>
                <w:color w:val="auto"/>
                <w:kern w:val="2"/>
                <w:sz w:val="21"/>
                <w:szCs w:val="21"/>
              </w:rPr>
            </w:pPr>
          </w:p>
        </w:tc>
        <w:tc>
          <w:tcPr>
            <w:tcW w:w="1291" w:type="dxa"/>
            <w:gridSpan w:val="2"/>
            <w:noWrap/>
            <w:vAlign w:val="center"/>
          </w:tcPr>
          <w:p w14:paraId="67856BEB">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tc>
        <w:tc>
          <w:tcPr>
            <w:tcW w:w="1179" w:type="dxa"/>
            <w:noWrap/>
            <w:vAlign w:val="center"/>
          </w:tcPr>
          <w:p w14:paraId="1E193FC5">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top"/>
          </w:tcPr>
          <w:p w14:paraId="5F013E81">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加强防水、防腐、防裂、防胀、防霉变工作，发现有水浸、腐烂、胀裂、霉变的部分及时修复。</w:t>
            </w:r>
          </w:p>
        </w:tc>
      </w:tr>
      <w:tr w14:paraId="2567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4" w:type="dxa"/>
            <w:gridSpan w:val="4"/>
            <w:vMerge w:val="restart"/>
            <w:noWrap/>
            <w:vAlign w:val="center"/>
          </w:tcPr>
          <w:p w14:paraId="51F26E4D">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门窗、锁</w:t>
            </w:r>
          </w:p>
        </w:tc>
        <w:tc>
          <w:tcPr>
            <w:tcW w:w="1291" w:type="dxa"/>
            <w:gridSpan w:val="2"/>
            <w:noWrap/>
            <w:vAlign w:val="center"/>
          </w:tcPr>
          <w:p w14:paraId="69C65960">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tc>
        <w:tc>
          <w:tcPr>
            <w:tcW w:w="1179" w:type="dxa"/>
            <w:noWrap/>
            <w:vAlign w:val="center"/>
          </w:tcPr>
          <w:p w14:paraId="5C97785A">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top"/>
          </w:tcPr>
          <w:p w14:paraId="6D787007">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检查木门门扇有无松动、下垂、翘曲变形、霉变和腐朽。</w:t>
            </w:r>
          </w:p>
          <w:p w14:paraId="29511377">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检查门窗转轴松紧情况，或摩擦磨损部位是否需要添加润滑油，确保开闭灵活，无异响。</w:t>
            </w:r>
          </w:p>
          <w:p w14:paraId="00E81835">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检查(塑)钢门窗、铝合金门窗有无变形、生锈。</w:t>
            </w:r>
          </w:p>
          <w:p w14:paraId="40EFB0AE">
            <w:pPr>
              <w:tabs>
                <w:tab w:val="left" w:pos="-51"/>
                <w:tab w:val="left" w:pos="878"/>
              </w:tabs>
              <w:snapToGrid w:val="0"/>
              <w:spacing w:line="240" w:lineRule="auto"/>
              <w:ind w:firstLine="0" w:firstLineChars="0"/>
              <w:jc w:val="both"/>
              <w:rPr>
                <w:rFonts w:hint="eastAsia" w:ascii="宋体" w:hAnsi="宋体" w:eastAsia="宋体" w:cs="宋体"/>
                <w:color w:val="auto"/>
                <w:sz w:val="21"/>
                <w:szCs w:val="21"/>
              </w:rPr>
            </w:pPr>
            <w:r>
              <w:rPr>
                <w:rFonts w:hint="eastAsia" w:ascii="宋体" w:hAnsi="宋体" w:eastAsia="宋体" w:cs="宋体"/>
                <w:color w:val="auto"/>
                <w:kern w:val="2"/>
                <w:sz w:val="21"/>
                <w:szCs w:val="21"/>
              </w:rPr>
              <w:t>4</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检查门锁、窗锁是否有损坏、生锈。</w:t>
            </w:r>
          </w:p>
        </w:tc>
      </w:tr>
      <w:tr w14:paraId="745E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444" w:type="dxa"/>
            <w:gridSpan w:val="4"/>
            <w:vMerge w:val="continue"/>
            <w:noWrap/>
            <w:vAlign w:val="center"/>
          </w:tcPr>
          <w:p w14:paraId="71351DE5">
            <w:pPr>
              <w:spacing w:line="240" w:lineRule="auto"/>
              <w:ind w:firstLine="0" w:firstLineChars="0"/>
              <w:jc w:val="both"/>
              <w:rPr>
                <w:rFonts w:hint="eastAsia" w:ascii="宋体" w:hAnsi="宋体" w:eastAsia="宋体" w:cs="宋体"/>
                <w:color w:val="auto"/>
                <w:kern w:val="2"/>
                <w:sz w:val="21"/>
                <w:szCs w:val="21"/>
              </w:rPr>
            </w:pPr>
          </w:p>
        </w:tc>
        <w:tc>
          <w:tcPr>
            <w:tcW w:w="1291" w:type="dxa"/>
            <w:gridSpan w:val="2"/>
            <w:noWrap/>
            <w:vAlign w:val="center"/>
          </w:tcPr>
          <w:p w14:paraId="51A546A0">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每半年</w:t>
            </w:r>
          </w:p>
        </w:tc>
        <w:tc>
          <w:tcPr>
            <w:tcW w:w="1179" w:type="dxa"/>
            <w:noWrap/>
            <w:vAlign w:val="center"/>
          </w:tcPr>
          <w:p w14:paraId="5D90296C">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center"/>
          </w:tcPr>
          <w:p w14:paraId="1B9EDFDA">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1）更换门窗、锁的易磨损部件。</w:t>
            </w:r>
          </w:p>
        </w:tc>
      </w:tr>
      <w:tr w14:paraId="7046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444" w:type="dxa"/>
            <w:gridSpan w:val="4"/>
            <w:noWrap/>
            <w:vAlign w:val="center"/>
          </w:tcPr>
          <w:p w14:paraId="039F7668">
            <w:pPr>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防护栏</w:t>
            </w:r>
          </w:p>
        </w:tc>
        <w:tc>
          <w:tcPr>
            <w:tcW w:w="1291" w:type="dxa"/>
            <w:gridSpan w:val="2"/>
            <w:noWrap/>
            <w:vAlign w:val="center"/>
          </w:tcPr>
          <w:p w14:paraId="164C3145">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w:t>
            </w:r>
          </w:p>
        </w:tc>
        <w:tc>
          <w:tcPr>
            <w:tcW w:w="1179" w:type="dxa"/>
            <w:noWrap/>
            <w:vAlign w:val="center"/>
          </w:tcPr>
          <w:p w14:paraId="0BA5C971">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center"/>
          </w:tcPr>
          <w:p w14:paraId="3380BEFD">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r>
              <w:rPr>
                <w:rFonts w:hint="eastAsia" w:ascii="宋体" w:hAnsi="宋体" w:eastAsia="宋体" w:cs="宋体"/>
                <w:bCs/>
                <w:color w:val="auto"/>
                <w:sz w:val="21"/>
                <w:szCs w:val="21"/>
              </w:rPr>
              <w:t>对本项目外围墙及楼顶围栏进行油漆翻新一次。</w:t>
            </w:r>
          </w:p>
        </w:tc>
      </w:tr>
      <w:tr w14:paraId="0FAC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4" w:type="dxa"/>
            <w:gridSpan w:val="4"/>
            <w:noWrap/>
            <w:vAlign w:val="center"/>
          </w:tcPr>
          <w:p w14:paraId="17DA734D">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地下室</w:t>
            </w:r>
          </w:p>
        </w:tc>
        <w:tc>
          <w:tcPr>
            <w:tcW w:w="1291" w:type="dxa"/>
            <w:gridSpan w:val="2"/>
            <w:noWrap/>
            <w:vAlign w:val="center"/>
          </w:tcPr>
          <w:p w14:paraId="4D0A3E17">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每周</w:t>
            </w:r>
          </w:p>
        </w:tc>
        <w:tc>
          <w:tcPr>
            <w:tcW w:w="1179" w:type="dxa"/>
            <w:noWrap/>
            <w:vAlign w:val="center"/>
          </w:tcPr>
          <w:p w14:paraId="37FE186C">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top"/>
          </w:tcPr>
          <w:p w14:paraId="507209A3">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1）检查地下室天花、墙面和地板饰面有无起壳、脱落和渗漏水现象，发现问题及时修复。</w:t>
            </w:r>
          </w:p>
        </w:tc>
      </w:tr>
      <w:tr w14:paraId="0756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4" w:type="dxa"/>
            <w:gridSpan w:val="4"/>
            <w:noWrap/>
            <w:vAlign w:val="center"/>
          </w:tcPr>
          <w:p w14:paraId="33E3255E">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大楼渗水</w:t>
            </w:r>
          </w:p>
        </w:tc>
        <w:tc>
          <w:tcPr>
            <w:tcW w:w="2470" w:type="dxa"/>
            <w:gridSpan w:val="3"/>
            <w:noWrap/>
            <w:vAlign w:val="center"/>
          </w:tcPr>
          <w:p w14:paraId="7B5B3A59">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根据需要</w:t>
            </w:r>
          </w:p>
        </w:tc>
        <w:tc>
          <w:tcPr>
            <w:tcW w:w="5214" w:type="dxa"/>
            <w:noWrap/>
            <w:vAlign w:val="top"/>
          </w:tcPr>
          <w:p w14:paraId="7FE624EA">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1）及时检查大楼内、外墙和楼板的渗漏点，发现问题及时处理，一般渗漏点需在20天内完成防水补漏处理，属技术疑难问题需请专业防水公司处理的，处理时间经招标人批准可适当延长。</w:t>
            </w:r>
          </w:p>
        </w:tc>
      </w:tr>
      <w:tr w14:paraId="29C1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4" w:type="dxa"/>
            <w:vMerge w:val="restart"/>
            <w:noWrap/>
            <w:vAlign w:val="center"/>
          </w:tcPr>
          <w:p w14:paraId="1F9802A3">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水龙头</w:t>
            </w:r>
          </w:p>
        </w:tc>
        <w:tc>
          <w:tcPr>
            <w:tcW w:w="940" w:type="dxa"/>
            <w:gridSpan w:val="3"/>
            <w:noWrap/>
            <w:vAlign w:val="center"/>
          </w:tcPr>
          <w:p w14:paraId="6965E2E1">
            <w:pPr>
              <w:tabs>
                <w:tab w:val="left" w:pos="-51"/>
                <w:tab w:val="left" w:pos="878"/>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开关感应器</w:t>
            </w:r>
          </w:p>
        </w:tc>
        <w:tc>
          <w:tcPr>
            <w:tcW w:w="1062" w:type="dxa"/>
            <w:noWrap/>
            <w:vAlign w:val="center"/>
          </w:tcPr>
          <w:p w14:paraId="780FEAED">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tc>
        <w:tc>
          <w:tcPr>
            <w:tcW w:w="1408" w:type="dxa"/>
            <w:gridSpan w:val="2"/>
            <w:noWrap/>
            <w:vAlign w:val="center"/>
          </w:tcPr>
          <w:p w14:paraId="524FB0AC">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center"/>
          </w:tcPr>
          <w:p w14:paraId="048B693C">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1）确保感应灵敏，开关灵活。</w:t>
            </w:r>
          </w:p>
        </w:tc>
      </w:tr>
      <w:tr w14:paraId="0F4F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4" w:type="dxa"/>
            <w:vMerge w:val="continue"/>
            <w:noWrap/>
            <w:vAlign w:val="center"/>
          </w:tcPr>
          <w:p w14:paraId="51D6A5B2">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p>
        </w:tc>
        <w:tc>
          <w:tcPr>
            <w:tcW w:w="940" w:type="dxa"/>
            <w:gridSpan w:val="3"/>
            <w:noWrap/>
            <w:vAlign w:val="center"/>
          </w:tcPr>
          <w:p w14:paraId="36A20B3E">
            <w:pPr>
              <w:tabs>
                <w:tab w:val="left" w:pos="-51"/>
                <w:tab w:val="left" w:pos="878"/>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水龙头过滤网</w:t>
            </w:r>
          </w:p>
        </w:tc>
        <w:tc>
          <w:tcPr>
            <w:tcW w:w="1062" w:type="dxa"/>
            <w:noWrap/>
            <w:vAlign w:val="center"/>
          </w:tcPr>
          <w:p w14:paraId="67243895">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tc>
        <w:tc>
          <w:tcPr>
            <w:tcW w:w="1408" w:type="dxa"/>
            <w:gridSpan w:val="2"/>
            <w:noWrap/>
            <w:vAlign w:val="center"/>
          </w:tcPr>
          <w:p w14:paraId="13019AC0">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center"/>
          </w:tcPr>
          <w:p w14:paraId="0BF612CA">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1）确保没有沙粒残留，流水畅顺。</w:t>
            </w:r>
          </w:p>
        </w:tc>
      </w:tr>
      <w:tr w14:paraId="55A9E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4" w:type="dxa"/>
            <w:vMerge w:val="continue"/>
            <w:noWrap/>
            <w:vAlign w:val="center"/>
          </w:tcPr>
          <w:p w14:paraId="7CC27514">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p>
        </w:tc>
        <w:tc>
          <w:tcPr>
            <w:tcW w:w="940" w:type="dxa"/>
            <w:gridSpan w:val="3"/>
            <w:noWrap/>
            <w:vAlign w:val="center"/>
          </w:tcPr>
          <w:p w14:paraId="7A29BEB7">
            <w:pPr>
              <w:tabs>
                <w:tab w:val="left" w:pos="-51"/>
                <w:tab w:val="left" w:pos="878"/>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下水管口、管道</w:t>
            </w:r>
          </w:p>
        </w:tc>
        <w:tc>
          <w:tcPr>
            <w:tcW w:w="1062" w:type="dxa"/>
            <w:noWrap/>
            <w:vAlign w:val="center"/>
          </w:tcPr>
          <w:p w14:paraId="044678B2">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tc>
        <w:tc>
          <w:tcPr>
            <w:tcW w:w="1408" w:type="dxa"/>
            <w:gridSpan w:val="2"/>
            <w:noWrap/>
            <w:vAlign w:val="center"/>
          </w:tcPr>
          <w:p w14:paraId="6403551D">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center"/>
          </w:tcPr>
          <w:p w14:paraId="0CF2BBEA">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1）查看是否漏水、是否堵塞。</w:t>
            </w:r>
          </w:p>
        </w:tc>
      </w:tr>
      <w:tr w14:paraId="5F18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44" w:type="dxa"/>
            <w:gridSpan w:val="4"/>
            <w:noWrap/>
            <w:vAlign w:val="center"/>
          </w:tcPr>
          <w:p w14:paraId="6D9DFA11">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便池感应冲水器</w:t>
            </w:r>
          </w:p>
        </w:tc>
        <w:tc>
          <w:tcPr>
            <w:tcW w:w="1062" w:type="dxa"/>
            <w:noWrap/>
            <w:vAlign w:val="center"/>
          </w:tcPr>
          <w:p w14:paraId="35F93856">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tc>
        <w:tc>
          <w:tcPr>
            <w:tcW w:w="1408" w:type="dxa"/>
            <w:gridSpan w:val="2"/>
            <w:noWrap/>
            <w:vAlign w:val="center"/>
          </w:tcPr>
          <w:p w14:paraId="5730D7FE">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center"/>
          </w:tcPr>
          <w:p w14:paraId="40FC0738">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1）确保感应灵敏，开关灵活，冲水量充足。</w:t>
            </w:r>
          </w:p>
        </w:tc>
      </w:tr>
      <w:tr w14:paraId="0839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44" w:type="dxa"/>
            <w:gridSpan w:val="4"/>
            <w:noWrap/>
            <w:vAlign w:val="center"/>
          </w:tcPr>
          <w:p w14:paraId="5380BD8B">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蹲厕手动冲水器</w:t>
            </w:r>
          </w:p>
        </w:tc>
        <w:tc>
          <w:tcPr>
            <w:tcW w:w="1062" w:type="dxa"/>
            <w:noWrap/>
            <w:vAlign w:val="center"/>
          </w:tcPr>
          <w:p w14:paraId="49A160A8">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tc>
        <w:tc>
          <w:tcPr>
            <w:tcW w:w="1408" w:type="dxa"/>
            <w:gridSpan w:val="2"/>
            <w:noWrap/>
            <w:vAlign w:val="center"/>
          </w:tcPr>
          <w:p w14:paraId="1E291E7C">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center"/>
          </w:tcPr>
          <w:p w14:paraId="121E3378">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1）确保开关灵活，冲水量充足。</w:t>
            </w:r>
          </w:p>
        </w:tc>
      </w:tr>
      <w:tr w14:paraId="42F6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44" w:type="dxa"/>
            <w:gridSpan w:val="4"/>
            <w:noWrap/>
            <w:vAlign w:val="center"/>
          </w:tcPr>
          <w:p w14:paraId="2DBC747A">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排气扇</w:t>
            </w:r>
          </w:p>
        </w:tc>
        <w:tc>
          <w:tcPr>
            <w:tcW w:w="1062" w:type="dxa"/>
            <w:noWrap/>
            <w:vAlign w:val="center"/>
          </w:tcPr>
          <w:p w14:paraId="02CF1EED">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每周</w:t>
            </w:r>
          </w:p>
        </w:tc>
        <w:tc>
          <w:tcPr>
            <w:tcW w:w="1408" w:type="dxa"/>
            <w:gridSpan w:val="2"/>
            <w:noWrap/>
            <w:vAlign w:val="center"/>
          </w:tcPr>
          <w:p w14:paraId="1C0824B4">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center"/>
          </w:tcPr>
          <w:p w14:paraId="0C05F64F">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1）确保风扇转速均匀，无异响。每月清洗1次风叶。</w:t>
            </w:r>
          </w:p>
        </w:tc>
      </w:tr>
      <w:tr w14:paraId="63C6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44" w:type="dxa"/>
            <w:gridSpan w:val="4"/>
            <w:noWrap/>
            <w:vAlign w:val="center"/>
          </w:tcPr>
          <w:p w14:paraId="30B291B5">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电开水器</w:t>
            </w:r>
          </w:p>
        </w:tc>
        <w:tc>
          <w:tcPr>
            <w:tcW w:w="1062" w:type="dxa"/>
            <w:noWrap/>
            <w:vAlign w:val="center"/>
          </w:tcPr>
          <w:p w14:paraId="033A3C08">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每周</w:t>
            </w:r>
          </w:p>
        </w:tc>
        <w:tc>
          <w:tcPr>
            <w:tcW w:w="1408" w:type="dxa"/>
            <w:gridSpan w:val="2"/>
            <w:noWrap/>
            <w:vAlign w:val="center"/>
          </w:tcPr>
          <w:p w14:paraId="424205AF">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center"/>
          </w:tcPr>
          <w:p w14:paraId="4F39E2EC">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1）确保加热正常，水温达到标准。每两个月清洗1次过滤器芯。</w:t>
            </w:r>
          </w:p>
        </w:tc>
      </w:tr>
    </w:tbl>
    <w:p w14:paraId="17954463">
      <w:pPr>
        <w:keepNext/>
        <w:keepLines/>
        <w:numPr>
          <w:ilvl w:val="0"/>
          <w:numId w:val="14"/>
        </w:numPr>
        <w:snapToGrid w:val="0"/>
        <w:spacing w:line="360" w:lineRule="auto"/>
        <w:ind w:left="0" w:firstLine="420"/>
        <w:rPr>
          <w:rFonts w:hint="eastAsia" w:ascii="宋体" w:hAnsi="宋体" w:eastAsia="宋体" w:cs="宋体"/>
          <w:color w:val="auto"/>
          <w:sz w:val="21"/>
          <w:szCs w:val="21"/>
        </w:rPr>
      </w:pPr>
      <w:r>
        <w:rPr>
          <w:rFonts w:hint="eastAsia" w:ascii="宋体" w:hAnsi="宋体" w:eastAsia="宋体" w:cs="宋体"/>
          <w:color w:val="auto"/>
          <w:sz w:val="21"/>
          <w:szCs w:val="21"/>
        </w:rPr>
        <w:t>公共配套设施维护与保养</w:t>
      </w:r>
    </w:p>
    <w:p w14:paraId="5D5E9131">
      <w:pPr>
        <w:keepNext/>
        <w:keepLines/>
        <w:numPr>
          <w:ilvl w:val="0"/>
          <w:numId w:val="16"/>
        </w:numPr>
        <w:snapToGrid w:val="0"/>
        <w:spacing w:line="360" w:lineRule="auto"/>
        <w:ind w:left="0" w:firstLine="420"/>
        <w:rPr>
          <w:rFonts w:hint="eastAsia" w:ascii="宋体" w:hAnsi="宋体" w:eastAsia="宋体" w:cs="宋体"/>
          <w:color w:val="auto"/>
          <w:sz w:val="21"/>
          <w:szCs w:val="21"/>
        </w:rPr>
      </w:pPr>
      <w:r>
        <w:rPr>
          <w:rFonts w:hint="eastAsia" w:ascii="宋体" w:hAnsi="宋体" w:eastAsia="宋体" w:cs="宋体"/>
          <w:color w:val="auto"/>
          <w:sz w:val="21"/>
          <w:szCs w:val="21"/>
        </w:rPr>
        <w:t>确保公共配套设施维护保养实施过程中所使用材料符合环保要求，并事先通过招标人审核。</w:t>
      </w:r>
    </w:p>
    <w:p w14:paraId="2ACFDDF3">
      <w:pPr>
        <w:keepNext/>
        <w:keepLines/>
        <w:numPr>
          <w:ilvl w:val="0"/>
          <w:numId w:val="16"/>
        </w:numPr>
        <w:snapToGrid w:val="0"/>
        <w:spacing w:line="360" w:lineRule="auto"/>
        <w:ind w:left="0" w:firstLine="420"/>
        <w:rPr>
          <w:rFonts w:hint="eastAsia" w:ascii="宋体" w:hAnsi="宋体" w:eastAsia="宋体" w:cs="宋体"/>
          <w:color w:val="auto"/>
          <w:sz w:val="21"/>
          <w:szCs w:val="21"/>
        </w:rPr>
      </w:pPr>
      <w:r>
        <w:rPr>
          <w:rFonts w:hint="eastAsia" w:ascii="宋体" w:hAnsi="宋体" w:eastAsia="宋体" w:cs="宋体"/>
          <w:color w:val="auto"/>
          <w:sz w:val="21"/>
          <w:szCs w:val="21"/>
        </w:rPr>
        <w:t>公共配套设施完好率&gt;98%，零修工程合格率100%，返修率&lt;0.5%，重大维修工程回访率100%。</w:t>
      </w:r>
    </w:p>
    <w:p w14:paraId="3B2517F2">
      <w:pPr>
        <w:keepNext/>
        <w:keepLines/>
        <w:numPr>
          <w:ilvl w:val="0"/>
          <w:numId w:val="16"/>
        </w:numPr>
        <w:snapToGrid w:val="0"/>
        <w:spacing w:line="360" w:lineRule="auto"/>
        <w:ind w:left="0" w:firstLine="420"/>
        <w:rPr>
          <w:rFonts w:hint="eastAsia" w:ascii="宋体" w:hAnsi="宋体" w:eastAsia="宋体" w:cs="宋体"/>
          <w:color w:val="auto"/>
          <w:sz w:val="21"/>
          <w:szCs w:val="21"/>
        </w:rPr>
      </w:pPr>
      <w:r>
        <w:rPr>
          <w:rFonts w:hint="eastAsia" w:ascii="宋体" w:hAnsi="宋体" w:eastAsia="宋体" w:cs="宋体"/>
          <w:color w:val="auto"/>
          <w:sz w:val="21"/>
          <w:szCs w:val="21"/>
        </w:rPr>
        <w:t>公共配套设施维护保养要求：</w:t>
      </w:r>
    </w:p>
    <w:tbl>
      <w:tblPr>
        <w:tblStyle w:val="41"/>
        <w:tblW w:w="8906" w:type="dxa"/>
        <w:jc w:val="center"/>
        <w:tblLayout w:type="fixed"/>
        <w:tblCellMar>
          <w:top w:w="0" w:type="dxa"/>
          <w:left w:w="108" w:type="dxa"/>
          <w:bottom w:w="0" w:type="dxa"/>
          <w:right w:w="108" w:type="dxa"/>
        </w:tblCellMar>
      </w:tblPr>
      <w:tblGrid>
        <w:gridCol w:w="1675"/>
        <w:gridCol w:w="889"/>
        <w:gridCol w:w="680"/>
        <w:gridCol w:w="5662"/>
      </w:tblGrid>
      <w:tr w14:paraId="590BE72F">
        <w:tblPrEx>
          <w:tblCellMar>
            <w:top w:w="0" w:type="dxa"/>
            <w:left w:w="108" w:type="dxa"/>
            <w:bottom w:w="0" w:type="dxa"/>
            <w:right w:w="108" w:type="dxa"/>
          </w:tblCellMar>
        </w:tblPrEx>
        <w:trPr>
          <w:trHeight w:val="20" w:hRule="atLeast"/>
          <w:jc w:val="center"/>
        </w:trPr>
        <w:tc>
          <w:tcPr>
            <w:tcW w:w="1675" w:type="dxa"/>
            <w:tcBorders>
              <w:top w:val="single" w:color="000000" w:sz="6" w:space="0"/>
              <w:left w:val="single" w:color="000000" w:sz="6" w:space="0"/>
              <w:bottom w:val="single" w:color="000000" w:sz="6" w:space="0"/>
              <w:right w:val="single" w:color="000000" w:sz="6" w:space="0"/>
            </w:tcBorders>
            <w:noWrap/>
            <w:vAlign w:val="center"/>
          </w:tcPr>
          <w:p w14:paraId="09C28B0A">
            <w:pPr>
              <w:spacing w:line="240" w:lineRule="auto"/>
              <w:ind w:firstLine="0" w:firstLineChars="0"/>
              <w:jc w:val="center"/>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项目</w:t>
            </w:r>
          </w:p>
        </w:tc>
        <w:tc>
          <w:tcPr>
            <w:tcW w:w="889" w:type="dxa"/>
            <w:tcBorders>
              <w:top w:val="single" w:color="000000" w:sz="6" w:space="0"/>
              <w:left w:val="single" w:color="000000" w:sz="6" w:space="0"/>
              <w:bottom w:val="single" w:color="000000" w:sz="6" w:space="0"/>
              <w:right w:val="single" w:color="000000" w:sz="6" w:space="0"/>
            </w:tcBorders>
            <w:noWrap/>
            <w:vAlign w:val="center"/>
          </w:tcPr>
          <w:p w14:paraId="1DD96622">
            <w:pPr>
              <w:spacing w:line="240" w:lineRule="auto"/>
              <w:ind w:firstLine="0" w:firstLineChars="0"/>
              <w:jc w:val="center"/>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时间</w:t>
            </w:r>
          </w:p>
        </w:tc>
        <w:tc>
          <w:tcPr>
            <w:tcW w:w="680" w:type="dxa"/>
            <w:tcBorders>
              <w:top w:val="single" w:color="000000" w:sz="6" w:space="0"/>
              <w:left w:val="single" w:color="000000" w:sz="6" w:space="0"/>
              <w:bottom w:val="single" w:color="000000" w:sz="6" w:space="0"/>
              <w:right w:val="single" w:color="000000" w:sz="6" w:space="0"/>
            </w:tcBorders>
            <w:noWrap/>
            <w:vAlign w:val="center"/>
          </w:tcPr>
          <w:p w14:paraId="30866D30">
            <w:pPr>
              <w:spacing w:line="240" w:lineRule="auto"/>
              <w:ind w:firstLine="0" w:firstLineChars="0"/>
              <w:jc w:val="center"/>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次数</w:t>
            </w:r>
          </w:p>
        </w:tc>
        <w:tc>
          <w:tcPr>
            <w:tcW w:w="5662" w:type="dxa"/>
            <w:tcBorders>
              <w:top w:val="single" w:color="000000" w:sz="6" w:space="0"/>
              <w:left w:val="single" w:color="000000" w:sz="6" w:space="0"/>
              <w:bottom w:val="single" w:color="000000" w:sz="6" w:space="0"/>
              <w:right w:val="single" w:color="000000" w:sz="6" w:space="0"/>
            </w:tcBorders>
            <w:noWrap/>
            <w:vAlign w:val="top"/>
          </w:tcPr>
          <w:p w14:paraId="4207F378">
            <w:pPr>
              <w:spacing w:line="240" w:lineRule="auto"/>
              <w:ind w:firstLine="0" w:firstLineChars="0"/>
              <w:jc w:val="center"/>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维护保养内容</w:t>
            </w:r>
          </w:p>
        </w:tc>
      </w:tr>
      <w:tr w14:paraId="72859B57">
        <w:tblPrEx>
          <w:tblCellMar>
            <w:top w:w="0" w:type="dxa"/>
            <w:left w:w="108" w:type="dxa"/>
            <w:bottom w:w="0" w:type="dxa"/>
            <w:right w:w="108" w:type="dxa"/>
          </w:tblCellMar>
        </w:tblPrEx>
        <w:trPr>
          <w:trHeight w:val="20" w:hRule="atLeast"/>
          <w:jc w:val="center"/>
        </w:trPr>
        <w:tc>
          <w:tcPr>
            <w:tcW w:w="1675" w:type="dxa"/>
            <w:tcBorders>
              <w:top w:val="single" w:color="000000" w:sz="6" w:space="0"/>
              <w:left w:val="single" w:color="000000" w:sz="6" w:space="0"/>
              <w:bottom w:val="single" w:color="000000" w:sz="6" w:space="0"/>
              <w:right w:val="single" w:color="000000" w:sz="6" w:space="0"/>
            </w:tcBorders>
            <w:noWrap/>
            <w:vAlign w:val="center"/>
          </w:tcPr>
          <w:p w14:paraId="5DAD8B2B">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路面路基</w:t>
            </w:r>
          </w:p>
        </w:tc>
        <w:tc>
          <w:tcPr>
            <w:tcW w:w="889" w:type="dxa"/>
            <w:tcBorders>
              <w:top w:val="single" w:color="000000" w:sz="6" w:space="0"/>
              <w:left w:val="single" w:color="000000" w:sz="6" w:space="0"/>
              <w:bottom w:val="single" w:color="000000" w:sz="6" w:space="0"/>
              <w:right w:val="single" w:color="000000" w:sz="6" w:space="0"/>
            </w:tcBorders>
            <w:noWrap/>
            <w:vAlign w:val="center"/>
          </w:tcPr>
          <w:p w14:paraId="0B339F04">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每周</w:t>
            </w:r>
          </w:p>
        </w:tc>
        <w:tc>
          <w:tcPr>
            <w:tcW w:w="680" w:type="dxa"/>
            <w:tcBorders>
              <w:top w:val="single" w:color="000000" w:sz="6" w:space="0"/>
              <w:left w:val="single" w:color="000000" w:sz="6" w:space="0"/>
              <w:bottom w:val="single" w:color="000000" w:sz="6" w:space="0"/>
              <w:right w:val="single" w:color="000000" w:sz="6" w:space="0"/>
            </w:tcBorders>
            <w:noWrap/>
            <w:vAlign w:val="center"/>
          </w:tcPr>
          <w:p w14:paraId="2873A7AA">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662" w:type="dxa"/>
            <w:tcBorders>
              <w:top w:val="single" w:color="000000" w:sz="6" w:space="0"/>
              <w:left w:val="single" w:color="000000" w:sz="6" w:space="0"/>
              <w:bottom w:val="single" w:color="000000" w:sz="6" w:space="0"/>
              <w:right w:val="single" w:color="000000" w:sz="6" w:space="0"/>
            </w:tcBorders>
            <w:noWrap/>
            <w:vAlign w:val="top"/>
          </w:tcPr>
          <w:p w14:paraId="25D6E001">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1）检查路面有无积水。</w:t>
            </w:r>
          </w:p>
          <w:p w14:paraId="11241025">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2）检查道路路面有无起壳、地鼓、裂缝。</w:t>
            </w:r>
          </w:p>
          <w:p w14:paraId="0561D8E9">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3）检查路基有无塌陷。</w:t>
            </w:r>
          </w:p>
          <w:p w14:paraId="5EEA4DB8">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4）发现异常及时处理或修复。</w:t>
            </w:r>
          </w:p>
        </w:tc>
      </w:tr>
      <w:tr w14:paraId="4FDA39C2">
        <w:tblPrEx>
          <w:tblCellMar>
            <w:top w:w="0" w:type="dxa"/>
            <w:left w:w="108" w:type="dxa"/>
            <w:bottom w:w="0" w:type="dxa"/>
            <w:right w:w="108" w:type="dxa"/>
          </w:tblCellMar>
        </w:tblPrEx>
        <w:trPr>
          <w:trHeight w:val="20" w:hRule="atLeast"/>
          <w:jc w:val="center"/>
        </w:trPr>
        <w:tc>
          <w:tcPr>
            <w:tcW w:w="1675" w:type="dxa"/>
            <w:vMerge w:val="restart"/>
            <w:tcBorders>
              <w:top w:val="single" w:color="000000" w:sz="6" w:space="0"/>
              <w:left w:val="single" w:color="000000" w:sz="6" w:space="0"/>
              <w:bottom w:val="single" w:color="000000" w:sz="6" w:space="0"/>
              <w:right w:val="single" w:color="000000" w:sz="6" w:space="0"/>
            </w:tcBorders>
            <w:noWrap/>
            <w:vAlign w:val="center"/>
          </w:tcPr>
          <w:p w14:paraId="2117405A">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停车场(库)</w:t>
            </w:r>
          </w:p>
        </w:tc>
        <w:tc>
          <w:tcPr>
            <w:tcW w:w="889" w:type="dxa"/>
            <w:tcBorders>
              <w:top w:val="single" w:color="000000" w:sz="6" w:space="0"/>
              <w:left w:val="single" w:color="000000" w:sz="6" w:space="0"/>
              <w:bottom w:val="single" w:color="000000" w:sz="6" w:space="0"/>
              <w:right w:val="single" w:color="000000" w:sz="6" w:space="0"/>
            </w:tcBorders>
            <w:noWrap/>
            <w:vAlign w:val="center"/>
          </w:tcPr>
          <w:p w14:paraId="43852613">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每日</w:t>
            </w:r>
          </w:p>
        </w:tc>
        <w:tc>
          <w:tcPr>
            <w:tcW w:w="680" w:type="dxa"/>
            <w:tcBorders>
              <w:top w:val="single" w:color="000000" w:sz="6" w:space="0"/>
              <w:left w:val="single" w:color="000000" w:sz="6" w:space="0"/>
              <w:bottom w:val="single" w:color="000000" w:sz="6" w:space="0"/>
              <w:right w:val="single" w:color="000000" w:sz="6" w:space="0"/>
            </w:tcBorders>
            <w:noWrap/>
            <w:vAlign w:val="center"/>
          </w:tcPr>
          <w:p w14:paraId="00A28589">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662" w:type="dxa"/>
            <w:tcBorders>
              <w:top w:val="single" w:color="000000" w:sz="6" w:space="0"/>
              <w:left w:val="single" w:color="000000" w:sz="6" w:space="0"/>
              <w:bottom w:val="single" w:color="000000" w:sz="6" w:space="0"/>
              <w:right w:val="single" w:color="000000" w:sz="6" w:space="0"/>
            </w:tcBorders>
            <w:noWrap/>
            <w:vAlign w:val="top"/>
          </w:tcPr>
          <w:p w14:paraId="0BDE514B">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1）检查路面有无积水。</w:t>
            </w:r>
          </w:p>
          <w:p w14:paraId="0BE2E959">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2）检查停车场地面有无起壳、地鼓、裂缝。</w:t>
            </w:r>
          </w:p>
          <w:p w14:paraId="4ACF85C9">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3）检查车道灯有无损坏。</w:t>
            </w:r>
          </w:p>
          <w:p w14:paraId="68C445AB">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4）检查行车指示标志是否正常。</w:t>
            </w:r>
          </w:p>
          <w:p w14:paraId="06CF5168">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5）发现异常即时处理或修复。</w:t>
            </w:r>
          </w:p>
        </w:tc>
      </w:tr>
      <w:tr w14:paraId="33B018EA">
        <w:tblPrEx>
          <w:tblCellMar>
            <w:top w:w="0" w:type="dxa"/>
            <w:left w:w="108" w:type="dxa"/>
            <w:bottom w:w="0" w:type="dxa"/>
            <w:right w:w="108" w:type="dxa"/>
          </w:tblCellMar>
        </w:tblPrEx>
        <w:trPr>
          <w:trHeight w:val="20" w:hRule="atLeast"/>
          <w:jc w:val="center"/>
        </w:trPr>
        <w:tc>
          <w:tcPr>
            <w:tcW w:w="1675" w:type="dxa"/>
            <w:vMerge w:val="continue"/>
            <w:tcBorders>
              <w:top w:val="single" w:color="000000" w:sz="6" w:space="0"/>
              <w:left w:val="single" w:color="000000" w:sz="6" w:space="0"/>
              <w:bottom w:val="single" w:color="000000" w:sz="6" w:space="0"/>
              <w:right w:val="single" w:color="000000" w:sz="6" w:space="0"/>
            </w:tcBorders>
            <w:noWrap/>
            <w:vAlign w:val="center"/>
          </w:tcPr>
          <w:p w14:paraId="3003394E">
            <w:pPr>
              <w:spacing w:line="240" w:lineRule="auto"/>
              <w:ind w:firstLine="0" w:firstLineChars="0"/>
              <w:jc w:val="both"/>
              <w:rPr>
                <w:rFonts w:hint="eastAsia" w:ascii="宋体" w:hAnsi="宋体" w:eastAsia="宋体" w:cs="宋体"/>
                <w:color w:val="auto"/>
                <w:kern w:val="2"/>
                <w:sz w:val="21"/>
                <w:szCs w:val="21"/>
              </w:rPr>
            </w:pPr>
          </w:p>
        </w:tc>
        <w:tc>
          <w:tcPr>
            <w:tcW w:w="889" w:type="dxa"/>
            <w:tcBorders>
              <w:top w:val="single" w:color="000000" w:sz="6" w:space="0"/>
              <w:left w:val="single" w:color="000000" w:sz="6" w:space="0"/>
              <w:bottom w:val="single" w:color="000000" w:sz="6" w:space="0"/>
              <w:right w:val="single" w:color="000000" w:sz="6" w:space="0"/>
            </w:tcBorders>
            <w:noWrap/>
            <w:vAlign w:val="center"/>
          </w:tcPr>
          <w:p w14:paraId="55235602">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tc>
        <w:tc>
          <w:tcPr>
            <w:tcW w:w="680" w:type="dxa"/>
            <w:tcBorders>
              <w:top w:val="single" w:color="000000" w:sz="6" w:space="0"/>
              <w:left w:val="single" w:color="000000" w:sz="6" w:space="0"/>
              <w:bottom w:val="single" w:color="000000" w:sz="6" w:space="0"/>
              <w:right w:val="single" w:color="000000" w:sz="6" w:space="0"/>
            </w:tcBorders>
            <w:noWrap/>
            <w:vAlign w:val="center"/>
          </w:tcPr>
          <w:p w14:paraId="6B44982A">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662" w:type="dxa"/>
            <w:tcBorders>
              <w:top w:val="single" w:color="000000" w:sz="6" w:space="0"/>
              <w:left w:val="single" w:color="000000" w:sz="6" w:space="0"/>
              <w:bottom w:val="single" w:color="000000" w:sz="6" w:space="0"/>
              <w:right w:val="single" w:color="000000" w:sz="6" w:space="0"/>
            </w:tcBorders>
            <w:noWrap/>
            <w:vAlign w:val="top"/>
          </w:tcPr>
          <w:p w14:paraId="246F96A1">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1）检查停车线、行车指示线是否清晰、完整。</w:t>
            </w:r>
          </w:p>
          <w:p w14:paraId="3DAD1E77">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2）限速牌、指示牌是否齐全、完整。</w:t>
            </w:r>
          </w:p>
          <w:p w14:paraId="3C57CB1F">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3）检查挡车器是否正常。</w:t>
            </w:r>
          </w:p>
        </w:tc>
      </w:tr>
      <w:tr w14:paraId="439A0309">
        <w:tblPrEx>
          <w:tblCellMar>
            <w:top w:w="0" w:type="dxa"/>
            <w:left w:w="108" w:type="dxa"/>
            <w:bottom w:w="0" w:type="dxa"/>
            <w:right w:w="108" w:type="dxa"/>
          </w:tblCellMar>
        </w:tblPrEx>
        <w:trPr>
          <w:trHeight w:val="20" w:hRule="atLeast"/>
          <w:jc w:val="center"/>
        </w:trPr>
        <w:tc>
          <w:tcPr>
            <w:tcW w:w="1675" w:type="dxa"/>
            <w:vMerge w:val="restart"/>
            <w:tcBorders>
              <w:top w:val="single" w:color="000000" w:sz="6" w:space="0"/>
              <w:left w:val="single" w:color="000000" w:sz="6" w:space="0"/>
              <w:bottom w:val="single" w:color="000000" w:sz="6" w:space="0"/>
              <w:right w:val="single" w:color="000000" w:sz="6" w:space="0"/>
            </w:tcBorders>
            <w:noWrap/>
            <w:vAlign w:val="center"/>
          </w:tcPr>
          <w:p w14:paraId="768FD055">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沟渠池井</w:t>
            </w:r>
          </w:p>
        </w:tc>
        <w:tc>
          <w:tcPr>
            <w:tcW w:w="889" w:type="dxa"/>
            <w:tcBorders>
              <w:top w:val="single" w:color="000000" w:sz="6" w:space="0"/>
              <w:left w:val="single" w:color="000000" w:sz="6" w:space="0"/>
              <w:bottom w:val="single" w:color="000000" w:sz="6" w:space="0"/>
              <w:right w:val="single" w:color="000000" w:sz="6" w:space="0"/>
            </w:tcBorders>
            <w:noWrap/>
            <w:vAlign w:val="center"/>
          </w:tcPr>
          <w:p w14:paraId="2BA61DC9">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每周</w:t>
            </w:r>
          </w:p>
        </w:tc>
        <w:tc>
          <w:tcPr>
            <w:tcW w:w="680" w:type="dxa"/>
            <w:tcBorders>
              <w:top w:val="single" w:color="000000" w:sz="6" w:space="0"/>
              <w:left w:val="single" w:color="000000" w:sz="6" w:space="0"/>
              <w:bottom w:val="single" w:color="000000" w:sz="6" w:space="0"/>
              <w:right w:val="single" w:color="000000" w:sz="6" w:space="0"/>
            </w:tcBorders>
            <w:noWrap/>
            <w:vAlign w:val="center"/>
          </w:tcPr>
          <w:p w14:paraId="13533EE5">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662" w:type="dxa"/>
            <w:tcBorders>
              <w:top w:val="single" w:color="000000" w:sz="6" w:space="0"/>
              <w:left w:val="single" w:color="000000" w:sz="6" w:space="0"/>
              <w:bottom w:val="single" w:color="000000" w:sz="6" w:space="0"/>
              <w:right w:val="single" w:color="000000" w:sz="6" w:space="0"/>
            </w:tcBorders>
            <w:noWrap/>
            <w:vAlign w:val="top"/>
          </w:tcPr>
          <w:p w14:paraId="43644465">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1）检查沟、渠有无堵塞现象，如有异常及时疏通。</w:t>
            </w:r>
          </w:p>
          <w:p w14:paraId="7116FE01">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2）检查雨水篦有无异常。</w:t>
            </w:r>
          </w:p>
        </w:tc>
      </w:tr>
      <w:tr w14:paraId="30F9B1D6">
        <w:tblPrEx>
          <w:tblCellMar>
            <w:top w:w="0" w:type="dxa"/>
            <w:left w:w="108" w:type="dxa"/>
            <w:bottom w:w="0" w:type="dxa"/>
            <w:right w:w="108" w:type="dxa"/>
          </w:tblCellMar>
        </w:tblPrEx>
        <w:trPr>
          <w:trHeight w:val="20" w:hRule="atLeast"/>
          <w:jc w:val="center"/>
        </w:trPr>
        <w:tc>
          <w:tcPr>
            <w:tcW w:w="1675" w:type="dxa"/>
            <w:vMerge w:val="continue"/>
            <w:tcBorders>
              <w:top w:val="single" w:color="000000" w:sz="6" w:space="0"/>
              <w:left w:val="single" w:color="000000" w:sz="6" w:space="0"/>
              <w:bottom w:val="single" w:color="000000" w:sz="6" w:space="0"/>
              <w:right w:val="single" w:color="000000" w:sz="6" w:space="0"/>
            </w:tcBorders>
            <w:noWrap/>
            <w:vAlign w:val="center"/>
          </w:tcPr>
          <w:p w14:paraId="5B04502F">
            <w:pPr>
              <w:spacing w:line="240" w:lineRule="auto"/>
              <w:ind w:firstLine="0" w:firstLineChars="0"/>
              <w:jc w:val="both"/>
              <w:rPr>
                <w:rFonts w:hint="eastAsia" w:ascii="宋体" w:hAnsi="宋体" w:eastAsia="宋体" w:cs="宋体"/>
                <w:color w:val="auto"/>
                <w:kern w:val="2"/>
                <w:sz w:val="21"/>
                <w:szCs w:val="21"/>
              </w:rPr>
            </w:pPr>
          </w:p>
        </w:tc>
        <w:tc>
          <w:tcPr>
            <w:tcW w:w="889" w:type="dxa"/>
            <w:tcBorders>
              <w:top w:val="single" w:color="000000" w:sz="6" w:space="0"/>
              <w:left w:val="single" w:color="000000" w:sz="6" w:space="0"/>
              <w:bottom w:val="single" w:color="000000" w:sz="6" w:space="0"/>
              <w:right w:val="single" w:color="000000" w:sz="6" w:space="0"/>
            </w:tcBorders>
            <w:noWrap/>
            <w:vAlign w:val="center"/>
          </w:tcPr>
          <w:p w14:paraId="64ABB083">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每季</w:t>
            </w:r>
          </w:p>
        </w:tc>
        <w:tc>
          <w:tcPr>
            <w:tcW w:w="680" w:type="dxa"/>
            <w:tcBorders>
              <w:top w:val="single" w:color="000000" w:sz="6" w:space="0"/>
              <w:left w:val="single" w:color="000000" w:sz="6" w:space="0"/>
              <w:bottom w:val="single" w:color="000000" w:sz="6" w:space="0"/>
              <w:right w:val="single" w:color="000000" w:sz="6" w:space="0"/>
            </w:tcBorders>
            <w:noWrap/>
            <w:vAlign w:val="center"/>
          </w:tcPr>
          <w:p w14:paraId="46327655">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662" w:type="dxa"/>
            <w:tcBorders>
              <w:top w:val="single" w:color="000000" w:sz="6" w:space="0"/>
              <w:left w:val="single" w:color="000000" w:sz="6" w:space="0"/>
              <w:bottom w:val="single" w:color="000000" w:sz="6" w:space="0"/>
              <w:right w:val="single" w:color="000000" w:sz="6" w:space="0"/>
            </w:tcBorders>
            <w:noWrap/>
            <w:vAlign w:val="top"/>
          </w:tcPr>
          <w:p w14:paraId="6EDC3227">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1）检查井底及池底是否有污物沉积，如有沉积及时清污。</w:t>
            </w:r>
          </w:p>
          <w:p w14:paraId="1539EF09">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2）检查井壁有无裂缝及塌陷，如有异常及时修复。</w:t>
            </w:r>
          </w:p>
          <w:p w14:paraId="3884F074">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3）检查沟、渠是否完好，如有异常及时修复。</w:t>
            </w:r>
          </w:p>
          <w:p w14:paraId="0CAA0F14">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4）井盖及雨水篦刷漆。</w:t>
            </w:r>
          </w:p>
          <w:p w14:paraId="617FF7B3">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5）检查井盖完好程度，发现损坏及时修复或更换。</w:t>
            </w:r>
          </w:p>
        </w:tc>
      </w:tr>
      <w:tr w14:paraId="455BA1E1">
        <w:tblPrEx>
          <w:tblCellMar>
            <w:top w:w="0" w:type="dxa"/>
            <w:left w:w="108" w:type="dxa"/>
            <w:bottom w:w="0" w:type="dxa"/>
            <w:right w:w="108" w:type="dxa"/>
          </w:tblCellMar>
        </w:tblPrEx>
        <w:trPr>
          <w:trHeight w:val="20" w:hRule="atLeast"/>
          <w:jc w:val="center"/>
        </w:trPr>
        <w:tc>
          <w:tcPr>
            <w:tcW w:w="1675" w:type="dxa"/>
            <w:vMerge w:val="restart"/>
            <w:tcBorders>
              <w:top w:val="single" w:color="000000" w:sz="6" w:space="0"/>
              <w:left w:val="single" w:color="000000" w:sz="6" w:space="0"/>
              <w:bottom w:val="single" w:color="000000" w:sz="6" w:space="0"/>
              <w:right w:val="single" w:color="000000" w:sz="6" w:space="0"/>
            </w:tcBorders>
            <w:noWrap/>
            <w:vAlign w:val="center"/>
          </w:tcPr>
          <w:p w14:paraId="152DA953">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公用标志设施</w:t>
            </w:r>
          </w:p>
        </w:tc>
        <w:tc>
          <w:tcPr>
            <w:tcW w:w="889" w:type="dxa"/>
            <w:tcBorders>
              <w:top w:val="single" w:color="000000" w:sz="6" w:space="0"/>
              <w:left w:val="single" w:color="000000" w:sz="6" w:space="0"/>
              <w:bottom w:val="single" w:color="000000" w:sz="6" w:space="0"/>
              <w:right w:val="single" w:color="000000" w:sz="6" w:space="0"/>
            </w:tcBorders>
            <w:noWrap/>
            <w:vAlign w:val="center"/>
          </w:tcPr>
          <w:p w14:paraId="1E3C9B64">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每周</w:t>
            </w:r>
          </w:p>
        </w:tc>
        <w:tc>
          <w:tcPr>
            <w:tcW w:w="680" w:type="dxa"/>
            <w:tcBorders>
              <w:top w:val="single" w:color="000000" w:sz="6" w:space="0"/>
              <w:left w:val="single" w:color="000000" w:sz="6" w:space="0"/>
              <w:bottom w:val="single" w:color="000000" w:sz="6" w:space="0"/>
              <w:right w:val="single" w:color="000000" w:sz="6" w:space="0"/>
            </w:tcBorders>
            <w:noWrap/>
            <w:vAlign w:val="center"/>
          </w:tcPr>
          <w:p w14:paraId="0221220E">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662" w:type="dxa"/>
            <w:tcBorders>
              <w:top w:val="single" w:color="000000" w:sz="6" w:space="0"/>
              <w:left w:val="single" w:color="000000" w:sz="6" w:space="0"/>
              <w:bottom w:val="single" w:color="000000" w:sz="6" w:space="0"/>
              <w:right w:val="single" w:color="000000" w:sz="6" w:space="0"/>
            </w:tcBorders>
            <w:noWrap/>
            <w:vAlign w:val="top"/>
          </w:tcPr>
          <w:p w14:paraId="5978EE8E">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1）标识清晰、无污迹、无脱落、无破损，发现异常及时处理。</w:t>
            </w:r>
          </w:p>
          <w:p w14:paraId="0D50DE86">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2）检查牢固程度，如有松脱，及时恢复。</w:t>
            </w:r>
          </w:p>
        </w:tc>
      </w:tr>
      <w:tr w14:paraId="7C140DE6">
        <w:tblPrEx>
          <w:tblCellMar>
            <w:top w:w="0" w:type="dxa"/>
            <w:left w:w="108" w:type="dxa"/>
            <w:bottom w:w="0" w:type="dxa"/>
            <w:right w:w="108" w:type="dxa"/>
          </w:tblCellMar>
        </w:tblPrEx>
        <w:trPr>
          <w:trHeight w:val="442" w:hRule="atLeast"/>
          <w:jc w:val="center"/>
        </w:trPr>
        <w:tc>
          <w:tcPr>
            <w:tcW w:w="1675" w:type="dxa"/>
            <w:vMerge w:val="continue"/>
            <w:tcBorders>
              <w:top w:val="single" w:color="000000" w:sz="6" w:space="0"/>
              <w:left w:val="single" w:color="000000" w:sz="6" w:space="0"/>
              <w:bottom w:val="single" w:color="000000" w:sz="6" w:space="0"/>
              <w:right w:val="single" w:color="000000" w:sz="6" w:space="0"/>
            </w:tcBorders>
            <w:noWrap/>
            <w:vAlign w:val="center"/>
          </w:tcPr>
          <w:p w14:paraId="36B530E3">
            <w:pPr>
              <w:spacing w:line="240" w:lineRule="auto"/>
              <w:ind w:firstLine="0" w:firstLineChars="0"/>
              <w:jc w:val="both"/>
              <w:rPr>
                <w:rFonts w:hint="eastAsia" w:ascii="宋体" w:hAnsi="宋体" w:eastAsia="宋体" w:cs="宋体"/>
                <w:color w:val="auto"/>
                <w:kern w:val="2"/>
                <w:sz w:val="21"/>
                <w:szCs w:val="21"/>
              </w:rPr>
            </w:pPr>
          </w:p>
        </w:tc>
        <w:tc>
          <w:tcPr>
            <w:tcW w:w="889" w:type="dxa"/>
            <w:tcBorders>
              <w:top w:val="single" w:color="000000" w:sz="6" w:space="0"/>
              <w:left w:val="single" w:color="000000" w:sz="6" w:space="0"/>
              <w:bottom w:val="single" w:color="000000" w:sz="6" w:space="0"/>
              <w:right w:val="single" w:color="000000" w:sz="6" w:space="0"/>
            </w:tcBorders>
            <w:noWrap/>
            <w:vAlign w:val="center"/>
          </w:tcPr>
          <w:p w14:paraId="46B01876">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每半年</w:t>
            </w:r>
          </w:p>
        </w:tc>
        <w:tc>
          <w:tcPr>
            <w:tcW w:w="680" w:type="dxa"/>
            <w:tcBorders>
              <w:top w:val="single" w:color="000000" w:sz="6" w:space="0"/>
              <w:left w:val="single" w:color="000000" w:sz="6" w:space="0"/>
              <w:bottom w:val="single" w:color="000000" w:sz="6" w:space="0"/>
              <w:right w:val="single" w:color="000000" w:sz="6" w:space="0"/>
            </w:tcBorders>
            <w:noWrap/>
            <w:vAlign w:val="center"/>
          </w:tcPr>
          <w:p w14:paraId="019A99B3">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662" w:type="dxa"/>
            <w:tcBorders>
              <w:top w:val="single" w:color="000000" w:sz="6" w:space="0"/>
              <w:left w:val="single" w:color="000000" w:sz="6" w:space="0"/>
              <w:bottom w:val="single" w:color="000000" w:sz="6" w:space="0"/>
              <w:right w:val="single" w:color="000000" w:sz="6" w:space="0"/>
            </w:tcBorders>
            <w:noWrap/>
            <w:vAlign w:val="center"/>
          </w:tcPr>
          <w:p w14:paraId="26FDAB5E">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1）检查完好程度，加固。</w:t>
            </w:r>
          </w:p>
        </w:tc>
      </w:tr>
      <w:tr w14:paraId="0D976D6E">
        <w:tblPrEx>
          <w:tblCellMar>
            <w:top w:w="0" w:type="dxa"/>
            <w:left w:w="108" w:type="dxa"/>
            <w:bottom w:w="0" w:type="dxa"/>
            <w:right w:w="108" w:type="dxa"/>
          </w:tblCellMar>
        </w:tblPrEx>
        <w:trPr>
          <w:trHeight w:val="442" w:hRule="atLeast"/>
          <w:jc w:val="center"/>
        </w:trPr>
        <w:tc>
          <w:tcPr>
            <w:tcW w:w="1675" w:type="dxa"/>
            <w:tcBorders>
              <w:top w:val="single" w:color="000000" w:sz="6" w:space="0"/>
              <w:left w:val="single" w:color="000000" w:sz="6" w:space="0"/>
              <w:bottom w:val="single" w:color="000000" w:sz="6" w:space="0"/>
              <w:right w:val="single" w:color="000000" w:sz="6" w:space="0"/>
            </w:tcBorders>
            <w:noWrap/>
            <w:vAlign w:val="center"/>
          </w:tcPr>
          <w:p w14:paraId="68CE8909">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垃圾中转站</w:t>
            </w:r>
          </w:p>
        </w:tc>
        <w:tc>
          <w:tcPr>
            <w:tcW w:w="889" w:type="dxa"/>
            <w:tcBorders>
              <w:top w:val="single" w:color="000000" w:sz="6" w:space="0"/>
              <w:left w:val="single" w:color="000000" w:sz="6" w:space="0"/>
              <w:bottom w:val="single" w:color="000000" w:sz="6" w:space="0"/>
              <w:right w:val="single" w:color="000000" w:sz="6" w:space="0"/>
            </w:tcBorders>
            <w:noWrap/>
            <w:vAlign w:val="center"/>
          </w:tcPr>
          <w:p w14:paraId="4EBC8206">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每周</w:t>
            </w:r>
          </w:p>
        </w:tc>
        <w:tc>
          <w:tcPr>
            <w:tcW w:w="680" w:type="dxa"/>
            <w:tcBorders>
              <w:top w:val="single" w:color="000000" w:sz="6" w:space="0"/>
              <w:left w:val="single" w:color="000000" w:sz="6" w:space="0"/>
              <w:bottom w:val="single" w:color="000000" w:sz="6" w:space="0"/>
              <w:right w:val="single" w:color="000000" w:sz="6" w:space="0"/>
            </w:tcBorders>
            <w:noWrap/>
            <w:vAlign w:val="center"/>
          </w:tcPr>
          <w:p w14:paraId="7D0DD681">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662" w:type="dxa"/>
            <w:tcBorders>
              <w:top w:val="single" w:color="000000" w:sz="6" w:space="0"/>
              <w:left w:val="single" w:color="000000" w:sz="6" w:space="0"/>
              <w:bottom w:val="single" w:color="000000" w:sz="6" w:space="0"/>
              <w:right w:val="single" w:color="000000" w:sz="6" w:space="0"/>
            </w:tcBorders>
            <w:noWrap/>
            <w:vAlign w:val="center"/>
          </w:tcPr>
          <w:p w14:paraId="12712AB1">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1）检查有无损坏，发现问题及时处理。</w:t>
            </w:r>
          </w:p>
        </w:tc>
      </w:tr>
      <w:tr w14:paraId="07FDE456">
        <w:tblPrEx>
          <w:tblCellMar>
            <w:top w:w="0" w:type="dxa"/>
            <w:left w:w="108" w:type="dxa"/>
            <w:bottom w:w="0" w:type="dxa"/>
            <w:right w:w="108" w:type="dxa"/>
          </w:tblCellMar>
        </w:tblPrEx>
        <w:trPr>
          <w:trHeight w:val="20" w:hRule="atLeast"/>
          <w:jc w:val="center"/>
        </w:trPr>
        <w:tc>
          <w:tcPr>
            <w:tcW w:w="1675" w:type="dxa"/>
            <w:tcBorders>
              <w:top w:val="single" w:color="000000" w:sz="6" w:space="0"/>
              <w:left w:val="single" w:color="000000" w:sz="6" w:space="0"/>
              <w:bottom w:val="single" w:color="000000" w:sz="6" w:space="0"/>
              <w:right w:val="single" w:color="000000" w:sz="6" w:space="0"/>
            </w:tcBorders>
            <w:noWrap/>
            <w:vAlign w:val="center"/>
          </w:tcPr>
          <w:p w14:paraId="7C6ACE19">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地下管网</w:t>
            </w:r>
          </w:p>
        </w:tc>
        <w:tc>
          <w:tcPr>
            <w:tcW w:w="889" w:type="dxa"/>
            <w:tcBorders>
              <w:top w:val="single" w:color="000000" w:sz="6" w:space="0"/>
              <w:left w:val="single" w:color="000000" w:sz="6" w:space="0"/>
              <w:bottom w:val="single" w:color="000000" w:sz="6" w:space="0"/>
              <w:right w:val="single" w:color="000000" w:sz="6" w:space="0"/>
            </w:tcBorders>
            <w:noWrap/>
            <w:vAlign w:val="center"/>
          </w:tcPr>
          <w:p w14:paraId="61EE01BE">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每半年</w:t>
            </w:r>
          </w:p>
        </w:tc>
        <w:tc>
          <w:tcPr>
            <w:tcW w:w="680" w:type="dxa"/>
            <w:tcBorders>
              <w:top w:val="single" w:color="000000" w:sz="6" w:space="0"/>
              <w:left w:val="single" w:color="000000" w:sz="6" w:space="0"/>
              <w:bottom w:val="single" w:color="000000" w:sz="6" w:space="0"/>
              <w:right w:val="single" w:color="000000" w:sz="6" w:space="0"/>
            </w:tcBorders>
            <w:noWrap/>
            <w:vAlign w:val="center"/>
          </w:tcPr>
          <w:p w14:paraId="505835C8">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662" w:type="dxa"/>
            <w:tcBorders>
              <w:top w:val="single" w:color="000000" w:sz="6" w:space="0"/>
              <w:left w:val="single" w:color="000000" w:sz="6" w:space="0"/>
              <w:bottom w:val="single" w:color="000000" w:sz="6" w:space="0"/>
              <w:right w:val="single" w:color="000000" w:sz="6" w:space="0"/>
            </w:tcBorders>
            <w:noWrap/>
            <w:vAlign w:val="top"/>
          </w:tcPr>
          <w:p w14:paraId="4F9B16DE">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1）管道刷漆。</w:t>
            </w:r>
          </w:p>
          <w:p w14:paraId="78F95237">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2）检查管道保温层有无损坏。</w:t>
            </w:r>
          </w:p>
          <w:p w14:paraId="2551558F">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3）管网支架完好。</w:t>
            </w:r>
          </w:p>
          <w:p w14:paraId="03CE90A1">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4）检查或更换管网。</w:t>
            </w:r>
          </w:p>
          <w:p w14:paraId="422961FA">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5）发现异常及时修复。</w:t>
            </w:r>
          </w:p>
        </w:tc>
      </w:tr>
    </w:tbl>
    <w:p w14:paraId="7ED44D0C">
      <w:pPr>
        <w:numPr>
          <w:ilvl w:val="-1"/>
          <w:numId w:val="0"/>
        </w:numPr>
        <w:snapToGrid/>
        <w:spacing w:line="360" w:lineRule="auto"/>
        <w:ind w:left="0" w:leftChars="0" w:firstLine="0" w:firstLineChars="0"/>
        <w:rPr>
          <w:rFonts w:hint="eastAsia" w:ascii="宋体" w:hAnsi="宋体" w:eastAsia="宋体" w:cs="宋体"/>
          <w:color w:val="auto"/>
          <w:sz w:val="21"/>
          <w:szCs w:val="21"/>
          <w:highlight w:val="none"/>
        </w:rPr>
      </w:pPr>
    </w:p>
    <w:p w14:paraId="596F0B11">
      <w:pPr>
        <w:bidi w:val="0"/>
        <w:spacing w:line="360" w:lineRule="auto"/>
        <w:ind w:firstLine="422" w:firstLineChars="200"/>
        <w:outlineLvl w:val="3"/>
        <w:rPr>
          <w:rFonts w:hint="eastAsia" w:ascii="宋体" w:hAnsi="宋体" w:eastAsia="宋体" w:cs="宋体"/>
          <w:b/>
          <w:bCs/>
          <w:color w:val="auto"/>
          <w:sz w:val="21"/>
          <w:szCs w:val="21"/>
          <w:lang w:val="en-US" w:eastAsia="zh-CN"/>
        </w:rPr>
      </w:pPr>
      <w:bookmarkStart w:id="666" w:name="_Toc7245"/>
      <w:bookmarkStart w:id="667" w:name="_Toc23887"/>
      <w:bookmarkStart w:id="668" w:name="_Toc32475"/>
      <w:bookmarkStart w:id="669" w:name="_Toc8670"/>
      <w:bookmarkStart w:id="670" w:name="_Toc32054"/>
      <w:r>
        <w:rPr>
          <w:rFonts w:hint="eastAsia" w:ascii="宋体" w:hAnsi="宋体" w:eastAsia="宋体" w:cs="宋体"/>
          <w:b/>
          <w:bCs/>
          <w:color w:val="auto"/>
          <w:sz w:val="21"/>
          <w:szCs w:val="21"/>
          <w:lang w:val="en-US" w:eastAsia="zh-CN"/>
        </w:rPr>
        <w:t>2.2.13日常物业维修及物业使用人装修管理</w:t>
      </w:r>
      <w:bookmarkEnd w:id="666"/>
      <w:bookmarkEnd w:id="667"/>
      <w:bookmarkEnd w:id="668"/>
      <w:bookmarkEnd w:id="669"/>
      <w:bookmarkEnd w:id="670"/>
    </w:p>
    <w:p w14:paraId="46294BB7">
      <w:pPr>
        <w:numPr>
          <w:ilvl w:val="0"/>
          <w:numId w:val="17"/>
        </w:numPr>
        <w:snapToGrid w:val="0"/>
        <w:spacing w:line="360" w:lineRule="auto"/>
        <w:ind w:left="0" w:firstLine="420"/>
        <w:rPr>
          <w:rFonts w:hint="eastAsia" w:ascii="宋体" w:hAnsi="宋体" w:eastAsia="宋体" w:cs="宋体"/>
          <w:color w:val="auto"/>
          <w:sz w:val="21"/>
          <w:szCs w:val="21"/>
        </w:rPr>
      </w:pPr>
      <w:r>
        <w:rPr>
          <w:rFonts w:hint="eastAsia" w:ascii="宋体" w:hAnsi="宋体" w:eastAsia="宋体" w:cs="宋体"/>
          <w:color w:val="auto"/>
          <w:sz w:val="21"/>
          <w:szCs w:val="21"/>
        </w:rPr>
        <w:t>根据《装修管理协议》的有关规定办理物业使用人的进场装修手续，做到装修现场井然有序，对其它物业使用人造成不良影响或有投诉的事项应积极协调。</w:t>
      </w:r>
    </w:p>
    <w:p w14:paraId="23862FD1">
      <w:pPr>
        <w:numPr>
          <w:ilvl w:val="0"/>
          <w:numId w:val="17"/>
        </w:numPr>
        <w:snapToGrid w:val="0"/>
        <w:spacing w:line="360" w:lineRule="auto"/>
        <w:ind w:left="0" w:firstLine="420"/>
        <w:rPr>
          <w:rFonts w:hint="eastAsia" w:ascii="宋体" w:hAnsi="宋体" w:eastAsia="宋体" w:cs="宋体"/>
          <w:color w:val="auto"/>
          <w:sz w:val="21"/>
          <w:szCs w:val="21"/>
        </w:rPr>
      </w:pPr>
      <w:r>
        <w:rPr>
          <w:rFonts w:hint="eastAsia" w:ascii="宋体" w:hAnsi="宋体" w:eastAsia="宋体" w:cs="宋体"/>
          <w:color w:val="auto"/>
          <w:sz w:val="21"/>
          <w:szCs w:val="21"/>
        </w:rPr>
        <w:t>物业使用人的装修图纸或审批等有关施工资料按法律法规或相关行政管理规定应报批国家或当地有关行政管理部门的，中标人应督促物业使用人报批国家或当地有关行政管理部门审批通过后方可允许施工，否则因物业使用人违法施工造成的一切后果均由中标人承担连带责任。</w:t>
      </w:r>
    </w:p>
    <w:p w14:paraId="34C876A9">
      <w:pPr>
        <w:numPr>
          <w:ilvl w:val="0"/>
          <w:numId w:val="17"/>
        </w:numPr>
        <w:snapToGrid w:val="0"/>
        <w:spacing w:line="360" w:lineRule="auto"/>
        <w:ind w:left="0" w:firstLine="420"/>
        <w:rPr>
          <w:rFonts w:hint="eastAsia" w:ascii="宋体" w:hAnsi="宋体" w:eastAsia="宋体" w:cs="宋体"/>
          <w:color w:val="auto"/>
          <w:sz w:val="21"/>
          <w:szCs w:val="21"/>
        </w:rPr>
      </w:pPr>
      <w:r>
        <w:rPr>
          <w:rFonts w:hint="eastAsia" w:ascii="宋体" w:hAnsi="宋体" w:eastAsia="宋体" w:cs="宋体"/>
          <w:color w:val="auto"/>
          <w:sz w:val="21"/>
          <w:szCs w:val="21"/>
        </w:rPr>
        <w:t>物业使用人装修施工现场管理</w:t>
      </w:r>
    </w:p>
    <w:p w14:paraId="477CF56F">
      <w:pPr>
        <w:numPr>
          <w:ilvl w:val="-1"/>
          <w:numId w:val="0"/>
        </w:numPr>
        <w:snapToGrid w:val="0"/>
        <w:spacing w:line="360" w:lineRule="auto"/>
        <w:ind w:left="0" w:firstLine="420" w:firstLineChars="20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禁止物业使用人及任何使用单位拆改房屋主体和承重结构，禁止在楼宇外墙、承重墙、梁柱上开孔，禁止改变房屋及公共配套设施的使用功能。</w:t>
      </w:r>
    </w:p>
    <w:p w14:paraId="1E0B1CAB">
      <w:pPr>
        <w:pStyle w:val="18"/>
        <w:numPr>
          <w:ilvl w:val="-1"/>
          <w:numId w:val="0"/>
        </w:numPr>
        <w:snapToGrid w:val="0"/>
        <w:spacing w:line="360" w:lineRule="auto"/>
        <w:ind w:left="0" w:right="0" w:firstLine="420" w:firstLineChars="200"/>
        <w:jc w:val="left"/>
        <w:rPr>
          <w:rFonts w:hint="eastAsia" w:ascii="宋体" w:hAnsi="宋体" w:eastAsia="宋体" w:cs="宋体"/>
          <w:b w:val="0"/>
          <w:bCs w:val="0"/>
          <w:color w:val="auto"/>
          <w:sz w:val="21"/>
          <w:szCs w:val="21"/>
        </w:rPr>
      </w:pPr>
      <w:r>
        <w:rPr>
          <w:rFonts w:hint="eastAsia" w:hAnsi="宋体" w:cs="宋体"/>
          <w:b w:val="0"/>
          <w:bCs w:val="0"/>
          <w:color w:val="auto"/>
          <w:sz w:val="21"/>
          <w:szCs w:val="21"/>
          <w:lang w:val="en-US" w:eastAsia="zh-CN"/>
        </w:rPr>
        <w:t>2)</w:t>
      </w:r>
      <w:r>
        <w:rPr>
          <w:rFonts w:hint="eastAsia" w:ascii="宋体" w:hAnsi="宋体" w:eastAsia="宋体" w:cs="宋体"/>
          <w:b w:val="0"/>
          <w:bCs w:val="0"/>
          <w:color w:val="auto"/>
          <w:sz w:val="21"/>
          <w:szCs w:val="21"/>
          <w:lang w:val="en-US"/>
        </w:rPr>
        <w:t>中标人</w:t>
      </w:r>
      <w:r>
        <w:rPr>
          <w:rFonts w:hint="eastAsia" w:ascii="宋体" w:hAnsi="宋体" w:eastAsia="宋体" w:cs="宋体"/>
          <w:b w:val="0"/>
          <w:bCs w:val="0"/>
          <w:color w:val="auto"/>
          <w:sz w:val="21"/>
          <w:szCs w:val="21"/>
        </w:rPr>
        <w:t>每日至少2次对物业使用人装修现场进行安全、环境等方面的巡查和监督，并填写《装修现场巡查记录表》</w:t>
      </w:r>
      <w:r>
        <w:rPr>
          <w:rFonts w:hint="eastAsia" w:hAnsi="宋体" w:cs="宋体"/>
          <w:b w:val="0"/>
          <w:bCs w:val="0"/>
          <w:color w:val="auto"/>
          <w:sz w:val="21"/>
          <w:szCs w:val="21"/>
          <w:lang w:val="en-US" w:eastAsia="zh-CN"/>
        </w:rPr>
        <w:t>同时保留现场照片</w:t>
      </w:r>
      <w:r>
        <w:rPr>
          <w:rFonts w:hint="eastAsia" w:ascii="宋体" w:hAnsi="宋体" w:eastAsia="宋体" w:cs="宋体"/>
          <w:b w:val="0"/>
          <w:bCs w:val="0"/>
          <w:color w:val="auto"/>
          <w:sz w:val="21"/>
          <w:szCs w:val="21"/>
        </w:rPr>
        <w:t>。发现违规装修、违规操作等行为应及时制止并报告招标人，要求装修现场限时整改并监督整改结果，确保装修现场安全施工。</w:t>
      </w:r>
    </w:p>
    <w:p w14:paraId="20C1A4A1">
      <w:pPr>
        <w:numPr>
          <w:ilvl w:val="-1"/>
          <w:numId w:val="0"/>
        </w:numPr>
        <w:snapToGrid w:val="0"/>
        <w:spacing w:line="360" w:lineRule="auto"/>
        <w:ind w:left="0" w:firstLine="420" w:firstLineChars="20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做好装修现场环境管理工作，采取有效的防尘降噪措施，对装修现场的噪音、扬尘等进行检测，每天产生的装修垃圾及时清运，保持现场清洁整齐。</w:t>
      </w:r>
    </w:p>
    <w:p w14:paraId="3E748EB7">
      <w:pPr>
        <w:numPr>
          <w:ilvl w:val="-1"/>
          <w:numId w:val="0"/>
        </w:numPr>
        <w:snapToGrid w:val="0"/>
        <w:spacing w:line="360" w:lineRule="auto"/>
        <w:ind w:left="0" w:firstLine="420" w:firstLineChars="20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rPr>
        <w:t>施工过程中，必须保证有物业使用人或施工单位管理人员在现场值班，不得空岗。</w:t>
      </w:r>
    </w:p>
    <w:p w14:paraId="0A9ACB19">
      <w:pPr>
        <w:numPr>
          <w:ilvl w:val="-1"/>
          <w:numId w:val="0"/>
        </w:numPr>
        <w:snapToGrid w:val="0"/>
        <w:spacing w:line="360" w:lineRule="auto"/>
        <w:ind w:left="0" w:firstLine="420" w:firstLineChars="20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进入施工现场的人员必须按规定佩戴安全帽，并系下颌带。凡从事2米以上高处作业人员必须系安全绳，安全绳上端固定应牢固可靠，使用时安全绳应基本保持垂直于地，作业人员身后余绳不得超过1米，禁止两人同时使用一条安全绳，并且专人看守。</w:t>
      </w:r>
    </w:p>
    <w:p w14:paraId="56CD0335">
      <w:pPr>
        <w:numPr>
          <w:ilvl w:val="-1"/>
          <w:numId w:val="0"/>
        </w:numPr>
        <w:snapToGrid w:val="0"/>
        <w:spacing w:line="360" w:lineRule="auto"/>
        <w:ind w:left="0" w:firstLine="420" w:firstLineChars="20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参加现场施工的所有特殊工种人员必须持证上岗，并复印证件报中标人备案。</w:t>
      </w:r>
    </w:p>
    <w:p w14:paraId="01B05C29">
      <w:pPr>
        <w:pStyle w:val="18"/>
        <w:numPr>
          <w:ilvl w:val="-1"/>
          <w:numId w:val="0"/>
        </w:numPr>
        <w:snapToGrid w:val="0"/>
        <w:spacing w:line="360" w:lineRule="auto"/>
        <w:ind w:left="0" w:right="0" w:firstLine="420" w:firstLineChars="200"/>
        <w:jc w:val="left"/>
        <w:rPr>
          <w:rFonts w:hint="eastAsia" w:ascii="宋体" w:hAnsi="宋体" w:eastAsia="宋体" w:cs="宋体"/>
          <w:b w:val="0"/>
          <w:bCs w:val="0"/>
          <w:color w:val="auto"/>
          <w:sz w:val="21"/>
          <w:szCs w:val="21"/>
        </w:rPr>
      </w:pPr>
      <w:r>
        <w:rPr>
          <w:rFonts w:hint="eastAsia" w:hAnsi="宋体" w:cs="宋体"/>
          <w:b w:val="0"/>
          <w:bCs w:val="0"/>
          <w:color w:val="auto"/>
          <w:sz w:val="21"/>
          <w:szCs w:val="21"/>
          <w:lang w:val="en-US" w:eastAsia="zh-CN"/>
        </w:rPr>
        <w:t>6)</w:t>
      </w:r>
      <w:r>
        <w:rPr>
          <w:rFonts w:hint="eastAsia" w:ascii="宋体" w:hAnsi="宋体" w:eastAsia="宋体" w:cs="宋体"/>
          <w:b w:val="0"/>
          <w:bCs w:val="0"/>
          <w:color w:val="auto"/>
          <w:sz w:val="21"/>
          <w:szCs w:val="21"/>
        </w:rPr>
        <w:t>施工现场各类标牌和警示标志齐全醒目。高处作业所使用的工具和所持电缆、水管等材料等必须有可靠的防坠措施，现场区域应保证四周环境的安全，其作业下方应设置警戒线，在醒目处应设置“禁止入内”的标志牌。</w:t>
      </w:r>
    </w:p>
    <w:p w14:paraId="473C1E04">
      <w:pPr>
        <w:pStyle w:val="18"/>
        <w:numPr>
          <w:ilvl w:val="-1"/>
          <w:numId w:val="0"/>
        </w:numPr>
        <w:snapToGrid w:val="0"/>
        <w:spacing w:line="360" w:lineRule="auto"/>
        <w:ind w:left="0" w:right="0" w:firstLine="420" w:firstLineChars="200"/>
        <w:jc w:val="left"/>
        <w:rPr>
          <w:rFonts w:hint="eastAsia" w:ascii="宋体" w:hAnsi="宋体" w:eastAsia="宋体" w:cs="宋体"/>
          <w:b w:val="0"/>
          <w:bCs w:val="0"/>
          <w:color w:val="auto"/>
          <w:sz w:val="21"/>
          <w:szCs w:val="21"/>
        </w:rPr>
      </w:pPr>
      <w:r>
        <w:rPr>
          <w:rFonts w:hint="eastAsia" w:hAnsi="宋体" w:cs="宋体"/>
          <w:b w:val="0"/>
          <w:bCs w:val="0"/>
          <w:color w:val="auto"/>
          <w:sz w:val="21"/>
          <w:szCs w:val="21"/>
          <w:lang w:val="en-US" w:eastAsia="zh-CN"/>
        </w:rPr>
        <w:t>7)</w:t>
      </w:r>
      <w:r>
        <w:rPr>
          <w:rFonts w:hint="eastAsia" w:ascii="宋体" w:hAnsi="宋体" w:eastAsia="宋体" w:cs="宋体"/>
          <w:b w:val="0"/>
          <w:bCs w:val="0"/>
          <w:color w:val="auto"/>
          <w:sz w:val="21"/>
          <w:szCs w:val="21"/>
        </w:rPr>
        <w:t>所有装修材料及装修垃圾须在规定时间内，通过指定通道运输并在指定区域内起卸，严禁堆放在其他公共区域，确保不影响其他区域办公，发现违规情况及时制止。</w:t>
      </w:r>
    </w:p>
    <w:p w14:paraId="44547270">
      <w:pPr>
        <w:numPr>
          <w:ilvl w:val="-1"/>
          <w:numId w:val="0"/>
        </w:numPr>
        <w:snapToGrid w:val="0"/>
        <w:spacing w:line="360" w:lineRule="auto"/>
        <w:ind w:left="0" w:firstLine="420" w:firstLineChars="200"/>
        <w:jc w:val="left"/>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8)</w:t>
      </w:r>
      <w:r>
        <w:rPr>
          <w:rFonts w:hint="eastAsia" w:ascii="宋体" w:hAnsi="宋体" w:eastAsia="宋体" w:cs="宋体"/>
          <w:b w:val="0"/>
          <w:bCs w:val="0"/>
          <w:color w:val="auto"/>
          <w:sz w:val="21"/>
          <w:szCs w:val="21"/>
        </w:rPr>
        <w:t>装修施工结束时，中标人应对物业使用人装修现场及相关区域进行全面检查，确保物业使用人装修所涉区域清洁完成。督促物业使用人和施工单位完成二次消防验收手续，如发现问题需要求</w:t>
      </w:r>
      <w:bookmarkStart w:id="671" w:name="OLE_LINK1"/>
      <w:r>
        <w:rPr>
          <w:rFonts w:hint="eastAsia" w:ascii="宋体" w:hAnsi="宋体" w:eastAsia="宋体" w:cs="宋体"/>
          <w:color w:val="auto"/>
          <w:sz w:val="21"/>
          <w:szCs w:val="21"/>
        </w:rPr>
        <w:t>物业使用人和施工单位</w:t>
      </w:r>
      <w:bookmarkEnd w:id="671"/>
      <w:r>
        <w:rPr>
          <w:rFonts w:hint="eastAsia" w:ascii="宋体" w:hAnsi="宋体" w:eastAsia="宋体" w:cs="宋体"/>
          <w:color w:val="auto"/>
          <w:sz w:val="21"/>
          <w:szCs w:val="21"/>
        </w:rPr>
        <w:t>进行整改直至验收合格，方可办理装修退场手续。</w:t>
      </w:r>
    </w:p>
    <w:p w14:paraId="2D0C384C">
      <w:pPr>
        <w:numPr>
          <w:ilvl w:val="-1"/>
          <w:numId w:val="0"/>
        </w:numPr>
        <w:snapToGrid w:val="0"/>
        <w:spacing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物业使用人装修完成且消防验收合格后向物业使用人收集二次装修施工图（含给排水、电气、空调等）、二次消防验收报告等资料，并进行整理、归档。</w:t>
      </w:r>
    </w:p>
    <w:p w14:paraId="38851E3B">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eastAsia="宋体" w:cs="宋体"/>
          <w:b/>
          <w:bCs/>
          <w:color w:val="auto"/>
          <w:sz w:val="21"/>
          <w:szCs w:val="21"/>
          <w:highlight w:val="none"/>
          <w:lang w:eastAsia="zh-CN"/>
        </w:rPr>
      </w:pPr>
      <w:bookmarkStart w:id="672" w:name="_Toc7238"/>
      <w:bookmarkStart w:id="673" w:name="_Toc9045"/>
      <w:bookmarkStart w:id="674" w:name="_Toc25499"/>
      <w:r>
        <w:rPr>
          <w:rFonts w:hint="eastAsia" w:ascii="宋体" w:hAnsi="宋体" w:eastAsia="宋体" w:cs="宋体"/>
          <w:b/>
          <w:bCs/>
          <w:color w:val="auto"/>
          <w:sz w:val="21"/>
          <w:szCs w:val="21"/>
          <w:lang w:val="en-US" w:eastAsia="zh-CN"/>
        </w:rPr>
        <w:t>2.2.14</w:t>
      </w:r>
      <w:r>
        <w:rPr>
          <w:rFonts w:hint="eastAsia" w:ascii="宋体" w:hAnsi="宋体" w:eastAsia="宋体" w:cs="宋体"/>
          <w:b/>
          <w:bCs/>
          <w:color w:val="auto"/>
          <w:sz w:val="21"/>
          <w:szCs w:val="21"/>
          <w:highlight w:val="none"/>
          <w:lang w:eastAsia="zh-CN"/>
        </w:rPr>
        <w:t>其它</w:t>
      </w:r>
      <w:r>
        <w:rPr>
          <w:rFonts w:hint="eastAsia" w:ascii="宋体" w:hAnsi="宋体" w:eastAsia="宋体" w:cs="宋体"/>
          <w:b/>
          <w:bCs/>
          <w:color w:val="auto"/>
          <w:sz w:val="21"/>
          <w:szCs w:val="21"/>
          <w:lang w:val="en-US" w:eastAsia="zh-CN"/>
        </w:rPr>
        <w:t>服务</w:t>
      </w:r>
      <w:bookmarkEnd w:id="672"/>
      <w:bookmarkEnd w:id="673"/>
      <w:bookmarkEnd w:id="674"/>
    </w:p>
    <w:p w14:paraId="000FAFAE">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协助招标人管理固定资产。</w:t>
      </w:r>
    </w:p>
    <w:p w14:paraId="01AA21CE">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Cs/>
          <w:color w:val="auto"/>
          <w:sz w:val="21"/>
          <w:szCs w:val="21"/>
          <w:highlight w:val="none"/>
          <w:lang w:eastAsia="zh-CN"/>
        </w:rPr>
        <w:t>协助招标</w:t>
      </w:r>
      <w:r>
        <w:rPr>
          <w:rFonts w:hint="eastAsia" w:ascii="宋体" w:hAnsi="宋体" w:eastAsia="宋体" w:cs="宋体"/>
          <w:b w:val="0"/>
          <w:bCs/>
          <w:color w:val="auto"/>
          <w:sz w:val="21"/>
          <w:szCs w:val="21"/>
          <w:highlight w:val="none"/>
          <w:lang w:eastAsia="zh-CN"/>
        </w:rPr>
        <w:t>人办理办公用房交接登记。</w:t>
      </w:r>
    </w:p>
    <w:p w14:paraId="58FB71C5">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 xml:space="preserve">协助招标人及物业使用人临时搬运物资。 </w:t>
      </w:r>
    </w:p>
    <w:p w14:paraId="1ACBDD07">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中标人要建立资料的收集、分类整理、归档管理制度。</w:t>
      </w:r>
    </w:p>
    <w:p w14:paraId="636E7B46">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在日常管理中要建立交接班、项目故障与维修、保养等登记制度。</w:t>
      </w:r>
    </w:p>
    <w:p w14:paraId="6BFA9C0A">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档案资料包括：与物业相关的工程图纸、档案和竣工验收资料：实施管理和服务工作中的各种制度、规程、流程、记录、图表、函件等。</w:t>
      </w:r>
    </w:p>
    <w:p w14:paraId="5BF427D1">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协助招标人其它临时性的事务。</w:t>
      </w:r>
    </w:p>
    <w:p w14:paraId="19BCC2DB">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中标人的物业管理人员须具备符合国家或行业规定的相关证件，</w:t>
      </w:r>
      <w:r>
        <w:rPr>
          <w:rFonts w:hint="eastAsia" w:ascii="宋体" w:hAnsi="宋体" w:eastAsia="宋体" w:cs="宋体"/>
          <w:b w:val="0"/>
          <w:bCs/>
          <w:color w:val="auto"/>
          <w:sz w:val="21"/>
          <w:szCs w:val="21"/>
          <w:highlight w:val="none"/>
          <w:lang w:val="en-US" w:eastAsia="zh-CN"/>
        </w:rPr>
        <w:t>无</w:t>
      </w:r>
      <w:r>
        <w:rPr>
          <w:rFonts w:hint="eastAsia" w:ascii="宋体" w:hAnsi="宋体" w:eastAsia="宋体" w:cs="宋体"/>
          <w:b w:val="0"/>
          <w:bCs/>
          <w:color w:val="auto"/>
          <w:sz w:val="21"/>
          <w:szCs w:val="21"/>
          <w:highlight w:val="none"/>
          <w:lang w:eastAsia="zh-CN"/>
        </w:rPr>
        <w:t>刑事犯罪记录，重要岗位人员聘用要经招标人审定。</w:t>
      </w:r>
    </w:p>
    <w:p w14:paraId="4EBBD2CA">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管理范围内，财物、设备及资料有被盗遗失情况的，中标人负责照价赔偿，资料补办手续费用一切由中标人负责。造成严重后果的追究其相关的值班人员的刑事责任。</w:t>
      </w:r>
    </w:p>
    <w:p w14:paraId="003F2C18">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如有需要，中标人的物业管理人员须听从招标人调动指挥。</w:t>
      </w:r>
    </w:p>
    <w:p w14:paraId="42141C75">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eastAsia="zh-CN"/>
        </w:rPr>
        <w:t>在合同生效期间内，中标人员工发生纠纷或伤亡事故，与招标人无关，中标人自行负责解决。</w:t>
      </w:r>
    </w:p>
    <w:p w14:paraId="1E2C3184">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协助招标人进行水电费、租金等催缴工作。</w:t>
      </w:r>
    </w:p>
    <w:p w14:paraId="10FC7A99">
      <w:pPr>
        <w:pStyle w:val="4"/>
        <w:bidi w:val="0"/>
        <w:spacing w:line="360" w:lineRule="auto"/>
        <w:ind w:firstLine="422" w:firstLineChars="200"/>
        <w:jc w:val="left"/>
        <w:rPr>
          <w:rFonts w:hint="eastAsia" w:ascii="宋体" w:hAnsi="宋体" w:eastAsia="宋体" w:cs="宋体"/>
          <w:b/>
          <w:bCs w:val="0"/>
          <w:color w:val="auto"/>
          <w:sz w:val="21"/>
          <w:szCs w:val="21"/>
          <w:highlight w:val="none"/>
          <w:lang w:val="en-US" w:eastAsia="zh-CN"/>
        </w:rPr>
      </w:pPr>
      <w:bookmarkStart w:id="675" w:name="_Toc17856"/>
      <w:bookmarkStart w:id="676" w:name="_Toc32448"/>
      <w:bookmarkStart w:id="677" w:name="_Toc26834"/>
      <w:bookmarkStart w:id="678" w:name="_Toc16506"/>
      <w:bookmarkStart w:id="679" w:name="_Toc4821"/>
      <w:r>
        <w:rPr>
          <w:rFonts w:hint="eastAsia" w:ascii="宋体" w:hAnsi="宋体" w:eastAsia="宋体" w:cs="宋体"/>
          <w:b/>
          <w:bCs w:val="0"/>
          <w:color w:val="auto"/>
          <w:sz w:val="21"/>
          <w:szCs w:val="21"/>
          <w:highlight w:val="none"/>
          <w:lang w:val="en-US" w:eastAsia="zh-CN"/>
        </w:rPr>
        <w:t>2.3</w:t>
      </w:r>
      <w:r>
        <w:rPr>
          <w:rFonts w:hint="eastAsia" w:hAnsi="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lang w:val="en-US" w:eastAsia="zh-CN"/>
        </w:rPr>
        <w:t>实施地点</w:t>
      </w:r>
      <w:bookmarkEnd w:id="675"/>
      <w:bookmarkEnd w:id="676"/>
      <w:bookmarkEnd w:id="677"/>
      <w:bookmarkEnd w:id="678"/>
      <w:bookmarkEnd w:id="679"/>
    </w:p>
    <w:p w14:paraId="05EC3477">
      <w:pPr>
        <w:pStyle w:val="18"/>
        <w:spacing w:line="360" w:lineRule="auto"/>
        <w:ind w:firstLine="420" w:firstLineChars="200"/>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本项目实施地点为广东省东莞市南城街道宏北路16号水业大厦。</w:t>
      </w:r>
    </w:p>
    <w:p w14:paraId="58F97F11">
      <w:pPr>
        <w:pStyle w:val="2"/>
        <w:adjustRightInd w:val="0"/>
        <w:snapToGrid w:val="0"/>
        <w:spacing w:line="360" w:lineRule="auto"/>
        <w:jc w:val="left"/>
        <w:rPr>
          <w:rFonts w:hint="eastAsia" w:ascii="宋体" w:hAnsi="宋体" w:eastAsia="宋体" w:cs="宋体"/>
          <w:b/>
          <w:bCs w:val="0"/>
          <w:color w:val="auto"/>
          <w:sz w:val="21"/>
          <w:szCs w:val="21"/>
          <w:highlight w:val="none"/>
          <w:lang w:val="en-US" w:eastAsia="zh-CN"/>
        </w:rPr>
      </w:pPr>
      <w:bookmarkStart w:id="680" w:name="_Toc30634"/>
      <w:bookmarkStart w:id="681" w:name="_Toc10513"/>
      <w:bookmarkStart w:id="682" w:name="_Toc1793"/>
      <w:bookmarkStart w:id="683" w:name="_Toc8208"/>
      <w:bookmarkStart w:id="684" w:name="_Toc6625"/>
      <w:bookmarkStart w:id="685" w:name="_Toc8423"/>
      <w:r>
        <w:rPr>
          <w:rFonts w:hint="eastAsia" w:ascii="宋体" w:hAnsi="宋体" w:eastAsia="宋体" w:cs="宋体"/>
          <w:b/>
          <w:bCs w:val="0"/>
          <w:color w:val="auto"/>
          <w:sz w:val="21"/>
          <w:szCs w:val="21"/>
          <w:highlight w:val="none"/>
          <w:lang w:val="en-US" w:eastAsia="zh-CN"/>
        </w:rPr>
        <w:t>三、服务期限</w:t>
      </w:r>
      <w:bookmarkEnd w:id="680"/>
      <w:bookmarkEnd w:id="681"/>
      <w:bookmarkEnd w:id="682"/>
      <w:bookmarkEnd w:id="683"/>
      <w:bookmarkEnd w:id="684"/>
    </w:p>
    <w:p w14:paraId="6774BD1A">
      <w:pPr>
        <w:spacing w:line="360" w:lineRule="auto"/>
        <w:ind w:firstLine="42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auto"/>
          <w:sz w:val="21"/>
          <w:szCs w:val="21"/>
          <w:lang w:val="en-US" w:eastAsia="zh-CN"/>
        </w:rPr>
        <w:t>自招标人书面通知中标人进场之日起至2027年12月31日</w:t>
      </w:r>
      <w:r>
        <w:rPr>
          <w:rFonts w:hint="eastAsia" w:ascii="宋体" w:hAnsi="宋体" w:eastAsia="宋体" w:cs="宋体"/>
          <w:b w:val="0"/>
          <w:bCs/>
          <w:color w:val="auto"/>
          <w:kern w:val="2"/>
          <w:sz w:val="21"/>
          <w:szCs w:val="21"/>
          <w:highlight w:val="none"/>
          <w:lang w:val="en-US" w:eastAsia="zh-CN" w:bidi="ar-SA"/>
        </w:rPr>
        <w:t>。</w:t>
      </w:r>
    </w:p>
    <w:p w14:paraId="137FA1C8">
      <w:pPr>
        <w:pStyle w:val="2"/>
        <w:adjustRightInd w:val="0"/>
        <w:snapToGrid w:val="0"/>
        <w:spacing w:line="360" w:lineRule="auto"/>
        <w:jc w:val="left"/>
        <w:rPr>
          <w:rFonts w:hint="eastAsia" w:ascii="宋体" w:hAnsi="宋体" w:eastAsia="宋体" w:cs="宋体"/>
          <w:b/>
          <w:bCs w:val="0"/>
          <w:color w:val="auto"/>
          <w:sz w:val="21"/>
          <w:szCs w:val="21"/>
          <w:highlight w:val="none"/>
          <w:lang w:val="en-US" w:eastAsia="zh-CN"/>
        </w:rPr>
      </w:pPr>
      <w:bookmarkStart w:id="686" w:name="_Toc30928"/>
      <w:bookmarkStart w:id="687" w:name="_Toc29379"/>
      <w:bookmarkStart w:id="688" w:name="_Toc11038"/>
      <w:bookmarkStart w:id="689" w:name="_Toc24700"/>
      <w:bookmarkStart w:id="690" w:name="_Toc24767"/>
      <w:r>
        <w:rPr>
          <w:rFonts w:hint="eastAsia" w:ascii="宋体" w:hAnsi="宋体" w:eastAsia="宋体" w:cs="宋体"/>
          <w:b/>
          <w:bCs w:val="0"/>
          <w:color w:val="auto"/>
          <w:sz w:val="21"/>
          <w:szCs w:val="21"/>
          <w:highlight w:val="none"/>
          <w:lang w:val="en-US" w:eastAsia="zh-CN"/>
        </w:rPr>
        <w:t>四、物业服务人员要求</w:t>
      </w:r>
      <w:bookmarkEnd w:id="686"/>
      <w:bookmarkEnd w:id="687"/>
      <w:bookmarkEnd w:id="688"/>
      <w:bookmarkEnd w:id="689"/>
      <w:bookmarkEnd w:id="690"/>
    </w:p>
    <w:p w14:paraId="0595C2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本项目人员配置为65人（入驻率≥70，其中包含招标人集团内部各企业办公区域保洁18人，物业团队人员47人），招标人有权根据项目的实际入驻情况，对于人员数量进行调整，具体以</w:t>
      </w:r>
      <w:r>
        <w:rPr>
          <w:rFonts w:hint="eastAsia" w:ascii="宋体" w:hAnsi="宋体" w:eastAsia="宋体" w:cs="宋体"/>
          <w:color w:val="auto"/>
          <w:sz w:val="21"/>
          <w:szCs w:val="21"/>
          <w:highlight w:val="none"/>
          <w:lang w:val="en-US" w:eastAsia="zh-CN"/>
        </w:rPr>
        <w:t>双方协商为准。物业服务总岗位人数应根据入驻率不超过下表人数配置，入驻率=已入驻面积/计容面积（不含地下车库）。</w:t>
      </w:r>
    </w:p>
    <w:p w14:paraId="71FA805A">
      <w:pPr>
        <w:keepNext w:val="0"/>
        <w:keepLines w:val="0"/>
        <w:pageBreakBefore w:val="0"/>
        <w:widowControl w:val="0"/>
        <w:numPr>
          <w:ilvl w:val="0"/>
          <w:numId w:val="19"/>
        </w:numPr>
        <w:kinsoku/>
        <w:wordWrap/>
        <w:overflowPunct/>
        <w:topLinePunct w:val="0"/>
        <w:autoSpaceDE/>
        <w:autoSpaceDN/>
        <w:bidi w:val="0"/>
        <w:adjustRightInd w:val="0"/>
        <w:snapToGrid w:val="0"/>
        <w:spacing w:before="163" w:beforeLines="50"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人员配置如下：</w:t>
      </w:r>
    </w:p>
    <w:tbl>
      <w:tblPr>
        <w:tblStyle w:val="41"/>
        <w:tblW w:w="50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3"/>
        <w:gridCol w:w="661"/>
        <w:gridCol w:w="786"/>
        <w:gridCol w:w="846"/>
        <w:gridCol w:w="1095"/>
        <w:gridCol w:w="3707"/>
        <w:gridCol w:w="2743"/>
      </w:tblGrid>
      <w:tr w14:paraId="07369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blHeader/>
          <w:jc w:val="center"/>
        </w:trPr>
        <w:tc>
          <w:tcPr>
            <w:tcW w:w="261" w:type="pct"/>
            <w:vMerge w:val="restart"/>
            <w:tcBorders>
              <w:tl2br w:val="nil"/>
              <w:tr2bl w:val="nil"/>
            </w:tcBorders>
            <w:shd w:val="clear" w:color="auto" w:fill="auto"/>
            <w:vAlign w:val="center"/>
          </w:tcPr>
          <w:p w14:paraId="42176093">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序号</w:t>
            </w:r>
          </w:p>
        </w:tc>
        <w:tc>
          <w:tcPr>
            <w:tcW w:w="318" w:type="pct"/>
            <w:vMerge w:val="restart"/>
            <w:tcBorders>
              <w:tl2br w:val="nil"/>
              <w:tr2bl w:val="nil"/>
            </w:tcBorders>
            <w:shd w:val="clear" w:color="auto" w:fill="auto"/>
            <w:vAlign w:val="center"/>
          </w:tcPr>
          <w:p w14:paraId="282F9222">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线条</w:t>
            </w:r>
          </w:p>
        </w:tc>
        <w:tc>
          <w:tcPr>
            <w:tcW w:w="378" w:type="pct"/>
            <w:vMerge w:val="restart"/>
            <w:tcBorders>
              <w:tl2br w:val="nil"/>
              <w:tr2bl w:val="nil"/>
            </w:tcBorders>
            <w:shd w:val="clear" w:color="auto" w:fill="auto"/>
            <w:vAlign w:val="center"/>
          </w:tcPr>
          <w:p w14:paraId="5ABA0F12">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岗位</w:t>
            </w:r>
          </w:p>
        </w:tc>
        <w:tc>
          <w:tcPr>
            <w:tcW w:w="934" w:type="pct"/>
            <w:gridSpan w:val="2"/>
            <w:tcBorders>
              <w:tl2br w:val="nil"/>
              <w:tr2bl w:val="nil"/>
            </w:tcBorders>
          </w:tcPr>
          <w:p w14:paraId="58149C7F">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入驻率/配备人数</w:t>
            </w:r>
          </w:p>
        </w:tc>
        <w:tc>
          <w:tcPr>
            <w:tcW w:w="1785" w:type="pct"/>
            <w:vMerge w:val="restart"/>
            <w:tcBorders>
              <w:tl2br w:val="nil"/>
              <w:tr2bl w:val="nil"/>
            </w:tcBorders>
            <w:shd w:val="clear" w:color="auto" w:fill="auto"/>
            <w:vAlign w:val="center"/>
          </w:tcPr>
          <w:p w14:paraId="6DCBB011">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岗位职责</w:t>
            </w:r>
          </w:p>
        </w:tc>
        <w:tc>
          <w:tcPr>
            <w:tcW w:w="1321" w:type="pct"/>
            <w:vMerge w:val="restart"/>
            <w:tcBorders>
              <w:tl2br w:val="nil"/>
              <w:tr2bl w:val="nil"/>
            </w:tcBorders>
            <w:shd w:val="clear" w:color="auto" w:fill="auto"/>
            <w:vAlign w:val="center"/>
          </w:tcPr>
          <w:p w14:paraId="451B4630">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岗位要求</w:t>
            </w:r>
          </w:p>
        </w:tc>
      </w:tr>
      <w:tr w14:paraId="037F8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tblHeader/>
          <w:jc w:val="center"/>
        </w:trPr>
        <w:tc>
          <w:tcPr>
            <w:tcW w:w="261" w:type="pct"/>
            <w:vMerge w:val="continue"/>
            <w:tcBorders>
              <w:tl2br w:val="nil"/>
              <w:tr2bl w:val="nil"/>
            </w:tcBorders>
            <w:shd w:val="clear" w:color="auto" w:fill="auto"/>
            <w:vAlign w:val="center"/>
          </w:tcPr>
          <w:p w14:paraId="15E038B2">
            <w:pPr>
              <w:widowControl/>
              <w:spacing w:line="240" w:lineRule="auto"/>
              <w:ind w:firstLine="0" w:firstLineChars="0"/>
              <w:jc w:val="center"/>
              <w:textAlignment w:val="center"/>
              <w:rPr>
                <w:rFonts w:hint="eastAsia" w:ascii="宋体" w:hAnsi="宋体" w:eastAsia="宋体" w:cs="宋体"/>
                <w:b/>
                <w:bCs/>
                <w:color w:val="auto"/>
                <w:kern w:val="2"/>
                <w:sz w:val="21"/>
                <w:szCs w:val="21"/>
                <w:highlight w:val="none"/>
                <w:lang w:eastAsia="zh-CN" w:bidi="ar-SA"/>
              </w:rPr>
            </w:pPr>
          </w:p>
        </w:tc>
        <w:tc>
          <w:tcPr>
            <w:tcW w:w="318" w:type="pct"/>
            <w:vMerge w:val="continue"/>
            <w:tcBorders>
              <w:tl2br w:val="nil"/>
              <w:tr2bl w:val="nil"/>
            </w:tcBorders>
            <w:shd w:val="clear" w:color="auto" w:fill="auto"/>
            <w:vAlign w:val="center"/>
          </w:tcPr>
          <w:p w14:paraId="616893BF">
            <w:pPr>
              <w:widowControl/>
              <w:spacing w:line="240" w:lineRule="auto"/>
              <w:ind w:firstLine="0" w:firstLineChars="0"/>
              <w:jc w:val="center"/>
              <w:textAlignment w:val="center"/>
              <w:rPr>
                <w:rFonts w:hint="eastAsia" w:ascii="宋体" w:hAnsi="宋体" w:eastAsia="宋体" w:cs="宋体"/>
                <w:b/>
                <w:bCs/>
                <w:color w:val="auto"/>
                <w:kern w:val="2"/>
                <w:sz w:val="21"/>
                <w:szCs w:val="21"/>
                <w:highlight w:val="none"/>
                <w:lang w:eastAsia="zh-CN" w:bidi="ar-SA"/>
              </w:rPr>
            </w:pPr>
          </w:p>
        </w:tc>
        <w:tc>
          <w:tcPr>
            <w:tcW w:w="378" w:type="pct"/>
            <w:vMerge w:val="continue"/>
            <w:tcBorders>
              <w:tl2br w:val="nil"/>
              <w:tr2bl w:val="nil"/>
            </w:tcBorders>
            <w:shd w:val="clear" w:color="auto" w:fill="auto"/>
            <w:vAlign w:val="center"/>
          </w:tcPr>
          <w:p w14:paraId="0F806092">
            <w:pPr>
              <w:widowControl/>
              <w:spacing w:line="240" w:lineRule="auto"/>
              <w:ind w:firstLine="0" w:firstLineChars="0"/>
              <w:jc w:val="center"/>
              <w:textAlignment w:val="center"/>
              <w:rPr>
                <w:rFonts w:hint="eastAsia" w:ascii="宋体" w:hAnsi="宋体" w:eastAsia="宋体" w:cs="宋体"/>
                <w:b/>
                <w:bCs/>
                <w:color w:val="auto"/>
                <w:kern w:val="2"/>
                <w:sz w:val="21"/>
                <w:szCs w:val="21"/>
                <w:highlight w:val="none"/>
                <w:lang w:eastAsia="zh-CN" w:bidi="ar-SA"/>
              </w:rPr>
            </w:pPr>
          </w:p>
        </w:tc>
        <w:tc>
          <w:tcPr>
            <w:tcW w:w="407" w:type="pct"/>
            <w:tcBorders>
              <w:tl2br w:val="nil"/>
              <w:tr2bl w:val="nil"/>
            </w:tcBorders>
            <w:vAlign w:val="center"/>
          </w:tcPr>
          <w:p w14:paraId="31C7E54C">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＜7</w:t>
            </w:r>
            <w:r>
              <w:rPr>
                <w:rFonts w:hint="eastAsia" w:ascii="宋体" w:hAnsi="宋体" w:eastAsia="宋体" w:cs="宋体"/>
                <w:color w:val="auto"/>
                <w:kern w:val="2"/>
                <w:sz w:val="21"/>
                <w:szCs w:val="21"/>
                <w:highlight w:val="none"/>
                <w:lang w:val="en-US" w:eastAsia="zh-CN"/>
              </w:rPr>
              <w:t>0</w:t>
            </w:r>
            <w:r>
              <w:rPr>
                <w:rFonts w:hint="eastAsia" w:ascii="宋体" w:hAnsi="宋体" w:eastAsia="宋体" w:cs="宋体"/>
                <w:color w:val="auto"/>
                <w:kern w:val="2"/>
                <w:sz w:val="21"/>
                <w:szCs w:val="21"/>
                <w:highlight w:val="none"/>
                <w:lang w:eastAsia="zh-CN"/>
              </w:rPr>
              <w:t>%</w:t>
            </w:r>
          </w:p>
        </w:tc>
        <w:tc>
          <w:tcPr>
            <w:tcW w:w="527" w:type="pct"/>
            <w:tcBorders>
              <w:tl2br w:val="nil"/>
              <w:tr2bl w:val="nil"/>
            </w:tcBorders>
            <w:shd w:val="clear" w:color="auto" w:fill="auto"/>
            <w:vAlign w:val="center"/>
          </w:tcPr>
          <w:p w14:paraId="5B6EFBC5">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eastAsia="zh-CN"/>
              </w:rPr>
              <w:t>7</w:t>
            </w:r>
            <w:r>
              <w:rPr>
                <w:rFonts w:hint="eastAsia" w:ascii="宋体" w:hAnsi="宋体" w:eastAsia="宋体" w:cs="宋体"/>
                <w:color w:val="auto"/>
                <w:kern w:val="2"/>
                <w:sz w:val="21"/>
                <w:szCs w:val="21"/>
                <w:highlight w:val="none"/>
                <w:lang w:val="en-US" w:eastAsia="zh-CN"/>
              </w:rPr>
              <w:t>0</w:t>
            </w:r>
            <w:r>
              <w:rPr>
                <w:rFonts w:hint="eastAsia" w:ascii="宋体" w:hAnsi="宋体" w:eastAsia="宋体" w:cs="宋体"/>
                <w:color w:val="auto"/>
                <w:kern w:val="2"/>
                <w:sz w:val="21"/>
                <w:szCs w:val="21"/>
                <w:highlight w:val="none"/>
                <w:lang w:eastAsia="zh-CN"/>
              </w:rPr>
              <w:t>%</w:t>
            </w:r>
          </w:p>
        </w:tc>
        <w:tc>
          <w:tcPr>
            <w:tcW w:w="1785" w:type="pct"/>
            <w:vMerge w:val="continue"/>
            <w:tcBorders>
              <w:tl2br w:val="nil"/>
              <w:tr2bl w:val="nil"/>
            </w:tcBorders>
            <w:shd w:val="clear" w:color="auto" w:fill="auto"/>
            <w:vAlign w:val="center"/>
          </w:tcPr>
          <w:p w14:paraId="27A8B1CA">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p>
        </w:tc>
        <w:tc>
          <w:tcPr>
            <w:tcW w:w="1321" w:type="pct"/>
            <w:vMerge w:val="continue"/>
            <w:tcBorders>
              <w:tl2br w:val="nil"/>
              <w:tr2bl w:val="nil"/>
            </w:tcBorders>
            <w:shd w:val="clear" w:color="auto" w:fill="auto"/>
            <w:vAlign w:val="center"/>
          </w:tcPr>
          <w:p w14:paraId="443A7201">
            <w:pPr>
              <w:widowControl/>
              <w:spacing w:line="240" w:lineRule="auto"/>
              <w:ind w:firstLine="0" w:firstLineChars="0"/>
              <w:jc w:val="center"/>
              <w:textAlignment w:val="center"/>
              <w:rPr>
                <w:rFonts w:hint="eastAsia" w:ascii="宋体" w:hAnsi="宋体" w:eastAsia="宋体" w:cs="宋体"/>
                <w:b/>
                <w:bCs/>
                <w:color w:val="auto"/>
                <w:kern w:val="2"/>
                <w:sz w:val="21"/>
                <w:szCs w:val="21"/>
                <w:highlight w:val="none"/>
                <w:lang w:eastAsia="zh-CN" w:bidi="ar-SA"/>
              </w:rPr>
            </w:pPr>
          </w:p>
        </w:tc>
      </w:tr>
      <w:tr w14:paraId="02E1D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61" w:type="pct"/>
            <w:vMerge w:val="restart"/>
            <w:tcBorders>
              <w:tl2br w:val="nil"/>
              <w:tr2bl w:val="nil"/>
            </w:tcBorders>
            <w:shd w:val="clear" w:color="auto" w:fill="auto"/>
            <w:vAlign w:val="center"/>
          </w:tcPr>
          <w:p w14:paraId="2B3C0569">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1</w:t>
            </w:r>
          </w:p>
        </w:tc>
        <w:tc>
          <w:tcPr>
            <w:tcW w:w="318" w:type="pct"/>
            <w:vMerge w:val="restart"/>
            <w:tcBorders>
              <w:tl2br w:val="nil"/>
              <w:tr2bl w:val="nil"/>
            </w:tcBorders>
            <w:shd w:val="clear" w:color="auto" w:fill="auto"/>
            <w:vAlign w:val="center"/>
          </w:tcPr>
          <w:p w14:paraId="499B63E6">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综合支持</w:t>
            </w:r>
          </w:p>
        </w:tc>
        <w:tc>
          <w:tcPr>
            <w:tcW w:w="378" w:type="pct"/>
            <w:tcBorders>
              <w:tl2br w:val="nil"/>
              <w:tr2bl w:val="nil"/>
            </w:tcBorders>
            <w:shd w:val="clear" w:color="auto" w:fill="auto"/>
            <w:vAlign w:val="center"/>
          </w:tcPr>
          <w:p w14:paraId="53901EF2">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项目经理</w:t>
            </w:r>
          </w:p>
        </w:tc>
        <w:tc>
          <w:tcPr>
            <w:tcW w:w="407" w:type="pct"/>
            <w:tcBorders>
              <w:tl2br w:val="nil"/>
              <w:tr2bl w:val="nil"/>
            </w:tcBorders>
            <w:vAlign w:val="center"/>
          </w:tcPr>
          <w:p w14:paraId="293CA408">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w:t>
            </w:r>
          </w:p>
        </w:tc>
        <w:tc>
          <w:tcPr>
            <w:tcW w:w="527" w:type="pct"/>
            <w:tcBorders>
              <w:tl2br w:val="nil"/>
              <w:tr2bl w:val="nil"/>
            </w:tcBorders>
            <w:shd w:val="clear" w:color="auto" w:fill="auto"/>
            <w:vAlign w:val="center"/>
          </w:tcPr>
          <w:p w14:paraId="08470B6A">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1</w:t>
            </w:r>
          </w:p>
        </w:tc>
        <w:tc>
          <w:tcPr>
            <w:tcW w:w="1785" w:type="pct"/>
            <w:tcBorders>
              <w:tl2br w:val="nil"/>
              <w:tr2bl w:val="nil"/>
            </w:tcBorders>
            <w:shd w:val="clear" w:color="auto" w:fill="auto"/>
            <w:vAlign w:val="center"/>
          </w:tcPr>
          <w:p w14:paraId="7501AE64">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i w:val="0"/>
                <w:iCs w:val="0"/>
                <w:color w:val="auto"/>
                <w:kern w:val="0"/>
                <w:sz w:val="21"/>
                <w:szCs w:val="21"/>
                <w:highlight w:val="none"/>
                <w:u w:val="none"/>
                <w:lang w:val="en-US" w:eastAsia="zh-CN" w:bidi="ar"/>
              </w:rPr>
              <w:t>为本项目负责人，是项目专职管理人员，负责项目全面综合管理，与招标人沟通服务事项并对管理结果负责，该职位要求常驻项目办公。</w:t>
            </w:r>
          </w:p>
        </w:tc>
        <w:tc>
          <w:tcPr>
            <w:tcW w:w="1321" w:type="pct"/>
            <w:tcBorders>
              <w:tl2br w:val="nil"/>
              <w:tr2bl w:val="nil"/>
            </w:tcBorders>
            <w:shd w:val="clear" w:color="auto" w:fill="auto"/>
            <w:vAlign w:val="center"/>
          </w:tcPr>
          <w:p w14:paraId="0E8628A9">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i w:val="0"/>
                <w:iCs w:val="0"/>
                <w:color w:val="auto"/>
                <w:kern w:val="0"/>
                <w:sz w:val="21"/>
                <w:szCs w:val="21"/>
                <w:highlight w:val="none"/>
                <w:u w:val="none"/>
                <w:lang w:val="en-US" w:eastAsia="zh-CN" w:bidi="ar"/>
              </w:rPr>
              <w:t>本科及以上学历，10年以上物管工作经验，具有物业管理或工程技术相关证书，年龄45岁以下。</w:t>
            </w:r>
          </w:p>
        </w:tc>
      </w:tr>
      <w:tr w14:paraId="494D6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61" w:type="pct"/>
            <w:vMerge w:val="continue"/>
            <w:tcBorders>
              <w:tl2br w:val="nil"/>
              <w:tr2bl w:val="nil"/>
            </w:tcBorders>
            <w:shd w:val="clear" w:color="auto" w:fill="auto"/>
            <w:vAlign w:val="center"/>
          </w:tcPr>
          <w:p w14:paraId="0D2013E0">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p>
        </w:tc>
        <w:tc>
          <w:tcPr>
            <w:tcW w:w="318" w:type="pct"/>
            <w:vMerge w:val="continue"/>
            <w:tcBorders>
              <w:tl2br w:val="nil"/>
              <w:tr2bl w:val="nil"/>
            </w:tcBorders>
            <w:shd w:val="clear" w:color="auto" w:fill="auto"/>
            <w:vAlign w:val="center"/>
          </w:tcPr>
          <w:p w14:paraId="7053ADAE">
            <w:pPr>
              <w:widowControl/>
              <w:spacing w:line="240" w:lineRule="auto"/>
              <w:ind w:firstLine="0" w:firstLineChars="0"/>
              <w:jc w:val="center"/>
              <w:rPr>
                <w:rFonts w:hint="eastAsia" w:ascii="宋体" w:hAnsi="宋体" w:eastAsia="宋体" w:cs="宋体"/>
                <w:color w:val="auto"/>
                <w:kern w:val="2"/>
                <w:sz w:val="21"/>
                <w:szCs w:val="21"/>
                <w:highlight w:val="none"/>
                <w:lang w:eastAsia="zh-CN" w:bidi="ar-SA"/>
              </w:rPr>
            </w:pPr>
          </w:p>
        </w:tc>
        <w:tc>
          <w:tcPr>
            <w:tcW w:w="378" w:type="pct"/>
            <w:tcBorders>
              <w:tl2br w:val="nil"/>
              <w:tr2bl w:val="nil"/>
            </w:tcBorders>
            <w:shd w:val="clear" w:color="auto" w:fill="auto"/>
            <w:vAlign w:val="center"/>
          </w:tcPr>
          <w:p w14:paraId="1D85F38E">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rPr>
              <w:t>财务</w:t>
            </w:r>
            <w:r>
              <w:rPr>
                <w:rFonts w:hint="eastAsia" w:ascii="宋体" w:hAnsi="宋体" w:eastAsia="宋体" w:cs="宋体"/>
                <w:color w:val="auto"/>
                <w:kern w:val="2"/>
                <w:sz w:val="21"/>
                <w:szCs w:val="21"/>
                <w:highlight w:val="none"/>
                <w:lang w:val="en-US" w:eastAsia="zh-CN"/>
              </w:rPr>
              <w:t>专员</w:t>
            </w:r>
          </w:p>
        </w:tc>
        <w:tc>
          <w:tcPr>
            <w:tcW w:w="407" w:type="pct"/>
            <w:tcBorders>
              <w:tl2br w:val="nil"/>
              <w:tr2bl w:val="nil"/>
            </w:tcBorders>
            <w:vAlign w:val="center"/>
          </w:tcPr>
          <w:p w14:paraId="256CAB26">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w:t>
            </w:r>
          </w:p>
        </w:tc>
        <w:tc>
          <w:tcPr>
            <w:tcW w:w="527" w:type="pct"/>
            <w:tcBorders>
              <w:tl2br w:val="nil"/>
              <w:tr2bl w:val="nil"/>
            </w:tcBorders>
            <w:shd w:val="clear" w:color="auto" w:fill="auto"/>
            <w:vAlign w:val="center"/>
          </w:tcPr>
          <w:p w14:paraId="446B9F7F">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1</w:t>
            </w:r>
          </w:p>
        </w:tc>
        <w:tc>
          <w:tcPr>
            <w:tcW w:w="1785" w:type="pct"/>
            <w:tcBorders>
              <w:tl2br w:val="nil"/>
              <w:tr2bl w:val="nil"/>
            </w:tcBorders>
            <w:shd w:val="clear" w:color="auto" w:fill="auto"/>
            <w:vAlign w:val="center"/>
          </w:tcPr>
          <w:p w14:paraId="3250F80A">
            <w:pPr>
              <w:widowControl/>
              <w:spacing w:line="240" w:lineRule="auto"/>
              <w:ind w:firstLine="0" w:firstLineChars="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物业收缴管理，物业费收支核算等财务工作。</w:t>
            </w:r>
          </w:p>
        </w:tc>
        <w:tc>
          <w:tcPr>
            <w:tcW w:w="1321" w:type="pct"/>
            <w:tcBorders>
              <w:tl2br w:val="nil"/>
              <w:tr2bl w:val="nil"/>
            </w:tcBorders>
            <w:shd w:val="clear" w:color="auto" w:fill="auto"/>
            <w:vAlign w:val="center"/>
          </w:tcPr>
          <w:p w14:paraId="1CE32262">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i w:val="0"/>
                <w:iCs w:val="0"/>
                <w:color w:val="auto"/>
                <w:kern w:val="0"/>
                <w:sz w:val="21"/>
                <w:szCs w:val="21"/>
                <w:highlight w:val="none"/>
                <w:u w:val="none"/>
                <w:lang w:val="en-US" w:eastAsia="zh-CN" w:bidi="ar"/>
              </w:rPr>
              <w:t>应具备大专以上学历，2年以上财务工作经验，具备相关从业资格证。</w:t>
            </w:r>
          </w:p>
        </w:tc>
      </w:tr>
      <w:tr w14:paraId="4704E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2" w:hRule="atLeast"/>
          <w:jc w:val="center"/>
        </w:trPr>
        <w:tc>
          <w:tcPr>
            <w:tcW w:w="261" w:type="pct"/>
            <w:vMerge w:val="continue"/>
            <w:tcBorders>
              <w:tl2br w:val="nil"/>
              <w:tr2bl w:val="nil"/>
            </w:tcBorders>
            <w:shd w:val="clear" w:color="auto" w:fill="auto"/>
            <w:vAlign w:val="center"/>
          </w:tcPr>
          <w:p w14:paraId="71CA5423">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p>
        </w:tc>
        <w:tc>
          <w:tcPr>
            <w:tcW w:w="318" w:type="pct"/>
            <w:vMerge w:val="continue"/>
            <w:tcBorders>
              <w:tl2br w:val="nil"/>
              <w:tr2bl w:val="nil"/>
            </w:tcBorders>
            <w:shd w:val="clear" w:color="auto" w:fill="auto"/>
            <w:vAlign w:val="center"/>
          </w:tcPr>
          <w:p w14:paraId="0171AA96">
            <w:pPr>
              <w:widowControl/>
              <w:spacing w:line="240" w:lineRule="auto"/>
              <w:ind w:firstLine="0" w:firstLineChars="0"/>
              <w:jc w:val="center"/>
              <w:rPr>
                <w:rFonts w:hint="eastAsia" w:ascii="宋体" w:hAnsi="宋体" w:eastAsia="宋体" w:cs="宋体"/>
                <w:color w:val="auto"/>
                <w:kern w:val="2"/>
                <w:sz w:val="21"/>
                <w:szCs w:val="21"/>
                <w:highlight w:val="none"/>
                <w:lang w:eastAsia="zh-CN" w:bidi="ar-SA"/>
              </w:rPr>
            </w:pPr>
          </w:p>
        </w:tc>
        <w:tc>
          <w:tcPr>
            <w:tcW w:w="378" w:type="pct"/>
            <w:tcBorders>
              <w:tl2br w:val="nil"/>
              <w:tr2bl w:val="nil"/>
            </w:tcBorders>
            <w:shd w:val="clear" w:color="auto" w:fill="auto"/>
            <w:vAlign w:val="center"/>
          </w:tcPr>
          <w:p w14:paraId="614795E0">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品质专员</w:t>
            </w:r>
          </w:p>
        </w:tc>
        <w:tc>
          <w:tcPr>
            <w:tcW w:w="407" w:type="pct"/>
            <w:tcBorders>
              <w:tl2br w:val="nil"/>
              <w:tr2bl w:val="nil"/>
            </w:tcBorders>
            <w:vAlign w:val="center"/>
          </w:tcPr>
          <w:p w14:paraId="0345B3C0">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w:t>
            </w:r>
          </w:p>
        </w:tc>
        <w:tc>
          <w:tcPr>
            <w:tcW w:w="527" w:type="pct"/>
            <w:tcBorders>
              <w:tl2br w:val="nil"/>
              <w:tr2bl w:val="nil"/>
            </w:tcBorders>
            <w:shd w:val="clear" w:color="auto" w:fill="auto"/>
            <w:vAlign w:val="center"/>
          </w:tcPr>
          <w:p w14:paraId="2CC51A9A">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1</w:t>
            </w:r>
          </w:p>
        </w:tc>
        <w:tc>
          <w:tcPr>
            <w:tcW w:w="1785" w:type="pct"/>
            <w:tcBorders>
              <w:tl2br w:val="nil"/>
              <w:tr2bl w:val="nil"/>
            </w:tcBorders>
            <w:shd w:val="clear" w:color="auto" w:fill="auto"/>
            <w:vAlign w:val="center"/>
          </w:tcPr>
          <w:p w14:paraId="7E391C6E">
            <w:pPr>
              <w:keepNext/>
              <w:keepLines w:val="0"/>
              <w:widowControl/>
              <w:suppressLineNumbers w:val="0"/>
              <w:snapToGrid w:val="0"/>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了解安全生产标准等体系相关知识；具有独立推动执行工作能力，具备现场安全检查、安全培训能力；有注册安全工程师证、安全管理员证、体系内审员证优先。</w:t>
            </w:r>
          </w:p>
        </w:tc>
        <w:tc>
          <w:tcPr>
            <w:tcW w:w="1321" w:type="pct"/>
            <w:tcBorders>
              <w:tl2br w:val="nil"/>
              <w:tr2bl w:val="nil"/>
            </w:tcBorders>
            <w:shd w:val="clear" w:color="auto" w:fill="auto"/>
            <w:vAlign w:val="center"/>
          </w:tcPr>
          <w:p w14:paraId="44D3EDB8">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i w:val="0"/>
                <w:iCs w:val="0"/>
                <w:color w:val="auto"/>
                <w:kern w:val="0"/>
                <w:sz w:val="21"/>
                <w:szCs w:val="21"/>
                <w:highlight w:val="none"/>
                <w:u w:val="none"/>
                <w:lang w:val="en-US" w:eastAsia="zh-CN" w:bidi="ar"/>
              </w:rPr>
              <w:t>大专及以上学历，安全工程专业优先；45周岁以下，男女不限；3年及以上安全岗位工作经验。</w:t>
            </w:r>
          </w:p>
        </w:tc>
      </w:tr>
      <w:tr w14:paraId="69510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8" w:hRule="atLeast"/>
          <w:jc w:val="center"/>
        </w:trPr>
        <w:tc>
          <w:tcPr>
            <w:tcW w:w="261" w:type="pct"/>
            <w:vMerge w:val="restart"/>
            <w:tcBorders>
              <w:tl2br w:val="nil"/>
              <w:tr2bl w:val="nil"/>
            </w:tcBorders>
            <w:shd w:val="clear" w:color="auto" w:fill="auto"/>
            <w:vAlign w:val="center"/>
          </w:tcPr>
          <w:p w14:paraId="2B0F83A3">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2</w:t>
            </w:r>
          </w:p>
        </w:tc>
        <w:tc>
          <w:tcPr>
            <w:tcW w:w="318" w:type="pct"/>
            <w:vMerge w:val="restart"/>
            <w:tcBorders>
              <w:tl2br w:val="nil"/>
              <w:tr2bl w:val="nil"/>
            </w:tcBorders>
            <w:shd w:val="clear" w:color="auto" w:fill="auto"/>
            <w:vAlign w:val="center"/>
          </w:tcPr>
          <w:p w14:paraId="740063D6">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安保</w:t>
            </w:r>
          </w:p>
        </w:tc>
        <w:tc>
          <w:tcPr>
            <w:tcW w:w="378" w:type="pct"/>
            <w:tcBorders>
              <w:tl2br w:val="nil"/>
              <w:tr2bl w:val="nil"/>
            </w:tcBorders>
            <w:shd w:val="clear" w:color="auto" w:fill="auto"/>
            <w:vAlign w:val="center"/>
          </w:tcPr>
          <w:p w14:paraId="318935A9">
            <w:pPr>
              <w:widowControl/>
              <w:spacing w:line="240" w:lineRule="auto"/>
              <w:ind w:firstLine="0" w:firstLineChars="0"/>
              <w:jc w:val="both"/>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安保负责人</w:t>
            </w:r>
          </w:p>
        </w:tc>
        <w:tc>
          <w:tcPr>
            <w:tcW w:w="407" w:type="pct"/>
            <w:tcBorders>
              <w:tl2br w:val="nil"/>
              <w:tr2bl w:val="nil"/>
            </w:tcBorders>
            <w:vAlign w:val="center"/>
          </w:tcPr>
          <w:p w14:paraId="4B3767EA">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w:t>
            </w:r>
          </w:p>
        </w:tc>
        <w:tc>
          <w:tcPr>
            <w:tcW w:w="527" w:type="pct"/>
            <w:tcBorders>
              <w:tl2br w:val="nil"/>
              <w:tr2bl w:val="nil"/>
            </w:tcBorders>
            <w:shd w:val="clear" w:color="auto" w:fill="auto"/>
            <w:vAlign w:val="center"/>
          </w:tcPr>
          <w:p w14:paraId="307D67FA">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w:t>
            </w:r>
          </w:p>
        </w:tc>
        <w:tc>
          <w:tcPr>
            <w:tcW w:w="1785" w:type="pct"/>
            <w:tcBorders>
              <w:tl2br w:val="nil"/>
              <w:tr2bl w:val="nil"/>
            </w:tcBorders>
            <w:shd w:val="clear" w:color="auto" w:fill="FFFFFF"/>
            <w:vAlign w:val="center"/>
          </w:tcPr>
          <w:p w14:paraId="26F56A49">
            <w:pPr>
              <w:keepNext/>
              <w:keepLines w:val="0"/>
              <w:widowControl/>
              <w:suppressLineNumbers w:val="0"/>
              <w:snapToGrid w:val="0"/>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统筹现场安保管理相关工作，协调安保部工作</w:t>
            </w:r>
          </w:p>
        </w:tc>
        <w:tc>
          <w:tcPr>
            <w:tcW w:w="1321" w:type="pct"/>
            <w:tcBorders>
              <w:tl2br w:val="nil"/>
              <w:tr2bl w:val="nil"/>
            </w:tcBorders>
            <w:shd w:val="clear" w:color="auto" w:fill="FFFFFF"/>
            <w:vAlign w:val="center"/>
          </w:tcPr>
          <w:p w14:paraId="72516BD3">
            <w:pPr>
              <w:keepNext/>
              <w:keepLines w:val="0"/>
              <w:widowControl/>
              <w:suppressLineNumbers w:val="0"/>
              <w:snapToGrid w:val="0"/>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大专及以上学历，年龄45岁以下，身高≥175cm，5年以上安保工作经验，其中含3年以上相同岗位管理经验，退伍军人优先。</w:t>
            </w:r>
          </w:p>
        </w:tc>
      </w:tr>
      <w:tr w14:paraId="734A4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261" w:type="pct"/>
            <w:vMerge w:val="continue"/>
            <w:tcBorders>
              <w:tl2br w:val="nil"/>
              <w:tr2bl w:val="nil"/>
            </w:tcBorders>
            <w:shd w:val="clear" w:color="auto" w:fill="auto"/>
            <w:vAlign w:val="center"/>
          </w:tcPr>
          <w:p w14:paraId="1547929F">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p>
        </w:tc>
        <w:tc>
          <w:tcPr>
            <w:tcW w:w="318" w:type="pct"/>
            <w:vMerge w:val="continue"/>
            <w:tcBorders>
              <w:tl2br w:val="nil"/>
              <w:tr2bl w:val="nil"/>
            </w:tcBorders>
            <w:shd w:val="clear" w:color="auto" w:fill="auto"/>
            <w:vAlign w:val="center"/>
          </w:tcPr>
          <w:p w14:paraId="1D7E3744">
            <w:pPr>
              <w:widowControl/>
              <w:spacing w:line="240" w:lineRule="auto"/>
              <w:ind w:firstLine="0" w:firstLineChars="0"/>
              <w:jc w:val="center"/>
              <w:rPr>
                <w:rFonts w:hint="eastAsia" w:ascii="宋体" w:hAnsi="宋体" w:eastAsia="宋体" w:cs="宋体"/>
                <w:color w:val="auto"/>
                <w:kern w:val="2"/>
                <w:sz w:val="21"/>
                <w:szCs w:val="21"/>
                <w:highlight w:val="none"/>
                <w:lang w:eastAsia="zh-CN" w:bidi="ar-SA"/>
              </w:rPr>
            </w:pPr>
          </w:p>
        </w:tc>
        <w:tc>
          <w:tcPr>
            <w:tcW w:w="378" w:type="pct"/>
            <w:tcBorders>
              <w:tl2br w:val="nil"/>
              <w:tr2bl w:val="nil"/>
            </w:tcBorders>
            <w:shd w:val="clear" w:color="auto" w:fill="auto"/>
            <w:vAlign w:val="center"/>
          </w:tcPr>
          <w:p w14:paraId="2A58601A">
            <w:pPr>
              <w:widowControl/>
              <w:spacing w:line="240" w:lineRule="auto"/>
              <w:ind w:firstLine="0" w:firstLineChars="0"/>
              <w:jc w:val="both"/>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安全领班</w:t>
            </w:r>
          </w:p>
        </w:tc>
        <w:tc>
          <w:tcPr>
            <w:tcW w:w="407" w:type="pct"/>
            <w:tcBorders>
              <w:tl2br w:val="nil"/>
              <w:tr2bl w:val="nil"/>
            </w:tcBorders>
            <w:vAlign w:val="center"/>
          </w:tcPr>
          <w:p w14:paraId="6450FAA6">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w:t>
            </w:r>
          </w:p>
        </w:tc>
        <w:tc>
          <w:tcPr>
            <w:tcW w:w="527" w:type="pct"/>
            <w:tcBorders>
              <w:tl2br w:val="nil"/>
              <w:tr2bl w:val="nil"/>
            </w:tcBorders>
            <w:shd w:val="clear" w:color="auto" w:fill="auto"/>
            <w:vAlign w:val="center"/>
          </w:tcPr>
          <w:p w14:paraId="6A533B68">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w:t>
            </w:r>
          </w:p>
        </w:tc>
        <w:tc>
          <w:tcPr>
            <w:tcW w:w="1785" w:type="pct"/>
            <w:tcBorders>
              <w:tl2br w:val="nil"/>
              <w:tr2bl w:val="nil"/>
            </w:tcBorders>
            <w:shd w:val="clear" w:color="auto" w:fill="auto"/>
            <w:vAlign w:val="center"/>
          </w:tcPr>
          <w:p w14:paraId="0C61AA8D">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负责当班期间现场管理及班组内部管理</w:t>
            </w:r>
          </w:p>
        </w:tc>
        <w:tc>
          <w:tcPr>
            <w:tcW w:w="1321" w:type="pct"/>
            <w:vMerge w:val="restart"/>
            <w:tcBorders>
              <w:tl2br w:val="nil"/>
              <w:tr2bl w:val="nil"/>
            </w:tcBorders>
            <w:shd w:val="clear" w:color="auto" w:fill="auto"/>
            <w:vAlign w:val="center"/>
          </w:tcPr>
          <w:p w14:paraId="2730AE8E">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高中以上学历；形象较好，男性≥175cm，女性≥158cm；年龄18-35岁；大楼主要出入口岗位保安员语言表达能力较好；</w:t>
            </w:r>
            <w:r>
              <w:rPr>
                <w:rFonts w:hint="eastAsia" w:ascii="宋体" w:hAnsi="宋体" w:eastAsia="宋体" w:cs="宋体"/>
                <w:color w:val="auto"/>
                <w:kern w:val="2"/>
                <w:sz w:val="21"/>
                <w:szCs w:val="21"/>
                <w:highlight w:val="none"/>
                <w:lang w:eastAsia="zh-CN"/>
              </w:rPr>
              <w:t>安全领班</w:t>
            </w:r>
            <w:r>
              <w:rPr>
                <w:rFonts w:hint="eastAsia" w:ascii="宋体" w:hAnsi="宋体" w:eastAsia="宋体" w:cs="宋体"/>
                <w:i w:val="0"/>
                <w:iCs w:val="0"/>
                <w:color w:val="auto"/>
                <w:kern w:val="0"/>
                <w:sz w:val="21"/>
                <w:szCs w:val="21"/>
                <w:highlight w:val="none"/>
                <w:u w:val="none"/>
                <w:lang w:val="en-US" w:eastAsia="zh-CN" w:bidi="ar"/>
              </w:rPr>
              <w:t>物业管理工作经验不低于2年；无劣迹行为，无犯罪等不良记录。</w:t>
            </w:r>
          </w:p>
        </w:tc>
      </w:tr>
      <w:tr w14:paraId="116BD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2" w:hRule="atLeast"/>
          <w:jc w:val="center"/>
        </w:trPr>
        <w:tc>
          <w:tcPr>
            <w:tcW w:w="261" w:type="pct"/>
            <w:vMerge w:val="continue"/>
            <w:tcBorders>
              <w:tl2br w:val="nil"/>
              <w:tr2bl w:val="nil"/>
            </w:tcBorders>
            <w:shd w:val="clear" w:color="auto" w:fill="auto"/>
            <w:vAlign w:val="center"/>
          </w:tcPr>
          <w:p w14:paraId="7B6A6B74">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p>
        </w:tc>
        <w:tc>
          <w:tcPr>
            <w:tcW w:w="318" w:type="pct"/>
            <w:vMerge w:val="continue"/>
            <w:tcBorders>
              <w:tl2br w:val="nil"/>
              <w:tr2bl w:val="nil"/>
            </w:tcBorders>
            <w:shd w:val="clear" w:color="auto" w:fill="auto"/>
            <w:vAlign w:val="center"/>
          </w:tcPr>
          <w:p w14:paraId="530067B1">
            <w:pPr>
              <w:widowControl/>
              <w:spacing w:line="240" w:lineRule="auto"/>
              <w:ind w:firstLine="0" w:firstLineChars="0"/>
              <w:jc w:val="center"/>
              <w:rPr>
                <w:rFonts w:hint="eastAsia" w:ascii="宋体" w:hAnsi="宋体" w:eastAsia="宋体" w:cs="宋体"/>
                <w:color w:val="auto"/>
                <w:kern w:val="2"/>
                <w:sz w:val="21"/>
                <w:szCs w:val="21"/>
                <w:highlight w:val="none"/>
                <w:lang w:eastAsia="zh-CN" w:bidi="ar-SA"/>
              </w:rPr>
            </w:pPr>
          </w:p>
        </w:tc>
        <w:tc>
          <w:tcPr>
            <w:tcW w:w="378" w:type="pct"/>
            <w:tcBorders>
              <w:tl2br w:val="nil"/>
              <w:tr2bl w:val="nil"/>
            </w:tcBorders>
            <w:shd w:val="clear" w:color="auto" w:fill="auto"/>
            <w:vAlign w:val="center"/>
          </w:tcPr>
          <w:p w14:paraId="5511B5CC">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安保员</w:t>
            </w:r>
          </w:p>
        </w:tc>
        <w:tc>
          <w:tcPr>
            <w:tcW w:w="407" w:type="pct"/>
            <w:tcBorders>
              <w:tl2br w:val="nil"/>
              <w:tr2bl w:val="nil"/>
            </w:tcBorders>
            <w:vAlign w:val="center"/>
          </w:tcPr>
          <w:p w14:paraId="0C025EEA">
            <w:pPr>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13</w:t>
            </w:r>
          </w:p>
        </w:tc>
        <w:tc>
          <w:tcPr>
            <w:tcW w:w="527" w:type="pct"/>
            <w:tcBorders>
              <w:tl2br w:val="nil"/>
              <w:tr2bl w:val="nil"/>
            </w:tcBorders>
            <w:shd w:val="clear" w:color="auto" w:fill="auto"/>
            <w:vAlign w:val="center"/>
          </w:tcPr>
          <w:p w14:paraId="093469C5">
            <w:pPr>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15</w:t>
            </w:r>
          </w:p>
        </w:tc>
        <w:tc>
          <w:tcPr>
            <w:tcW w:w="1785" w:type="pct"/>
            <w:tcBorders>
              <w:tl2br w:val="nil"/>
              <w:tr2bl w:val="nil"/>
            </w:tcBorders>
            <w:shd w:val="clear" w:color="auto" w:fill="FFFFFF"/>
            <w:vAlign w:val="center"/>
          </w:tcPr>
          <w:p w14:paraId="584BAD9C">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大门出入口来访管理</w:t>
            </w:r>
          </w:p>
          <w:p w14:paraId="48982795">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车辆进出引导及管理</w:t>
            </w:r>
          </w:p>
          <w:p w14:paraId="500BAA2F">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办事人员出入管控</w:t>
            </w:r>
          </w:p>
          <w:p w14:paraId="2B1B2784">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消防控制室值岗要求24h双人双岗，每班2人，(值班人员应具有建（构）筑物消防员资格证)</w:t>
            </w:r>
          </w:p>
          <w:p w14:paraId="42B220E2">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整体大楼及楼内巡逻</w:t>
            </w:r>
          </w:p>
          <w:p w14:paraId="73256CC1">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auto"/>
                <w:sz w:val="21"/>
                <w:szCs w:val="21"/>
                <w:highlight w:val="none"/>
                <w:u w:val="none"/>
                <w:lang w:val="en-US" w:eastAsia="zh-CN" w:bidi="en-US"/>
              </w:rPr>
            </w:pPr>
            <w:r>
              <w:rPr>
                <w:rFonts w:hint="eastAsia" w:ascii="宋体" w:hAnsi="宋体" w:eastAsia="宋体" w:cs="宋体"/>
                <w:i w:val="0"/>
                <w:iCs w:val="0"/>
                <w:color w:val="auto"/>
                <w:kern w:val="0"/>
                <w:sz w:val="21"/>
                <w:szCs w:val="21"/>
                <w:highlight w:val="none"/>
                <w:u w:val="none"/>
                <w:lang w:val="en-US" w:eastAsia="zh-CN" w:bidi="ar"/>
              </w:rPr>
              <w:t>轮休顶岗</w:t>
            </w:r>
          </w:p>
        </w:tc>
        <w:tc>
          <w:tcPr>
            <w:tcW w:w="1321" w:type="pct"/>
            <w:vMerge w:val="continue"/>
            <w:tcBorders>
              <w:tl2br w:val="nil"/>
              <w:tr2bl w:val="nil"/>
            </w:tcBorders>
            <w:shd w:val="clear" w:color="auto" w:fill="auto"/>
            <w:vAlign w:val="center"/>
          </w:tcPr>
          <w:p w14:paraId="61B1B4D7">
            <w:pPr>
              <w:keepNext/>
              <w:keepLines w:val="0"/>
              <w:widowControl/>
              <w:suppressLineNumbers w:val="0"/>
              <w:snapToGrid w:val="0"/>
              <w:spacing w:line="240" w:lineRule="auto"/>
              <w:ind w:firstLine="420" w:firstLineChars="200"/>
              <w:jc w:val="center"/>
              <w:textAlignment w:val="center"/>
              <w:rPr>
                <w:rFonts w:hint="eastAsia" w:ascii="宋体" w:hAnsi="宋体" w:eastAsia="宋体" w:cs="宋体"/>
                <w:color w:val="auto"/>
                <w:kern w:val="2"/>
                <w:sz w:val="21"/>
                <w:szCs w:val="21"/>
                <w:highlight w:val="none"/>
                <w:lang w:eastAsia="zh-CN"/>
              </w:rPr>
            </w:pPr>
          </w:p>
        </w:tc>
      </w:tr>
      <w:tr w14:paraId="29016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261" w:type="pct"/>
            <w:vMerge w:val="restart"/>
            <w:tcBorders>
              <w:tl2br w:val="nil"/>
              <w:tr2bl w:val="nil"/>
            </w:tcBorders>
            <w:shd w:val="clear" w:color="auto" w:fill="auto"/>
            <w:vAlign w:val="center"/>
          </w:tcPr>
          <w:p w14:paraId="158D6110">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3</w:t>
            </w:r>
          </w:p>
        </w:tc>
        <w:tc>
          <w:tcPr>
            <w:tcW w:w="318" w:type="pct"/>
            <w:vMerge w:val="restart"/>
            <w:tcBorders>
              <w:tl2br w:val="nil"/>
              <w:tr2bl w:val="nil"/>
            </w:tcBorders>
            <w:shd w:val="clear" w:color="auto" w:fill="auto"/>
            <w:vAlign w:val="center"/>
          </w:tcPr>
          <w:p w14:paraId="044ECCBC">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环境</w:t>
            </w:r>
          </w:p>
        </w:tc>
        <w:tc>
          <w:tcPr>
            <w:tcW w:w="378" w:type="pct"/>
            <w:tcBorders>
              <w:tl2br w:val="nil"/>
              <w:tr2bl w:val="nil"/>
            </w:tcBorders>
            <w:shd w:val="clear" w:color="auto" w:fill="auto"/>
            <w:vAlign w:val="center"/>
          </w:tcPr>
          <w:p w14:paraId="4EF35941">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环境负责人</w:t>
            </w:r>
          </w:p>
        </w:tc>
        <w:tc>
          <w:tcPr>
            <w:tcW w:w="407" w:type="pct"/>
            <w:tcBorders>
              <w:tl2br w:val="nil"/>
              <w:tr2bl w:val="nil"/>
            </w:tcBorders>
            <w:vAlign w:val="center"/>
          </w:tcPr>
          <w:p w14:paraId="4FAD378B">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w:t>
            </w:r>
          </w:p>
        </w:tc>
        <w:tc>
          <w:tcPr>
            <w:tcW w:w="527" w:type="pct"/>
            <w:tcBorders>
              <w:tl2br w:val="nil"/>
              <w:tr2bl w:val="nil"/>
            </w:tcBorders>
            <w:shd w:val="clear" w:color="auto" w:fill="auto"/>
            <w:vAlign w:val="center"/>
          </w:tcPr>
          <w:p w14:paraId="665F8C5A">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w:t>
            </w:r>
          </w:p>
        </w:tc>
        <w:tc>
          <w:tcPr>
            <w:tcW w:w="1785" w:type="pct"/>
            <w:tcBorders>
              <w:tl2br w:val="nil"/>
              <w:tr2bl w:val="nil"/>
            </w:tcBorders>
            <w:shd w:val="clear" w:color="auto" w:fill="auto"/>
            <w:vAlign w:val="center"/>
          </w:tcPr>
          <w:p w14:paraId="63AB1A39">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全面统筹保洁、室内绿化服务工作</w:t>
            </w:r>
          </w:p>
        </w:tc>
        <w:tc>
          <w:tcPr>
            <w:tcW w:w="1321" w:type="pct"/>
            <w:tcBorders>
              <w:tl2br w:val="nil"/>
              <w:tr2bl w:val="nil"/>
            </w:tcBorders>
            <w:shd w:val="clear" w:color="auto" w:fill="auto"/>
            <w:vAlign w:val="center"/>
          </w:tcPr>
          <w:p w14:paraId="5DA90212">
            <w:pPr>
              <w:keepNext/>
              <w:snapToGrid w:val="0"/>
              <w:spacing w:line="240" w:lineRule="auto"/>
              <w:ind w:left="0" w:leftChars="0" w:firstLine="0" w:firstLineChars="0"/>
              <w:jc w:val="both"/>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高中及以上学历，年龄45岁以下，具备2年以上物业管理或物业环境品质管控工作经验。</w:t>
            </w:r>
          </w:p>
        </w:tc>
      </w:tr>
      <w:tr w14:paraId="02D61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6" w:hRule="atLeast"/>
          <w:jc w:val="center"/>
        </w:trPr>
        <w:tc>
          <w:tcPr>
            <w:tcW w:w="261" w:type="pct"/>
            <w:vMerge w:val="continue"/>
            <w:tcBorders>
              <w:tl2br w:val="nil"/>
              <w:tr2bl w:val="nil"/>
            </w:tcBorders>
            <w:shd w:val="clear" w:color="auto" w:fill="auto"/>
            <w:vAlign w:val="center"/>
          </w:tcPr>
          <w:p w14:paraId="6E389BED">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p>
        </w:tc>
        <w:tc>
          <w:tcPr>
            <w:tcW w:w="318" w:type="pct"/>
            <w:vMerge w:val="continue"/>
            <w:tcBorders>
              <w:tl2br w:val="nil"/>
              <w:tr2bl w:val="nil"/>
            </w:tcBorders>
            <w:shd w:val="clear" w:color="auto" w:fill="auto"/>
            <w:vAlign w:val="center"/>
          </w:tcPr>
          <w:p w14:paraId="5E377282">
            <w:pPr>
              <w:widowControl/>
              <w:spacing w:line="240" w:lineRule="auto"/>
              <w:ind w:firstLine="0" w:firstLineChars="0"/>
              <w:jc w:val="center"/>
              <w:rPr>
                <w:rFonts w:hint="eastAsia" w:ascii="宋体" w:hAnsi="宋体" w:eastAsia="宋体" w:cs="宋体"/>
                <w:color w:val="auto"/>
                <w:kern w:val="2"/>
                <w:sz w:val="21"/>
                <w:szCs w:val="21"/>
                <w:highlight w:val="none"/>
                <w:lang w:eastAsia="zh-CN" w:bidi="ar-SA"/>
              </w:rPr>
            </w:pPr>
          </w:p>
        </w:tc>
        <w:tc>
          <w:tcPr>
            <w:tcW w:w="378" w:type="pct"/>
            <w:tcBorders>
              <w:tl2br w:val="nil"/>
              <w:tr2bl w:val="nil"/>
            </w:tcBorders>
            <w:shd w:val="clear" w:color="auto" w:fill="auto"/>
            <w:vAlign w:val="center"/>
          </w:tcPr>
          <w:p w14:paraId="5B7F0E90">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公区</w:t>
            </w:r>
            <w:r>
              <w:rPr>
                <w:rFonts w:hint="eastAsia" w:ascii="宋体" w:hAnsi="宋体" w:eastAsia="宋体" w:cs="宋体"/>
                <w:color w:val="auto"/>
                <w:kern w:val="2"/>
                <w:sz w:val="21"/>
                <w:szCs w:val="21"/>
                <w:highlight w:val="none"/>
                <w:lang w:eastAsia="zh-CN"/>
              </w:rPr>
              <w:t>保洁员</w:t>
            </w:r>
          </w:p>
        </w:tc>
        <w:tc>
          <w:tcPr>
            <w:tcW w:w="407" w:type="pct"/>
            <w:tcBorders>
              <w:tl2br w:val="nil"/>
              <w:tr2bl w:val="nil"/>
            </w:tcBorders>
            <w:vAlign w:val="center"/>
          </w:tcPr>
          <w:p w14:paraId="03390940">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10</w:t>
            </w:r>
          </w:p>
        </w:tc>
        <w:tc>
          <w:tcPr>
            <w:tcW w:w="527" w:type="pct"/>
            <w:tcBorders>
              <w:tl2br w:val="nil"/>
              <w:tr2bl w:val="nil"/>
            </w:tcBorders>
            <w:shd w:val="clear" w:color="auto" w:fill="auto"/>
            <w:vAlign w:val="center"/>
          </w:tcPr>
          <w:p w14:paraId="10E817EE">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12</w:t>
            </w:r>
          </w:p>
        </w:tc>
        <w:tc>
          <w:tcPr>
            <w:tcW w:w="1785" w:type="pct"/>
            <w:tcBorders>
              <w:tl2br w:val="nil"/>
              <w:tr2bl w:val="nil"/>
            </w:tcBorders>
            <w:shd w:val="clear" w:color="auto" w:fill="FFFFFF"/>
            <w:vAlign w:val="center"/>
          </w:tcPr>
          <w:p w14:paraId="13F07E2A">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auto"/>
                <w:sz w:val="21"/>
                <w:szCs w:val="21"/>
                <w:highlight w:val="none"/>
                <w:u w:val="none"/>
                <w:lang w:val="en-US" w:eastAsia="zh-CN" w:bidi="en-US"/>
              </w:rPr>
            </w:pPr>
            <w:r>
              <w:rPr>
                <w:rFonts w:hint="eastAsia" w:ascii="宋体" w:hAnsi="宋体" w:eastAsia="宋体" w:cs="宋体"/>
                <w:i w:val="0"/>
                <w:iCs w:val="0"/>
                <w:color w:val="auto"/>
                <w:kern w:val="0"/>
                <w:sz w:val="21"/>
                <w:szCs w:val="21"/>
                <w:highlight w:val="none"/>
                <w:u w:val="none"/>
                <w:lang w:val="en-US" w:eastAsia="zh-CN" w:bidi="ar"/>
              </w:rPr>
              <w:t>公共区域及洗手间清洁；停车场及外围保洁；垃圾收集与清运。</w:t>
            </w:r>
          </w:p>
        </w:tc>
        <w:tc>
          <w:tcPr>
            <w:tcW w:w="1321" w:type="pct"/>
            <w:tcBorders>
              <w:tl2br w:val="nil"/>
              <w:tr2bl w:val="nil"/>
            </w:tcBorders>
            <w:shd w:val="clear" w:color="auto" w:fill="auto"/>
            <w:vAlign w:val="center"/>
          </w:tcPr>
          <w:p w14:paraId="3F5941E8">
            <w:pPr>
              <w:keepNext/>
              <w:snapToGrid w:val="0"/>
              <w:spacing w:line="240" w:lineRule="auto"/>
              <w:ind w:left="0" w:leftChars="0" w:firstLine="0" w:firstLineChars="0"/>
              <w:jc w:val="both"/>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初中以上学历；男性18-60岁，女性18-55岁。</w:t>
            </w:r>
          </w:p>
        </w:tc>
      </w:tr>
      <w:tr w14:paraId="614E2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61" w:type="pct"/>
            <w:vMerge w:val="continue"/>
            <w:tcBorders>
              <w:tl2br w:val="nil"/>
              <w:tr2bl w:val="nil"/>
            </w:tcBorders>
            <w:shd w:val="clear" w:color="auto" w:fill="auto"/>
            <w:vAlign w:val="center"/>
          </w:tcPr>
          <w:p w14:paraId="0C825CC8">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p>
        </w:tc>
        <w:tc>
          <w:tcPr>
            <w:tcW w:w="318" w:type="pct"/>
            <w:vMerge w:val="continue"/>
            <w:tcBorders>
              <w:tl2br w:val="nil"/>
              <w:tr2bl w:val="nil"/>
            </w:tcBorders>
            <w:shd w:val="clear" w:color="auto" w:fill="auto"/>
            <w:vAlign w:val="center"/>
          </w:tcPr>
          <w:p w14:paraId="1D09875B">
            <w:pPr>
              <w:widowControl/>
              <w:spacing w:line="240" w:lineRule="auto"/>
              <w:ind w:firstLine="0" w:firstLineChars="0"/>
              <w:jc w:val="center"/>
              <w:rPr>
                <w:rFonts w:hint="eastAsia" w:ascii="宋体" w:hAnsi="宋体" w:eastAsia="宋体" w:cs="宋体"/>
                <w:color w:val="auto"/>
                <w:kern w:val="2"/>
                <w:sz w:val="21"/>
                <w:szCs w:val="21"/>
                <w:highlight w:val="none"/>
                <w:lang w:eastAsia="zh-CN" w:bidi="ar-SA"/>
              </w:rPr>
            </w:pPr>
          </w:p>
        </w:tc>
        <w:tc>
          <w:tcPr>
            <w:tcW w:w="378" w:type="pct"/>
            <w:tcBorders>
              <w:tl2br w:val="nil"/>
              <w:tr2bl w:val="nil"/>
            </w:tcBorders>
            <w:shd w:val="clear" w:color="auto" w:fill="auto"/>
            <w:vAlign w:val="center"/>
          </w:tcPr>
          <w:p w14:paraId="7D934DE6">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bidi="en-US"/>
              </w:rPr>
              <w:t>办公区域</w:t>
            </w:r>
            <w:r>
              <w:rPr>
                <w:rFonts w:hint="eastAsia" w:ascii="宋体" w:hAnsi="宋体" w:eastAsia="宋体" w:cs="宋体"/>
                <w:color w:val="auto"/>
                <w:kern w:val="2"/>
                <w:sz w:val="21"/>
                <w:szCs w:val="21"/>
                <w:highlight w:val="none"/>
                <w:lang w:val="en-US" w:eastAsia="zh-CN"/>
              </w:rPr>
              <w:t>保洁员</w:t>
            </w:r>
          </w:p>
        </w:tc>
        <w:tc>
          <w:tcPr>
            <w:tcW w:w="407" w:type="pct"/>
            <w:tcBorders>
              <w:tl2br w:val="nil"/>
              <w:tr2bl w:val="nil"/>
            </w:tcBorders>
            <w:vAlign w:val="center"/>
          </w:tcPr>
          <w:p w14:paraId="1A193B39">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18</w:t>
            </w:r>
          </w:p>
        </w:tc>
        <w:tc>
          <w:tcPr>
            <w:tcW w:w="527" w:type="pct"/>
            <w:tcBorders>
              <w:tl2br w:val="nil"/>
              <w:tr2bl w:val="nil"/>
            </w:tcBorders>
            <w:shd w:val="clear" w:color="auto" w:fill="auto"/>
            <w:vAlign w:val="center"/>
          </w:tcPr>
          <w:p w14:paraId="72D924EC">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18</w:t>
            </w:r>
          </w:p>
        </w:tc>
        <w:tc>
          <w:tcPr>
            <w:tcW w:w="1785" w:type="pct"/>
            <w:tcBorders>
              <w:tl2br w:val="nil"/>
              <w:tr2bl w:val="nil"/>
            </w:tcBorders>
            <w:shd w:val="clear" w:color="auto" w:fill="FFFFFF"/>
            <w:vAlign w:val="center"/>
          </w:tcPr>
          <w:p w14:paraId="2E8404CB">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u w:val="none"/>
                <w:lang w:val="en-US" w:eastAsia="zh-CN" w:bidi="ar"/>
              </w:rPr>
              <w:t>负责招标人集团内部各企业</w:t>
            </w:r>
            <w:r>
              <w:rPr>
                <w:rFonts w:hint="eastAsia" w:ascii="宋体" w:hAnsi="宋体" w:eastAsia="宋体" w:cs="宋体"/>
                <w:color w:val="auto"/>
                <w:sz w:val="21"/>
                <w:szCs w:val="21"/>
                <w:highlight w:val="none"/>
                <w:u w:val="none"/>
                <w:lang w:eastAsia="zh-CN" w:bidi="ar"/>
              </w:rPr>
              <w:t>办公区域</w:t>
            </w:r>
            <w:r>
              <w:rPr>
                <w:rFonts w:hint="eastAsia" w:ascii="宋体" w:hAnsi="宋体" w:eastAsia="宋体" w:cs="宋体"/>
                <w:color w:val="auto"/>
                <w:sz w:val="21"/>
                <w:szCs w:val="21"/>
                <w:highlight w:val="none"/>
                <w:u w:val="none"/>
                <w:lang w:val="en-US" w:eastAsia="zh-CN" w:bidi="ar"/>
              </w:rPr>
              <w:t>保洁</w:t>
            </w:r>
          </w:p>
        </w:tc>
        <w:tc>
          <w:tcPr>
            <w:tcW w:w="1321" w:type="pct"/>
            <w:tcBorders>
              <w:tl2br w:val="nil"/>
              <w:tr2bl w:val="nil"/>
            </w:tcBorders>
            <w:shd w:val="clear" w:color="auto" w:fill="auto"/>
            <w:vAlign w:val="center"/>
          </w:tcPr>
          <w:p w14:paraId="7081C5EF">
            <w:pPr>
              <w:keepNext/>
              <w:snapToGrid w:val="0"/>
              <w:spacing w:line="240" w:lineRule="auto"/>
              <w:ind w:left="0" w:leftChars="0" w:firstLine="0" w:firstLineChars="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初中以上学历；男性18-60岁，女性18-55岁。</w:t>
            </w:r>
          </w:p>
        </w:tc>
      </w:tr>
      <w:tr w14:paraId="0194D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261" w:type="pct"/>
            <w:vMerge w:val="continue"/>
            <w:tcBorders>
              <w:tl2br w:val="nil"/>
              <w:tr2bl w:val="nil"/>
            </w:tcBorders>
            <w:shd w:val="clear" w:color="auto" w:fill="auto"/>
            <w:vAlign w:val="center"/>
          </w:tcPr>
          <w:p w14:paraId="0F04A871">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p>
        </w:tc>
        <w:tc>
          <w:tcPr>
            <w:tcW w:w="318" w:type="pct"/>
            <w:vMerge w:val="continue"/>
            <w:tcBorders>
              <w:tl2br w:val="nil"/>
              <w:tr2bl w:val="nil"/>
            </w:tcBorders>
            <w:shd w:val="clear" w:color="auto" w:fill="auto"/>
            <w:vAlign w:val="center"/>
          </w:tcPr>
          <w:p w14:paraId="6F660B9C">
            <w:pPr>
              <w:widowControl/>
              <w:spacing w:line="240" w:lineRule="auto"/>
              <w:ind w:firstLine="0" w:firstLineChars="0"/>
              <w:jc w:val="center"/>
              <w:rPr>
                <w:rFonts w:hint="eastAsia" w:ascii="宋体" w:hAnsi="宋体" w:eastAsia="宋体" w:cs="宋体"/>
                <w:color w:val="auto"/>
                <w:kern w:val="2"/>
                <w:sz w:val="21"/>
                <w:szCs w:val="21"/>
                <w:highlight w:val="none"/>
                <w:lang w:eastAsia="zh-CN" w:bidi="ar-SA"/>
              </w:rPr>
            </w:pPr>
          </w:p>
        </w:tc>
        <w:tc>
          <w:tcPr>
            <w:tcW w:w="378" w:type="pct"/>
            <w:tcBorders>
              <w:tl2br w:val="nil"/>
              <w:tr2bl w:val="nil"/>
            </w:tcBorders>
            <w:shd w:val="clear" w:color="auto" w:fill="auto"/>
            <w:vAlign w:val="center"/>
          </w:tcPr>
          <w:p w14:paraId="72AE257D">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绿化养护</w:t>
            </w:r>
          </w:p>
        </w:tc>
        <w:tc>
          <w:tcPr>
            <w:tcW w:w="407" w:type="pct"/>
            <w:tcBorders>
              <w:tl2br w:val="nil"/>
              <w:tr2bl w:val="nil"/>
            </w:tcBorders>
            <w:vAlign w:val="center"/>
          </w:tcPr>
          <w:p w14:paraId="2BB20DB9">
            <w:pPr>
              <w:widowControl/>
              <w:spacing w:line="240" w:lineRule="auto"/>
              <w:ind w:firstLine="210" w:firstLineChars="100"/>
              <w:jc w:val="both"/>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w:t>
            </w:r>
          </w:p>
        </w:tc>
        <w:tc>
          <w:tcPr>
            <w:tcW w:w="527" w:type="pct"/>
            <w:tcBorders>
              <w:tl2br w:val="nil"/>
              <w:tr2bl w:val="nil"/>
            </w:tcBorders>
            <w:shd w:val="clear" w:color="auto" w:fill="auto"/>
            <w:vAlign w:val="center"/>
          </w:tcPr>
          <w:p w14:paraId="095F699F">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1</w:t>
            </w:r>
          </w:p>
        </w:tc>
        <w:tc>
          <w:tcPr>
            <w:tcW w:w="1785" w:type="pct"/>
            <w:tcBorders>
              <w:tl2br w:val="nil"/>
              <w:tr2bl w:val="nil"/>
            </w:tcBorders>
            <w:shd w:val="clear" w:color="auto" w:fill="auto"/>
            <w:vAlign w:val="center"/>
          </w:tcPr>
          <w:p w14:paraId="4E92CF9F">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i w:val="0"/>
                <w:iCs w:val="0"/>
                <w:color w:val="auto"/>
                <w:kern w:val="0"/>
                <w:sz w:val="21"/>
                <w:szCs w:val="21"/>
                <w:highlight w:val="none"/>
                <w:u w:val="none"/>
                <w:lang w:val="en-US" w:eastAsia="zh-CN" w:bidi="ar"/>
              </w:rPr>
              <w:t>园区绿化养护</w:t>
            </w:r>
          </w:p>
        </w:tc>
        <w:tc>
          <w:tcPr>
            <w:tcW w:w="1321" w:type="pct"/>
            <w:tcBorders>
              <w:tl2br w:val="nil"/>
              <w:tr2bl w:val="nil"/>
            </w:tcBorders>
            <w:shd w:val="clear" w:color="auto" w:fill="auto"/>
            <w:vAlign w:val="center"/>
          </w:tcPr>
          <w:p w14:paraId="301D4BB4">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i w:val="0"/>
                <w:iCs w:val="0"/>
                <w:color w:val="auto"/>
                <w:kern w:val="0"/>
                <w:sz w:val="21"/>
                <w:szCs w:val="21"/>
                <w:highlight w:val="none"/>
                <w:u w:val="none"/>
                <w:lang w:val="en-US" w:eastAsia="zh-CN" w:bidi="ar"/>
              </w:rPr>
              <w:t>中专以上学历；男性18-60岁，女性18-55岁。</w:t>
            </w:r>
          </w:p>
        </w:tc>
      </w:tr>
      <w:tr w14:paraId="400B0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jc w:val="center"/>
        </w:trPr>
        <w:tc>
          <w:tcPr>
            <w:tcW w:w="261" w:type="pct"/>
            <w:vMerge w:val="restart"/>
            <w:tcBorders>
              <w:tl2br w:val="nil"/>
              <w:tr2bl w:val="nil"/>
            </w:tcBorders>
            <w:shd w:val="clear" w:color="auto" w:fill="auto"/>
            <w:vAlign w:val="center"/>
          </w:tcPr>
          <w:p w14:paraId="090D7A1F">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4</w:t>
            </w:r>
          </w:p>
        </w:tc>
        <w:tc>
          <w:tcPr>
            <w:tcW w:w="318" w:type="pct"/>
            <w:vMerge w:val="restart"/>
            <w:tcBorders>
              <w:tl2br w:val="nil"/>
              <w:tr2bl w:val="nil"/>
            </w:tcBorders>
            <w:shd w:val="clear" w:color="auto" w:fill="auto"/>
            <w:vAlign w:val="center"/>
          </w:tcPr>
          <w:p w14:paraId="2BC47C46">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客服</w:t>
            </w:r>
          </w:p>
        </w:tc>
        <w:tc>
          <w:tcPr>
            <w:tcW w:w="378" w:type="pct"/>
            <w:tcBorders>
              <w:tl2br w:val="nil"/>
              <w:tr2bl w:val="nil"/>
            </w:tcBorders>
            <w:shd w:val="clear" w:color="auto" w:fill="auto"/>
            <w:vAlign w:val="center"/>
          </w:tcPr>
          <w:p w14:paraId="2D4523E7">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客服负责人</w:t>
            </w:r>
          </w:p>
        </w:tc>
        <w:tc>
          <w:tcPr>
            <w:tcW w:w="407" w:type="pct"/>
            <w:tcBorders>
              <w:tl2br w:val="nil"/>
              <w:tr2bl w:val="nil"/>
            </w:tcBorders>
            <w:vAlign w:val="center"/>
          </w:tcPr>
          <w:p w14:paraId="4C3B4F63">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w:t>
            </w:r>
          </w:p>
        </w:tc>
        <w:tc>
          <w:tcPr>
            <w:tcW w:w="527" w:type="pct"/>
            <w:tcBorders>
              <w:tl2br w:val="nil"/>
              <w:tr2bl w:val="nil"/>
            </w:tcBorders>
            <w:shd w:val="clear" w:color="auto" w:fill="auto"/>
            <w:vAlign w:val="center"/>
          </w:tcPr>
          <w:p w14:paraId="2FE18547">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1</w:t>
            </w:r>
          </w:p>
        </w:tc>
        <w:tc>
          <w:tcPr>
            <w:tcW w:w="1785" w:type="pct"/>
            <w:tcBorders>
              <w:tl2br w:val="nil"/>
              <w:tr2bl w:val="nil"/>
            </w:tcBorders>
            <w:shd w:val="clear" w:color="auto" w:fill="FFFFFF"/>
            <w:vAlign w:val="center"/>
          </w:tcPr>
          <w:p w14:paraId="71D45ACD">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auto"/>
                <w:sz w:val="21"/>
                <w:szCs w:val="21"/>
                <w:highlight w:val="none"/>
                <w:u w:val="none"/>
                <w:lang w:val="en-US" w:eastAsia="zh-CN" w:bidi="en-US"/>
              </w:rPr>
            </w:pPr>
            <w:r>
              <w:rPr>
                <w:rFonts w:hint="eastAsia" w:ascii="宋体" w:hAnsi="宋体" w:eastAsia="宋体" w:cs="宋体"/>
                <w:i w:val="0"/>
                <w:iCs w:val="0"/>
                <w:color w:val="auto"/>
                <w:kern w:val="0"/>
                <w:sz w:val="21"/>
                <w:szCs w:val="21"/>
                <w:highlight w:val="none"/>
                <w:u w:val="none"/>
                <w:lang w:val="en-US" w:eastAsia="zh-CN" w:bidi="ar"/>
              </w:rPr>
              <w:t>客户诉求处理及关系维护，业务办理</w:t>
            </w:r>
          </w:p>
        </w:tc>
        <w:tc>
          <w:tcPr>
            <w:tcW w:w="1321" w:type="pct"/>
            <w:tcBorders>
              <w:tl2br w:val="nil"/>
              <w:tr2bl w:val="nil"/>
            </w:tcBorders>
            <w:shd w:val="clear" w:color="auto" w:fill="auto"/>
            <w:vAlign w:val="center"/>
          </w:tcPr>
          <w:p w14:paraId="00C5E422">
            <w:pPr>
              <w:keepNext/>
              <w:snapToGrid w:val="0"/>
              <w:spacing w:line="240" w:lineRule="auto"/>
              <w:ind w:left="0" w:leftChars="0" w:firstLine="0" w:firstLineChars="0"/>
              <w:jc w:val="both"/>
              <w:rPr>
                <w:rFonts w:hint="eastAsia" w:ascii="宋体" w:hAnsi="宋体" w:eastAsia="宋体" w:cs="宋体"/>
                <w:color w:val="auto"/>
                <w:kern w:val="2"/>
                <w:sz w:val="21"/>
                <w:szCs w:val="21"/>
                <w:highlight w:val="none"/>
                <w:lang w:eastAsia="zh-CN" w:bidi="ar-SA"/>
              </w:rPr>
            </w:pPr>
            <w:r>
              <w:rPr>
                <w:rFonts w:hint="eastAsia" w:ascii="宋体" w:hAnsi="宋体" w:eastAsia="宋体" w:cs="宋体"/>
                <w:i w:val="0"/>
                <w:iCs w:val="0"/>
                <w:color w:val="auto"/>
                <w:kern w:val="0"/>
                <w:sz w:val="21"/>
                <w:szCs w:val="21"/>
                <w:highlight w:val="none"/>
                <w:u w:val="none"/>
                <w:lang w:val="en-US" w:eastAsia="zh-CN" w:bidi="ar"/>
              </w:rPr>
              <w:t>专科及以上学历，年龄35岁以下，相貌端庄，举止大方，具备2年以上相同岗位管理经验。</w:t>
            </w:r>
          </w:p>
        </w:tc>
      </w:tr>
      <w:tr w14:paraId="0FA4A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9" w:hRule="atLeast"/>
          <w:jc w:val="center"/>
        </w:trPr>
        <w:tc>
          <w:tcPr>
            <w:tcW w:w="261" w:type="pct"/>
            <w:vMerge w:val="continue"/>
            <w:tcBorders>
              <w:tl2br w:val="nil"/>
              <w:tr2bl w:val="nil"/>
            </w:tcBorders>
            <w:shd w:val="clear" w:color="auto" w:fill="auto"/>
            <w:vAlign w:val="center"/>
          </w:tcPr>
          <w:p w14:paraId="6125D3AE">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p>
        </w:tc>
        <w:tc>
          <w:tcPr>
            <w:tcW w:w="318" w:type="pct"/>
            <w:vMerge w:val="continue"/>
            <w:tcBorders>
              <w:tl2br w:val="nil"/>
              <w:tr2bl w:val="nil"/>
            </w:tcBorders>
            <w:shd w:val="clear" w:color="auto" w:fill="auto"/>
            <w:vAlign w:val="center"/>
          </w:tcPr>
          <w:p w14:paraId="14C12639">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p>
        </w:tc>
        <w:tc>
          <w:tcPr>
            <w:tcW w:w="378" w:type="pct"/>
            <w:tcBorders>
              <w:tl2br w:val="nil"/>
              <w:tr2bl w:val="nil"/>
            </w:tcBorders>
            <w:shd w:val="clear" w:color="auto" w:fill="auto"/>
            <w:vAlign w:val="center"/>
          </w:tcPr>
          <w:p w14:paraId="487B8A4E">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大堂客服</w:t>
            </w:r>
          </w:p>
        </w:tc>
        <w:tc>
          <w:tcPr>
            <w:tcW w:w="407" w:type="pct"/>
            <w:tcBorders>
              <w:tl2br w:val="nil"/>
              <w:tr2bl w:val="nil"/>
            </w:tcBorders>
            <w:vAlign w:val="center"/>
          </w:tcPr>
          <w:p w14:paraId="089909F4">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4</w:t>
            </w:r>
          </w:p>
        </w:tc>
        <w:tc>
          <w:tcPr>
            <w:tcW w:w="527" w:type="pct"/>
            <w:tcBorders>
              <w:tl2br w:val="nil"/>
              <w:tr2bl w:val="nil"/>
            </w:tcBorders>
            <w:shd w:val="clear" w:color="auto" w:fill="auto"/>
            <w:vAlign w:val="center"/>
          </w:tcPr>
          <w:p w14:paraId="096747D8">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4</w:t>
            </w:r>
          </w:p>
        </w:tc>
        <w:tc>
          <w:tcPr>
            <w:tcW w:w="1785" w:type="pct"/>
            <w:tcBorders>
              <w:tl2br w:val="nil"/>
              <w:tr2bl w:val="nil"/>
            </w:tcBorders>
            <w:shd w:val="clear" w:color="auto" w:fill="FFFFFF"/>
            <w:vAlign w:val="center"/>
          </w:tcPr>
          <w:p w14:paraId="01400D80">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auto"/>
                <w:sz w:val="21"/>
                <w:szCs w:val="21"/>
                <w:highlight w:val="none"/>
                <w:u w:val="none"/>
                <w:lang w:val="en-US" w:eastAsia="zh-CN" w:bidi="en-US"/>
              </w:rPr>
            </w:pPr>
            <w:r>
              <w:rPr>
                <w:rFonts w:hint="eastAsia" w:ascii="宋体" w:hAnsi="宋体" w:eastAsia="宋体" w:cs="宋体"/>
                <w:i w:val="0"/>
                <w:iCs w:val="0"/>
                <w:color w:val="auto"/>
                <w:kern w:val="0"/>
                <w:sz w:val="21"/>
                <w:szCs w:val="21"/>
                <w:highlight w:val="none"/>
                <w:u w:val="none"/>
                <w:lang w:val="en-US" w:eastAsia="zh-CN" w:bidi="ar"/>
              </w:rPr>
              <w:t>大堂前台值守，处理客户诉求，业务办理；二班制；大堂出入服务指引；</w:t>
            </w:r>
          </w:p>
        </w:tc>
        <w:tc>
          <w:tcPr>
            <w:tcW w:w="1321" w:type="pct"/>
            <w:tcBorders>
              <w:tl2br w:val="nil"/>
              <w:tr2bl w:val="nil"/>
            </w:tcBorders>
            <w:shd w:val="clear" w:color="auto" w:fill="auto"/>
            <w:vAlign w:val="center"/>
          </w:tcPr>
          <w:p w14:paraId="34AC0E72">
            <w:pPr>
              <w:keepNext/>
              <w:snapToGrid w:val="0"/>
              <w:spacing w:line="240" w:lineRule="auto"/>
              <w:ind w:left="0" w:leftChars="0" w:firstLine="0" w:firstLineChars="0"/>
              <w:jc w:val="both"/>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高中及以上学历，年龄18-35岁，身高男生≥175cm，女生≥165cm，形象好，气质佳；身心健康、五官端正、手臂腿部无纹身、无明显疤痕，发色无明显染色；口齿清楚，声音宏亮，具有良好的普通话、粤语表达沟通能力</w:t>
            </w:r>
          </w:p>
        </w:tc>
      </w:tr>
      <w:tr w14:paraId="27039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4" w:hRule="atLeast"/>
          <w:jc w:val="center"/>
        </w:trPr>
        <w:tc>
          <w:tcPr>
            <w:tcW w:w="261" w:type="pct"/>
            <w:vMerge w:val="restart"/>
            <w:tcBorders>
              <w:tl2br w:val="nil"/>
              <w:tr2bl w:val="nil"/>
            </w:tcBorders>
            <w:shd w:val="clear" w:color="auto" w:fill="auto"/>
            <w:vAlign w:val="center"/>
          </w:tcPr>
          <w:p w14:paraId="41EE1CA2">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5</w:t>
            </w:r>
          </w:p>
        </w:tc>
        <w:tc>
          <w:tcPr>
            <w:tcW w:w="318" w:type="pct"/>
            <w:vMerge w:val="restart"/>
            <w:tcBorders>
              <w:tl2br w:val="nil"/>
              <w:tr2bl w:val="nil"/>
            </w:tcBorders>
            <w:shd w:val="clear" w:color="auto" w:fill="auto"/>
            <w:vAlign w:val="center"/>
          </w:tcPr>
          <w:p w14:paraId="418AABA1">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工程</w:t>
            </w:r>
          </w:p>
        </w:tc>
        <w:tc>
          <w:tcPr>
            <w:tcW w:w="378" w:type="pct"/>
            <w:tcBorders>
              <w:tl2br w:val="nil"/>
              <w:tr2bl w:val="nil"/>
            </w:tcBorders>
            <w:shd w:val="clear" w:color="auto" w:fill="auto"/>
            <w:vAlign w:val="center"/>
          </w:tcPr>
          <w:p w14:paraId="0F4AB000">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工程负责人</w:t>
            </w:r>
          </w:p>
        </w:tc>
        <w:tc>
          <w:tcPr>
            <w:tcW w:w="407" w:type="pct"/>
            <w:tcBorders>
              <w:tl2br w:val="nil"/>
              <w:tr2bl w:val="nil"/>
            </w:tcBorders>
            <w:vAlign w:val="center"/>
          </w:tcPr>
          <w:p w14:paraId="4261A82D">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w:t>
            </w:r>
          </w:p>
        </w:tc>
        <w:tc>
          <w:tcPr>
            <w:tcW w:w="527" w:type="pct"/>
            <w:tcBorders>
              <w:tl2br w:val="nil"/>
              <w:tr2bl w:val="nil"/>
            </w:tcBorders>
            <w:shd w:val="clear" w:color="auto" w:fill="auto"/>
            <w:vAlign w:val="center"/>
          </w:tcPr>
          <w:p w14:paraId="37CACF4F">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1</w:t>
            </w:r>
          </w:p>
        </w:tc>
        <w:tc>
          <w:tcPr>
            <w:tcW w:w="1785" w:type="pct"/>
            <w:tcBorders>
              <w:tl2br w:val="nil"/>
              <w:tr2bl w:val="nil"/>
            </w:tcBorders>
            <w:shd w:val="clear" w:color="auto" w:fill="auto"/>
            <w:vAlign w:val="center"/>
          </w:tcPr>
          <w:p w14:paraId="5B6DD1EE">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i w:val="0"/>
                <w:iCs w:val="0"/>
                <w:color w:val="auto"/>
                <w:kern w:val="0"/>
                <w:sz w:val="21"/>
                <w:szCs w:val="21"/>
                <w:highlight w:val="none"/>
                <w:u w:val="none"/>
                <w:lang w:val="en-US" w:eastAsia="zh-CN" w:bidi="ar"/>
              </w:rPr>
              <w:t>统筹现场工程技术相关工作</w:t>
            </w:r>
          </w:p>
        </w:tc>
        <w:tc>
          <w:tcPr>
            <w:tcW w:w="1321" w:type="pct"/>
            <w:tcBorders>
              <w:tl2br w:val="nil"/>
              <w:tr2bl w:val="nil"/>
            </w:tcBorders>
            <w:shd w:val="clear" w:color="auto" w:fill="auto"/>
            <w:vAlign w:val="center"/>
          </w:tcPr>
          <w:p w14:paraId="65F5DA06">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i w:val="0"/>
                <w:iCs w:val="0"/>
                <w:color w:val="auto"/>
                <w:kern w:val="0"/>
                <w:sz w:val="21"/>
                <w:szCs w:val="21"/>
                <w:highlight w:val="none"/>
                <w:u w:val="none"/>
                <w:lang w:val="en-US" w:eastAsia="zh-CN" w:bidi="ar"/>
              </w:rPr>
              <w:t>机电工程、建筑工程、土木工程等相关专业大专及以上学历，年龄45岁以下，具有5年以上物业设施工作经验，其中3年以上相同岗位管理经验。</w:t>
            </w:r>
          </w:p>
        </w:tc>
      </w:tr>
      <w:tr w14:paraId="040E5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5" w:hRule="atLeast"/>
          <w:jc w:val="center"/>
        </w:trPr>
        <w:tc>
          <w:tcPr>
            <w:tcW w:w="261" w:type="pct"/>
            <w:vMerge w:val="continue"/>
            <w:tcBorders>
              <w:tl2br w:val="nil"/>
              <w:tr2bl w:val="nil"/>
            </w:tcBorders>
            <w:shd w:val="clear" w:color="auto" w:fill="auto"/>
            <w:vAlign w:val="center"/>
          </w:tcPr>
          <w:p w14:paraId="2951507C">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p>
        </w:tc>
        <w:tc>
          <w:tcPr>
            <w:tcW w:w="318" w:type="pct"/>
            <w:vMerge w:val="continue"/>
            <w:tcBorders>
              <w:tl2br w:val="nil"/>
              <w:tr2bl w:val="nil"/>
            </w:tcBorders>
            <w:shd w:val="clear" w:color="auto" w:fill="auto"/>
            <w:vAlign w:val="center"/>
          </w:tcPr>
          <w:p w14:paraId="00B82C99">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p>
        </w:tc>
        <w:tc>
          <w:tcPr>
            <w:tcW w:w="378" w:type="pct"/>
            <w:tcBorders>
              <w:tl2br w:val="nil"/>
              <w:tr2bl w:val="nil"/>
            </w:tcBorders>
            <w:shd w:val="clear" w:color="auto" w:fill="FFFFFF"/>
            <w:vAlign w:val="center"/>
          </w:tcPr>
          <w:p w14:paraId="453F80D8">
            <w:pPr>
              <w:keepNext/>
              <w:keepLines w:val="0"/>
              <w:widowControl/>
              <w:suppressLineNumbers w:val="0"/>
              <w:snapToGrid w:val="0"/>
              <w:spacing w:line="240" w:lineRule="auto"/>
              <w:ind w:left="0" w:leftChars="0" w:firstLine="0" w:firstLineChars="0"/>
              <w:jc w:val="center"/>
              <w:textAlignment w:val="center"/>
              <w:rPr>
                <w:rFonts w:hint="eastAsia" w:ascii="宋体" w:hAnsi="宋体" w:eastAsia="宋体" w:cs="宋体"/>
                <w:i w:val="0"/>
                <w:iCs w:val="0"/>
                <w:color w:val="auto"/>
                <w:sz w:val="21"/>
                <w:szCs w:val="21"/>
                <w:highlight w:val="none"/>
                <w:u w:val="none"/>
                <w:lang w:val="en-US" w:eastAsia="zh-CN" w:bidi="en-US"/>
              </w:rPr>
            </w:pPr>
            <w:r>
              <w:rPr>
                <w:rFonts w:hint="eastAsia" w:ascii="宋体" w:hAnsi="宋体" w:eastAsia="宋体" w:cs="宋体"/>
                <w:i w:val="0"/>
                <w:iCs w:val="0"/>
                <w:color w:val="auto"/>
                <w:sz w:val="21"/>
                <w:szCs w:val="21"/>
                <w:highlight w:val="none"/>
                <w:u w:val="none"/>
                <w:lang w:val="en-US" w:eastAsia="zh-CN"/>
              </w:rPr>
              <w:t>工程主管</w:t>
            </w:r>
          </w:p>
        </w:tc>
        <w:tc>
          <w:tcPr>
            <w:tcW w:w="407" w:type="pct"/>
            <w:tcBorders>
              <w:tl2br w:val="nil"/>
              <w:tr2bl w:val="nil"/>
            </w:tcBorders>
            <w:shd w:val="clear" w:color="auto" w:fill="FFFFFF"/>
            <w:vAlign w:val="center"/>
          </w:tcPr>
          <w:p w14:paraId="14B84ED5">
            <w:pPr>
              <w:keepNext/>
              <w:keepLines w:val="0"/>
              <w:widowControl/>
              <w:suppressLineNumbers w:val="0"/>
              <w:snapToGrid w:val="0"/>
              <w:spacing w:line="240" w:lineRule="auto"/>
              <w:ind w:left="0" w:leftChars="0" w:firstLine="0" w:firstLineChars="0"/>
              <w:jc w:val="center"/>
              <w:textAlignment w:val="center"/>
              <w:rPr>
                <w:rFonts w:hint="eastAsia" w:ascii="宋体" w:hAnsi="宋体" w:eastAsia="宋体" w:cs="宋体"/>
                <w:i w:val="0"/>
                <w:iCs w:val="0"/>
                <w:color w:val="auto"/>
                <w:sz w:val="21"/>
                <w:szCs w:val="21"/>
                <w:highlight w:val="none"/>
                <w:u w:val="none"/>
                <w:lang w:val="en-US" w:eastAsia="zh-CN" w:bidi="en-US"/>
              </w:rPr>
            </w:pPr>
            <w:r>
              <w:rPr>
                <w:rFonts w:hint="eastAsia" w:ascii="宋体" w:hAnsi="宋体" w:eastAsia="宋体" w:cs="宋体"/>
                <w:i w:val="0"/>
                <w:iCs w:val="0"/>
                <w:color w:val="auto"/>
                <w:sz w:val="21"/>
                <w:szCs w:val="21"/>
                <w:highlight w:val="none"/>
                <w:u w:val="none"/>
                <w:lang w:val="en-US" w:eastAsia="zh-CN"/>
              </w:rPr>
              <w:t>1</w:t>
            </w:r>
          </w:p>
        </w:tc>
        <w:tc>
          <w:tcPr>
            <w:tcW w:w="527" w:type="pct"/>
            <w:tcBorders>
              <w:tl2br w:val="nil"/>
              <w:tr2bl w:val="nil"/>
            </w:tcBorders>
            <w:shd w:val="clear" w:color="auto" w:fill="FFFFFF"/>
            <w:vAlign w:val="center"/>
          </w:tcPr>
          <w:p w14:paraId="4CB8E06D">
            <w:pPr>
              <w:keepNext/>
              <w:keepLines w:val="0"/>
              <w:widowControl/>
              <w:suppressLineNumbers w:val="0"/>
              <w:snapToGrid w:val="0"/>
              <w:spacing w:line="240" w:lineRule="auto"/>
              <w:ind w:firstLine="420" w:firstLineChars="200"/>
              <w:jc w:val="both"/>
              <w:textAlignment w:val="center"/>
              <w:rPr>
                <w:rFonts w:hint="eastAsia" w:ascii="宋体" w:hAnsi="宋体" w:eastAsia="宋体" w:cs="宋体"/>
                <w:i w:val="0"/>
                <w:iCs w:val="0"/>
                <w:color w:val="auto"/>
                <w:sz w:val="21"/>
                <w:szCs w:val="21"/>
                <w:highlight w:val="none"/>
                <w:u w:val="none"/>
                <w:lang w:val="en-US" w:eastAsia="zh-CN" w:bidi="en-US"/>
              </w:rPr>
            </w:pPr>
            <w:r>
              <w:rPr>
                <w:rFonts w:hint="eastAsia" w:ascii="宋体" w:hAnsi="宋体" w:eastAsia="宋体" w:cs="宋体"/>
                <w:i w:val="0"/>
                <w:iCs w:val="0"/>
                <w:color w:val="auto"/>
                <w:sz w:val="21"/>
                <w:szCs w:val="21"/>
                <w:highlight w:val="none"/>
                <w:u w:val="none"/>
                <w:lang w:val="en-US" w:eastAsia="zh-CN"/>
              </w:rPr>
              <w:t>1</w:t>
            </w:r>
          </w:p>
        </w:tc>
        <w:tc>
          <w:tcPr>
            <w:tcW w:w="1785" w:type="pct"/>
            <w:tcBorders>
              <w:tl2br w:val="nil"/>
              <w:tr2bl w:val="nil"/>
            </w:tcBorders>
            <w:shd w:val="clear" w:color="auto" w:fill="FFFFFF"/>
            <w:vAlign w:val="center"/>
          </w:tcPr>
          <w:p w14:paraId="0B68FF56">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auto"/>
                <w:sz w:val="21"/>
                <w:szCs w:val="21"/>
                <w:highlight w:val="none"/>
                <w:u w:val="none"/>
                <w:lang w:val="en-US" w:eastAsia="zh-CN" w:bidi="en-US"/>
              </w:rPr>
            </w:pPr>
            <w:r>
              <w:rPr>
                <w:rFonts w:hint="eastAsia" w:ascii="宋体" w:hAnsi="宋体" w:eastAsia="宋体" w:cs="宋体"/>
                <w:i w:val="0"/>
                <w:iCs w:val="0"/>
                <w:color w:val="auto"/>
                <w:sz w:val="21"/>
                <w:szCs w:val="21"/>
                <w:highlight w:val="none"/>
                <w:u w:val="none"/>
                <w:lang w:val="en-US" w:eastAsia="zh-CN"/>
              </w:rPr>
              <w:t>协助工程负责人开展日常工作，对接相关专项维保供方，</w:t>
            </w:r>
            <w:r>
              <w:rPr>
                <w:rFonts w:hint="eastAsia" w:ascii="宋体" w:hAnsi="宋体" w:eastAsia="宋体" w:cs="宋体"/>
                <w:i w:val="0"/>
                <w:iCs w:val="0"/>
                <w:color w:val="auto"/>
                <w:sz w:val="21"/>
                <w:szCs w:val="21"/>
                <w:highlight w:val="none"/>
                <w:u w:val="none"/>
              </w:rPr>
              <w:t>负责日常维修、设施设备维保和施工监管等工作</w:t>
            </w:r>
          </w:p>
        </w:tc>
        <w:tc>
          <w:tcPr>
            <w:tcW w:w="1321" w:type="pct"/>
            <w:tcBorders>
              <w:tl2br w:val="nil"/>
              <w:tr2bl w:val="nil"/>
            </w:tcBorders>
            <w:shd w:val="clear" w:color="auto" w:fill="FFFFFF"/>
            <w:vAlign w:val="center"/>
          </w:tcPr>
          <w:p w14:paraId="5992A971">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auto"/>
                <w:sz w:val="21"/>
                <w:szCs w:val="21"/>
                <w:highlight w:val="none"/>
                <w:u w:val="none"/>
                <w:lang w:val="en-US" w:eastAsia="zh-CN" w:bidi="en-US"/>
              </w:rPr>
            </w:pPr>
            <w:r>
              <w:rPr>
                <w:rFonts w:hint="eastAsia" w:ascii="宋体" w:hAnsi="宋体" w:eastAsia="宋体" w:cs="宋体"/>
                <w:i w:val="0"/>
                <w:iCs w:val="0"/>
                <w:color w:val="auto"/>
                <w:kern w:val="0"/>
                <w:sz w:val="21"/>
                <w:szCs w:val="21"/>
                <w:highlight w:val="none"/>
                <w:u w:val="none"/>
                <w:lang w:val="en-US" w:eastAsia="zh-CN" w:bidi="ar"/>
              </w:rPr>
              <w:t>机电工程、建筑工程、土木工程等相关专业大专及以上学历，年龄45岁以下，具有3年以上物业设施工作经验</w:t>
            </w:r>
          </w:p>
        </w:tc>
      </w:tr>
      <w:tr w14:paraId="3EBE8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0" w:hRule="atLeast"/>
          <w:jc w:val="center"/>
        </w:trPr>
        <w:tc>
          <w:tcPr>
            <w:tcW w:w="261" w:type="pct"/>
            <w:vMerge w:val="continue"/>
            <w:tcBorders>
              <w:tl2br w:val="nil"/>
              <w:tr2bl w:val="nil"/>
            </w:tcBorders>
            <w:shd w:val="clear" w:color="auto" w:fill="auto"/>
            <w:vAlign w:val="center"/>
          </w:tcPr>
          <w:p w14:paraId="0932D703">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p>
        </w:tc>
        <w:tc>
          <w:tcPr>
            <w:tcW w:w="318" w:type="pct"/>
            <w:vMerge w:val="continue"/>
            <w:tcBorders>
              <w:tl2br w:val="nil"/>
              <w:tr2bl w:val="nil"/>
            </w:tcBorders>
            <w:shd w:val="clear" w:color="auto" w:fill="auto"/>
            <w:vAlign w:val="center"/>
          </w:tcPr>
          <w:p w14:paraId="69C8E577">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p>
        </w:tc>
        <w:tc>
          <w:tcPr>
            <w:tcW w:w="378" w:type="pct"/>
            <w:tcBorders>
              <w:tl2br w:val="nil"/>
              <w:tr2bl w:val="nil"/>
            </w:tcBorders>
            <w:shd w:val="clear" w:color="auto" w:fill="FFFFFF"/>
            <w:vAlign w:val="center"/>
          </w:tcPr>
          <w:p w14:paraId="1120E954">
            <w:pPr>
              <w:keepNext/>
              <w:keepLines w:val="0"/>
              <w:widowControl/>
              <w:suppressLineNumbers w:val="0"/>
              <w:snapToGrid w:val="0"/>
              <w:spacing w:line="240" w:lineRule="auto"/>
              <w:ind w:left="0" w:leftChars="0" w:firstLine="0" w:firstLineChars="0"/>
              <w:jc w:val="center"/>
              <w:textAlignment w:val="center"/>
              <w:rPr>
                <w:rFonts w:hint="eastAsia" w:ascii="宋体" w:hAnsi="宋体" w:eastAsia="宋体" w:cs="宋体"/>
                <w:i w:val="0"/>
                <w:iCs w:val="0"/>
                <w:color w:val="auto"/>
                <w:sz w:val="21"/>
                <w:szCs w:val="21"/>
                <w:highlight w:val="none"/>
                <w:u w:val="none"/>
                <w:lang w:val="en-US" w:eastAsia="zh-CN" w:bidi="en-US"/>
              </w:rPr>
            </w:pPr>
            <w:r>
              <w:rPr>
                <w:rFonts w:hint="eastAsia" w:ascii="宋体" w:hAnsi="宋体" w:eastAsia="宋体" w:cs="宋体"/>
                <w:i w:val="0"/>
                <w:iCs w:val="0"/>
                <w:color w:val="auto"/>
                <w:kern w:val="0"/>
                <w:sz w:val="21"/>
                <w:szCs w:val="21"/>
                <w:highlight w:val="none"/>
                <w:u w:val="none"/>
                <w:lang w:val="en-US" w:eastAsia="zh-CN" w:bidi="ar"/>
              </w:rPr>
              <w:t>工程管理人员</w:t>
            </w:r>
          </w:p>
        </w:tc>
        <w:tc>
          <w:tcPr>
            <w:tcW w:w="407" w:type="pct"/>
            <w:tcBorders>
              <w:tl2br w:val="nil"/>
              <w:tr2bl w:val="nil"/>
            </w:tcBorders>
            <w:shd w:val="clear" w:color="auto" w:fill="FFFFFF"/>
            <w:vAlign w:val="center"/>
          </w:tcPr>
          <w:p w14:paraId="68AC3F32">
            <w:pPr>
              <w:keepNext/>
              <w:keepLines w:val="0"/>
              <w:widowControl/>
              <w:suppressLineNumbers w:val="0"/>
              <w:snapToGrid w:val="0"/>
              <w:spacing w:line="240" w:lineRule="auto"/>
              <w:ind w:left="0" w:leftChars="0" w:firstLine="0" w:firstLineChars="0"/>
              <w:jc w:val="center"/>
              <w:textAlignment w:val="center"/>
              <w:rPr>
                <w:rFonts w:hint="eastAsia" w:ascii="宋体" w:hAnsi="宋体" w:eastAsia="宋体" w:cs="宋体"/>
                <w:i w:val="0"/>
                <w:iCs w:val="0"/>
                <w:color w:val="auto"/>
                <w:sz w:val="21"/>
                <w:szCs w:val="21"/>
                <w:highlight w:val="none"/>
                <w:u w:val="none"/>
                <w:lang w:val="en-US" w:eastAsia="zh-CN" w:bidi="en-US"/>
              </w:rPr>
            </w:pPr>
            <w:r>
              <w:rPr>
                <w:rFonts w:hint="eastAsia" w:ascii="宋体" w:hAnsi="宋体" w:eastAsia="宋体" w:cs="宋体"/>
                <w:i w:val="0"/>
                <w:iCs w:val="0"/>
                <w:color w:val="auto"/>
                <w:sz w:val="21"/>
                <w:szCs w:val="21"/>
                <w:highlight w:val="none"/>
                <w:u w:val="none"/>
                <w:lang w:val="en-US" w:eastAsia="zh-CN" w:bidi="en-US"/>
              </w:rPr>
              <w:t>4</w:t>
            </w:r>
          </w:p>
        </w:tc>
        <w:tc>
          <w:tcPr>
            <w:tcW w:w="527" w:type="pct"/>
            <w:tcBorders>
              <w:tl2br w:val="nil"/>
              <w:tr2bl w:val="nil"/>
            </w:tcBorders>
            <w:shd w:val="clear" w:color="auto" w:fill="FFFFFF"/>
            <w:vAlign w:val="center"/>
          </w:tcPr>
          <w:p w14:paraId="29C66E9A">
            <w:pPr>
              <w:keepNext/>
              <w:keepLines w:val="0"/>
              <w:widowControl/>
              <w:suppressLineNumbers w:val="0"/>
              <w:snapToGrid w:val="0"/>
              <w:spacing w:line="240" w:lineRule="auto"/>
              <w:ind w:firstLine="420" w:firstLineChars="200"/>
              <w:jc w:val="both"/>
              <w:textAlignment w:val="center"/>
              <w:rPr>
                <w:rFonts w:hint="eastAsia" w:ascii="宋体" w:hAnsi="宋体" w:eastAsia="宋体" w:cs="宋体"/>
                <w:i w:val="0"/>
                <w:iCs w:val="0"/>
                <w:color w:val="auto"/>
                <w:sz w:val="21"/>
                <w:szCs w:val="21"/>
                <w:highlight w:val="none"/>
                <w:u w:val="none"/>
                <w:lang w:val="en-US" w:eastAsia="zh-CN" w:bidi="en-US"/>
              </w:rPr>
            </w:pPr>
            <w:r>
              <w:rPr>
                <w:rFonts w:hint="eastAsia" w:ascii="宋体" w:hAnsi="宋体" w:eastAsia="宋体" w:cs="宋体"/>
                <w:i w:val="0"/>
                <w:iCs w:val="0"/>
                <w:color w:val="auto"/>
                <w:sz w:val="21"/>
                <w:szCs w:val="21"/>
                <w:highlight w:val="none"/>
                <w:u w:val="none"/>
                <w:lang w:val="en-US" w:eastAsia="zh-CN" w:bidi="en-US"/>
              </w:rPr>
              <w:t>5</w:t>
            </w:r>
          </w:p>
        </w:tc>
        <w:tc>
          <w:tcPr>
            <w:tcW w:w="1785" w:type="pct"/>
            <w:tcBorders>
              <w:tl2br w:val="nil"/>
              <w:tr2bl w:val="nil"/>
            </w:tcBorders>
            <w:shd w:val="clear" w:color="auto" w:fill="FFFFFF"/>
            <w:vAlign w:val="center"/>
          </w:tcPr>
          <w:p w14:paraId="1E555C72">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auto"/>
                <w:sz w:val="21"/>
                <w:szCs w:val="21"/>
                <w:highlight w:val="none"/>
                <w:u w:val="none"/>
                <w:lang w:val="en-US" w:eastAsia="zh-CN" w:bidi="en-US"/>
              </w:rPr>
            </w:pPr>
            <w:r>
              <w:rPr>
                <w:rFonts w:hint="eastAsia" w:ascii="宋体" w:hAnsi="宋体" w:eastAsia="宋体" w:cs="宋体"/>
                <w:i w:val="0"/>
                <w:iCs w:val="0"/>
                <w:color w:val="auto"/>
                <w:kern w:val="0"/>
                <w:sz w:val="21"/>
                <w:szCs w:val="21"/>
                <w:highlight w:val="none"/>
                <w:u w:val="none"/>
                <w:lang w:val="en-US" w:eastAsia="zh-CN" w:bidi="ar"/>
              </w:rPr>
              <w:t>负责大厦空调、电梯、弱电系统、消防设备、机电设备等设备运营管理工作</w:t>
            </w:r>
          </w:p>
        </w:tc>
        <w:tc>
          <w:tcPr>
            <w:tcW w:w="1321" w:type="pct"/>
            <w:tcBorders>
              <w:tl2br w:val="nil"/>
              <w:tr2bl w:val="nil"/>
            </w:tcBorders>
            <w:shd w:val="clear" w:color="auto" w:fill="FFFFFF"/>
            <w:vAlign w:val="center"/>
          </w:tcPr>
          <w:p w14:paraId="62B24A89">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auto"/>
                <w:sz w:val="21"/>
                <w:szCs w:val="21"/>
                <w:highlight w:val="none"/>
                <w:u w:val="none"/>
                <w:lang w:val="en-US" w:eastAsia="zh-CN" w:bidi="en-US"/>
              </w:rPr>
            </w:pPr>
            <w:r>
              <w:rPr>
                <w:rFonts w:hint="eastAsia" w:ascii="宋体" w:hAnsi="宋体" w:eastAsia="宋体" w:cs="宋体"/>
                <w:i w:val="0"/>
                <w:iCs w:val="0"/>
                <w:color w:val="auto"/>
                <w:kern w:val="0"/>
                <w:sz w:val="21"/>
                <w:szCs w:val="21"/>
                <w:highlight w:val="none"/>
                <w:u w:val="none"/>
                <w:lang w:val="en-US" w:eastAsia="zh-CN" w:bidi="ar"/>
              </w:rPr>
              <w:t>机电工程、建筑工程、土木工程等相关专业大专及以上学历，年龄45岁以下，具有3年以上物业设施工作经验。</w:t>
            </w:r>
          </w:p>
        </w:tc>
      </w:tr>
      <w:tr w14:paraId="6FE90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58" w:type="pct"/>
            <w:gridSpan w:val="3"/>
            <w:tcBorders>
              <w:tl2br w:val="nil"/>
              <w:tr2bl w:val="nil"/>
            </w:tcBorders>
            <w:shd w:val="clear" w:color="auto" w:fill="auto"/>
            <w:vAlign w:val="center"/>
          </w:tcPr>
          <w:p w14:paraId="39BF5176">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配备人数小计</w:t>
            </w:r>
          </w:p>
        </w:tc>
        <w:tc>
          <w:tcPr>
            <w:tcW w:w="407" w:type="pct"/>
            <w:tcBorders>
              <w:tl2br w:val="nil"/>
              <w:tr2bl w:val="nil"/>
            </w:tcBorders>
            <w:vAlign w:val="center"/>
          </w:tcPr>
          <w:p w14:paraId="3BF89687">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60</w:t>
            </w:r>
          </w:p>
        </w:tc>
        <w:tc>
          <w:tcPr>
            <w:tcW w:w="527" w:type="pct"/>
            <w:tcBorders>
              <w:tl2br w:val="nil"/>
              <w:tr2bl w:val="nil"/>
            </w:tcBorders>
            <w:shd w:val="clear" w:color="auto" w:fill="auto"/>
            <w:vAlign w:val="center"/>
          </w:tcPr>
          <w:p w14:paraId="08C2242B">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65</w:t>
            </w:r>
          </w:p>
        </w:tc>
        <w:tc>
          <w:tcPr>
            <w:tcW w:w="3106" w:type="pct"/>
            <w:gridSpan w:val="2"/>
            <w:tcBorders>
              <w:tl2br w:val="nil"/>
              <w:tr2bl w:val="nil"/>
            </w:tcBorders>
            <w:shd w:val="clear" w:color="auto" w:fill="auto"/>
            <w:vAlign w:val="center"/>
          </w:tcPr>
          <w:p w14:paraId="5D06A83E">
            <w:pPr>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p>
        </w:tc>
      </w:tr>
    </w:tbl>
    <w:p w14:paraId="263ABF6E">
      <w:pPr>
        <w:keepNext w:val="0"/>
        <w:keepLines w:val="0"/>
        <w:pageBreakBefore w:val="0"/>
        <w:widowControl w:val="0"/>
        <w:numPr>
          <w:ilvl w:val="0"/>
          <w:numId w:val="19"/>
        </w:numPr>
        <w:kinsoku/>
        <w:wordWrap/>
        <w:overflowPunct/>
        <w:topLinePunct w:val="0"/>
        <w:autoSpaceDE/>
        <w:autoSpaceDN/>
        <w:bidi w:val="0"/>
        <w:adjustRightInd w:val="0"/>
        <w:snapToGrid w:val="0"/>
        <w:spacing w:before="0" w:beforeLines="0"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中标人应组建完整的物业管理服务团队，中标人配备的工作人员应不低于上述岗位要求</w:t>
      </w:r>
      <w:r>
        <w:rPr>
          <w:rFonts w:hint="eastAsia" w:ascii="宋体" w:hAnsi="宋体" w:eastAsia="宋体" w:cs="宋体"/>
          <w:color w:val="auto"/>
          <w:sz w:val="21"/>
          <w:szCs w:val="21"/>
          <w:highlight w:val="none"/>
          <w:lang w:val="en-US" w:eastAsia="zh-CN"/>
        </w:rPr>
        <w:t>。</w:t>
      </w:r>
    </w:p>
    <w:p w14:paraId="53F59716">
      <w:pPr>
        <w:keepNext w:val="0"/>
        <w:keepLines w:val="0"/>
        <w:pageBreakBefore w:val="0"/>
        <w:widowControl w:val="0"/>
        <w:numPr>
          <w:ilvl w:val="0"/>
          <w:numId w:val="19"/>
        </w:numPr>
        <w:kinsoku/>
        <w:wordWrap/>
        <w:overflowPunct/>
        <w:topLinePunct w:val="0"/>
        <w:autoSpaceDE/>
        <w:autoSpaceDN/>
        <w:bidi w:val="0"/>
        <w:adjustRightInd w:val="0"/>
        <w:snapToGrid w:val="0"/>
        <w:spacing w:before="0" w:beforeLines="0"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本表各阶段人员配置以项目入驻率为依据计算，实际进场人数将以招标人及中标人视本项目入驻率共同协商确认，以招标人的书面通知为准，按照中标人的报价单据实结算。</w:t>
      </w:r>
    </w:p>
    <w:p w14:paraId="40906718">
      <w:pPr>
        <w:keepNext w:val="0"/>
        <w:keepLines w:val="0"/>
        <w:pageBreakBefore w:val="0"/>
        <w:widowControl w:val="0"/>
        <w:numPr>
          <w:ilvl w:val="0"/>
          <w:numId w:val="19"/>
        </w:numPr>
        <w:kinsoku/>
        <w:wordWrap/>
        <w:overflowPunct/>
        <w:topLinePunct w:val="0"/>
        <w:autoSpaceDE/>
        <w:autoSpaceDN/>
        <w:bidi w:val="0"/>
        <w:adjustRightInd w:val="0"/>
        <w:snapToGrid w:val="0"/>
        <w:spacing w:beforeLines="0"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中标人所聘用的物业管理人员应具备：</w:t>
      </w:r>
    </w:p>
    <w:p w14:paraId="70F2D36D">
      <w:pPr>
        <w:keepNext w:val="0"/>
        <w:keepLines w:val="0"/>
        <w:pageBreakBefore w:val="0"/>
        <w:widowControl w:val="0"/>
        <w:numPr>
          <w:ilvl w:val="0"/>
          <w:numId w:val="20"/>
        </w:numPr>
        <w:kinsoku/>
        <w:wordWrap/>
        <w:overflowPunct/>
        <w:topLinePunct w:val="0"/>
        <w:autoSpaceDE/>
        <w:autoSpaceDN/>
        <w:bidi w:val="0"/>
        <w:adjustRightInd w:val="0"/>
        <w:snapToGrid w:val="0"/>
        <w:spacing w:beforeLines="0"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遵纪守法、品行端正，具有良好的思想政治素质、敬业精神、工作责任心和履行本职工作的能力，无劣迹行为，无犯罪等不良记录。</w:t>
      </w:r>
    </w:p>
    <w:p w14:paraId="0466F177">
      <w:pPr>
        <w:keepNext w:val="0"/>
        <w:keepLines w:val="0"/>
        <w:pageBreakBefore w:val="0"/>
        <w:widowControl w:val="0"/>
        <w:numPr>
          <w:ilvl w:val="0"/>
          <w:numId w:val="20"/>
        </w:numPr>
        <w:kinsoku/>
        <w:wordWrap/>
        <w:overflowPunct/>
        <w:topLinePunct w:val="0"/>
        <w:autoSpaceDE/>
        <w:autoSpaceDN/>
        <w:bidi w:val="0"/>
        <w:adjustRightInd w:val="0"/>
        <w:snapToGrid w:val="0"/>
        <w:spacing w:beforeLines="0"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必须经过相应的知识教育和岗位培训，并具备相应的工作能力或持有相应的上岗资格证书。</w:t>
      </w:r>
    </w:p>
    <w:p w14:paraId="200D35E0">
      <w:pPr>
        <w:keepNext w:val="0"/>
        <w:keepLines w:val="0"/>
        <w:pageBreakBefore w:val="0"/>
        <w:widowControl w:val="0"/>
        <w:numPr>
          <w:ilvl w:val="0"/>
          <w:numId w:val="20"/>
        </w:numPr>
        <w:kinsoku/>
        <w:wordWrap/>
        <w:overflowPunct/>
        <w:topLinePunct w:val="0"/>
        <w:autoSpaceDE/>
        <w:autoSpaceDN/>
        <w:bidi w:val="0"/>
        <w:adjustRightInd w:val="0"/>
        <w:snapToGrid w:val="0"/>
        <w:spacing w:beforeLines="0"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lang w:eastAsia="zh-CN"/>
        </w:rPr>
        <w:t>必须遵守保密规定，除正常的工作联系外，不得随意打探、议论、传播招标人单位及其工作人员的工作信</w:t>
      </w:r>
      <w:r>
        <w:rPr>
          <w:rFonts w:hint="eastAsia" w:ascii="宋体" w:hAnsi="宋体" w:eastAsia="宋体" w:cs="宋体"/>
          <w:b w:val="0"/>
          <w:bCs w:val="0"/>
          <w:color w:val="auto"/>
          <w:sz w:val="21"/>
          <w:szCs w:val="21"/>
          <w:highlight w:val="none"/>
          <w:lang w:eastAsia="zh-CN"/>
        </w:rPr>
        <w:t>息，散布有关不良言论，其中监控中心人员要严守秘密，严禁泄漏本项目监控点等安保方面的详细资料。</w:t>
      </w:r>
    </w:p>
    <w:p w14:paraId="7658EE47">
      <w:pPr>
        <w:keepNext w:val="0"/>
        <w:keepLines w:val="0"/>
        <w:pageBreakBefore w:val="0"/>
        <w:widowControl w:val="0"/>
        <w:numPr>
          <w:ilvl w:val="0"/>
          <w:numId w:val="20"/>
        </w:numPr>
        <w:kinsoku/>
        <w:wordWrap/>
        <w:overflowPunct/>
        <w:topLinePunct w:val="0"/>
        <w:autoSpaceDE/>
        <w:autoSpaceDN/>
        <w:bidi w:val="0"/>
        <w:adjustRightInd w:val="0"/>
        <w:snapToGrid w:val="0"/>
        <w:spacing w:beforeLines="0"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必须按岗位统一着装、佩带</w:t>
      </w:r>
      <w:r>
        <w:rPr>
          <w:rFonts w:hint="eastAsia" w:ascii="宋体" w:hAnsi="宋体" w:eastAsia="宋体" w:cs="宋体"/>
          <w:b w:val="0"/>
          <w:bCs w:val="0"/>
          <w:color w:val="auto"/>
          <w:sz w:val="21"/>
          <w:szCs w:val="21"/>
          <w:highlight w:val="none"/>
          <w:lang w:val="en-US" w:eastAsia="zh-CN"/>
        </w:rPr>
        <w:t>工牌</w:t>
      </w:r>
      <w:r>
        <w:rPr>
          <w:rFonts w:hint="eastAsia" w:ascii="宋体" w:hAnsi="宋体" w:eastAsia="宋体" w:cs="宋体"/>
          <w:b w:val="0"/>
          <w:bCs w:val="0"/>
          <w:color w:val="auto"/>
          <w:sz w:val="21"/>
          <w:szCs w:val="21"/>
          <w:highlight w:val="none"/>
          <w:lang w:eastAsia="zh-CN"/>
        </w:rPr>
        <w:t>、持证上岗，做到仪容整洁、精神饱满、语言文明、行为规范。在岗时不得擅离职守、喝酒或睡觉，不得在工作期间从事与本职工作无关的工作，严禁睡岗或溜岗。</w:t>
      </w:r>
      <w:r>
        <w:rPr>
          <w:rFonts w:hint="eastAsia" w:ascii="宋体" w:hAnsi="宋体" w:eastAsia="宋体" w:cs="宋体"/>
          <w:b w:val="0"/>
          <w:bCs w:val="0"/>
          <w:color w:val="auto"/>
          <w:sz w:val="21"/>
          <w:szCs w:val="21"/>
          <w:highlight w:val="none"/>
          <w:lang w:val="en-US" w:eastAsia="zh-CN"/>
        </w:rPr>
        <w:t>服装要求根据招标人需求执行，进场前提供相关服务模版由招标人进行选择。</w:t>
      </w:r>
    </w:p>
    <w:p w14:paraId="48C5DD40">
      <w:pPr>
        <w:keepNext w:val="0"/>
        <w:keepLines w:val="0"/>
        <w:pageBreakBefore w:val="0"/>
        <w:widowControl w:val="0"/>
        <w:numPr>
          <w:ilvl w:val="0"/>
          <w:numId w:val="19"/>
        </w:numPr>
        <w:kinsoku/>
        <w:wordWrap/>
        <w:overflowPunct/>
        <w:topLinePunct w:val="0"/>
        <w:autoSpaceDE/>
        <w:autoSpaceDN/>
        <w:bidi w:val="0"/>
        <w:adjustRightInd w:val="0"/>
        <w:snapToGrid w:val="0"/>
        <w:spacing w:before="0" w:beforeLines="0"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相关违约要求</w:t>
      </w:r>
    </w:p>
    <w:p w14:paraId="63592EE9">
      <w:pPr>
        <w:pStyle w:val="18"/>
        <w:keepNext w:val="0"/>
        <w:keepLines w:val="0"/>
        <w:pageBreakBefore w:val="0"/>
        <w:widowControl w:val="0"/>
        <w:numPr>
          <w:ilvl w:val="0"/>
          <w:numId w:val="21"/>
        </w:numPr>
        <w:kinsoku/>
        <w:wordWrap/>
        <w:overflowPunct/>
        <w:topLinePunct w:val="0"/>
        <w:autoSpaceDE/>
        <w:autoSpaceDN/>
        <w:bidi w:val="0"/>
        <w:adjustRightInd/>
        <w:snapToGrid/>
        <w:spacing w:beforeLines="0" w:line="360" w:lineRule="auto"/>
        <w:ind w:left="0" w:leftChars="0" w:right="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中标人在服务过程中不可无故变更项目负责人，如确实需要变更，应提前1个月向招标人提出，经招标人同意后方可执行，与此同时，中标人应支付招标人15万元违约金</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如中标人一年内连续两次更换项目负责人，招标人有权终止合同。</w:t>
      </w:r>
    </w:p>
    <w:p w14:paraId="380B16BA">
      <w:pPr>
        <w:pStyle w:val="18"/>
        <w:numPr>
          <w:ilvl w:val="0"/>
          <w:numId w:val="21"/>
        </w:numPr>
        <w:adjustRightInd/>
        <w:snapToGrid/>
        <w:spacing w:beforeLines="0" w:after="0" w:line="360" w:lineRule="auto"/>
        <w:ind w:left="0" w:right="0" w:firstLine="420" w:firstLineChars="200"/>
        <w:jc w:val="left"/>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中标人应严格执行自己投标报价中的项目预算中的人工成本，如实际费用、实际成本支出严重超出投标预算，招标人有权拒绝相关费用的支付并要求中标人整改，如整改无效或拒绝整改，招标人有权立刻终止合同，且不视为招标人违约。因国家政策或临时突发事项导致的情况除外。</w:t>
      </w:r>
    </w:p>
    <w:p w14:paraId="309189A8">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kern w:val="2"/>
          <w:sz w:val="21"/>
          <w:szCs w:val="21"/>
          <w:highlight w:val="none"/>
          <w:u w:val="none"/>
          <w:lang w:val="en-US" w:eastAsia="zh-CN" w:bidi="ar-SA"/>
        </w:rPr>
        <w:t>注：</w:t>
      </w:r>
      <w:r>
        <w:rPr>
          <w:rFonts w:hint="eastAsia" w:ascii="宋体" w:hAnsi="宋体" w:eastAsia="宋体" w:cs="宋体"/>
          <w:b/>
          <w:bCs/>
          <w:color w:val="auto"/>
          <w:kern w:val="2"/>
          <w:sz w:val="21"/>
          <w:szCs w:val="21"/>
          <w:highlight w:val="none"/>
          <w:u w:val="single"/>
          <w:lang w:val="en-US" w:eastAsia="zh-CN" w:bidi="ar-SA"/>
        </w:rPr>
        <w:t>服务期内，招标人有权根据项目实施情况及招标人物业管理团队组建情况，将本项目物业管理运营岗位（工程负责人、安保负责人、环境负责人、客服负责人）调整为由招标人自行配置人员，调整配置岗位和实际配置人员以招标人书面通知为准，中标人须无条件配合进行人员交接工作，招标人实际配置人员后不再向中标人支付对应调整配置岗位的人工费用，中标人不得向招标人追讨任何其他费用、补偿或赔偿或主张任何权利和责任。招标人自配岗位人员后，该岗位对应的直接管理责任及履职后果由招标人负责；中标人不再对该岗位人员的行为及履职结果承担责任，但仍应就整体物业运营提供必要协调与技术支持。中标人参与本项目投标、递交投标报价，即视为清楚了解和接受本招标项目的风险，中标人同意并承诺不因前述风险事项的发生而向招标人追究违约责任或主张损失赔偿。</w:t>
      </w:r>
    </w:p>
    <w:bookmarkEnd w:id="685"/>
    <w:p w14:paraId="1B31120D">
      <w:pPr>
        <w:pStyle w:val="2"/>
        <w:adjustRightInd w:val="0"/>
        <w:snapToGrid w:val="0"/>
        <w:spacing w:line="360" w:lineRule="auto"/>
        <w:jc w:val="left"/>
        <w:rPr>
          <w:rFonts w:hint="eastAsia" w:ascii="宋体" w:hAnsi="宋体" w:eastAsia="宋体" w:cs="宋体"/>
          <w:b/>
          <w:bCs/>
          <w:color w:val="auto"/>
          <w:sz w:val="21"/>
          <w:szCs w:val="21"/>
          <w:highlight w:val="none"/>
          <w:lang w:val="en-US" w:eastAsia="zh-CN"/>
        </w:rPr>
      </w:pPr>
      <w:bookmarkStart w:id="691" w:name="_Toc2967"/>
      <w:bookmarkStart w:id="692" w:name="_Toc27030"/>
      <w:bookmarkStart w:id="693" w:name="_Toc30726"/>
      <w:bookmarkStart w:id="694" w:name="_Toc7540"/>
      <w:bookmarkStart w:id="695" w:name="_Toc32586"/>
      <w:r>
        <w:rPr>
          <w:rFonts w:hint="eastAsia" w:ascii="宋体" w:hAnsi="宋体" w:eastAsia="宋体" w:cs="宋体"/>
          <w:b/>
          <w:bCs/>
          <w:color w:val="auto"/>
          <w:sz w:val="21"/>
          <w:szCs w:val="21"/>
          <w:highlight w:val="none"/>
          <w:lang w:val="en-US" w:eastAsia="zh-CN"/>
        </w:rPr>
        <w:t>五、考核评价</w:t>
      </w:r>
      <w:bookmarkEnd w:id="691"/>
      <w:bookmarkEnd w:id="692"/>
      <w:bookmarkEnd w:id="693"/>
      <w:bookmarkEnd w:id="694"/>
      <w:bookmarkEnd w:id="695"/>
    </w:p>
    <w:p w14:paraId="25BB9F50">
      <w:pPr>
        <w:adjustRightInd w:val="0"/>
        <w:snapToGrid w:val="0"/>
        <w:spacing w:line="360" w:lineRule="auto"/>
        <w:ind w:firstLine="42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依据招标人提供的服务质量履约考核标准对中标人进行综合考评，体现以结果为导向，以满意度为牵引，有效驱动中标人管理质量的不断提升，考核的结果书面知会中标人（合同履行期间，招标人发布新的考核标准的，按新的考核标准执行）。</w:t>
      </w:r>
      <w:r>
        <w:rPr>
          <w:rFonts w:hint="eastAsia" w:ascii="宋体" w:hAnsi="宋体" w:eastAsia="宋体" w:cs="宋体"/>
          <w:b w:val="0"/>
          <w:bCs w:val="0"/>
          <w:color w:val="auto"/>
          <w:sz w:val="21"/>
          <w:szCs w:val="21"/>
          <w:highlight w:val="none"/>
          <w:lang w:val="en-US" w:eastAsia="zh-CN"/>
        </w:rPr>
        <w:t>具体考核如下：</w:t>
      </w:r>
    </w:p>
    <w:p w14:paraId="21ADA1B2">
      <w:pPr>
        <w:pStyle w:val="4"/>
        <w:bidi w:val="0"/>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bookmarkStart w:id="696" w:name="_Toc304"/>
      <w:bookmarkStart w:id="697" w:name="_Toc995"/>
      <w:bookmarkStart w:id="698" w:name="_Toc8436"/>
      <w:bookmarkStart w:id="699" w:name="_Toc19383"/>
      <w:bookmarkStart w:id="700" w:name="_Toc24839"/>
      <w:r>
        <w:rPr>
          <w:rFonts w:hint="eastAsia" w:ascii="宋体" w:hAnsi="宋体" w:eastAsia="宋体" w:cs="宋体"/>
          <w:b w:val="0"/>
          <w:bCs w:val="0"/>
          <w:color w:val="auto"/>
          <w:sz w:val="21"/>
          <w:szCs w:val="21"/>
          <w:highlight w:val="none"/>
          <w:lang w:val="en-US" w:eastAsia="zh-CN"/>
        </w:rPr>
        <w:t>5.1</w:t>
      </w:r>
      <w:r>
        <w:rPr>
          <w:rFonts w:hint="eastAsia"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物业管理带教服务考核</w:t>
      </w:r>
      <w:bookmarkEnd w:id="696"/>
      <w:bookmarkEnd w:id="697"/>
      <w:bookmarkEnd w:id="698"/>
      <w:bookmarkEnd w:id="699"/>
      <w:bookmarkEnd w:id="700"/>
    </w:p>
    <w:p w14:paraId="056FB199">
      <w:pPr>
        <w:spacing w:line="360" w:lineRule="auto"/>
        <w:ind w:firstLine="42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为确保对</w:t>
      </w:r>
      <w:r>
        <w:rPr>
          <w:rFonts w:hint="eastAsia" w:ascii="宋体" w:hAnsi="宋体" w:eastAsia="宋体" w:cs="宋体"/>
          <w:b w:val="0"/>
          <w:bCs w:val="0"/>
          <w:color w:val="auto"/>
          <w:sz w:val="21"/>
          <w:szCs w:val="21"/>
          <w:highlight w:val="none"/>
          <w:lang w:val="en-US" w:eastAsia="zh-CN"/>
        </w:rPr>
        <w:t>物业管理</w:t>
      </w:r>
      <w:r>
        <w:rPr>
          <w:rFonts w:hint="eastAsia" w:ascii="宋体" w:hAnsi="宋体" w:eastAsia="宋体" w:cs="宋体"/>
          <w:b w:val="0"/>
          <w:bCs w:val="0"/>
          <w:color w:val="auto"/>
          <w:sz w:val="21"/>
          <w:szCs w:val="21"/>
          <w:highlight w:val="none"/>
          <w:lang w:eastAsia="zh-CN"/>
        </w:rPr>
        <w:t>带教服务的</w:t>
      </w:r>
      <w:r>
        <w:rPr>
          <w:rFonts w:hint="eastAsia" w:ascii="宋体" w:hAnsi="宋体" w:eastAsia="宋体" w:cs="宋体"/>
          <w:b w:val="0"/>
          <w:bCs w:val="0"/>
          <w:color w:val="auto"/>
          <w:sz w:val="21"/>
          <w:szCs w:val="21"/>
          <w:highlight w:val="none"/>
          <w:lang w:val="en-US" w:eastAsia="zh-CN"/>
        </w:rPr>
        <w:t>带教过程</w:t>
      </w:r>
      <w:r>
        <w:rPr>
          <w:rFonts w:hint="eastAsia" w:ascii="宋体" w:hAnsi="宋体" w:eastAsia="宋体" w:cs="宋体"/>
          <w:b w:val="0"/>
          <w:bCs w:val="0"/>
          <w:color w:val="auto"/>
          <w:sz w:val="21"/>
          <w:szCs w:val="21"/>
          <w:highlight w:val="none"/>
          <w:lang w:eastAsia="zh-CN"/>
        </w:rPr>
        <w:t>与最终成果验收，过程考核</w:t>
      </w:r>
      <w:bookmarkStart w:id="701" w:name="OLE_LINK17"/>
      <w:r>
        <w:rPr>
          <w:rFonts w:hint="eastAsia" w:ascii="宋体" w:hAnsi="宋体" w:eastAsia="宋体" w:cs="宋体"/>
          <w:b w:val="0"/>
          <w:bCs w:val="0"/>
          <w:color w:val="auto"/>
          <w:sz w:val="21"/>
          <w:szCs w:val="21"/>
          <w:highlight w:val="none"/>
          <w:lang w:eastAsia="zh-CN"/>
        </w:rPr>
        <w:t>侧重于带教服务的执行过程、阶段性成果与学员成长</w:t>
      </w:r>
      <w:bookmarkEnd w:id="701"/>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最终</w:t>
      </w:r>
      <w:r>
        <w:rPr>
          <w:rFonts w:hint="eastAsia" w:ascii="宋体" w:hAnsi="宋体" w:eastAsia="宋体" w:cs="宋体"/>
          <w:b w:val="0"/>
          <w:bCs w:val="0"/>
          <w:color w:val="auto"/>
          <w:sz w:val="21"/>
          <w:szCs w:val="21"/>
          <w:highlight w:val="none"/>
          <w:lang w:eastAsia="zh-CN"/>
        </w:rPr>
        <w:t>考核侧重于带教服务的最终成果与整体目标达成率。</w:t>
      </w:r>
    </w:p>
    <w:p w14:paraId="7284C842">
      <w:pPr>
        <w:adjustRightInd w:val="0"/>
        <w:snapToGrid w:val="0"/>
        <w:spacing w:line="360" w:lineRule="auto"/>
        <w:ind w:firstLine="42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5.1.1</w:t>
      </w:r>
      <w:r>
        <w:rPr>
          <w:rFonts w:hint="eastAsia" w:ascii="宋体" w:hAnsi="宋体" w:eastAsia="宋体" w:cs="宋体"/>
          <w:b w:val="0"/>
          <w:bCs w:val="0"/>
          <w:color w:val="auto"/>
          <w:sz w:val="21"/>
          <w:szCs w:val="21"/>
          <w:highlight w:val="none"/>
          <w:lang w:eastAsia="zh-CN"/>
        </w:rPr>
        <w:t>过程考核</w:t>
      </w:r>
    </w:p>
    <w:p w14:paraId="4A24DA0A">
      <w:pPr>
        <w:pStyle w:val="18"/>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招标人依据双方确认的考核办法，</w:t>
      </w:r>
      <w:bookmarkStart w:id="702" w:name="OLE_LINK16"/>
      <w:r>
        <w:rPr>
          <w:rFonts w:hint="eastAsia" w:ascii="宋体" w:hAnsi="宋体" w:eastAsia="宋体" w:cs="宋体"/>
          <w:b w:val="0"/>
          <w:bCs w:val="0"/>
          <w:color w:val="auto"/>
          <w:sz w:val="21"/>
          <w:szCs w:val="21"/>
          <w:highlight w:val="none"/>
          <w:lang w:val="en-US" w:eastAsia="zh-CN"/>
        </w:rPr>
        <w:t>对带教服务的实施过程进行阶段性监督与考核；过程考核分3次考核，每5个月考核1次</w:t>
      </w:r>
      <w:bookmarkEnd w:id="702"/>
      <w:r>
        <w:rPr>
          <w:rFonts w:hint="eastAsia" w:ascii="宋体" w:hAnsi="宋体" w:eastAsia="宋体" w:cs="宋体"/>
          <w:b w:val="0"/>
          <w:bCs w:val="0"/>
          <w:color w:val="auto"/>
          <w:sz w:val="21"/>
          <w:szCs w:val="21"/>
          <w:highlight w:val="none"/>
          <w:lang w:val="en-US" w:eastAsia="zh-CN"/>
        </w:rPr>
        <w:t>（具体考核时间根据招标人的实际情况进行灵活调整）。</w:t>
      </w:r>
    </w:p>
    <w:p w14:paraId="5686D7B4">
      <w:pPr>
        <w:pStyle w:val="18"/>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按照投标人提报培养计划，进行过程考核</w:t>
      </w:r>
      <w:r>
        <w:rPr>
          <w:rFonts w:hint="eastAsia" w:ascii="宋体" w:hAnsi="宋体" w:eastAsia="宋体" w:cs="宋体"/>
          <w:b w:val="0"/>
          <w:bCs w:val="0"/>
          <w:color w:val="auto"/>
          <w:sz w:val="21"/>
          <w:szCs w:val="21"/>
          <w:highlight w:val="none"/>
          <w:lang w:eastAsia="zh-CN"/>
        </w:rPr>
        <w:t>，满分100分，</w:t>
      </w:r>
      <w:r>
        <w:rPr>
          <w:rFonts w:hint="eastAsia" w:ascii="宋体" w:hAnsi="宋体" w:eastAsia="宋体" w:cs="宋体"/>
          <w:b w:val="0"/>
          <w:bCs w:val="0"/>
          <w:color w:val="auto"/>
          <w:sz w:val="21"/>
          <w:szCs w:val="21"/>
          <w:highlight w:val="none"/>
          <w:lang w:val="en-US" w:eastAsia="zh-CN"/>
        </w:rPr>
        <w:t>重点</w:t>
      </w:r>
      <w:r>
        <w:rPr>
          <w:rFonts w:hint="eastAsia" w:ascii="宋体" w:hAnsi="宋体" w:eastAsia="宋体" w:cs="宋体"/>
          <w:b w:val="0"/>
          <w:bCs w:val="0"/>
          <w:color w:val="auto"/>
          <w:sz w:val="21"/>
          <w:szCs w:val="21"/>
          <w:highlight w:val="none"/>
          <w:lang w:eastAsia="zh-CN"/>
        </w:rPr>
        <w:t>考核带教服务的实施过程与阶段性成效。过程考核评分细则（100分）</w:t>
      </w:r>
      <w:r>
        <w:rPr>
          <w:rFonts w:hint="eastAsia" w:ascii="宋体" w:hAnsi="宋体" w:eastAsia="宋体" w:cs="宋体"/>
          <w:b w:val="0"/>
          <w:bCs w:val="0"/>
          <w:color w:val="auto"/>
          <w:sz w:val="21"/>
          <w:szCs w:val="21"/>
          <w:highlight w:val="none"/>
          <w:lang w:val="en-US" w:eastAsia="zh-CN"/>
        </w:rPr>
        <w:t>如下：</w:t>
      </w:r>
    </w:p>
    <w:tbl>
      <w:tblPr>
        <w:tblStyle w:val="41"/>
        <w:tblW w:w="458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78"/>
        <w:gridCol w:w="2431"/>
        <w:gridCol w:w="874"/>
        <w:gridCol w:w="4135"/>
      </w:tblGrid>
      <w:tr w14:paraId="39F1A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4FE0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考核大类</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CD44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考核细项</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45CC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分值</w:t>
            </w:r>
          </w:p>
        </w:tc>
        <w:tc>
          <w:tcPr>
            <w:tcW w:w="2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046E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扣分标准</w:t>
            </w:r>
          </w:p>
        </w:tc>
      </w:tr>
      <w:tr w14:paraId="78C82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10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E5E2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一、带教方案与计划</w:t>
            </w:r>
            <w:r>
              <w:rPr>
                <w:rStyle w:val="120"/>
                <w:rFonts w:hint="eastAsia" w:ascii="宋体" w:hAnsi="宋体" w:eastAsia="宋体" w:cs="宋体"/>
                <w:b w:val="0"/>
                <w:bCs w:val="0"/>
                <w:color w:val="auto"/>
                <w:sz w:val="21"/>
                <w:szCs w:val="21"/>
                <w:lang w:val="en-US" w:eastAsia="zh-CN" w:bidi="ar"/>
              </w:rPr>
              <w:t xml:space="preserve"> (15</w:t>
            </w:r>
            <w:r>
              <w:rPr>
                <w:rStyle w:val="111"/>
                <w:rFonts w:hint="eastAsia" w:ascii="宋体" w:hAnsi="宋体" w:eastAsia="宋体" w:cs="宋体"/>
                <w:b w:val="0"/>
                <w:bCs w:val="0"/>
                <w:color w:val="auto"/>
                <w:sz w:val="21"/>
                <w:szCs w:val="21"/>
                <w:lang w:val="en-US" w:eastAsia="zh-CN" w:bidi="ar"/>
              </w:rPr>
              <w:t>分</w:t>
            </w:r>
            <w:r>
              <w:rPr>
                <w:rStyle w:val="120"/>
                <w:rFonts w:hint="eastAsia" w:ascii="宋体" w:hAnsi="宋体" w:eastAsia="宋体" w:cs="宋体"/>
                <w:b w:val="0"/>
                <w:bCs w:val="0"/>
                <w:color w:val="auto"/>
                <w:sz w:val="21"/>
                <w:szCs w:val="21"/>
                <w:lang w:val="en-US" w:eastAsia="zh-CN" w:bidi="ar"/>
              </w:rPr>
              <w:t>)</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D236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方案的系统性与针对性</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FCB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8</w:t>
            </w:r>
            <w:r>
              <w:rPr>
                <w:rStyle w:val="111"/>
                <w:rFonts w:hint="eastAsia" w:ascii="宋体" w:hAnsi="宋体" w:eastAsia="宋体" w:cs="宋体"/>
                <w:b w:val="0"/>
                <w:bCs w:val="0"/>
                <w:color w:val="auto"/>
                <w:sz w:val="21"/>
                <w:szCs w:val="21"/>
                <w:lang w:val="en-US" w:eastAsia="zh-CN" w:bidi="ar"/>
              </w:rPr>
              <w:t>分</w:t>
            </w:r>
          </w:p>
        </w:tc>
        <w:tc>
          <w:tcPr>
            <w:tcW w:w="2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3AC9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方案缺失核心知识模块，每缺一项扣</w:t>
            </w:r>
            <w:r>
              <w:rPr>
                <w:rStyle w:val="120"/>
                <w:rFonts w:hint="eastAsia" w:ascii="宋体" w:hAnsi="宋体" w:eastAsia="宋体" w:cs="宋体"/>
                <w:b w:val="0"/>
                <w:bCs w:val="0"/>
                <w:color w:val="auto"/>
                <w:sz w:val="21"/>
                <w:szCs w:val="21"/>
                <w:lang w:val="en-US" w:eastAsia="zh-CN" w:bidi="ar"/>
              </w:rPr>
              <w:t>2</w:t>
            </w:r>
            <w:r>
              <w:rPr>
                <w:rStyle w:val="111"/>
                <w:rFonts w:hint="eastAsia" w:ascii="宋体" w:hAnsi="宋体" w:eastAsia="宋体" w:cs="宋体"/>
                <w:b w:val="0"/>
                <w:bCs w:val="0"/>
                <w:color w:val="auto"/>
                <w:sz w:val="21"/>
                <w:szCs w:val="21"/>
                <w:lang w:val="en-US" w:eastAsia="zh-CN" w:bidi="ar"/>
              </w:rPr>
              <w:t>分；未体现不同岗位培养路径的差异性，扣</w:t>
            </w:r>
            <w:r>
              <w:rPr>
                <w:rStyle w:val="120"/>
                <w:rFonts w:hint="eastAsia" w:ascii="宋体" w:hAnsi="宋体" w:eastAsia="宋体" w:cs="宋体"/>
                <w:b w:val="0"/>
                <w:bCs w:val="0"/>
                <w:color w:val="auto"/>
                <w:sz w:val="21"/>
                <w:szCs w:val="21"/>
                <w:lang w:val="en-US" w:eastAsia="zh-CN" w:bidi="ar"/>
              </w:rPr>
              <w:t>3</w:t>
            </w:r>
            <w:r>
              <w:rPr>
                <w:rStyle w:val="111"/>
                <w:rFonts w:hint="eastAsia" w:ascii="宋体" w:hAnsi="宋体" w:eastAsia="宋体" w:cs="宋体"/>
                <w:b w:val="0"/>
                <w:bCs w:val="0"/>
                <w:color w:val="auto"/>
                <w:sz w:val="21"/>
                <w:szCs w:val="21"/>
                <w:lang w:val="en-US" w:eastAsia="zh-CN" w:bidi="ar"/>
              </w:rPr>
              <w:t>分。</w:t>
            </w:r>
          </w:p>
        </w:tc>
      </w:tr>
      <w:tr w14:paraId="3C1D6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jc w:val="center"/>
        </w:trPr>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2FB67">
            <w:pPr>
              <w:spacing w:line="240" w:lineRule="auto"/>
              <w:jc w:val="center"/>
              <w:rPr>
                <w:rFonts w:hint="eastAsia" w:ascii="宋体" w:hAnsi="宋体" w:eastAsia="宋体" w:cs="宋体"/>
                <w:b w:val="0"/>
                <w:bCs w:val="0"/>
                <w:i w:val="0"/>
                <w:iCs w:val="0"/>
                <w:color w:val="auto"/>
                <w:sz w:val="21"/>
                <w:szCs w:val="21"/>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4E5D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导师团队配置与稳定性</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8C52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7</w:t>
            </w:r>
            <w:r>
              <w:rPr>
                <w:rStyle w:val="111"/>
                <w:rFonts w:hint="eastAsia" w:ascii="宋体" w:hAnsi="宋体" w:eastAsia="宋体" w:cs="宋体"/>
                <w:b w:val="0"/>
                <w:bCs w:val="0"/>
                <w:color w:val="auto"/>
                <w:sz w:val="21"/>
                <w:szCs w:val="21"/>
                <w:lang w:val="en-US" w:eastAsia="zh-CN" w:bidi="ar"/>
              </w:rPr>
              <w:t>分</w:t>
            </w:r>
          </w:p>
        </w:tc>
        <w:tc>
          <w:tcPr>
            <w:tcW w:w="2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D632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核心导师资质不达标，每人扣</w:t>
            </w:r>
            <w:r>
              <w:rPr>
                <w:rStyle w:val="120"/>
                <w:rFonts w:hint="eastAsia" w:ascii="宋体" w:hAnsi="宋体" w:eastAsia="宋体" w:cs="宋体"/>
                <w:b w:val="0"/>
                <w:bCs w:val="0"/>
                <w:color w:val="auto"/>
                <w:sz w:val="21"/>
                <w:szCs w:val="21"/>
                <w:lang w:val="en-US" w:eastAsia="zh-CN" w:bidi="ar"/>
              </w:rPr>
              <w:t>2</w:t>
            </w:r>
            <w:r>
              <w:rPr>
                <w:rStyle w:val="111"/>
                <w:rFonts w:hint="eastAsia" w:ascii="宋体" w:hAnsi="宋体" w:eastAsia="宋体" w:cs="宋体"/>
                <w:b w:val="0"/>
                <w:bCs w:val="0"/>
                <w:color w:val="auto"/>
                <w:sz w:val="21"/>
                <w:szCs w:val="21"/>
                <w:lang w:val="en-US" w:eastAsia="zh-CN" w:bidi="ar"/>
              </w:rPr>
              <w:t>分；未经招标人同意擅自更换项目经理等核心导师，扣</w:t>
            </w:r>
            <w:r>
              <w:rPr>
                <w:rStyle w:val="120"/>
                <w:rFonts w:hint="eastAsia" w:ascii="宋体" w:hAnsi="宋体" w:eastAsia="宋体" w:cs="宋体"/>
                <w:b w:val="0"/>
                <w:bCs w:val="0"/>
                <w:color w:val="auto"/>
                <w:sz w:val="21"/>
                <w:szCs w:val="21"/>
                <w:lang w:val="en-US" w:eastAsia="zh-CN" w:bidi="ar"/>
              </w:rPr>
              <w:t>3</w:t>
            </w:r>
            <w:r>
              <w:rPr>
                <w:rStyle w:val="111"/>
                <w:rFonts w:hint="eastAsia" w:ascii="宋体" w:hAnsi="宋体" w:eastAsia="宋体" w:cs="宋体"/>
                <w:b w:val="0"/>
                <w:bCs w:val="0"/>
                <w:color w:val="auto"/>
                <w:sz w:val="21"/>
                <w:szCs w:val="21"/>
                <w:lang w:val="en-US" w:eastAsia="zh-CN" w:bidi="ar"/>
              </w:rPr>
              <w:t>分。</w:t>
            </w:r>
          </w:p>
        </w:tc>
      </w:tr>
      <w:tr w14:paraId="3A408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0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7117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二、带教过程实施</w:t>
            </w:r>
            <w:r>
              <w:rPr>
                <w:rStyle w:val="120"/>
                <w:rFonts w:hint="eastAsia" w:ascii="宋体" w:hAnsi="宋体" w:eastAsia="宋体" w:cs="宋体"/>
                <w:b w:val="0"/>
                <w:bCs w:val="0"/>
                <w:color w:val="auto"/>
                <w:sz w:val="21"/>
                <w:szCs w:val="21"/>
                <w:lang w:val="en-US" w:eastAsia="zh-CN" w:bidi="ar"/>
              </w:rPr>
              <w:t xml:space="preserve"> (40</w:t>
            </w:r>
            <w:r>
              <w:rPr>
                <w:rStyle w:val="111"/>
                <w:rFonts w:hint="eastAsia" w:ascii="宋体" w:hAnsi="宋体" w:eastAsia="宋体" w:cs="宋体"/>
                <w:b w:val="0"/>
                <w:bCs w:val="0"/>
                <w:color w:val="auto"/>
                <w:sz w:val="21"/>
                <w:szCs w:val="21"/>
                <w:lang w:val="en-US" w:eastAsia="zh-CN" w:bidi="ar"/>
              </w:rPr>
              <w:t>分</w:t>
            </w:r>
            <w:r>
              <w:rPr>
                <w:rStyle w:val="120"/>
                <w:rFonts w:hint="eastAsia" w:ascii="宋体" w:hAnsi="宋体" w:eastAsia="宋体" w:cs="宋体"/>
                <w:b w:val="0"/>
                <w:bCs w:val="0"/>
                <w:color w:val="auto"/>
                <w:sz w:val="21"/>
                <w:szCs w:val="21"/>
                <w:lang w:val="en-US" w:eastAsia="zh-CN" w:bidi="ar"/>
              </w:rPr>
              <w:t>)</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AD30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培训计划执行率</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D83E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15</w:t>
            </w:r>
            <w:r>
              <w:rPr>
                <w:rStyle w:val="111"/>
                <w:rFonts w:hint="eastAsia" w:ascii="宋体" w:hAnsi="宋体" w:eastAsia="宋体" w:cs="宋体"/>
                <w:b w:val="0"/>
                <w:bCs w:val="0"/>
                <w:color w:val="auto"/>
                <w:sz w:val="21"/>
                <w:szCs w:val="21"/>
                <w:lang w:val="en-US" w:eastAsia="zh-CN" w:bidi="ar"/>
              </w:rPr>
              <w:t>分</w:t>
            </w:r>
          </w:p>
        </w:tc>
        <w:tc>
          <w:tcPr>
            <w:tcW w:w="2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DA80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每有一项计划内培训未执行或严重缩水，扣</w:t>
            </w:r>
            <w:r>
              <w:rPr>
                <w:rStyle w:val="120"/>
                <w:rFonts w:hint="eastAsia" w:ascii="宋体" w:hAnsi="宋体" w:eastAsia="宋体" w:cs="宋体"/>
                <w:b w:val="0"/>
                <w:bCs w:val="0"/>
                <w:color w:val="auto"/>
                <w:sz w:val="21"/>
                <w:szCs w:val="21"/>
                <w:lang w:val="en-US" w:eastAsia="zh-CN" w:bidi="ar"/>
              </w:rPr>
              <w:t>1</w:t>
            </w:r>
            <w:r>
              <w:rPr>
                <w:rStyle w:val="111"/>
                <w:rFonts w:hint="eastAsia" w:ascii="宋体" w:hAnsi="宋体" w:eastAsia="宋体" w:cs="宋体"/>
                <w:b w:val="0"/>
                <w:bCs w:val="0"/>
                <w:color w:val="auto"/>
                <w:sz w:val="21"/>
                <w:szCs w:val="21"/>
                <w:lang w:val="en-US" w:eastAsia="zh-CN" w:bidi="ar"/>
              </w:rPr>
              <w:t>分。</w:t>
            </w:r>
          </w:p>
        </w:tc>
      </w:tr>
      <w:tr w14:paraId="7EE9B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3EFB5">
            <w:pPr>
              <w:spacing w:line="240" w:lineRule="auto"/>
              <w:jc w:val="center"/>
              <w:rPr>
                <w:rFonts w:hint="eastAsia" w:ascii="宋体" w:hAnsi="宋体" w:eastAsia="宋体" w:cs="宋体"/>
                <w:b w:val="0"/>
                <w:bCs w:val="0"/>
                <w:i w:val="0"/>
                <w:iCs w:val="0"/>
                <w:color w:val="auto"/>
                <w:sz w:val="21"/>
                <w:szCs w:val="21"/>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6152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过程记录与沟通</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EC7E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15</w:t>
            </w:r>
            <w:r>
              <w:rPr>
                <w:rStyle w:val="111"/>
                <w:rFonts w:hint="eastAsia" w:ascii="宋体" w:hAnsi="宋体" w:eastAsia="宋体" w:cs="宋体"/>
                <w:b w:val="0"/>
                <w:bCs w:val="0"/>
                <w:color w:val="auto"/>
                <w:sz w:val="21"/>
                <w:szCs w:val="21"/>
                <w:lang w:val="en-US" w:eastAsia="zh-CN" w:bidi="ar"/>
              </w:rPr>
              <w:t>分</w:t>
            </w:r>
          </w:p>
        </w:tc>
        <w:tc>
          <w:tcPr>
            <w:tcW w:w="2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37F0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未建立或更新《个人学习档案》，扣</w:t>
            </w:r>
            <w:r>
              <w:rPr>
                <w:rStyle w:val="120"/>
                <w:rFonts w:hint="eastAsia" w:ascii="宋体" w:hAnsi="宋体" w:eastAsia="宋体" w:cs="宋体"/>
                <w:b w:val="0"/>
                <w:bCs w:val="0"/>
                <w:color w:val="auto"/>
                <w:sz w:val="21"/>
                <w:szCs w:val="21"/>
                <w:lang w:val="en-US" w:eastAsia="zh-CN" w:bidi="ar"/>
              </w:rPr>
              <w:t>5</w:t>
            </w:r>
            <w:r>
              <w:rPr>
                <w:rStyle w:val="111"/>
                <w:rFonts w:hint="eastAsia" w:ascii="宋体" w:hAnsi="宋体" w:eastAsia="宋体" w:cs="宋体"/>
                <w:b w:val="0"/>
                <w:bCs w:val="0"/>
                <w:color w:val="auto"/>
                <w:sz w:val="21"/>
                <w:szCs w:val="21"/>
                <w:lang w:val="en-US" w:eastAsia="zh-CN" w:bidi="ar"/>
              </w:rPr>
              <w:t>分；未定期提交《跟岗进展报告》，每次扣</w:t>
            </w:r>
            <w:r>
              <w:rPr>
                <w:rStyle w:val="120"/>
                <w:rFonts w:hint="eastAsia" w:ascii="宋体" w:hAnsi="宋体" w:eastAsia="宋体" w:cs="宋体"/>
                <w:b w:val="0"/>
                <w:bCs w:val="0"/>
                <w:color w:val="auto"/>
                <w:sz w:val="21"/>
                <w:szCs w:val="21"/>
                <w:lang w:val="en-US" w:eastAsia="zh-CN" w:bidi="ar"/>
              </w:rPr>
              <w:t>2</w:t>
            </w:r>
            <w:r>
              <w:rPr>
                <w:rStyle w:val="111"/>
                <w:rFonts w:hint="eastAsia" w:ascii="宋体" w:hAnsi="宋体" w:eastAsia="宋体" w:cs="宋体"/>
                <w:b w:val="0"/>
                <w:bCs w:val="0"/>
                <w:color w:val="auto"/>
                <w:sz w:val="21"/>
                <w:szCs w:val="21"/>
                <w:lang w:val="en-US" w:eastAsia="zh-CN" w:bidi="ar"/>
              </w:rPr>
              <w:t>分；未组织季度述职，扣</w:t>
            </w:r>
            <w:r>
              <w:rPr>
                <w:rStyle w:val="120"/>
                <w:rFonts w:hint="eastAsia" w:ascii="宋体" w:hAnsi="宋体" w:eastAsia="宋体" w:cs="宋体"/>
                <w:b w:val="0"/>
                <w:bCs w:val="0"/>
                <w:color w:val="auto"/>
                <w:sz w:val="21"/>
                <w:szCs w:val="21"/>
                <w:lang w:val="en-US" w:eastAsia="zh-CN" w:bidi="ar"/>
              </w:rPr>
              <w:t>3</w:t>
            </w:r>
            <w:r>
              <w:rPr>
                <w:rStyle w:val="111"/>
                <w:rFonts w:hint="eastAsia" w:ascii="宋体" w:hAnsi="宋体" w:eastAsia="宋体" w:cs="宋体"/>
                <w:b w:val="0"/>
                <w:bCs w:val="0"/>
                <w:color w:val="auto"/>
                <w:sz w:val="21"/>
                <w:szCs w:val="21"/>
                <w:lang w:val="en-US" w:eastAsia="zh-CN" w:bidi="ar"/>
              </w:rPr>
              <w:t>分。</w:t>
            </w:r>
          </w:p>
        </w:tc>
      </w:tr>
      <w:tr w14:paraId="0B5E9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8E2E2">
            <w:pPr>
              <w:spacing w:line="240" w:lineRule="auto"/>
              <w:jc w:val="center"/>
              <w:rPr>
                <w:rFonts w:hint="eastAsia" w:ascii="宋体" w:hAnsi="宋体" w:eastAsia="宋体" w:cs="宋体"/>
                <w:b w:val="0"/>
                <w:bCs w:val="0"/>
                <w:i w:val="0"/>
                <w:iCs w:val="0"/>
                <w:color w:val="auto"/>
                <w:sz w:val="21"/>
                <w:szCs w:val="21"/>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CBC9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资源投入保障</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ECEF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10</w:t>
            </w:r>
            <w:r>
              <w:rPr>
                <w:rStyle w:val="111"/>
                <w:rFonts w:hint="eastAsia" w:ascii="宋体" w:hAnsi="宋体" w:eastAsia="宋体" w:cs="宋体"/>
                <w:b w:val="0"/>
                <w:bCs w:val="0"/>
                <w:color w:val="auto"/>
                <w:sz w:val="21"/>
                <w:szCs w:val="21"/>
                <w:lang w:val="en-US" w:eastAsia="zh-CN" w:bidi="ar"/>
              </w:rPr>
              <w:t>分</w:t>
            </w:r>
          </w:p>
        </w:tc>
        <w:tc>
          <w:tcPr>
            <w:tcW w:w="2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D5CF1">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未按承诺投入课程、教材、实操设备等资源，缺少一项扣3分</w:t>
            </w:r>
            <w:r>
              <w:rPr>
                <w:rStyle w:val="111"/>
                <w:rFonts w:hint="eastAsia" w:ascii="宋体" w:hAnsi="宋体" w:eastAsia="宋体" w:cs="宋体"/>
                <w:b w:val="0"/>
                <w:bCs w:val="0"/>
                <w:color w:val="auto"/>
                <w:sz w:val="21"/>
                <w:szCs w:val="21"/>
                <w:lang w:val="en-US" w:eastAsia="zh-CN" w:bidi="ar"/>
              </w:rPr>
              <w:t>。</w:t>
            </w:r>
          </w:p>
        </w:tc>
      </w:tr>
      <w:tr w14:paraId="58D4B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0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FD54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三、学员能力提升</w:t>
            </w:r>
            <w:r>
              <w:rPr>
                <w:rStyle w:val="120"/>
                <w:rFonts w:hint="eastAsia" w:ascii="宋体" w:hAnsi="宋体" w:eastAsia="宋体" w:cs="宋体"/>
                <w:b w:val="0"/>
                <w:bCs w:val="0"/>
                <w:color w:val="auto"/>
                <w:sz w:val="21"/>
                <w:szCs w:val="21"/>
                <w:lang w:val="en-US" w:eastAsia="zh-CN" w:bidi="ar"/>
              </w:rPr>
              <w:t xml:space="preserve"> (35</w:t>
            </w:r>
            <w:r>
              <w:rPr>
                <w:rStyle w:val="111"/>
                <w:rFonts w:hint="eastAsia" w:ascii="宋体" w:hAnsi="宋体" w:eastAsia="宋体" w:cs="宋体"/>
                <w:b w:val="0"/>
                <w:bCs w:val="0"/>
                <w:color w:val="auto"/>
                <w:sz w:val="21"/>
                <w:szCs w:val="21"/>
                <w:lang w:val="en-US" w:eastAsia="zh-CN" w:bidi="ar"/>
              </w:rPr>
              <w:t>分</w:t>
            </w:r>
            <w:r>
              <w:rPr>
                <w:rStyle w:val="120"/>
                <w:rFonts w:hint="eastAsia" w:ascii="宋体" w:hAnsi="宋体" w:eastAsia="宋体" w:cs="宋体"/>
                <w:b w:val="0"/>
                <w:bCs w:val="0"/>
                <w:color w:val="auto"/>
                <w:sz w:val="21"/>
                <w:szCs w:val="21"/>
                <w:lang w:val="en-US" w:eastAsia="zh-CN" w:bidi="ar"/>
              </w:rPr>
              <w:t>)</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810C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阶段性考核通过率</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0B57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20</w:t>
            </w:r>
            <w:r>
              <w:rPr>
                <w:rStyle w:val="111"/>
                <w:rFonts w:hint="eastAsia" w:ascii="宋体" w:hAnsi="宋体" w:eastAsia="宋体" w:cs="宋体"/>
                <w:b w:val="0"/>
                <w:bCs w:val="0"/>
                <w:color w:val="auto"/>
                <w:sz w:val="21"/>
                <w:szCs w:val="21"/>
                <w:lang w:val="en-US" w:eastAsia="zh-CN" w:bidi="ar"/>
              </w:rPr>
              <w:t>分</w:t>
            </w:r>
          </w:p>
        </w:tc>
        <w:tc>
          <w:tcPr>
            <w:tcW w:w="2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AD34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按计划组织季度</w:t>
            </w:r>
            <w:r>
              <w:rPr>
                <w:rStyle w:val="120"/>
                <w:rFonts w:hint="eastAsia" w:ascii="宋体" w:hAnsi="宋体" w:eastAsia="宋体" w:cs="宋体"/>
                <w:b w:val="0"/>
                <w:bCs w:val="0"/>
                <w:color w:val="auto"/>
                <w:sz w:val="21"/>
                <w:szCs w:val="21"/>
                <w:lang w:val="en-US" w:eastAsia="zh-CN" w:bidi="ar"/>
              </w:rPr>
              <w:t>/</w:t>
            </w:r>
            <w:r>
              <w:rPr>
                <w:rStyle w:val="111"/>
                <w:rFonts w:hint="eastAsia" w:ascii="宋体" w:hAnsi="宋体" w:eastAsia="宋体" w:cs="宋体"/>
                <w:b w:val="0"/>
                <w:bCs w:val="0"/>
                <w:color w:val="auto"/>
                <w:sz w:val="21"/>
                <w:szCs w:val="21"/>
                <w:lang w:val="en-US" w:eastAsia="zh-CN" w:bidi="ar"/>
              </w:rPr>
              <w:t>半年度考核，学员通过率每降低</w:t>
            </w:r>
            <w:r>
              <w:rPr>
                <w:rStyle w:val="120"/>
                <w:rFonts w:hint="eastAsia" w:ascii="宋体" w:hAnsi="宋体" w:eastAsia="宋体" w:cs="宋体"/>
                <w:b w:val="0"/>
                <w:bCs w:val="0"/>
                <w:color w:val="auto"/>
                <w:sz w:val="21"/>
                <w:szCs w:val="21"/>
                <w:lang w:val="en-US" w:eastAsia="zh-CN" w:bidi="ar"/>
              </w:rPr>
              <w:t>10%</w:t>
            </w:r>
            <w:r>
              <w:rPr>
                <w:rStyle w:val="111"/>
                <w:rFonts w:hint="eastAsia" w:ascii="宋体" w:hAnsi="宋体" w:eastAsia="宋体" w:cs="宋体"/>
                <w:b w:val="0"/>
                <w:bCs w:val="0"/>
                <w:color w:val="auto"/>
                <w:sz w:val="21"/>
                <w:szCs w:val="21"/>
                <w:lang w:val="en-US" w:eastAsia="zh-CN" w:bidi="ar"/>
              </w:rPr>
              <w:t>，扣</w:t>
            </w:r>
            <w:r>
              <w:rPr>
                <w:rStyle w:val="120"/>
                <w:rFonts w:hint="eastAsia" w:ascii="宋体" w:hAnsi="宋体" w:eastAsia="宋体" w:cs="宋体"/>
                <w:b w:val="0"/>
                <w:bCs w:val="0"/>
                <w:color w:val="auto"/>
                <w:sz w:val="21"/>
                <w:szCs w:val="21"/>
                <w:lang w:val="en-US" w:eastAsia="zh-CN" w:bidi="ar"/>
              </w:rPr>
              <w:t>3</w:t>
            </w:r>
            <w:r>
              <w:rPr>
                <w:rStyle w:val="111"/>
                <w:rFonts w:hint="eastAsia" w:ascii="宋体" w:hAnsi="宋体" w:eastAsia="宋体" w:cs="宋体"/>
                <w:b w:val="0"/>
                <w:bCs w:val="0"/>
                <w:color w:val="auto"/>
                <w:sz w:val="21"/>
                <w:szCs w:val="21"/>
                <w:lang w:val="en-US" w:eastAsia="zh-CN" w:bidi="ar"/>
              </w:rPr>
              <w:t>分。</w:t>
            </w:r>
          </w:p>
        </w:tc>
      </w:tr>
      <w:tr w14:paraId="5EE34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51C9E">
            <w:pPr>
              <w:spacing w:line="240" w:lineRule="auto"/>
              <w:jc w:val="center"/>
              <w:rPr>
                <w:rFonts w:hint="eastAsia" w:ascii="宋体" w:hAnsi="宋体" w:eastAsia="宋体" w:cs="宋体"/>
                <w:b w:val="0"/>
                <w:bCs w:val="0"/>
                <w:i w:val="0"/>
                <w:iCs w:val="0"/>
                <w:color w:val="auto"/>
                <w:sz w:val="21"/>
                <w:szCs w:val="21"/>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4F63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能力成长可见性</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F36A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15</w:t>
            </w:r>
            <w:r>
              <w:rPr>
                <w:rStyle w:val="111"/>
                <w:rFonts w:hint="eastAsia" w:ascii="宋体" w:hAnsi="宋体" w:eastAsia="宋体" w:cs="宋体"/>
                <w:b w:val="0"/>
                <w:bCs w:val="0"/>
                <w:color w:val="auto"/>
                <w:sz w:val="21"/>
                <w:szCs w:val="21"/>
                <w:lang w:val="en-US" w:eastAsia="zh-CN" w:bidi="ar"/>
              </w:rPr>
              <w:t>分</w:t>
            </w:r>
          </w:p>
        </w:tc>
        <w:tc>
          <w:tcPr>
            <w:tcW w:w="2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E5827">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通过访谈、实操观察，评估学员相较于上阶段的进步程度,若不达标考核要求，每人次扣</w:t>
            </w:r>
            <w:r>
              <w:rPr>
                <w:rStyle w:val="120"/>
                <w:rFonts w:hint="eastAsia" w:ascii="宋体" w:hAnsi="宋体" w:eastAsia="宋体" w:cs="宋体"/>
                <w:b w:val="0"/>
                <w:bCs w:val="0"/>
                <w:color w:val="auto"/>
                <w:sz w:val="21"/>
                <w:szCs w:val="21"/>
                <w:lang w:val="en-US" w:eastAsia="zh-CN" w:bidi="ar"/>
              </w:rPr>
              <w:t>2</w:t>
            </w:r>
            <w:r>
              <w:rPr>
                <w:rStyle w:val="111"/>
                <w:rFonts w:hint="eastAsia" w:ascii="宋体" w:hAnsi="宋体" w:eastAsia="宋体" w:cs="宋体"/>
                <w:b w:val="0"/>
                <w:bCs w:val="0"/>
                <w:color w:val="auto"/>
                <w:sz w:val="21"/>
                <w:szCs w:val="21"/>
                <w:lang w:val="en-US" w:eastAsia="zh-CN" w:bidi="ar"/>
              </w:rPr>
              <w:t>分。</w:t>
            </w:r>
          </w:p>
        </w:tc>
      </w:tr>
      <w:tr w14:paraId="3C2A3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4BB3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四、过程满意度</w:t>
            </w:r>
            <w:r>
              <w:rPr>
                <w:rStyle w:val="120"/>
                <w:rFonts w:hint="eastAsia" w:ascii="宋体" w:hAnsi="宋体" w:eastAsia="宋体" w:cs="宋体"/>
                <w:b w:val="0"/>
                <w:bCs w:val="0"/>
                <w:color w:val="auto"/>
                <w:sz w:val="21"/>
                <w:szCs w:val="21"/>
                <w:lang w:val="en-US" w:eastAsia="zh-CN" w:bidi="ar"/>
              </w:rPr>
              <w:t xml:space="preserve"> (10</w:t>
            </w:r>
            <w:r>
              <w:rPr>
                <w:rStyle w:val="111"/>
                <w:rFonts w:hint="eastAsia" w:ascii="宋体" w:hAnsi="宋体" w:eastAsia="宋体" w:cs="宋体"/>
                <w:b w:val="0"/>
                <w:bCs w:val="0"/>
                <w:color w:val="auto"/>
                <w:sz w:val="21"/>
                <w:szCs w:val="21"/>
                <w:lang w:val="en-US" w:eastAsia="zh-CN" w:bidi="ar"/>
              </w:rPr>
              <w:t>分</w:t>
            </w:r>
            <w:r>
              <w:rPr>
                <w:rStyle w:val="120"/>
                <w:rFonts w:hint="eastAsia" w:ascii="宋体" w:hAnsi="宋体" w:eastAsia="宋体" w:cs="宋体"/>
                <w:b w:val="0"/>
                <w:bCs w:val="0"/>
                <w:color w:val="auto"/>
                <w:sz w:val="21"/>
                <w:szCs w:val="21"/>
                <w:lang w:val="en-US" w:eastAsia="zh-CN" w:bidi="ar"/>
              </w:rPr>
              <w:t>)</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1631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Style w:val="111"/>
                <w:rFonts w:hint="eastAsia" w:ascii="宋体" w:hAnsi="宋体" w:eastAsia="宋体" w:cs="宋体"/>
                <w:b w:val="0"/>
                <w:bCs w:val="0"/>
                <w:color w:val="auto"/>
                <w:sz w:val="21"/>
                <w:szCs w:val="21"/>
                <w:lang w:val="en-US" w:eastAsia="zh-CN" w:bidi="ar"/>
              </w:rPr>
              <w:t>学员过程满意度</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2E2C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10</w:t>
            </w:r>
            <w:r>
              <w:rPr>
                <w:rStyle w:val="111"/>
                <w:rFonts w:hint="eastAsia" w:ascii="宋体" w:hAnsi="宋体" w:eastAsia="宋体" w:cs="宋体"/>
                <w:b w:val="0"/>
                <w:bCs w:val="0"/>
                <w:color w:val="auto"/>
                <w:sz w:val="21"/>
                <w:szCs w:val="21"/>
                <w:lang w:val="en-US" w:eastAsia="zh-CN" w:bidi="ar"/>
              </w:rPr>
              <w:t>分</w:t>
            </w:r>
          </w:p>
        </w:tc>
        <w:tc>
          <w:tcPr>
            <w:tcW w:w="2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C830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匿名测评：满意度</w:t>
            </w:r>
            <w:r>
              <w:rPr>
                <w:rStyle w:val="120"/>
                <w:rFonts w:hint="eastAsia" w:ascii="宋体" w:hAnsi="宋体" w:eastAsia="宋体" w:cs="宋体"/>
                <w:b w:val="0"/>
                <w:bCs w:val="0"/>
                <w:color w:val="auto"/>
                <w:sz w:val="21"/>
                <w:szCs w:val="21"/>
                <w:lang w:val="en-US" w:eastAsia="zh-CN" w:bidi="ar"/>
              </w:rPr>
              <w:t>≥95%</w:t>
            </w:r>
            <w:r>
              <w:rPr>
                <w:rStyle w:val="111"/>
                <w:rFonts w:hint="eastAsia" w:ascii="宋体" w:hAnsi="宋体" w:eastAsia="宋体" w:cs="宋体"/>
                <w:b w:val="0"/>
                <w:bCs w:val="0"/>
                <w:color w:val="auto"/>
                <w:sz w:val="21"/>
                <w:szCs w:val="21"/>
                <w:lang w:val="en-US" w:eastAsia="zh-CN" w:bidi="ar"/>
              </w:rPr>
              <w:t>得</w:t>
            </w:r>
            <w:r>
              <w:rPr>
                <w:rStyle w:val="120"/>
                <w:rFonts w:hint="eastAsia" w:ascii="宋体" w:hAnsi="宋体" w:eastAsia="宋体" w:cs="宋体"/>
                <w:b w:val="0"/>
                <w:bCs w:val="0"/>
                <w:color w:val="auto"/>
                <w:sz w:val="21"/>
                <w:szCs w:val="21"/>
                <w:lang w:val="en-US" w:eastAsia="zh-CN" w:bidi="ar"/>
              </w:rPr>
              <w:t>10</w:t>
            </w:r>
            <w:r>
              <w:rPr>
                <w:rStyle w:val="111"/>
                <w:rFonts w:hint="eastAsia" w:ascii="宋体" w:hAnsi="宋体" w:eastAsia="宋体" w:cs="宋体"/>
                <w:b w:val="0"/>
                <w:bCs w:val="0"/>
                <w:color w:val="auto"/>
                <w:sz w:val="21"/>
                <w:szCs w:val="21"/>
                <w:lang w:val="en-US" w:eastAsia="zh-CN" w:bidi="ar"/>
              </w:rPr>
              <w:t>分；</w:t>
            </w:r>
            <w:r>
              <w:rPr>
                <w:rStyle w:val="120"/>
                <w:rFonts w:hint="eastAsia" w:ascii="宋体" w:hAnsi="宋体" w:eastAsia="宋体" w:cs="宋体"/>
                <w:b w:val="0"/>
                <w:bCs w:val="0"/>
                <w:color w:val="auto"/>
                <w:sz w:val="21"/>
                <w:szCs w:val="21"/>
                <w:lang w:val="en-US" w:eastAsia="zh-CN" w:bidi="ar"/>
              </w:rPr>
              <w:t>≥80%</w:t>
            </w:r>
            <w:r>
              <w:rPr>
                <w:rStyle w:val="111"/>
                <w:rFonts w:hint="eastAsia" w:ascii="宋体" w:hAnsi="宋体" w:eastAsia="宋体" w:cs="宋体"/>
                <w:b w:val="0"/>
                <w:bCs w:val="0"/>
                <w:color w:val="auto"/>
                <w:sz w:val="21"/>
                <w:szCs w:val="21"/>
                <w:lang w:val="en-US" w:eastAsia="zh-CN" w:bidi="ar"/>
              </w:rPr>
              <w:t>得</w:t>
            </w:r>
            <w:r>
              <w:rPr>
                <w:rStyle w:val="120"/>
                <w:rFonts w:hint="eastAsia" w:ascii="宋体" w:hAnsi="宋体" w:eastAsia="宋体" w:cs="宋体"/>
                <w:b w:val="0"/>
                <w:bCs w:val="0"/>
                <w:color w:val="auto"/>
                <w:sz w:val="21"/>
                <w:szCs w:val="21"/>
                <w:lang w:val="en-US" w:eastAsia="zh-CN" w:bidi="ar"/>
              </w:rPr>
              <w:t>8</w:t>
            </w:r>
            <w:r>
              <w:rPr>
                <w:rStyle w:val="111"/>
                <w:rFonts w:hint="eastAsia" w:ascii="宋体" w:hAnsi="宋体" w:eastAsia="宋体" w:cs="宋体"/>
                <w:b w:val="0"/>
                <w:bCs w:val="0"/>
                <w:color w:val="auto"/>
                <w:sz w:val="21"/>
                <w:szCs w:val="21"/>
                <w:lang w:val="en-US" w:eastAsia="zh-CN" w:bidi="ar"/>
              </w:rPr>
              <w:t>分；</w:t>
            </w:r>
            <w:r>
              <w:rPr>
                <w:rStyle w:val="120"/>
                <w:rFonts w:hint="eastAsia" w:ascii="宋体" w:hAnsi="宋体" w:eastAsia="宋体" w:cs="宋体"/>
                <w:b w:val="0"/>
                <w:bCs w:val="0"/>
                <w:color w:val="auto"/>
                <w:sz w:val="21"/>
                <w:szCs w:val="21"/>
                <w:lang w:val="en-US" w:eastAsia="zh-CN" w:bidi="ar"/>
              </w:rPr>
              <w:t>≥70%</w:t>
            </w:r>
            <w:r>
              <w:rPr>
                <w:rStyle w:val="111"/>
                <w:rFonts w:hint="eastAsia" w:ascii="宋体" w:hAnsi="宋体" w:eastAsia="宋体" w:cs="宋体"/>
                <w:b w:val="0"/>
                <w:bCs w:val="0"/>
                <w:color w:val="auto"/>
                <w:sz w:val="21"/>
                <w:szCs w:val="21"/>
                <w:lang w:val="en-US" w:eastAsia="zh-CN" w:bidi="ar"/>
              </w:rPr>
              <w:t>得</w:t>
            </w:r>
            <w:r>
              <w:rPr>
                <w:rStyle w:val="120"/>
                <w:rFonts w:hint="eastAsia" w:ascii="宋体" w:hAnsi="宋体" w:eastAsia="宋体" w:cs="宋体"/>
                <w:b w:val="0"/>
                <w:bCs w:val="0"/>
                <w:color w:val="auto"/>
                <w:sz w:val="21"/>
                <w:szCs w:val="21"/>
                <w:lang w:val="en-US" w:eastAsia="zh-CN" w:bidi="ar"/>
              </w:rPr>
              <w:t>6</w:t>
            </w:r>
            <w:r>
              <w:rPr>
                <w:rStyle w:val="111"/>
                <w:rFonts w:hint="eastAsia" w:ascii="宋体" w:hAnsi="宋体" w:eastAsia="宋体" w:cs="宋体"/>
                <w:b w:val="0"/>
                <w:bCs w:val="0"/>
                <w:color w:val="auto"/>
                <w:sz w:val="21"/>
                <w:szCs w:val="21"/>
                <w:lang w:val="en-US" w:eastAsia="zh-CN" w:bidi="ar"/>
              </w:rPr>
              <w:t>分；</w:t>
            </w:r>
            <w:r>
              <w:rPr>
                <w:rStyle w:val="120"/>
                <w:rFonts w:hint="eastAsia" w:ascii="宋体" w:hAnsi="宋体" w:eastAsia="宋体" w:cs="宋体"/>
                <w:b w:val="0"/>
                <w:bCs w:val="0"/>
                <w:color w:val="auto"/>
                <w:sz w:val="21"/>
                <w:szCs w:val="21"/>
                <w:lang w:val="en-US" w:eastAsia="zh-CN" w:bidi="ar"/>
              </w:rPr>
              <w:t>&lt;70%</w:t>
            </w:r>
            <w:r>
              <w:rPr>
                <w:rStyle w:val="111"/>
                <w:rFonts w:hint="eastAsia" w:ascii="宋体" w:hAnsi="宋体" w:eastAsia="宋体" w:cs="宋体"/>
                <w:b w:val="0"/>
                <w:bCs w:val="0"/>
                <w:color w:val="auto"/>
                <w:sz w:val="21"/>
                <w:szCs w:val="21"/>
                <w:lang w:val="en-US" w:eastAsia="zh-CN" w:bidi="ar"/>
              </w:rPr>
              <w:t>得</w:t>
            </w:r>
            <w:r>
              <w:rPr>
                <w:rStyle w:val="120"/>
                <w:rFonts w:hint="eastAsia" w:ascii="宋体" w:hAnsi="宋体" w:eastAsia="宋体" w:cs="宋体"/>
                <w:b w:val="0"/>
                <w:bCs w:val="0"/>
                <w:color w:val="auto"/>
                <w:sz w:val="21"/>
                <w:szCs w:val="21"/>
                <w:lang w:val="en-US" w:eastAsia="zh-CN" w:bidi="ar"/>
              </w:rPr>
              <w:t>0</w:t>
            </w:r>
            <w:r>
              <w:rPr>
                <w:rStyle w:val="111"/>
                <w:rFonts w:hint="eastAsia" w:ascii="宋体" w:hAnsi="宋体" w:eastAsia="宋体" w:cs="宋体"/>
                <w:b w:val="0"/>
                <w:bCs w:val="0"/>
                <w:color w:val="auto"/>
                <w:sz w:val="21"/>
                <w:szCs w:val="21"/>
                <w:lang w:val="en-US" w:eastAsia="zh-CN" w:bidi="ar"/>
              </w:rPr>
              <w:t>分。</w:t>
            </w:r>
          </w:p>
        </w:tc>
      </w:tr>
      <w:tr w14:paraId="3B294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DEC4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过程考核总分</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C472E">
            <w:pPr>
              <w:spacing w:line="240" w:lineRule="auto"/>
              <w:jc w:val="center"/>
              <w:rPr>
                <w:rFonts w:hint="eastAsia" w:ascii="宋体" w:hAnsi="宋体" w:eastAsia="宋体" w:cs="宋体"/>
                <w:i w:val="0"/>
                <w:iCs w:val="0"/>
                <w:color w:val="auto"/>
                <w:sz w:val="21"/>
                <w:szCs w:val="21"/>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CBF6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r>
              <w:rPr>
                <w:rStyle w:val="111"/>
                <w:rFonts w:hint="eastAsia" w:ascii="宋体" w:hAnsi="宋体" w:eastAsia="宋体" w:cs="宋体"/>
                <w:color w:val="auto"/>
                <w:sz w:val="21"/>
                <w:szCs w:val="21"/>
                <w:lang w:val="en-US" w:eastAsia="zh-CN" w:bidi="ar"/>
              </w:rPr>
              <w:t>分</w:t>
            </w:r>
          </w:p>
        </w:tc>
        <w:tc>
          <w:tcPr>
            <w:tcW w:w="2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2DA4">
            <w:pPr>
              <w:spacing w:line="240" w:lineRule="auto"/>
              <w:jc w:val="center"/>
              <w:rPr>
                <w:rFonts w:hint="eastAsia" w:ascii="宋体" w:hAnsi="宋体" w:eastAsia="宋体" w:cs="宋体"/>
                <w:i w:val="0"/>
                <w:iCs w:val="0"/>
                <w:color w:val="auto"/>
                <w:sz w:val="21"/>
                <w:szCs w:val="21"/>
                <w:u w:val="none"/>
              </w:rPr>
            </w:pPr>
          </w:p>
        </w:tc>
      </w:tr>
      <w:tr w14:paraId="7CE4E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1"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90E5DC">
            <w:p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7139C567">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结果考核得分 ≥ 90分：全额</w:t>
            </w:r>
            <w:r>
              <w:rPr>
                <w:rFonts w:hint="eastAsia" w:ascii="宋体" w:hAnsi="宋体" w:eastAsia="宋体" w:cs="宋体"/>
                <w:color w:val="auto"/>
                <w:sz w:val="21"/>
                <w:szCs w:val="21"/>
                <w:lang w:val="en-US" w:eastAsia="zh-CN"/>
              </w:rPr>
              <w:t>支付当期带教服务费用</w:t>
            </w:r>
            <w:r>
              <w:rPr>
                <w:rFonts w:hint="eastAsia" w:ascii="宋体" w:hAnsi="宋体" w:eastAsia="宋体" w:cs="宋体"/>
                <w:color w:val="auto"/>
                <w:sz w:val="21"/>
                <w:szCs w:val="21"/>
              </w:rPr>
              <w:t>。</w:t>
            </w:r>
          </w:p>
          <w:p w14:paraId="79A0116B">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80</w:t>
            </w:r>
            <w:r>
              <w:rPr>
                <w:rFonts w:hint="eastAsia" w:ascii="宋体" w:hAnsi="宋体" w:eastAsia="宋体" w:cs="宋体"/>
                <w:color w:val="auto"/>
                <w:sz w:val="21"/>
                <w:szCs w:val="21"/>
              </w:rPr>
              <w:t>分 ≤ 结果考核得分 &lt;</w:t>
            </w:r>
            <w:r>
              <w:rPr>
                <w:rFonts w:hint="eastAsia" w:ascii="宋体" w:hAnsi="宋体" w:eastAsia="宋体" w:cs="宋体"/>
                <w:color w:val="auto"/>
                <w:sz w:val="21"/>
                <w:szCs w:val="21"/>
                <w:lang w:val="en-US" w:eastAsia="zh-CN"/>
              </w:rPr>
              <w:t xml:space="preserve"> 90</w:t>
            </w:r>
            <w:r>
              <w:rPr>
                <w:rFonts w:hint="eastAsia" w:ascii="宋体" w:hAnsi="宋体" w:eastAsia="宋体" w:cs="宋体"/>
                <w:color w:val="auto"/>
                <w:sz w:val="21"/>
                <w:szCs w:val="21"/>
              </w:rPr>
              <w:t>分：按</w:t>
            </w:r>
            <w:r>
              <w:rPr>
                <w:rFonts w:hint="eastAsia" w:ascii="宋体" w:hAnsi="宋体" w:eastAsia="宋体" w:cs="宋体"/>
                <w:color w:val="auto"/>
                <w:sz w:val="21"/>
                <w:szCs w:val="21"/>
                <w:lang w:val="en-US" w:eastAsia="zh-CN"/>
              </w:rPr>
              <w:t>90%支付当期带教服务费</w:t>
            </w:r>
            <w:r>
              <w:rPr>
                <w:rFonts w:hint="eastAsia" w:ascii="宋体" w:hAnsi="宋体" w:eastAsia="宋体" w:cs="宋体"/>
                <w:color w:val="auto"/>
                <w:sz w:val="21"/>
                <w:szCs w:val="21"/>
              </w:rPr>
              <w:t>。</w:t>
            </w:r>
          </w:p>
          <w:p w14:paraId="60244748">
            <w:pPr>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70</w:t>
            </w:r>
            <w:r>
              <w:rPr>
                <w:rFonts w:hint="eastAsia" w:ascii="宋体" w:hAnsi="宋体" w:eastAsia="宋体" w:cs="宋体"/>
                <w:color w:val="auto"/>
                <w:sz w:val="21"/>
                <w:szCs w:val="21"/>
                <w:lang w:eastAsia="zh-CN"/>
              </w:rPr>
              <w:t>分 ≤ 结果考核得分 &lt;</w:t>
            </w:r>
            <w:r>
              <w:rPr>
                <w:rFonts w:hint="eastAsia" w:ascii="宋体" w:hAnsi="宋体" w:eastAsia="宋体" w:cs="宋体"/>
                <w:color w:val="auto"/>
                <w:sz w:val="21"/>
                <w:szCs w:val="21"/>
                <w:lang w:val="en-US" w:eastAsia="zh-CN"/>
              </w:rPr>
              <w:t xml:space="preserve"> 80</w:t>
            </w:r>
            <w:r>
              <w:rPr>
                <w:rFonts w:hint="eastAsia" w:ascii="宋体" w:hAnsi="宋体" w:eastAsia="宋体" w:cs="宋体"/>
                <w:color w:val="auto"/>
                <w:sz w:val="21"/>
                <w:szCs w:val="21"/>
                <w:lang w:eastAsia="zh-CN"/>
              </w:rPr>
              <w:t>分：按</w:t>
            </w:r>
            <w:r>
              <w:rPr>
                <w:rFonts w:hint="eastAsia" w:ascii="宋体" w:hAnsi="宋体" w:eastAsia="宋体" w:cs="宋体"/>
                <w:color w:val="auto"/>
                <w:sz w:val="21"/>
                <w:szCs w:val="21"/>
                <w:lang w:val="en-US" w:eastAsia="zh-CN"/>
              </w:rPr>
              <w:t>80%支付当期带教服务费</w:t>
            </w:r>
            <w:r>
              <w:rPr>
                <w:rFonts w:hint="eastAsia" w:ascii="宋体" w:hAnsi="宋体" w:eastAsia="宋体" w:cs="宋体"/>
                <w:color w:val="auto"/>
                <w:sz w:val="21"/>
                <w:szCs w:val="21"/>
                <w:lang w:eastAsia="zh-CN"/>
              </w:rPr>
              <w:t>。</w:t>
            </w:r>
          </w:p>
          <w:p w14:paraId="3411442F">
            <w:pPr>
              <w:numPr>
                <w:ilvl w:val="0"/>
                <w:numId w:val="22"/>
              </w:num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结果考核得分 &lt; </w:t>
            </w:r>
            <w:r>
              <w:rPr>
                <w:rFonts w:hint="eastAsia" w:ascii="宋体" w:hAnsi="宋体" w:eastAsia="宋体" w:cs="宋体"/>
                <w:color w:val="auto"/>
                <w:sz w:val="21"/>
                <w:szCs w:val="21"/>
                <w:lang w:val="en-US" w:eastAsia="zh-CN"/>
              </w:rPr>
              <w:t>70</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，招标人无需支付当期物业管理带教服务费用</w:t>
            </w:r>
            <w:r>
              <w:rPr>
                <w:rFonts w:hint="eastAsia" w:ascii="宋体" w:hAnsi="宋体" w:eastAsia="宋体" w:cs="宋体"/>
                <w:color w:val="auto"/>
                <w:sz w:val="21"/>
                <w:szCs w:val="21"/>
              </w:rPr>
              <w:t>，</w:t>
            </w:r>
            <w:r>
              <w:rPr>
                <w:rFonts w:hint="eastAsia" w:ascii="宋体" w:hAnsi="宋体" w:eastAsia="宋体" w:cs="宋体"/>
                <w:color w:val="auto"/>
              </w:rPr>
              <w:t>同时</w:t>
            </w:r>
            <w:r>
              <w:rPr>
                <w:rFonts w:hint="eastAsia" w:ascii="宋体" w:hAnsi="宋体" w:eastAsia="宋体" w:cs="宋体"/>
                <w:color w:val="auto"/>
                <w:lang w:val="en-US" w:eastAsia="zh-CN"/>
              </w:rPr>
              <w:t>中标人</w:t>
            </w:r>
            <w:r>
              <w:rPr>
                <w:rFonts w:hint="eastAsia" w:ascii="宋体" w:hAnsi="宋体" w:eastAsia="宋体" w:cs="宋体"/>
                <w:color w:val="auto"/>
              </w:rPr>
              <w:t>还应向</w:t>
            </w:r>
            <w:r>
              <w:rPr>
                <w:rFonts w:hint="eastAsia" w:ascii="宋体" w:hAnsi="宋体" w:eastAsia="宋体" w:cs="宋体"/>
                <w:color w:val="auto"/>
                <w:lang w:val="en-US" w:eastAsia="zh-CN"/>
              </w:rPr>
              <w:t>招标人</w:t>
            </w:r>
            <w:r>
              <w:rPr>
                <w:rFonts w:hint="eastAsia" w:ascii="宋体" w:hAnsi="宋体" w:eastAsia="宋体" w:cs="宋体"/>
                <w:color w:val="auto"/>
              </w:rPr>
              <w:t>支付人民币</w:t>
            </w:r>
            <w:r>
              <w:rPr>
                <w:rFonts w:hint="eastAsia" w:ascii="宋体" w:hAnsi="宋体" w:eastAsia="宋体" w:cs="宋体"/>
                <w:color w:val="auto"/>
                <w:lang w:val="en-US" w:eastAsia="zh-CN"/>
              </w:rPr>
              <w:t>1</w:t>
            </w:r>
            <w:r>
              <w:rPr>
                <w:rFonts w:hint="eastAsia" w:ascii="宋体" w:hAnsi="宋体" w:eastAsia="宋体" w:cs="宋体"/>
                <w:color w:val="auto"/>
              </w:rPr>
              <w:t>00</w:t>
            </w:r>
            <w:r>
              <w:rPr>
                <w:rFonts w:hint="eastAsia" w:ascii="宋体" w:hAnsi="宋体" w:eastAsia="宋体" w:cs="宋体"/>
                <w:color w:val="auto"/>
                <w:lang w:val="en-US" w:eastAsia="zh-CN"/>
              </w:rPr>
              <w:t>,</w:t>
            </w:r>
            <w:r>
              <w:rPr>
                <w:rFonts w:hint="eastAsia" w:ascii="宋体" w:hAnsi="宋体" w:eastAsia="宋体" w:cs="宋体"/>
                <w:color w:val="auto"/>
              </w:rPr>
              <w:t>000.00元作为违约金</w:t>
            </w:r>
            <w:r>
              <w:rPr>
                <w:rFonts w:hint="eastAsia" w:ascii="宋体" w:hAnsi="宋体" w:eastAsia="宋体" w:cs="宋体"/>
                <w:color w:val="auto"/>
                <w:sz w:val="21"/>
                <w:szCs w:val="21"/>
              </w:rPr>
              <w:t>。</w:t>
            </w:r>
          </w:p>
        </w:tc>
      </w:tr>
    </w:tbl>
    <w:p w14:paraId="3B7F01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5.1.2最终</w:t>
      </w:r>
      <w:r>
        <w:rPr>
          <w:rFonts w:hint="eastAsia" w:ascii="宋体" w:hAnsi="宋体" w:eastAsia="宋体" w:cs="宋体"/>
          <w:color w:val="auto"/>
          <w:sz w:val="21"/>
          <w:szCs w:val="21"/>
        </w:rPr>
        <w:t>考核</w:t>
      </w:r>
    </w:p>
    <w:p w14:paraId="6CA6A34E">
      <w:pPr>
        <w:pStyle w:val="18"/>
        <w:spacing w:line="360" w:lineRule="auto"/>
        <w:ind w:firstLine="422"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带教服务期满，招标人组织对中标人最终交付的成果进行验收，并对照人才培养目标进行最终评估。验收结果将作为合同履行情况的重要依据。</w:t>
      </w:r>
      <w:r>
        <w:rPr>
          <w:rFonts w:hint="eastAsia" w:ascii="宋体" w:hAnsi="宋体" w:eastAsia="宋体" w:cs="宋体"/>
          <w:color w:val="auto"/>
          <w:sz w:val="21"/>
          <w:szCs w:val="21"/>
          <w:highlight w:val="none"/>
        </w:rPr>
        <w:t>结果考核评分细则（100分）</w:t>
      </w:r>
      <w:r>
        <w:rPr>
          <w:rFonts w:hint="eastAsia" w:ascii="宋体" w:hAnsi="宋体" w:eastAsia="宋体" w:cs="宋体"/>
          <w:color w:val="auto"/>
          <w:sz w:val="21"/>
          <w:szCs w:val="21"/>
          <w:highlight w:val="none"/>
          <w:lang w:val="en-US" w:eastAsia="zh-CN"/>
        </w:rPr>
        <w:t>如下：</w:t>
      </w:r>
    </w:p>
    <w:tbl>
      <w:tblPr>
        <w:tblStyle w:val="41"/>
        <w:tblW w:w="96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4"/>
        <w:gridCol w:w="1577"/>
        <w:gridCol w:w="1149"/>
        <w:gridCol w:w="5148"/>
      </w:tblGrid>
      <w:tr w14:paraId="18E1F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1DE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考核大类</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B64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考核细项</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F19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分值</w:t>
            </w:r>
          </w:p>
        </w:tc>
        <w:tc>
          <w:tcPr>
            <w:tcW w:w="5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6B5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扣分标准</w:t>
            </w:r>
          </w:p>
        </w:tc>
      </w:tr>
      <w:tr w14:paraId="2161D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5" w:hRule="atLeast"/>
          <w:jc w:val="center"/>
        </w:trPr>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6090">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color w:val="auto"/>
                <w:kern w:val="0"/>
                <w:sz w:val="21"/>
                <w:szCs w:val="21"/>
                <w:u w:val="none"/>
                <w:lang w:val="en-US" w:eastAsia="zh-CN" w:bidi="ar"/>
              </w:rPr>
              <w:t>一、团队培养成果 (60分)</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CDA7">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color w:val="auto"/>
                <w:kern w:val="0"/>
                <w:sz w:val="21"/>
                <w:szCs w:val="21"/>
                <w:u w:val="none"/>
                <w:lang w:val="en-US" w:eastAsia="zh-CN" w:bidi="ar"/>
              </w:rPr>
              <w:t>岗位胜任力认证</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26A2">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color w:val="auto"/>
                <w:kern w:val="0"/>
                <w:sz w:val="21"/>
                <w:szCs w:val="21"/>
                <w:u w:val="none"/>
                <w:lang w:val="en-US" w:eastAsia="zh-CN" w:bidi="ar"/>
              </w:rPr>
              <w:t>60分</w:t>
            </w:r>
          </w:p>
        </w:tc>
        <w:tc>
          <w:tcPr>
            <w:tcW w:w="5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549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【核心指标】 由双方</w:t>
            </w:r>
            <w:r>
              <w:rPr>
                <w:rFonts w:hint="eastAsia" w:ascii="宋体" w:hAnsi="宋体" w:eastAsia="宋体" w:cs="宋体"/>
                <w:color w:val="auto"/>
                <w:sz w:val="21"/>
                <w:szCs w:val="21"/>
                <w:highlight w:val="none"/>
                <w:lang w:val="en-US" w:eastAsia="zh-CN"/>
              </w:rPr>
              <w:t>联合工作组</w:t>
            </w:r>
            <w:r>
              <w:rPr>
                <w:rFonts w:hint="eastAsia" w:ascii="宋体" w:hAnsi="宋体" w:eastAsia="宋体" w:cs="宋体"/>
                <w:i w:val="0"/>
                <w:color w:val="auto"/>
                <w:kern w:val="0"/>
                <w:sz w:val="21"/>
                <w:szCs w:val="21"/>
                <w:highlight w:val="none"/>
                <w:u w:val="none"/>
                <w:lang w:val="en-US" w:eastAsia="zh-CN" w:bidi="ar"/>
              </w:rPr>
              <w:t>通过现场实操（权重40%）、笔试（权重30%）、面试答辩（权重30%） 对5名学员进行综合考评（</w:t>
            </w:r>
            <w:r>
              <w:rPr>
                <w:rFonts w:hint="eastAsia" w:ascii="宋体" w:hAnsi="宋体" w:eastAsia="宋体" w:cs="宋体"/>
                <w:color w:val="auto"/>
                <w:sz w:val="21"/>
                <w:szCs w:val="21"/>
                <w:highlight w:val="none"/>
                <w:lang w:val="en-US" w:eastAsia="zh-CN"/>
              </w:rPr>
              <w:t>拟派驻人员培训时长不足6个月或中途工作调整的，不纳入考核范围</w:t>
            </w:r>
            <w:r>
              <w:rPr>
                <w:rFonts w:hint="eastAsia" w:ascii="宋体" w:hAnsi="宋体" w:eastAsia="宋体" w:cs="宋体"/>
                <w:i w:val="0"/>
                <w:color w:val="auto"/>
                <w:kern w:val="0"/>
                <w:sz w:val="21"/>
                <w:szCs w:val="21"/>
                <w:highlight w:val="none"/>
                <w:u w:val="none"/>
                <w:lang w:val="en-US" w:eastAsia="zh-CN" w:bidi="ar"/>
              </w:rPr>
              <w:t xml:space="preserve">）。                   </w:t>
            </w:r>
          </w:p>
          <w:p w14:paraId="62139518">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1、5名学员（含项目负责人）全部通过认证，得60分；</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2、4名学员（含项目负责人）通过认证，得40分；</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3、3名学员（含项目负责人）通过认证，得20分；</w:t>
            </w:r>
          </w:p>
          <w:p w14:paraId="0FD0FE7E">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color w:val="auto"/>
                <w:kern w:val="0"/>
                <w:sz w:val="21"/>
                <w:szCs w:val="21"/>
                <w:highlight w:val="none"/>
                <w:u w:val="none"/>
                <w:lang w:val="en-US" w:eastAsia="zh-CN" w:bidi="ar"/>
              </w:rPr>
              <w:t>4、2名学员（含项目负责人）或项目负责人未通过认证，得0分。</w:t>
            </w:r>
          </w:p>
        </w:tc>
      </w:tr>
      <w:tr w14:paraId="434D3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5" w:hRule="atLeast"/>
          <w:jc w:val="center"/>
        </w:trPr>
        <w:tc>
          <w:tcPr>
            <w:tcW w:w="1804" w:type="dxa"/>
            <w:vMerge w:val="restart"/>
            <w:tcBorders>
              <w:top w:val="single" w:color="000000" w:sz="4" w:space="0"/>
              <w:left w:val="single" w:color="000000" w:sz="4" w:space="0"/>
              <w:right w:val="single" w:color="000000" w:sz="4" w:space="0"/>
            </w:tcBorders>
            <w:shd w:val="clear" w:color="auto" w:fill="auto"/>
            <w:vAlign w:val="center"/>
          </w:tcPr>
          <w:p w14:paraId="07BD269C">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color w:val="auto"/>
                <w:kern w:val="0"/>
                <w:sz w:val="21"/>
                <w:szCs w:val="21"/>
                <w:u w:val="none"/>
                <w:lang w:val="en-US" w:eastAsia="zh-CN" w:bidi="ar"/>
              </w:rPr>
              <w:t>二、知识传承成果 (40分)</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2A79">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color w:val="auto"/>
                <w:kern w:val="0"/>
                <w:sz w:val="21"/>
                <w:szCs w:val="21"/>
                <w:u w:val="none"/>
                <w:lang w:val="en-US" w:eastAsia="zh-CN" w:bidi="ar"/>
              </w:rPr>
              <w:t>体系文件完整性与质量</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8DC0">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color w:val="auto"/>
                <w:kern w:val="0"/>
                <w:sz w:val="21"/>
                <w:szCs w:val="21"/>
                <w:u w:val="none"/>
                <w:lang w:val="en-US" w:eastAsia="zh-CN" w:bidi="ar"/>
              </w:rPr>
              <w:t>20分</w:t>
            </w:r>
          </w:p>
        </w:tc>
        <w:tc>
          <w:tcPr>
            <w:tcW w:w="5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02CD">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要求提供包括不限于以下文件：《项目运营管理知识体系文件》，全套《项目设施设备运维与应急处理手册》，《岗位胜任能力评估报告》，《项目全周期运营管理方案》，《物业服务各模块（客服、工程、秩序、环境）标准化作业程序》，《项目品质检查标准与考核办法》，《内部绩效考核与激励机制方案》，《各条线台账》 。        </w:t>
            </w:r>
          </w:p>
          <w:p w14:paraId="030E4181">
            <w:pPr>
              <w:keepNext w:val="0"/>
              <w:keepLines w:val="0"/>
              <w:widowControl/>
              <w:numPr>
                <w:ilvl w:val="0"/>
                <w:numId w:val="23"/>
              </w:numPr>
              <w:suppressLineNumbers w:val="0"/>
              <w:spacing w:line="240" w:lineRule="auto"/>
              <w:ind w:left="0" w:leftChars="0" w:firstLine="0" w:firstLineChars="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每缺失一项核心文件，扣3分。</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 xml:space="preserve">2、文件内容存在严重错误或与项目实际严重不符，每项扣2分。   </w:t>
            </w:r>
          </w:p>
          <w:p w14:paraId="4B745E99">
            <w:pPr>
              <w:keepNext w:val="0"/>
              <w:keepLines w:val="0"/>
              <w:widowControl/>
              <w:numPr>
                <w:ilvl w:val="0"/>
                <w:numId w:val="23"/>
              </w:numPr>
              <w:suppressLineNumbers w:val="0"/>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color w:val="auto"/>
                <w:kern w:val="0"/>
                <w:sz w:val="21"/>
                <w:szCs w:val="21"/>
                <w:u w:val="none"/>
                <w:lang w:val="en-US" w:eastAsia="zh-CN" w:bidi="ar"/>
              </w:rPr>
              <w:t>文件仅为通用模板，未针对本项目进行定制化修订，缺乏适用性，每项扣1分。                     分数扣完为止。</w:t>
            </w:r>
          </w:p>
        </w:tc>
      </w:tr>
      <w:tr w14:paraId="1AC1E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jc w:val="center"/>
        </w:trPr>
        <w:tc>
          <w:tcPr>
            <w:tcW w:w="1804" w:type="dxa"/>
            <w:vMerge w:val="continue"/>
            <w:tcBorders>
              <w:left w:val="single" w:color="000000" w:sz="4" w:space="0"/>
              <w:bottom w:val="single" w:color="000000" w:sz="4" w:space="0"/>
              <w:right w:val="single" w:color="000000" w:sz="4" w:space="0"/>
            </w:tcBorders>
            <w:shd w:val="clear" w:color="auto" w:fill="auto"/>
            <w:vAlign w:val="center"/>
          </w:tcPr>
          <w:p w14:paraId="74F72C8C">
            <w:pPr>
              <w:spacing w:line="240" w:lineRule="auto"/>
              <w:jc w:val="left"/>
              <w:rPr>
                <w:rFonts w:hint="eastAsia" w:ascii="宋体" w:hAnsi="宋体" w:eastAsia="宋体" w:cs="宋体"/>
                <w:i w:val="0"/>
                <w:iCs w:val="0"/>
                <w:color w:val="auto"/>
                <w:sz w:val="21"/>
                <w:szCs w:val="21"/>
                <w:u w:val="none"/>
              </w:rPr>
            </w:pPr>
          </w:p>
        </w:tc>
        <w:tc>
          <w:tcPr>
            <w:tcW w:w="1577" w:type="dxa"/>
            <w:vMerge w:val="restart"/>
            <w:tcBorders>
              <w:top w:val="single" w:color="000000" w:sz="4" w:space="0"/>
              <w:left w:val="single" w:color="000000" w:sz="4" w:space="0"/>
              <w:right w:val="single" w:color="000000" w:sz="4" w:space="0"/>
            </w:tcBorders>
            <w:shd w:val="clear" w:color="auto" w:fill="auto"/>
            <w:vAlign w:val="center"/>
          </w:tcPr>
          <w:p w14:paraId="60593DD4">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color w:val="auto"/>
                <w:kern w:val="0"/>
                <w:sz w:val="21"/>
                <w:szCs w:val="21"/>
                <w:u w:val="none"/>
                <w:lang w:val="en-US" w:eastAsia="zh-CN" w:bidi="ar"/>
              </w:rPr>
              <w:t>知识转移与授权</w:t>
            </w:r>
          </w:p>
        </w:tc>
        <w:tc>
          <w:tcPr>
            <w:tcW w:w="1149" w:type="dxa"/>
            <w:vMerge w:val="restart"/>
            <w:tcBorders>
              <w:top w:val="single" w:color="000000" w:sz="4" w:space="0"/>
              <w:left w:val="single" w:color="000000" w:sz="4" w:space="0"/>
              <w:right w:val="single" w:color="000000" w:sz="4" w:space="0"/>
            </w:tcBorders>
            <w:shd w:val="clear" w:color="auto" w:fill="auto"/>
            <w:vAlign w:val="center"/>
          </w:tcPr>
          <w:p w14:paraId="35F67B9E">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color w:val="auto"/>
                <w:kern w:val="0"/>
                <w:sz w:val="21"/>
                <w:szCs w:val="21"/>
                <w:u w:val="none"/>
                <w:lang w:val="en-US" w:eastAsia="zh-CN" w:bidi="ar"/>
              </w:rPr>
              <w:t>20分</w:t>
            </w:r>
          </w:p>
        </w:tc>
        <w:tc>
          <w:tcPr>
            <w:tcW w:w="5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4303">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移交全部约定的管理体系文件、模板、图纸的电子版及纸质版，并确保其完整、可读写，得15分；否则一项扣5分。</w:t>
            </w:r>
          </w:p>
        </w:tc>
      </w:tr>
      <w:tr w14:paraId="47479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jc w:val="center"/>
        </w:trPr>
        <w:tc>
          <w:tcPr>
            <w:tcW w:w="1804" w:type="dxa"/>
            <w:vMerge w:val="continue"/>
            <w:tcBorders>
              <w:left w:val="single" w:color="000000" w:sz="4" w:space="0"/>
              <w:bottom w:val="single" w:color="000000" w:sz="4" w:space="0"/>
              <w:right w:val="single" w:color="000000" w:sz="4" w:space="0"/>
            </w:tcBorders>
            <w:shd w:val="clear" w:color="auto" w:fill="auto"/>
            <w:vAlign w:val="center"/>
          </w:tcPr>
          <w:p w14:paraId="65014F61">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color w:val="auto"/>
                <w:sz w:val="21"/>
                <w:szCs w:val="21"/>
              </w:rPr>
            </w:pPr>
          </w:p>
        </w:tc>
        <w:tc>
          <w:tcPr>
            <w:tcW w:w="1577" w:type="dxa"/>
            <w:vMerge w:val="continue"/>
            <w:tcBorders>
              <w:left w:val="single" w:color="000000" w:sz="4" w:space="0"/>
              <w:bottom w:val="single" w:color="000000" w:sz="4" w:space="0"/>
              <w:right w:val="single" w:color="000000" w:sz="4" w:space="0"/>
            </w:tcBorders>
            <w:shd w:val="clear" w:color="auto" w:fill="auto"/>
            <w:vAlign w:val="center"/>
          </w:tcPr>
          <w:p w14:paraId="39145797">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color w:val="auto"/>
                <w:sz w:val="21"/>
                <w:szCs w:val="21"/>
              </w:rPr>
            </w:pPr>
          </w:p>
        </w:tc>
        <w:tc>
          <w:tcPr>
            <w:tcW w:w="1149" w:type="dxa"/>
            <w:vMerge w:val="continue"/>
            <w:tcBorders>
              <w:left w:val="single" w:color="000000" w:sz="4" w:space="0"/>
              <w:bottom w:val="single" w:color="000000" w:sz="4" w:space="0"/>
              <w:right w:val="single" w:color="000000" w:sz="4" w:space="0"/>
            </w:tcBorders>
            <w:shd w:val="clear" w:color="auto" w:fill="auto"/>
            <w:vAlign w:val="center"/>
          </w:tcPr>
          <w:p w14:paraId="4F53D6BA">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color w:val="auto"/>
                <w:sz w:val="21"/>
                <w:szCs w:val="21"/>
              </w:rPr>
            </w:pPr>
          </w:p>
        </w:tc>
        <w:tc>
          <w:tcPr>
            <w:tcW w:w="5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ABDB">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caps w:val="0"/>
                <w:color w:val="auto"/>
                <w:spacing w:val="0"/>
                <w:sz w:val="21"/>
                <w:szCs w:val="21"/>
                <w:highlight w:val="none"/>
                <w:shd w:val="clear" w:fill="FFFFFF"/>
              </w:rPr>
              <w:t>明确授权招标人可在本项目后续运营中永久、无障碍使用全部交付成果，得5分；未签署或授权范围受限，本项不得分</w:t>
            </w:r>
            <w:r>
              <w:rPr>
                <w:rFonts w:hint="eastAsia" w:ascii="宋体" w:hAnsi="宋体" w:eastAsia="宋体" w:cs="宋体"/>
                <w:i w:val="0"/>
                <w:caps w:val="0"/>
                <w:color w:val="auto"/>
                <w:spacing w:val="0"/>
                <w:sz w:val="21"/>
                <w:szCs w:val="21"/>
                <w:highlight w:val="none"/>
                <w:shd w:val="clear" w:fill="FFFFFF"/>
                <w:lang w:eastAsia="zh-CN"/>
              </w:rPr>
              <w:t>。</w:t>
            </w:r>
          </w:p>
        </w:tc>
      </w:tr>
      <w:tr w14:paraId="283A8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E5A5">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结果考核总分</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0E7A">
            <w:pPr>
              <w:spacing w:line="240" w:lineRule="auto"/>
              <w:jc w:val="center"/>
              <w:rPr>
                <w:rFonts w:hint="eastAsia" w:ascii="宋体" w:hAnsi="宋体" w:eastAsia="宋体" w:cs="宋体"/>
                <w:i w:val="0"/>
                <w:iCs w:val="0"/>
                <w:color w:val="auto"/>
                <w:sz w:val="21"/>
                <w:szCs w:val="21"/>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1978">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100分</w:t>
            </w:r>
          </w:p>
        </w:tc>
        <w:tc>
          <w:tcPr>
            <w:tcW w:w="5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65D5">
            <w:pPr>
              <w:spacing w:line="240" w:lineRule="auto"/>
              <w:jc w:val="center"/>
              <w:rPr>
                <w:rFonts w:hint="eastAsia" w:ascii="宋体" w:hAnsi="宋体" w:eastAsia="宋体" w:cs="宋体"/>
                <w:i w:val="0"/>
                <w:iCs w:val="0"/>
                <w:color w:val="auto"/>
                <w:sz w:val="21"/>
                <w:szCs w:val="21"/>
                <w:u w:val="none"/>
              </w:rPr>
            </w:pPr>
          </w:p>
        </w:tc>
      </w:tr>
      <w:tr w14:paraId="01AEF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3" w:hRule="atLeast"/>
          <w:jc w:val="center"/>
        </w:trPr>
        <w:tc>
          <w:tcPr>
            <w:tcW w:w="96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8F125B">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备注：</w:t>
            </w:r>
          </w:p>
          <w:p w14:paraId="0E87A977">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结果考核得分 ≥ 90分：</w:t>
            </w:r>
            <w:r>
              <w:rPr>
                <w:rFonts w:hint="eastAsia" w:ascii="宋体" w:hAnsi="宋体" w:eastAsia="宋体" w:cs="宋体"/>
                <w:color w:val="auto"/>
                <w:lang w:val="en-US" w:eastAsia="zh-CN"/>
              </w:rPr>
              <w:t>招标人全额支付当期物业管理带教服务费用</w:t>
            </w:r>
            <w:r>
              <w:rPr>
                <w:rFonts w:hint="eastAsia" w:ascii="宋体" w:hAnsi="宋体" w:eastAsia="宋体" w:cs="宋体"/>
                <w:color w:val="auto"/>
                <w:sz w:val="21"/>
                <w:szCs w:val="21"/>
              </w:rPr>
              <w:t>。</w:t>
            </w:r>
          </w:p>
          <w:p w14:paraId="5F3EF0EF">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80</w:t>
            </w:r>
            <w:r>
              <w:rPr>
                <w:rFonts w:hint="eastAsia" w:ascii="宋体" w:hAnsi="宋体" w:eastAsia="宋体" w:cs="宋体"/>
                <w:color w:val="auto"/>
                <w:sz w:val="21"/>
                <w:szCs w:val="21"/>
              </w:rPr>
              <w:t>分 ≤ 结果考核得分 &lt; 90分：</w:t>
            </w:r>
            <w:r>
              <w:rPr>
                <w:rFonts w:hint="eastAsia" w:ascii="宋体" w:hAnsi="宋体" w:eastAsia="宋体" w:cs="宋体"/>
                <w:color w:val="auto"/>
                <w:lang w:val="en-US" w:eastAsia="zh-CN"/>
              </w:rPr>
              <w:t>招标人最终支付当期物业管理带教服务费的90%</w:t>
            </w:r>
            <w:r>
              <w:rPr>
                <w:rFonts w:hint="eastAsia" w:ascii="宋体" w:hAnsi="宋体" w:eastAsia="宋体" w:cs="宋体"/>
                <w:color w:val="auto"/>
                <w:sz w:val="21"/>
                <w:szCs w:val="21"/>
              </w:rPr>
              <w:t>。</w:t>
            </w:r>
          </w:p>
          <w:p w14:paraId="44D497DE">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70</w:t>
            </w:r>
            <w:r>
              <w:rPr>
                <w:rFonts w:hint="eastAsia" w:ascii="宋体" w:hAnsi="宋体" w:eastAsia="宋体" w:cs="宋体"/>
                <w:color w:val="auto"/>
                <w:sz w:val="21"/>
                <w:szCs w:val="21"/>
              </w:rPr>
              <w:t>分 ≤ 结果考核得分 &lt;</w:t>
            </w:r>
            <w:r>
              <w:rPr>
                <w:rFonts w:hint="eastAsia" w:ascii="宋体" w:hAnsi="宋体" w:eastAsia="宋体" w:cs="宋体"/>
                <w:color w:val="auto"/>
                <w:sz w:val="21"/>
                <w:szCs w:val="21"/>
                <w:lang w:val="en-US" w:eastAsia="zh-CN"/>
              </w:rPr>
              <w:t xml:space="preserve"> 80</w:t>
            </w:r>
            <w:r>
              <w:rPr>
                <w:rFonts w:hint="eastAsia" w:ascii="宋体" w:hAnsi="宋体" w:eastAsia="宋体" w:cs="宋体"/>
                <w:color w:val="auto"/>
                <w:sz w:val="21"/>
                <w:szCs w:val="21"/>
              </w:rPr>
              <w:t>分：</w:t>
            </w:r>
            <w:r>
              <w:rPr>
                <w:rFonts w:hint="eastAsia" w:ascii="宋体" w:hAnsi="宋体" w:eastAsia="宋体" w:cs="宋体"/>
                <w:color w:val="auto"/>
                <w:lang w:val="en-US" w:eastAsia="zh-CN"/>
              </w:rPr>
              <w:t>招标人最终支付当期物业管理带教服务费的80%</w:t>
            </w:r>
            <w:r>
              <w:rPr>
                <w:rFonts w:hint="eastAsia" w:ascii="宋体" w:hAnsi="宋体" w:eastAsia="宋体" w:cs="宋体"/>
                <w:color w:val="auto"/>
                <w:sz w:val="21"/>
                <w:szCs w:val="21"/>
              </w:rPr>
              <w:t>。</w:t>
            </w:r>
          </w:p>
          <w:p w14:paraId="4E387D5C">
            <w:pPr>
              <w:spacing w:line="240" w:lineRule="auto"/>
              <w:rPr>
                <w:rFonts w:hint="eastAsia" w:ascii="宋体" w:hAnsi="宋体" w:eastAsia="宋体" w:cs="宋体"/>
                <w:i w:val="0"/>
                <w:iCs w:val="0"/>
                <w:color w:val="auto"/>
                <w:sz w:val="21"/>
                <w:szCs w:val="21"/>
                <w:u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结果考核得分 &lt; </w:t>
            </w:r>
            <w:r>
              <w:rPr>
                <w:rFonts w:hint="eastAsia" w:ascii="宋体" w:hAnsi="宋体" w:eastAsia="宋体" w:cs="宋体"/>
                <w:color w:val="auto"/>
                <w:sz w:val="21"/>
                <w:szCs w:val="21"/>
                <w:highlight w:val="none"/>
                <w:lang w:val="en-US" w:eastAsia="zh-CN"/>
              </w:rPr>
              <w:t>70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lang w:val="en-US" w:eastAsia="zh-CN"/>
              </w:rPr>
              <w:t>招标人</w:t>
            </w:r>
            <w:r>
              <w:rPr>
                <w:rFonts w:hint="eastAsia" w:ascii="宋体" w:hAnsi="宋体" w:eastAsia="宋体" w:cs="宋体"/>
                <w:color w:val="auto"/>
              </w:rPr>
              <w:t>无需支付</w:t>
            </w:r>
            <w:r>
              <w:rPr>
                <w:rFonts w:hint="eastAsia" w:ascii="宋体" w:hAnsi="宋体" w:eastAsia="宋体" w:cs="宋体"/>
                <w:color w:val="auto"/>
                <w:lang w:val="en-US" w:eastAsia="zh-CN"/>
              </w:rPr>
              <w:t>当期物业管理带教服务费用</w:t>
            </w:r>
            <w:r>
              <w:rPr>
                <w:rFonts w:hint="eastAsia" w:ascii="宋体" w:hAnsi="宋体" w:eastAsia="宋体" w:cs="宋体"/>
                <w:color w:val="auto"/>
                <w:sz w:val="21"/>
                <w:szCs w:val="21"/>
                <w:highlight w:val="none"/>
              </w:rPr>
              <w:t>，</w:t>
            </w:r>
            <w:r>
              <w:rPr>
                <w:rFonts w:hint="eastAsia" w:ascii="宋体" w:hAnsi="宋体" w:eastAsia="宋体" w:cs="宋体"/>
                <w:color w:val="auto"/>
              </w:rPr>
              <w:t>同时</w:t>
            </w:r>
            <w:r>
              <w:rPr>
                <w:rFonts w:hint="eastAsia" w:ascii="宋体" w:hAnsi="宋体" w:eastAsia="宋体" w:cs="宋体"/>
                <w:color w:val="auto"/>
                <w:lang w:val="en-US" w:eastAsia="zh-CN"/>
              </w:rPr>
              <w:t>中标人</w:t>
            </w:r>
            <w:r>
              <w:rPr>
                <w:rFonts w:hint="eastAsia" w:ascii="宋体" w:hAnsi="宋体" w:eastAsia="宋体" w:cs="宋体"/>
                <w:color w:val="auto"/>
              </w:rPr>
              <w:t>还应向</w:t>
            </w:r>
            <w:r>
              <w:rPr>
                <w:rFonts w:hint="eastAsia" w:ascii="宋体" w:hAnsi="宋体" w:eastAsia="宋体" w:cs="宋体"/>
                <w:color w:val="auto"/>
                <w:lang w:val="en-US" w:eastAsia="zh-CN"/>
              </w:rPr>
              <w:t>招标人</w:t>
            </w:r>
            <w:r>
              <w:rPr>
                <w:rFonts w:hint="eastAsia" w:ascii="宋体" w:hAnsi="宋体" w:eastAsia="宋体" w:cs="宋体"/>
                <w:color w:val="auto"/>
              </w:rPr>
              <w:t>支付人民币</w:t>
            </w:r>
            <w:r>
              <w:rPr>
                <w:rFonts w:hint="eastAsia" w:ascii="宋体" w:hAnsi="宋体" w:eastAsia="宋体" w:cs="宋体"/>
                <w:color w:val="auto"/>
                <w:lang w:val="en-US" w:eastAsia="zh-CN"/>
              </w:rPr>
              <w:t>2</w:t>
            </w:r>
            <w:r>
              <w:rPr>
                <w:rFonts w:hint="eastAsia" w:ascii="宋体" w:hAnsi="宋体" w:eastAsia="宋体" w:cs="宋体"/>
                <w:color w:val="auto"/>
              </w:rPr>
              <w:t>00</w:t>
            </w:r>
            <w:r>
              <w:rPr>
                <w:rFonts w:hint="eastAsia" w:ascii="宋体" w:hAnsi="宋体" w:eastAsia="宋体" w:cs="宋体"/>
                <w:color w:val="auto"/>
                <w:lang w:val="en-US" w:eastAsia="zh-CN"/>
              </w:rPr>
              <w:t>,</w:t>
            </w:r>
            <w:r>
              <w:rPr>
                <w:rFonts w:hint="eastAsia" w:ascii="宋体" w:hAnsi="宋体" w:eastAsia="宋体" w:cs="宋体"/>
                <w:color w:val="auto"/>
              </w:rPr>
              <w:t>000.00元作为违约金</w:t>
            </w:r>
            <w:r>
              <w:rPr>
                <w:rFonts w:hint="eastAsia" w:ascii="宋体" w:hAnsi="宋体" w:eastAsia="宋体" w:cs="宋体"/>
                <w:color w:val="auto"/>
                <w:sz w:val="21"/>
                <w:szCs w:val="21"/>
                <w:highlight w:val="none"/>
              </w:rPr>
              <w:t>。</w:t>
            </w:r>
          </w:p>
        </w:tc>
      </w:tr>
    </w:tbl>
    <w:p w14:paraId="2D1BCEFF">
      <w:pPr>
        <w:pStyle w:val="4"/>
        <w:bidi w:val="0"/>
        <w:spacing w:line="360" w:lineRule="auto"/>
        <w:ind w:firstLine="420" w:firstLineChars="200"/>
        <w:rPr>
          <w:rFonts w:hint="eastAsia" w:ascii="宋体" w:hAnsi="宋体" w:eastAsia="宋体" w:cs="宋体"/>
          <w:color w:val="auto"/>
          <w:sz w:val="21"/>
          <w:szCs w:val="21"/>
          <w:highlight w:val="none"/>
          <w:lang w:val="en-US" w:eastAsia="zh-CN"/>
        </w:rPr>
      </w:pPr>
      <w:bookmarkStart w:id="703" w:name="_Toc2030"/>
      <w:bookmarkStart w:id="704" w:name="_Toc17361"/>
      <w:bookmarkStart w:id="705" w:name="_Toc28048"/>
      <w:bookmarkStart w:id="706" w:name="_Toc1200"/>
      <w:r>
        <w:rPr>
          <w:rFonts w:hint="eastAsia" w:ascii="宋体" w:hAnsi="宋体" w:eastAsia="宋体" w:cs="宋体"/>
          <w:color w:val="auto"/>
          <w:sz w:val="21"/>
          <w:szCs w:val="21"/>
          <w:highlight w:val="none"/>
          <w:lang w:val="en-US" w:eastAsia="zh-CN"/>
        </w:rPr>
        <w:t>5.2</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物业管理运营服务考核</w:t>
      </w:r>
      <w:bookmarkEnd w:id="703"/>
      <w:bookmarkEnd w:id="704"/>
      <w:bookmarkEnd w:id="705"/>
      <w:bookmarkEnd w:id="706"/>
    </w:p>
    <w:p w14:paraId="50B02C20">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b w:val="0"/>
          <w:bCs/>
          <w:color w:val="auto"/>
          <w:sz w:val="21"/>
          <w:szCs w:val="21"/>
          <w:lang w:val="en-US" w:eastAsia="zh-CN"/>
        </w:rPr>
        <w:t>5.2.1考核指标如下（100分）</w:t>
      </w:r>
    </w:p>
    <w:tbl>
      <w:tblPr>
        <w:tblStyle w:val="42"/>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4493"/>
        <w:gridCol w:w="1392"/>
        <w:gridCol w:w="1365"/>
        <w:gridCol w:w="1396"/>
      </w:tblGrid>
      <w:tr w14:paraId="4735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11" w:type="dxa"/>
            <w:vAlign w:val="center"/>
          </w:tcPr>
          <w:p w14:paraId="4F738DB1">
            <w:pPr>
              <w:pStyle w:val="18"/>
              <w:adjustRightInd w:val="0"/>
              <w:snapToGrid w:val="0"/>
              <w:spacing w:after="0"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493" w:type="dxa"/>
            <w:vAlign w:val="center"/>
          </w:tcPr>
          <w:p w14:paraId="2FC98A76">
            <w:pPr>
              <w:pStyle w:val="18"/>
              <w:adjustRightInd w:val="0"/>
              <w:snapToGrid w:val="0"/>
              <w:spacing w:after="0"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考核项目</w:t>
            </w:r>
          </w:p>
        </w:tc>
        <w:tc>
          <w:tcPr>
            <w:tcW w:w="1392" w:type="dxa"/>
            <w:vAlign w:val="center"/>
          </w:tcPr>
          <w:p w14:paraId="6BD685A6">
            <w:pPr>
              <w:pStyle w:val="18"/>
              <w:adjustRightInd w:val="0"/>
              <w:snapToGrid w:val="0"/>
              <w:spacing w:after="0"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总分值</w:t>
            </w:r>
          </w:p>
        </w:tc>
        <w:tc>
          <w:tcPr>
            <w:tcW w:w="1365" w:type="dxa"/>
            <w:vAlign w:val="center"/>
          </w:tcPr>
          <w:p w14:paraId="505988C2">
            <w:pPr>
              <w:pStyle w:val="18"/>
              <w:adjustRightInd w:val="0"/>
              <w:snapToGrid w:val="0"/>
              <w:spacing w:after="0"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权重占比</w:t>
            </w:r>
          </w:p>
        </w:tc>
        <w:tc>
          <w:tcPr>
            <w:tcW w:w="1396" w:type="dxa"/>
            <w:vAlign w:val="center"/>
          </w:tcPr>
          <w:p w14:paraId="2A947A1E">
            <w:pPr>
              <w:pStyle w:val="18"/>
              <w:adjustRightInd w:val="0"/>
              <w:snapToGrid w:val="0"/>
              <w:spacing w:after="0"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合计得分</w:t>
            </w:r>
          </w:p>
        </w:tc>
      </w:tr>
      <w:tr w14:paraId="6FC7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557" w:type="dxa"/>
            <w:gridSpan w:val="5"/>
            <w:vAlign w:val="center"/>
          </w:tcPr>
          <w:p w14:paraId="0908E11A">
            <w:pPr>
              <w:pStyle w:val="18"/>
              <w:adjustRightInd w:val="0"/>
              <w:snapToGrid w:val="0"/>
              <w:spacing w:after="0" w:line="240" w:lineRule="atLeast"/>
              <w:ind w:firstLine="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一、招标人对中标人考核</w:t>
            </w:r>
          </w:p>
        </w:tc>
      </w:tr>
      <w:tr w14:paraId="767C8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04" w:type="dxa"/>
            <w:gridSpan w:val="2"/>
            <w:vAlign w:val="center"/>
          </w:tcPr>
          <w:p w14:paraId="275689CF">
            <w:pPr>
              <w:pStyle w:val="18"/>
              <w:adjustRightInd w:val="0"/>
              <w:snapToGrid w:val="0"/>
              <w:spacing w:after="0" w:line="240" w:lineRule="atLeast"/>
              <w:ind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（一）客户服务（分值</w:t>
            </w: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tc>
        <w:tc>
          <w:tcPr>
            <w:tcW w:w="1392" w:type="dxa"/>
            <w:vMerge w:val="restart"/>
            <w:vAlign w:val="center"/>
          </w:tcPr>
          <w:p w14:paraId="47CF219A">
            <w:pPr>
              <w:pStyle w:val="18"/>
              <w:adjustRightInd w:val="0"/>
              <w:snapToGrid w:val="0"/>
              <w:spacing w:after="0" w:line="240" w:lineRule="atLeast"/>
              <w:ind w:firstLine="42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100分</w:t>
            </w:r>
          </w:p>
        </w:tc>
        <w:tc>
          <w:tcPr>
            <w:tcW w:w="1365" w:type="dxa"/>
            <w:vMerge w:val="restart"/>
            <w:vAlign w:val="center"/>
          </w:tcPr>
          <w:p w14:paraId="6D7CD508">
            <w:pPr>
              <w:pStyle w:val="18"/>
              <w:adjustRightInd w:val="0"/>
              <w:snapToGrid w:val="0"/>
              <w:spacing w:after="0" w:line="240" w:lineRule="atLeast"/>
              <w:ind w:firstLine="42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40%</w:t>
            </w:r>
          </w:p>
        </w:tc>
        <w:tc>
          <w:tcPr>
            <w:tcW w:w="1396" w:type="dxa"/>
            <w:vMerge w:val="restart"/>
            <w:vAlign w:val="center"/>
          </w:tcPr>
          <w:p w14:paraId="2E194BD1">
            <w:pPr>
              <w:pStyle w:val="18"/>
              <w:adjustRightInd w:val="0"/>
              <w:snapToGrid w:val="0"/>
              <w:spacing w:after="0" w:line="240" w:lineRule="atLeast"/>
              <w:ind w:firstLine="420"/>
              <w:jc w:val="center"/>
              <w:rPr>
                <w:rFonts w:hint="eastAsia" w:ascii="宋体" w:hAnsi="宋体" w:eastAsia="宋体" w:cs="宋体"/>
                <w:b w:val="0"/>
                <w:bCs w:val="0"/>
                <w:color w:val="auto"/>
                <w:sz w:val="21"/>
                <w:szCs w:val="21"/>
                <w:highlight w:val="none"/>
              </w:rPr>
            </w:pPr>
          </w:p>
        </w:tc>
      </w:tr>
      <w:tr w14:paraId="1CEC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04" w:type="dxa"/>
            <w:gridSpan w:val="2"/>
            <w:vAlign w:val="center"/>
          </w:tcPr>
          <w:p w14:paraId="1D1AE456">
            <w:pPr>
              <w:pStyle w:val="18"/>
              <w:adjustRightInd w:val="0"/>
              <w:snapToGrid w:val="0"/>
              <w:spacing w:after="0" w:line="240" w:lineRule="atLeast"/>
              <w:ind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（二）环境卫生（分值3</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1392" w:type="dxa"/>
            <w:vMerge w:val="continue"/>
          </w:tcPr>
          <w:p w14:paraId="6A316968">
            <w:pPr>
              <w:pStyle w:val="18"/>
              <w:adjustRightInd w:val="0"/>
              <w:snapToGrid w:val="0"/>
              <w:spacing w:after="0" w:line="240" w:lineRule="atLeast"/>
              <w:ind w:firstLine="420"/>
              <w:rPr>
                <w:rFonts w:hint="eastAsia" w:ascii="宋体" w:hAnsi="宋体" w:eastAsia="宋体" w:cs="宋体"/>
                <w:b w:val="0"/>
                <w:bCs w:val="0"/>
                <w:color w:val="auto"/>
                <w:sz w:val="21"/>
                <w:szCs w:val="21"/>
                <w:highlight w:val="none"/>
              </w:rPr>
            </w:pPr>
          </w:p>
        </w:tc>
        <w:tc>
          <w:tcPr>
            <w:tcW w:w="1365" w:type="dxa"/>
            <w:vMerge w:val="continue"/>
          </w:tcPr>
          <w:p w14:paraId="560A6370">
            <w:pPr>
              <w:pStyle w:val="18"/>
              <w:adjustRightInd w:val="0"/>
              <w:snapToGrid w:val="0"/>
              <w:spacing w:after="0" w:line="240" w:lineRule="atLeast"/>
              <w:ind w:firstLine="420"/>
              <w:rPr>
                <w:rFonts w:hint="eastAsia" w:ascii="宋体" w:hAnsi="宋体" w:eastAsia="宋体" w:cs="宋体"/>
                <w:b w:val="0"/>
                <w:bCs w:val="0"/>
                <w:color w:val="auto"/>
                <w:sz w:val="21"/>
                <w:szCs w:val="21"/>
                <w:highlight w:val="none"/>
              </w:rPr>
            </w:pPr>
          </w:p>
        </w:tc>
        <w:tc>
          <w:tcPr>
            <w:tcW w:w="1396" w:type="dxa"/>
            <w:vMerge w:val="continue"/>
            <w:vAlign w:val="center"/>
          </w:tcPr>
          <w:p w14:paraId="5086E432">
            <w:pPr>
              <w:pStyle w:val="18"/>
              <w:adjustRightInd w:val="0"/>
              <w:snapToGrid w:val="0"/>
              <w:spacing w:after="0" w:line="240" w:lineRule="atLeast"/>
              <w:ind w:firstLine="420"/>
              <w:jc w:val="center"/>
              <w:rPr>
                <w:rFonts w:hint="eastAsia" w:ascii="宋体" w:hAnsi="宋体" w:eastAsia="宋体" w:cs="宋体"/>
                <w:b w:val="0"/>
                <w:bCs w:val="0"/>
                <w:color w:val="auto"/>
                <w:sz w:val="21"/>
                <w:szCs w:val="21"/>
                <w:highlight w:val="none"/>
              </w:rPr>
            </w:pPr>
          </w:p>
        </w:tc>
      </w:tr>
      <w:tr w14:paraId="00C0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04" w:type="dxa"/>
            <w:gridSpan w:val="2"/>
            <w:vAlign w:val="center"/>
          </w:tcPr>
          <w:p w14:paraId="193EE736">
            <w:pPr>
              <w:pStyle w:val="18"/>
              <w:adjustRightInd w:val="0"/>
              <w:snapToGrid w:val="0"/>
              <w:spacing w:after="0" w:line="240" w:lineRule="atLeast"/>
              <w:ind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（三）会议服务（分值</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c>
          <w:tcPr>
            <w:tcW w:w="1392" w:type="dxa"/>
            <w:vMerge w:val="continue"/>
          </w:tcPr>
          <w:p w14:paraId="44734878">
            <w:pPr>
              <w:pStyle w:val="18"/>
              <w:adjustRightInd w:val="0"/>
              <w:snapToGrid w:val="0"/>
              <w:spacing w:after="0" w:line="240" w:lineRule="atLeast"/>
              <w:ind w:firstLine="420"/>
              <w:rPr>
                <w:rFonts w:hint="eastAsia" w:ascii="宋体" w:hAnsi="宋体" w:eastAsia="宋体" w:cs="宋体"/>
                <w:b w:val="0"/>
                <w:bCs w:val="0"/>
                <w:color w:val="auto"/>
                <w:sz w:val="21"/>
                <w:szCs w:val="21"/>
                <w:highlight w:val="none"/>
              </w:rPr>
            </w:pPr>
          </w:p>
        </w:tc>
        <w:tc>
          <w:tcPr>
            <w:tcW w:w="1365" w:type="dxa"/>
            <w:vMerge w:val="continue"/>
          </w:tcPr>
          <w:p w14:paraId="613117AF">
            <w:pPr>
              <w:pStyle w:val="18"/>
              <w:adjustRightInd w:val="0"/>
              <w:snapToGrid w:val="0"/>
              <w:spacing w:after="0" w:line="240" w:lineRule="atLeast"/>
              <w:ind w:firstLine="420"/>
              <w:rPr>
                <w:rFonts w:hint="eastAsia" w:ascii="宋体" w:hAnsi="宋体" w:eastAsia="宋体" w:cs="宋体"/>
                <w:b w:val="0"/>
                <w:bCs w:val="0"/>
                <w:color w:val="auto"/>
                <w:sz w:val="21"/>
                <w:szCs w:val="21"/>
                <w:highlight w:val="none"/>
              </w:rPr>
            </w:pPr>
          </w:p>
        </w:tc>
        <w:tc>
          <w:tcPr>
            <w:tcW w:w="1396" w:type="dxa"/>
            <w:vMerge w:val="continue"/>
            <w:vAlign w:val="center"/>
          </w:tcPr>
          <w:p w14:paraId="0FE0B624">
            <w:pPr>
              <w:pStyle w:val="18"/>
              <w:adjustRightInd w:val="0"/>
              <w:snapToGrid w:val="0"/>
              <w:spacing w:after="0" w:line="240" w:lineRule="atLeast"/>
              <w:ind w:firstLine="420"/>
              <w:jc w:val="center"/>
              <w:rPr>
                <w:rFonts w:hint="eastAsia" w:ascii="宋体" w:hAnsi="宋体" w:eastAsia="宋体" w:cs="宋体"/>
                <w:b w:val="0"/>
                <w:bCs w:val="0"/>
                <w:color w:val="auto"/>
                <w:sz w:val="21"/>
                <w:szCs w:val="21"/>
                <w:highlight w:val="none"/>
              </w:rPr>
            </w:pPr>
          </w:p>
        </w:tc>
      </w:tr>
      <w:tr w14:paraId="3114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04" w:type="dxa"/>
            <w:gridSpan w:val="2"/>
            <w:vAlign w:val="center"/>
          </w:tcPr>
          <w:p w14:paraId="1943522B">
            <w:pPr>
              <w:pStyle w:val="18"/>
              <w:adjustRightInd w:val="0"/>
              <w:snapToGrid w:val="0"/>
              <w:spacing w:after="0" w:line="240" w:lineRule="atLeast"/>
              <w:ind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（四）绿化养护工作（分值</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c>
          <w:tcPr>
            <w:tcW w:w="1392" w:type="dxa"/>
            <w:vMerge w:val="continue"/>
          </w:tcPr>
          <w:p w14:paraId="396606DB">
            <w:pPr>
              <w:pStyle w:val="18"/>
              <w:adjustRightInd w:val="0"/>
              <w:snapToGrid w:val="0"/>
              <w:spacing w:after="0" w:line="240" w:lineRule="atLeast"/>
              <w:ind w:firstLine="420"/>
              <w:rPr>
                <w:rFonts w:hint="eastAsia" w:ascii="宋体" w:hAnsi="宋体" w:eastAsia="宋体" w:cs="宋体"/>
                <w:b w:val="0"/>
                <w:bCs w:val="0"/>
                <w:color w:val="auto"/>
                <w:sz w:val="21"/>
                <w:szCs w:val="21"/>
                <w:highlight w:val="none"/>
              </w:rPr>
            </w:pPr>
          </w:p>
        </w:tc>
        <w:tc>
          <w:tcPr>
            <w:tcW w:w="1365" w:type="dxa"/>
            <w:vMerge w:val="continue"/>
          </w:tcPr>
          <w:p w14:paraId="22F27C39">
            <w:pPr>
              <w:pStyle w:val="18"/>
              <w:adjustRightInd w:val="0"/>
              <w:snapToGrid w:val="0"/>
              <w:spacing w:after="0" w:line="240" w:lineRule="atLeast"/>
              <w:ind w:firstLine="420"/>
              <w:rPr>
                <w:rFonts w:hint="eastAsia" w:ascii="宋体" w:hAnsi="宋体" w:eastAsia="宋体" w:cs="宋体"/>
                <w:b w:val="0"/>
                <w:bCs w:val="0"/>
                <w:color w:val="auto"/>
                <w:sz w:val="21"/>
                <w:szCs w:val="21"/>
                <w:highlight w:val="none"/>
              </w:rPr>
            </w:pPr>
          </w:p>
        </w:tc>
        <w:tc>
          <w:tcPr>
            <w:tcW w:w="1396" w:type="dxa"/>
            <w:vMerge w:val="continue"/>
            <w:vAlign w:val="center"/>
          </w:tcPr>
          <w:p w14:paraId="6CC774B4">
            <w:pPr>
              <w:pStyle w:val="18"/>
              <w:adjustRightInd w:val="0"/>
              <w:snapToGrid w:val="0"/>
              <w:spacing w:after="0" w:line="240" w:lineRule="atLeast"/>
              <w:ind w:firstLine="420"/>
              <w:jc w:val="center"/>
              <w:rPr>
                <w:rFonts w:hint="eastAsia" w:ascii="宋体" w:hAnsi="宋体" w:eastAsia="宋体" w:cs="宋体"/>
                <w:b w:val="0"/>
                <w:bCs w:val="0"/>
                <w:color w:val="auto"/>
                <w:sz w:val="21"/>
                <w:szCs w:val="21"/>
                <w:highlight w:val="none"/>
              </w:rPr>
            </w:pPr>
          </w:p>
        </w:tc>
      </w:tr>
      <w:tr w14:paraId="1CD9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04" w:type="dxa"/>
            <w:gridSpan w:val="2"/>
            <w:vAlign w:val="center"/>
          </w:tcPr>
          <w:p w14:paraId="29D5EA10">
            <w:pPr>
              <w:pStyle w:val="18"/>
              <w:adjustRightInd w:val="0"/>
              <w:snapToGrid w:val="0"/>
              <w:spacing w:after="0" w:line="240" w:lineRule="atLeast"/>
              <w:ind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五</w:t>
            </w:r>
            <w:r>
              <w:rPr>
                <w:rFonts w:hint="eastAsia" w:ascii="宋体" w:hAnsi="宋体" w:eastAsia="宋体" w:cs="宋体"/>
                <w:b w:val="0"/>
                <w:bCs w:val="0"/>
                <w:color w:val="auto"/>
                <w:sz w:val="21"/>
                <w:szCs w:val="21"/>
                <w:highlight w:val="none"/>
              </w:rPr>
              <w:t>）突发事件处理（分值5分）</w:t>
            </w:r>
          </w:p>
        </w:tc>
        <w:tc>
          <w:tcPr>
            <w:tcW w:w="1392" w:type="dxa"/>
            <w:vMerge w:val="continue"/>
          </w:tcPr>
          <w:p w14:paraId="623DF938">
            <w:pPr>
              <w:pStyle w:val="18"/>
              <w:adjustRightInd w:val="0"/>
              <w:snapToGrid w:val="0"/>
              <w:spacing w:after="0" w:line="240" w:lineRule="atLeast"/>
              <w:ind w:firstLine="420"/>
              <w:rPr>
                <w:rFonts w:hint="eastAsia" w:ascii="宋体" w:hAnsi="宋体" w:eastAsia="宋体" w:cs="宋体"/>
                <w:b w:val="0"/>
                <w:bCs w:val="0"/>
                <w:color w:val="auto"/>
                <w:sz w:val="21"/>
                <w:szCs w:val="21"/>
                <w:highlight w:val="none"/>
              </w:rPr>
            </w:pPr>
          </w:p>
        </w:tc>
        <w:tc>
          <w:tcPr>
            <w:tcW w:w="1365" w:type="dxa"/>
            <w:vMerge w:val="continue"/>
          </w:tcPr>
          <w:p w14:paraId="341B5A4B">
            <w:pPr>
              <w:pStyle w:val="18"/>
              <w:adjustRightInd w:val="0"/>
              <w:snapToGrid w:val="0"/>
              <w:spacing w:after="0" w:line="240" w:lineRule="atLeast"/>
              <w:ind w:firstLine="420"/>
              <w:rPr>
                <w:rFonts w:hint="eastAsia" w:ascii="宋体" w:hAnsi="宋体" w:eastAsia="宋体" w:cs="宋体"/>
                <w:b w:val="0"/>
                <w:bCs w:val="0"/>
                <w:color w:val="auto"/>
                <w:sz w:val="21"/>
                <w:szCs w:val="21"/>
                <w:highlight w:val="none"/>
              </w:rPr>
            </w:pPr>
          </w:p>
        </w:tc>
        <w:tc>
          <w:tcPr>
            <w:tcW w:w="1396" w:type="dxa"/>
            <w:vMerge w:val="continue"/>
            <w:vAlign w:val="center"/>
          </w:tcPr>
          <w:p w14:paraId="5E57D5E0">
            <w:pPr>
              <w:pStyle w:val="18"/>
              <w:adjustRightInd w:val="0"/>
              <w:snapToGrid w:val="0"/>
              <w:spacing w:after="0" w:line="240" w:lineRule="atLeast"/>
              <w:ind w:firstLine="420"/>
              <w:jc w:val="center"/>
              <w:rPr>
                <w:rFonts w:hint="eastAsia" w:ascii="宋体" w:hAnsi="宋体" w:eastAsia="宋体" w:cs="宋体"/>
                <w:b w:val="0"/>
                <w:bCs w:val="0"/>
                <w:color w:val="auto"/>
                <w:sz w:val="21"/>
                <w:szCs w:val="21"/>
                <w:highlight w:val="none"/>
              </w:rPr>
            </w:pPr>
          </w:p>
        </w:tc>
      </w:tr>
      <w:tr w14:paraId="7044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04" w:type="dxa"/>
            <w:gridSpan w:val="2"/>
            <w:vAlign w:val="center"/>
          </w:tcPr>
          <w:p w14:paraId="3DD7E820">
            <w:pPr>
              <w:pStyle w:val="18"/>
              <w:adjustRightInd w:val="0"/>
              <w:snapToGrid w:val="0"/>
              <w:spacing w:after="0" w:line="240" w:lineRule="atLeast"/>
              <w:ind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六</w:t>
            </w:r>
            <w:r>
              <w:rPr>
                <w:rFonts w:hint="eastAsia" w:ascii="宋体" w:hAnsi="宋体" w:eastAsia="宋体" w:cs="宋体"/>
                <w:b w:val="0"/>
                <w:bCs w:val="0"/>
                <w:color w:val="auto"/>
                <w:sz w:val="21"/>
                <w:szCs w:val="21"/>
                <w:highlight w:val="none"/>
              </w:rPr>
              <w:t>）日常巡检落实情况（分值30分）</w:t>
            </w:r>
          </w:p>
        </w:tc>
        <w:tc>
          <w:tcPr>
            <w:tcW w:w="1392" w:type="dxa"/>
            <w:vMerge w:val="restart"/>
            <w:vAlign w:val="center"/>
          </w:tcPr>
          <w:p w14:paraId="272002FA">
            <w:pPr>
              <w:pStyle w:val="18"/>
              <w:adjustRightInd w:val="0"/>
              <w:snapToGrid w:val="0"/>
              <w:spacing w:after="0" w:line="240" w:lineRule="atLeast"/>
              <w:ind w:firstLine="42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100分</w:t>
            </w:r>
          </w:p>
        </w:tc>
        <w:tc>
          <w:tcPr>
            <w:tcW w:w="1365" w:type="dxa"/>
            <w:vMerge w:val="restart"/>
            <w:vAlign w:val="center"/>
          </w:tcPr>
          <w:p w14:paraId="5AE5ED78">
            <w:pPr>
              <w:pStyle w:val="18"/>
              <w:adjustRightInd w:val="0"/>
              <w:snapToGrid w:val="0"/>
              <w:spacing w:after="0" w:line="240" w:lineRule="atLeast"/>
              <w:ind w:firstLine="42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30%</w:t>
            </w:r>
          </w:p>
        </w:tc>
        <w:tc>
          <w:tcPr>
            <w:tcW w:w="1396" w:type="dxa"/>
            <w:vMerge w:val="restart"/>
            <w:vAlign w:val="center"/>
          </w:tcPr>
          <w:p w14:paraId="4E915EEC">
            <w:pPr>
              <w:pStyle w:val="18"/>
              <w:adjustRightInd w:val="0"/>
              <w:snapToGrid w:val="0"/>
              <w:spacing w:after="0" w:line="240" w:lineRule="atLeast"/>
              <w:ind w:firstLine="420"/>
              <w:jc w:val="center"/>
              <w:rPr>
                <w:rFonts w:hint="eastAsia" w:ascii="宋体" w:hAnsi="宋体" w:eastAsia="宋体" w:cs="宋体"/>
                <w:b w:val="0"/>
                <w:bCs w:val="0"/>
                <w:color w:val="auto"/>
                <w:sz w:val="21"/>
                <w:szCs w:val="21"/>
                <w:highlight w:val="none"/>
              </w:rPr>
            </w:pPr>
          </w:p>
        </w:tc>
      </w:tr>
      <w:tr w14:paraId="7C88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04" w:type="dxa"/>
            <w:gridSpan w:val="2"/>
            <w:vAlign w:val="center"/>
          </w:tcPr>
          <w:p w14:paraId="520C9E15">
            <w:pPr>
              <w:pStyle w:val="18"/>
              <w:adjustRightInd w:val="0"/>
              <w:snapToGrid w:val="0"/>
              <w:spacing w:after="0" w:line="240" w:lineRule="atLeast"/>
              <w:ind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七</w:t>
            </w:r>
            <w:r>
              <w:rPr>
                <w:rFonts w:hint="eastAsia" w:ascii="宋体" w:hAnsi="宋体" w:eastAsia="宋体" w:cs="宋体"/>
                <w:b w:val="0"/>
                <w:bCs w:val="0"/>
                <w:color w:val="auto"/>
                <w:sz w:val="21"/>
                <w:szCs w:val="21"/>
                <w:highlight w:val="none"/>
              </w:rPr>
              <w:t>）日常维保落实情况（分值10分）</w:t>
            </w:r>
          </w:p>
        </w:tc>
        <w:tc>
          <w:tcPr>
            <w:tcW w:w="1392" w:type="dxa"/>
            <w:vMerge w:val="continue"/>
          </w:tcPr>
          <w:p w14:paraId="35DF2C9C">
            <w:pPr>
              <w:pStyle w:val="18"/>
              <w:adjustRightInd w:val="0"/>
              <w:snapToGrid w:val="0"/>
              <w:spacing w:after="0" w:line="240" w:lineRule="atLeast"/>
              <w:ind w:firstLine="420"/>
              <w:rPr>
                <w:rFonts w:hint="eastAsia" w:ascii="宋体" w:hAnsi="宋体" w:eastAsia="宋体" w:cs="宋体"/>
                <w:b w:val="0"/>
                <w:bCs w:val="0"/>
                <w:color w:val="auto"/>
                <w:sz w:val="21"/>
                <w:szCs w:val="21"/>
                <w:highlight w:val="none"/>
              </w:rPr>
            </w:pPr>
          </w:p>
        </w:tc>
        <w:tc>
          <w:tcPr>
            <w:tcW w:w="1365" w:type="dxa"/>
            <w:vMerge w:val="continue"/>
          </w:tcPr>
          <w:p w14:paraId="3B32B03A">
            <w:pPr>
              <w:pStyle w:val="18"/>
              <w:adjustRightInd w:val="0"/>
              <w:snapToGrid w:val="0"/>
              <w:spacing w:after="0" w:line="240" w:lineRule="atLeast"/>
              <w:ind w:firstLine="420"/>
              <w:rPr>
                <w:rFonts w:hint="eastAsia" w:ascii="宋体" w:hAnsi="宋体" w:eastAsia="宋体" w:cs="宋体"/>
                <w:b w:val="0"/>
                <w:bCs w:val="0"/>
                <w:color w:val="auto"/>
                <w:sz w:val="21"/>
                <w:szCs w:val="21"/>
                <w:highlight w:val="none"/>
              </w:rPr>
            </w:pPr>
          </w:p>
        </w:tc>
        <w:tc>
          <w:tcPr>
            <w:tcW w:w="1396" w:type="dxa"/>
            <w:vMerge w:val="continue"/>
            <w:vAlign w:val="center"/>
          </w:tcPr>
          <w:p w14:paraId="2A1A826A">
            <w:pPr>
              <w:pStyle w:val="18"/>
              <w:adjustRightInd w:val="0"/>
              <w:snapToGrid w:val="0"/>
              <w:spacing w:after="0" w:line="240" w:lineRule="atLeast"/>
              <w:ind w:firstLine="420"/>
              <w:jc w:val="center"/>
              <w:rPr>
                <w:rFonts w:hint="eastAsia" w:ascii="宋体" w:hAnsi="宋体" w:eastAsia="宋体" w:cs="宋体"/>
                <w:b w:val="0"/>
                <w:bCs w:val="0"/>
                <w:color w:val="auto"/>
                <w:sz w:val="21"/>
                <w:szCs w:val="21"/>
                <w:highlight w:val="none"/>
              </w:rPr>
            </w:pPr>
          </w:p>
        </w:tc>
      </w:tr>
      <w:tr w14:paraId="5EF6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04" w:type="dxa"/>
            <w:gridSpan w:val="2"/>
            <w:vAlign w:val="center"/>
          </w:tcPr>
          <w:p w14:paraId="01DE9DB8">
            <w:pPr>
              <w:pStyle w:val="18"/>
              <w:adjustRightInd w:val="0"/>
              <w:snapToGrid w:val="0"/>
              <w:spacing w:after="0" w:line="240" w:lineRule="atLeast"/>
              <w:ind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八</w:t>
            </w:r>
            <w:r>
              <w:rPr>
                <w:rFonts w:hint="eastAsia" w:ascii="宋体" w:hAnsi="宋体" w:eastAsia="宋体" w:cs="宋体"/>
                <w:b w:val="0"/>
                <w:bCs w:val="0"/>
                <w:color w:val="auto"/>
                <w:sz w:val="21"/>
                <w:szCs w:val="21"/>
                <w:highlight w:val="none"/>
              </w:rPr>
              <w:t>）服务响应时间（分值15分）</w:t>
            </w:r>
          </w:p>
        </w:tc>
        <w:tc>
          <w:tcPr>
            <w:tcW w:w="1392" w:type="dxa"/>
            <w:vMerge w:val="continue"/>
          </w:tcPr>
          <w:p w14:paraId="0244F828">
            <w:pPr>
              <w:pStyle w:val="18"/>
              <w:adjustRightInd w:val="0"/>
              <w:snapToGrid w:val="0"/>
              <w:spacing w:after="0" w:line="240" w:lineRule="atLeast"/>
              <w:ind w:firstLine="420"/>
              <w:rPr>
                <w:rFonts w:hint="eastAsia" w:ascii="宋体" w:hAnsi="宋体" w:eastAsia="宋体" w:cs="宋体"/>
                <w:b w:val="0"/>
                <w:bCs w:val="0"/>
                <w:color w:val="auto"/>
                <w:sz w:val="21"/>
                <w:szCs w:val="21"/>
                <w:highlight w:val="none"/>
              </w:rPr>
            </w:pPr>
          </w:p>
        </w:tc>
        <w:tc>
          <w:tcPr>
            <w:tcW w:w="1365" w:type="dxa"/>
            <w:vMerge w:val="continue"/>
          </w:tcPr>
          <w:p w14:paraId="775FA115">
            <w:pPr>
              <w:pStyle w:val="18"/>
              <w:adjustRightInd w:val="0"/>
              <w:snapToGrid w:val="0"/>
              <w:spacing w:after="0" w:line="240" w:lineRule="atLeast"/>
              <w:ind w:firstLine="420"/>
              <w:rPr>
                <w:rFonts w:hint="eastAsia" w:ascii="宋体" w:hAnsi="宋体" w:eastAsia="宋体" w:cs="宋体"/>
                <w:b w:val="0"/>
                <w:bCs w:val="0"/>
                <w:color w:val="auto"/>
                <w:sz w:val="21"/>
                <w:szCs w:val="21"/>
                <w:highlight w:val="none"/>
              </w:rPr>
            </w:pPr>
          </w:p>
        </w:tc>
        <w:tc>
          <w:tcPr>
            <w:tcW w:w="1396" w:type="dxa"/>
            <w:vMerge w:val="continue"/>
            <w:vAlign w:val="center"/>
          </w:tcPr>
          <w:p w14:paraId="091FC4E7">
            <w:pPr>
              <w:pStyle w:val="18"/>
              <w:adjustRightInd w:val="0"/>
              <w:snapToGrid w:val="0"/>
              <w:spacing w:after="0" w:line="240" w:lineRule="atLeast"/>
              <w:ind w:firstLine="420"/>
              <w:jc w:val="center"/>
              <w:rPr>
                <w:rFonts w:hint="eastAsia" w:ascii="宋体" w:hAnsi="宋体" w:eastAsia="宋体" w:cs="宋体"/>
                <w:b w:val="0"/>
                <w:bCs w:val="0"/>
                <w:color w:val="auto"/>
                <w:sz w:val="21"/>
                <w:szCs w:val="21"/>
                <w:highlight w:val="none"/>
              </w:rPr>
            </w:pPr>
          </w:p>
        </w:tc>
      </w:tr>
      <w:tr w14:paraId="56325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04" w:type="dxa"/>
            <w:gridSpan w:val="2"/>
            <w:vAlign w:val="center"/>
          </w:tcPr>
          <w:p w14:paraId="3C78F690">
            <w:pPr>
              <w:pStyle w:val="18"/>
              <w:adjustRightInd w:val="0"/>
              <w:snapToGrid w:val="0"/>
              <w:spacing w:after="0" w:line="240" w:lineRule="atLeast"/>
              <w:ind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九</w:t>
            </w:r>
            <w:r>
              <w:rPr>
                <w:rFonts w:hint="eastAsia" w:ascii="宋体" w:hAnsi="宋体" w:eastAsia="宋体" w:cs="宋体"/>
                <w:b w:val="0"/>
                <w:bCs w:val="0"/>
                <w:color w:val="auto"/>
                <w:sz w:val="21"/>
                <w:szCs w:val="21"/>
                <w:highlight w:val="none"/>
              </w:rPr>
              <w:t>）故障应急处理（分值10分）</w:t>
            </w:r>
          </w:p>
        </w:tc>
        <w:tc>
          <w:tcPr>
            <w:tcW w:w="1392" w:type="dxa"/>
            <w:vMerge w:val="continue"/>
          </w:tcPr>
          <w:p w14:paraId="5A2E8793">
            <w:pPr>
              <w:pStyle w:val="18"/>
              <w:adjustRightInd w:val="0"/>
              <w:snapToGrid w:val="0"/>
              <w:spacing w:after="0" w:line="240" w:lineRule="atLeast"/>
              <w:ind w:firstLine="420"/>
              <w:rPr>
                <w:rFonts w:hint="eastAsia" w:ascii="宋体" w:hAnsi="宋体" w:eastAsia="宋体" w:cs="宋体"/>
                <w:b w:val="0"/>
                <w:bCs w:val="0"/>
                <w:color w:val="auto"/>
                <w:sz w:val="21"/>
                <w:szCs w:val="21"/>
                <w:highlight w:val="none"/>
              </w:rPr>
            </w:pPr>
          </w:p>
        </w:tc>
        <w:tc>
          <w:tcPr>
            <w:tcW w:w="1365" w:type="dxa"/>
            <w:vMerge w:val="continue"/>
          </w:tcPr>
          <w:p w14:paraId="62289D36">
            <w:pPr>
              <w:pStyle w:val="18"/>
              <w:adjustRightInd w:val="0"/>
              <w:snapToGrid w:val="0"/>
              <w:spacing w:after="0" w:line="240" w:lineRule="atLeast"/>
              <w:ind w:firstLine="420"/>
              <w:rPr>
                <w:rFonts w:hint="eastAsia" w:ascii="宋体" w:hAnsi="宋体" w:eastAsia="宋体" w:cs="宋体"/>
                <w:b w:val="0"/>
                <w:bCs w:val="0"/>
                <w:color w:val="auto"/>
                <w:sz w:val="21"/>
                <w:szCs w:val="21"/>
                <w:highlight w:val="none"/>
              </w:rPr>
            </w:pPr>
          </w:p>
        </w:tc>
        <w:tc>
          <w:tcPr>
            <w:tcW w:w="1396" w:type="dxa"/>
            <w:vMerge w:val="continue"/>
            <w:vAlign w:val="center"/>
          </w:tcPr>
          <w:p w14:paraId="19E362D1">
            <w:pPr>
              <w:pStyle w:val="18"/>
              <w:adjustRightInd w:val="0"/>
              <w:snapToGrid w:val="0"/>
              <w:spacing w:after="0" w:line="240" w:lineRule="atLeast"/>
              <w:ind w:firstLine="420"/>
              <w:jc w:val="center"/>
              <w:rPr>
                <w:rFonts w:hint="eastAsia" w:ascii="宋体" w:hAnsi="宋体" w:eastAsia="宋体" w:cs="宋体"/>
                <w:b w:val="0"/>
                <w:bCs w:val="0"/>
                <w:color w:val="auto"/>
                <w:sz w:val="21"/>
                <w:szCs w:val="21"/>
                <w:highlight w:val="none"/>
              </w:rPr>
            </w:pPr>
          </w:p>
        </w:tc>
      </w:tr>
      <w:tr w14:paraId="0DB5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04" w:type="dxa"/>
            <w:gridSpan w:val="2"/>
            <w:vAlign w:val="center"/>
          </w:tcPr>
          <w:p w14:paraId="5BE7F17A">
            <w:pPr>
              <w:pStyle w:val="18"/>
              <w:adjustRightInd w:val="0"/>
              <w:snapToGrid w:val="0"/>
              <w:spacing w:after="0" w:line="240" w:lineRule="atLeast"/>
              <w:ind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（十）投诉及处理（分值15分）</w:t>
            </w:r>
          </w:p>
        </w:tc>
        <w:tc>
          <w:tcPr>
            <w:tcW w:w="1392" w:type="dxa"/>
            <w:vMerge w:val="continue"/>
          </w:tcPr>
          <w:p w14:paraId="5BB900DF">
            <w:pPr>
              <w:pStyle w:val="18"/>
              <w:adjustRightInd w:val="0"/>
              <w:snapToGrid w:val="0"/>
              <w:spacing w:after="0" w:line="240" w:lineRule="atLeast"/>
              <w:ind w:firstLine="420"/>
              <w:rPr>
                <w:rFonts w:hint="eastAsia" w:ascii="宋体" w:hAnsi="宋体" w:eastAsia="宋体" w:cs="宋体"/>
                <w:b w:val="0"/>
                <w:bCs w:val="0"/>
                <w:color w:val="auto"/>
                <w:sz w:val="21"/>
                <w:szCs w:val="21"/>
                <w:highlight w:val="none"/>
              </w:rPr>
            </w:pPr>
          </w:p>
        </w:tc>
        <w:tc>
          <w:tcPr>
            <w:tcW w:w="1365" w:type="dxa"/>
            <w:vMerge w:val="continue"/>
          </w:tcPr>
          <w:p w14:paraId="1F80B00F">
            <w:pPr>
              <w:pStyle w:val="18"/>
              <w:adjustRightInd w:val="0"/>
              <w:snapToGrid w:val="0"/>
              <w:spacing w:after="0" w:line="240" w:lineRule="atLeast"/>
              <w:ind w:firstLine="420"/>
              <w:rPr>
                <w:rFonts w:hint="eastAsia" w:ascii="宋体" w:hAnsi="宋体" w:eastAsia="宋体" w:cs="宋体"/>
                <w:b w:val="0"/>
                <w:bCs w:val="0"/>
                <w:color w:val="auto"/>
                <w:sz w:val="21"/>
                <w:szCs w:val="21"/>
                <w:highlight w:val="none"/>
              </w:rPr>
            </w:pPr>
          </w:p>
        </w:tc>
        <w:tc>
          <w:tcPr>
            <w:tcW w:w="1396" w:type="dxa"/>
            <w:vMerge w:val="continue"/>
            <w:vAlign w:val="center"/>
          </w:tcPr>
          <w:p w14:paraId="15762AFA">
            <w:pPr>
              <w:pStyle w:val="18"/>
              <w:adjustRightInd w:val="0"/>
              <w:snapToGrid w:val="0"/>
              <w:spacing w:after="0" w:line="240" w:lineRule="atLeast"/>
              <w:ind w:firstLine="420"/>
              <w:jc w:val="center"/>
              <w:rPr>
                <w:rFonts w:hint="eastAsia" w:ascii="宋体" w:hAnsi="宋体" w:eastAsia="宋体" w:cs="宋体"/>
                <w:b w:val="0"/>
                <w:bCs w:val="0"/>
                <w:color w:val="auto"/>
                <w:sz w:val="21"/>
                <w:szCs w:val="21"/>
                <w:highlight w:val="none"/>
              </w:rPr>
            </w:pPr>
          </w:p>
        </w:tc>
      </w:tr>
      <w:tr w14:paraId="5F1A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04" w:type="dxa"/>
            <w:gridSpan w:val="2"/>
            <w:vAlign w:val="center"/>
          </w:tcPr>
          <w:p w14:paraId="7AC6931E">
            <w:pPr>
              <w:pStyle w:val="18"/>
              <w:adjustRightInd w:val="0"/>
              <w:snapToGrid w:val="0"/>
              <w:spacing w:after="0" w:line="240" w:lineRule="atLeast"/>
              <w:ind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（十</w:t>
            </w: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rPr>
              <w:t>）设备完好情况（分值20分）</w:t>
            </w:r>
          </w:p>
        </w:tc>
        <w:tc>
          <w:tcPr>
            <w:tcW w:w="1392" w:type="dxa"/>
            <w:vMerge w:val="continue"/>
          </w:tcPr>
          <w:p w14:paraId="4D7D1631">
            <w:pPr>
              <w:pStyle w:val="18"/>
              <w:adjustRightInd w:val="0"/>
              <w:snapToGrid w:val="0"/>
              <w:spacing w:after="0" w:line="240" w:lineRule="atLeast"/>
              <w:ind w:firstLine="420"/>
              <w:rPr>
                <w:rFonts w:hint="eastAsia" w:ascii="宋体" w:hAnsi="宋体" w:eastAsia="宋体" w:cs="宋体"/>
                <w:b w:val="0"/>
                <w:bCs w:val="0"/>
                <w:color w:val="auto"/>
                <w:sz w:val="21"/>
                <w:szCs w:val="21"/>
                <w:highlight w:val="none"/>
              </w:rPr>
            </w:pPr>
          </w:p>
        </w:tc>
        <w:tc>
          <w:tcPr>
            <w:tcW w:w="1365" w:type="dxa"/>
            <w:vMerge w:val="continue"/>
          </w:tcPr>
          <w:p w14:paraId="790F3D08">
            <w:pPr>
              <w:pStyle w:val="18"/>
              <w:adjustRightInd w:val="0"/>
              <w:snapToGrid w:val="0"/>
              <w:spacing w:after="0" w:line="240" w:lineRule="atLeast"/>
              <w:ind w:firstLine="420"/>
              <w:rPr>
                <w:rFonts w:hint="eastAsia" w:ascii="宋体" w:hAnsi="宋体" w:eastAsia="宋体" w:cs="宋体"/>
                <w:b w:val="0"/>
                <w:bCs w:val="0"/>
                <w:color w:val="auto"/>
                <w:sz w:val="21"/>
                <w:szCs w:val="21"/>
                <w:highlight w:val="none"/>
              </w:rPr>
            </w:pPr>
          </w:p>
        </w:tc>
        <w:tc>
          <w:tcPr>
            <w:tcW w:w="1396" w:type="dxa"/>
            <w:vMerge w:val="continue"/>
            <w:vAlign w:val="center"/>
          </w:tcPr>
          <w:p w14:paraId="42233816">
            <w:pPr>
              <w:pStyle w:val="18"/>
              <w:adjustRightInd w:val="0"/>
              <w:snapToGrid w:val="0"/>
              <w:spacing w:after="0" w:line="240" w:lineRule="atLeast"/>
              <w:ind w:firstLine="420"/>
              <w:jc w:val="center"/>
              <w:rPr>
                <w:rFonts w:hint="eastAsia" w:ascii="宋体" w:hAnsi="宋体" w:eastAsia="宋体" w:cs="宋体"/>
                <w:b w:val="0"/>
                <w:bCs w:val="0"/>
                <w:color w:val="auto"/>
                <w:sz w:val="21"/>
                <w:szCs w:val="21"/>
                <w:highlight w:val="none"/>
              </w:rPr>
            </w:pPr>
          </w:p>
        </w:tc>
      </w:tr>
      <w:tr w14:paraId="0509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04" w:type="dxa"/>
            <w:gridSpan w:val="2"/>
            <w:vAlign w:val="center"/>
          </w:tcPr>
          <w:p w14:paraId="011D3518">
            <w:pPr>
              <w:pStyle w:val="18"/>
              <w:adjustRightInd w:val="0"/>
              <w:snapToGrid w:val="0"/>
              <w:spacing w:after="0" w:line="240" w:lineRule="atLeast"/>
              <w:ind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（十</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）安全保卫管理（分值100分）</w:t>
            </w:r>
          </w:p>
        </w:tc>
        <w:tc>
          <w:tcPr>
            <w:tcW w:w="1392" w:type="dxa"/>
            <w:vAlign w:val="center"/>
          </w:tcPr>
          <w:p w14:paraId="4D9BB2FB">
            <w:pPr>
              <w:pStyle w:val="18"/>
              <w:adjustRightInd w:val="0"/>
              <w:snapToGrid w:val="0"/>
              <w:spacing w:after="0" w:line="240" w:lineRule="atLeast"/>
              <w:ind w:firstLine="42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100分</w:t>
            </w:r>
          </w:p>
        </w:tc>
        <w:tc>
          <w:tcPr>
            <w:tcW w:w="1365" w:type="dxa"/>
            <w:vAlign w:val="center"/>
          </w:tcPr>
          <w:p w14:paraId="3CA213E1">
            <w:pPr>
              <w:pStyle w:val="18"/>
              <w:adjustRightInd w:val="0"/>
              <w:snapToGrid w:val="0"/>
              <w:spacing w:after="0" w:line="240" w:lineRule="atLeast"/>
              <w:ind w:firstLine="42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20%</w:t>
            </w:r>
          </w:p>
        </w:tc>
        <w:tc>
          <w:tcPr>
            <w:tcW w:w="1396" w:type="dxa"/>
            <w:vAlign w:val="center"/>
          </w:tcPr>
          <w:p w14:paraId="3382E246">
            <w:pPr>
              <w:pStyle w:val="18"/>
              <w:adjustRightInd w:val="0"/>
              <w:snapToGrid w:val="0"/>
              <w:spacing w:after="0" w:line="240" w:lineRule="atLeast"/>
              <w:ind w:firstLine="420"/>
              <w:jc w:val="center"/>
              <w:rPr>
                <w:rFonts w:hint="eastAsia" w:ascii="宋体" w:hAnsi="宋体" w:eastAsia="宋体" w:cs="宋体"/>
                <w:b w:val="0"/>
                <w:bCs w:val="0"/>
                <w:color w:val="auto"/>
                <w:sz w:val="21"/>
                <w:szCs w:val="21"/>
                <w:highlight w:val="none"/>
              </w:rPr>
            </w:pPr>
          </w:p>
        </w:tc>
      </w:tr>
      <w:tr w14:paraId="5A666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04" w:type="dxa"/>
            <w:gridSpan w:val="2"/>
            <w:vAlign w:val="center"/>
          </w:tcPr>
          <w:p w14:paraId="436080D5">
            <w:pPr>
              <w:pStyle w:val="18"/>
              <w:adjustRightInd w:val="0"/>
              <w:snapToGrid w:val="0"/>
              <w:spacing w:after="0" w:line="240" w:lineRule="atLeast"/>
              <w:ind w:firstLine="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二、水业大厦物业使用人意见调查表</w:t>
            </w:r>
          </w:p>
        </w:tc>
        <w:tc>
          <w:tcPr>
            <w:tcW w:w="1392" w:type="dxa"/>
            <w:vAlign w:val="center"/>
          </w:tcPr>
          <w:p w14:paraId="09318E6B">
            <w:pPr>
              <w:pStyle w:val="18"/>
              <w:adjustRightInd w:val="0"/>
              <w:snapToGrid w:val="0"/>
              <w:spacing w:after="0" w:line="240" w:lineRule="atLeast"/>
              <w:ind w:firstLine="4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100分</w:t>
            </w:r>
          </w:p>
        </w:tc>
        <w:tc>
          <w:tcPr>
            <w:tcW w:w="1365" w:type="dxa"/>
            <w:vAlign w:val="center"/>
          </w:tcPr>
          <w:p w14:paraId="4555E52E">
            <w:pPr>
              <w:pStyle w:val="18"/>
              <w:adjustRightInd w:val="0"/>
              <w:snapToGrid w:val="0"/>
              <w:spacing w:after="0" w:line="240" w:lineRule="atLeast"/>
              <w:ind w:firstLine="4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396" w:type="dxa"/>
            <w:vAlign w:val="center"/>
          </w:tcPr>
          <w:p w14:paraId="6E5B7B62">
            <w:pPr>
              <w:pStyle w:val="18"/>
              <w:adjustRightInd w:val="0"/>
              <w:snapToGrid w:val="0"/>
              <w:spacing w:after="0" w:line="240" w:lineRule="atLeast"/>
              <w:ind w:firstLine="420"/>
              <w:jc w:val="center"/>
              <w:rPr>
                <w:rFonts w:hint="eastAsia" w:ascii="宋体" w:hAnsi="宋体" w:eastAsia="宋体" w:cs="宋体"/>
                <w:color w:val="auto"/>
                <w:sz w:val="21"/>
                <w:szCs w:val="21"/>
                <w:highlight w:val="none"/>
              </w:rPr>
            </w:pPr>
          </w:p>
        </w:tc>
      </w:tr>
      <w:tr w14:paraId="09C8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161" w:type="dxa"/>
            <w:gridSpan w:val="4"/>
            <w:vAlign w:val="center"/>
          </w:tcPr>
          <w:p w14:paraId="60BB4775">
            <w:pPr>
              <w:pStyle w:val="18"/>
              <w:adjustRightInd w:val="0"/>
              <w:snapToGrid w:val="0"/>
              <w:spacing w:after="0" w:line="240" w:lineRule="atLeast"/>
              <w:ind w:firstLine="4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X年X月考核总得分：</w:t>
            </w:r>
          </w:p>
        </w:tc>
        <w:tc>
          <w:tcPr>
            <w:tcW w:w="1396" w:type="dxa"/>
            <w:vAlign w:val="center"/>
          </w:tcPr>
          <w:p w14:paraId="1AE26CF1">
            <w:pPr>
              <w:pStyle w:val="18"/>
              <w:adjustRightInd w:val="0"/>
              <w:snapToGrid w:val="0"/>
              <w:spacing w:after="0" w:line="240" w:lineRule="atLeast"/>
              <w:ind w:firstLine="420"/>
              <w:jc w:val="center"/>
              <w:rPr>
                <w:rFonts w:hint="eastAsia" w:ascii="宋体" w:hAnsi="宋体" w:eastAsia="宋体" w:cs="宋体"/>
                <w:color w:val="auto"/>
                <w:sz w:val="21"/>
                <w:szCs w:val="21"/>
                <w:highlight w:val="none"/>
              </w:rPr>
            </w:pPr>
          </w:p>
        </w:tc>
      </w:tr>
      <w:tr w14:paraId="0728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jc w:val="center"/>
        </w:trPr>
        <w:tc>
          <w:tcPr>
            <w:tcW w:w="9557" w:type="dxa"/>
            <w:gridSpan w:val="5"/>
            <w:vAlign w:val="center"/>
          </w:tcPr>
          <w:p w14:paraId="3967FF91">
            <w:pPr>
              <w:pStyle w:val="18"/>
              <w:numPr>
                <w:ilvl w:val="-1"/>
                <w:numId w:val="0"/>
              </w:numPr>
              <w:adjustRightInd w:val="0"/>
              <w:snapToGrid w:val="0"/>
              <w:spacing w:after="0" w:line="240" w:lineRule="auto"/>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考核办法：</w:t>
            </w:r>
          </w:p>
          <w:p w14:paraId="7A1D88CA">
            <w:pPr>
              <w:pStyle w:val="18"/>
              <w:numPr>
                <w:ilvl w:val="-1"/>
                <w:numId w:val="0"/>
              </w:numPr>
              <w:adjustRightInd w:val="0"/>
              <w:snapToGrid w:val="0"/>
              <w:spacing w:after="0" w:line="240" w:lineRule="auto"/>
              <w:ind w:firstLine="0" w:firstLineChars="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每月月底由招标人组成考核小组，按该考核标准检查中标人服务质量：</w:t>
            </w:r>
          </w:p>
          <w:p w14:paraId="0761E3A6">
            <w:pPr>
              <w:pStyle w:val="18"/>
              <w:numPr>
                <w:ilvl w:val="-1"/>
                <w:numId w:val="0"/>
              </w:numPr>
              <w:adjustRightInd w:val="0"/>
              <w:snapToGrid w:val="0"/>
              <w:spacing w:after="0" w:line="240" w:lineRule="auto"/>
              <w:ind w:firstLine="0" w:firstLineChars="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（1）考核总得分≥90分为合格，不予扣罚，中标人须对扣分项目进行限期整改；</w:t>
            </w:r>
          </w:p>
          <w:p w14:paraId="786D7A93">
            <w:pPr>
              <w:pStyle w:val="18"/>
              <w:numPr>
                <w:ilvl w:val="-1"/>
                <w:numId w:val="0"/>
              </w:numPr>
              <w:adjustRightInd w:val="0"/>
              <w:snapToGrid w:val="0"/>
              <w:spacing w:after="0" w:line="240" w:lineRule="auto"/>
              <w:ind w:firstLine="0" w:firstLineChars="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（2）80≤考核得分＜90分的，招标人最终支付考核对应月份物业管理运营服务费用的90%；</w:t>
            </w:r>
          </w:p>
          <w:p w14:paraId="3EDFE8B9">
            <w:pPr>
              <w:pStyle w:val="18"/>
              <w:numPr>
                <w:ilvl w:val="-1"/>
                <w:numId w:val="0"/>
              </w:numPr>
              <w:adjustRightInd w:val="0"/>
              <w:snapToGrid w:val="0"/>
              <w:spacing w:after="0" w:line="240" w:lineRule="auto"/>
              <w:ind w:firstLine="0" w:firstLineChars="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（3）70≤考核得分＜80分的，招标人最终支付考核对应月份物业管理运营服务费用的</w:t>
            </w:r>
            <w:r>
              <w:rPr>
                <w:rFonts w:hint="eastAsia"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0%；</w:t>
            </w:r>
          </w:p>
          <w:p w14:paraId="640D8377">
            <w:pPr>
              <w:pStyle w:val="18"/>
              <w:numPr>
                <w:ilvl w:val="-1"/>
                <w:numId w:val="0"/>
              </w:numPr>
              <w:adjustRightInd w:val="0"/>
              <w:snapToGrid w:val="0"/>
              <w:spacing w:after="0" w:line="240" w:lineRule="auto"/>
              <w:ind w:firstLine="0" w:firstLineChars="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（4）60≤考核得分＜70分的，招标人最终支付考核对应月份物业管理运营服务费用的</w:t>
            </w:r>
            <w:r>
              <w:rPr>
                <w:rFonts w:hint="eastAsia"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0%；</w:t>
            </w:r>
          </w:p>
          <w:p w14:paraId="34D37779">
            <w:pPr>
              <w:pStyle w:val="18"/>
              <w:numPr>
                <w:ilvl w:val="0"/>
                <w:numId w:val="22"/>
              </w:numPr>
              <w:adjustRightInd w:val="0"/>
              <w:snapToGrid w:val="0"/>
              <w:spacing w:after="0" w:line="240" w:lineRule="auto"/>
              <w:ind w:firstLine="0" w:firstLineChars="0"/>
              <w:jc w:val="both"/>
              <w:rPr>
                <w:rFonts w:hint="eastAsia" w:hAnsi="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考核总得分＜60分</w:t>
            </w:r>
            <w:r>
              <w:rPr>
                <w:rFonts w:hint="eastAsia" w:hAnsi="宋体" w:cs="宋体"/>
                <w:b w:val="0"/>
                <w:bCs w:val="0"/>
                <w:color w:val="auto"/>
                <w:sz w:val="21"/>
                <w:szCs w:val="21"/>
                <w:highlight w:val="none"/>
                <w:lang w:eastAsia="zh-CN"/>
              </w:rPr>
              <w:t>，</w:t>
            </w:r>
            <w:r>
              <w:rPr>
                <w:rFonts w:hint="eastAsia" w:hAnsi="宋体" w:cs="宋体"/>
                <w:b w:val="0"/>
                <w:bCs w:val="0"/>
                <w:color w:val="auto"/>
                <w:sz w:val="21"/>
                <w:szCs w:val="21"/>
                <w:highlight w:val="none"/>
                <w:lang w:val="en-US" w:eastAsia="zh-CN"/>
              </w:rPr>
              <w:t>招标人</w:t>
            </w:r>
            <w:r>
              <w:rPr>
                <w:rFonts w:hint="eastAsia" w:ascii="宋体" w:hAnsi="宋体" w:eastAsia="宋体" w:cs="宋体"/>
                <w:b w:val="0"/>
                <w:bCs w:val="0"/>
                <w:color w:val="auto"/>
                <w:sz w:val="21"/>
                <w:szCs w:val="21"/>
                <w:highlight w:val="none"/>
              </w:rPr>
              <w:t>无需支付考核对应月份物业管理运营服务费用，同时</w:t>
            </w:r>
            <w:r>
              <w:rPr>
                <w:rFonts w:hint="eastAsia" w:hAnsi="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rPr>
              <w:t>还应向</w:t>
            </w:r>
            <w:r>
              <w:rPr>
                <w:rFonts w:hint="eastAsia" w:hAnsi="宋体" w:cs="宋体"/>
                <w:b w:val="0"/>
                <w:bCs w:val="0"/>
                <w:color w:val="auto"/>
                <w:sz w:val="21"/>
                <w:szCs w:val="21"/>
                <w:highlight w:val="none"/>
                <w:lang w:val="en-US" w:eastAsia="zh-CN"/>
              </w:rPr>
              <w:t>招标人</w:t>
            </w:r>
            <w:r>
              <w:rPr>
                <w:rFonts w:hint="eastAsia" w:ascii="宋体" w:hAnsi="宋体" w:eastAsia="宋体" w:cs="宋体"/>
                <w:b w:val="0"/>
                <w:bCs w:val="0"/>
                <w:color w:val="auto"/>
                <w:sz w:val="21"/>
                <w:szCs w:val="21"/>
                <w:highlight w:val="none"/>
              </w:rPr>
              <w:t>支付人民币100,000.00元作为违约金</w:t>
            </w:r>
            <w:r>
              <w:rPr>
                <w:rFonts w:hint="eastAsia" w:hAnsi="宋体" w:cs="宋体"/>
                <w:b w:val="0"/>
                <w:bCs w:val="0"/>
                <w:color w:val="auto"/>
                <w:sz w:val="21"/>
                <w:szCs w:val="21"/>
                <w:highlight w:val="none"/>
                <w:lang w:eastAsia="zh-CN"/>
              </w:rPr>
              <w:t>。</w:t>
            </w:r>
          </w:p>
          <w:p w14:paraId="7AD12620">
            <w:pPr>
              <w:pStyle w:val="18"/>
              <w:numPr>
                <w:ilvl w:val="-1"/>
                <w:numId w:val="0"/>
              </w:numPr>
              <w:adjustRightInd w:val="0"/>
              <w:snapToGrid w:val="0"/>
              <w:spacing w:after="0" w:line="240" w:lineRule="auto"/>
              <w:ind w:firstLine="0" w:firstLineChars="0"/>
              <w:jc w:val="both"/>
              <w:rPr>
                <w:rFonts w:hint="eastAsia" w:ascii="宋体" w:hAnsi="宋体" w:eastAsia="宋体" w:cs="宋体"/>
                <w:color w:val="auto"/>
                <w:sz w:val="21"/>
                <w:szCs w:val="21"/>
                <w:highlight w:val="none"/>
              </w:rPr>
            </w:pPr>
            <w:r>
              <w:rPr>
                <w:rFonts w:hint="eastAsia" w:hAnsi="宋体" w:cs="宋体"/>
                <w:b w:val="0"/>
                <w:bCs w:val="0"/>
                <w:color w:val="auto"/>
                <w:sz w:val="21"/>
                <w:szCs w:val="21"/>
                <w:highlight w:val="none"/>
                <w:lang w:eastAsia="zh-CN"/>
              </w:rPr>
              <w:t>（</w:t>
            </w:r>
            <w:r>
              <w:rPr>
                <w:rFonts w:hint="eastAsia" w:hAnsi="宋体" w:cs="宋体"/>
                <w:b w:val="0"/>
                <w:bCs w:val="0"/>
                <w:color w:val="auto"/>
                <w:sz w:val="21"/>
                <w:szCs w:val="21"/>
                <w:highlight w:val="none"/>
                <w:lang w:val="en-US" w:eastAsia="zh-CN"/>
              </w:rPr>
              <w:t>6</w:t>
            </w:r>
            <w:r>
              <w:rPr>
                <w:rFonts w:hint="eastAsia"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12个月内累计3次70≤考核总得分＜80分或6个月内累计2次60≤考核总得分＜70分的，招标人有权单方解除合同，且不承担任何违约责任。</w:t>
            </w:r>
          </w:p>
        </w:tc>
      </w:tr>
    </w:tbl>
    <w:p w14:paraId="556F0CE6">
      <w:pPr>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5.2.2物业服务考核明细</w:t>
      </w:r>
    </w:p>
    <w:tbl>
      <w:tblPr>
        <w:tblStyle w:val="41"/>
        <w:tblW w:w="95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
        <w:gridCol w:w="4115"/>
        <w:gridCol w:w="585"/>
        <w:gridCol w:w="3225"/>
        <w:gridCol w:w="775"/>
      </w:tblGrid>
      <w:tr w14:paraId="75982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jc w:val="center"/>
        </w:trPr>
        <w:tc>
          <w:tcPr>
            <w:tcW w:w="9563" w:type="dxa"/>
            <w:gridSpan w:val="5"/>
            <w:vAlign w:val="center"/>
          </w:tcPr>
          <w:p w14:paraId="3893618F">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一、招标人对中标人考核</w:t>
            </w:r>
          </w:p>
        </w:tc>
      </w:tr>
      <w:tr w14:paraId="72361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863" w:type="dxa"/>
            <w:vAlign w:val="center"/>
          </w:tcPr>
          <w:p w14:paraId="66169A3F">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内容</w:t>
            </w:r>
          </w:p>
        </w:tc>
        <w:tc>
          <w:tcPr>
            <w:tcW w:w="4115" w:type="dxa"/>
            <w:vAlign w:val="center"/>
          </w:tcPr>
          <w:p w14:paraId="40EE823B">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评分标准</w:t>
            </w:r>
          </w:p>
        </w:tc>
        <w:tc>
          <w:tcPr>
            <w:tcW w:w="585" w:type="dxa"/>
            <w:vAlign w:val="center"/>
          </w:tcPr>
          <w:p w14:paraId="5B7EE62F">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分值</w:t>
            </w:r>
          </w:p>
        </w:tc>
        <w:tc>
          <w:tcPr>
            <w:tcW w:w="3225" w:type="dxa"/>
            <w:vAlign w:val="center"/>
          </w:tcPr>
          <w:p w14:paraId="7F28B077">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扣分标准</w:t>
            </w:r>
          </w:p>
        </w:tc>
        <w:tc>
          <w:tcPr>
            <w:tcW w:w="775" w:type="dxa"/>
            <w:vAlign w:val="center"/>
          </w:tcPr>
          <w:p w14:paraId="28F10249">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得分</w:t>
            </w:r>
          </w:p>
        </w:tc>
      </w:tr>
      <w:tr w14:paraId="49652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3" w:hRule="atLeast"/>
          <w:jc w:val="center"/>
        </w:trPr>
        <w:tc>
          <w:tcPr>
            <w:tcW w:w="863" w:type="dxa"/>
            <w:vMerge w:val="restart"/>
            <w:vAlign w:val="center"/>
          </w:tcPr>
          <w:p w14:paraId="394DEBFB">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（一）客户服务（分值</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5分）</w:t>
            </w:r>
          </w:p>
        </w:tc>
        <w:tc>
          <w:tcPr>
            <w:tcW w:w="4115" w:type="dxa"/>
            <w:vAlign w:val="center"/>
          </w:tcPr>
          <w:p w14:paraId="1A0B3A40">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1.按合同要求配备管理人员、环境卫生、客服服务、会议服务人员；每月20号前提供当月人员名册。工作人员上岗时统一着装并佩戴工作牌；言行文明，注意仪容仪表。</w:t>
            </w:r>
          </w:p>
        </w:tc>
        <w:tc>
          <w:tcPr>
            <w:tcW w:w="585" w:type="dxa"/>
            <w:vAlign w:val="center"/>
          </w:tcPr>
          <w:p w14:paraId="7323EB33">
            <w:pPr>
              <w:adjustRightInd w:val="0"/>
              <w:snapToGrid w:val="0"/>
              <w:spacing w:line="240" w:lineRule="atLeast"/>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3225" w:type="dxa"/>
            <w:vAlign w:val="center"/>
          </w:tcPr>
          <w:p w14:paraId="06CB4106">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1）20号前未按合同配备人员，缺1人扣0.5分；</w:t>
            </w:r>
          </w:p>
          <w:p w14:paraId="32D0E62B">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2）发现言行着装不适当的，一处不合格扣0.5分。</w:t>
            </w:r>
          </w:p>
        </w:tc>
        <w:tc>
          <w:tcPr>
            <w:tcW w:w="775" w:type="dxa"/>
            <w:vAlign w:val="center"/>
          </w:tcPr>
          <w:p w14:paraId="7D2951DD">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2A0F9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63" w:type="dxa"/>
            <w:vMerge w:val="continue"/>
            <w:vAlign w:val="center"/>
          </w:tcPr>
          <w:p w14:paraId="7E6F1D67">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07D5E3EA">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遵守岗位职责，不得出现无故缺勤、脱岗、空岗现象；认真完成布置的有关工作，按要求执行，工作到位，态度积极，不推诿，工作中无弄虚作假现象；按照疫情防控要求，严格做好项目内部员工防疫管理工作。</w:t>
            </w:r>
          </w:p>
        </w:tc>
        <w:tc>
          <w:tcPr>
            <w:tcW w:w="585" w:type="dxa"/>
            <w:vAlign w:val="center"/>
          </w:tcPr>
          <w:p w14:paraId="6BB43CF7">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p>
        </w:tc>
        <w:tc>
          <w:tcPr>
            <w:tcW w:w="3225" w:type="dxa"/>
            <w:vAlign w:val="center"/>
          </w:tcPr>
          <w:p w14:paraId="0DAFB1E9">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发现一处不合格扣0.5分。</w:t>
            </w:r>
          </w:p>
        </w:tc>
        <w:tc>
          <w:tcPr>
            <w:tcW w:w="775" w:type="dxa"/>
            <w:vAlign w:val="center"/>
          </w:tcPr>
          <w:p w14:paraId="31B1DA3A">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28557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63" w:type="dxa"/>
            <w:vMerge w:val="continue"/>
            <w:vAlign w:val="center"/>
          </w:tcPr>
          <w:p w14:paraId="385BDD64">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3C76C545">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3.建立24小时客户服务体系，及时受理物业管理服务诉求，报修处理及时率达100%。</w:t>
            </w:r>
          </w:p>
        </w:tc>
        <w:tc>
          <w:tcPr>
            <w:tcW w:w="585" w:type="dxa"/>
            <w:vAlign w:val="center"/>
          </w:tcPr>
          <w:p w14:paraId="2640F334">
            <w:pPr>
              <w:adjustRightInd w:val="0"/>
              <w:snapToGrid w:val="0"/>
              <w:spacing w:line="240" w:lineRule="atLeast"/>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3225" w:type="dxa"/>
            <w:vAlign w:val="center"/>
          </w:tcPr>
          <w:p w14:paraId="0CE91375">
            <w:pPr>
              <w:numPr>
                <w:ilvl w:val="0"/>
                <w:numId w:val="24"/>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发现未能及时受理客户诉求，报修处理慢或维修不及时的，一次扣1分；</w:t>
            </w:r>
          </w:p>
          <w:p w14:paraId="22EF7687">
            <w:pPr>
              <w:numPr>
                <w:ilvl w:val="0"/>
                <w:numId w:val="24"/>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物业使用人反馈问题未及时整改的，一次扣1.5分；</w:t>
            </w:r>
          </w:p>
          <w:p w14:paraId="74486051">
            <w:pPr>
              <w:numPr>
                <w:ilvl w:val="0"/>
                <w:numId w:val="24"/>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招标人收到所属区域有关物业管理的有效投诉，一次扣5分。</w:t>
            </w:r>
          </w:p>
        </w:tc>
        <w:tc>
          <w:tcPr>
            <w:tcW w:w="775" w:type="dxa"/>
            <w:vAlign w:val="center"/>
          </w:tcPr>
          <w:p w14:paraId="3C08B2B5">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23732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jc w:val="center"/>
        </w:trPr>
        <w:tc>
          <w:tcPr>
            <w:tcW w:w="863" w:type="dxa"/>
            <w:vMerge w:val="restart"/>
            <w:vAlign w:val="center"/>
          </w:tcPr>
          <w:p w14:paraId="140BCEEA">
            <w:pPr>
              <w:adjustRightInd w:val="0"/>
              <w:snapToGrid w:val="0"/>
              <w:spacing w:line="240" w:lineRule="atLeas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（二）环境卫生（分值3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分）</w:t>
            </w:r>
          </w:p>
        </w:tc>
        <w:tc>
          <w:tcPr>
            <w:tcW w:w="4115" w:type="dxa"/>
            <w:vAlign w:val="center"/>
          </w:tcPr>
          <w:p w14:paraId="2F0AE99A">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室外建筑包括广场及道路、栏杆、车库岗亭、雨棚、采光井等保持干净、无杂物；沟渠、污水井、井盖、化粪池、隔油池保持通畅、无异味。每年1次清洗外墙，外立面幕墙清洁、完整，没有明显斑迹，严格做好安全生产防范措施。</w:t>
            </w:r>
          </w:p>
        </w:tc>
        <w:tc>
          <w:tcPr>
            <w:tcW w:w="585" w:type="dxa"/>
            <w:vAlign w:val="center"/>
          </w:tcPr>
          <w:p w14:paraId="193DA83B">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p>
        </w:tc>
        <w:tc>
          <w:tcPr>
            <w:tcW w:w="3225" w:type="dxa"/>
            <w:vAlign w:val="center"/>
          </w:tcPr>
          <w:p w14:paraId="0A061270">
            <w:pPr>
              <w:numPr>
                <w:ilvl w:val="0"/>
                <w:numId w:val="25"/>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发现清洁不到位一次扣0.5分；</w:t>
            </w:r>
          </w:p>
          <w:p w14:paraId="07BC6102">
            <w:pPr>
              <w:numPr>
                <w:ilvl w:val="0"/>
                <w:numId w:val="25"/>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未定期清洗外墙一次扣1分；</w:t>
            </w:r>
          </w:p>
          <w:p w14:paraId="2CE96DA1">
            <w:pPr>
              <w:numPr>
                <w:ilvl w:val="0"/>
                <w:numId w:val="25"/>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被使用单位工作人员投诉一次扣1分。</w:t>
            </w:r>
          </w:p>
        </w:tc>
        <w:tc>
          <w:tcPr>
            <w:tcW w:w="775" w:type="dxa"/>
            <w:vAlign w:val="center"/>
          </w:tcPr>
          <w:p w14:paraId="0F748EAE">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5AE4B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jc w:val="center"/>
        </w:trPr>
        <w:tc>
          <w:tcPr>
            <w:tcW w:w="863" w:type="dxa"/>
            <w:vMerge w:val="continue"/>
            <w:vAlign w:val="center"/>
          </w:tcPr>
          <w:p w14:paraId="674FCFB5">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2628DB48">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2.停车场（包括地下）设备房、楼梯、消防设备等保持干净、无杂物，每月最少一次冲洗地面。</w:t>
            </w:r>
          </w:p>
        </w:tc>
        <w:tc>
          <w:tcPr>
            <w:tcW w:w="585" w:type="dxa"/>
            <w:vAlign w:val="center"/>
          </w:tcPr>
          <w:p w14:paraId="24AF1D36">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p>
        </w:tc>
        <w:tc>
          <w:tcPr>
            <w:tcW w:w="3225" w:type="dxa"/>
            <w:vAlign w:val="center"/>
          </w:tcPr>
          <w:p w14:paraId="46B385C7">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发现清洁不到位一次扣0.5分。</w:t>
            </w:r>
          </w:p>
        </w:tc>
        <w:tc>
          <w:tcPr>
            <w:tcW w:w="775" w:type="dxa"/>
            <w:vAlign w:val="center"/>
          </w:tcPr>
          <w:p w14:paraId="7FE3ECAE">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2A885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jc w:val="center"/>
        </w:trPr>
        <w:tc>
          <w:tcPr>
            <w:tcW w:w="863" w:type="dxa"/>
            <w:vMerge w:val="continue"/>
            <w:vAlign w:val="center"/>
          </w:tcPr>
          <w:p w14:paraId="54CD4BB6">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49D69D81">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3.室内地面、地毯、楼梯无杂物、无污渍、无水迹，通道无积水，下水道无阻塞；天花、墙面无灰尘、无蜘蛛网、无脱漆、无霉点石材定期翻新保养；门、窗无尘、无污渍；桌、椅无尘无污渍；天台无寄生。</w:t>
            </w:r>
          </w:p>
        </w:tc>
        <w:tc>
          <w:tcPr>
            <w:tcW w:w="585" w:type="dxa"/>
            <w:vAlign w:val="center"/>
          </w:tcPr>
          <w:p w14:paraId="0767DC25">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p>
        </w:tc>
        <w:tc>
          <w:tcPr>
            <w:tcW w:w="3225" w:type="dxa"/>
            <w:vAlign w:val="center"/>
          </w:tcPr>
          <w:p w14:paraId="38E7EFB5">
            <w:pPr>
              <w:numPr>
                <w:ilvl w:val="0"/>
                <w:numId w:val="26"/>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发现清洁不到位一次扣0.5分；</w:t>
            </w:r>
          </w:p>
          <w:p w14:paraId="60753EC2">
            <w:pPr>
              <w:numPr>
                <w:ilvl w:val="0"/>
                <w:numId w:val="26"/>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被使用单位工作人员投诉一次扣1分。</w:t>
            </w:r>
          </w:p>
        </w:tc>
        <w:tc>
          <w:tcPr>
            <w:tcW w:w="775" w:type="dxa"/>
            <w:vAlign w:val="center"/>
          </w:tcPr>
          <w:p w14:paraId="7925D7A8">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0F5D8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863" w:type="dxa"/>
            <w:vMerge w:val="continue"/>
            <w:vAlign w:val="center"/>
          </w:tcPr>
          <w:p w14:paraId="7A35F80E">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3408770F">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4.空调出风口、天花、垃圾桶、消防设施等保持干净、无尘无污渍；地毯、沙发、台布、窗帘及沙发套等定期清洗干净，没有污迹。</w:t>
            </w:r>
          </w:p>
        </w:tc>
        <w:tc>
          <w:tcPr>
            <w:tcW w:w="585" w:type="dxa"/>
            <w:vAlign w:val="center"/>
          </w:tcPr>
          <w:p w14:paraId="28144E4E">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p>
        </w:tc>
        <w:tc>
          <w:tcPr>
            <w:tcW w:w="3225" w:type="dxa"/>
            <w:vAlign w:val="center"/>
          </w:tcPr>
          <w:p w14:paraId="0BDEF445">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发现清洁不到位一次扣0.5分。</w:t>
            </w:r>
          </w:p>
        </w:tc>
        <w:tc>
          <w:tcPr>
            <w:tcW w:w="775" w:type="dxa"/>
            <w:vAlign w:val="center"/>
          </w:tcPr>
          <w:p w14:paraId="40FED5CE">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51D67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2" w:hRule="atLeast"/>
          <w:jc w:val="center"/>
        </w:trPr>
        <w:tc>
          <w:tcPr>
            <w:tcW w:w="863" w:type="dxa"/>
            <w:vMerge w:val="continue"/>
            <w:vAlign w:val="center"/>
          </w:tcPr>
          <w:p w14:paraId="21E5E17E">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65126AE2">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5.卫生间洁净无异味，洗手盆无积水，墙身、门窗、边角无污迹。</w:t>
            </w:r>
          </w:p>
        </w:tc>
        <w:tc>
          <w:tcPr>
            <w:tcW w:w="585" w:type="dxa"/>
            <w:vAlign w:val="center"/>
          </w:tcPr>
          <w:p w14:paraId="5CFD2442">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p>
        </w:tc>
        <w:tc>
          <w:tcPr>
            <w:tcW w:w="3225" w:type="dxa"/>
            <w:vAlign w:val="center"/>
          </w:tcPr>
          <w:p w14:paraId="12BF6DFA">
            <w:pPr>
              <w:numPr>
                <w:ilvl w:val="0"/>
                <w:numId w:val="27"/>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发现清洁不到位一次扣0.5分；</w:t>
            </w:r>
          </w:p>
          <w:p w14:paraId="0EA50732">
            <w:pPr>
              <w:numPr>
                <w:ilvl w:val="0"/>
                <w:numId w:val="27"/>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被使用单位工作人员投诉一次扣1分。</w:t>
            </w:r>
          </w:p>
        </w:tc>
        <w:tc>
          <w:tcPr>
            <w:tcW w:w="775" w:type="dxa"/>
            <w:vAlign w:val="center"/>
          </w:tcPr>
          <w:p w14:paraId="5C15BD6A">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751FD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863" w:type="dxa"/>
            <w:vMerge w:val="continue"/>
            <w:vAlign w:val="center"/>
          </w:tcPr>
          <w:p w14:paraId="2AE684D7">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23F3FD0A">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6.电梯轿厢不锈钢表面、轿箱地面、接钮、灯饰、箱顶无尘、光洁明亮、无污渍。</w:t>
            </w:r>
          </w:p>
        </w:tc>
        <w:tc>
          <w:tcPr>
            <w:tcW w:w="585" w:type="dxa"/>
            <w:vAlign w:val="center"/>
          </w:tcPr>
          <w:p w14:paraId="3BF13C71">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p>
        </w:tc>
        <w:tc>
          <w:tcPr>
            <w:tcW w:w="3225" w:type="dxa"/>
            <w:vAlign w:val="center"/>
          </w:tcPr>
          <w:p w14:paraId="7ADBE7AF">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发现清洁不到位一次扣0.5分。</w:t>
            </w:r>
          </w:p>
        </w:tc>
        <w:tc>
          <w:tcPr>
            <w:tcW w:w="775" w:type="dxa"/>
            <w:vAlign w:val="center"/>
          </w:tcPr>
          <w:p w14:paraId="616B8FBC">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7E134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863" w:type="dxa"/>
            <w:vMerge w:val="continue"/>
            <w:vAlign w:val="center"/>
          </w:tcPr>
          <w:p w14:paraId="33E0E258">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6903AAA2">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7.垃圾日产日清，垃圾收集点周围地面无散落垃圾、无污迹、无异味。</w:t>
            </w:r>
          </w:p>
        </w:tc>
        <w:tc>
          <w:tcPr>
            <w:tcW w:w="585" w:type="dxa"/>
            <w:vAlign w:val="center"/>
          </w:tcPr>
          <w:p w14:paraId="409B4DF7">
            <w:pPr>
              <w:adjustRightInd w:val="0"/>
              <w:snapToGrid w:val="0"/>
              <w:spacing w:line="240" w:lineRule="atLeas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225" w:type="dxa"/>
            <w:vAlign w:val="center"/>
          </w:tcPr>
          <w:p w14:paraId="1A470FC3">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发现垃圾清运不及时，一次扣0.5分。</w:t>
            </w:r>
          </w:p>
        </w:tc>
        <w:tc>
          <w:tcPr>
            <w:tcW w:w="775" w:type="dxa"/>
            <w:vAlign w:val="center"/>
          </w:tcPr>
          <w:p w14:paraId="2B1D66C7">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38FAD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863" w:type="dxa"/>
            <w:vMerge w:val="continue"/>
            <w:vAlign w:val="center"/>
          </w:tcPr>
          <w:p w14:paraId="22400799">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3D3479CC">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8.定期消杀，包括鼠、蟑、蚊、蝇、白蚁等害虫孳生，如繁殖季节加强消杀频次。</w:t>
            </w:r>
          </w:p>
        </w:tc>
        <w:tc>
          <w:tcPr>
            <w:tcW w:w="585" w:type="dxa"/>
            <w:vAlign w:val="center"/>
          </w:tcPr>
          <w:p w14:paraId="08DBC97C">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p>
        </w:tc>
        <w:tc>
          <w:tcPr>
            <w:tcW w:w="3225" w:type="dxa"/>
            <w:vAlign w:val="center"/>
          </w:tcPr>
          <w:p w14:paraId="593857D3">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发现定期作业没按时进行的，一次扣0.5分。</w:t>
            </w:r>
          </w:p>
        </w:tc>
        <w:tc>
          <w:tcPr>
            <w:tcW w:w="775" w:type="dxa"/>
            <w:vAlign w:val="center"/>
          </w:tcPr>
          <w:p w14:paraId="0F9339C1">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797EF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jc w:val="center"/>
        </w:trPr>
        <w:tc>
          <w:tcPr>
            <w:tcW w:w="863" w:type="dxa"/>
            <w:vMerge w:val="continue"/>
            <w:vAlign w:val="center"/>
          </w:tcPr>
          <w:p w14:paraId="39328C5C">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2DBEFF11">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9.清洁人员遵守岗位职责，严格纪律要求，不得出现泄密、破坏、偷窃等行为。</w:t>
            </w:r>
          </w:p>
        </w:tc>
        <w:tc>
          <w:tcPr>
            <w:tcW w:w="585" w:type="dxa"/>
            <w:vAlign w:val="center"/>
          </w:tcPr>
          <w:p w14:paraId="51B09698">
            <w:pPr>
              <w:adjustRightInd w:val="0"/>
              <w:snapToGrid w:val="0"/>
              <w:spacing w:line="240" w:lineRule="atLeas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225" w:type="dxa"/>
            <w:vAlign w:val="center"/>
          </w:tcPr>
          <w:p w14:paraId="48387E24">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发现出现泄密、破坏、偷窃行为，一次扣3分。</w:t>
            </w:r>
          </w:p>
        </w:tc>
        <w:tc>
          <w:tcPr>
            <w:tcW w:w="775" w:type="dxa"/>
            <w:vAlign w:val="center"/>
          </w:tcPr>
          <w:p w14:paraId="65A4B537">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26FC2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2" w:hRule="atLeast"/>
          <w:jc w:val="center"/>
        </w:trPr>
        <w:tc>
          <w:tcPr>
            <w:tcW w:w="863" w:type="dxa"/>
            <w:vMerge w:val="continue"/>
            <w:vAlign w:val="center"/>
          </w:tcPr>
          <w:p w14:paraId="5E143B0D">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1D18B1BC">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制定垃圾分类等管理制度和措施。按垃圾分类模式和要求配置分类收集容器，设置有害垃圾收集点、可回收物收集点；垃圾收集点（房）按要求设置垃圾分类宣传内容（垃圾四分类图、公示牌、管理制度、操作规范）；分类收集容器完好、整洁、容器颜色、标识规范清晰；做好垃圾分类培训并记录完备，按要求做好物业使用人垃圾分类落实情况统计。</w:t>
            </w:r>
          </w:p>
        </w:tc>
        <w:tc>
          <w:tcPr>
            <w:tcW w:w="585" w:type="dxa"/>
            <w:vAlign w:val="center"/>
          </w:tcPr>
          <w:p w14:paraId="2C560727">
            <w:pPr>
              <w:adjustRightInd w:val="0"/>
              <w:snapToGrid w:val="0"/>
              <w:spacing w:line="240" w:lineRule="atLeas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225" w:type="dxa"/>
            <w:vAlign w:val="center"/>
          </w:tcPr>
          <w:p w14:paraId="4FE596C7">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1）垃圾分类宣传内容设置不全，垃圾分类收集不正确，一次扣1分；</w:t>
            </w:r>
          </w:p>
          <w:p w14:paraId="5CBE1D1D">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2）未按要求设置分类垃圾宣传内容或收集点扣1分；</w:t>
            </w:r>
          </w:p>
          <w:p w14:paraId="72E80AA7">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3）分类收集容器、标识不规范清晰扣0.5分；</w:t>
            </w:r>
          </w:p>
          <w:p w14:paraId="2C6D3F99">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4）不按要求开展垃圾分类培训或培训记录不全扣0.5分；</w:t>
            </w:r>
          </w:p>
          <w:p w14:paraId="3E9681C7">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5）统计台账不全扣0.5分。</w:t>
            </w:r>
          </w:p>
        </w:tc>
        <w:tc>
          <w:tcPr>
            <w:tcW w:w="775" w:type="dxa"/>
            <w:vAlign w:val="center"/>
          </w:tcPr>
          <w:p w14:paraId="2D201FCD">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5C767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0" w:hRule="atLeast"/>
          <w:jc w:val="center"/>
        </w:trPr>
        <w:tc>
          <w:tcPr>
            <w:tcW w:w="863" w:type="dxa"/>
            <w:vMerge w:val="continue"/>
            <w:vAlign w:val="center"/>
          </w:tcPr>
          <w:p w14:paraId="64346413">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6261BCFE">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11.制定节电节水管理制度和措施。定期检查卫生间、茶水间水龙头等用水设备是否存在跑、冒、滴、漏等现象，并及时修理；检查下班后办公室空调、电器设备是否关闭。</w:t>
            </w:r>
          </w:p>
        </w:tc>
        <w:tc>
          <w:tcPr>
            <w:tcW w:w="585" w:type="dxa"/>
            <w:vAlign w:val="center"/>
          </w:tcPr>
          <w:p w14:paraId="57E71CA7">
            <w:pPr>
              <w:adjustRightInd w:val="0"/>
              <w:snapToGrid w:val="0"/>
              <w:spacing w:line="240" w:lineRule="atLeas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225" w:type="dxa"/>
            <w:vAlign w:val="center"/>
          </w:tcPr>
          <w:p w14:paraId="1EE698B0">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1）发现水龙头等用水设备跑、冒、滴、漏现象维修不及时的，一次扣0.5分；</w:t>
            </w:r>
          </w:p>
          <w:p w14:paraId="3410EDA1">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2）遗漏一次扣0.5分。</w:t>
            </w:r>
          </w:p>
        </w:tc>
        <w:tc>
          <w:tcPr>
            <w:tcW w:w="775" w:type="dxa"/>
            <w:vAlign w:val="center"/>
          </w:tcPr>
          <w:p w14:paraId="268BC63F">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20198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863" w:type="dxa"/>
            <w:vMerge w:val="continue"/>
            <w:vAlign w:val="center"/>
          </w:tcPr>
          <w:p w14:paraId="6CB9A12F">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5EEBB3DC">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12.根据疫情防控要求，做好清洁消毒、室内通风等防疫工作。</w:t>
            </w:r>
          </w:p>
        </w:tc>
        <w:tc>
          <w:tcPr>
            <w:tcW w:w="585" w:type="dxa"/>
            <w:vAlign w:val="center"/>
          </w:tcPr>
          <w:p w14:paraId="6D5276DA">
            <w:pPr>
              <w:adjustRightInd w:val="0"/>
              <w:snapToGrid w:val="0"/>
              <w:spacing w:line="240" w:lineRule="atLeas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225" w:type="dxa"/>
            <w:vAlign w:val="center"/>
          </w:tcPr>
          <w:p w14:paraId="5C37EDFA">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遗漏一处扣0.5分。</w:t>
            </w:r>
          </w:p>
        </w:tc>
        <w:tc>
          <w:tcPr>
            <w:tcW w:w="775" w:type="dxa"/>
            <w:vAlign w:val="center"/>
          </w:tcPr>
          <w:p w14:paraId="26214B2A">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5FE1E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9" w:hRule="atLeast"/>
          <w:jc w:val="center"/>
        </w:trPr>
        <w:tc>
          <w:tcPr>
            <w:tcW w:w="863" w:type="dxa"/>
            <w:vMerge w:val="restart"/>
            <w:vAlign w:val="center"/>
          </w:tcPr>
          <w:p w14:paraId="030ACF0B">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（三）会议服务（分值</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分）</w:t>
            </w:r>
          </w:p>
        </w:tc>
        <w:tc>
          <w:tcPr>
            <w:tcW w:w="4115" w:type="dxa"/>
            <w:vAlign w:val="center"/>
          </w:tcPr>
          <w:p w14:paraId="5B8DD77D">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1.做好会场区域、贵宾休息室日常清洁、检查工作。会议室家具干净、无灰尘；会议桌布、台裙干净平整无污迹、无折皱、无破损；地面洁净无垃圾、无残留物；杯具干净无茶迹，摆放整齐。</w:t>
            </w:r>
          </w:p>
        </w:tc>
        <w:tc>
          <w:tcPr>
            <w:tcW w:w="585" w:type="dxa"/>
            <w:vAlign w:val="center"/>
          </w:tcPr>
          <w:p w14:paraId="34BEBDBF">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3225" w:type="dxa"/>
            <w:vAlign w:val="center"/>
          </w:tcPr>
          <w:p w14:paraId="151B4514">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1）发现一处不合格扣0.5分；</w:t>
            </w:r>
          </w:p>
          <w:p w14:paraId="2EE44BCB">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2）使用单位投诉一次扣1分。</w:t>
            </w:r>
          </w:p>
        </w:tc>
        <w:tc>
          <w:tcPr>
            <w:tcW w:w="775" w:type="dxa"/>
            <w:vAlign w:val="center"/>
          </w:tcPr>
          <w:p w14:paraId="5E6E952C">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1492C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863" w:type="dxa"/>
            <w:vMerge w:val="continue"/>
            <w:vAlign w:val="center"/>
          </w:tcPr>
          <w:p w14:paraId="32AD0C52">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273CC134">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2.做好会前标准化布置，包括横幅、指示牌、会议台、签到台、茶水、会议名牌、纸巾等。 </w:t>
            </w:r>
          </w:p>
        </w:tc>
        <w:tc>
          <w:tcPr>
            <w:tcW w:w="585" w:type="dxa"/>
            <w:vAlign w:val="center"/>
          </w:tcPr>
          <w:p w14:paraId="6E6AFD6D">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3225" w:type="dxa"/>
            <w:vAlign w:val="center"/>
          </w:tcPr>
          <w:p w14:paraId="7F0BEE86">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1）发现一处不合格扣0.5分；</w:t>
            </w:r>
          </w:p>
          <w:p w14:paraId="65E9B5D5">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2）使用单位投诉一次扣1分。</w:t>
            </w:r>
          </w:p>
        </w:tc>
        <w:tc>
          <w:tcPr>
            <w:tcW w:w="775" w:type="dxa"/>
            <w:vAlign w:val="center"/>
          </w:tcPr>
          <w:p w14:paraId="3605C2EB">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7D808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863" w:type="dxa"/>
            <w:vMerge w:val="continue"/>
            <w:vAlign w:val="center"/>
          </w:tcPr>
          <w:p w14:paraId="5C0188E3">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0F9558FF">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3.做好会中服务，会议期间会务员和音控人员不得擅自离岗，注意观察开会情况，根据会议情况续茶水，合理调整会议室的温度及音响效果。</w:t>
            </w:r>
          </w:p>
        </w:tc>
        <w:tc>
          <w:tcPr>
            <w:tcW w:w="585" w:type="dxa"/>
            <w:vAlign w:val="center"/>
          </w:tcPr>
          <w:p w14:paraId="4A005315">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3225" w:type="dxa"/>
            <w:vAlign w:val="center"/>
          </w:tcPr>
          <w:p w14:paraId="091F1A95">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1）发现一处不合格扣0.5分；</w:t>
            </w:r>
          </w:p>
          <w:p w14:paraId="220C30C9">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2）使用单位投诉一次扣1分。</w:t>
            </w:r>
          </w:p>
        </w:tc>
        <w:tc>
          <w:tcPr>
            <w:tcW w:w="775" w:type="dxa"/>
            <w:vAlign w:val="center"/>
          </w:tcPr>
          <w:p w14:paraId="265ED2A1">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32F4A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0" w:hRule="atLeast"/>
          <w:jc w:val="center"/>
        </w:trPr>
        <w:tc>
          <w:tcPr>
            <w:tcW w:w="863" w:type="dxa"/>
            <w:vMerge w:val="continue"/>
            <w:vAlign w:val="center"/>
          </w:tcPr>
          <w:p w14:paraId="73F66E13">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67CB722B">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4.做好会后收场。会议结束60分钟内，完成会场清洁，收撤杯具、烟盅，并清洗、消毒后放回原处；收纳台裙台布；桌椅归位，关闭空调、照明、音响设备及门窗。</w:t>
            </w:r>
          </w:p>
        </w:tc>
        <w:tc>
          <w:tcPr>
            <w:tcW w:w="585" w:type="dxa"/>
            <w:vAlign w:val="center"/>
          </w:tcPr>
          <w:p w14:paraId="7B02EF85">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3225" w:type="dxa"/>
            <w:vAlign w:val="center"/>
          </w:tcPr>
          <w:p w14:paraId="390EA5C3">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发现一处不合格扣0.5分</w:t>
            </w:r>
          </w:p>
        </w:tc>
        <w:tc>
          <w:tcPr>
            <w:tcW w:w="775" w:type="dxa"/>
            <w:vAlign w:val="center"/>
          </w:tcPr>
          <w:p w14:paraId="17088B09">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552D0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863" w:type="dxa"/>
            <w:vMerge w:val="continue"/>
            <w:vAlign w:val="center"/>
          </w:tcPr>
          <w:p w14:paraId="1658837E">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6A44D574">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5.会议人员要服装整齐大方，仪容仪表符合规范，精神面貌佳，安排专人到场监督会务服务工作，巡查会议室准备情况和会议期间的需求情况。</w:t>
            </w:r>
          </w:p>
        </w:tc>
        <w:tc>
          <w:tcPr>
            <w:tcW w:w="585" w:type="dxa"/>
            <w:vAlign w:val="center"/>
          </w:tcPr>
          <w:p w14:paraId="48AA4977">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3225" w:type="dxa"/>
            <w:vAlign w:val="center"/>
          </w:tcPr>
          <w:p w14:paraId="0D44E738">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发现一处不合格扣0.5分</w:t>
            </w:r>
          </w:p>
        </w:tc>
        <w:tc>
          <w:tcPr>
            <w:tcW w:w="775" w:type="dxa"/>
            <w:vAlign w:val="center"/>
          </w:tcPr>
          <w:p w14:paraId="4BE6000B">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49E32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863" w:type="dxa"/>
            <w:vMerge w:val="continue"/>
            <w:vAlign w:val="center"/>
          </w:tcPr>
          <w:p w14:paraId="6C78550A">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06901604">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6.做好会议室用电设备节能检查，避免用电设备长时间无效耗能。</w:t>
            </w:r>
          </w:p>
        </w:tc>
        <w:tc>
          <w:tcPr>
            <w:tcW w:w="585" w:type="dxa"/>
            <w:vAlign w:val="center"/>
          </w:tcPr>
          <w:p w14:paraId="39E47892">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p>
        </w:tc>
        <w:tc>
          <w:tcPr>
            <w:tcW w:w="3225" w:type="dxa"/>
            <w:vAlign w:val="center"/>
          </w:tcPr>
          <w:p w14:paraId="7628695D">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发现一次不合格扣0.5分</w:t>
            </w:r>
          </w:p>
        </w:tc>
        <w:tc>
          <w:tcPr>
            <w:tcW w:w="775" w:type="dxa"/>
            <w:vAlign w:val="center"/>
          </w:tcPr>
          <w:p w14:paraId="66EEF846">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748E8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jc w:val="center"/>
        </w:trPr>
        <w:tc>
          <w:tcPr>
            <w:tcW w:w="863" w:type="dxa"/>
            <w:vMerge w:val="continue"/>
            <w:vAlign w:val="center"/>
          </w:tcPr>
          <w:p w14:paraId="78B0FE8A">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6AD80D2C">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7.做好会议家具保管、维护、有序存放，存放点做好消防安全检查工作。</w:t>
            </w:r>
          </w:p>
        </w:tc>
        <w:tc>
          <w:tcPr>
            <w:tcW w:w="585" w:type="dxa"/>
            <w:vAlign w:val="center"/>
          </w:tcPr>
          <w:p w14:paraId="37FB9CEF">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p>
        </w:tc>
        <w:tc>
          <w:tcPr>
            <w:tcW w:w="3225" w:type="dxa"/>
            <w:vAlign w:val="center"/>
          </w:tcPr>
          <w:p w14:paraId="2B928C26">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1）因保管、维护、存放不当导致损坏，发现1件扣0.5分；</w:t>
            </w:r>
          </w:p>
          <w:p w14:paraId="7D252775">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2）阻塞消防通道或消防设备不齐全扣1分。</w:t>
            </w:r>
          </w:p>
        </w:tc>
        <w:tc>
          <w:tcPr>
            <w:tcW w:w="775" w:type="dxa"/>
            <w:vAlign w:val="center"/>
          </w:tcPr>
          <w:p w14:paraId="0C23116F">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75033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863" w:type="dxa"/>
            <w:vMerge w:val="restart"/>
            <w:vAlign w:val="center"/>
          </w:tcPr>
          <w:p w14:paraId="72B43AAA">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）绿化养护工作（分值</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分）</w:t>
            </w:r>
          </w:p>
        </w:tc>
        <w:tc>
          <w:tcPr>
            <w:tcW w:w="4115" w:type="dxa"/>
            <w:vAlign w:val="center"/>
          </w:tcPr>
          <w:p w14:paraId="71C03A85">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1.绿植养护用水设备采用节水型设备，避免水资源浪费。</w:t>
            </w:r>
          </w:p>
        </w:tc>
        <w:tc>
          <w:tcPr>
            <w:tcW w:w="585" w:type="dxa"/>
            <w:vAlign w:val="center"/>
          </w:tcPr>
          <w:p w14:paraId="1AECA562">
            <w:pPr>
              <w:adjustRightInd w:val="0"/>
              <w:snapToGrid w:val="0"/>
              <w:spacing w:line="240" w:lineRule="atLeas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225" w:type="dxa"/>
            <w:vAlign w:val="center"/>
          </w:tcPr>
          <w:p w14:paraId="2A52F54D">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发现一次不合格扣0.5分</w:t>
            </w:r>
          </w:p>
        </w:tc>
        <w:tc>
          <w:tcPr>
            <w:tcW w:w="775" w:type="dxa"/>
            <w:vAlign w:val="center"/>
          </w:tcPr>
          <w:p w14:paraId="04611D44">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0585E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jc w:val="center"/>
        </w:trPr>
        <w:tc>
          <w:tcPr>
            <w:tcW w:w="863" w:type="dxa"/>
            <w:vMerge w:val="continue"/>
            <w:vAlign w:val="center"/>
          </w:tcPr>
          <w:p w14:paraId="2CC56709">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0458E9D8">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2.植物处于最佳观赏期，生长良好，葱绿茂盛，形态美观，叶面清洁无灰尘，无病害，无枯叶、残花等现象。</w:t>
            </w:r>
          </w:p>
        </w:tc>
        <w:tc>
          <w:tcPr>
            <w:tcW w:w="585" w:type="dxa"/>
            <w:vAlign w:val="center"/>
          </w:tcPr>
          <w:p w14:paraId="38C4ABA2">
            <w:pPr>
              <w:adjustRightInd w:val="0"/>
              <w:snapToGrid w:val="0"/>
              <w:spacing w:line="240" w:lineRule="atLeas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225" w:type="dxa"/>
            <w:vAlign w:val="center"/>
          </w:tcPr>
          <w:p w14:paraId="0C477EB3">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发现一处不合格扣0.5分</w:t>
            </w:r>
          </w:p>
        </w:tc>
        <w:tc>
          <w:tcPr>
            <w:tcW w:w="775" w:type="dxa"/>
            <w:vAlign w:val="center"/>
          </w:tcPr>
          <w:p w14:paraId="5D9DF78D">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360F9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9" w:hRule="atLeast"/>
          <w:jc w:val="center"/>
        </w:trPr>
        <w:tc>
          <w:tcPr>
            <w:tcW w:w="863" w:type="dxa"/>
            <w:vMerge w:val="continue"/>
            <w:vAlign w:val="center"/>
          </w:tcPr>
          <w:p w14:paraId="2B574D71">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7794B3ED">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3.定期防治病虫害，发现病虫害要及时采取有效措施防治，不要让其蔓延扩大；及时修剪枯病枝、伤害枝等，喷药时，要先行小量喷施试验后才大量试用，做到既除病虫害又保证花卉生长不受害。</w:t>
            </w:r>
          </w:p>
        </w:tc>
        <w:tc>
          <w:tcPr>
            <w:tcW w:w="585" w:type="dxa"/>
            <w:vAlign w:val="center"/>
          </w:tcPr>
          <w:p w14:paraId="5B3C31D0">
            <w:pPr>
              <w:adjustRightInd w:val="0"/>
              <w:snapToGrid w:val="0"/>
              <w:spacing w:line="240" w:lineRule="atLeas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225" w:type="dxa"/>
            <w:vAlign w:val="center"/>
          </w:tcPr>
          <w:p w14:paraId="11ACC00B">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发现一处不合格扣0.5分</w:t>
            </w:r>
          </w:p>
        </w:tc>
        <w:tc>
          <w:tcPr>
            <w:tcW w:w="775" w:type="dxa"/>
            <w:vAlign w:val="center"/>
          </w:tcPr>
          <w:p w14:paraId="25B83B63">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27179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jc w:val="center"/>
        </w:trPr>
        <w:tc>
          <w:tcPr>
            <w:tcW w:w="863" w:type="dxa"/>
            <w:vMerge w:val="continue"/>
            <w:vAlign w:val="center"/>
          </w:tcPr>
          <w:p w14:paraId="054822DE">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3E7CB8E2">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4.要做好养护登记表，并挂在植物不显眼的位置上，填写好植物的名称、摆放和更换时间、养护内容和时间等资料。</w:t>
            </w:r>
          </w:p>
        </w:tc>
        <w:tc>
          <w:tcPr>
            <w:tcW w:w="585" w:type="dxa"/>
            <w:vAlign w:val="center"/>
          </w:tcPr>
          <w:p w14:paraId="53E05E6E">
            <w:pPr>
              <w:adjustRightInd w:val="0"/>
              <w:snapToGrid w:val="0"/>
              <w:spacing w:line="240" w:lineRule="atLeas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225" w:type="dxa"/>
            <w:vAlign w:val="center"/>
          </w:tcPr>
          <w:p w14:paraId="2AFF2AE5">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发现一处不合格扣0.5分</w:t>
            </w:r>
          </w:p>
        </w:tc>
        <w:tc>
          <w:tcPr>
            <w:tcW w:w="775" w:type="dxa"/>
            <w:vAlign w:val="center"/>
          </w:tcPr>
          <w:p w14:paraId="25E474C5">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2CC0B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5" w:hRule="atLeast"/>
          <w:jc w:val="center"/>
        </w:trPr>
        <w:tc>
          <w:tcPr>
            <w:tcW w:w="863" w:type="dxa"/>
            <w:vMerge w:val="continue"/>
            <w:vAlign w:val="center"/>
          </w:tcPr>
          <w:p w14:paraId="4CD9CC6D">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3626AF9A">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5.做好补植工作。及时清理死苗、死树，在两周内补植回原来的苗和树，成活率95%以上。</w:t>
            </w:r>
          </w:p>
        </w:tc>
        <w:tc>
          <w:tcPr>
            <w:tcW w:w="585" w:type="dxa"/>
            <w:vAlign w:val="center"/>
          </w:tcPr>
          <w:p w14:paraId="7BB4F740">
            <w:pPr>
              <w:adjustRightInd w:val="0"/>
              <w:snapToGrid w:val="0"/>
              <w:spacing w:line="240" w:lineRule="atLeas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225" w:type="dxa"/>
            <w:vAlign w:val="center"/>
          </w:tcPr>
          <w:p w14:paraId="6F07F5C8">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发现一处不合格扣0.5分</w:t>
            </w:r>
          </w:p>
        </w:tc>
        <w:tc>
          <w:tcPr>
            <w:tcW w:w="775" w:type="dxa"/>
            <w:vAlign w:val="center"/>
          </w:tcPr>
          <w:p w14:paraId="613E037D">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031BD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863" w:type="dxa"/>
            <w:vMerge w:val="continue"/>
            <w:vAlign w:val="center"/>
          </w:tcPr>
          <w:p w14:paraId="301F2098">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11551348">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6.植物搭配要有艺术性且符合现场摆放需求，保持植物干净整洁，无脏物。</w:t>
            </w:r>
          </w:p>
        </w:tc>
        <w:tc>
          <w:tcPr>
            <w:tcW w:w="585" w:type="dxa"/>
            <w:vAlign w:val="center"/>
          </w:tcPr>
          <w:p w14:paraId="0624D4AB">
            <w:pPr>
              <w:adjustRightInd w:val="0"/>
              <w:snapToGrid w:val="0"/>
              <w:spacing w:line="240" w:lineRule="atLeas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225" w:type="dxa"/>
            <w:vAlign w:val="center"/>
          </w:tcPr>
          <w:p w14:paraId="7FE90D2D">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发现一处不合格扣0.5分</w:t>
            </w:r>
          </w:p>
        </w:tc>
        <w:tc>
          <w:tcPr>
            <w:tcW w:w="775" w:type="dxa"/>
            <w:vAlign w:val="center"/>
          </w:tcPr>
          <w:p w14:paraId="63BDFED2">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5EAA6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6" w:hRule="atLeast"/>
          <w:jc w:val="center"/>
        </w:trPr>
        <w:tc>
          <w:tcPr>
            <w:tcW w:w="863" w:type="dxa"/>
            <w:vAlign w:val="center"/>
          </w:tcPr>
          <w:p w14:paraId="469E5D4D">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）突发事件处理（分值5分）</w:t>
            </w:r>
          </w:p>
        </w:tc>
        <w:tc>
          <w:tcPr>
            <w:tcW w:w="4115" w:type="dxa"/>
            <w:vAlign w:val="center"/>
          </w:tcPr>
          <w:p w14:paraId="00B005E4">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1.处理客服、会务、天气引起的环境保洁工作及其他突发事件。</w:t>
            </w:r>
          </w:p>
        </w:tc>
        <w:tc>
          <w:tcPr>
            <w:tcW w:w="585" w:type="dxa"/>
            <w:vAlign w:val="center"/>
          </w:tcPr>
          <w:p w14:paraId="769754D1">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p>
        </w:tc>
        <w:tc>
          <w:tcPr>
            <w:tcW w:w="3225" w:type="dxa"/>
            <w:vAlign w:val="center"/>
          </w:tcPr>
          <w:p w14:paraId="0187D83A">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处理不到位每次扣0.5分，因物业管理不善造成重大恶劣影响的一次扣5分。</w:t>
            </w:r>
          </w:p>
        </w:tc>
        <w:tc>
          <w:tcPr>
            <w:tcW w:w="775" w:type="dxa"/>
            <w:vAlign w:val="center"/>
          </w:tcPr>
          <w:p w14:paraId="07F69E22">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6579F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7" w:hRule="atLeast"/>
          <w:jc w:val="center"/>
        </w:trPr>
        <w:tc>
          <w:tcPr>
            <w:tcW w:w="863" w:type="dxa"/>
            <w:vMerge w:val="restart"/>
            <w:vAlign w:val="center"/>
          </w:tcPr>
          <w:p w14:paraId="7F6821C2">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w:t>
            </w:r>
          </w:p>
          <w:p w14:paraId="055FE02F">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日常巡检落实情况（分值30分）</w:t>
            </w:r>
          </w:p>
        </w:tc>
        <w:tc>
          <w:tcPr>
            <w:tcW w:w="4115" w:type="dxa"/>
            <w:vAlign w:val="center"/>
          </w:tcPr>
          <w:p w14:paraId="1A2D12C1">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严格按照招标文件及合同要求，按章开展设施设备巡查工作，对建筑本体公共部分、供水、供电、会议系统、消防系统、电梯系统、空调、智能化系统、安防系统、节能监管平台等进行定期巡检，分项做好巡查记录和建立专项档案备查。</w:t>
            </w:r>
          </w:p>
        </w:tc>
        <w:tc>
          <w:tcPr>
            <w:tcW w:w="585" w:type="dxa"/>
            <w:vAlign w:val="center"/>
          </w:tcPr>
          <w:p w14:paraId="1FD62217">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p>
        </w:tc>
        <w:tc>
          <w:tcPr>
            <w:tcW w:w="3225" w:type="dxa"/>
            <w:vAlign w:val="center"/>
          </w:tcPr>
          <w:p w14:paraId="11E074C6">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1）未按规定巡检、记录或档案不完善的，每次扣1分；</w:t>
            </w:r>
          </w:p>
          <w:p w14:paraId="4722D7FC">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2）应当通过巡检发现建筑物存在的问题或设备故障而未及时发现，根据影响程度，每次扣1分或2分。</w:t>
            </w:r>
          </w:p>
        </w:tc>
        <w:tc>
          <w:tcPr>
            <w:tcW w:w="775" w:type="dxa"/>
            <w:vAlign w:val="center"/>
          </w:tcPr>
          <w:p w14:paraId="74AC6FFC">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06D5B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3" w:hRule="atLeast"/>
          <w:jc w:val="center"/>
        </w:trPr>
        <w:tc>
          <w:tcPr>
            <w:tcW w:w="863" w:type="dxa"/>
            <w:vMerge w:val="continue"/>
            <w:vAlign w:val="center"/>
          </w:tcPr>
          <w:p w14:paraId="111F2770">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p>
        </w:tc>
        <w:tc>
          <w:tcPr>
            <w:tcW w:w="4115" w:type="dxa"/>
            <w:vAlign w:val="center"/>
          </w:tcPr>
          <w:p w14:paraId="300E3E27">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日常巡检中发现的问题或设备故障，按照合同要求做好维修或上报工作，跟踪并记录修复整个流程，建立档案备查。建立设施设备的备件管理制度，使用由招标人购买的备件前须征得物管考核小组批同意，使用后做好相关登记。</w:t>
            </w:r>
          </w:p>
        </w:tc>
        <w:tc>
          <w:tcPr>
            <w:tcW w:w="585" w:type="dxa"/>
            <w:vAlign w:val="center"/>
          </w:tcPr>
          <w:p w14:paraId="6474C143">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p>
        </w:tc>
        <w:tc>
          <w:tcPr>
            <w:tcW w:w="3225" w:type="dxa"/>
            <w:vAlign w:val="center"/>
          </w:tcPr>
          <w:p w14:paraId="436993B9">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1）巡检中发现建筑物存在问题或设备故障，应当上报但未及时上报的，每次扣1分；</w:t>
            </w:r>
          </w:p>
          <w:p w14:paraId="2BC48BDC">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2）未建立设备维修维护台账的，每次扣1分；</w:t>
            </w:r>
          </w:p>
          <w:p w14:paraId="55AE4B44">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3）不按规定使用备件或未建立备件使用台账的，每次1分。</w:t>
            </w:r>
          </w:p>
        </w:tc>
        <w:tc>
          <w:tcPr>
            <w:tcW w:w="775" w:type="dxa"/>
            <w:vAlign w:val="center"/>
          </w:tcPr>
          <w:p w14:paraId="0943A2AB">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6A8FE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2" w:hRule="atLeast"/>
          <w:jc w:val="center"/>
        </w:trPr>
        <w:tc>
          <w:tcPr>
            <w:tcW w:w="863" w:type="dxa"/>
            <w:vMerge w:val="continue"/>
            <w:vAlign w:val="center"/>
          </w:tcPr>
          <w:p w14:paraId="23F5508D">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p>
        </w:tc>
        <w:tc>
          <w:tcPr>
            <w:tcW w:w="4115" w:type="dxa"/>
            <w:vAlign w:val="center"/>
          </w:tcPr>
          <w:p w14:paraId="36D43052">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3.按合同要求配备技术人员和岗位，每月20号前提供当月人员名册和岗位情况。遵守岗位职责，不得无故缺勤。</w:t>
            </w:r>
          </w:p>
        </w:tc>
        <w:tc>
          <w:tcPr>
            <w:tcW w:w="585" w:type="dxa"/>
            <w:vAlign w:val="center"/>
          </w:tcPr>
          <w:p w14:paraId="56C9E0E2">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p>
        </w:tc>
        <w:tc>
          <w:tcPr>
            <w:tcW w:w="3225" w:type="dxa"/>
            <w:vAlign w:val="center"/>
          </w:tcPr>
          <w:p w14:paraId="3B00494D">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1）20号前未按合同配备人员和岗位的，缺1人（岗位）扣0.5分；</w:t>
            </w:r>
          </w:p>
          <w:p w14:paraId="4C1D7AFF">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2）发现一次无故缺勤，一次扣2分，因缺勤导致严重后果一次扣5分。</w:t>
            </w:r>
          </w:p>
        </w:tc>
        <w:tc>
          <w:tcPr>
            <w:tcW w:w="775" w:type="dxa"/>
            <w:vAlign w:val="center"/>
          </w:tcPr>
          <w:p w14:paraId="6B392D46">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6C7E8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7" w:hRule="atLeast"/>
          <w:jc w:val="center"/>
        </w:trPr>
        <w:tc>
          <w:tcPr>
            <w:tcW w:w="863" w:type="dxa"/>
            <w:vMerge w:val="continue"/>
            <w:vAlign w:val="center"/>
          </w:tcPr>
          <w:p w14:paraId="1DF8B505">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p>
        </w:tc>
        <w:tc>
          <w:tcPr>
            <w:tcW w:w="4115" w:type="dxa"/>
            <w:vAlign w:val="center"/>
          </w:tcPr>
          <w:p w14:paraId="784D707B">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4.疫情期间，按防疫要求对空调滤网进行清理，保证测温仪、空气净化器等防疫设备正常运行，并做好相关登记。</w:t>
            </w:r>
          </w:p>
        </w:tc>
        <w:tc>
          <w:tcPr>
            <w:tcW w:w="585" w:type="dxa"/>
            <w:vAlign w:val="center"/>
          </w:tcPr>
          <w:p w14:paraId="2C93163A">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p>
        </w:tc>
        <w:tc>
          <w:tcPr>
            <w:tcW w:w="3225" w:type="dxa"/>
            <w:vAlign w:val="center"/>
          </w:tcPr>
          <w:p w14:paraId="462093CE">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1）巡检中发现防疫设备存在问题或防疫设备故障，应当上报但未及时上报的，每次扣1分；</w:t>
            </w:r>
          </w:p>
          <w:p w14:paraId="0B0F0529">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2）未建立防疫设备维修维护台账的，每次扣1分。</w:t>
            </w:r>
          </w:p>
        </w:tc>
        <w:tc>
          <w:tcPr>
            <w:tcW w:w="775" w:type="dxa"/>
            <w:vAlign w:val="center"/>
          </w:tcPr>
          <w:p w14:paraId="57F3A969">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7FEB0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3" w:hRule="atLeast"/>
          <w:jc w:val="center"/>
        </w:trPr>
        <w:tc>
          <w:tcPr>
            <w:tcW w:w="863" w:type="dxa"/>
            <w:vMerge w:val="continue"/>
            <w:vAlign w:val="center"/>
          </w:tcPr>
          <w:p w14:paraId="187A3A1B">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p>
        </w:tc>
        <w:tc>
          <w:tcPr>
            <w:tcW w:w="4115" w:type="dxa"/>
            <w:vAlign w:val="center"/>
          </w:tcPr>
          <w:p w14:paraId="112CF520">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按《安全生产监督管理重点项目台账》和《安全隐患排查整治台账》进行重点巡查，并建立巡查台账。其中《安全生产监督管理重点项目台账》中的项目每月至少检查3次；《安全隐患排查整治台账》中的风险点，对一级风险点实行每天巡查一次、二级风险点实行每周巡查一次、三级风险点实行每月巡查一次。</w:t>
            </w:r>
          </w:p>
        </w:tc>
        <w:tc>
          <w:tcPr>
            <w:tcW w:w="585" w:type="dxa"/>
            <w:vAlign w:val="center"/>
          </w:tcPr>
          <w:p w14:paraId="4FD3311D">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p>
        </w:tc>
        <w:tc>
          <w:tcPr>
            <w:tcW w:w="3225" w:type="dxa"/>
            <w:vAlign w:val="center"/>
          </w:tcPr>
          <w:p w14:paraId="7D29E03C">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1）未按要求进行巡查并建立台账的，每次扣1分；</w:t>
            </w:r>
          </w:p>
          <w:p w14:paraId="7D18BB0C">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2)巡检中发现由物业进行维修的，未按时做处理的，每次扣1分；</w:t>
            </w:r>
          </w:p>
          <w:p w14:paraId="378A7CC7">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3)巡检中发现不在物业物业维修范围的，但未做好应急措施的，每次扣1分。</w:t>
            </w:r>
          </w:p>
        </w:tc>
        <w:tc>
          <w:tcPr>
            <w:tcW w:w="775" w:type="dxa"/>
            <w:vAlign w:val="center"/>
          </w:tcPr>
          <w:p w14:paraId="75736F16">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7ADC8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4" w:hRule="atLeast"/>
          <w:jc w:val="center"/>
        </w:trPr>
        <w:tc>
          <w:tcPr>
            <w:tcW w:w="863" w:type="dxa"/>
            <w:vAlign w:val="center"/>
          </w:tcPr>
          <w:p w14:paraId="6279E1A7">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lang w:eastAsia="zh-CN"/>
              </w:rPr>
              <w:t>）日常维保落实情况（分值10分）</w:t>
            </w:r>
          </w:p>
        </w:tc>
        <w:tc>
          <w:tcPr>
            <w:tcW w:w="4115" w:type="dxa"/>
            <w:vAlign w:val="center"/>
          </w:tcPr>
          <w:p w14:paraId="26E9D912">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所有设施设备的各项档案齐全完备，管理制度健全，做好维保工作计划，跟踪维保整个流程，建立档案备查。针对专业性较强的设备，如空调系统、消防系统、高压配电系统、智能化系统（包括门禁、监控、车场管理等系统）、外墙景观照明系统、电梯系统等，由具有相关资质的专业公司进行维保，监督维保公司严格按照合同要求，定期对设施设备进行维保工作，分项做好维保记录和建立专项档案备查。</w:t>
            </w:r>
          </w:p>
        </w:tc>
        <w:tc>
          <w:tcPr>
            <w:tcW w:w="585" w:type="dxa"/>
            <w:vAlign w:val="center"/>
          </w:tcPr>
          <w:p w14:paraId="49FEE897">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p>
        </w:tc>
        <w:tc>
          <w:tcPr>
            <w:tcW w:w="3225" w:type="dxa"/>
            <w:vAlign w:val="center"/>
          </w:tcPr>
          <w:p w14:paraId="36FA09BB">
            <w:pPr>
              <w:numPr>
                <w:ilvl w:val="0"/>
                <w:numId w:val="28"/>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发现空调主机、消防、供水、供电、电梯系统有1次不按规定维保扣3分；</w:t>
            </w:r>
          </w:p>
          <w:p w14:paraId="43C65290">
            <w:pPr>
              <w:numPr>
                <w:ilvl w:val="0"/>
                <w:numId w:val="28"/>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发现、智能化系统有1次不按规定维保扣2分；</w:t>
            </w:r>
          </w:p>
          <w:p w14:paraId="139A8846">
            <w:pPr>
              <w:numPr>
                <w:ilvl w:val="0"/>
                <w:numId w:val="28"/>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发现其他设施设备有1次不按规定维保扣1分；</w:t>
            </w:r>
          </w:p>
          <w:p w14:paraId="226BEE17">
            <w:pPr>
              <w:numPr>
                <w:ilvl w:val="0"/>
                <w:numId w:val="28"/>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所有设施设备由于不按规定维保造成较大影响或较大故障的1次扣5分，造成恶劣影响或重大故障的1次扣10分；</w:t>
            </w:r>
          </w:p>
          <w:p w14:paraId="327A06E3">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5）维保档案不完善，每发现一处扣1分。</w:t>
            </w:r>
          </w:p>
        </w:tc>
        <w:tc>
          <w:tcPr>
            <w:tcW w:w="775" w:type="dxa"/>
            <w:vAlign w:val="center"/>
          </w:tcPr>
          <w:p w14:paraId="2F0155F8">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46DD0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63" w:type="dxa"/>
            <w:vMerge w:val="restart"/>
            <w:vAlign w:val="center"/>
          </w:tcPr>
          <w:p w14:paraId="69AFA28F">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lang w:eastAsia="zh-CN"/>
              </w:rPr>
              <w:t>）服务响应时间（分值15分）</w:t>
            </w:r>
          </w:p>
        </w:tc>
        <w:tc>
          <w:tcPr>
            <w:tcW w:w="4115" w:type="dxa"/>
            <w:vAlign w:val="center"/>
          </w:tcPr>
          <w:p w14:paraId="2F31432F">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1.收到设施设备报修信息后，技术人员到达现场处理故障的响应时间一般不超过15分钟，电梯、消防、空调、电力、智能化等设备响应时间不超过5分钟。</w:t>
            </w:r>
          </w:p>
        </w:tc>
        <w:tc>
          <w:tcPr>
            <w:tcW w:w="585" w:type="dxa"/>
            <w:vAlign w:val="center"/>
          </w:tcPr>
          <w:p w14:paraId="0648EEC8">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p>
        </w:tc>
        <w:tc>
          <w:tcPr>
            <w:tcW w:w="3225" w:type="dxa"/>
            <w:vAlign w:val="center"/>
          </w:tcPr>
          <w:p w14:paraId="790CF193">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次故障按照技术人员响应时间进行扣分，超过响应时间未响应但在1小时以内响应的扣0.5分，超过1小时未响应但24小时内响应的扣2分，24小时以上没有响应的扣3分，由于没有响应造成较大影响或较大故障的1次扣5分，造成恶劣影响或重大故障的扣10分。</w:t>
            </w:r>
          </w:p>
        </w:tc>
        <w:tc>
          <w:tcPr>
            <w:tcW w:w="775" w:type="dxa"/>
            <w:vAlign w:val="center"/>
          </w:tcPr>
          <w:p w14:paraId="390BF65A">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01E81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9" w:hRule="atLeast"/>
          <w:jc w:val="center"/>
        </w:trPr>
        <w:tc>
          <w:tcPr>
            <w:tcW w:w="863" w:type="dxa"/>
            <w:vMerge w:val="continue"/>
            <w:vAlign w:val="center"/>
          </w:tcPr>
          <w:p w14:paraId="5FCAD6EF">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25BCE843">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2.接到会议通知后，10分钟内响应设备使用人需求，按照要求布置会场；检查会场内灯光、音响、视频投影、空调等设备状况；会议期间至少保证有1名会议音控技术员全程跟进，确保会议顺利进行。</w:t>
            </w:r>
          </w:p>
        </w:tc>
        <w:tc>
          <w:tcPr>
            <w:tcW w:w="585" w:type="dxa"/>
            <w:vAlign w:val="center"/>
          </w:tcPr>
          <w:p w14:paraId="5818A3C5">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p>
        </w:tc>
        <w:tc>
          <w:tcPr>
            <w:tcW w:w="3225" w:type="dxa"/>
            <w:vAlign w:val="center"/>
          </w:tcPr>
          <w:p w14:paraId="0858EC4D">
            <w:pPr>
              <w:numPr>
                <w:ilvl w:val="0"/>
                <w:numId w:val="29"/>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发现人员响应不及时，一次扣1分；</w:t>
            </w:r>
          </w:p>
          <w:p w14:paraId="134FE9D3">
            <w:pPr>
              <w:numPr>
                <w:ilvl w:val="0"/>
                <w:numId w:val="29"/>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发现会议期间没有音控人员跟进的，一次扣2分。</w:t>
            </w:r>
          </w:p>
        </w:tc>
        <w:tc>
          <w:tcPr>
            <w:tcW w:w="775" w:type="dxa"/>
            <w:vAlign w:val="center"/>
          </w:tcPr>
          <w:p w14:paraId="43FC48B5">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66003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1" w:hRule="atLeast"/>
          <w:jc w:val="center"/>
        </w:trPr>
        <w:tc>
          <w:tcPr>
            <w:tcW w:w="863" w:type="dxa"/>
            <w:vAlign w:val="center"/>
          </w:tcPr>
          <w:p w14:paraId="15099584">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lang w:eastAsia="zh-CN"/>
              </w:rPr>
              <w:t>）</w:t>
            </w:r>
          </w:p>
          <w:p w14:paraId="35FA035C">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故障应急处理（分值10分）</w:t>
            </w:r>
          </w:p>
        </w:tc>
        <w:tc>
          <w:tcPr>
            <w:tcW w:w="4115" w:type="dxa"/>
            <w:vAlign w:val="center"/>
          </w:tcPr>
          <w:p w14:paraId="2B372A08">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各项设施设备建立健全的故障应急管理制度并严格执行。故障发生后，设备责任人须迅速到场了解故障原因和影响，做好现场温馨提醒及受影响单位的解释工作，及时上报故障状况及抢修进展情况，加强与设备厂家（供应商或承建单位）的联系和沟通，尽快解决抢修过程中遇到的技术难题，并做好相关应急处置记录，建立档案备查。</w:t>
            </w:r>
          </w:p>
        </w:tc>
        <w:tc>
          <w:tcPr>
            <w:tcW w:w="585" w:type="dxa"/>
            <w:vAlign w:val="center"/>
          </w:tcPr>
          <w:p w14:paraId="3EBCFFB8">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p>
        </w:tc>
        <w:tc>
          <w:tcPr>
            <w:tcW w:w="3225" w:type="dxa"/>
            <w:vAlign w:val="center"/>
          </w:tcPr>
          <w:p w14:paraId="10135928">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发现处理不及时、没有及时上报的，每次扣1分，由于未做任何应急处理措施造成较大影响或较大故障的1次扣5分，造成恶劣影响或重大故障的扣10分。</w:t>
            </w:r>
          </w:p>
        </w:tc>
        <w:tc>
          <w:tcPr>
            <w:tcW w:w="775" w:type="dxa"/>
            <w:vAlign w:val="center"/>
          </w:tcPr>
          <w:p w14:paraId="49DD2984">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72072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5" w:hRule="atLeast"/>
          <w:jc w:val="center"/>
        </w:trPr>
        <w:tc>
          <w:tcPr>
            <w:tcW w:w="863" w:type="dxa"/>
            <w:vAlign w:val="center"/>
          </w:tcPr>
          <w:p w14:paraId="42FFFCD7">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w:t>
            </w:r>
          </w:p>
          <w:p w14:paraId="118BCA48">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投诉及处理（分值15分）</w:t>
            </w:r>
          </w:p>
        </w:tc>
        <w:tc>
          <w:tcPr>
            <w:tcW w:w="4115" w:type="dxa"/>
            <w:vAlign w:val="center"/>
          </w:tcPr>
          <w:p w14:paraId="5321C047">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及时处理服务对象提出设施设备存在问题，有规范的处置流程，并及时告知处理结果，不得以任何借口推诿、拖延和拒绝。能够即时处理的即时处理，不能即时处理的做好解释工作，并即时上报。做好相关处置记录，建立档案备查。</w:t>
            </w:r>
          </w:p>
        </w:tc>
        <w:tc>
          <w:tcPr>
            <w:tcW w:w="585" w:type="dxa"/>
            <w:vAlign w:val="center"/>
          </w:tcPr>
          <w:p w14:paraId="03077438">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w:t>
            </w:r>
          </w:p>
        </w:tc>
        <w:tc>
          <w:tcPr>
            <w:tcW w:w="3225" w:type="dxa"/>
            <w:vAlign w:val="center"/>
          </w:tcPr>
          <w:p w14:paraId="71869A3E">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发现没有及时处理投诉或没有及时上报处理情况的，每次扣0.5分，因未及时处理投诉导致投诉人向有关行政管理部门投诉的，每次扣1分，由于没有处理造成恶劣影响或重大故障的扣15分。</w:t>
            </w:r>
          </w:p>
        </w:tc>
        <w:tc>
          <w:tcPr>
            <w:tcW w:w="775" w:type="dxa"/>
            <w:vAlign w:val="center"/>
          </w:tcPr>
          <w:p w14:paraId="49EA4BCA">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108F0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0" w:hRule="atLeast"/>
          <w:jc w:val="center"/>
        </w:trPr>
        <w:tc>
          <w:tcPr>
            <w:tcW w:w="863" w:type="dxa"/>
            <w:vAlign w:val="center"/>
          </w:tcPr>
          <w:p w14:paraId="4898EE34">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）设备完好情况（分值20分）</w:t>
            </w:r>
          </w:p>
        </w:tc>
        <w:tc>
          <w:tcPr>
            <w:tcW w:w="4115" w:type="dxa"/>
            <w:vAlign w:val="center"/>
          </w:tcPr>
          <w:p w14:paraId="04AF597C">
            <w:pPr>
              <w:adjustRightInd w:val="0"/>
              <w:snapToGrid w:val="0"/>
              <w:spacing w:line="240" w:lineRule="atLeast"/>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合同规定属于物业公司维修范围的项目需及时维修，重大故障（指直接影响服务质量，对服务对象造成明显影响的故障维修）需即时上报，并在约定的期限内完成维修；一般设施设备故障维修时间应不超过24小时。</w:t>
            </w:r>
          </w:p>
        </w:tc>
        <w:tc>
          <w:tcPr>
            <w:tcW w:w="585" w:type="dxa"/>
            <w:vAlign w:val="center"/>
          </w:tcPr>
          <w:p w14:paraId="47A82A11">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20</w:t>
            </w:r>
          </w:p>
          <w:p w14:paraId="3540C9CF">
            <w:pPr>
              <w:adjustRightInd w:val="0"/>
              <w:snapToGrid w:val="0"/>
              <w:spacing w:line="240" w:lineRule="atLeast"/>
              <w:ind w:firstLine="420"/>
              <w:jc w:val="center"/>
              <w:rPr>
                <w:rFonts w:hint="eastAsia" w:ascii="宋体" w:hAnsi="宋体" w:eastAsia="宋体" w:cs="宋体"/>
                <w:color w:val="auto"/>
                <w:sz w:val="21"/>
                <w:szCs w:val="21"/>
                <w:highlight w:val="none"/>
                <w:lang w:eastAsia="zh-CN"/>
              </w:rPr>
            </w:pPr>
          </w:p>
        </w:tc>
        <w:tc>
          <w:tcPr>
            <w:tcW w:w="3225" w:type="dxa"/>
            <w:vAlign w:val="center"/>
          </w:tcPr>
          <w:p w14:paraId="3ED08CCD">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（1）供配电系统</w:t>
            </w:r>
          </w:p>
          <w:p w14:paraId="0A7E54E2">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因物业管理不善引起的，影响物业使用人正常办公或经营活动，影响范围大于一间办公室或一间商铺的故障断电，抢修时间在0-4小时内的，扣0.5分/次；4-8小时，扣1分/次；8小时以上每超4小时增扣0.2分/次。 </w:t>
            </w:r>
          </w:p>
          <w:p w14:paraId="7A73D5D8">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（2）给排水系统</w:t>
            </w:r>
          </w:p>
          <w:p w14:paraId="287DE1C9">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因物业管理不善引起设备故障，造成用户端（一间办公室以上）停、用水0-4小时内的，扣0.5分/次；4-8小时，扣1分/次；超过8小时以上每超4小时增扣0.2分/次。</w:t>
            </w:r>
          </w:p>
          <w:p w14:paraId="4389EE01">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（3）电梯设备</w:t>
            </w:r>
          </w:p>
          <w:p w14:paraId="654D907C">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1)因物业管理不善引起，发生困人故障，困人时间在</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-15分钟的扣0.5分，15-30分钟的扣1分，超过30分钟每超15分钟增扣1分/次。</w:t>
            </w:r>
          </w:p>
          <w:p w14:paraId="7D1EB9F3">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2)因物业管理不善引起单台电梯停机故障，0-4小时的扣0.5分/次，4-8小时的扣1分/次，超过8小时每超4小时增扣0.2分/次。</w:t>
            </w:r>
          </w:p>
          <w:p w14:paraId="72805923">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（4）空调系统</w:t>
            </w:r>
          </w:p>
          <w:p w14:paraId="5CC131C2">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在规定正常提供服务的季节内，因物业管理不善引起设备故障而停用空调的，0-30分钟扣0.5分/次，30-60分钟的内扣1分/次，超过60分钟以后每超30分钟增扣0.2分。</w:t>
            </w:r>
          </w:p>
          <w:p w14:paraId="417FCE60">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（5）会议系统</w:t>
            </w:r>
          </w:p>
          <w:p w14:paraId="57FCF8AF">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会议期间，因物业管理不善引起设备故障，造成会议无法正常召开，扣10分/次；在非会议期间，因物业管理不善引起设备故障，0-4小时修复的扣0.5分/次，4-8小时修复的扣1分/次，超过8小时每超4小时修复的增扣0.2分。</w:t>
            </w:r>
          </w:p>
          <w:p w14:paraId="6F0A4909">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（6）照明系统</w:t>
            </w:r>
          </w:p>
          <w:p w14:paraId="7839C790">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主要道路照明，因物业管理不善引起故障造成夜间规定时间内不能开启的，扣0.5分/次，整个外围照明不能开启使用的，扣1分/次。楼内通道照明，在规定开启时间内不能使用，当天没有修复的，扣0.5分/次、层。楼内通道照明，未根据作息时间、天气变化及时开启灯具，扣0.5分/次、层。</w:t>
            </w:r>
          </w:p>
          <w:p w14:paraId="7705B950">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（7）消防系统</w:t>
            </w:r>
          </w:p>
          <w:p w14:paraId="23EAF7ED">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1)因物业管理问题引起故障，造成整个控制系统停用0—1小时的，扣2分/次，1—2小时的，扣4分/次，超过2小时每超1小时增扣0.5分/次。</w:t>
            </w:r>
          </w:p>
          <w:p w14:paraId="79265096">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2)因物业管理问题引起故障，造成消防水系统停用0—4小时的，扣0.5分/次，4—8小时间，扣1分/次，超过8小时每超4小时增扣0.2分。    </w:t>
            </w:r>
          </w:p>
          <w:p w14:paraId="4F2791F8">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（8）安保监控系统</w:t>
            </w:r>
          </w:p>
          <w:p w14:paraId="762687AD">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主要有视频监控设备、周界报警设备、门禁设备及汽车道闸设备。以上各类设备如不能使用或利用率低于90%当天无法修复时，扣0.5分/天，故障维修时间较长或备品、备件采购周期较长，中间已采取相应有效措施者，不扣分值，否则每天扣0.5分。</w:t>
            </w:r>
          </w:p>
          <w:p w14:paraId="3E86CD09">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除以上设备故障情形外，其他一般设施设备故障维修时间超过24小时，但不超过48小时的，扣0.5分或1分/次（备注：行政办事中心扣0.5分，其他区域扣1分），48小时以上每超24小时增扣0.2分或0.4分（备注：行政办事中心扣0.2分，其他区域扣0.4分）。</w:t>
            </w:r>
          </w:p>
        </w:tc>
        <w:tc>
          <w:tcPr>
            <w:tcW w:w="775" w:type="dxa"/>
            <w:vAlign w:val="center"/>
          </w:tcPr>
          <w:p w14:paraId="05EDA89E">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6DABE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1" w:hRule="atLeast"/>
          <w:jc w:val="center"/>
        </w:trPr>
        <w:tc>
          <w:tcPr>
            <w:tcW w:w="863" w:type="dxa"/>
            <w:vMerge w:val="restart"/>
            <w:vAlign w:val="bottom"/>
          </w:tcPr>
          <w:p w14:paraId="40C6EB15">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19383DC5">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251DF353">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28F4CCDE">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5E7E52A5">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78D7B7FF">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1B2CBC6B">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384C3FD3">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7FFF0CC6">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74BDA80F">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208AE771">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62EBC68E">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69A852A3">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70BF5213">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39D3B792">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69CD4812">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4229B2AC">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2F5258EA">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2F2A89BE">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1389DD68">
            <w:pPr>
              <w:adjustRightInd w:val="0"/>
              <w:snapToGrid w:val="0"/>
              <w:spacing w:line="240" w:lineRule="atLeast"/>
              <w:jc w:val="both"/>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（十</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lang w:eastAsia="zh-CN"/>
              </w:rPr>
              <w:t>）安全保卫管理（分值100分）</w:t>
            </w:r>
          </w:p>
        </w:tc>
        <w:tc>
          <w:tcPr>
            <w:tcW w:w="4115" w:type="dxa"/>
            <w:vAlign w:val="center"/>
          </w:tcPr>
          <w:p w14:paraId="4C37C451">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安全生产管理：（1）成立安全生产管理工作领导小组，制定工作方案、突发事件应急处置预案；（2）明确责任分工，各小组指定专人负责，完成任命书；（3）每月组织开展一次安全生产专题会议，各小组每月完成一次专题会议纪要；（4）对高中风险隐患点落实风险隐患点、纳入安全生产监督管理重点项目台账的项目进行安全巡查。</w:t>
            </w:r>
          </w:p>
        </w:tc>
        <w:tc>
          <w:tcPr>
            <w:tcW w:w="585" w:type="dxa"/>
            <w:vAlign w:val="center"/>
          </w:tcPr>
          <w:p w14:paraId="29B1F6BC">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p>
        </w:tc>
        <w:tc>
          <w:tcPr>
            <w:tcW w:w="3225" w:type="dxa"/>
            <w:vAlign w:val="center"/>
          </w:tcPr>
          <w:p w14:paraId="464DB488">
            <w:pPr>
              <w:numPr>
                <w:ilvl w:val="0"/>
                <w:numId w:val="30"/>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检查台账、方案、预案不齐全的，一次扣1分；</w:t>
            </w:r>
          </w:p>
          <w:p w14:paraId="6C5C8FEC">
            <w:pPr>
              <w:numPr>
                <w:ilvl w:val="0"/>
                <w:numId w:val="30"/>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没有落实专题会议、完成会议纪要的一次扣1分；</w:t>
            </w:r>
          </w:p>
          <w:p w14:paraId="1880A23B">
            <w:pPr>
              <w:numPr>
                <w:ilvl w:val="0"/>
                <w:numId w:val="30"/>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风险隐患点整改不及时的，一次扣2分，本月未落实问题整改或重复出现此类问题的，按扣分值双倍扣分，以此类推。</w:t>
            </w:r>
          </w:p>
        </w:tc>
        <w:tc>
          <w:tcPr>
            <w:tcW w:w="775" w:type="dxa"/>
            <w:vAlign w:val="center"/>
          </w:tcPr>
          <w:p w14:paraId="1921E2E8">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3FA6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8" w:hRule="atLeast"/>
          <w:jc w:val="center"/>
        </w:trPr>
        <w:tc>
          <w:tcPr>
            <w:tcW w:w="863" w:type="dxa"/>
            <w:vMerge w:val="continue"/>
            <w:vAlign w:val="center"/>
          </w:tcPr>
          <w:p w14:paraId="2EF6E852">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6A7B4335">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防疫管理：（1）制定物业公司防疫管理工作方案，异常人员应急处置操作流程；（2）制定物业公司内部员工每天体温测量登记表、离莞审批登记表、异常人员情况登记表；（3）在主要进出口、来访登记处是否设置更新宣传海报、中高风险地区名单（每周更新）；（4）岗位人员熟悉防疫操作规程情况、来访人员防疫操作流程；（5）配备医疗物资并设立临时隔离点。</w:t>
            </w:r>
          </w:p>
        </w:tc>
        <w:tc>
          <w:tcPr>
            <w:tcW w:w="585" w:type="dxa"/>
            <w:vAlign w:val="center"/>
          </w:tcPr>
          <w:p w14:paraId="758602C4">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p>
        </w:tc>
        <w:tc>
          <w:tcPr>
            <w:tcW w:w="3225" w:type="dxa"/>
            <w:vAlign w:val="center"/>
          </w:tcPr>
          <w:p w14:paraId="36003A0A">
            <w:pPr>
              <w:numPr>
                <w:ilvl w:val="0"/>
                <w:numId w:val="31"/>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相关台账不齐全的，一次扣1分；</w:t>
            </w:r>
          </w:p>
          <w:p w14:paraId="2B46AD70">
            <w:pPr>
              <w:numPr>
                <w:ilvl w:val="0"/>
                <w:numId w:val="31"/>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台账登记不完全的，一次扣1分；</w:t>
            </w:r>
          </w:p>
          <w:p w14:paraId="7D68E833">
            <w:pPr>
              <w:numPr>
                <w:ilvl w:val="0"/>
                <w:numId w:val="31"/>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防疫操作规程不熟悉的，一次扣1分；</w:t>
            </w:r>
          </w:p>
          <w:p w14:paraId="26AAA6EB">
            <w:pPr>
              <w:numPr>
                <w:ilvl w:val="0"/>
                <w:numId w:val="31"/>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没有临时隔离点的，一次扣2分；</w:t>
            </w:r>
          </w:p>
          <w:p w14:paraId="5B194731">
            <w:pPr>
              <w:numPr>
                <w:ilvl w:val="0"/>
                <w:numId w:val="31"/>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本月未落实问题整改或重复出现此类问题的，按扣分值双倍扣分，以此类推。</w:t>
            </w:r>
          </w:p>
        </w:tc>
        <w:tc>
          <w:tcPr>
            <w:tcW w:w="775" w:type="dxa"/>
            <w:vAlign w:val="center"/>
          </w:tcPr>
          <w:p w14:paraId="0277A850">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4170B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9" w:hRule="atLeast"/>
          <w:jc w:val="center"/>
        </w:trPr>
        <w:tc>
          <w:tcPr>
            <w:tcW w:w="863" w:type="dxa"/>
            <w:vMerge w:val="continue"/>
            <w:vAlign w:val="center"/>
          </w:tcPr>
          <w:p w14:paraId="3565327E">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79ADCD17">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值班管理：（1）按合同要求配备安全岗位总数（分为24小时和12小时岗位）；（2）每月20号前提供当月人员和岗位安排表，保卫科每月开展不少于1次岗位检查，检查方式取用现场或视频检阅方式实施；（3）服务主动、热情、礼貌，形象佳，着装统一规范，统一配备对讲机，无斜靠、脱帽、抽烟、聊天等不文明现象，工作时间内不得玩手机。</w:t>
            </w:r>
          </w:p>
        </w:tc>
        <w:tc>
          <w:tcPr>
            <w:tcW w:w="585" w:type="dxa"/>
            <w:vAlign w:val="center"/>
          </w:tcPr>
          <w:p w14:paraId="1DE4C7C7">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p>
        </w:tc>
        <w:tc>
          <w:tcPr>
            <w:tcW w:w="3225" w:type="dxa"/>
            <w:vAlign w:val="center"/>
          </w:tcPr>
          <w:p w14:paraId="26C0FEAC">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1）20号前未按合同配备安全岗位总数（分为24小时和12小时岗位），缺1个岗位扣0.5分；</w:t>
            </w:r>
          </w:p>
          <w:p w14:paraId="05469EFB">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2）发现安保人员抽烟、聊天、玩手机等现象，一次扣0.5分；</w:t>
            </w:r>
          </w:p>
          <w:p w14:paraId="0E37AC40">
            <w:pPr>
              <w:numPr>
                <w:ilvl w:val="0"/>
                <w:numId w:val="29"/>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本月未落实问题整改或重复出现此类问题的，按扣分值双倍扣分，以此类推。</w:t>
            </w:r>
          </w:p>
        </w:tc>
        <w:tc>
          <w:tcPr>
            <w:tcW w:w="775" w:type="dxa"/>
            <w:vAlign w:val="center"/>
          </w:tcPr>
          <w:p w14:paraId="5DCD90B4">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42DB7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63" w:type="dxa"/>
            <w:vMerge w:val="continue"/>
            <w:vAlign w:val="center"/>
          </w:tcPr>
          <w:p w14:paraId="06EF5E64">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49C93DDA">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4.来访人员管理：依照规定立岗和实施礼仪服务，对一般来访、办事人员有礼貌热情地接待询问，核实被访客人的姓名和单位，并与被访单位确认，做好记录。</w:t>
            </w:r>
          </w:p>
        </w:tc>
        <w:tc>
          <w:tcPr>
            <w:tcW w:w="585" w:type="dxa"/>
            <w:vAlign w:val="center"/>
          </w:tcPr>
          <w:p w14:paraId="70200BE1">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p>
        </w:tc>
        <w:tc>
          <w:tcPr>
            <w:tcW w:w="3225" w:type="dxa"/>
            <w:vAlign w:val="center"/>
          </w:tcPr>
          <w:p w14:paraId="51967C3E">
            <w:pPr>
              <w:numPr>
                <w:ilvl w:val="0"/>
                <w:numId w:val="32"/>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发现服务不按礼仪标准的，一次扣1分；</w:t>
            </w:r>
          </w:p>
          <w:p w14:paraId="3834EC84">
            <w:pPr>
              <w:numPr>
                <w:ilvl w:val="0"/>
                <w:numId w:val="32"/>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发现外来人员未按来访登记规定进入的一次扣3分；</w:t>
            </w:r>
          </w:p>
          <w:p w14:paraId="33A81166">
            <w:pPr>
              <w:numPr>
                <w:ilvl w:val="0"/>
                <w:numId w:val="32"/>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本月未落实问题整改或重复出现此类问题的，按扣分值双倍扣分，以此类推。发现未办理登记窜入办公区域的一次扣10分。</w:t>
            </w:r>
          </w:p>
        </w:tc>
        <w:tc>
          <w:tcPr>
            <w:tcW w:w="775" w:type="dxa"/>
            <w:vAlign w:val="center"/>
          </w:tcPr>
          <w:p w14:paraId="7A6B87F2">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0C096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4" w:hRule="atLeast"/>
          <w:jc w:val="center"/>
        </w:trPr>
        <w:tc>
          <w:tcPr>
            <w:tcW w:w="863" w:type="dxa"/>
            <w:vMerge w:val="continue"/>
            <w:vAlign w:val="center"/>
          </w:tcPr>
          <w:p w14:paraId="14618DD6">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2734B094">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5.货物进出管理：大件物品进出按规定进行必要的登记和盘查。</w:t>
            </w:r>
          </w:p>
        </w:tc>
        <w:tc>
          <w:tcPr>
            <w:tcW w:w="585" w:type="dxa"/>
            <w:vAlign w:val="center"/>
          </w:tcPr>
          <w:p w14:paraId="7F700DE3">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p>
        </w:tc>
        <w:tc>
          <w:tcPr>
            <w:tcW w:w="3225" w:type="dxa"/>
            <w:vAlign w:val="center"/>
          </w:tcPr>
          <w:p w14:paraId="1CEC5170">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发现未登记和盘查的，一次扣1分，本月未落实问题整改或重复出现此类问题的，按扣分值双倍扣分，以此类推。引发严重后果的，扣5分。</w:t>
            </w:r>
          </w:p>
        </w:tc>
        <w:tc>
          <w:tcPr>
            <w:tcW w:w="775" w:type="dxa"/>
            <w:vAlign w:val="center"/>
          </w:tcPr>
          <w:p w14:paraId="4CF1F9B6">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30ECB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3" w:hRule="atLeast"/>
          <w:jc w:val="center"/>
        </w:trPr>
        <w:tc>
          <w:tcPr>
            <w:tcW w:w="863" w:type="dxa"/>
            <w:vMerge w:val="continue"/>
            <w:vAlign w:val="center"/>
          </w:tcPr>
          <w:p w14:paraId="57BCC2A8">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24880915">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重点区域管理：在信访接待点、安检室、重点办公楼层落实专人值守，严格执行各项安全管理措施，并落实流动巡逻岗，每1小时至少巡查1次，并做好巡查记录；发现可疑人员应立即进行查问。在遇到异常情况或楼内人员紧急求助时，应在3分钟内赶到现场处理。</w:t>
            </w:r>
          </w:p>
        </w:tc>
        <w:tc>
          <w:tcPr>
            <w:tcW w:w="585" w:type="dxa"/>
            <w:vAlign w:val="center"/>
          </w:tcPr>
          <w:p w14:paraId="1C6BBF6D">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p>
        </w:tc>
        <w:tc>
          <w:tcPr>
            <w:tcW w:w="3225" w:type="dxa"/>
            <w:vAlign w:val="center"/>
          </w:tcPr>
          <w:p w14:paraId="79187BD0">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发现未按规定执行的，一次扣1分，本月未落实问题整改或重复出现此类问题的，按扣分值双倍扣分，以此类推。因未按规定执行引发一般性安全事件的，一次扣5分，引发重大事件的，一次扣10分。</w:t>
            </w:r>
          </w:p>
        </w:tc>
        <w:tc>
          <w:tcPr>
            <w:tcW w:w="775" w:type="dxa"/>
            <w:vAlign w:val="center"/>
          </w:tcPr>
          <w:p w14:paraId="3250B53D">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32433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9" w:hRule="atLeast"/>
          <w:jc w:val="center"/>
        </w:trPr>
        <w:tc>
          <w:tcPr>
            <w:tcW w:w="863" w:type="dxa"/>
            <w:vMerge w:val="continue"/>
            <w:vAlign w:val="center"/>
          </w:tcPr>
          <w:p w14:paraId="3B91B841">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3822978F">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7.应急处置：接到值班室对讲机呼叫，立即赶到现场进行处理，并向上级报告，将处理结果反馈值班室；遇紧急情况按《应急预案》执行。</w:t>
            </w:r>
          </w:p>
        </w:tc>
        <w:tc>
          <w:tcPr>
            <w:tcW w:w="585" w:type="dxa"/>
            <w:vAlign w:val="center"/>
          </w:tcPr>
          <w:p w14:paraId="2404BAB9">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p>
        </w:tc>
        <w:tc>
          <w:tcPr>
            <w:tcW w:w="3225" w:type="dxa"/>
            <w:vAlign w:val="center"/>
          </w:tcPr>
          <w:p w14:paraId="4D475324">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发现紧急情况，未及时赶往现场的，一次扣2分，引发严重后果的，扣5分，本月未落实问题整改或重复出现此类问题的，按扣分值双倍扣分，以此类推。</w:t>
            </w:r>
          </w:p>
        </w:tc>
        <w:tc>
          <w:tcPr>
            <w:tcW w:w="775" w:type="dxa"/>
            <w:vAlign w:val="center"/>
          </w:tcPr>
          <w:p w14:paraId="1AF8ACDF">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5050F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9" w:hRule="atLeast"/>
          <w:jc w:val="center"/>
        </w:trPr>
        <w:tc>
          <w:tcPr>
            <w:tcW w:w="863" w:type="dxa"/>
            <w:vMerge w:val="continue"/>
            <w:vAlign w:val="center"/>
          </w:tcPr>
          <w:p w14:paraId="36BCB4B6">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2BA2E3B1">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视频监控管理：坚守工作岗位，密切注视大楼内各摄像机的运行状态和监控情景；当监控系统收到故障报警时，立即通知技术人员处理；监控视频上发现可疑情况，要立即通知当值主管前去调查处理；发现各类违法犯罪活动时，要第一时间报警；准确、真实、清晰填写值班记录及报警记录。</w:t>
            </w:r>
          </w:p>
        </w:tc>
        <w:tc>
          <w:tcPr>
            <w:tcW w:w="585" w:type="dxa"/>
            <w:vAlign w:val="center"/>
          </w:tcPr>
          <w:p w14:paraId="5ABC571E">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p>
        </w:tc>
        <w:tc>
          <w:tcPr>
            <w:tcW w:w="3225" w:type="dxa"/>
            <w:vAlign w:val="center"/>
          </w:tcPr>
          <w:p w14:paraId="0AFD33DA">
            <w:pPr>
              <w:numPr>
                <w:ilvl w:val="0"/>
                <w:numId w:val="33"/>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发现监控人员缺岗的、未按时填写值班记录的，一次扣1分；</w:t>
            </w:r>
          </w:p>
          <w:p w14:paraId="7841138F">
            <w:pPr>
              <w:numPr>
                <w:ilvl w:val="0"/>
                <w:numId w:val="33"/>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发现可疑人员未上报的，一次扣1分；</w:t>
            </w:r>
          </w:p>
          <w:p w14:paraId="07B17710">
            <w:pPr>
              <w:numPr>
                <w:ilvl w:val="0"/>
                <w:numId w:val="33"/>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本月未落实问题整改或重复出现此类问题的，按扣分值双倍扣分，以此类推。引发严重后果的，扣10分。</w:t>
            </w:r>
          </w:p>
        </w:tc>
        <w:tc>
          <w:tcPr>
            <w:tcW w:w="775" w:type="dxa"/>
            <w:vAlign w:val="center"/>
          </w:tcPr>
          <w:p w14:paraId="0B66B55E">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0E2C6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1" w:hRule="atLeast"/>
          <w:jc w:val="center"/>
        </w:trPr>
        <w:tc>
          <w:tcPr>
            <w:tcW w:w="863" w:type="dxa"/>
            <w:vMerge w:val="continue"/>
            <w:vAlign w:val="center"/>
          </w:tcPr>
          <w:p w14:paraId="73E90EDF">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2B12F79D">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9.消防安全管理：设立防火工作专责小组，全力配合相关部门做好防火工作；负责大楼所有门窗、照明、公用电器设备等的开、关，及时发现和排除各种安全隐患；确保火灾事故、刑事案件零发生。</w:t>
            </w:r>
          </w:p>
        </w:tc>
        <w:tc>
          <w:tcPr>
            <w:tcW w:w="585" w:type="dxa"/>
            <w:vAlign w:val="center"/>
          </w:tcPr>
          <w:p w14:paraId="04B42A45">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w:t>
            </w:r>
          </w:p>
        </w:tc>
        <w:tc>
          <w:tcPr>
            <w:tcW w:w="3225" w:type="dxa"/>
            <w:vAlign w:val="center"/>
          </w:tcPr>
          <w:p w14:paraId="6A854FA9">
            <w:pPr>
              <w:numPr>
                <w:ilvl w:val="0"/>
                <w:numId w:val="34"/>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发现安全隐患排查不到位的，一次扣1分；</w:t>
            </w:r>
          </w:p>
          <w:p w14:paraId="2F80A67B">
            <w:pPr>
              <w:numPr>
                <w:ilvl w:val="0"/>
                <w:numId w:val="34"/>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未配合相关部门做好防火工作的，一次扣5分；</w:t>
            </w:r>
          </w:p>
          <w:p w14:paraId="60F17CEF">
            <w:pPr>
              <w:numPr>
                <w:ilvl w:val="0"/>
                <w:numId w:val="34"/>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发现消防系统未按时修复的一次扣5分；</w:t>
            </w:r>
          </w:p>
          <w:p w14:paraId="6F266A36">
            <w:pPr>
              <w:numPr>
                <w:ilvl w:val="0"/>
                <w:numId w:val="34"/>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本月未落实问题整改或重复出现此类问题的，按扣分值双倍扣分，以此类推。</w:t>
            </w:r>
          </w:p>
        </w:tc>
        <w:tc>
          <w:tcPr>
            <w:tcW w:w="775" w:type="dxa"/>
            <w:vAlign w:val="center"/>
          </w:tcPr>
          <w:p w14:paraId="3BFFED53">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04C0E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4" w:hRule="atLeast"/>
          <w:jc w:val="center"/>
        </w:trPr>
        <w:tc>
          <w:tcPr>
            <w:tcW w:w="863" w:type="dxa"/>
            <w:vMerge w:val="continue"/>
            <w:vAlign w:val="center"/>
          </w:tcPr>
          <w:p w14:paraId="08EB7462">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6D3AF389">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应急处突管理：制定突发事件应急处理预案，加强应急处理预案演练；当遇到发生突发事件时，及时调配充足人员在规定时间内赶到现场处理，必要时及时报警并报告机关事务管理局，防止事态进一步恶化，协助保护现场。</w:t>
            </w:r>
          </w:p>
        </w:tc>
        <w:tc>
          <w:tcPr>
            <w:tcW w:w="585" w:type="dxa"/>
            <w:vAlign w:val="center"/>
          </w:tcPr>
          <w:p w14:paraId="53AA47D2">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w:t>
            </w:r>
          </w:p>
        </w:tc>
        <w:tc>
          <w:tcPr>
            <w:tcW w:w="3225" w:type="dxa"/>
            <w:vAlign w:val="center"/>
          </w:tcPr>
          <w:p w14:paraId="171E562B">
            <w:pPr>
              <w:numPr>
                <w:ilvl w:val="0"/>
                <w:numId w:val="35"/>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发现突发事件应急处理预案不完备的，一次扣1分；</w:t>
            </w:r>
          </w:p>
          <w:p w14:paraId="5352F533">
            <w:pPr>
              <w:numPr>
                <w:ilvl w:val="0"/>
                <w:numId w:val="35"/>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发生突发事件，人员未及时赶往现场的，一次扣2分；</w:t>
            </w:r>
          </w:p>
          <w:p w14:paraId="2A914ED6">
            <w:pPr>
              <w:numPr>
                <w:ilvl w:val="0"/>
                <w:numId w:val="35"/>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本月未落实问题整改或重复出现此类问题的，按扣分值双倍扣分，以此类推。引发严重后果的，扣8分。</w:t>
            </w:r>
          </w:p>
        </w:tc>
        <w:tc>
          <w:tcPr>
            <w:tcW w:w="775" w:type="dxa"/>
            <w:vAlign w:val="center"/>
          </w:tcPr>
          <w:p w14:paraId="3A6F0C6D">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385A2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3" w:hRule="atLeast"/>
          <w:jc w:val="center"/>
        </w:trPr>
        <w:tc>
          <w:tcPr>
            <w:tcW w:w="863" w:type="dxa"/>
            <w:vMerge w:val="continue"/>
            <w:vAlign w:val="center"/>
          </w:tcPr>
          <w:p w14:paraId="3E10D139">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1EF83457">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11.秩序管理：制定人员、车辆、货物进出等管理制度；配合做好门禁系统管理工作。</w:t>
            </w:r>
          </w:p>
        </w:tc>
        <w:tc>
          <w:tcPr>
            <w:tcW w:w="585" w:type="dxa"/>
            <w:vAlign w:val="center"/>
          </w:tcPr>
          <w:p w14:paraId="12A44FD2">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w:t>
            </w:r>
          </w:p>
        </w:tc>
        <w:tc>
          <w:tcPr>
            <w:tcW w:w="3225" w:type="dxa"/>
            <w:vAlign w:val="center"/>
          </w:tcPr>
          <w:p w14:paraId="1D01FEAC">
            <w:pPr>
              <w:numPr>
                <w:ilvl w:val="0"/>
                <w:numId w:val="36"/>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未制定相关制度的及管理不到位，一次扣1分；</w:t>
            </w:r>
          </w:p>
          <w:p w14:paraId="64D2C19F">
            <w:pPr>
              <w:numPr>
                <w:ilvl w:val="0"/>
                <w:numId w:val="36"/>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发现门禁道闸系统维护保养不到位的一次扣5分；</w:t>
            </w:r>
          </w:p>
          <w:p w14:paraId="0023058E">
            <w:pPr>
              <w:numPr>
                <w:ilvl w:val="0"/>
                <w:numId w:val="36"/>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本月未落实问题整改或重复出现此类问题的，按扣分值双倍扣分，以此类推。</w:t>
            </w:r>
          </w:p>
        </w:tc>
        <w:tc>
          <w:tcPr>
            <w:tcW w:w="775" w:type="dxa"/>
            <w:vAlign w:val="center"/>
          </w:tcPr>
          <w:p w14:paraId="32A09773">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7DA1F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9" w:hRule="atLeast"/>
          <w:jc w:val="center"/>
        </w:trPr>
        <w:tc>
          <w:tcPr>
            <w:tcW w:w="863" w:type="dxa"/>
            <w:vMerge w:val="continue"/>
            <w:vAlign w:val="center"/>
          </w:tcPr>
          <w:p w14:paraId="402AB207">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145766EA">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12.停车管理：做好停车指引，确保各类车辆按指定位置停放，做到安全有序、整齐规范。建立车辆信息档案，并及时更新。</w:t>
            </w:r>
          </w:p>
        </w:tc>
        <w:tc>
          <w:tcPr>
            <w:tcW w:w="585" w:type="dxa"/>
            <w:vAlign w:val="center"/>
          </w:tcPr>
          <w:p w14:paraId="2B4B4677">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w:t>
            </w:r>
          </w:p>
        </w:tc>
        <w:tc>
          <w:tcPr>
            <w:tcW w:w="3225" w:type="dxa"/>
            <w:vAlign w:val="center"/>
          </w:tcPr>
          <w:p w14:paraId="118B5B93">
            <w:pPr>
              <w:numPr>
                <w:ilvl w:val="0"/>
                <w:numId w:val="37"/>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发现指引工作不到位，车辆存在乱停乱放的，一次扣1分；</w:t>
            </w:r>
          </w:p>
          <w:p w14:paraId="657C13E1">
            <w:pPr>
              <w:numPr>
                <w:ilvl w:val="0"/>
                <w:numId w:val="37"/>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本月未落实问题整改或重复出现此类问题的，按扣分值双倍扣分，以此类推。</w:t>
            </w:r>
          </w:p>
        </w:tc>
        <w:tc>
          <w:tcPr>
            <w:tcW w:w="775" w:type="dxa"/>
            <w:vAlign w:val="center"/>
          </w:tcPr>
          <w:p w14:paraId="52822AFD">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49FF4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863" w:type="dxa"/>
            <w:vMerge w:val="continue"/>
            <w:vAlign w:val="center"/>
          </w:tcPr>
          <w:p w14:paraId="666FF91D">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53E344C4">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13.公司内部管理：做好公司内部劳资等纠纷，不得出现影响招标人管辖场所秩序的事件。</w:t>
            </w:r>
          </w:p>
        </w:tc>
        <w:tc>
          <w:tcPr>
            <w:tcW w:w="585" w:type="dxa"/>
            <w:vAlign w:val="center"/>
          </w:tcPr>
          <w:p w14:paraId="50F6066E">
            <w:pPr>
              <w:adjustRightInd w:val="0"/>
              <w:snapToGrid w:val="0"/>
              <w:spacing w:line="240" w:lineRule="atLeast"/>
              <w:ind w:firstLine="0"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w:t>
            </w:r>
          </w:p>
        </w:tc>
        <w:tc>
          <w:tcPr>
            <w:tcW w:w="3225" w:type="dxa"/>
            <w:vAlign w:val="center"/>
          </w:tcPr>
          <w:p w14:paraId="46E90641">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因中标人内部劳资纠纷等问题影响招标人管辖场所秩序的事件，一次扣4分。</w:t>
            </w:r>
          </w:p>
        </w:tc>
        <w:tc>
          <w:tcPr>
            <w:tcW w:w="775" w:type="dxa"/>
            <w:vAlign w:val="center"/>
          </w:tcPr>
          <w:p w14:paraId="2ADB8446">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bl>
    <w:p w14:paraId="69D5CB72">
      <w:pPr>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5.2.3水业大厦物业使用人意见调查表</w:t>
      </w:r>
    </w:p>
    <w:tbl>
      <w:tblPr>
        <w:tblStyle w:val="41"/>
        <w:tblW w:w="9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0"/>
        <w:gridCol w:w="3592"/>
        <w:gridCol w:w="827"/>
        <w:gridCol w:w="1043"/>
        <w:gridCol w:w="1061"/>
        <w:gridCol w:w="1058"/>
      </w:tblGrid>
      <w:tr w14:paraId="24F5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exact"/>
          <w:jc w:val="center"/>
        </w:trPr>
        <w:tc>
          <w:tcPr>
            <w:tcW w:w="2110" w:type="dxa"/>
            <w:vMerge w:val="restart"/>
            <w:tcBorders>
              <w:top w:val="single" w:color="auto" w:sz="4" w:space="0"/>
            </w:tcBorders>
            <w:vAlign w:val="center"/>
          </w:tcPr>
          <w:p w14:paraId="50357C1F">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服务项目</w:t>
            </w:r>
          </w:p>
        </w:tc>
        <w:tc>
          <w:tcPr>
            <w:tcW w:w="3592" w:type="dxa"/>
            <w:vMerge w:val="restart"/>
            <w:tcBorders>
              <w:top w:val="single" w:color="auto" w:sz="4" w:space="0"/>
            </w:tcBorders>
            <w:vAlign w:val="center"/>
          </w:tcPr>
          <w:p w14:paraId="562F9AF4">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服务内容</w:t>
            </w:r>
          </w:p>
        </w:tc>
        <w:tc>
          <w:tcPr>
            <w:tcW w:w="3989" w:type="dxa"/>
            <w:gridSpan w:val="4"/>
            <w:tcBorders>
              <w:top w:val="single" w:color="auto" w:sz="4" w:space="0"/>
            </w:tcBorders>
            <w:vAlign w:val="center"/>
          </w:tcPr>
          <w:p w14:paraId="65E9B6F5">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评议意见</w:t>
            </w:r>
          </w:p>
        </w:tc>
      </w:tr>
      <w:tr w14:paraId="7FCE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exact"/>
          <w:jc w:val="center"/>
        </w:trPr>
        <w:tc>
          <w:tcPr>
            <w:tcW w:w="2110" w:type="dxa"/>
            <w:vMerge w:val="continue"/>
            <w:vAlign w:val="center"/>
          </w:tcPr>
          <w:p w14:paraId="16397BEB">
            <w:pPr>
              <w:adjustRightInd w:val="0"/>
              <w:snapToGrid w:val="0"/>
              <w:spacing w:line="240" w:lineRule="atLeast"/>
              <w:ind w:firstLine="420"/>
              <w:jc w:val="center"/>
              <w:rPr>
                <w:rFonts w:hint="eastAsia" w:ascii="宋体" w:hAnsi="宋体" w:eastAsia="宋体" w:cs="宋体"/>
                <w:color w:val="auto"/>
                <w:sz w:val="21"/>
                <w:szCs w:val="21"/>
                <w:highlight w:val="none"/>
                <w:lang w:eastAsia="zh-CN"/>
              </w:rPr>
            </w:pPr>
          </w:p>
        </w:tc>
        <w:tc>
          <w:tcPr>
            <w:tcW w:w="3592" w:type="dxa"/>
            <w:vMerge w:val="continue"/>
            <w:vAlign w:val="center"/>
          </w:tcPr>
          <w:p w14:paraId="315028EA">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827" w:type="dxa"/>
            <w:vAlign w:val="center"/>
          </w:tcPr>
          <w:p w14:paraId="01AD686A">
            <w:pPr>
              <w:adjustRightInd w:val="0"/>
              <w:snapToGrid w:val="0"/>
              <w:spacing w:line="240" w:lineRule="atLeast"/>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优秀</w:t>
            </w:r>
          </w:p>
        </w:tc>
        <w:tc>
          <w:tcPr>
            <w:tcW w:w="1043" w:type="dxa"/>
            <w:vAlign w:val="center"/>
          </w:tcPr>
          <w:p w14:paraId="5F9175B2">
            <w:pPr>
              <w:adjustRightInd w:val="0"/>
              <w:snapToGrid w:val="0"/>
              <w:spacing w:line="240" w:lineRule="atLeast"/>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良好</w:t>
            </w:r>
          </w:p>
        </w:tc>
        <w:tc>
          <w:tcPr>
            <w:tcW w:w="1061" w:type="dxa"/>
            <w:vAlign w:val="center"/>
          </w:tcPr>
          <w:p w14:paraId="0EBCBB4E">
            <w:pPr>
              <w:adjustRightInd w:val="0"/>
              <w:snapToGrid w:val="0"/>
              <w:spacing w:line="240" w:lineRule="atLeast"/>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一般</w:t>
            </w:r>
          </w:p>
        </w:tc>
        <w:tc>
          <w:tcPr>
            <w:tcW w:w="1058" w:type="dxa"/>
            <w:vAlign w:val="center"/>
          </w:tcPr>
          <w:p w14:paraId="684E5381">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较差</w:t>
            </w:r>
          </w:p>
        </w:tc>
      </w:tr>
      <w:tr w14:paraId="56A5F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0" w:type="dxa"/>
            <w:vMerge w:val="restart"/>
            <w:vAlign w:val="center"/>
          </w:tcPr>
          <w:p w14:paraId="526EE62C">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秩序维护</w:t>
            </w:r>
          </w:p>
        </w:tc>
        <w:tc>
          <w:tcPr>
            <w:tcW w:w="3592" w:type="dxa"/>
            <w:vAlign w:val="center"/>
          </w:tcPr>
          <w:p w14:paraId="4208EA61">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1.安全员服务态度及仪容仪表</w:t>
            </w:r>
          </w:p>
        </w:tc>
        <w:tc>
          <w:tcPr>
            <w:tcW w:w="827" w:type="dxa"/>
          </w:tcPr>
          <w:p w14:paraId="7BE82AA7">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296DF057">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0F700586">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15788B4C">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2E40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0" w:type="dxa"/>
            <w:vMerge w:val="continue"/>
            <w:vAlign w:val="center"/>
          </w:tcPr>
          <w:p w14:paraId="6C551B6D">
            <w:pPr>
              <w:adjustRightInd w:val="0"/>
              <w:snapToGrid w:val="0"/>
              <w:spacing w:line="240" w:lineRule="atLeast"/>
              <w:ind w:firstLine="420"/>
              <w:jc w:val="center"/>
              <w:rPr>
                <w:rFonts w:hint="eastAsia" w:ascii="宋体" w:hAnsi="宋体" w:eastAsia="宋体" w:cs="宋体"/>
                <w:color w:val="auto"/>
                <w:sz w:val="21"/>
                <w:szCs w:val="21"/>
                <w:highlight w:val="none"/>
                <w:lang w:eastAsia="zh-CN"/>
              </w:rPr>
            </w:pPr>
          </w:p>
        </w:tc>
        <w:tc>
          <w:tcPr>
            <w:tcW w:w="3592" w:type="dxa"/>
            <w:vAlign w:val="center"/>
          </w:tcPr>
          <w:p w14:paraId="54F3BC25">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2.出入道闸、来访登记</w:t>
            </w:r>
          </w:p>
        </w:tc>
        <w:tc>
          <w:tcPr>
            <w:tcW w:w="827" w:type="dxa"/>
          </w:tcPr>
          <w:p w14:paraId="2A4AE89C">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567219B6">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00C8BE96">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7047E9F5">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1BE7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0" w:type="dxa"/>
            <w:vMerge w:val="continue"/>
            <w:vAlign w:val="center"/>
          </w:tcPr>
          <w:p w14:paraId="36A88BD7">
            <w:pPr>
              <w:adjustRightInd w:val="0"/>
              <w:snapToGrid w:val="0"/>
              <w:spacing w:line="240" w:lineRule="atLeast"/>
              <w:ind w:firstLine="420"/>
              <w:jc w:val="center"/>
              <w:rPr>
                <w:rFonts w:hint="eastAsia" w:ascii="宋体" w:hAnsi="宋体" w:eastAsia="宋体" w:cs="宋体"/>
                <w:color w:val="auto"/>
                <w:sz w:val="21"/>
                <w:szCs w:val="21"/>
                <w:highlight w:val="none"/>
                <w:lang w:eastAsia="zh-CN"/>
              </w:rPr>
            </w:pPr>
          </w:p>
        </w:tc>
        <w:tc>
          <w:tcPr>
            <w:tcW w:w="3592" w:type="dxa"/>
            <w:vAlign w:val="center"/>
          </w:tcPr>
          <w:p w14:paraId="323F2E0A">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3.车辆停放秩序管理</w:t>
            </w:r>
          </w:p>
        </w:tc>
        <w:tc>
          <w:tcPr>
            <w:tcW w:w="827" w:type="dxa"/>
          </w:tcPr>
          <w:p w14:paraId="43BB5BAE">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5D714F56">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09BD6EE9">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00C3B584">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0DBB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2110" w:type="dxa"/>
            <w:vMerge w:val="restart"/>
            <w:vAlign w:val="center"/>
          </w:tcPr>
          <w:p w14:paraId="17010D39">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共用设施设备维修养护</w:t>
            </w:r>
          </w:p>
        </w:tc>
        <w:tc>
          <w:tcPr>
            <w:tcW w:w="3592" w:type="dxa"/>
            <w:vAlign w:val="center"/>
          </w:tcPr>
          <w:p w14:paraId="4F57CD94">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4.房屋墙面、地面、天花等公共部位维护</w:t>
            </w:r>
          </w:p>
        </w:tc>
        <w:tc>
          <w:tcPr>
            <w:tcW w:w="827" w:type="dxa"/>
          </w:tcPr>
          <w:p w14:paraId="31F2BFA2">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216E5917">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7BC07F73">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3C7EBF63">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3562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0" w:type="dxa"/>
            <w:vMerge w:val="continue"/>
            <w:vAlign w:val="center"/>
          </w:tcPr>
          <w:p w14:paraId="09A207C5">
            <w:pPr>
              <w:adjustRightInd w:val="0"/>
              <w:snapToGrid w:val="0"/>
              <w:spacing w:line="240" w:lineRule="atLeast"/>
              <w:ind w:firstLine="420"/>
              <w:jc w:val="center"/>
              <w:rPr>
                <w:rFonts w:hint="eastAsia" w:ascii="宋体" w:hAnsi="宋体" w:eastAsia="宋体" w:cs="宋体"/>
                <w:color w:val="auto"/>
                <w:sz w:val="21"/>
                <w:szCs w:val="21"/>
                <w:highlight w:val="none"/>
                <w:lang w:eastAsia="zh-CN"/>
              </w:rPr>
            </w:pPr>
          </w:p>
        </w:tc>
        <w:tc>
          <w:tcPr>
            <w:tcW w:w="3592" w:type="dxa"/>
            <w:vAlign w:val="center"/>
          </w:tcPr>
          <w:p w14:paraId="5A795CCD">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5.空调、电梯运行、维护</w:t>
            </w:r>
          </w:p>
        </w:tc>
        <w:tc>
          <w:tcPr>
            <w:tcW w:w="827" w:type="dxa"/>
          </w:tcPr>
          <w:p w14:paraId="176ED5B2">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73044F44">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1EE28288">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0244D009">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11D5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0" w:type="dxa"/>
            <w:vMerge w:val="continue"/>
            <w:vAlign w:val="center"/>
          </w:tcPr>
          <w:p w14:paraId="78E286BE">
            <w:pPr>
              <w:adjustRightInd w:val="0"/>
              <w:snapToGrid w:val="0"/>
              <w:spacing w:line="240" w:lineRule="atLeast"/>
              <w:ind w:firstLine="420"/>
              <w:jc w:val="center"/>
              <w:rPr>
                <w:rFonts w:hint="eastAsia" w:ascii="宋体" w:hAnsi="宋体" w:eastAsia="宋体" w:cs="宋体"/>
                <w:color w:val="auto"/>
                <w:sz w:val="21"/>
                <w:szCs w:val="21"/>
                <w:highlight w:val="none"/>
                <w:lang w:eastAsia="zh-CN"/>
              </w:rPr>
            </w:pPr>
          </w:p>
        </w:tc>
        <w:tc>
          <w:tcPr>
            <w:tcW w:w="3592" w:type="dxa"/>
            <w:vAlign w:val="center"/>
          </w:tcPr>
          <w:p w14:paraId="19B605A0">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6.电话、网络维护</w:t>
            </w:r>
          </w:p>
        </w:tc>
        <w:tc>
          <w:tcPr>
            <w:tcW w:w="827" w:type="dxa"/>
          </w:tcPr>
          <w:p w14:paraId="4AD166AF">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3DA14CA8">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3A69F9D0">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0D1AA81E">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6F4E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0" w:type="dxa"/>
            <w:vMerge w:val="continue"/>
            <w:vAlign w:val="center"/>
          </w:tcPr>
          <w:p w14:paraId="6E3E7054">
            <w:pPr>
              <w:adjustRightInd w:val="0"/>
              <w:snapToGrid w:val="0"/>
              <w:spacing w:line="240" w:lineRule="atLeast"/>
              <w:ind w:firstLine="420"/>
              <w:jc w:val="center"/>
              <w:rPr>
                <w:rFonts w:hint="eastAsia" w:ascii="宋体" w:hAnsi="宋体" w:eastAsia="宋体" w:cs="宋体"/>
                <w:color w:val="auto"/>
                <w:sz w:val="21"/>
                <w:szCs w:val="21"/>
                <w:highlight w:val="none"/>
                <w:lang w:eastAsia="zh-CN"/>
              </w:rPr>
            </w:pPr>
          </w:p>
        </w:tc>
        <w:tc>
          <w:tcPr>
            <w:tcW w:w="3592" w:type="dxa"/>
            <w:vAlign w:val="center"/>
          </w:tcPr>
          <w:p w14:paraId="098034AA">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7.公共照明维护</w:t>
            </w:r>
          </w:p>
        </w:tc>
        <w:tc>
          <w:tcPr>
            <w:tcW w:w="827" w:type="dxa"/>
          </w:tcPr>
          <w:p w14:paraId="3A7B3F82">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3A1560D2">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5DFE7BF3">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4B0AEBBF">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0666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0" w:type="dxa"/>
            <w:vMerge w:val="continue"/>
            <w:vAlign w:val="center"/>
          </w:tcPr>
          <w:p w14:paraId="23277915">
            <w:pPr>
              <w:adjustRightInd w:val="0"/>
              <w:snapToGrid w:val="0"/>
              <w:spacing w:line="240" w:lineRule="atLeast"/>
              <w:ind w:firstLine="420"/>
              <w:jc w:val="center"/>
              <w:rPr>
                <w:rFonts w:hint="eastAsia" w:ascii="宋体" w:hAnsi="宋体" w:eastAsia="宋体" w:cs="宋体"/>
                <w:color w:val="auto"/>
                <w:sz w:val="21"/>
                <w:szCs w:val="21"/>
                <w:highlight w:val="none"/>
                <w:lang w:eastAsia="zh-CN"/>
              </w:rPr>
            </w:pPr>
          </w:p>
        </w:tc>
        <w:tc>
          <w:tcPr>
            <w:tcW w:w="3592" w:type="dxa"/>
            <w:vAlign w:val="center"/>
          </w:tcPr>
          <w:p w14:paraId="4BE4BD61">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8.报修处理跟进</w:t>
            </w:r>
          </w:p>
        </w:tc>
        <w:tc>
          <w:tcPr>
            <w:tcW w:w="827" w:type="dxa"/>
          </w:tcPr>
          <w:p w14:paraId="2536914B">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14DB7FEA">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6FD202C3">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124341BA">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2334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2110" w:type="dxa"/>
            <w:vMerge w:val="restart"/>
            <w:vAlign w:val="center"/>
          </w:tcPr>
          <w:p w14:paraId="39B847DC">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卫生清洁</w:t>
            </w:r>
          </w:p>
          <w:p w14:paraId="0FC38F1C">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绿化养护</w:t>
            </w:r>
          </w:p>
        </w:tc>
        <w:tc>
          <w:tcPr>
            <w:tcW w:w="3592" w:type="dxa"/>
            <w:vAlign w:val="center"/>
          </w:tcPr>
          <w:p w14:paraId="67F45B82">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9.办公室卫生清洁</w:t>
            </w:r>
          </w:p>
        </w:tc>
        <w:tc>
          <w:tcPr>
            <w:tcW w:w="827" w:type="dxa"/>
          </w:tcPr>
          <w:p w14:paraId="71F83CD9">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6431B809">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7F9FCDCB">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16144A8F">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6CA8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0" w:type="dxa"/>
            <w:vMerge w:val="continue"/>
            <w:vAlign w:val="center"/>
          </w:tcPr>
          <w:p w14:paraId="6699CE45">
            <w:pPr>
              <w:adjustRightInd w:val="0"/>
              <w:snapToGrid w:val="0"/>
              <w:spacing w:line="240" w:lineRule="atLeast"/>
              <w:ind w:firstLine="420"/>
              <w:jc w:val="center"/>
              <w:rPr>
                <w:rFonts w:hint="eastAsia" w:ascii="宋体" w:hAnsi="宋体" w:eastAsia="宋体" w:cs="宋体"/>
                <w:color w:val="auto"/>
                <w:sz w:val="21"/>
                <w:szCs w:val="21"/>
                <w:highlight w:val="none"/>
                <w:lang w:eastAsia="zh-CN"/>
              </w:rPr>
            </w:pPr>
          </w:p>
        </w:tc>
        <w:tc>
          <w:tcPr>
            <w:tcW w:w="3592" w:type="dxa"/>
            <w:vAlign w:val="center"/>
          </w:tcPr>
          <w:p w14:paraId="7647F5EF">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10.楼梯、走廊卫生</w:t>
            </w:r>
          </w:p>
        </w:tc>
        <w:tc>
          <w:tcPr>
            <w:tcW w:w="827" w:type="dxa"/>
          </w:tcPr>
          <w:p w14:paraId="1F2E4593">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272EBCB8">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08573863">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745A5B8C">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7FD4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0" w:type="dxa"/>
            <w:vMerge w:val="continue"/>
            <w:vAlign w:val="center"/>
          </w:tcPr>
          <w:p w14:paraId="511BC6DC">
            <w:pPr>
              <w:adjustRightInd w:val="0"/>
              <w:snapToGrid w:val="0"/>
              <w:spacing w:line="240" w:lineRule="atLeast"/>
              <w:ind w:firstLine="420"/>
              <w:jc w:val="center"/>
              <w:rPr>
                <w:rFonts w:hint="eastAsia" w:ascii="宋体" w:hAnsi="宋体" w:eastAsia="宋体" w:cs="宋体"/>
                <w:color w:val="auto"/>
                <w:sz w:val="21"/>
                <w:szCs w:val="21"/>
                <w:highlight w:val="none"/>
                <w:lang w:eastAsia="zh-CN"/>
              </w:rPr>
            </w:pPr>
          </w:p>
        </w:tc>
        <w:tc>
          <w:tcPr>
            <w:tcW w:w="3592" w:type="dxa"/>
            <w:vAlign w:val="center"/>
          </w:tcPr>
          <w:p w14:paraId="6F40CA3A">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11.卫生间卫生清洁</w:t>
            </w:r>
          </w:p>
        </w:tc>
        <w:tc>
          <w:tcPr>
            <w:tcW w:w="827" w:type="dxa"/>
          </w:tcPr>
          <w:p w14:paraId="7C000381">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2D9BD14A">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2913D3BA">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54D65ED6">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278A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0" w:type="dxa"/>
            <w:vMerge w:val="continue"/>
            <w:vAlign w:val="center"/>
          </w:tcPr>
          <w:p w14:paraId="21E26967">
            <w:pPr>
              <w:adjustRightInd w:val="0"/>
              <w:snapToGrid w:val="0"/>
              <w:spacing w:line="240" w:lineRule="atLeast"/>
              <w:ind w:firstLine="420"/>
              <w:jc w:val="center"/>
              <w:rPr>
                <w:rFonts w:hint="eastAsia" w:ascii="宋体" w:hAnsi="宋体" w:eastAsia="宋体" w:cs="宋体"/>
                <w:color w:val="auto"/>
                <w:sz w:val="21"/>
                <w:szCs w:val="21"/>
                <w:highlight w:val="none"/>
                <w:lang w:eastAsia="zh-CN"/>
              </w:rPr>
            </w:pPr>
          </w:p>
        </w:tc>
        <w:tc>
          <w:tcPr>
            <w:tcW w:w="3592" w:type="dxa"/>
            <w:vAlign w:val="center"/>
          </w:tcPr>
          <w:p w14:paraId="27AE2FE1">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12.车场环境卫生</w:t>
            </w:r>
          </w:p>
        </w:tc>
        <w:tc>
          <w:tcPr>
            <w:tcW w:w="827" w:type="dxa"/>
          </w:tcPr>
          <w:p w14:paraId="0D8F5319">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3677EDD3">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2EBD9CBF">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68A76D12">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755AE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0" w:type="dxa"/>
            <w:vMerge w:val="continue"/>
            <w:vAlign w:val="center"/>
          </w:tcPr>
          <w:p w14:paraId="7D4D3274">
            <w:pPr>
              <w:adjustRightInd w:val="0"/>
              <w:snapToGrid w:val="0"/>
              <w:spacing w:line="240" w:lineRule="atLeast"/>
              <w:ind w:firstLine="420"/>
              <w:jc w:val="center"/>
              <w:rPr>
                <w:rFonts w:hint="eastAsia" w:ascii="宋体" w:hAnsi="宋体" w:eastAsia="宋体" w:cs="宋体"/>
                <w:color w:val="auto"/>
                <w:sz w:val="21"/>
                <w:szCs w:val="21"/>
                <w:highlight w:val="none"/>
                <w:lang w:eastAsia="zh-CN"/>
              </w:rPr>
            </w:pPr>
          </w:p>
        </w:tc>
        <w:tc>
          <w:tcPr>
            <w:tcW w:w="3592" w:type="dxa"/>
            <w:vAlign w:val="center"/>
          </w:tcPr>
          <w:p w14:paraId="7414BB6F">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13.路面环境卫生</w:t>
            </w:r>
          </w:p>
        </w:tc>
        <w:tc>
          <w:tcPr>
            <w:tcW w:w="827" w:type="dxa"/>
          </w:tcPr>
          <w:p w14:paraId="3AABB6B4">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1144C4A4">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63A719F8">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7CB01520">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3FAD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0" w:type="dxa"/>
            <w:vMerge w:val="continue"/>
            <w:vAlign w:val="center"/>
          </w:tcPr>
          <w:p w14:paraId="3BBD2D42">
            <w:pPr>
              <w:adjustRightInd w:val="0"/>
              <w:snapToGrid w:val="0"/>
              <w:spacing w:line="240" w:lineRule="atLeast"/>
              <w:ind w:firstLine="420"/>
              <w:jc w:val="center"/>
              <w:rPr>
                <w:rFonts w:hint="eastAsia" w:ascii="宋体" w:hAnsi="宋体" w:eastAsia="宋体" w:cs="宋体"/>
                <w:color w:val="auto"/>
                <w:sz w:val="21"/>
                <w:szCs w:val="21"/>
                <w:highlight w:val="none"/>
                <w:lang w:eastAsia="zh-CN"/>
              </w:rPr>
            </w:pPr>
          </w:p>
        </w:tc>
        <w:tc>
          <w:tcPr>
            <w:tcW w:w="3592" w:type="dxa"/>
            <w:vAlign w:val="center"/>
          </w:tcPr>
          <w:p w14:paraId="361B6BFB">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14.绿化日常养护</w:t>
            </w:r>
          </w:p>
        </w:tc>
        <w:tc>
          <w:tcPr>
            <w:tcW w:w="827" w:type="dxa"/>
          </w:tcPr>
          <w:p w14:paraId="556CAE24">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0D31562F">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5BA9337E">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28A7D39C">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3812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0" w:type="dxa"/>
            <w:vMerge w:val="continue"/>
            <w:vAlign w:val="center"/>
          </w:tcPr>
          <w:p w14:paraId="4AE011DF">
            <w:pPr>
              <w:adjustRightInd w:val="0"/>
              <w:snapToGrid w:val="0"/>
              <w:spacing w:line="240" w:lineRule="atLeast"/>
              <w:ind w:firstLine="420"/>
              <w:jc w:val="center"/>
              <w:rPr>
                <w:rFonts w:hint="eastAsia" w:ascii="宋体" w:hAnsi="宋体" w:eastAsia="宋体" w:cs="宋体"/>
                <w:color w:val="auto"/>
                <w:sz w:val="21"/>
                <w:szCs w:val="21"/>
                <w:highlight w:val="none"/>
                <w:lang w:eastAsia="zh-CN"/>
              </w:rPr>
            </w:pPr>
          </w:p>
        </w:tc>
        <w:tc>
          <w:tcPr>
            <w:tcW w:w="3592" w:type="dxa"/>
            <w:vAlign w:val="center"/>
          </w:tcPr>
          <w:p w14:paraId="38516817">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15.“四害”消杀工作</w:t>
            </w:r>
          </w:p>
        </w:tc>
        <w:tc>
          <w:tcPr>
            <w:tcW w:w="827" w:type="dxa"/>
          </w:tcPr>
          <w:p w14:paraId="63AA67CC">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309D2D8E">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1F211DA9">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3C376463">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7EFF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0" w:type="dxa"/>
            <w:vMerge w:val="restart"/>
            <w:vAlign w:val="center"/>
          </w:tcPr>
          <w:p w14:paraId="502F656E">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会议服务</w:t>
            </w:r>
          </w:p>
        </w:tc>
        <w:tc>
          <w:tcPr>
            <w:tcW w:w="3592" w:type="dxa"/>
            <w:vAlign w:val="center"/>
          </w:tcPr>
          <w:p w14:paraId="1DF45D13">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16.会务准备工作</w:t>
            </w:r>
          </w:p>
        </w:tc>
        <w:tc>
          <w:tcPr>
            <w:tcW w:w="827" w:type="dxa"/>
          </w:tcPr>
          <w:p w14:paraId="1AAE2CD9">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2BE3300A">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2BF58BAF">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638F7E0D">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55EC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0" w:type="dxa"/>
            <w:vMerge w:val="continue"/>
            <w:vAlign w:val="center"/>
          </w:tcPr>
          <w:p w14:paraId="680079CC">
            <w:pPr>
              <w:adjustRightInd w:val="0"/>
              <w:snapToGrid w:val="0"/>
              <w:spacing w:line="240" w:lineRule="atLeast"/>
              <w:ind w:firstLine="420"/>
              <w:jc w:val="center"/>
              <w:rPr>
                <w:rFonts w:hint="eastAsia" w:ascii="宋体" w:hAnsi="宋体" w:eastAsia="宋体" w:cs="宋体"/>
                <w:color w:val="auto"/>
                <w:sz w:val="21"/>
                <w:szCs w:val="21"/>
                <w:highlight w:val="none"/>
                <w:lang w:eastAsia="zh-CN"/>
              </w:rPr>
            </w:pPr>
          </w:p>
        </w:tc>
        <w:tc>
          <w:tcPr>
            <w:tcW w:w="3592" w:type="dxa"/>
            <w:vAlign w:val="center"/>
          </w:tcPr>
          <w:p w14:paraId="55E30664">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17.会务人员服务态度</w:t>
            </w:r>
          </w:p>
        </w:tc>
        <w:tc>
          <w:tcPr>
            <w:tcW w:w="827" w:type="dxa"/>
          </w:tcPr>
          <w:p w14:paraId="6467037E">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70DEBA3B">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17E0838D">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673A035F">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38A0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0" w:type="dxa"/>
            <w:vMerge w:val="restart"/>
            <w:vAlign w:val="center"/>
          </w:tcPr>
          <w:p w14:paraId="7B7A01E7">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综合服务</w:t>
            </w:r>
          </w:p>
        </w:tc>
        <w:tc>
          <w:tcPr>
            <w:tcW w:w="3592" w:type="dxa"/>
            <w:vAlign w:val="center"/>
          </w:tcPr>
          <w:p w14:paraId="3F2EE038">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18.服务人员态度及仪容仪表</w:t>
            </w:r>
          </w:p>
        </w:tc>
        <w:tc>
          <w:tcPr>
            <w:tcW w:w="827" w:type="dxa"/>
          </w:tcPr>
          <w:p w14:paraId="4451EC38">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2C5623BC">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2FE7201D">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61EA3FAA">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37E2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0" w:type="dxa"/>
            <w:vMerge w:val="continue"/>
            <w:vAlign w:val="center"/>
          </w:tcPr>
          <w:p w14:paraId="5FAB3BC9">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3592" w:type="dxa"/>
            <w:vAlign w:val="center"/>
          </w:tcPr>
          <w:p w14:paraId="0171B9EE">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19.日常事务办理</w:t>
            </w:r>
          </w:p>
        </w:tc>
        <w:tc>
          <w:tcPr>
            <w:tcW w:w="827" w:type="dxa"/>
          </w:tcPr>
          <w:p w14:paraId="04196910">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66D7FEDD">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78127A83">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36230289">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07AB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0" w:type="dxa"/>
            <w:vMerge w:val="continue"/>
            <w:vAlign w:val="center"/>
          </w:tcPr>
          <w:p w14:paraId="3A5EBFBB">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3592" w:type="dxa"/>
            <w:vAlign w:val="center"/>
          </w:tcPr>
          <w:p w14:paraId="6FE12521">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20.物业工作人员自身职业操守</w:t>
            </w:r>
          </w:p>
        </w:tc>
        <w:tc>
          <w:tcPr>
            <w:tcW w:w="827" w:type="dxa"/>
          </w:tcPr>
          <w:p w14:paraId="6508DB95">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631AC656">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286FAA65">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655C6D2A">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3E9E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2110" w:type="dxa"/>
            <w:vMerge w:val="continue"/>
            <w:vAlign w:val="center"/>
          </w:tcPr>
          <w:p w14:paraId="30CCF0EE">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3592" w:type="dxa"/>
            <w:vAlign w:val="center"/>
          </w:tcPr>
          <w:p w14:paraId="60854FD6">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21.投诉、建议处理跟进</w:t>
            </w:r>
          </w:p>
        </w:tc>
        <w:tc>
          <w:tcPr>
            <w:tcW w:w="827" w:type="dxa"/>
          </w:tcPr>
          <w:p w14:paraId="468B144D">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7D81FE73">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7C486D6B">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2807C9C8">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19E9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9691" w:type="dxa"/>
            <w:gridSpan w:val="6"/>
            <w:vAlign w:val="center"/>
          </w:tcPr>
          <w:p w14:paraId="190675CF">
            <w:pPr>
              <w:adjustRightInd w:val="0"/>
              <w:snapToGrid w:val="0"/>
              <w:spacing w:line="240" w:lineRule="atLeast"/>
              <w:ind w:firstLine="0"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备注：</w:t>
            </w:r>
          </w:p>
          <w:p w14:paraId="047DA0F0">
            <w:pPr>
              <w:numPr>
                <w:ilvl w:val="0"/>
                <w:numId w:val="38"/>
              </w:numPr>
              <w:adjustRightInd w:val="0"/>
              <w:snapToGrid w:val="0"/>
              <w:spacing w:line="240" w:lineRule="atLeast"/>
              <w:ind w:firstLine="0"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本表总分值100分，其计分方式为：分值=（A×1+B×0.85+C×0.75+D×0.6）÷（A+B+C+D）×100。其中，A为“优秀（</w:t>
            </w:r>
            <w:r>
              <w:rPr>
                <w:rFonts w:hint="eastAsia" w:ascii="宋体" w:hAnsi="宋体" w:eastAsia="宋体" w:cs="宋体"/>
                <w:color w:val="auto"/>
                <w:sz w:val="21"/>
                <w:szCs w:val="21"/>
                <w:highlight w:val="none"/>
                <w:lang w:val="en-US" w:eastAsia="zh-CN"/>
              </w:rPr>
              <w:t>得分≥90分</w:t>
            </w:r>
            <w:r>
              <w:rPr>
                <w:rFonts w:hint="eastAsia" w:ascii="宋体" w:hAnsi="宋体" w:eastAsia="宋体" w:cs="宋体"/>
                <w:color w:val="auto"/>
                <w:sz w:val="21"/>
                <w:szCs w:val="21"/>
                <w:highlight w:val="none"/>
                <w:lang w:eastAsia="zh-CN"/>
              </w:rPr>
              <w:t>）”个数，B为“良好（</w:t>
            </w:r>
            <w:r>
              <w:rPr>
                <w:rFonts w:hint="eastAsia" w:ascii="宋体" w:hAnsi="宋体" w:eastAsia="宋体" w:cs="宋体"/>
                <w:color w:val="auto"/>
                <w:sz w:val="21"/>
                <w:szCs w:val="21"/>
                <w:highlight w:val="none"/>
                <w:lang w:val="en-US" w:eastAsia="zh-CN"/>
              </w:rPr>
              <w:t>80≤得分＜90</w:t>
            </w:r>
            <w:r>
              <w:rPr>
                <w:rFonts w:hint="eastAsia" w:ascii="宋体" w:hAnsi="宋体" w:eastAsia="宋体" w:cs="宋体"/>
                <w:color w:val="auto"/>
                <w:sz w:val="21"/>
                <w:szCs w:val="21"/>
                <w:highlight w:val="none"/>
                <w:lang w:eastAsia="zh-CN"/>
              </w:rPr>
              <w:t>）”个数，C（</w:t>
            </w:r>
            <w:r>
              <w:rPr>
                <w:rFonts w:hint="eastAsia" w:ascii="宋体" w:hAnsi="宋体" w:eastAsia="宋体" w:cs="宋体"/>
                <w:color w:val="auto"/>
                <w:sz w:val="21"/>
                <w:szCs w:val="21"/>
                <w:highlight w:val="none"/>
                <w:lang w:val="en-US" w:eastAsia="zh-CN"/>
              </w:rPr>
              <w:t>70≤得分＜80</w:t>
            </w:r>
            <w:r>
              <w:rPr>
                <w:rFonts w:hint="eastAsia" w:ascii="宋体" w:hAnsi="宋体" w:eastAsia="宋体" w:cs="宋体"/>
                <w:color w:val="auto"/>
                <w:sz w:val="21"/>
                <w:szCs w:val="21"/>
                <w:highlight w:val="none"/>
                <w:lang w:eastAsia="zh-CN"/>
              </w:rPr>
              <w:t>）为“一般”个数，D（</w:t>
            </w:r>
            <w:r>
              <w:rPr>
                <w:rFonts w:hint="eastAsia" w:ascii="宋体" w:hAnsi="宋体" w:eastAsia="宋体" w:cs="宋体"/>
                <w:color w:val="auto"/>
                <w:sz w:val="21"/>
                <w:szCs w:val="21"/>
                <w:highlight w:val="none"/>
                <w:lang w:val="en-US" w:eastAsia="zh-CN"/>
              </w:rPr>
              <w:t>得分＜70</w:t>
            </w:r>
            <w:r>
              <w:rPr>
                <w:rFonts w:hint="eastAsia" w:ascii="宋体" w:hAnsi="宋体" w:eastAsia="宋体" w:cs="宋体"/>
                <w:color w:val="auto"/>
                <w:sz w:val="21"/>
                <w:szCs w:val="21"/>
                <w:highlight w:val="none"/>
                <w:lang w:eastAsia="zh-CN"/>
              </w:rPr>
              <w:t>）为“较差”个数，占比权重10%。</w:t>
            </w:r>
          </w:p>
          <w:p w14:paraId="475592EC">
            <w:pPr>
              <w:pStyle w:val="18"/>
              <w:adjustRightInd w:val="0"/>
              <w:snapToGrid w:val="0"/>
              <w:spacing w:after="0" w:line="240" w:lineRule="atLeast"/>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（2）该调查表为每个月每个物业使用人填写一份。</w:t>
            </w:r>
          </w:p>
          <w:p w14:paraId="31949E54">
            <w:pPr>
              <w:adjustRightInd w:val="0"/>
              <w:snapToGrid w:val="0"/>
              <w:spacing w:line="240" w:lineRule="atLeast"/>
              <w:ind w:firstLine="0"/>
              <w:jc w:val="both"/>
              <w:rPr>
                <w:rFonts w:hint="eastAsia" w:ascii="宋体" w:hAnsi="宋体" w:eastAsia="宋体" w:cs="宋体"/>
                <w:color w:val="auto"/>
                <w:sz w:val="21"/>
                <w:szCs w:val="21"/>
                <w:highlight w:val="none"/>
                <w:lang w:eastAsia="zh-CN"/>
              </w:rPr>
            </w:pPr>
          </w:p>
        </w:tc>
      </w:tr>
    </w:tbl>
    <w:p w14:paraId="0C905D10">
      <w:pPr>
        <w:pStyle w:val="2"/>
        <w:adjustRightInd w:val="0"/>
        <w:snapToGrid w:val="0"/>
        <w:spacing w:line="360" w:lineRule="auto"/>
        <w:jc w:val="left"/>
        <w:rPr>
          <w:rFonts w:hint="eastAsia" w:ascii="宋体" w:hAnsi="宋体" w:eastAsia="宋体" w:cs="宋体"/>
          <w:b/>
          <w:bCs/>
          <w:color w:val="auto"/>
          <w:sz w:val="21"/>
          <w:szCs w:val="21"/>
          <w:highlight w:val="none"/>
          <w:lang w:val="en-US" w:eastAsia="zh-CN"/>
        </w:rPr>
      </w:pPr>
      <w:bookmarkStart w:id="707" w:name="_Toc24347"/>
      <w:bookmarkStart w:id="708" w:name="_Toc31890"/>
      <w:bookmarkStart w:id="709" w:name="_Toc13828"/>
      <w:bookmarkStart w:id="710" w:name="_Toc17610"/>
      <w:bookmarkStart w:id="711" w:name="_Toc14291"/>
      <w:bookmarkStart w:id="712" w:name="_Toc6051"/>
      <w:bookmarkStart w:id="713" w:name="_Toc4483"/>
      <w:bookmarkStart w:id="714" w:name="_Toc3742"/>
      <w:bookmarkStart w:id="715" w:name="_Toc20335"/>
      <w:bookmarkStart w:id="716" w:name="_Toc10094"/>
      <w:r>
        <w:rPr>
          <w:rFonts w:hint="eastAsia"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lang w:val="en-US" w:eastAsia="zh-CN"/>
        </w:rPr>
        <w:t>、重要提醒</w:t>
      </w:r>
      <w:bookmarkEnd w:id="707"/>
      <w:bookmarkEnd w:id="708"/>
      <w:bookmarkEnd w:id="709"/>
      <w:bookmarkEnd w:id="710"/>
      <w:bookmarkEnd w:id="711"/>
      <w:bookmarkEnd w:id="712"/>
      <w:bookmarkEnd w:id="713"/>
    </w:p>
    <w:p w14:paraId="3054147C">
      <w:pPr>
        <w:adjustRightInd w:val="0"/>
        <w:snapToGrid w:val="0"/>
        <w:spacing w:line="360" w:lineRule="auto"/>
        <w:ind w:firstLine="56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6.1本项目涉及服务内容，原则上要求中标人自行完成，未经招标人书面同意，中标人原则上不得将管理本物业的权利义务转让、分包或转包给第三方，否则，招标人有权单方解除合同、不予支付合同款项；经双方约定的特殊服务（如电梯、消防、空调、保洁等特殊服务项目）的除外。</w:t>
      </w:r>
    </w:p>
    <w:p w14:paraId="66205295">
      <w:pPr>
        <w:adjustRightInd w:val="0"/>
        <w:snapToGrid w:val="0"/>
        <w:spacing w:line="360" w:lineRule="auto"/>
        <w:ind w:firstLine="56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6.2其他要求</w:t>
      </w:r>
    </w:p>
    <w:p w14:paraId="6F23FD59">
      <w:pPr>
        <w:adjustRightInd w:val="0"/>
        <w:snapToGrid w:val="0"/>
        <w:spacing w:line="360" w:lineRule="auto"/>
        <w:ind w:firstLine="56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6.2.1招标人委托管理的事项中，除按照国家有关规定必须由具备相应资质的专业机构进行服务保障的项目外，未经招标人书面同意，中标人不得将本项目的部分或全部管理责任转让给第三方，更不得将管理项目进行分拆、分包或转包。</w:t>
      </w:r>
    </w:p>
    <w:p w14:paraId="01C13C80">
      <w:pPr>
        <w:adjustRightInd w:val="0"/>
        <w:snapToGrid w:val="0"/>
        <w:spacing w:line="360" w:lineRule="auto"/>
        <w:ind w:firstLine="56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6.2.2中标人应按招标人要求提供相应的工作报表，包括但不限定提供物业使用人的物业费收缴情况、能耗数据、工单数据以及客户满意度等统计报表。</w:t>
      </w:r>
    </w:p>
    <w:p w14:paraId="344FB2C3">
      <w:pPr>
        <w:adjustRightInd w:val="0"/>
        <w:snapToGrid w:val="0"/>
        <w:spacing w:line="360" w:lineRule="auto"/>
        <w:ind w:firstLine="56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6.2.3在合同履约过程中，国家、地方或行业及招标人有发布新的物业管理规定的，按新发布的管理规定执行，中标人不得以任何理由要求招标人额外增加任何费用。</w:t>
      </w:r>
    </w:p>
    <w:p w14:paraId="00244424">
      <w:pPr>
        <w:adjustRightInd w:val="0"/>
        <w:snapToGrid w:val="0"/>
        <w:spacing w:line="360" w:lineRule="auto"/>
        <w:ind w:firstLine="56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6.2.4中标人投标时承诺自愿免费投入本项目使用的设备及软件系统不得以任何理由向招标人申请额外支付任何费用，后续实际运营过程中根据项目实际运营情况添置的设备和软件系统从对应的分项报价费用项目中按实列支。</w:t>
      </w:r>
    </w:p>
    <w:p w14:paraId="2D5DDB29">
      <w:pPr>
        <w:adjustRightInd w:val="0"/>
        <w:snapToGrid w:val="0"/>
        <w:spacing w:line="360" w:lineRule="auto"/>
        <w:ind w:firstLine="56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6.2.5 在合同履约过程中，物业共用部位、共用设施设备的日常维护、大修、中修和更新、改造中，单次</w:t>
      </w:r>
      <w:r>
        <w:rPr>
          <w:rFonts w:hint="eastAsia" w:ascii="宋体" w:hAnsi="宋体" w:eastAsia="宋体" w:cs="宋体"/>
          <w:b w:val="0"/>
          <w:bCs w:val="0"/>
          <w:color w:val="auto"/>
          <w:kern w:val="2"/>
          <w:sz w:val="21"/>
          <w:szCs w:val="21"/>
          <w:highlight w:val="none"/>
          <w:lang w:eastAsia="zh-CN" w:bidi="ar-SA"/>
        </w:rPr>
        <w:t>工器具及材料</w:t>
      </w:r>
      <w:r>
        <w:rPr>
          <w:rFonts w:hint="eastAsia" w:ascii="宋体" w:hAnsi="宋体" w:eastAsia="宋体" w:cs="宋体"/>
          <w:b w:val="0"/>
          <w:bCs w:val="0"/>
          <w:color w:val="auto"/>
          <w:kern w:val="0"/>
          <w:sz w:val="21"/>
          <w:szCs w:val="21"/>
          <w:highlight w:val="none"/>
          <w:lang w:val="en-US" w:eastAsia="zh-CN" w:bidi="en-US"/>
        </w:rPr>
        <w:t>费用不超过5000元，由中标人在工器具及材料费用费用中列支；单次</w:t>
      </w:r>
      <w:r>
        <w:rPr>
          <w:rFonts w:hint="eastAsia" w:ascii="宋体" w:hAnsi="宋体" w:eastAsia="宋体" w:cs="宋体"/>
          <w:b w:val="0"/>
          <w:bCs w:val="0"/>
          <w:color w:val="auto"/>
          <w:kern w:val="2"/>
          <w:sz w:val="21"/>
          <w:szCs w:val="21"/>
          <w:highlight w:val="none"/>
          <w:lang w:eastAsia="zh-CN" w:bidi="ar-SA"/>
        </w:rPr>
        <w:t>工器具及材料</w:t>
      </w:r>
      <w:r>
        <w:rPr>
          <w:rFonts w:hint="eastAsia" w:ascii="宋体" w:hAnsi="宋体" w:eastAsia="宋体" w:cs="宋体"/>
          <w:b w:val="0"/>
          <w:bCs w:val="0"/>
          <w:color w:val="auto"/>
          <w:kern w:val="0"/>
          <w:sz w:val="21"/>
          <w:szCs w:val="21"/>
          <w:highlight w:val="none"/>
          <w:lang w:val="en-US" w:eastAsia="zh-CN" w:bidi="en-US"/>
        </w:rPr>
        <w:t>费用超过5000元，由招标人负责或招标委托中标人采购，单独列支，不在工器具及材料费用费用中列支。</w:t>
      </w:r>
    </w:p>
    <w:p w14:paraId="4C41BC58">
      <w:pPr>
        <w:adjustRightInd w:val="0"/>
        <w:snapToGrid w:val="0"/>
        <w:spacing w:line="360" w:lineRule="auto"/>
        <w:ind w:firstLine="56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6.2.6原则上本项目所涉及到的物资均由中标人实施，招标人负责对实际运营过程中的费用据实支付。因双方另行约定的除外。</w:t>
      </w:r>
      <w:bookmarkEnd w:id="714"/>
      <w:bookmarkEnd w:id="715"/>
      <w:bookmarkEnd w:id="716"/>
    </w:p>
    <w:p w14:paraId="56BBEB7B">
      <w:pPr>
        <w:pageBreakBefore/>
        <w:tabs>
          <w:tab w:val="left" w:pos="1080"/>
        </w:tabs>
        <w:autoSpaceDE w:val="0"/>
        <w:autoSpaceDN w:val="0"/>
        <w:adjustRightInd w:val="0"/>
        <w:spacing w:line="360" w:lineRule="auto"/>
        <w:ind w:left="357" w:leftChars="-100" w:hanging="567"/>
        <w:jc w:val="center"/>
        <w:outlineLvl w:val="1"/>
        <w:rPr>
          <w:rFonts w:hint="eastAsia" w:ascii="宋体" w:hAnsi="宋体" w:eastAsia="宋体" w:cs="宋体"/>
          <w:b/>
          <w:bCs/>
          <w:color w:val="auto"/>
          <w:kern w:val="44"/>
          <w:sz w:val="32"/>
          <w:szCs w:val="32"/>
          <w:highlight w:val="none"/>
          <w:lang w:val="zh-CN"/>
        </w:rPr>
      </w:pPr>
      <w:bookmarkStart w:id="717" w:name="_Toc30747"/>
      <w:bookmarkStart w:id="718" w:name="_Toc23633"/>
      <w:r>
        <w:rPr>
          <w:rFonts w:hint="eastAsia" w:ascii="宋体" w:hAnsi="宋体" w:eastAsia="宋体" w:cs="宋体"/>
          <w:b/>
          <w:bCs/>
          <w:color w:val="auto"/>
          <w:kern w:val="44"/>
          <w:sz w:val="32"/>
          <w:szCs w:val="32"/>
          <w:highlight w:val="none"/>
          <w:lang w:val="zh-CN"/>
        </w:rPr>
        <w:t>第四篇 合同条款格式</w:t>
      </w:r>
      <w:bookmarkEnd w:id="717"/>
      <w:bookmarkEnd w:id="718"/>
    </w:p>
    <w:p w14:paraId="1A67E9E8">
      <w:pPr>
        <w:spacing w:line="360" w:lineRule="auto"/>
        <w:ind w:firstLine="0" w:firstLineChars="0"/>
        <w:jc w:val="center"/>
        <w:rPr>
          <w:rFonts w:hint="eastAsia" w:hAnsi="宋体" w:cs="宋体"/>
          <w:b/>
          <w:bCs/>
          <w:color w:val="auto"/>
          <w:sz w:val="44"/>
          <w:szCs w:val="44"/>
        </w:rPr>
      </w:pPr>
    </w:p>
    <w:p w14:paraId="2666CECF">
      <w:pPr>
        <w:spacing w:line="360" w:lineRule="auto"/>
        <w:ind w:firstLine="0" w:firstLineChars="0"/>
        <w:jc w:val="center"/>
        <w:rPr>
          <w:rFonts w:hint="eastAsia" w:hAnsi="宋体" w:cs="宋体"/>
          <w:b/>
          <w:bCs/>
          <w:color w:val="auto"/>
          <w:sz w:val="44"/>
          <w:szCs w:val="44"/>
        </w:rPr>
      </w:pPr>
    </w:p>
    <w:p w14:paraId="617B3469">
      <w:pPr>
        <w:spacing w:line="360" w:lineRule="auto"/>
        <w:ind w:firstLine="0" w:firstLineChars="0"/>
        <w:jc w:val="center"/>
        <w:rPr>
          <w:rFonts w:hint="eastAsia" w:ascii="宋体" w:hAnsi="宋体" w:eastAsia="宋体" w:cs="宋体"/>
          <w:bCs/>
          <w:color w:val="auto"/>
          <w:sz w:val="32"/>
          <w:szCs w:val="32"/>
          <w:lang w:val="en-US" w:eastAsia="zh-CN"/>
        </w:rPr>
      </w:pPr>
      <w:r>
        <w:rPr>
          <w:rFonts w:hint="eastAsia" w:ascii="宋体" w:hAnsi="宋体" w:eastAsia="宋体" w:cs="宋体"/>
          <w:b/>
          <w:bCs/>
          <w:color w:val="auto"/>
          <w:sz w:val="44"/>
          <w:szCs w:val="44"/>
        </w:rPr>
        <w:t>东莞市置拓投资有限公司水业大</w:t>
      </w:r>
      <w:r>
        <w:rPr>
          <w:rFonts w:hint="eastAsia" w:ascii="宋体" w:hAnsi="宋体" w:eastAsia="宋体" w:cs="宋体"/>
          <w:b/>
          <w:bCs/>
          <w:color w:val="auto"/>
          <w:sz w:val="44"/>
          <w:szCs w:val="44"/>
          <w:lang w:val="en-US" w:eastAsia="zh-CN"/>
        </w:rPr>
        <w:t>厦2026-2027年度</w:t>
      </w:r>
      <w:r>
        <w:rPr>
          <w:rFonts w:hint="eastAsia" w:ascii="宋体" w:hAnsi="宋体" w:eastAsia="宋体" w:cs="宋体"/>
          <w:b/>
          <w:bCs/>
          <w:color w:val="auto"/>
          <w:sz w:val="44"/>
          <w:szCs w:val="44"/>
        </w:rPr>
        <w:t>物业管理服务</w:t>
      </w:r>
      <w:r>
        <w:rPr>
          <w:rFonts w:hint="eastAsia" w:ascii="宋体" w:hAnsi="宋体" w:eastAsia="宋体" w:cs="宋体"/>
          <w:b/>
          <w:bCs/>
          <w:color w:val="auto"/>
          <w:sz w:val="44"/>
          <w:szCs w:val="44"/>
          <w:lang w:val="en-US" w:eastAsia="zh-CN"/>
        </w:rPr>
        <w:t>采购项目</w:t>
      </w:r>
    </w:p>
    <w:p w14:paraId="363B8028">
      <w:pPr>
        <w:spacing w:line="360" w:lineRule="auto"/>
        <w:ind w:firstLine="0" w:firstLineChars="0"/>
        <w:jc w:val="center"/>
        <w:rPr>
          <w:rFonts w:hint="eastAsia" w:ascii="宋体" w:hAnsi="宋体" w:eastAsia="宋体" w:cs="宋体"/>
          <w:bCs/>
          <w:color w:val="auto"/>
          <w:sz w:val="32"/>
          <w:szCs w:val="32"/>
        </w:rPr>
      </w:pPr>
    </w:p>
    <w:p w14:paraId="78B82AC2">
      <w:pPr>
        <w:spacing w:line="360" w:lineRule="auto"/>
        <w:ind w:left="0" w:leftChars="0" w:firstLine="0" w:firstLineChars="0"/>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采购合同</w:t>
      </w:r>
    </w:p>
    <w:p w14:paraId="7E0D1C65">
      <w:pPr>
        <w:spacing w:line="360" w:lineRule="auto"/>
        <w:jc w:val="center"/>
        <w:rPr>
          <w:rFonts w:hint="eastAsia" w:ascii="宋体" w:hAnsi="宋体" w:eastAsia="宋体" w:cs="宋体"/>
          <w:b/>
          <w:bCs/>
          <w:color w:val="auto"/>
          <w:kern w:val="0"/>
          <w:sz w:val="24"/>
          <w:szCs w:val="21"/>
          <w:highlight w:val="none"/>
        </w:rPr>
      </w:pPr>
    </w:p>
    <w:p w14:paraId="73F33FFB">
      <w:pPr>
        <w:spacing w:line="360" w:lineRule="auto"/>
        <w:jc w:val="center"/>
        <w:rPr>
          <w:rFonts w:hint="eastAsia" w:ascii="宋体" w:hAnsi="宋体" w:eastAsia="宋体" w:cs="宋体"/>
          <w:b/>
          <w:color w:val="auto"/>
          <w:sz w:val="52"/>
          <w:szCs w:val="52"/>
          <w:highlight w:val="none"/>
        </w:rPr>
      </w:pPr>
      <w:r>
        <w:rPr>
          <w:rFonts w:hint="eastAsia" w:ascii="宋体" w:hAnsi="宋体" w:eastAsia="宋体" w:cs="宋体"/>
          <w:b/>
          <w:bCs/>
          <w:color w:val="auto"/>
          <w:kern w:val="0"/>
          <w:sz w:val="24"/>
          <w:szCs w:val="21"/>
          <w:highlight w:val="none"/>
        </w:rPr>
        <w:t>（合同编号：       ）</w:t>
      </w:r>
    </w:p>
    <w:p w14:paraId="1263C9DE">
      <w:pPr>
        <w:spacing w:line="360" w:lineRule="auto"/>
        <w:ind w:firstLine="0" w:firstLineChars="0"/>
        <w:jc w:val="center"/>
        <w:rPr>
          <w:rFonts w:hint="eastAsia" w:ascii="宋体" w:hAnsi="宋体" w:eastAsia="宋体" w:cs="宋体"/>
          <w:bCs/>
          <w:color w:val="auto"/>
          <w:sz w:val="32"/>
          <w:szCs w:val="32"/>
        </w:rPr>
      </w:pPr>
    </w:p>
    <w:p w14:paraId="1D66CB65">
      <w:pPr>
        <w:spacing w:line="360" w:lineRule="auto"/>
        <w:ind w:firstLine="0" w:firstLineChars="0"/>
        <w:jc w:val="center"/>
        <w:rPr>
          <w:rFonts w:hint="eastAsia" w:ascii="宋体" w:hAnsi="宋体" w:eastAsia="宋体" w:cs="宋体"/>
          <w:bCs/>
          <w:color w:val="auto"/>
          <w:sz w:val="32"/>
          <w:szCs w:val="32"/>
        </w:rPr>
      </w:pPr>
    </w:p>
    <w:p w14:paraId="0EE3FC4E">
      <w:pPr>
        <w:spacing w:line="360" w:lineRule="auto"/>
        <w:ind w:firstLine="0" w:firstLineChars="0"/>
        <w:jc w:val="center"/>
        <w:rPr>
          <w:rFonts w:hint="eastAsia" w:ascii="宋体" w:hAnsi="宋体" w:eastAsia="宋体" w:cs="宋体"/>
          <w:bCs/>
          <w:color w:val="auto"/>
          <w:sz w:val="32"/>
          <w:szCs w:val="32"/>
        </w:rPr>
      </w:pPr>
    </w:p>
    <w:p w14:paraId="64422FF7">
      <w:pPr>
        <w:spacing w:line="360" w:lineRule="auto"/>
        <w:ind w:firstLine="0" w:firstLineChars="0"/>
        <w:jc w:val="center"/>
        <w:rPr>
          <w:rFonts w:hint="eastAsia" w:ascii="宋体" w:hAnsi="宋体" w:eastAsia="宋体" w:cs="宋体"/>
          <w:bCs/>
          <w:color w:val="auto"/>
          <w:sz w:val="32"/>
          <w:szCs w:val="32"/>
        </w:rPr>
      </w:pPr>
    </w:p>
    <w:p w14:paraId="0E7FDAF3">
      <w:pPr>
        <w:spacing w:line="360" w:lineRule="auto"/>
        <w:ind w:firstLine="0" w:firstLineChars="0"/>
        <w:jc w:val="center"/>
        <w:rPr>
          <w:rFonts w:hint="eastAsia" w:ascii="宋体" w:hAnsi="宋体" w:eastAsia="宋体" w:cs="宋体"/>
          <w:bCs/>
          <w:color w:val="auto"/>
          <w:sz w:val="32"/>
          <w:szCs w:val="32"/>
        </w:rPr>
      </w:pPr>
    </w:p>
    <w:p w14:paraId="588AF4F7">
      <w:pPr>
        <w:spacing w:line="360" w:lineRule="auto"/>
        <w:ind w:firstLine="0" w:firstLineChars="0"/>
        <w:jc w:val="center"/>
        <w:rPr>
          <w:rFonts w:hint="eastAsia" w:ascii="宋体" w:hAnsi="宋体" w:eastAsia="宋体" w:cs="宋体"/>
          <w:color w:val="auto"/>
          <w:sz w:val="30"/>
          <w:szCs w:val="30"/>
        </w:rPr>
      </w:pPr>
    </w:p>
    <w:p w14:paraId="35C05CEC">
      <w:pPr>
        <w:spacing w:line="360" w:lineRule="auto"/>
        <w:ind w:firstLine="2660" w:firstLineChars="95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甲  方</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东莞市置拓投资有限公司</w:t>
      </w:r>
    </w:p>
    <w:p w14:paraId="36B9125B">
      <w:pPr>
        <w:spacing w:line="360" w:lineRule="auto"/>
        <w:ind w:firstLine="2660" w:firstLineChars="950"/>
        <w:rPr>
          <w:rFonts w:hint="eastAsia" w:ascii="宋体" w:hAnsi="宋体" w:eastAsia="宋体" w:cs="宋体"/>
          <w:color w:val="auto"/>
          <w:sz w:val="28"/>
          <w:szCs w:val="28"/>
          <w:u w:val="single"/>
        </w:rPr>
      </w:pPr>
      <w:r>
        <w:rPr>
          <w:rFonts w:hint="eastAsia" w:ascii="宋体" w:hAnsi="宋体" w:eastAsia="宋体" w:cs="宋体"/>
          <w:color w:val="auto"/>
          <w:sz w:val="28"/>
          <w:szCs w:val="28"/>
          <w:lang w:val="en-US" w:eastAsia="zh-CN"/>
        </w:rPr>
        <w:t>乙  方</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p>
    <w:p w14:paraId="58008594">
      <w:pPr>
        <w:spacing w:line="360" w:lineRule="auto"/>
        <w:ind w:firstLine="0" w:firstLineChars="0"/>
        <w:jc w:val="center"/>
        <w:rPr>
          <w:rFonts w:hint="eastAsia" w:ascii="宋体" w:hAnsi="宋体" w:eastAsia="宋体" w:cs="宋体"/>
          <w:bCs/>
          <w:color w:val="auto"/>
          <w:sz w:val="32"/>
          <w:szCs w:val="32"/>
        </w:rPr>
      </w:pPr>
    </w:p>
    <w:p w14:paraId="0518A3A7">
      <w:pPr>
        <w:spacing w:line="360" w:lineRule="auto"/>
        <w:ind w:firstLine="0" w:firstLineChars="0"/>
        <w:jc w:val="center"/>
        <w:rPr>
          <w:rFonts w:hint="eastAsia" w:ascii="宋体" w:hAnsi="宋体" w:eastAsia="宋体" w:cs="宋体"/>
          <w:bCs/>
          <w:color w:val="auto"/>
          <w:sz w:val="28"/>
          <w:szCs w:val="28"/>
        </w:rPr>
      </w:pPr>
      <w:r>
        <w:rPr>
          <w:rFonts w:hint="eastAsia" w:ascii="宋体" w:hAnsi="宋体" w:eastAsia="宋体" w:cs="宋体"/>
          <w:bCs/>
          <w:color w:val="auto"/>
          <w:sz w:val="28"/>
          <w:szCs w:val="28"/>
          <w:lang w:val="en-US" w:eastAsia="zh-CN"/>
        </w:rPr>
        <w:t>签订日期：</w:t>
      </w:r>
      <w:r>
        <w:rPr>
          <w:rFonts w:hint="eastAsia" w:ascii="宋体" w:hAnsi="宋体" w:eastAsia="宋体" w:cs="宋体"/>
          <w:bCs/>
          <w:color w:val="auto"/>
          <w:sz w:val="28"/>
          <w:szCs w:val="28"/>
        </w:rPr>
        <w:t>年    月   日</w:t>
      </w:r>
      <w:bookmarkStart w:id="719" w:name="_Toc530347186"/>
      <w:bookmarkStart w:id="720" w:name="_Toc527954757"/>
      <w:bookmarkStart w:id="721" w:name="_Toc532553118"/>
      <w:bookmarkStart w:id="722" w:name="_Toc527955001"/>
      <w:bookmarkStart w:id="723" w:name="_Toc531850338"/>
      <w:bookmarkStart w:id="724" w:name="_Toc532553044"/>
      <w:bookmarkStart w:id="725" w:name="_Toc97403565"/>
    </w:p>
    <w:p w14:paraId="49A7CC9E">
      <w:pPr>
        <w:spacing w:line="360" w:lineRule="auto"/>
        <w:ind w:firstLine="0" w:firstLineChars="0"/>
        <w:jc w:val="both"/>
        <w:rPr>
          <w:rFonts w:hint="eastAsia" w:hAnsi="宋体" w:cs="宋体"/>
          <w:color w:val="auto"/>
        </w:rPr>
      </w:pPr>
    </w:p>
    <w:bookmarkEnd w:id="719"/>
    <w:bookmarkEnd w:id="720"/>
    <w:bookmarkEnd w:id="721"/>
    <w:bookmarkEnd w:id="722"/>
    <w:bookmarkEnd w:id="723"/>
    <w:bookmarkEnd w:id="724"/>
    <w:bookmarkEnd w:id="725"/>
    <w:p w14:paraId="19E474EE">
      <w:pPr>
        <w:snapToGrid w:val="0"/>
        <w:spacing w:line="360" w:lineRule="auto"/>
        <w:ind w:firstLine="420"/>
        <w:rPr>
          <w:rFonts w:hint="eastAsia" w:ascii="宋体" w:hAnsi="宋体" w:eastAsia="宋体" w:cs="宋体"/>
          <w:color w:val="auto"/>
          <w:szCs w:val="21"/>
        </w:rPr>
      </w:pPr>
    </w:p>
    <w:p w14:paraId="6BC00EEC">
      <w:pPr>
        <w:autoSpaceDE/>
        <w:autoSpaceDN/>
        <w:adjustRightInd/>
        <w:snapToGrid w:val="0"/>
        <w:spacing w:line="360" w:lineRule="auto"/>
        <w:ind w:firstLine="0" w:firstLineChars="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甲方：东莞市置拓投资有限公司</w:t>
      </w:r>
    </w:p>
    <w:p w14:paraId="2C421676">
      <w:pPr>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统一社会信用代码：</w:t>
      </w:r>
      <w:r>
        <w:rPr>
          <w:rFonts w:hint="eastAsia" w:ascii="宋体" w:hAnsi="宋体" w:eastAsia="宋体" w:cs="宋体"/>
          <w:color w:val="auto"/>
          <w:sz w:val="21"/>
          <w:szCs w:val="21"/>
          <w:u w:val="single"/>
        </w:rPr>
        <w:t xml:space="preserve">               </w:t>
      </w:r>
    </w:p>
    <w:p w14:paraId="48DBF30B">
      <w:pPr>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住所：</w:t>
      </w:r>
      <w:r>
        <w:rPr>
          <w:rFonts w:hint="eastAsia" w:ascii="宋体" w:hAnsi="宋体" w:eastAsia="宋体" w:cs="宋体"/>
          <w:color w:val="auto"/>
          <w:sz w:val="21"/>
          <w:szCs w:val="21"/>
          <w:u w:val="single"/>
        </w:rPr>
        <w:t xml:space="preserve">              </w:t>
      </w:r>
    </w:p>
    <w:p w14:paraId="4703F59B">
      <w:pPr>
        <w:snapToGrid w:val="0"/>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rPr>
        <w:t>法定代表人：</w:t>
      </w:r>
      <w:r>
        <w:rPr>
          <w:rFonts w:hint="eastAsia" w:ascii="宋体" w:hAnsi="宋体" w:eastAsia="宋体" w:cs="宋体"/>
          <w:color w:val="auto"/>
          <w:sz w:val="21"/>
          <w:szCs w:val="21"/>
          <w:u w:val="single"/>
        </w:rPr>
        <w:t xml:space="preserve">              </w:t>
      </w:r>
    </w:p>
    <w:p w14:paraId="1C6F963B">
      <w:pPr>
        <w:snapToGrid w:val="0"/>
        <w:spacing w:line="360" w:lineRule="auto"/>
        <w:ind w:firstLine="0" w:firstLineChars="0"/>
        <w:rPr>
          <w:rFonts w:hint="eastAsia" w:ascii="宋体" w:hAnsi="宋体" w:eastAsia="宋体" w:cs="宋体"/>
          <w:color w:val="auto"/>
          <w:sz w:val="21"/>
          <w:szCs w:val="21"/>
        </w:rPr>
      </w:pPr>
    </w:p>
    <w:p w14:paraId="7E2F27FB">
      <w:pPr>
        <w:widowControl/>
        <w:autoSpaceDE/>
        <w:autoSpaceDN/>
        <w:adjustRightInd/>
        <w:snapToGrid w:val="0"/>
        <w:spacing w:line="360" w:lineRule="auto"/>
        <w:ind w:firstLine="0" w:firstLineChars="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 xml:space="preserve">乙方：              </w:t>
      </w:r>
    </w:p>
    <w:p w14:paraId="6878820A">
      <w:pPr>
        <w:snapToGrid w:val="0"/>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rPr>
        <w:t>统一社会信用代码：</w:t>
      </w:r>
      <w:r>
        <w:rPr>
          <w:rFonts w:hint="eastAsia" w:ascii="宋体" w:hAnsi="宋体" w:eastAsia="宋体" w:cs="宋体"/>
          <w:color w:val="auto"/>
          <w:sz w:val="21"/>
          <w:szCs w:val="21"/>
          <w:u w:val="single"/>
        </w:rPr>
        <w:t xml:space="preserve">              </w:t>
      </w:r>
    </w:p>
    <w:p w14:paraId="59DCFE23">
      <w:pPr>
        <w:snapToGrid w:val="0"/>
        <w:spacing w:line="360" w:lineRule="auto"/>
        <w:ind w:firstLine="420"/>
        <w:rPr>
          <w:rFonts w:hint="eastAsia" w:ascii="宋体" w:hAnsi="宋体" w:eastAsia="宋体" w:cs="宋体"/>
          <w:b w:val="0"/>
          <w:bCs w:val="0"/>
          <w:color w:val="auto"/>
          <w:sz w:val="21"/>
          <w:szCs w:val="21"/>
          <w:u w:val="single"/>
        </w:rPr>
      </w:pPr>
      <w:r>
        <w:rPr>
          <w:rFonts w:hint="eastAsia" w:ascii="宋体" w:hAnsi="宋体" w:eastAsia="宋体" w:cs="宋体"/>
          <w:b w:val="0"/>
          <w:bCs w:val="0"/>
          <w:color w:val="auto"/>
          <w:sz w:val="21"/>
          <w:szCs w:val="21"/>
        </w:rPr>
        <w:t>住所：</w:t>
      </w:r>
      <w:r>
        <w:rPr>
          <w:rFonts w:hint="eastAsia" w:ascii="宋体" w:hAnsi="宋体" w:eastAsia="宋体" w:cs="宋体"/>
          <w:b w:val="0"/>
          <w:bCs w:val="0"/>
          <w:color w:val="auto"/>
          <w:sz w:val="21"/>
          <w:szCs w:val="21"/>
          <w:u w:val="single"/>
        </w:rPr>
        <w:t xml:space="preserve">              </w:t>
      </w:r>
    </w:p>
    <w:p w14:paraId="55F85BBE">
      <w:pPr>
        <w:pStyle w:val="18"/>
        <w:ind w:firstLine="420"/>
        <w:jc w:val="left"/>
        <w:rPr>
          <w:rFonts w:hint="eastAsia" w:ascii="宋体" w:hAnsi="宋体" w:eastAsia="宋体" w:cs="宋体"/>
          <w:b w:val="0"/>
          <w:bCs w:val="0"/>
          <w:color w:val="auto"/>
          <w:sz w:val="21"/>
          <w:szCs w:val="21"/>
          <w:u w:val="single"/>
          <w:lang w:val="en-US"/>
        </w:rPr>
      </w:pPr>
      <w:r>
        <w:rPr>
          <w:rFonts w:hint="eastAsia" w:ascii="宋体" w:hAnsi="宋体" w:eastAsia="宋体" w:cs="宋体"/>
          <w:b w:val="0"/>
          <w:bCs w:val="0"/>
          <w:color w:val="auto"/>
          <w:sz w:val="21"/>
          <w:szCs w:val="21"/>
        </w:rPr>
        <w:t>法定代表人：</w:t>
      </w:r>
      <w:r>
        <w:rPr>
          <w:rFonts w:hint="eastAsia" w:ascii="宋体" w:hAnsi="宋体" w:eastAsia="宋体" w:cs="宋体"/>
          <w:b w:val="0"/>
          <w:bCs w:val="0"/>
          <w:color w:val="auto"/>
          <w:sz w:val="21"/>
          <w:szCs w:val="21"/>
          <w:u w:val="single"/>
          <w:lang w:val="en-US"/>
        </w:rPr>
        <w:t xml:space="preserve">              </w:t>
      </w:r>
    </w:p>
    <w:p w14:paraId="39CDDD7A">
      <w:pPr>
        <w:spacing w:line="360" w:lineRule="auto"/>
        <w:ind w:firstLine="420"/>
        <w:rPr>
          <w:rFonts w:hint="eastAsia" w:ascii="宋体" w:hAnsi="宋体" w:eastAsia="宋体" w:cs="宋体"/>
          <w:color w:val="auto"/>
          <w:sz w:val="21"/>
          <w:szCs w:val="21"/>
        </w:rPr>
      </w:pPr>
    </w:p>
    <w:p w14:paraId="6EB4B7E5">
      <w:pPr>
        <w:numPr>
          <w:ilvl w:val="0"/>
          <w:numId w:val="39"/>
        </w:numPr>
        <w:spacing w:line="360"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服务内容</w:t>
      </w:r>
    </w:p>
    <w:p w14:paraId="1B262E40">
      <w:pPr>
        <w:numPr>
          <w:ilvl w:val="-1"/>
          <w:numId w:val="0"/>
        </w:num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lang w:val="en-US" w:eastAsia="zh-CN"/>
        </w:rPr>
        <w:t xml:space="preserve">1.1 </w:t>
      </w:r>
      <w:r>
        <w:rPr>
          <w:rFonts w:hint="eastAsia" w:ascii="宋体" w:hAnsi="宋体" w:eastAsia="宋体" w:cs="宋体"/>
          <w:color w:val="auto"/>
          <w:szCs w:val="21"/>
          <w:highlight w:val="none"/>
        </w:rPr>
        <w:t>水业大厦物业管理服务分为</w:t>
      </w:r>
      <w:r>
        <w:rPr>
          <w:rFonts w:hint="eastAsia" w:ascii="宋体" w:hAnsi="宋体" w:eastAsia="宋体" w:cs="宋体"/>
          <w:color w:val="auto"/>
          <w:szCs w:val="21"/>
          <w:highlight w:val="none"/>
          <w:lang w:val="en-US" w:eastAsia="zh-CN"/>
        </w:rPr>
        <w:t>物业管理带教</w:t>
      </w:r>
      <w:r>
        <w:rPr>
          <w:rFonts w:hint="eastAsia" w:ascii="宋体" w:hAnsi="宋体" w:eastAsia="宋体" w:cs="宋体"/>
          <w:color w:val="auto"/>
          <w:szCs w:val="21"/>
          <w:highlight w:val="none"/>
        </w:rPr>
        <w:t>服务和物业管理</w:t>
      </w:r>
      <w:r>
        <w:rPr>
          <w:rFonts w:hint="eastAsia" w:ascii="宋体" w:hAnsi="宋体" w:eastAsia="宋体" w:cs="宋体"/>
          <w:color w:val="auto"/>
          <w:szCs w:val="21"/>
          <w:highlight w:val="none"/>
          <w:lang w:val="en-US" w:eastAsia="zh-CN"/>
        </w:rPr>
        <w:t>运营</w:t>
      </w:r>
      <w:r>
        <w:rPr>
          <w:rFonts w:hint="eastAsia" w:ascii="宋体" w:hAnsi="宋体" w:eastAsia="宋体" w:cs="宋体"/>
          <w:color w:val="auto"/>
          <w:szCs w:val="21"/>
          <w:highlight w:val="none"/>
        </w:rPr>
        <w:t>服务，物业管理</w:t>
      </w:r>
      <w:r>
        <w:rPr>
          <w:rFonts w:hint="eastAsia" w:ascii="宋体" w:hAnsi="宋体" w:eastAsia="宋体" w:cs="宋体"/>
          <w:color w:val="auto"/>
          <w:szCs w:val="21"/>
          <w:highlight w:val="none"/>
          <w:lang w:val="en-US" w:eastAsia="zh-CN"/>
        </w:rPr>
        <w:t>带教</w:t>
      </w:r>
      <w:r>
        <w:rPr>
          <w:rFonts w:hint="eastAsia" w:ascii="宋体" w:hAnsi="宋体" w:eastAsia="宋体" w:cs="宋体"/>
          <w:color w:val="auto"/>
          <w:szCs w:val="21"/>
          <w:highlight w:val="none"/>
        </w:rPr>
        <w:t>服务</w:t>
      </w:r>
      <w:r>
        <w:rPr>
          <w:rFonts w:hint="eastAsia" w:ascii="宋体" w:hAnsi="宋体" w:eastAsia="宋体" w:cs="宋体"/>
          <w:color w:val="auto"/>
          <w:szCs w:val="21"/>
          <w:highlight w:val="none"/>
          <w:lang w:val="en-US" w:eastAsia="zh-CN"/>
        </w:rPr>
        <w:t>由乙方对甲方委派的学员进行系统化的带教，使学员全面掌握写字楼物业项目的运营管理知识与技能，具备独立处理复杂问题、带领团队、达成业绩指标的能力，带教服务</w:t>
      </w:r>
      <w:r>
        <w:rPr>
          <w:rFonts w:hint="eastAsia" w:ascii="宋体" w:hAnsi="宋体" w:eastAsia="宋体" w:cs="宋体"/>
          <w:color w:val="auto"/>
          <w:szCs w:val="21"/>
          <w:highlight w:val="none"/>
        </w:rPr>
        <w:t>内容包括但不限于</w:t>
      </w:r>
      <w:r>
        <w:rPr>
          <w:rFonts w:hint="eastAsia" w:ascii="宋体" w:hAnsi="宋体" w:eastAsia="宋体" w:cs="宋体"/>
          <w:color w:val="auto"/>
          <w:szCs w:val="21"/>
          <w:highlight w:val="none"/>
          <w:lang w:val="en-US" w:eastAsia="zh-CN"/>
        </w:rPr>
        <w:t>项目管理体系、客户服务与关系维护、工程运维管理、秩序维护与环境管理、运营管理与财务知识、管理能力与领导力等</w:t>
      </w:r>
      <w:r>
        <w:rPr>
          <w:rFonts w:hint="eastAsia" w:ascii="宋体" w:hAnsi="宋体" w:eastAsia="宋体" w:cs="宋体"/>
          <w:color w:val="auto"/>
          <w:szCs w:val="21"/>
          <w:highlight w:val="none"/>
        </w:rPr>
        <w:t>工作。物业管理</w:t>
      </w:r>
      <w:r>
        <w:rPr>
          <w:rFonts w:hint="eastAsia" w:ascii="宋体" w:hAnsi="宋体" w:eastAsia="宋体" w:cs="宋体"/>
          <w:color w:val="auto"/>
          <w:szCs w:val="21"/>
          <w:highlight w:val="none"/>
          <w:lang w:val="en-US" w:eastAsia="zh-CN"/>
        </w:rPr>
        <w:t>运营</w:t>
      </w:r>
      <w:r>
        <w:rPr>
          <w:rFonts w:hint="eastAsia" w:ascii="宋体" w:hAnsi="宋体" w:eastAsia="宋体" w:cs="宋体"/>
          <w:color w:val="auto"/>
          <w:szCs w:val="21"/>
          <w:highlight w:val="none"/>
        </w:rPr>
        <w:t>服务内容包括但不限于</w:t>
      </w:r>
      <w:r>
        <w:rPr>
          <w:rFonts w:hint="eastAsia" w:ascii="宋体" w:hAnsi="宋体" w:eastAsia="宋体" w:cs="宋体"/>
          <w:color w:val="auto"/>
          <w:szCs w:val="21"/>
          <w:highlight w:val="none"/>
          <w:lang w:val="en-US" w:eastAsia="zh-CN"/>
        </w:rPr>
        <w:t>水业大厦的客户服务管理、安全保卫管理、清洁卫生管理、园林绿化养护和管理、空调系统维护保养管理、消防系统维护保养管理、供配电系统维护保养管理、给排水系统维护保养管理、智能化系统维护与保养管理、电梯系统维护与保养管理、突发应急管理、楼宇主体及其附属设施、公共配套设施维护与保养、日常物业维修及物业使用人装修管理、其他服务</w:t>
      </w:r>
      <w:r>
        <w:rPr>
          <w:rFonts w:hint="eastAsia" w:ascii="宋体" w:hAnsi="宋体" w:eastAsia="宋体" w:cs="宋体"/>
          <w:bCs/>
          <w:color w:val="auto"/>
          <w:szCs w:val="21"/>
          <w:highlight w:val="none"/>
        </w:rPr>
        <w:t>等工作。具体服务内容及要求详见附件3《用户需求书》。</w:t>
      </w:r>
    </w:p>
    <w:p w14:paraId="589DE7DE">
      <w:pPr>
        <w:spacing w:line="360"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b/>
          <w:bCs w:val="0"/>
          <w:color w:val="auto"/>
          <w:szCs w:val="21"/>
          <w:highlight w:val="none"/>
          <w:u w:val="single"/>
          <w:lang w:val="en-US" w:eastAsia="zh-CN"/>
        </w:rPr>
        <w:t>1.2 合同服务期内，甲方有权根据项目实施情况及甲方物业管理团队组建情况，将本项目物业管理运营岗位（工程负责人、安保负责人、环境负责人、客服负责人）调整为由甲方自行配置人员，调整配置岗位和实际配置人员以甲方书面通知为准，乙方须无条件配合进行人员交接工作，甲方实际配置人员后不再向乙方支付对应调整配置岗位的人工费用，乙方不得向甲方追讨任何其他费用、补偿或赔偿或主张任何权利和责任。甲方自配岗位人员后，该岗位对应的直接管理责任及履职后果由甲方负责；乙方不再对该岗位人员的行为及履职结果承担责任，但仍应就整体物业运营提供必要协调与技术支持。乙方参与本项目投标、递交投标报价，即视为清楚了解和接受本招标项目的风险，乙方同意并承诺不因前述风险事项的发生而向甲方追究违约责任或主张损失赔偿</w:t>
      </w:r>
      <w:r>
        <w:rPr>
          <w:rFonts w:hint="eastAsia" w:ascii="宋体" w:hAnsi="宋体" w:eastAsia="宋体" w:cs="宋体"/>
          <w:bCs/>
          <w:color w:val="auto"/>
          <w:szCs w:val="21"/>
          <w:highlight w:val="none"/>
          <w:lang w:val="en-US" w:eastAsia="zh-CN"/>
        </w:rPr>
        <w:t>。</w:t>
      </w:r>
    </w:p>
    <w:p w14:paraId="0CA2798F">
      <w:pPr>
        <w:spacing w:line="360" w:lineRule="auto"/>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第二条 服务期限</w:t>
      </w:r>
    </w:p>
    <w:p w14:paraId="22F88CF3">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本合同服务期限：</w:t>
      </w:r>
      <w:r>
        <w:rPr>
          <w:rFonts w:hint="eastAsia" w:ascii="宋体" w:hAnsi="宋体" w:eastAsia="宋体" w:cs="宋体"/>
          <w:color w:val="auto"/>
          <w:szCs w:val="21"/>
          <w:highlight w:val="none"/>
          <w:lang w:val="en-US" w:eastAsia="zh-CN"/>
        </w:rPr>
        <w:t>自甲方书面通知乙方进场之日起至2027年12月31日</w:t>
      </w:r>
      <w:r>
        <w:rPr>
          <w:rFonts w:hint="eastAsia" w:ascii="宋体" w:hAnsi="宋体" w:eastAsia="宋体" w:cs="宋体"/>
          <w:color w:val="auto"/>
          <w:szCs w:val="21"/>
          <w:highlight w:val="none"/>
        </w:rPr>
        <w:t>。</w:t>
      </w:r>
    </w:p>
    <w:p w14:paraId="2B83E796">
      <w:pPr>
        <w:spacing w:line="360" w:lineRule="auto"/>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第三条 合同价款</w:t>
      </w:r>
    </w:p>
    <w:p w14:paraId="5045AD4A">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服务期内暂定合同总价（不含乙方销项税额）为¥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）。其中：</w:t>
      </w:r>
    </w:p>
    <w:p w14:paraId="777BDFC1">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物业管理带教服务费</w:t>
      </w:r>
      <w:r>
        <w:rPr>
          <w:rFonts w:hint="eastAsia" w:ascii="宋体" w:hAnsi="宋体" w:eastAsia="宋体" w:cs="宋体"/>
          <w:color w:val="auto"/>
          <w:szCs w:val="21"/>
          <w:highlight w:val="none"/>
        </w:rPr>
        <w:t>（不含乙方销项税额）为¥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C0E1729">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物业管理运营服务费（</w:t>
      </w:r>
      <w:r>
        <w:rPr>
          <w:rFonts w:hint="eastAsia" w:ascii="宋体" w:hAnsi="宋体" w:eastAsia="宋体" w:cs="宋体"/>
          <w:color w:val="auto"/>
          <w:szCs w:val="21"/>
          <w:highlight w:val="none"/>
        </w:rPr>
        <w:t>不含乙方销项税额）</w:t>
      </w:r>
      <w:r>
        <w:rPr>
          <w:rFonts w:hint="eastAsia" w:ascii="宋体" w:hAnsi="宋体" w:eastAsia="宋体" w:cs="宋体"/>
          <w:color w:val="auto"/>
          <w:szCs w:val="21"/>
          <w:highlight w:val="none"/>
          <w:lang w:val="en-US" w:eastAsia="zh-CN"/>
        </w:rPr>
        <w:t>最高限额</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物业管理运营服务费中的</w:t>
      </w:r>
      <w:r>
        <w:rPr>
          <w:rFonts w:hint="eastAsia" w:ascii="宋体" w:hAnsi="宋体" w:eastAsia="宋体" w:cs="宋体"/>
          <w:color w:val="auto"/>
          <w:szCs w:val="21"/>
          <w:highlight w:val="none"/>
        </w:rPr>
        <w:t>运营</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人工费用（不含乙方销项税额）最高限额为¥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2C0ACE9">
      <w:pPr>
        <w:pStyle w:val="53"/>
        <w:spacing w:line="360" w:lineRule="auto"/>
        <w:ind w:left="0" w:firstLine="42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3.2 合同履约过程中，</w:t>
      </w:r>
      <w:r>
        <w:rPr>
          <w:rFonts w:hint="eastAsia" w:ascii="宋体" w:hAnsi="宋体" w:eastAsia="宋体" w:cs="宋体"/>
          <w:color w:val="auto"/>
          <w:szCs w:val="21"/>
          <w:highlight w:val="none"/>
          <w:lang w:val="en-US" w:eastAsia="zh-CN"/>
        </w:rPr>
        <w:t>物业管理带教服务费用</w:t>
      </w:r>
      <w:r>
        <w:rPr>
          <w:rFonts w:hint="eastAsia" w:ascii="宋体" w:hAnsi="宋体" w:eastAsia="宋体" w:cs="宋体"/>
          <w:color w:val="auto"/>
          <w:szCs w:val="21"/>
          <w:highlight w:val="none"/>
          <w:lang w:val="en-US"/>
        </w:rPr>
        <w:t>固定不变，甲方将结合考核结果进行支付；</w:t>
      </w:r>
      <w:r>
        <w:rPr>
          <w:rFonts w:hint="eastAsia" w:ascii="宋体" w:hAnsi="宋体" w:eastAsia="宋体" w:cs="宋体"/>
          <w:color w:val="auto"/>
          <w:szCs w:val="21"/>
          <w:highlight w:val="none"/>
          <w:lang w:val="en-US" w:eastAsia="zh-CN"/>
        </w:rPr>
        <w:t>物业管理运营服务费用仅</w:t>
      </w:r>
      <w:r>
        <w:rPr>
          <w:rFonts w:hint="eastAsia" w:ascii="宋体" w:hAnsi="宋体" w:eastAsia="宋体" w:cs="宋体"/>
          <w:color w:val="auto"/>
          <w:szCs w:val="21"/>
          <w:highlight w:val="none"/>
          <w:lang w:val="en-US"/>
        </w:rPr>
        <w:t>在</w:t>
      </w:r>
      <w:r>
        <w:rPr>
          <w:rFonts w:hint="eastAsia" w:ascii="宋体" w:hAnsi="宋体" w:eastAsia="宋体" w:cs="宋体"/>
          <w:color w:val="auto"/>
          <w:szCs w:val="21"/>
          <w:highlight w:val="none"/>
          <w:lang w:val="en-US" w:eastAsia="zh-CN"/>
        </w:rPr>
        <w:t>乙方投标报价所</w:t>
      </w:r>
      <w:r>
        <w:rPr>
          <w:rFonts w:hint="eastAsia" w:ascii="宋体" w:hAnsi="宋体" w:eastAsia="宋体" w:cs="宋体"/>
          <w:color w:val="auto"/>
          <w:szCs w:val="21"/>
          <w:highlight w:val="none"/>
          <w:lang w:val="en-US"/>
        </w:rPr>
        <w:t>列各分项最高限额内据实结算，实际支付金额（不含销项税额）均不得超过乙方投标报价表及分项报价表报价金额，任何超出最高限额的费用，无论是否实际发生，均视为乙方自愿承担，甲方无支付义务。乙方不得因材料、劳务成本、运输成本、服务的行业标准或国家标准的变动或其他任何理由予以变更。其中，对于乙方投标时承诺自愿免费投入本项目使用的设备及软件</w:t>
      </w:r>
      <w:r>
        <w:rPr>
          <w:rFonts w:hint="eastAsia" w:ascii="宋体" w:hAnsi="宋体" w:eastAsia="宋体" w:cs="宋体"/>
          <w:color w:val="auto"/>
          <w:szCs w:val="21"/>
          <w:highlight w:val="none"/>
          <w:lang w:val="en-US" w:eastAsia="zh-CN"/>
        </w:rPr>
        <w:t>系统（含服务期内的检测、维护等费用）</w:t>
      </w:r>
      <w:r>
        <w:rPr>
          <w:rFonts w:hint="eastAsia" w:ascii="宋体" w:hAnsi="宋体" w:eastAsia="宋体" w:cs="宋体"/>
          <w:color w:val="auto"/>
          <w:szCs w:val="21"/>
          <w:highlight w:val="none"/>
          <w:lang w:val="en-US"/>
        </w:rPr>
        <w:t>，不得以任何理由向甲方申请额外支付任何费用，后续实际运营过程中根据项目实际运营情况添置的设备和软件从对应的分项报价费用项目中按实列支。</w:t>
      </w:r>
      <w:r>
        <w:rPr>
          <w:rFonts w:hint="eastAsia" w:ascii="宋体" w:hAnsi="宋体" w:eastAsia="宋体" w:cs="宋体"/>
          <w:color w:val="auto"/>
          <w:szCs w:val="21"/>
          <w:highlight w:val="none"/>
          <w:lang w:val="en-US" w:eastAsia="zh-CN"/>
        </w:rPr>
        <w:t>物业管理带教服务费用</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lang w:val="en-US" w:eastAsia="zh-CN"/>
        </w:rPr>
        <w:t>物业管理</w:t>
      </w:r>
      <w:r>
        <w:rPr>
          <w:rFonts w:hint="eastAsia" w:ascii="宋体" w:hAnsi="宋体" w:eastAsia="宋体" w:cs="宋体"/>
          <w:color w:val="auto"/>
          <w:szCs w:val="21"/>
          <w:highlight w:val="none"/>
          <w:lang w:val="en-US"/>
        </w:rPr>
        <w:t>运营</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en-US"/>
        </w:rPr>
        <w:t>费用最高限额包括但不限于以下内容涉及的费用：</w:t>
      </w:r>
    </w:p>
    <w:p w14:paraId="6EC5AC97">
      <w:pPr>
        <w:pStyle w:val="53"/>
        <w:spacing w:line="360" w:lineRule="auto"/>
        <w:ind w:left="0" w:firstLine="42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（1）</w:t>
      </w:r>
      <w:r>
        <w:rPr>
          <w:rFonts w:hint="eastAsia" w:ascii="宋体" w:hAnsi="宋体" w:eastAsia="宋体" w:cs="宋体"/>
          <w:color w:val="auto"/>
          <w:szCs w:val="21"/>
          <w:highlight w:val="none"/>
          <w:lang w:val="en-US" w:eastAsia="zh-CN"/>
        </w:rPr>
        <w:t>物业管理带教服务费用</w:t>
      </w:r>
      <w:r>
        <w:rPr>
          <w:rFonts w:hint="eastAsia" w:ascii="宋体" w:hAnsi="宋体" w:eastAsia="宋体" w:cs="宋体"/>
          <w:color w:val="auto"/>
          <w:szCs w:val="21"/>
          <w:highlight w:val="none"/>
          <w:lang w:val="en-US"/>
        </w:rPr>
        <w:t>：甲方按乙方投标报价的</w:t>
      </w:r>
      <w:r>
        <w:rPr>
          <w:rFonts w:hint="eastAsia" w:ascii="宋体" w:hAnsi="宋体" w:eastAsia="宋体" w:cs="宋体"/>
          <w:color w:val="auto"/>
          <w:szCs w:val="21"/>
          <w:highlight w:val="none"/>
          <w:lang w:val="en-US" w:eastAsia="zh-CN"/>
        </w:rPr>
        <w:t>金额结合考核结果分期向乙方支付</w:t>
      </w:r>
      <w:r>
        <w:rPr>
          <w:rFonts w:hint="eastAsia" w:ascii="宋体" w:hAnsi="宋体" w:eastAsia="宋体" w:cs="宋体"/>
          <w:color w:val="auto"/>
          <w:szCs w:val="21"/>
          <w:highlight w:val="none"/>
          <w:lang w:val="en-US"/>
        </w:rPr>
        <w:t>，包括但不限于：</w:t>
      </w:r>
      <w:r>
        <w:rPr>
          <w:rFonts w:hint="eastAsia" w:ascii="宋体" w:hAnsi="宋体" w:eastAsia="宋体" w:cs="宋体"/>
          <w:color w:val="auto"/>
          <w:szCs w:val="21"/>
          <w:highlight w:val="none"/>
          <w:lang w:val="en-US" w:eastAsia="zh-CN"/>
        </w:rPr>
        <w:t>乙方对甲方委派的学员进行系统化的带教，使学员全面掌握写字楼物业项目的运营管理知识与技能，具备独立处理复杂问题、带领团队、达成业绩指标的能力等相关费用，开展项目管理体系、客户服务与关系维护、工程运维管理、秩序维护与环境管理、运营管理与财务知识、管理能力与领导力等带教内容，以及制定专项培养计划、组建带教团队、投入培训资源、带教过程实施、带教成果资料交付、带教考核验收等带教</w:t>
      </w:r>
      <w:r>
        <w:rPr>
          <w:rFonts w:hint="eastAsia" w:ascii="宋体" w:hAnsi="宋体" w:eastAsia="宋体" w:cs="宋体"/>
          <w:color w:val="auto"/>
          <w:szCs w:val="21"/>
          <w:highlight w:val="none"/>
        </w:rPr>
        <w:t>工作</w:t>
      </w:r>
      <w:r>
        <w:rPr>
          <w:rFonts w:hint="eastAsia" w:ascii="宋体" w:hAnsi="宋体" w:eastAsia="宋体" w:cs="宋体"/>
          <w:color w:val="auto"/>
          <w:szCs w:val="21"/>
          <w:highlight w:val="none"/>
          <w:lang w:val="en-US" w:eastAsia="zh-CN"/>
        </w:rPr>
        <w:t>相关费用</w:t>
      </w:r>
      <w:r>
        <w:rPr>
          <w:rFonts w:hint="eastAsia" w:ascii="宋体" w:hAnsi="宋体" w:eastAsia="宋体" w:cs="宋体"/>
          <w:color w:val="auto"/>
          <w:szCs w:val="21"/>
          <w:highlight w:val="none"/>
          <w:lang w:val="en-US"/>
        </w:rPr>
        <w:t>；合理利润、乙方销项税额以外的税费等；法律法规、商业公认、招标文件规定由乙方承担的其他直接及间接费用</w:t>
      </w:r>
      <w:r>
        <w:rPr>
          <w:rFonts w:hint="eastAsia" w:ascii="宋体" w:hAnsi="宋体" w:eastAsia="宋体" w:cs="宋体"/>
          <w:color w:val="auto"/>
          <w:szCs w:val="21"/>
          <w:highlight w:val="none"/>
        </w:rPr>
        <w:t>。</w:t>
      </w:r>
    </w:p>
    <w:p w14:paraId="08F2E0BC">
      <w:pPr>
        <w:pStyle w:val="53"/>
        <w:spacing w:line="360" w:lineRule="auto"/>
        <w:ind w:left="0" w:firstLine="42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lang w:val="en-US" w:eastAsia="zh-CN"/>
        </w:rPr>
        <w:t>物业管理</w:t>
      </w:r>
      <w:r>
        <w:rPr>
          <w:rFonts w:hint="eastAsia" w:ascii="宋体" w:hAnsi="宋体" w:eastAsia="宋体" w:cs="宋体"/>
          <w:color w:val="auto"/>
          <w:szCs w:val="21"/>
          <w:highlight w:val="none"/>
          <w:lang w:val="en-US"/>
        </w:rPr>
        <w:t>运营</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en-US"/>
        </w:rPr>
        <w:t>费用最高限额：是指完成包括但不限于客户服务管理、安全保卫管理、清洁卫生管理、园林绿化的养护和管理、空调系统维护保养管理、消防系统维护保养管理、供配电系统维护保养管理、给排水系统维护保养管理、智能化系统维护与保养管理、电梯系统维护与保养管理、</w:t>
      </w:r>
      <w:r>
        <w:rPr>
          <w:rFonts w:hint="eastAsia" w:ascii="宋体" w:hAnsi="宋体" w:eastAsia="宋体" w:cs="宋体"/>
          <w:color w:val="auto"/>
          <w:szCs w:val="21"/>
          <w:highlight w:val="none"/>
          <w:lang w:val="en-US" w:eastAsia="zh-CN"/>
        </w:rPr>
        <w:t>突发应急管理、</w:t>
      </w:r>
      <w:r>
        <w:rPr>
          <w:rFonts w:hint="eastAsia" w:ascii="宋体" w:hAnsi="宋体" w:eastAsia="宋体" w:cs="宋体"/>
          <w:color w:val="auto"/>
          <w:szCs w:val="21"/>
          <w:highlight w:val="none"/>
          <w:lang w:val="en-US"/>
        </w:rPr>
        <w:t>楼宇主体及其附属设施、公共配套设施维护与保养、日常物业维修及物业使用人装修管理、</w:t>
      </w:r>
      <w:r>
        <w:rPr>
          <w:rFonts w:hint="eastAsia" w:ascii="宋体" w:hAnsi="宋体" w:eastAsia="宋体" w:cs="宋体"/>
          <w:color w:val="auto"/>
          <w:szCs w:val="21"/>
          <w:highlight w:val="none"/>
          <w:lang w:val="en-US" w:eastAsia="zh-CN"/>
        </w:rPr>
        <w:t>其他</w:t>
      </w:r>
      <w:r>
        <w:rPr>
          <w:rFonts w:hint="eastAsia" w:ascii="宋体" w:hAnsi="宋体" w:eastAsia="宋体" w:cs="宋体"/>
          <w:color w:val="auto"/>
          <w:szCs w:val="21"/>
          <w:highlight w:val="none"/>
          <w:lang w:val="en-US"/>
        </w:rPr>
        <w:t>服务等服务</w:t>
      </w:r>
      <w:r>
        <w:rPr>
          <w:rFonts w:hint="eastAsia" w:ascii="宋体" w:hAnsi="宋体" w:eastAsia="宋体" w:cs="宋体"/>
          <w:color w:val="auto"/>
          <w:szCs w:val="21"/>
          <w:highlight w:val="none"/>
          <w:lang w:val="en-US" w:eastAsia="zh-CN"/>
        </w:rPr>
        <w:t>以及对应人工</w:t>
      </w:r>
      <w:r>
        <w:rPr>
          <w:rFonts w:hint="eastAsia" w:ascii="宋体" w:hAnsi="宋体" w:eastAsia="宋体" w:cs="宋体"/>
          <w:color w:val="auto"/>
          <w:szCs w:val="21"/>
          <w:highlight w:val="none"/>
          <w:lang w:val="en-US"/>
        </w:rPr>
        <w:t>的费用最高限额。</w:t>
      </w:r>
      <w:r>
        <w:rPr>
          <w:rFonts w:hint="eastAsia" w:ascii="宋体" w:hAnsi="宋体" w:eastAsia="宋体" w:cs="宋体"/>
          <w:color w:val="auto"/>
          <w:szCs w:val="21"/>
          <w:highlight w:val="none"/>
          <w:lang w:val="en-US" w:eastAsia="zh-CN"/>
        </w:rPr>
        <w:t>物业管理</w:t>
      </w:r>
      <w:r>
        <w:rPr>
          <w:rFonts w:hint="eastAsia" w:ascii="宋体" w:hAnsi="宋体" w:eastAsia="宋体" w:cs="宋体"/>
          <w:color w:val="auto"/>
          <w:szCs w:val="21"/>
          <w:highlight w:val="none"/>
          <w:lang w:val="en-US"/>
        </w:rPr>
        <w:t>运营</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en-US"/>
        </w:rPr>
        <w:t>费用在乙方投标报价的单项费用最高限额内，据实支付；若单项服务实际发生费用（</w:t>
      </w:r>
      <w:r>
        <w:rPr>
          <w:rFonts w:hint="eastAsia" w:ascii="宋体" w:hAnsi="宋体" w:eastAsia="宋体" w:cs="宋体"/>
          <w:color w:val="auto"/>
          <w:szCs w:val="21"/>
          <w:highlight w:val="none"/>
          <w:lang w:val="en-US" w:bidi="en-US"/>
        </w:rPr>
        <w:t>不含销项税额</w:t>
      </w:r>
      <w:r>
        <w:rPr>
          <w:rFonts w:hint="eastAsia" w:ascii="宋体" w:hAnsi="宋体" w:eastAsia="宋体" w:cs="宋体"/>
          <w:color w:val="auto"/>
          <w:szCs w:val="21"/>
          <w:highlight w:val="none"/>
          <w:lang w:val="en-US"/>
        </w:rPr>
        <w:t>）超出乙方投标报价该单项费用最高限额的，超过最高限额部分甲方不予支付，由乙方承担，并且甲方有权根据本合同约定的考核标准、违约责任条款追究乙方的违约责任。</w:t>
      </w:r>
      <w:r>
        <w:rPr>
          <w:rFonts w:hint="eastAsia" w:ascii="宋体" w:hAnsi="宋体" w:eastAsia="宋体" w:cs="宋体"/>
          <w:color w:val="auto"/>
          <w:szCs w:val="21"/>
          <w:highlight w:val="none"/>
          <w:lang w:val="en-US" w:eastAsia="zh-CN"/>
        </w:rPr>
        <w:t>物业管理运营服务</w:t>
      </w:r>
      <w:r>
        <w:rPr>
          <w:rFonts w:hint="eastAsia" w:ascii="宋体" w:hAnsi="宋体" w:eastAsia="宋体" w:cs="宋体"/>
          <w:color w:val="auto"/>
          <w:szCs w:val="21"/>
          <w:highlight w:val="none"/>
          <w:lang w:val="en-US"/>
        </w:rPr>
        <w:t>人工费用最高限额是指综合支持、安保、环境、客服、工程等岗位人员的费用最高限额，此项费用已包含在</w:t>
      </w:r>
      <w:r>
        <w:rPr>
          <w:rFonts w:hint="eastAsia" w:ascii="宋体" w:hAnsi="宋体" w:eastAsia="宋体" w:cs="宋体"/>
          <w:color w:val="auto"/>
          <w:szCs w:val="21"/>
          <w:highlight w:val="none"/>
          <w:lang w:val="en-US" w:eastAsia="zh-CN"/>
        </w:rPr>
        <w:t>物业管理</w:t>
      </w:r>
      <w:r>
        <w:rPr>
          <w:rFonts w:hint="eastAsia" w:ascii="宋体" w:hAnsi="宋体" w:eastAsia="宋体" w:cs="宋体"/>
          <w:color w:val="auto"/>
          <w:szCs w:val="21"/>
          <w:highlight w:val="none"/>
          <w:lang w:val="en-US"/>
        </w:rPr>
        <w:t>运营</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en-US"/>
        </w:rPr>
        <w:t>费用最高限额内。</w:t>
      </w:r>
    </w:p>
    <w:p w14:paraId="22A3FD0C">
      <w:pPr>
        <w:pStyle w:val="53"/>
        <w:spacing w:line="360" w:lineRule="auto"/>
        <w:ind w:left="0" w:firstLine="42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3.3 依法计得并根据本合同约定确定的销项税额由甲方承担。根据《中华人民共和国增值税暂行条例》（国务院令第691号修订版）及当前税务部门的相关规定，本合同项目乙方的增值税税率暂定为</w:t>
      </w:r>
      <w:r>
        <w:rPr>
          <w:rFonts w:hint="eastAsia" w:ascii="宋体" w:hAnsi="宋体" w:eastAsia="宋体" w:cs="宋体"/>
          <w:color w:val="auto"/>
          <w:szCs w:val="21"/>
          <w:highlight w:val="none"/>
          <w:u w:val="single"/>
          <w:lang w:val="en-US"/>
        </w:rPr>
        <w:t xml:space="preserve">   </w:t>
      </w:r>
      <w:r>
        <w:rPr>
          <w:rFonts w:hint="eastAsia" w:ascii="宋体" w:hAnsi="宋体" w:eastAsia="宋体" w:cs="宋体"/>
          <w:color w:val="auto"/>
          <w:szCs w:val="21"/>
          <w:highlight w:val="none"/>
          <w:lang w:val="en-US"/>
        </w:rPr>
        <w:t>%，对应的</w:t>
      </w:r>
      <w:r>
        <w:rPr>
          <w:rFonts w:hint="eastAsia" w:ascii="宋体" w:hAnsi="宋体" w:eastAsia="宋体" w:cs="宋体"/>
          <w:color w:val="auto"/>
          <w:szCs w:val="21"/>
          <w:highlight w:val="none"/>
          <w:lang w:val="en-US" w:eastAsia="zh-CN"/>
        </w:rPr>
        <w:t>物业管理带教服务</w:t>
      </w:r>
      <w:r>
        <w:rPr>
          <w:rFonts w:hint="eastAsia" w:ascii="宋体" w:hAnsi="宋体" w:eastAsia="宋体" w:cs="宋体"/>
          <w:color w:val="auto"/>
          <w:szCs w:val="21"/>
          <w:highlight w:val="none"/>
          <w:lang w:val="en-US"/>
        </w:rPr>
        <w:t>销项税额暂定为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rPr>
        <w:t xml:space="preserve">         </w:t>
      </w:r>
      <w:r>
        <w:rPr>
          <w:rFonts w:hint="eastAsia" w:ascii="宋体" w:hAnsi="宋体" w:eastAsia="宋体" w:cs="宋体"/>
          <w:color w:val="auto"/>
          <w:szCs w:val="21"/>
          <w:highlight w:val="none"/>
          <w:lang w:val="en-US"/>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rPr>
        <w:t xml:space="preserve">             </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lang w:val="en-US" w:eastAsia="zh-CN"/>
        </w:rPr>
        <w:t>物业管理运营服务</w:t>
      </w:r>
      <w:r>
        <w:rPr>
          <w:rFonts w:hint="eastAsia" w:ascii="宋体" w:hAnsi="宋体" w:eastAsia="宋体" w:cs="宋体"/>
          <w:color w:val="auto"/>
          <w:szCs w:val="21"/>
          <w:highlight w:val="none"/>
          <w:lang w:val="en-US"/>
        </w:rPr>
        <w:t>最高限额销项税额暂定为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rPr>
        <w:t xml:space="preserve">         </w:t>
      </w:r>
      <w:r>
        <w:rPr>
          <w:rFonts w:hint="eastAsia" w:ascii="宋体" w:hAnsi="宋体" w:eastAsia="宋体" w:cs="宋体"/>
          <w:color w:val="auto"/>
          <w:szCs w:val="21"/>
          <w:highlight w:val="none"/>
          <w:lang w:val="en-US"/>
        </w:rPr>
        <w:t>元（大写人民币</w:t>
      </w:r>
      <w:r>
        <w:rPr>
          <w:rFonts w:hint="eastAsia" w:ascii="宋体" w:hAnsi="宋体" w:eastAsia="宋体" w:cs="宋体"/>
          <w:color w:val="auto"/>
          <w:szCs w:val="21"/>
          <w:highlight w:val="none"/>
          <w:u w:val="single"/>
          <w:lang w:val="en-US"/>
        </w:rPr>
        <w:t xml:space="preserve">             </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lang w:val="en-US" w:eastAsia="zh-CN"/>
        </w:rPr>
        <w:t>物业管理运营服务费中的物业管理运营服务</w:t>
      </w:r>
      <w:r>
        <w:rPr>
          <w:rFonts w:hint="eastAsia" w:ascii="宋体" w:hAnsi="宋体" w:eastAsia="宋体" w:cs="宋体"/>
          <w:color w:val="auto"/>
          <w:szCs w:val="21"/>
          <w:highlight w:val="none"/>
          <w:lang w:val="en-US"/>
        </w:rPr>
        <w:t>人工费用最高限额销项税额暂定为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rPr>
        <w:t xml:space="preserve">        </w:t>
      </w:r>
      <w:r>
        <w:rPr>
          <w:rFonts w:hint="eastAsia" w:ascii="宋体" w:hAnsi="宋体" w:eastAsia="宋体" w:cs="宋体"/>
          <w:color w:val="auto"/>
          <w:szCs w:val="21"/>
          <w:highlight w:val="none"/>
          <w:lang w:val="en-US"/>
        </w:rPr>
        <w:t>元（大写人民币</w:t>
      </w:r>
      <w:r>
        <w:rPr>
          <w:rFonts w:hint="eastAsia" w:ascii="宋体" w:hAnsi="宋体" w:eastAsia="宋体" w:cs="宋体"/>
          <w:color w:val="auto"/>
          <w:szCs w:val="21"/>
          <w:highlight w:val="none"/>
          <w:u w:val="single"/>
          <w:lang w:val="en-US"/>
        </w:rPr>
        <w:t xml:space="preserve">             </w:t>
      </w:r>
      <w:r>
        <w:rPr>
          <w:rFonts w:hint="eastAsia" w:ascii="宋体" w:hAnsi="宋体" w:eastAsia="宋体" w:cs="宋体"/>
          <w:color w:val="auto"/>
          <w:szCs w:val="21"/>
          <w:highlight w:val="none"/>
          <w:lang w:val="en-US"/>
        </w:rPr>
        <w:t>）。在本合同履行过程中，</w:t>
      </w:r>
      <w:r>
        <w:rPr>
          <w:rFonts w:hint="eastAsia" w:ascii="宋体" w:hAnsi="宋体" w:eastAsia="宋体" w:cs="宋体"/>
          <w:color w:val="auto"/>
          <w:szCs w:val="21"/>
          <w:highlight w:val="none"/>
          <w:lang w:val="en-US" w:eastAsia="zh-CN"/>
        </w:rPr>
        <w:t>乙方销项税额按实结算</w:t>
      </w:r>
      <w:r>
        <w:rPr>
          <w:rFonts w:hint="eastAsia" w:ascii="宋体" w:hAnsi="宋体" w:eastAsia="宋体" w:cs="宋体"/>
          <w:color w:val="auto"/>
          <w:szCs w:val="21"/>
          <w:highlight w:val="none"/>
          <w:lang w:val="en-US"/>
        </w:rPr>
        <w:t>。</w:t>
      </w:r>
    </w:p>
    <w:p w14:paraId="59FC6F01">
      <w:pPr>
        <w:pStyle w:val="53"/>
        <w:spacing w:line="360" w:lineRule="auto"/>
        <w:ind w:left="0" w:firstLine="42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Cs w:val="21"/>
          <w:highlight w:val="none"/>
          <w:lang w:val="en-US"/>
        </w:rPr>
        <w:t>其中，</w:t>
      </w:r>
      <w:r>
        <w:rPr>
          <w:rFonts w:hint="eastAsia" w:ascii="宋体" w:hAnsi="宋体" w:eastAsia="宋体" w:cs="宋体"/>
          <w:color w:val="auto"/>
          <w:kern w:val="2"/>
          <w:szCs w:val="21"/>
          <w:highlight w:val="none"/>
          <w:lang w:val="en-US" w:eastAsia="zh-CN"/>
        </w:rPr>
        <w:t>物业管理带教服务费用</w:t>
      </w:r>
      <w:r>
        <w:rPr>
          <w:rFonts w:hint="eastAsia" w:ascii="宋体" w:hAnsi="宋体" w:eastAsia="宋体" w:cs="宋体"/>
          <w:color w:val="auto"/>
          <w:kern w:val="2"/>
          <w:szCs w:val="21"/>
          <w:highlight w:val="none"/>
          <w:lang w:val="en-US"/>
        </w:rPr>
        <w:t>、</w:t>
      </w:r>
      <w:r>
        <w:rPr>
          <w:rFonts w:hint="eastAsia" w:ascii="宋体" w:hAnsi="宋体" w:eastAsia="宋体" w:cs="宋体"/>
          <w:color w:val="auto"/>
          <w:kern w:val="2"/>
          <w:szCs w:val="21"/>
          <w:highlight w:val="none"/>
          <w:lang w:val="en-US" w:eastAsia="zh-CN"/>
        </w:rPr>
        <w:t>物业管理运营服务</w:t>
      </w:r>
      <w:r>
        <w:rPr>
          <w:rFonts w:hint="eastAsia" w:ascii="宋体" w:hAnsi="宋体" w:eastAsia="宋体" w:cs="宋体"/>
          <w:color w:val="auto"/>
          <w:kern w:val="2"/>
          <w:szCs w:val="21"/>
          <w:highlight w:val="none"/>
          <w:lang w:val="en-US"/>
        </w:rPr>
        <w:t>人工费用必须由乙方开具</w:t>
      </w:r>
      <w:r>
        <w:rPr>
          <w:rFonts w:hint="eastAsia" w:ascii="宋体" w:hAnsi="宋体" w:eastAsia="宋体" w:cs="宋体"/>
          <w:color w:val="auto"/>
          <w:szCs w:val="21"/>
          <w:highlight w:val="none"/>
        </w:rPr>
        <w:t>增值税</w:t>
      </w:r>
      <w:r>
        <w:rPr>
          <w:rFonts w:hint="eastAsia" w:ascii="宋体" w:hAnsi="宋体" w:eastAsia="宋体" w:cs="宋体"/>
          <w:color w:val="auto"/>
          <w:kern w:val="2"/>
          <w:szCs w:val="21"/>
          <w:highlight w:val="none"/>
          <w:lang w:val="en-US"/>
        </w:rPr>
        <w:t>专用发票，其他费用由乙方或实际承接服务的供应商或对应的主体开具</w:t>
      </w:r>
      <w:r>
        <w:rPr>
          <w:rFonts w:hint="eastAsia" w:ascii="宋体" w:hAnsi="宋体" w:eastAsia="宋体" w:cs="宋体"/>
          <w:color w:val="auto"/>
          <w:szCs w:val="21"/>
          <w:highlight w:val="none"/>
        </w:rPr>
        <w:t>增值税</w:t>
      </w:r>
      <w:r>
        <w:rPr>
          <w:rFonts w:hint="eastAsia" w:ascii="宋体" w:hAnsi="宋体" w:eastAsia="宋体" w:cs="宋体"/>
          <w:color w:val="auto"/>
          <w:kern w:val="2"/>
          <w:szCs w:val="21"/>
          <w:highlight w:val="none"/>
          <w:lang w:val="en-US"/>
        </w:rPr>
        <w:t>专用发票。实际承接服务的供应商或对应的主体必须事先经甲方书面同意，并与甲乙双方签订三方协议。</w:t>
      </w:r>
    </w:p>
    <w:p w14:paraId="3317CF52">
      <w:pPr>
        <w:pStyle w:val="53"/>
        <w:spacing w:line="360" w:lineRule="auto"/>
        <w:ind w:left="0"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rPr>
        <w:t>因乙方</w:t>
      </w:r>
      <w:r>
        <w:rPr>
          <w:rFonts w:hint="eastAsia" w:ascii="宋体" w:hAnsi="宋体" w:eastAsia="宋体" w:cs="宋体"/>
          <w:color w:val="auto"/>
          <w:kern w:val="2"/>
          <w:szCs w:val="21"/>
          <w:highlight w:val="none"/>
          <w:lang w:val="en-US"/>
        </w:rPr>
        <w:t>或实际承接服务的供应商或对应的主体</w:t>
      </w:r>
      <w:r>
        <w:rPr>
          <w:rFonts w:hint="eastAsia" w:ascii="宋体" w:hAnsi="宋体" w:eastAsia="宋体" w:cs="宋体"/>
          <w:color w:val="auto"/>
          <w:szCs w:val="21"/>
          <w:highlight w:val="none"/>
          <w:lang w:val="en-US"/>
        </w:rPr>
        <w:t>未按法定税率计算税额或未根据本合同约定出具对应税额的增值税专用发票等原因导致甲方多支付税额的，乙方必须自行或协调</w:t>
      </w:r>
      <w:r>
        <w:rPr>
          <w:rFonts w:hint="eastAsia" w:ascii="宋体" w:hAnsi="宋体" w:eastAsia="宋体" w:cs="宋体"/>
          <w:color w:val="auto"/>
          <w:kern w:val="2"/>
          <w:szCs w:val="21"/>
          <w:highlight w:val="none"/>
          <w:lang w:val="en-US"/>
        </w:rPr>
        <w:t>实际承接服务的供应商或对应的主体</w:t>
      </w:r>
      <w:r>
        <w:rPr>
          <w:rFonts w:hint="eastAsia" w:ascii="宋体" w:hAnsi="宋体" w:eastAsia="宋体" w:cs="宋体"/>
          <w:color w:val="auto"/>
          <w:szCs w:val="21"/>
          <w:highlight w:val="none"/>
          <w:lang w:val="en-US"/>
        </w:rPr>
        <w:t>退还甲方，给甲方造成损失的，乙方须向甲方赔偿相应损失并承担连带责任。</w:t>
      </w:r>
      <w:r>
        <w:rPr>
          <w:rFonts w:hint="eastAsia" w:ascii="宋体" w:hAnsi="宋体" w:eastAsia="宋体" w:cs="宋体"/>
          <w:color w:val="auto"/>
          <w:szCs w:val="21"/>
          <w:highlight w:val="none"/>
          <w:lang w:val="en-US" w:eastAsia="zh-CN"/>
        </w:rPr>
        <w:t xml:space="preserve"> </w:t>
      </w:r>
    </w:p>
    <w:p w14:paraId="2B20130C">
      <w:pPr>
        <w:pStyle w:val="53"/>
        <w:spacing w:line="360" w:lineRule="auto"/>
        <w:ind w:lef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3.4 合同价税合计暂定为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rPr>
        <w:t xml:space="preserve">         </w:t>
      </w:r>
      <w:r>
        <w:rPr>
          <w:rFonts w:hint="eastAsia" w:ascii="宋体" w:hAnsi="宋体" w:eastAsia="宋体" w:cs="宋体"/>
          <w:color w:val="auto"/>
          <w:szCs w:val="21"/>
          <w:highlight w:val="none"/>
          <w:lang w:val="en-US"/>
        </w:rPr>
        <w:t>元（大写人民币</w:t>
      </w:r>
      <w:r>
        <w:rPr>
          <w:rFonts w:hint="eastAsia" w:ascii="宋体" w:hAnsi="宋体" w:eastAsia="宋体" w:cs="宋体"/>
          <w:color w:val="auto"/>
          <w:szCs w:val="21"/>
          <w:highlight w:val="none"/>
          <w:u w:val="single"/>
          <w:lang w:val="en-US"/>
        </w:rPr>
        <w:t xml:space="preserve">             </w:t>
      </w:r>
      <w:r>
        <w:rPr>
          <w:rFonts w:hint="eastAsia" w:ascii="宋体" w:hAnsi="宋体" w:eastAsia="宋体" w:cs="宋体"/>
          <w:color w:val="auto"/>
          <w:szCs w:val="21"/>
          <w:highlight w:val="none"/>
          <w:lang w:val="en-US"/>
        </w:rPr>
        <w:t>），其中</w:t>
      </w:r>
      <w:r>
        <w:rPr>
          <w:rFonts w:hint="eastAsia" w:ascii="宋体" w:hAnsi="宋体" w:eastAsia="宋体" w:cs="宋体"/>
          <w:color w:val="auto"/>
          <w:szCs w:val="21"/>
          <w:highlight w:val="none"/>
          <w:lang w:val="en-US" w:eastAsia="zh-CN"/>
        </w:rPr>
        <w:t>物业管理带教服务费</w:t>
      </w:r>
      <w:r>
        <w:rPr>
          <w:rFonts w:hint="eastAsia" w:ascii="宋体" w:hAnsi="宋体" w:eastAsia="宋体" w:cs="宋体"/>
          <w:color w:val="auto"/>
          <w:szCs w:val="21"/>
          <w:highlight w:val="none"/>
          <w:lang w:val="en-US"/>
        </w:rPr>
        <w:t>价税合计暂定为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rPr>
        <w:t xml:space="preserve">         </w:t>
      </w:r>
      <w:r>
        <w:rPr>
          <w:rFonts w:hint="eastAsia" w:ascii="宋体" w:hAnsi="宋体" w:eastAsia="宋体" w:cs="宋体"/>
          <w:color w:val="auto"/>
          <w:szCs w:val="21"/>
          <w:highlight w:val="none"/>
          <w:lang w:val="en-US"/>
        </w:rPr>
        <w:t>元（大写人民币</w:t>
      </w:r>
      <w:r>
        <w:rPr>
          <w:rFonts w:hint="eastAsia" w:ascii="宋体" w:hAnsi="宋体" w:eastAsia="宋体" w:cs="宋体"/>
          <w:color w:val="auto"/>
          <w:szCs w:val="21"/>
          <w:highlight w:val="none"/>
          <w:u w:val="single"/>
          <w:lang w:val="en-US"/>
        </w:rPr>
        <w:t xml:space="preserve">             </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lang w:val="en-US" w:eastAsia="zh-CN"/>
        </w:rPr>
        <w:t>物业管理运营服务</w:t>
      </w:r>
      <w:r>
        <w:rPr>
          <w:rFonts w:hint="eastAsia" w:ascii="宋体" w:hAnsi="宋体" w:eastAsia="宋体" w:cs="宋体"/>
          <w:color w:val="auto"/>
          <w:szCs w:val="21"/>
          <w:highlight w:val="none"/>
          <w:lang w:val="en-US"/>
        </w:rPr>
        <w:t>费最高限额价税合计为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rPr>
        <w:t xml:space="preserve">         </w:t>
      </w:r>
      <w:r>
        <w:rPr>
          <w:rFonts w:hint="eastAsia" w:ascii="宋体" w:hAnsi="宋体" w:eastAsia="宋体" w:cs="宋体"/>
          <w:color w:val="auto"/>
          <w:szCs w:val="21"/>
          <w:highlight w:val="none"/>
          <w:lang w:val="en-US"/>
        </w:rPr>
        <w:t>元（大写人民币</w:t>
      </w:r>
      <w:r>
        <w:rPr>
          <w:rFonts w:hint="eastAsia" w:ascii="宋体" w:hAnsi="宋体" w:eastAsia="宋体" w:cs="宋体"/>
          <w:color w:val="auto"/>
          <w:szCs w:val="21"/>
          <w:highlight w:val="none"/>
          <w:u w:val="single"/>
          <w:lang w:val="en-US"/>
        </w:rPr>
        <w:t xml:space="preserve">             </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lang w:val="en-US" w:eastAsia="zh-CN"/>
        </w:rPr>
        <w:t>物业管理运营服务费中的物业管理运营服务</w:t>
      </w:r>
      <w:r>
        <w:rPr>
          <w:rFonts w:hint="eastAsia" w:ascii="宋体" w:hAnsi="宋体" w:eastAsia="宋体" w:cs="宋体"/>
          <w:color w:val="auto"/>
          <w:szCs w:val="21"/>
          <w:highlight w:val="none"/>
          <w:lang w:val="en-US"/>
        </w:rPr>
        <w:t>人工费最高限额价税合计为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rPr>
        <w:t xml:space="preserve">         </w:t>
      </w:r>
      <w:r>
        <w:rPr>
          <w:rFonts w:hint="eastAsia" w:ascii="宋体" w:hAnsi="宋体" w:eastAsia="宋体" w:cs="宋体"/>
          <w:color w:val="auto"/>
          <w:szCs w:val="21"/>
          <w:highlight w:val="none"/>
          <w:lang w:val="en-US"/>
        </w:rPr>
        <w:t>元（大写人民币</w:t>
      </w:r>
      <w:r>
        <w:rPr>
          <w:rFonts w:hint="eastAsia" w:ascii="宋体" w:hAnsi="宋体" w:eastAsia="宋体" w:cs="宋体"/>
          <w:color w:val="auto"/>
          <w:szCs w:val="21"/>
          <w:highlight w:val="none"/>
          <w:u w:val="single"/>
          <w:lang w:val="en-US"/>
        </w:rPr>
        <w:t xml:space="preserve">             </w:t>
      </w:r>
      <w:r>
        <w:rPr>
          <w:rFonts w:hint="eastAsia" w:ascii="宋体" w:hAnsi="宋体" w:eastAsia="宋体" w:cs="宋体"/>
          <w:color w:val="auto"/>
          <w:szCs w:val="21"/>
          <w:highlight w:val="none"/>
          <w:lang w:val="en-US"/>
        </w:rPr>
        <w:t>）。</w:t>
      </w:r>
    </w:p>
    <w:p w14:paraId="7A2A5071">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en-US" w:eastAsia="zh-CN"/>
        </w:rPr>
        <w:t>物业管理带教服务过程考核得分</w:t>
      </w:r>
      <w:r>
        <w:rPr>
          <w:rFonts w:hint="eastAsia" w:ascii="宋体" w:hAnsi="宋体" w:eastAsia="宋体" w:cs="宋体"/>
          <w:color w:val="auto"/>
          <w:szCs w:val="21"/>
          <w:highlight w:val="none"/>
        </w:rPr>
        <w:t>≥90分的，甲方</w:t>
      </w:r>
      <w:r>
        <w:rPr>
          <w:rFonts w:hint="eastAsia" w:ascii="宋体" w:hAnsi="宋体" w:eastAsia="宋体" w:cs="宋体"/>
          <w:color w:val="auto"/>
          <w:szCs w:val="21"/>
          <w:highlight w:val="none"/>
          <w:lang w:val="en-US" w:eastAsia="zh-CN"/>
        </w:rPr>
        <w:t>全额支付当期物业管理带教服务费用</w:t>
      </w:r>
      <w:r>
        <w:rPr>
          <w:rFonts w:hint="eastAsia" w:ascii="宋体" w:hAnsi="宋体" w:eastAsia="宋体" w:cs="宋体"/>
          <w:color w:val="auto"/>
          <w:szCs w:val="21"/>
          <w:highlight w:val="none"/>
        </w:rPr>
        <w:t>，80≤考核得分＜90分的，甲方</w:t>
      </w:r>
      <w:r>
        <w:rPr>
          <w:rFonts w:hint="eastAsia" w:ascii="宋体" w:hAnsi="宋体" w:eastAsia="宋体" w:cs="宋体"/>
          <w:color w:val="auto"/>
          <w:szCs w:val="21"/>
          <w:highlight w:val="none"/>
          <w:lang w:val="en-US" w:eastAsia="zh-CN"/>
        </w:rPr>
        <w:t>最终支付当期物业管理带教服务费的90%</w:t>
      </w:r>
      <w:r>
        <w:rPr>
          <w:rFonts w:hint="eastAsia" w:ascii="宋体" w:hAnsi="宋体" w:eastAsia="宋体" w:cs="宋体"/>
          <w:color w:val="auto"/>
          <w:szCs w:val="21"/>
          <w:highlight w:val="none"/>
        </w:rPr>
        <w:t>，70≤考核得分＜80分的，甲方</w:t>
      </w:r>
      <w:r>
        <w:rPr>
          <w:rFonts w:hint="eastAsia" w:ascii="宋体" w:hAnsi="宋体" w:eastAsia="宋体" w:cs="宋体"/>
          <w:color w:val="auto"/>
          <w:szCs w:val="21"/>
          <w:highlight w:val="none"/>
          <w:lang w:val="en-US" w:eastAsia="zh-CN"/>
        </w:rPr>
        <w:t>最终支付当期物业管理带教服务费的80%</w:t>
      </w:r>
      <w:r>
        <w:rPr>
          <w:rFonts w:hint="eastAsia" w:ascii="宋体" w:hAnsi="宋体" w:eastAsia="宋体" w:cs="宋体"/>
          <w:color w:val="auto"/>
          <w:szCs w:val="21"/>
          <w:highlight w:val="none"/>
        </w:rPr>
        <w:t>，考核得分＜</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0分的，甲方无需支付</w:t>
      </w:r>
      <w:r>
        <w:rPr>
          <w:rFonts w:hint="eastAsia" w:ascii="宋体" w:hAnsi="宋体" w:eastAsia="宋体" w:cs="宋体"/>
          <w:color w:val="auto"/>
          <w:szCs w:val="21"/>
          <w:highlight w:val="none"/>
          <w:lang w:val="en-US" w:eastAsia="zh-CN"/>
        </w:rPr>
        <w:t>当期物业管理带教服务费用</w:t>
      </w:r>
      <w:r>
        <w:rPr>
          <w:rFonts w:hint="eastAsia" w:ascii="宋体" w:hAnsi="宋体" w:eastAsia="宋体" w:cs="宋体"/>
          <w:color w:val="auto"/>
          <w:szCs w:val="21"/>
          <w:highlight w:val="none"/>
        </w:rPr>
        <w:t>，同时乙方还应向甲方支付人民币100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000.00元作为违约金。</w:t>
      </w:r>
    </w:p>
    <w:p w14:paraId="22833BCF">
      <w:pPr>
        <w:spacing w:line="360" w:lineRule="auto"/>
        <w:ind w:firstLine="42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 xml:space="preserve">3.6 </w:t>
      </w:r>
      <w:r>
        <w:rPr>
          <w:rFonts w:hint="eastAsia" w:ascii="宋体" w:hAnsi="宋体" w:eastAsia="宋体" w:cs="宋体"/>
          <w:color w:val="auto"/>
          <w:szCs w:val="21"/>
          <w:highlight w:val="none"/>
          <w:lang w:val="en-US" w:eastAsia="zh-CN"/>
        </w:rPr>
        <w:t>物业管理带教服务结果考核得分</w:t>
      </w:r>
      <w:r>
        <w:rPr>
          <w:rFonts w:hint="eastAsia" w:ascii="宋体" w:hAnsi="宋体" w:eastAsia="宋体" w:cs="宋体"/>
          <w:color w:val="auto"/>
          <w:szCs w:val="21"/>
          <w:highlight w:val="none"/>
        </w:rPr>
        <w:t>≥90分的，甲方</w:t>
      </w:r>
      <w:r>
        <w:rPr>
          <w:rFonts w:hint="eastAsia" w:ascii="宋体" w:hAnsi="宋体" w:eastAsia="宋体" w:cs="宋体"/>
          <w:color w:val="auto"/>
          <w:szCs w:val="21"/>
          <w:highlight w:val="none"/>
          <w:lang w:val="en-US" w:eastAsia="zh-CN"/>
        </w:rPr>
        <w:t>全额支付当期物业管理带教服务费用</w:t>
      </w:r>
      <w:r>
        <w:rPr>
          <w:rFonts w:hint="eastAsia" w:ascii="宋体" w:hAnsi="宋体" w:eastAsia="宋体" w:cs="宋体"/>
          <w:color w:val="auto"/>
          <w:szCs w:val="21"/>
          <w:highlight w:val="none"/>
        </w:rPr>
        <w:t>，80≤考核得分＜90分的，甲方</w:t>
      </w:r>
      <w:r>
        <w:rPr>
          <w:rFonts w:hint="eastAsia" w:ascii="宋体" w:hAnsi="宋体" w:eastAsia="宋体" w:cs="宋体"/>
          <w:color w:val="auto"/>
          <w:szCs w:val="21"/>
          <w:highlight w:val="none"/>
          <w:lang w:val="en-US" w:eastAsia="zh-CN"/>
        </w:rPr>
        <w:t>最终支付当期物业管理带教服务费的90%</w:t>
      </w:r>
      <w:r>
        <w:rPr>
          <w:rFonts w:hint="eastAsia" w:ascii="宋体" w:hAnsi="宋体" w:eastAsia="宋体" w:cs="宋体"/>
          <w:color w:val="auto"/>
          <w:szCs w:val="21"/>
          <w:highlight w:val="none"/>
        </w:rPr>
        <w:t>，70≤考核得分＜80分的，甲方</w:t>
      </w:r>
      <w:r>
        <w:rPr>
          <w:rFonts w:hint="eastAsia" w:ascii="宋体" w:hAnsi="宋体" w:eastAsia="宋体" w:cs="宋体"/>
          <w:color w:val="auto"/>
          <w:szCs w:val="21"/>
          <w:highlight w:val="none"/>
          <w:lang w:val="en-US" w:eastAsia="zh-CN"/>
        </w:rPr>
        <w:t>最终支付当期物业管理带教服务费的80%</w:t>
      </w:r>
      <w:r>
        <w:rPr>
          <w:rFonts w:hint="eastAsia" w:ascii="宋体" w:hAnsi="宋体" w:eastAsia="宋体" w:cs="宋体"/>
          <w:color w:val="auto"/>
          <w:szCs w:val="21"/>
          <w:highlight w:val="none"/>
        </w:rPr>
        <w:t>，考核得分＜</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0分的，甲方无需支付</w:t>
      </w:r>
      <w:r>
        <w:rPr>
          <w:rFonts w:hint="eastAsia" w:ascii="宋体" w:hAnsi="宋体" w:eastAsia="宋体" w:cs="宋体"/>
          <w:color w:val="auto"/>
          <w:szCs w:val="21"/>
          <w:highlight w:val="none"/>
          <w:lang w:val="en-US" w:eastAsia="zh-CN"/>
        </w:rPr>
        <w:t>当期物业管理带教服务费用</w:t>
      </w:r>
      <w:r>
        <w:rPr>
          <w:rFonts w:hint="eastAsia" w:ascii="宋体" w:hAnsi="宋体" w:eastAsia="宋体" w:cs="宋体"/>
          <w:color w:val="auto"/>
          <w:szCs w:val="21"/>
          <w:highlight w:val="none"/>
        </w:rPr>
        <w:t>，同时乙方还应向甲方支付人民币</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000.00元作为违约金。</w:t>
      </w:r>
    </w:p>
    <w:p w14:paraId="3C3F638F">
      <w:pPr>
        <w:spacing w:line="360" w:lineRule="auto"/>
        <w:ind w:firstLine="42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en-US"/>
        </w:rPr>
        <w:t xml:space="preserve"> </w:t>
      </w:r>
      <w:r>
        <w:rPr>
          <w:rFonts w:hint="eastAsia" w:ascii="宋体" w:hAnsi="宋体" w:eastAsia="宋体" w:cs="宋体"/>
          <w:color w:val="auto"/>
          <w:szCs w:val="21"/>
          <w:highlight w:val="none"/>
          <w:lang w:val="en-US" w:eastAsia="zh-CN"/>
        </w:rPr>
        <w:t>物业管理运营</w:t>
      </w:r>
      <w:r>
        <w:rPr>
          <w:rFonts w:hint="eastAsia" w:ascii="宋体" w:hAnsi="宋体" w:eastAsia="宋体" w:cs="宋体"/>
          <w:color w:val="auto"/>
          <w:szCs w:val="21"/>
          <w:highlight w:val="none"/>
          <w:lang w:val="en-US"/>
        </w:rPr>
        <w:t>服务考核得分≥90分的，甲方全额支付考核对应月份</w:t>
      </w:r>
      <w:r>
        <w:rPr>
          <w:rFonts w:hint="eastAsia" w:ascii="宋体" w:hAnsi="宋体" w:eastAsia="宋体" w:cs="宋体"/>
          <w:color w:val="auto"/>
          <w:szCs w:val="21"/>
          <w:highlight w:val="none"/>
          <w:lang w:val="en-US" w:eastAsia="zh-CN"/>
        </w:rPr>
        <w:t>物业管理运营服务费用</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rPr>
        <w:t>80≤考核得分＜90分的，</w:t>
      </w:r>
      <w:r>
        <w:rPr>
          <w:rFonts w:hint="eastAsia" w:ascii="宋体" w:hAnsi="宋体" w:eastAsia="宋体" w:cs="宋体"/>
          <w:color w:val="auto"/>
          <w:szCs w:val="21"/>
          <w:highlight w:val="none"/>
          <w:lang w:val="en-US"/>
        </w:rPr>
        <w:t>甲方</w:t>
      </w:r>
      <w:r>
        <w:rPr>
          <w:rFonts w:hint="eastAsia" w:ascii="宋体" w:hAnsi="宋体" w:eastAsia="宋体" w:cs="宋体"/>
          <w:color w:val="auto"/>
          <w:szCs w:val="21"/>
          <w:highlight w:val="none"/>
          <w:lang w:val="en-US" w:eastAsia="zh-CN"/>
        </w:rPr>
        <w:t>最终支付</w:t>
      </w:r>
      <w:r>
        <w:rPr>
          <w:rFonts w:hint="eastAsia" w:ascii="宋体" w:hAnsi="宋体" w:eastAsia="宋体" w:cs="宋体"/>
          <w:color w:val="auto"/>
          <w:szCs w:val="21"/>
          <w:highlight w:val="none"/>
          <w:lang w:val="en-US"/>
        </w:rPr>
        <w:t>考核对应月份</w:t>
      </w:r>
      <w:r>
        <w:rPr>
          <w:rFonts w:hint="eastAsia" w:ascii="宋体" w:hAnsi="宋体" w:eastAsia="宋体" w:cs="宋体"/>
          <w:color w:val="auto"/>
          <w:szCs w:val="21"/>
          <w:highlight w:val="none"/>
          <w:lang w:val="en-US" w:eastAsia="zh-CN"/>
        </w:rPr>
        <w:t>物业管理运营服务费用</w:t>
      </w:r>
      <w:r>
        <w:rPr>
          <w:rFonts w:hint="eastAsia" w:ascii="宋体" w:hAnsi="宋体" w:eastAsia="宋体" w:cs="宋体"/>
          <w:color w:val="auto"/>
          <w:szCs w:val="21"/>
          <w:highlight w:val="none"/>
        </w:rPr>
        <w:t>的9</w:t>
      </w:r>
      <w:r>
        <w:rPr>
          <w:rFonts w:hint="eastAsia" w:ascii="宋体" w:hAnsi="宋体" w:eastAsia="宋体" w:cs="宋体"/>
          <w:color w:val="auto"/>
          <w:szCs w:val="21"/>
          <w:highlight w:val="none"/>
          <w:lang w:val="en-US"/>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70</w:t>
      </w:r>
      <w:r>
        <w:rPr>
          <w:rFonts w:hint="eastAsia" w:ascii="宋体" w:hAnsi="宋体" w:eastAsia="宋体" w:cs="宋体"/>
          <w:color w:val="auto"/>
          <w:szCs w:val="21"/>
          <w:highlight w:val="none"/>
        </w:rPr>
        <w:t>≤考核得分＜</w:t>
      </w:r>
      <w:r>
        <w:rPr>
          <w:rFonts w:hint="eastAsia" w:ascii="宋体" w:hAnsi="宋体" w:eastAsia="宋体" w:cs="宋体"/>
          <w:color w:val="auto"/>
          <w:szCs w:val="21"/>
          <w:highlight w:val="none"/>
          <w:lang w:val="en-US"/>
        </w:rPr>
        <w:t>80</w:t>
      </w:r>
      <w:r>
        <w:rPr>
          <w:rFonts w:hint="eastAsia" w:ascii="宋体" w:hAnsi="宋体" w:eastAsia="宋体" w:cs="宋体"/>
          <w:color w:val="auto"/>
          <w:szCs w:val="21"/>
          <w:highlight w:val="none"/>
        </w:rPr>
        <w:t>分的，</w:t>
      </w:r>
      <w:r>
        <w:rPr>
          <w:rFonts w:hint="eastAsia" w:ascii="宋体" w:hAnsi="宋体" w:eastAsia="宋体" w:cs="宋体"/>
          <w:color w:val="auto"/>
          <w:szCs w:val="21"/>
          <w:highlight w:val="none"/>
          <w:lang w:val="en-US"/>
        </w:rPr>
        <w:t>甲方</w:t>
      </w:r>
      <w:r>
        <w:rPr>
          <w:rFonts w:hint="eastAsia" w:ascii="宋体" w:hAnsi="宋体" w:eastAsia="宋体" w:cs="宋体"/>
          <w:color w:val="auto"/>
          <w:szCs w:val="21"/>
          <w:highlight w:val="none"/>
          <w:lang w:val="en-US" w:eastAsia="zh-CN"/>
        </w:rPr>
        <w:t>最终支付</w:t>
      </w:r>
      <w:r>
        <w:rPr>
          <w:rFonts w:hint="eastAsia" w:ascii="宋体" w:hAnsi="宋体" w:eastAsia="宋体" w:cs="宋体"/>
          <w:color w:val="auto"/>
          <w:szCs w:val="21"/>
          <w:highlight w:val="none"/>
          <w:lang w:val="en-US"/>
        </w:rPr>
        <w:t>考核对应月份</w:t>
      </w:r>
      <w:r>
        <w:rPr>
          <w:rFonts w:hint="eastAsia" w:ascii="宋体" w:hAnsi="宋体" w:eastAsia="宋体" w:cs="宋体"/>
          <w:color w:val="auto"/>
          <w:szCs w:val="21"/>
          <w:highlight w:val="none"/>
          <w:lang w:val="en-US" w:eastAsia="zh-CN"/>
        </w:rPr>
        <w:t>物业管理运营服务费用</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rPr>
        <w:t>80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60</w:t>
      </w:r>
      <w:r>
        <w:rPr>
          <w:rFonts w:hint="eastAsia" w:ascii="宋体" w:hAnsi="宋体" w:eastAsia="宋体" w:cs="宋体"/>
          <w:color w:val="auto"/>
          <w:szCs w:val="21"/>
          <w:highlight w:val="none"/>
        </w:rPr>
        <w:t>≤考核得分＜</w:t>
      </w:r>
      <w:r>
        <w:rPr>
          <w:rFonts w:hint="eastAsia" w:ascii="宋体" w:hAnsi="宋体" w:eastAsia="宋体" w:cs="宋体"/>
          <w:color w:val="auto"/>
          <w:szCs w:val="21"/>
          <w:highlight w:val="none"/>
          <w:lang w:val="en-US"/>
        </w:rPr>
        <w:t>70</w:t>
      </w:r>
      <w:r>
        <w:rPr>
          <w:rFonts w:hint="eastAsia" w:ascii="宋体" w:hAnsi="宋体" w:eastAsia="宋体" w:cs="宋体"/>
          <w:color w:val="auto"/>
          <w:szCs w:val="21"/>
          <w:highlight w:val="none"/>
        </w:rPr>
        <w:t>分的，</w:t>
      </w:r>
      <w:r>
        <w:rPr>
          <w:rFonts w:hint="eastAsia" w:ascii="宋体" w:hAnsi="宋体" w:eastAsia="宋体" w:cs="宋体"/>
          <w:color w:val="auto"/>
          <w:szCs w:val="21"/>
          <w:highlight w:val="none"/>
          <w:lang w:val="en-US"/>
        </w:rPr>
        <w:t>甲方</w:t>
      </w:r>
      <w:r>
        <w:rPr>
          <w:rFonts w:hint="eastAsia" w:ascii="宋体" w:hAnsi="宋体" w:eastAsia="宋体" w:cs="宋体"/>
          <w:color w:val="auto"/>
          <w:szCs w:val="21"/>
          <w:highlight w:val="none"/>
          <w:lang w:val="en-US" w:eastAsia="zh-CN"/>
        </w:rPr>
        <w:t>最终支付</w:t>
      </w:r>
      <w:r>
        <w:rPr>
          <w:rFonts w:hint="eastAsia" w:ascii="宋体" w:hAnsi="宋体" w:eastAsia="宋体" w:cs="宋体"/>
          <w:color w:val="auto"/>
          <w:szCs w:val="21"/>
          <w:highlight w:val="none"/>
          <w:lang w:val="en-US"/>
        </w:rPr>
        <w:t>考核对应月份</w:t>
      </w:r>
      <w:r>
        <w:rPr>
          <w:rFonts w:hint="eastAsia" w:ascii="宋体" w:hAnsi="宋体" w:eastAsia="宋体" w:cs="宋体"/>
          <w:color w:val="auto"/>
          <w:szCs w:val="21"/>
          <w:highlight w:val="none"/>
          <w:lang w:val="en-US" w:eastAsia="zh-CN"/>
        </w:rPr>
        <w:t>物业管理运营服务费用</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rPr>
        <w:t>70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考核得分＜60分</w:t>
      </w:r>
      <w:r>
        <w:rPr>
          <w:rFonts w:hint="eastAsia" w:ascii="宋体" w:hAnsi="宋体" w:eastAsia="宋体" w:cs="宋体"/>
          <w:color w:val="auto"/>
          <w:szCs w:val="21"/>
          <w:highlight w:val="none"/>
          <w:lang w:val="en-US" w:eastAsia="zh-CN"/>
        </w:rPr>
        <w:t>的，甲方无需支付考核对应月份物业管理运营服务费用，同时乙方还应向甲方支付人民币</w:t>
      </w:r>
      <w:r>
        <w:rPr>
          <w:rFonts w:hint="eastAsia" w:ascii="宋体" w:hAnsi="宋体" w:eastAsia="宋体" w:cs="宋体"/>
          <w:color w:val="auto"/>
          <w:szCs w:val="21"/>
          <w:highlight w:val="none"/>
        </w:rPr>
        <w:t>100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000.00元作为违约金</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12个月内累计3次70≤考核总得分＜80分或6个月内累计2次60≤考核总得分＜70分的</w:t>
      </w:r>
      <w:r>
        <w:rPr>
          <w:rFonts w:hint="eastAsia" w:ascii="宋体" w:hAnsi="宋体" w:eastAsia="宋体" w:cs="宋体"/>
          <w:color w:val="auto"/>
          <w:szCs w:val="21"/>
          <w:highlight w:val="none"/>
          <w:lang w:val="en-US"/>
        </w:rPr>
        <w:t>，甲方有权单方解除合同，且不承担任何违约责任</w:t>
      </w:r>
      <w:r>
        <w:rPr>
          <w:rFonts w:hint="eastAsia" w:ascii="宋体" w:hAnsi="宋体" w:eastAsia="宋体" w:cs="宋体"/>
          <w:color w:val="auto"/>
          <w:szCs w:val="21"/>
          <w:highlight w:val="none"/>
          <w:lang w:val="en-US" w:eastAsia="zh-CN"/>
        </w:rPr>
        <w:t>，同时乙方还应向甲方支付人民币3</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000.00元作为违约金</w:t>
      </w:r>
      <w:r>
        <w:rPr>
          <w:rFonts w:hint="eastAsia" w:ascii="宋体" w:hAnsi="宋体" w:eastAsia="宋体" w:cs="宋体"/>
          <w:color w:val="auto"/>
          <w:szCs w:val="21"/>
          <w:highlight w:val="none"/>
          <w:lang w:val="en-US"/>
        </w:rPr>
        <w:t>。</w:t>
      </w:r>
    </w:p>
    <w:p w14:paraId="3A28FA4E">
      <w:pPr>
        <w:spacing w:line="360" w:lineRule="auto"/>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第四条 付款方式</w:t>
      </w:r>
    </w:p>
    <w:p w14:paraId="1E5B69E0">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本合同项目物业管理服务费，按</w:t>
      </w:r>
      <w:r>
        <w:rPr>
          <w:rFonts w:hint="eastAsia" w:ascii="宋体" w:hAnsi="宋体" w:eastAsia="宋体" w:cs="宋体"/>
          <w:color w:val="auto"/>
          <w:szCs w:val="21"/>
          <w:highlight w:val="none"/>
          <w:lang w:val="en-US" w:eastAsia="zh-CN"/>
        </w:rPr>
        <w:t>物业管理带教服务费用和物业管理运营服务费用</w:t>
      </w:r>
      <w:r>
        <w:rPr>
          <w:rFonts w:hint="eastAsia" w:ascii="宋体" w:hAnsi="宋体" w:eastAsia="宋体" w:cs="宋体"/>
          <w:color w:val="auto"/>
          <w:szCs w:val="21"/>
          <w:highlight w:val="none"/>
        </w:rPr>
        <w:t>分别进行计费和支付。</w:t>
      </w:r>
    </w:p>
    <w:p w14:paraId="0D211262">
      <w:pPr>
        <w:pStyle w:val="53"/>
        <w:spacing w:line="360" w:lineRule="auto"/>
        <w:ind w:left="0" w:firstLine="42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 xml:space="preserve">4.2 </w:t>
      </w:r>
      <w:r>
        <w:rPr>
          <w:rFonts w:hint="eastAsia" w:ascii="宋体" w:hAnsi="宋体" w:eastAsia="宋体" w:cs="宋体"/>
          <w:color w:val="auto"/>
          <w:szCs w:val="21"/>
          <w:highlight w:val="none"/>
          <w:lang w:val="en-US" w:eastAsia="zh-CN"/>
        </w:rPr>
        <w:t>物业管理带教服务费用</w:t>
      </w:r>
      <w:r>
        <w:rPr>
          <w:rFonts w:hint="eastAsia" w:ascii="宋体" w:hAnsi="宋体" w:eastAsia="宋体" w:cs="宋体"/>
          <w:color w:val="auto"/>
          <w:szCs w:val="21"/>
          <w:highlight w:val="none"/>
          <w:lang w:val="en-US"/>
        </w:rPr>
        <w:t>固定不变，甲方将结合物业</w:t>
      </w:r>
      <w:r>
        <w:rPr>
          <w:rFonts w:hint="eastAsia" w:ascii="宋体" w:hAnsi="宋体" w:eastAsia="宋体" w:cs="宋体"/>
          <w:color w:val="auto"/>
          <w:szCs w:val="21"/>
          <w:highlight w:val="none"/>
          <w:lang w:val="en-US" w:eastAsia="zh-CN"/>
        </w:rPr>
        <w:t>管理带教服务</w:t>
      </w:r>
      <w:r>
        <w:rPr>
          <w:rFonts w:hint="eastAsia" w:ascii="宋体" w:hAnsi="宋体" w:eastAsia="宋体" w:cs="宋体"/>
          <w:color w:val="auto"/>
          <w:szCs w:val="21"/>
          <w:highlight w:val="none"/>
          <w:lang w:val="en-US"/>
        </w:rPr>
        <w:t>考核结果</w:t>
      </w:r>
      <w:r>
        <w:rPr>
          <w:rFonts w:hint="eastAsia" w:ascii="宋体" w:hAnsi="宋体" w:eastAsia="宋体" w:cs="宋体"/>
          <w:color w:val="auto"/>
          <w:szCs w:val="21"/>
          <w:highlight w:val="none"/>
          <w:lang w:val="en-US" w:eastAsia="zh-CN"/>
        </w:rPr>
        <w:t>分期</w:t>
      </w:r>
      <w:r>
        <w:rPr>
          <w:rFonts w:hint="eastAsia" w:ascii="宋体" w:hAnsi="宋体" w:eastAsia="宋体" w:cs="宋体"/>
          <w:color w:val="auto"/>
          <w:szCs w:val="21"/>
          <w:highlight w:val="none"/>
          <w:lang w:val="en-US"/>
        </w:rPr>
        <w:t>支付，</w:t>
      </w:r>
      <w:r>
        <w:rPr>
          <w:rFonts w:hint="eastAsia" w:ascii="宋体" w:hAnsi="宋体" w:eastAsia="宋体" w:cs="宋体"/>
          <w:color w:val="auto"/>
          <w:szCs w:val="21"/>
          <w:highlight w:val="none"/>
          <w:lang w:val="en-US" w:eastAsia="zh-CN"/>
        </w:rPr>
        <w:t>物业管理</w:t>
      </w:r>
      <w:r>
        <w:rPr>
          <w:rFonts w:hint="eastAsia" w:ascii="宋体" w:hAnsi="宋体" w:eastAsia="宋体" w:cs="宋体"/>
          <w:color w:val="auto"/>
          <w:szCs w:val="21"/>
          <w:highlight w:val="none"/>
          <w:lang w:val="en-US"/>
        </w:rPr>
        <w:t>运营</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en-US"/>
        </w:rPr>
        <w:t>费用经甲方审批后</w:t>
      </w:r>
      <w:r>
        <w:rPr>
          <w:rFonts w:hint="eastAsia" w:ascii="宋体" w:hAnsi="宋体" w:eastAsia="宋体" w:cs="宋体"/>
          <w:color w:val="auto"/>
          <w:szCs w:val="21"/>
          <w:highlight w:val="none"/>
          <w:lang w:val="en-US" w:eastAsia="zh-CN"/>
        </w:rPr>
        <w:t>，在投标报价所列各分项最高限额内据</w:t>
      </w:r>
      <w:r>
        <w:rPr>
          <w:rFonts w:hint="eastAsia" w:ascii="宋体" w:hAnsi="宋体" w:eastAsia="宋体" w:cs="宋体"/>
          <w:color w:val="auto"/>
          <w:szCs w:val="21"/>
          <w:highlight w:val="none"/>
          <w:lang w:val="en-US"/>
        </w:rPr>
        <w:t>实结算，实际结算的</w:t>
      </w:r>
      <w:r>
        <w:rPr>
          <w:rFonts w:hint="eastAsia" w:ascii="宋体" w:hAnsi="宋体" w:eastAsia="宋体" w:cs="宋体"/>
          <w:color w:val="auto"/>
          <w:szCs w:val="21"/>
          <w:highlight w:val="none"/>
          <w:lang w:val="en-US" w:eastAsia="zh-CN"/>
        </w:rPr>
        <w:t>物业管理</w:t>
      </w:r>
      <w:r>
        <w:rPr>
          <w:rFonts w:hint="eastAsia" w:ascii="宋体" w:hAnsi="宋体" w:eastAsia="宋体" w:cs="宋体"/>
          <w:color w:val="auto"/>
          <w:szCs w:val="21"/>
          <w:highlight w:val="none"/>
          <w:lang w:val="en-US"/>
        </w:rPr>
        <w:t>运营</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en-US"/>
        </w:rPr>
        <w:t>费用各项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不含销项税额</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单价和</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不含销项税额</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总价</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含乙方委外实施的分包项目费用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不得超过分项明细表最高限额。</w:t>
      </w:r>
      <w:r>
        <w:rPr>
          <w:rFonts w:hint="eastAsia" w:ascii="宋体" w:hAnsi="宋体" w:eastAsia="宋体" w:cs="宋体"/>
          <w:color w:val="auto"/>
          <w:szCs w:val="21"/>
          <w:highlight w:val="none"/>
          <w:lang w:val="en-US" w:eastAsia="zh-CN"/>
        </w:rPr>
        <w:t>物业管理</w:t>
      </w:r>
      <w:r>
        <w:rPr>
          <w:rFonts w:hint="eastAsia" w:ascii="宋体" w:hAnsi="宋体" w:eastAsia="宋体" w:cs="宋体"/>
          <w:color w:val="auto"/>
          <w:szCs w:val="21"/>
          <w:highlight w:val="none"/>
          <w:lang w:val="en-US"/>
        </w:rPr>
        <w:t>运营</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en-US"/>
        </w:rPr>
        <w:t>费用中的人工费用按分项明细表的中标人工单价和实际配置人员数量进行结算。</w:t>
      </w:r>
    </w:p>
    <w:p w14:paraId="0DEA2293">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物业管理带教服务</w:t>
      </w:r>
      <w:r>
        <w:rPr>
          <w:rFonts w:hint="eastAsia" w:ascii="宋体" w:hAnsi="宋体" w:eastAsia="宋体" w:cs="宋体"/>
          <w:color w:val="auto"/>
          <w:szCs w:val="21"/>
          <w:highlight w:val="none"/>
        </w:rPr>
        <w:t>采取</w:t>
      </w:r>
      <w:r>
        <w:rPr>
          <w:rFonts w:hint="eastAsia" w:ascii="宋体" w:hAnsi="宋体" w:eastAsia="宋体" w:cs="宋体"/>
          <w:color w:val="auto"/>
          <w:szCs w:val="21"/>
          <w:highlight w:val="none"/>
          <w:lang w:val="en-US" w:eastAsia="zh-CN"/>
        </w:rPr>
        <w:t>分期</w:t>
      </w:r>
      <w:r>
        <w:rPr>
          <w:rFonts w:hint="eastAsia" w:ascii="宋体" w:hAnsi="宋体" w:eastAsia="宋体" w:cs="宋体"/>
          <w:color w:val="auto"/>
          <w:szCs w:val="21"/>
          <w:highlight w:val="none"/>
        </w:rPr>
        <w:t>支付的方式。</w:t>
      </w:r>
    </w:p>
    <w:p w14:paraId="46DFF18E">
      <w:pPr>
        <w:spacing w:line="360"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第一期支付为完成甲方委派学员第一阶段跟岗学习后，甲方将根据物业管理带教服务考核结果支付当期物业管理带教服务费用，当期物业管理带教服务费用为物业管理带教服务费用的10%及对应销项税额。</w:t>
      </w:r>
    </w:p>
    <w:p w14:paraId="6AA80FD5">
      <w:pPr>
        <w:spacing w:line="360"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第二期支付为完成甲方委派学员第二阶段跟岗学习后，甲方将根据物业管理带教服务考核结果支付当期物业管理带教服务费用，当期物业管理带教服务费用为物业管理带教服务费用的10%及对应销项税额。</w:t>
      </w:r>
    </w:p>
    <w:p w14:paraId="2160625F">
      <w:pPr>
        <w:spacing w:line="360"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第三期支付为完成甲方委派学员第三阶段跟岗学习后，甲方将根据物业管理带教服务考核结果支付当期物业管理带教服务费用，当期物业管理带教服务费用为物业管理带教服务费用的10%及对应销项税额。</w:t>
      </w:r>
    </w:p>
    <w:p w14:paraId="1569EC4C">
      <w:pPr>
        <w:spacing w:line="360"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第四期支付为本合同服务期届满后，甲方将根据物业管理带教服务考核结果支付当期物业管理带教服务费用，当期物业管理带教服务费用为物业管理带教服务费用的70%及对应销项税额。</w:t>
      </w:r>
    </w:p>
    <w:p w14:paraId="2739B3F5">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每期请款时，</w:t>
      </w:r>
      <w:r>
        <w:rPr>
          <w:rFonts w:hint="eastAsia" w:ascii="宋体" w:hAnsi="宋体" w:eastAsia="宋体" w:cs="宋体"/>
          <w:color w:val="auto"/>
          <w:szCs w:val="21"/>
          <w:highlight w:val="none"/>
        </w:rPr>
        <w:t>乙方应提供请款</w:t>
      </w:r>
      <w:r>
        <w:rPr>
          <w:rFonts w:hint="eastAsia" w:ascii="宋体" w:hAnsi="宋体" w:eastAsia="宋体" w:cs="宋体"/>
          <w:color w:val="auto"/>
          <w:szCs w:val="21"/>
          <w:highlight w:val="none"/>
          <w:lang w:val="en-US" w:eastAsia="zh-CN"/>
        </w:rPr>
        <w:t>资料</w:t>
      </w:r>
      <w:r>
        <w:rPr>
          <w:rFonts w:hint="eastAsia" w:ascii="宋体" w:hAnsi="宋体" w:eastAsia="宋体" w:cs="宋体"/>
          <w:color w:val="auto"/>
          <w:szCs w:val="21"/>
          <w:highlight w:val="none"/>
        </w:rPr>
        <w:t>和对应金额的增值税专用发票，甲方在收到乙方的请款</w:t>
      </w:r>
      <w:r>
        <w:rPr>
          <w:rFonts w:hint="eastAsia" w:ascii="宋体" w:hAnsi="宋体" w:eastAsia="宋体" w:cs="宋体"/>
          <w:color w:val="auto"/>
          <w:szCs w:val="21"/>
          <w:highlight w:val="none"/>
          <w:lang w:val="en-US" w:eastAsia="zh-CN"/>
        </w:rPr>
        <w:t>资料</w:t>
      </w:r>
      <w:r>
        <w:rPr>
          <w:rFonts w:hint="eastAsia" w:ascii="宋体" w:hAnsi="宋体" w:eastAsia="宋体" w:cs="宋体"/>
          <w:color w:val="auto"/>
          <w:szCs w:val="21"/>
          <w:highlight w:val="none"/>
        </w:rPr>
        <w:t>及发票并确认无误后</w:t>
      </w:r>
      <w:r>
        <w:rPr>
          <w:rFonts w:hint="eastAsia" w:ascii="宋体" w:hAnsi="宋体" w:eastAsia="宋体" w:cs="宋体"/>
          <w:color w:val="auto"/>
          <w:szCs w:val="21"/>
          <w:highlight w:val="none"/>
          <w:lang w:val="en-US" w:eastAsia="zh-CN"/>
        </w:rPr>
        <w:t>15个工作日内</w:t>
      </w:r>
      <w:r>
        <w:rPr>
          <w:rFonts w:hint="eastAsia" w:ascii="宋体" w:hAnsi="宋体" w:eastAsia="宋体" w:cs="宋体"/>
          <w:color w:val="auto"/>
          <w:szCs w:val="21"/>
          <w:highlight w:val="none"/>
        </w:rPr>
        <w:t>向乙方支付</w:t>
      </w:r>
      <w:r>
        <w:rPr>
          <w:rFonts w:hint="eastAsia" w:ascii="宋体" w:hAnsi="宋体" w:eastAsia="宋体" w:cs="宋体"/>
          <w:color w:val="auto"/>
          <w:szCs w:val="21"/>
          <w:highlight w:val="none"/>
          <w:lang w:val="en-US" w:eastAsia="zh-CN"/>
        </w:rPr>
        <w:t>当期物业管理带教服务费用及对应销项税额</w:t>
      </w:r>
      <w:r>
        <w:rPr>
          <w:rFonts w:hint="eastAsia" w:ascii="宋体" w:hAnsi="宋体" w:eastAsia="宋体" w:cs="宋体"/>
          <w:color w:val="auto"/>
          <w:szCs w:val="21"/>
          <w:highlight w:val="none"/>
        </w:rPr>
        <w:t>，若乙方逾期提供请款</w:t>
      </w:r>
      <w:r>
        <w:rPr>
          <w:rFonts w:hint="eastAsia" w:ascii="宋体" w:hAnsi="宋体" w:eastAsia="宋体" w:cs="宋体"/>
          <w:color w:val="auto"/>
          <w:szCs w:val="21"/>
          <w:highlight w:val="none"/>
          <w:lang w:val="en-US" w:eastAsia="zh-CN"/>
        </w:rPr>
        <w:t>资料</w:t>
      </w:r>
      <w:r>
        <w:rPr>
          <w:rFonts w:hint="eastAsia" w:ascii="宋体" w:hAnsi="宋体" w:eastAsia="宋体" w:cs="宋体"/>
          <w:color w:val="auto"/>
          <w:szCs w:val="21"/>
          <w:highlight w:val="none"/>
        </w:rPr>
        <w:t>及发票或提供请款</w:t>
      </w:r>
      <w:r>
        <w:rPr>
          <w:rFonts w:hint="eastAsia" w:ascii="宋体" w:hAnsi="宋体" w:eastAsia="宋体" w:cs="宋体"/>
          <w:color w:val="auto"/>
          <w:szCs w:val="21"/>
          <w:highlight w:val="none"/>
          <w:lang w:val="en-US" w:eastAsia="zh-CN"/>
        </w:rPr>
        <w:t>资料</w:t>
      </w:r>
      <w:r>
        <w:rPr>
          <w:rFonts w:hint="eastAsia" w:ascii="宋体" w:hAnsi="宋体" w:eastAsia="宋体" w:cs="宋体"/>
          <w:color w:val="auto"/>
          <w:szCs w:val="21"/>
          <w:highlight w:val="none"/>
        </w:rPr>
        <w:t>或发票不符合甲方要求的，甲方的付款时间作相应顺延，且不视为违约，由此造成不能按时付款的责任由乙方自行承担。</w:t>
      </w:r>
    </w:p>
    <w:p w14:paraId="77205B10">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物业管理</w:t>
      </w:r>
      <w:r>
        <w:rPr>
          <w:rFonts w:hint="eastAsia" w:ascii="宋体" w:hAnsi="宋体" w:eastAsia="宋体" w:cs="宋体"/>
          <w:color w:val="auto"/>
          <w:szCs w:val="21"/>
          <w:highlight w:val="none"/>
        </w:rPr>
        <w:t>运营</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费用的支付：</w:t>
      </w:r>
    </w:p>
    <w:p w14:paraId="3252D637">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4.4.1 </w:t>
      </w:r>
      <w:r>
        <w:rPr>
          <w:rFonts w:hint="eastAsia" w:ascii="宋体" w:hAnsi="宋体" w:eastAsia="宋体" w:cs="宋体"/>
          <w:color w:val="auto"/>
          <w:szCs w:val="21"/>
          <w:highlight w:val="none"/>
        </w:rPr>
        <w:t>乙方应于每月</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日将下月</w:t>
      </w:r>
      <w:r>
        <w:rPr>
          <w:rFonts w:hint="eastAsia" w:ascii="宋体" w:hAnsi="宋体" w:eastAsia="宋体" w:cs="宋体"/>
          <w:color w:val="auto"/>
          <w:szCs w:val="21"/>
          <w:highlight w:val="none"/>
          <w:lang w:val="en-US" w:eastAsia="zh-CN"/>
        </w:rPr>
        <w:t>物业管理</w:t>
      </w:r>
      <w:r>
        <w:rPr>
          <w:rFonts w:hint="eastAsia" w:ascii="宋体" w:hAnsi="宋体" w:eastAsia="宋体" w:cs="宋体"/>
          <w:color w:val="auto"/>
          <w:szCs w:val="21"/>
          <w:highlight w:val="none"/>
        </w:rPr>
        <w:t>运营</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费用预算报甲方审核，</w:t>
      </w:r>
      <w:r>
        <w:rPr>
          <w:rFonts w:hint="eastAsia" w:ascii="宋体" w:hAnsi="宋体" w:eastAsia="宋体" w:cs="宋体"/>
          <w:color w:val="auto"/>
          <w:szCs w:val="21"/>
          <w:highlight w:val="none"/>
          <w:lang w:val="en-US" w:eastAsia="zh-CN"/>
        </w:rPr>
        <w:t>物业管理</w:t>
      </w:r>
      <w:r>
        <w:rPr>
          <w:rFonts w:hint="eastAsia" w:ascii="宋体" w:hAnsi="宋体" w:eastAsia="宋体" w:cs="宋体"/>
          <w:color w:val="auto"/>
          <w:szCs w:val="21"/>
          <w:highlight w:val="none"/>
        </w:rPr>
        <w:t>运营</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费用各项预算（不含销项税额）单价和（不含销项税额）总价（含乙方委外实施的分包项目费用）不得超过分项明细表的</w:t>
      </w:r>
      <w:r>
        <w:rPr>
          <w:rFonts w:hint="eastAsia" w:ascii="宋体" w:hAnsi="宋体" w:eastAsia="宋体" w:cs="宋体"/>
          <w:color w:val="auto"/>
          <w:szCs w:val="21"/>
          <w:highlight w:val="none"/>
          <w:lang w:bidi="en-US"/>
        </w:rPr>
        <w:t>该项单价最高限额和总价</w:t>
      </w:r>
      <w:r>
        <w:rPr>
          <w:rFonts w:hint="eastAsia" w:ascii="宋体" w:hAnsi="宋体" w:eastAsia="宋体" w:cs="宋体"/>
          <w:color w:val="auto"/>
          <w:szCs w:val="21"/>
          <w:highlight w:val="none"/>
        </w:rPr>
        <w:t>最高限额，经甲方同意后乙方</w:t>
      </w:r>
      <w:r>
        <w:rPr>
          <w:rFonts w:hint="eastAsia" w:ascii="宋体" w:hAnsi="宋体" w:eastAsia="宋体" w:cs="宋体"/>
          <w:color w:val="auto"/>
          <w:szCs w:val="21"/>
          <w:highlight w:val="none"/>
          <w:lang w:val="en-US" w:eastAsia="zh-CN"/>
        </w:rPr>
        <w:t>方</w:t>
      </w:r>
      <w:r>
        <w:rPr>
          <w:rFonts w:hint="eastAsia" w:ascii="宋体" w:hAnsi="宋体" w:eastAsia="宋体" w:cs="宋体"/>
          <w:color w:val="auto"/>
          <w:szCs w:val="21"/>
          <w:highlight w:val="none"/>
        </w:rPr>
        <w:t>可实施并按实结算。</w:t>
      </w:r>
    </w:p>
    <w:p w14:paraId="197C1541">
      <w:pPr>
        <w:spacing w:line="360"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4.4.2 乙方应于每月15日前</w:t>
      </w:r>
      <w:r>
        <w:rPr>
          <w:rFonts w:hint="eastAsia" w:ascii="宋体" w:hAnsi="宋体" w:eastAsia="宋体" w:cs="宋体"/>
          <w:color w:val="auto"/>
          <w:szCs w:val="21"/>
          <w:highlight w:val="none"/>
        </w:rPr>
        <w:t>按甲方要求提供</w:t>
      </w:r>
      <w:r>
        <w:rPr>
          <w:rFonts w:hint="eastAsia" w:ascii="宋体" w:hAnsi="宋体" w:eastAsia="宋体" w:cs="宋体"/>
          <w:color w:val="auto"/>
          <w:szCs w:val="21"/>
          <w:highlight w:val="none"/>
          <w:lang w:val="en-US" w:eastAsia="zh-CN"/>
        </w:rPr>
        <w:t>上月物业管理运营服务费</w:t>
      </w:r>
      <w:r>
        <w:rPr>
          <w:rFonts w:hint="eastAsia" w:ascii="宋体" w:hAnsi="宋体" w:eastAsia="宋体" w:cs="宋体"/>
          <w:color w:val="auto"/>
          <w:szCs w:val="21"/>
          <w:highlight w:val="none"/>
        </w:rPr>
        <w:t>请款报告及相关请款资料（包括但不限于经甲方同意的请示或决策文件、合同复印件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物业团队人员考勤</w:t>
      </w:r>
      <w:r>
        <w:rPr>
          <w:rFonts w:hint="eastAsia" w:ascii="宋体" w:hAnsi="宋体" w:eastAsia="宋体" w:cs="宋体"/>
          <w:color w:val="auto"/>
          <w:szCs w:val="21"/>
          <w:highlight w:val="none"/>
        </w:rPr>
        <w:t>等相关资料）和合法、有效的增值税</w:t>
      </w:r>
      <w:r>
        <w:rPr>
          <w:rFonts w:hint="eastAsia" w:ascii="宋体" w:hAnsi="宋体" w:eastAsia="宋体" w:cs="宋体"/>
          <w:color w:val="auto"/>
          <w:szCs w:val="21"/>
          <w:highlight w:val="none"/>
          <w:lang w:val="en-US" w:eastAsia="zh-CN"/>
        </w:rPr>
        <w:t>专用</w:t>
      </w:r>
      <w:r>
        <w:rPr>
          <w:rFonts w:hint="eastAsia" w:ascii="宋体" w:hAnsi="宋体" w:eastAsia="宋体" w:cs="宋体"/>
          <w:color w:val="auto"/>
          <w:szCs w:val="21"/>
          <w:highlight w:val="none"/>
        </w:rPr>
        <w:t>发票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经甲方审核确认无误后15个工作日内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甲方结合物业管理运营服务考核结果向乙方</w:t>
      </w:r>
      <w:r>
        <w:rPr>
          <w:rFonts w:hint="eastAsia" w:ascii="宋体" w:hAnsi="宋体" w:eastAsia="宋体" w:cs="宋体"/>
          <w:color w:val="auto"/>
          <w:szCs w:val="21"/>
          <w:highlight w:val="none"/>
        </w:rPr>
        <w:t>支付</w:t>
      </w:r>
      <w:r>
        <w:rPr>
          <w:rFonts w:hint="eastAsia" w:ascii="宋体" w:hAnsi="宋体" w:eastAsia="宋体" w:cs="宋体"/>
          <w:color w:val="auto"/>
          <w:szCs w:val="21"/>
          <w:highlight w:val="none"/>
          <w:lang w:val="en-US" w:eastAsia="zh-CN"/>
        </w:rPr>
        <w:t>上月物业管理运营服务费用，其中物业管理运营服务人工费用请款时须提供人员考勤资料，甲方将按照实际配置物业团队人员出勤情况支付物业管理运营服务人工费用，月度物业管理运营服务人工费=∑岗位合同单价（不含税）×人员月度出勤率×岗位实际配置数量+对应销项税额，其中人员月度出勤率=当月实际出勤天数÷当月日历天数，当月实际出勤天数=当月上班天数+当月应休天数。</w:t>
      </w:r>
    </w:p>
    <w:p w14:paraId="4937002D">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4.4.3 物业管理运营服务范围</w:t>
      </w:r>
      <w:r>
        <w:rPr>
          <w:rFonts w:hint="eastAsia" w:ascii="宋体" w:hAnsi="宋体" w:eastAsia="宋体" w:cs="宋体"/>
          <w:color w:val="auto"/>
          <w:szCs w:val="21"/>
          <w:highlight w:val="none"/>
        </w:rPr>
        <w:t>内的专项服务事项由第三方承接服务的，实际承接服务的供应商或对应的主体必须事先征得甲方书面同意，并与甲乙双方签订三方协议。第三方承接的服务事项由乙方负责组织</w:t>
      </w:r>
      <w:r>
        <w:rPr>
          <w:rFonts w:hint="eastAsia" w:ascii="宋体" w:hAnsi="宋体" w:eastAsia="宋体" w:cs="宋体"/>
          <w:color w:val="auto"/>
          <w:szCs w:val="21"/>
          <w:highlight w:val="none"/>
          <w:lang w:val="en-US" w:eastAsia="zh-CN"/>
        </w:rPr>
        <w:t>初步</w:t>
      </w:r>
      <w:r>
        <w:rPr>
          <w:rFonts w:hint="eastAsia" w:ascii="宋体" w:hAnsi="宋体" w:eastAsia="宋体" w:cs="宋体"/>
          <w:color w:val="auto"/>
          <w:szCs w:val="21"/>
          <w:highlight w:val="none"/>
        </w:rPr>
        <w:t>验收，</w:t>
      </w:r>
      <w:r>
        <w:rPr>
          <w:rFonts w:hint="eastAsia" w:ascii="宋体" w:hAnsi="宋体" w:eastAsia="宋体" w:cs="宋体"/>
          <w:color w:val="auto"/>
          <w:szCs w:val="21"/>
          <w:highlight w:val="none"/>
          <w:lang w:val="en-US" w:eastAsia="zh-CN"/>
        </w:rPr>
        <w:t>但须</w:t>
      </w:r>
      <w:r>
        <w:rPr>
          <w:rFonts w:hint="eastAsia" w:ascii="宋体" w:hAnsi="宋体" w:eastAsia="宋体" w:cs="宋体"/>
          <w:color w:val="auto"/>
          <w:szCs w:val="21"/>
          <w:highlight w:val="none"/>
        </w:rPr>
        <w:t>经甲方</w:t>
      </w:r>
      <w:r>
        <w:rPr>
          <w:rFonts w:hint="eastAsia" w:ascii="宋体" w:hAnsi="宋体" w:eastAsia="宋体" w:cs="宋体"/>
          <w:color w:val="auto"/>
          <w:szCs w:val="21"/>
          <w:highlight w:val="none"/>
          <w:lang w:val="en-US" w:eastAsia="zh-CN"/>
        </w:rPr>
        <w:t>单独</w:t>
      </w:r>
      <w:r>
        <w:rPr>
          <w:rFonts w:hint="eastAsia" w:ascii="宋体" w:hAnsi="宋体" w:eastAsia="宋体" w:cs="宋体"/>
          <w:color w:val="auto"/>
          <w:szCs w:val="21"/>
          <w:highlight w:val="none"/>
        </w:rPr>
        <w:t>验收合格并书面确认后，甲方向实际承接服务的供应商或对应的主体支付服务费用，乙方应督促实际承接服务的供应商或对应的主体按甲方要求提供合法、有效的增值税发票和请款报告及相关请款资料（包括但不限于经甲方同意的请示或决策文件、合同复印件等相关资料），经甲方审核确认无误后15个工作日内支付。乙方对第三方承接服务的质量、安全、进度等承担全部连带责任，甲方的付款行为不视为对服务质量的认可，亦不免除乙方在本合同项下的任何义务或责任。</w:t>
      </w:r>
    </w:p>
    <w:p w14:paraId="333DB24C">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合同的履约过程中，乙方根据本合同约定需向甲方支付违约金、赔偿金、或其他应付费用等款项的，乙方必须向甲方支付完相关款项后，甲方才根据本合同向乙方支付合同费用和对应的税额。若因乙方未能支付前述费用，影响项目实施的，甲方有权启用履约担保或直接从未付合同款项中直接扣除，且乙方必须按照扣除前述费用前的合同费用（销售额）开具增值税专用发票，保证增值税税额符合法律规定。</w:t>
      </w:r>
    </w:p>
    <w:p w14:paraId="397DD9F8">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乙方收款账号如下：</w:t>
      </w:r>
    </w:p>
    <w:p w14:paraId="280133A5">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户名：               </w:t>
      </w:r>
    </w:p>
    <w:p w14:paraId="32731B45">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账户：</w:t>
      </w:r>
    </w:p>
    <w:p w14:paraId="7D55C437">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开户行：                      </w:t>
      </w:r>
    </w:p>
    <w:p w14:paraId="6448BA8C">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乙方逾期提供请款资料及发票或前述资料不符合甲方要求的，甲方付款时间顺延，并不承担逾期付款违约责任。由于乙方提供的发票不符合税法规定，给甲方造成的损失由乙方承担赔偿责任。</w:t>
      </w:r>
    </w:p>
    <w:p w14:paraId="457EA41E">
      <w:pPr>
        <w:spacing w:line="360" w:lineRule="auto"/>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第五条 物业管理要求</w:t>
      </w:r>
    </w:p>
    <w:p w14:paraId="16034613">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5.1 物业管理</w:t>
      </w:r>
      <w:r>
        <w:rPr>
          <w:rFonts w:hint="eastAsia" w:ascii="宋体" w:hAnsi="宋体" w:eastAsia="宋体" w:cs="宋体"/>
          <w:color w:val="auto"/>
          <w:szCs w:val="21"/>
          <w:highlight w:val="none"/>
          <w:lang w:val="en-US" w:eastAsia="zh-CN"/>
        </w:rPr>
        <w:t>带教服务</w:t>
      </w:r>
      <w:r>
        <w:rPr>
          <w:rFonts w:hint="eastAsia" w:ascii="宋体" w:hAnsi="宋体" w:eastAsia="宋体" w:cs="宋体"/>
          <w:color w:val="auto"/>
          <w:szCs w:val="21"/>
          <w:highlight w:val="none"/>
        </w:rPr>
        <w:t>要求</w:t>
      </w:r>
    </w:p>
    <w:p w14:paraId="1D772843">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5.1.1 </w:t>
      </w:r>
      <w:r>
        <w:rPr>
          <w:rFonts w:hint="eastAsia" w:ascii="宋体" w:hAnsi="宋体" w:eastAsia="宋体" w:cs="宋体"/>
          <w:color w:val="auto"/>
          <w:szCs w:val="21"/>
          <w:highlight w:val="none"/>
          <w:lang w:val="en-US" w:eastAsia="zh-CN"/>
        </w:rPr>
        <w:t>总体要求</w:t>
      </w:r>
      <w:r>
        <w:rPr>
          <w:rFonts w:hint="eastAsia" w:ascii="宋体" w:hAnsi="宋体" w:eastAsia="宋体" w:cs="宋体"/>
          <w:color w:val="auto"/>
          <w:szCs w:val="21"/>
          <w:highlight w:val="none"/>
        </w:rPr>
        <w:t>：</w:t>
      </w:r>
    </w:p>
    <w:p w14:paraId="1D711AA2">
      <w:pPr>
        <w:pStyle w:val="53"/>
        <w:spacing w:line="360" w:lineRule="auto"/>
        <w:ind w:left="0" w:firstLine="42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（1）</w:t>
      </w:r>
      <w:r>
        <w:rPr>
          <w:rFonts w:hint="eastAsia" w:ascii="宋体" w:hAnsi="宋体" w:eastAsia="宋体" w:cs="宋体"/>
          <w:color w:val="auto"/>
          <w:szCs w:val="21"/>
          <w:highlight w:val="none"/>
          <w:lang w:val="en-US" w:eastAsia="zh-CN"/>
        </w:rPr>
        <w:t>乙方作为物业管理带教服务的责任方，须对带教过程的系统性、有效性及最终成果负责</w:t>
      </w:r>
      <w:r>
        <w:rPr>
          <w:rFonts w:hint="eastAsia" w:ascii="宋体" w:hAnsi="宋体" w:eastAsia="宋体" w:cs="宋体"/>
          <w:color w:val="auto"/>
          <w:szCs w:val="21"/>
          <w:highlight w:val="none"/>
          <w:lang w:val="en-US"/>
        </w:rPr>
        <w:t>。</w:t>
      </w:r>
    </w:p>
    <w:p w14:paraId="7C891F20">
      <w:pPr>
        <w:pStyle w:val="53"/>
        <w:spacing w:line="360" w:lineRule="auto"/>
        <w:ind w:left="0" w:firstLine="42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（2）</w:t>
      </w:r>
      <w:r>
        <w:rPr>
          <w:rFonts w:hint="eastAsia" w:ascii="宋体" w:hAnsi="宋体" w:eastAsia="宋体" w:cs="宋体"/>
          <w:color w:val="auto"/>
          <w:szCs w:val="21"/>
          <w:highlight w:val="none"/>
          <w:lang w:val="en-US" w:eastAsia="zh-CN"/>
        </w:rPr>
        <w:t>乙方带教工作须与项目日常物业服务运营深度融合，确保理论传授与实操训练紧密结合</w:t>
      </w:r>
      <w:r>
        <w:rPr>
          <w:rFonts w:hint="eastAsia" w:ascii="宋体" w:hAnsi="宋体" w:eastAsia="宋体" w:cs="宋体"/>
          <w:color w:val="auto"/>
          <w:szCs w:val="21"/>
          <w:highlight w:val="none"/>
          <w:lang w:val="en-US"/>
        </w:rPr>
        <w:t>。</w:t>
      </w:r>
    </w:p>
    <w:p w14:paraId="12CA9EC4">
      <w:pPr>
        <w:pStyle w:val="53"/>
        <w:spacing w:line="360" w:lineRule="auto"/>
        <w:ind w:left="0" w:firstLine="42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（3）</w:t>
      </w:r>
      <w:r>
        <w:rPr>
          <w:rFonts w:hint="eastAsia" w:ascii="宋体" w:hAnsi="宋体" w:eastAsia="宋体" w:cs="宋体"/>
          <w:color w:val="auto"/>
          <w:szCs w:val="21"/>
          <w:highlight w:val="none"/>
          <w:lang w:val="en-US" w:eastAsia="zh-CN"/>
        </w:rPr>
        <w:t>乙方带教工作应以实现甲方学员独立胜任目标岗位为最终目的，所有活动均围绕此目标展开</w:t>
      </w:r>
      <w:r>
        <w:rPr>
          <w:rFonts w:hint="eastAsia" w:ascii="宋体" w:hAnsi="宋体" w:eastAsia="宋体" w:cs="宋体"/>
          <w:color w:val="auto"/>
          <w:szCs w:val="21"/>
          <w:highlight w:val="none"/>
          <w:lang w:val="en-US"/>
        </w:rPr>
        <w:t>。</w:t>
      </w:r>
    </w:p>
    <w:p w14:paraId="7F51FF50">
      <w:pPr>
        <w:pStyle w:val="53"/>
        <w:spacing w:line="360" w:lineRule="auto"/>
        <w:ind w:left="0" w:firstLine="42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5.1.2 实施要求</w:t>
      </w:r>
      <w:r>
        <w:rPr>
          <w:rFonts w:hint="eastAsia" w:ascii="宋体" w:hAnsi="宋体" w:eastAsia="宋体" w:cs="宋体"/>
          <w:color w:val="auto"/>
          <w:szCs w:val="21"/>
          <w:highlight w:val="none"/>
          <w:lang w:val="en-US"/>
        </w:rPr>
        <w:t>。</w:t>
      </w:r>
    </w:p>
    <w:p w14:paraId="6C414D2D">
      <w:pPr>
        <w:pStyle w:val="53"/>
        <w:spacing w:line="360" w:lineRule="auto"/>
        <w:ind w:left="0" w:firstLine="42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lang w:val="en-US" w:eastAsia="zh-CN"/>
        </w:rPr>
        <w:t>建立联合工作组机制：双方共同成立带教工作联合小组，甲方负责人担任组长。工作组每月召开一次例会，听取乙方关于带教工作进展的专题汇报，审议《跟岗进展报告》，协调解决带教过程中出现的问题。</w:t>
      </w:r>
    </w:p>
    <w:p w14:paraId="1F7B708E">
      <w:pPr>
        <w:pStyle w:val="53"/>
        <w:spacing w:line="360" w:lineRule="auto"/>
        <w:ind w:left="0"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实施“一人一策”档案管理：乙方须为每一位甲方学员建立并动态更新个人带教成长档案。档案应详细记录其培训课程完成情况、实操训练表现、阶段考核成绩、导师评价及能力短板改进跟踪等内容，作为过程管控的基础依据。</w:t>
      </w:r>
    </w:p>
    <w:p w14:paraId="6A42EFB7">
      <w:pPr>
        <w:pStyle w:val="53"/>
        <w:spacing w:line="360" w:lineRule="auto"/>
        <w:ind w:left="0"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（3）执行关键节点里程碑检查：在整个带教周期内，设定数个关键里程碑节点，在每个节点，由联合工作组对带教成果进行阶段性验收，验收通过后方可进入下一阶段。</w:t>
      </w:r>
    </w:p>
    <w:p w14:paraId="65D83394">
      <w:pPr>
        <w:pStyle w:val="53"/>
        <w:spacing w:line="360" w:lineRule="auto"/>
        <w:ind w:left="0"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（4）落实综合评估与反馈：甲方将依据本合同约定的带教服务过程考核内容，对乙方的带教方案执行、资源投入、导师履职及学员能力成长情况进行3次过程考核评估，评估结果与带教服务费用支付挂钩。</w:t>
      </w:r>
    </w:p>
    <w:p w14:paraId="59BC5009">
      <w:pPr>
        <w:pStyle w:val="53"/>
        <w:spacing w:line="360" w:lineRule="auto"/>
        <w:ind w:left="0"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强化双向沟通与动态调整：建立常态化的双向沟通渠道。除定期会议外，甲方学员可随时通过指定渠道向联合工作组反馈学习情况及诉求。联合工作组有权根据评估结果和实际情况，要求乙方对带教计划、方法或导师配置进行必要且合理的动态调整，以确保最终培养目标的实现。</w:t>
      </w:r>
    </w:p>
    <w:p w14:paraId="30B19779">
      <w:pPr>
        <w:pStyle w:val="53"/>
        <w:spacing w:line="360" w:lineRule="auto"/>
        <w:ind w:left="0"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5.1.3 成果要求：</w:t>
      </w:r>
    </w:p>
    <w:p w14:paraId="6FE04964">
      <w:pPr>
        <w:pStyle w:val="53"/>
        <w:spacing w:line="360" w:lineRule="auto"/>
        <w:ind w:left="0"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带教期满，乙方须向甲方交付成果，包含但不限于完整的《项目运营管理知识体系文件》，全套《项目设施设备运维与应急处理手册》，针对每位完成培养的学员出具的《岗位胜任能力评估报告》，《项目全周期运营管理方案》，《物业服务各模块（客服、工程、秩序、环境）标准化作业程序》，《项目品质检查标准与考核办法》，《内部绩效考核与激励机制方案》，《各条线台账》，完整的带教过程记录与总结报告等。</w:t>
      </w:r>
    </w:p>
    <w:p w14:paraId="76EC51BF">
      <w:pPr>
        <w:pStyle w:val="53"/>
        <w:spacing w:line="360" w:lineRule="auto"/>
        <w:ind w:left="0"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（2）带教期满，学员（储备项目负责人，工程、安保、环境、客服四大条线负责人，共计5人）通过考核。</w:t>
      </w:r>
    </w:p>
    <w:p w14:paraId="6D59919F">
      <w:pPr>
        <w:pStyle w:val="53"/>
        <w:spacing w:line="360" w:lineRule="auto"/>
        <w:ind w:left="0"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5.1.4 人员配置与资源保障：</w:t>
      </w:r>
    </w:p>
    <w:p w14:paraId="320C8443">
      <w:pPr>
        <w:pStyle w:val="53"/>
        <w:spacing w:line="360" w:lineRule="auto"/>
        <w:ind w:left="0"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带教团队：乙方应组建具备相应资质与经验的带教团队，按照带教学员“一对一”配置导师，导师需由乙方另行选派，不得由拟投入本项目的物业管理团队人员兼任，导师资历不低于物业团队同等岗位任职能力，并确保核心带教团队在合作期内的稳定性。</w:t>
      </w:r>
    </w:p>
    <w:p w14:paraId="4DBAFF28">
      <w:pPr>
        <w:pStyle w:val="53"/>
        <w:spacing w:line="360" w:lineRule="auto"/>
        <w:ind w:left="0"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（2）资源投入：乙方须承诺投入必要的培训资源，包括但不限于课程体系、教材、实操场地及设备，以支持带教工作的有效实施。</w:t>
      </w:r>
    </w:p>
    <w:p w14:paraId="6E27EFC8">
      <w:pPr>
        <w:spacing w:line="360" w:lineRule="auto"/>
        <w:ind w:firstLine="420" w:firstLineChars="20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color w:val="auto"/>
          <w:sz w:val="21"/>
          <w:szCs w:val="21"/>
          <w:highlight w:val="none"/>
          <w:lang w:val="en-US"/>
        </w:rPr>
        <w:t>5.</w:t>
      </w:r>
      <w:r>
        <w:rPr>
          <w:rFonts w:hint="eastAsia" w:ascii="宋体" w:hAnsi="宋体" w:eastAsia="宋体" w:cs="宋体"/>
          <w:b w:val="0"/>
          <w:bCs w:val="0"/>
          <w:color w:val="auto"/>
          <w:sz w:val="21"/>
          <w:szCs w:val="21"/>
          <w:highlight w:val="none"/>
          <w:lang w:val="en-US"/>
        </w:rPr>
        <w:t xml:space="preserve">2 </w:t>
      </w:r>
      <w:r>
        <w:rPr>
          <w:rFonts w:hint="eastAsia" w:ascii="宋体" w:hAnsi="宋体" w:eastAsia="宋体" w:cs="宋体"/>
          <w:b w:val="0"/>
          <w:bCs w:val="0"/>
          <w:color w:val="auto"/>
          <w:sz w:val="21"/>
          <w:szCs w:val="21"/>
          <w:highlight w:val="none"/>
          <w:lang w:val="en-US" w:eastAsia="zh-CN"/>
        </w:rPr>
        <w:t>物业管理</w:t>
      </w:r>
      <w:r>
        <w:rPr>
          <w:rFonts w:hint="eastAsia" w:ascii="宋体" w:hAnsi="宋体" w:eastAsia="宋体" w:cs="宋体"/>
          <w:b w:val="0"/>
          <w:bCs w:val="0"/>
          <w:color w:val="auto"/>
          <w:sz w:val="21"/>
          <w:szCs w:val="21"/>
          <w:highlight w:val="none"/>
          <w:lang w:val="en-US"/>
        </w:rPr>
        <w:t>运营要求：</w:t>
      </w:r>
    </w:p>
    <w:p w14:paraId="1C2D2BF7">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5.2.1 客户服务管理</w:t>
      </w:r>
    </w:p>
    <w:p w14:paraId="07E47820">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（1）客户服务实行前台一站式物业服务，主要提供物业服务咨询、来访登记、受理日常物业使用人报修和投诉等</w:t>
      </w:r>
      <w:r>
        <w:rPr>
          <w:rFonts w:hint="eastAsia" w:ascii="宋体" w:hAnsi="宋体" w:eastAsia="宋体" w:cs="宋体"/>
          <w:b w:val="0"/>
          <w:bCs w:val="0"/>
          <w:color w:val="auto"/>
          <w:sz w:val="21"/>
          <w:szCs w:val="21"/>
          <w:highlight w:val="none"/>
          <w:lang w:val="en-US" w:eastAsia="zh-CN"/>
        </w:rPr>
        <w:t>；大堂前台礼宾接待，参观、讲解引导服务</w:t>
      </w:r>
      <w:r>
        <w:rPr>
          <w:rFonts w:hint="eastAsia" w:ascii="宋体" w:hAnsi="宋体" w:eastAsia="宋体" w:cs="宋体"/>
          <w:b w:val="0"/>
          <w:bCs w:val="0"/>
          <w:color w:val="auto"/>
          <w:sz w:val="21"/>
          <w:szCs w:val="21"/>
          <w:highlight w:val="none"/>
          <w:lang w:val="en-US"/>
        </w:rPr>
        <w:t>。</w:t>
      </w:r>
    </w:p>
    <w:p w14:paraId="6EE3BC73">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（2）办理物业使用人入驻、迁出手续，以及办理物业使用人室内装修申请及验收，并建立相关单元资料档案，形成系统历史记录。</w:t>
      </w:r>
    </w:p>
    <w:p w14:paraId="252BCF8A">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（3）负责大堂道闸卡、停车卡等卡证办理业务，提供物品放行条开具、物品临时寄存等特约委托服务及便民服务等多元化增值服务。</w:t>
      </w:r>
    </w:p>
    <w:p w14:paraId="57531659">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（4）负责物业使用人的物业费催缴、访谈、动态信息收集等工作。</w:t>
      </w:r>
    </w:p>
    <w:p w14:paraId="0A7FB609">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（5）设立服务电话，接收甲方和其他物业使用人对物业管理服务报修、求助、建议、问询、质疑、投诉等各类信息，做好信息收集、反馈和及时处理，建立回访制度和记录。</w:t>
      </w:r>
    </w:p>
    <w:p w14:paraId="2F8FF5FC">
      <w:pPr>
        <w:pStyle w:val="18"/>
        <w:spacing w:line="360" w:lineRule="auto"/>
        <w:ind w:firstLine="42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rPr>
        <w:t>（6）</w:t>
      </w:r>
      <w:r>
        <w:rPr>
          <w:rFonts w:hint="eastAsia" w:ascii="宋体" w:hAnsi="宋体" w:eastAsia="宋体" w:cs="宋体"/>
          <w:b w:val="0"/>
          <w:bCs w:val="0"/>
          <w:color w:val="auto"/>
          <w:sz w:val="21"/>
          <w:szCs w:val="21"/>
          <w:highlight w:val="none"/>
          <w:lang w:val="en-US" w:eastAsia="zh-CN"/>
        </w:rPr>
        <w:t>快递收发。</w:t>
      </w:r>
    </w:p>
    <w:p w14:paraId="29E0F6B5">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（7）水业大厦三楼公共会议室的会议服务，会议设备的日常巡检，保证各类会议及接待活动的顺利进行</w:t>
      </w:r>
      <w:r>
        <w:rPr>
          <w:rFonts w:hint="eastAsia" w:ascii="宋体" w:hAnsi="宋体" w:eastAsia="宋体" w:cs="宋体"/>
          <w:b w:val="0"/>
          <w:bCs w:val="0"/>
          <w:color w:val="auto"/>
          <w:sz w:val="21"/>
          <w:szCs w:val="21"/>
          <w:highlight w:val="none"/>
          <w:lang w:val="en-US"/>
        </w:rPr>
        <w:t>。</w:t>
      </w:r>
    </w:p>
    <w:p w14:paraId="76DEAA02">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5.2.2 安全保卫管理</w:t>
      </w:r>
    </w:p>
    <w:p w14:paraId="3FE4D7FB">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（1）全天24小时对本项目辖区范围内的治安情况进行巡查和保卫，熟练并灵活运用安防监控系统，对重点部位、监控点位进行监视及录像工作。</w:t>
      </w:r>
    </w:p>
    <w:p w14:paraId="218F7D7F">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（2）物业管理服务范围内出现扰乱正常安全秩序的情况或突发事（案）件时应及时处理，必要时联系所属街道或当地公安机关处理，同时对现场进行妥善保护，并协助做好善后处理工作。</w:t>
      </w:r>
    </w:p>
    <w:p w14:paraId="274B8150">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（3）对出入口和周边环境进行实时监控，严防外来人员违规进入本项目，密切监视可疑人员出入动态。非办公时间对进入办公区的人员实行出入登记，严禁未经申请的外来人员进入本项目。</w:t>
      </w:r>
    </w:p>
    <w:p w14:paraId="01BF5B23">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（4）对携带大件行李或物品离开本大厦的，外来人员需提供“放行条”检查，对物业使用人需实施登记制度。</w:t>
      </w:r>
    </w:p>
    <w:p w14:paraId="70742D5C">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（5）快递、外卖人员需将快递或外卖放置于首层外围的快递柜和快餐柜，由物业使用人自行前往收取。</w:t>
      </w:r>
    </w:p>
    <w:p w14:paraId="239C8C57">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（6）对进出停车场的所有车辆车牌实行系统识别，记录车辆的进出时间和车容车貌（完损程度）情况，熟知熟记甲方内部车辆信息。</w:t>
      </w:r>
    </w:p>
    <w:p w14:paraId="7171B080">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负责本项目的人流、车流疏导工作。在办公时间内，积极协助大堂客服人员做好外来人员的咨询和指引工作，引导乘坐电梯人员分流，并积极帮助伤残、高龄、行动不便人员乘坐电梯到达所需楼层。高峰期对出入本项目的车辆进行疏导，避免造成交通拥堵。</w:t>
      </w:r>
    </w:p>
    <w:p w14:paraId="5E8DA178">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认真贯彻“预防为主，防消结合”的方针，按照政府部门及甲方相关消防管理规定，设立消防组织机构，落实各级消防责任人，加强消防日常检查，设立消防疏散示意图，保证紧急疏散通道通畅，确保无消防安全隐患，制定较为完善的本项目消防安全应急预案，定期开展义务消防宣传教育。</w:t>
      </w:r>
    </w:p>
    <w:p w14:paraId="6DAC3FF0">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协助甲方开展各类活动、接待、重要会议等任务的安全保卫工作，必要时提供人力支援加强现场管理。根据甲方要求，按照“特殊敏感时期保卫方案”，包括但不限于做好防疫工作，以及对甲方的安全、防护、保卫等其他各项工作。</w:t>
      </w:r>
    </w:p>
    <w:p w14:paraId="718D3A5C">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（10）重大节日前主动进行节日安全大检查，并及时对问题点及时进行整改。</w:t>
      </w:r>
    </w:p>
    <w:p w14:paraId="12D9D4C9">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每隔2小时对物业重点部位巡更点进行安全巡查一次，每2小时对停车场、车辆巡视一次。发现进入办公区域的陌生人员，及时查问，严防不法行为的发生；检查本项目内重点部位及各层（包括空置单元）门、窗、设备设施、水电、消防等情况；检查停车场车辆窗门是否关好，是否有漏油等情况，保证车辆停放安全。</w:t>
      </w:r>
    </w:p>
    <w:p w14:paraId="0C0AD300">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）建立安全三级检查制度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项目经理每月检查各部门贯彻安全工作的执行、落实情况，特别是重点部位安全管理制度的落实情况。</w:t>
      </w:r>
    </w:p>
    <w:p w14:paraId="4B6711FB">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）重点防火部位管理要点：</w:t>
      </w:r>
    </w:p>
    <w:p w14:paraId="215AB399">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 食堂区域，食堂存在的火灾隐患较多，除严格按甲方规章制度实施管理外，应加大消防检查力度，特别对厨房易污染的烟感、温感、喷淋头经常进行清洗，保持设备设施的正常工作状态；定期对食堂排烟道的油垢进行检查，督促食堂管理人员定期清理，避免火灾。经常检查燃气的管道及炉头、点火器具，定期邀请燃气公司的专业人员前来检查，并及时调整或更换不合格的零配件；严禁用潮湿或浸水物品操作电动机械加工食品，离开或下班时要及时关闭照明电源和不必要使用的动力电源。</w:t>
      </w:r>
    </w:p>
    <w:p w14:paraId="2EFA4E92">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 设备房（如柴油发电机房、数据机房等）区域严禁吸烟，工作需用燃物要事先除火源，工作中要防止易燃易爆物外泄，机房内不得存放易燃易爆物品。在当值期间，应注意检查机房内的灭火自救措施，并指导员工掌握各种灭火器械的使用和各种消防信号的正确使用方法。值班人员巡查、记录责任管辖区域内消防报警器和设备的情况，并及时记录报告情况。机房内的楼梯、走道、出入口要保持畅通无阻，严禁随意堆放物件。机房内的防火设施必须保持完整好用且要定期检查、保养，确保使用时不出故障。发生电气火灾时，要即时上报消防中心，施救时应坚持“先断电，后灭火”原则，并采取相应的灭火措施。灭火后，要详细记录火灾成因及灭火情况，书面上报甲方和乙方负责人。</w:t>
      </w:r>
    </w:p>
    <w:p w14:paraId="5E8F9B3B">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 商业区域：商铺门面大多可燃物多，应注意检查消除商铺门店的火灾隐患。商铺内安装有报警、喷淋等消防设施的，要定期检查测试，确保完整好用。规范用电，严禁乱拉电线，用铜、铁线代替保险丝，严禁电动车入户充电。不随意堆放可燃易燃易爆物品，配备相应的灭火器材，加强日常安检。严禁违规封闭安全出口、占用疏散通道、安装防盗铁窗或铁栅栏。装修应尽量使用难燃不燃的材料，禁止使用聚氨酯类以及在燃烧后产生大量有毒烟气的材料。严禁夜间在店铺内住宿，离开时确保断电。发现火灾隐患应及时排除，出现火灾应及时组织本部门员工进行扑救，并及时汇报，未经许可不可撤除、清理火灾现场。</w:t>
      </w:r>
    </w:p>
    <w:p w14:paraId="633759C0">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5.2.3 清洁卫生管理</w:t>
      </w:r>
    </w:p>
    <w:p w14:paraId="35EE3212">
      <w:pPr>
        <w:spacing w:line="360"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服务范围为水业大厦规划红线范围的区域，委托内容包括但不限于以下内容：</w:t>
      </w:r>
    </w:p>
    <w:p w14:paraId="375B95C6">
      <w:pPr>
        <w:spacing w:line="360" w:lineRule="auto"/>
        <w:ind w:firstLine="420"/>
        <w:jc w:val="left"/>
        <w:rPr>
          <w:rFonts w:hint="eastAsia" w:ascii="宋体" w:hAnsi="宋体" w:eastAsia="宋体" w:cs="宋体"/>
          <w:b w:val="0"/>
          <w:bCs w:val="0"/>
          <w:color w:val="auto"/>
          <w:szCs w:val="21"/>
          <w:highlight w:val="none"/>
          <w:lang w:eastAsia="zh-CN"/>
        </w:rPr>
      </w:pPr>
      <w:r>
        <w:rPr>
          <w:rFonts w:hint="eastAsia" w:ascii="宋体" w:hAnsi="宋体" w:eastAsia="宋体" w:cs="宋体"/>
          <w:color w:val="auto"/>
          <w:szCs w:val="21"/>
          <w:highlight w:val="none"/>
        </w:rPr>
        <w:t>（1）建筑物内日常清洁服务：塔楼除</w:t>
      </w:r>
      <w:r>
        <w:rPr>
          <w:rFonts w:hint="eastAsia" w:ascii="宋体" w:hAnsi="宋体" w:eastAsia="宋体" w:cs="宋体"/>
          <w:color w:val="auto"/>
          <w:szCs w:val="21"/>
          <w:highlight w:val="none"/>
          <w:lang w:val="en-US" w:eastAsia="zh-CN"/>
        </w:rPr>
        <w:t>租赁</w:t>
      </w:r>
      <w:r>
        <w:rPr>
          <w:rFonts w:hint="eastAsia" w:ascii="宋体" w:hAnsi="宋体" w:eastAsia="宋体" w:cs="宋体"/>
          <w:color w:val="auto"/>
          <w:szCs w:val="21"/>
          <w:highlight w:val="none"/>
        </w:rPr>
        <w:t>区域外所有</w:t>
      </w:r>
      <w:r>
        <w:rPr>
          <w:rFonts w:hint="eastAsia" w:ascii="宋体" w:hAnsi="宋体" w:eastAsia="宋体" w:cs="宋体"/>
          <w:color w:val="auto"/>
          <w:szCs w:val="21"/>
          <w:highlight w:val="none"/>
          <w:lang w:val="en-US" w:eastAsia="zh-CN"/>
        </w:rPr>
        <w:t>公共</w:t>
      </w:r>
      <w:r>
        <w:rPr>
          <w:rFonts w:hint="eastAsia" w:ascii="宋体" w:hAnsi="宋体" w:eastAsia="宋体" w:cs="宋体"/>
          <w:color w:val="auto"/>
          <w:szCs w:val="21"/>
          <w:highlight w:val="none"/>
        </w:rPr>
        <w:t>区域的清洁卫生，包含</w:t>
      </w:r>
      <w:r>
        <w:rPr>
          <w:rFonts w:hint="eastAsia" w:ascii="宋体" w:hAnsi="宋体" w:eastAsia="宋体" w:cs="宋体"/>
          <w:color w:val="auto"/>
          <w:szCs w:val="21"/>
          <w:highlight w:val="none"/>
          <w:lang w:val="en-US" w:eastAsia="zh-CN"/>
        </w:rPr>
        <w:t>公共走廊、电梯间、洗手间、消防通道、茶水间、清洁间、屋面等</w:t>
      </w:r>
      <w:r>
        <w:rPr>
          <w:rFonts w:hint="eastAsia" w:ascii="宋体" w:hAnsi="宋体" w:eastAsia="宋体" w:cs="宋体"/>
          <w:color w:val="auto"/>
          <w:szCs w:val="21"/>
          <w:highlight w:val="none"/>
        </w:rPr>
        <w:t>；裙楼除</w:t>
      </w:r>
      <w:r>
        <w:rPr>
          <w:rFonts w:hint="eastAsia" w:ascii="宋体" w:hAnsi="宋体" w:eastAsia="宋体" w:cs="宋体"/>
          <w:color w:val="auto"/>
          <w:szCs w:val="21"/>
          <w:highlight w:val="none"/>
          <w:lang w:val="en-US" w:eastAsia="zh-CN"/>
        </w:rPr>
        <w:t>食堂</w:t>
      </w:r>
      <w:r>
        <w:rPr>
          <w:rFonts w:hint="eastAsia" w:ascii="宋体" w:hAnsi="宋体" w:eastAsia="宋体" w:cs="宋体"/>
          <w:color w:val="auto"/>
          <w:szCs w:val="21"/>
          <w:highlight w:val="none"/>
        </w:rPr>
        <w:t>区域外的所有</w:t>
      </w:r>
      <w:r>
        <w:rPr>
          <w:rFonts w:hint="eastAsia" w:ascii="宋体" w:hAnsi="宋体" w:eastAsia="宋体" w:cs="宋体"/>
          <w:color w:val="auto"/>
          <w:szCs w:val="21"/>
          <w:highlight w:val="none"/>
          <w:lang w:val="en-US" w:eastAsia="zh-CN"/>
        </w:rPr>
        <w:t>公共</w:t>
      </w:r>
      <w:r>
        <w:rPr>
          <w:rFonts w:hint="eastAsia" w:ascii="宋体" w:hAnsi="宋体" w:eastAsia="宋体" w:cs="宋体"/>
          <w:color w:val="auto"/>
          <w:szCs w:val="21"/>
          <w:highlight w:val="none"/>
        </w:rPr>
        <w:t>区域清洁卫生，</w:t>
      </w:r>
      <w:r>
        <w:rPr>
          <w:rFonts w:hint="eastAsia" w:ascii="宋体" w:hAnsi="宋体" w:eastAsia="宋体" w:cs="宋体"/>
          <w:color w:val="auto"/>
          <w:szCs w:val="21"/>
          <w:highlight w:val="none"/>
          <w:lang w:val="en-US" w:eastAsia="zh-CN"/>
        </w:rPr>
        <w:t>包含大堂、物业业务办公</w:t>
      </w:r>
      <w:r>
        <w:rPr>
          <w:rFonts w:hint="eastAsia" w:ascii="宋体" w:hAnsi="宋体" w:eastAsia="宋体" w:cs="宋体"/>
          <w:b w:val="0"/>
          <w:bCs w:val="0"/>
          <w:color w:val="auto"/>
          <w:szCs w:val="21"/>
          <w:highlight w:val="none"/>
          <w:lang w:val="en-US" w:eastAsia="zh-CN"/>
        </w:rPr>
        <w:t>用房、功能用房（如消防控制室，配电室等）；</w:t>
      </w:r>
      <w:r>
        <w:rPr>
          <w:rFonts w:hint="eastAsia" w:ascii="宋体" w:hAnsi="宋体" w:eastAsia="宋体" w:cs="宋体"/>
          <w:b w:val="0"/>
          <w:bCs w:val="0"/>
          <w:color w:val="auto"/>
          <w:szCs w:val="21"/>
          <w:highlight w:val="none"/>
        </w:rPr>
        <w:t>地下车库</w:t>
      </w:r>
      <w:r>
        <w:rPr>
          <w:rFonts w:hint="eastAsia" w:ascii="宋体" w:hAnsi="宋体" w:eastAsia="宋体" w:cs="宋体"/>
          <w:b w:val="0"/>
          <w:bCs w:val="0"/>
          <w:color w:val="auto"/>
          <w:szCs w:val="21"/>
          <w:highlight w:val="none"/>
          <w:lang w:val="en-US" w:eastAsia="zh-CN"/>
        </w:rPr>
        <w:t>、项目外广场地面、幕墙等</w:t>
      </w:r>
      <w:r>
        <w:rPr>
          <w:rFonts w:hint="eastAsia" w:ascii="宋体" w:hAnsi="宋体" w:eastAsia="宋体" w:cs="宋体"/>
          <w:b w:val="0"/>
          <w:bCs w:val="0"/>
          <w:color w:val="auto"/>
          <w:szCs w:val="21"/>
          <w:highlight w:val="none"/>
        </w:rPr>
        <w:t>区域的清洁卫生</w:t>
      </w:r>
      <w:r>
        <w:rPr>
          <w:rFonts w:hint="eastAsia" w:ascii="宋体" w:hAnsi="宋体" w:eastAsia="宋体" w:cs="宋体"/>
          <w:b w:val="0"/>
          <w:bCs w:val="0"/>
          <w:color w:val="auto"/>
          <w:szCs w:val="21"/>
          <w:highlight w:val="none"/>
          <w:lang w:eastAsia="zh-CN"/>
        </w:rPr>
        <w:t>。</w:t>
      </w:r>
    </w:p>
    <w:p w14:paraId="58375336">
      <w:pPr>
        <w:spacing w:line="360" w:lineRule="auto"/>
        <w:ind w:firstLine="42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w:t>
      </w:r>
      <w:r>
        <w:rPr>
          <w:rFonts w:hint="eastAsia" w:ascii="宋体" w:hAnsi="宋体" w:eastAsia="宋体" w:cs="宋体"/>
          <w:b w:val="0"/>
          <w:bCs w:val="0"/>
          <w:color w:val="auto"/>
          <w:szCs w:val="21"/>
          <w:highlight w:val="none"/>
          <w:lang w:val="en-US" w:eastAsia="zh-CN"/>
        </w:rPr>
        <w:t>A塔7-11层由酒店自行管理，乙方负责消防通道的卫生保洁</w:t>
      </w:r>
      <w:r>
        <w:rPr>
          <w:rFonts w:hint="eastAsia" w:ascii="宋体" w:hAnsi="宋体" w:eastAsia="宋体" w:cs="宋体"/>
          <w:b w:val="0"/>
          <w:bCs w:val="0"/>
          <w:color w:val="auto"/>
          <w:szCs w:val="21"/>
          <w:highlight w:val="none"/>
        </w:rPr>
        <w:t>。</w:t>
      </w:r>
    </w:p>
    <w:p w14:paraId="6DDE0936">
      <w:pPr>
        <w:spacing w:line="360" w:lineRule="auto"/>
        <w:ind w:firstLine="42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（3）</w:t>
      </w:r>
      <w:r>
        <w:rPr>
          <w:rFonts w:hint="eastAsia" w:ascii="宋体" w:hAnsi="宋体" w:eastAsia="宋体" w:cs="宋体"/>
          <w:b w:val="0"/>
          <w:bCs w:val="0"/>
          <w:color w:val="auto"/>
          <w:szCs w:val="21"/>
          <w:highlight w:val="none"/>
          <w:lang w:val="en-US" w:eastAsia="zh-CN"/>
        </w:rPr>
        <w:t>甲方集团内部各企业办公区域(不含公共区域)保洁，各企业可自愿选择与乙方按照合同保洁员人工单价另行签订服务合同实施，费用由各企业承担，具体对接及管理由各企业与乙方自行负责。</w:t>
      </w:r>
    </w:p>
    <w:p w14:paraId="34B7EFEB">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rPr>
        <w:t>）对于突发事件引起的情况（如恶性传染病或者流感等），应做好管理区域内的卫生及日常消杀、消毒工作，确保工作环境安全。</w:t>
      </w:r>
    </w:p>
    <w:p w14:paraId="01F9EA49">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rPr>
        <w:t>）公共区域卫生间消耗品要求与标准</w:t>
      </w:r>
    </w:p>
    <w:p w14:paraId="0EED0370">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① 公共区域卫生间消耗品实行按需提供方式，乙方应按实际情况根据日常或特殊时期的使用习惯提供足够的卫生间消耗品（一般为平时每日3次，节假日每日2次，实际使用过程中应按需调整卫生消耗品的提供次数和用量）。</w:t>
      </w:r>
    </w:p>
    <w:p w14:paraId="631FF981">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 卫生消耗品的品牌质量档次不得低于以下参考品牌：</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2500"/>
        <w:gridCol w:w="4557"/>
      </w:tblGrid>
      <w:tr w14:paraId="0BF4D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noWrap w:val="0"/>
            <w:vAlign w:val="center"/>
          </w:tcPr>
          <w:p w14:paraId="30E3B6F2">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500" w:type="dxa"/>
            <w:noWrap w:val="0"/>
            <w:vAlign w:val="center"/>
          </w:tcPr>
          <w:p w14:paraId="05FFFD90">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消耗品名称</w:t>
            </w:r>
          </w:p>
        </w:tc>
        <w:tc>
          <w:tcPr>
            <w:tcW w:w="4557" w:type="dxa"/>
            <w:noWrap w:val="0"/>
            <w:vAlign w:val="center"/>
          </w:tcPr>
          <w:p w14:paraId="3B66521A">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参考品牌</w:t>
            </w:r>
          </w:p>
        </w:tc>
      </w:tr>
      <w:tr w14:paraId="4198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noWrap w:val="0"/>
            <w:vAlign w:val="center"/>
          </w:tcPr>
          <w:p w14:paraId="6577071E">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500" w:type="dxa"/>
            <w:noWrap w:val="0"/>
            <w:vAlign w:val="center"/>
          </w:tcPr>
          <w:p w14:paraId="000C73E5">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清洁剂</w:t>
            </w:r>
          </w:p>
        </w:tc>
        <w:tc>
          <w:tcPr>
            <w:tcW w:w="4557" w:type="dxa"/>
            <w:noWrap w:val="0"/>
            <w:vAlign w:val="center"/>
          </w:tcPr>
          <w:p w14:paraId="088C323D">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威猛先生、蓝月亮、绿伞</w:t>
            </w:r>
          </w:p>
        </w:tc>
      </w:tr>
      <w:tr w14:paraId="7F4FE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6" w:type="dxa"/>
            <w:noWrap w:val="0"/>
            <w:vAlign w:val="center"/>
          </w:tcPr>
          <w:p w14:paraId="0594EF6C">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500" w:type="dxa"/>
            <w:noWrap w:val="0"/>
            <w:vAlign w:val="center"/>
          </w:tcPr>
          <w:p w14:paraId="431ED6C8">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消毒剂</w:t>
            </w:r>
          </w:p>
        </w:tc>
        <w:tc>
          <w:tcPr>
            <w:tcW w:w="4557" w:type="dxa"/>
            <w:noWrap w:val="0"/>
            <w:vAlign w:val="center"/>
          </w:tcPr>
          <w:p w14:paraId="13E035B1">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威露士、滴露、蓝月亮</w:t>
            </w:r>
          </w:p>
        </w:tc>
      </w:tr>
      <w:tr w14:paraId="4464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noWrap w:val="0"/>
            <w:vAlign w:val="center"/>
          </w:tcPr>
          <w:p w14:paraId="3FFDF69F">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500" w:type="dxa"/>
            <w:noWrap w:val="0"/>
            <w:vAlign w:val="center"/>
          </w:tcPr>
          <w:p w14:paraId="042B377C">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除臭剂</w:t>
            </w:r>
          </w:p>
        </w:tc>
        <w:tc>
          <w:tcPr>
            <w:tcW w:w="4557" w:type="dxa"/>
            <w:noWrap w:val="0"/>
            <w:vAlign w:val="center"/>
          </w:tcPr>
          <w:p w14:paraId="71D4DEF9">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小林制药、花仙子、老管家</w:t>
            </w:r>
          </w:p>
        </w:tc>
      </w:tr>
      <w:tr w14:paraId="2D30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noWrap w:val="0"/>
            <w:vAlign w:val="center"/>
          </w:tcPr>
          <w:p w14:paraId="5A27A7F7">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500" w:type="dxa"/>
            <w:noWrap w:val="0"/>
            <w:vAlign w:val="center"/>
          </w:tcPr>
          <w:p w14:paraId="415E9228">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洗手液</w:t>
            </w:r>
          </w:p>
        </w:tc>
        <w:tc>
          <w:tcPr>
            <w:tcW w:w="4557" w:type="dxa"/>
            <w:noWrap w:val="0"/>
            <w:vAlign w:val="center"/>
          </w:tcPr>
          <w:p w14:paraId="105080BF">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蓝月亮、威露士、滴露</w:t>
            </w:r>
          </w:p>
        </w:tc>
      </w:tr>
      <w:tr w14:paraId="7DA3E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noWrap w:val="0"/>
            <w:vAlign w:val="center"/>
          </w:tcPr>
          <w:p w14:paraId="4C22D687">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500" w:type="dxa"/>
            <w:noWrap w:val="0"/>
            <w:vAlign w:val="center"/>
          </w:tcPr>
          <w:p w14:paraId="412330C0">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大卷纸</w:t>
            </w:r>
          </w:p>
        </w:tc>
        <w:tc>
          <w:tcPr>
            <w:tcW w:w="4557" w:type="dxa"/>
            <w:noWrap w:val="0"/>
            <w:vAlign w:val="center"/>
          </w:tcPr>
          <w:p w14:paraId="0634C0C4">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维达、心相印、清风</w:t>
            </w:r>
          </w:p>
        </w:tc>
      </w:tr>
      <w:tr w14:paraId="1C61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noWrap w:val="0"/>
            <w:vAlign w:val="center"/>
          </w:tcPr>
          <w:p w14:paraId="53BD3033">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500" w:type="dxa"/>
            <w:noWrap w:val="0"/>
            <w:vAlign w:val="center"/>
          </w:tcPr>
          <w:p w14:paraId="7FA99335">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擦手纸</w:t>
            </w:r>
          </w:p>
        </w:tc>
        <w:tc>
          <w:tcPr>
            <w:tcW w:w="4557" w:type="dxa"/>
            <w:noWrap w:val="0"/>
            <w:vAlign w:val="center"/>
          </w:tcPr>
          <w:p w14:paraId="750E230E">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维达、心相印、清风</w:t>
            </w:r>
          </w:p>
        </w:tc>
      </w:tr>
      <w:tr w14:paraId="6E6A8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noWrap w:val="0"/>
            <w:vAlign w:val="center"/>
          </w:tcPr>
          <w:p w14:paraId="412501FD">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500" w:type="dxa"/>
            <w:noWrap w:val="0"/>
            <w:vAlign w:val="center"/>
          </w:tcPr>
          <w:p w14:paraId="4A28425C">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坐厕纸</w:t>
            </w:r>
          </w:p>
        </w:tc>
        <w:tc>
          <w:tcPr>
            <w:tcW w:w="4557" w:type="dxa"/>
            <w:noWrap w:val="0"/>
            <w:vAlign w:val="center"/>
          </w:tcPr>
          <w:p w14:paraId="3BA9D615">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香臣、得力、无印良品</w:t>
            </w:r>
          </w:p>
        </w:tc>
      </w:tr>
    </w:tbl>
    <w:p w14:paraId="7E5C2EDF">
      <w:pPr>
        <w:spacing w:line="360" w:lineRule="auto"/>
        <w:ind w:firstLine="420"/>
        <w:jc w:val="left"/>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b w:val="0"/>
          <w:bCs w:val="0"/>
          <w:color w:val="auto"/>
          <w:szCs w:val="21"/>
          <w:highlight w:val="none"/>
        </w:rPr>
        <w:t>2.4 园林绿化的养护和管理</w:t>
      </w:r>
    </w:p>
    <w:p w14:paraId="6748EC5E">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1）日常花卉栽培养护管理要求每天巡查2次，发现问题及时处理。每天1次在责任区内除杂草、落叶，观察植物生长情况，每月一次松土、施肥，绿化地无明显黄土裸露；绿化植被应叶片茂盛，枝条均匀，花朵鲜艳，成活率达95%以上，绿化完好率达99%以上，大树、名木成活率达100％。</w:t>
      </w:r>
    </w:p>
    <w:p w14:paraId="2FF85345">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（2）施肥：乔木、灌木每年12月15日前施基肥，3月15日前施追肥各一次；草坪在每年3月15日前和9月15日前各施肥一次，根据实际情况需要可进行追补施肥；花卉每月施肥二次，酌情补追。</w:t>
      </w:r>
    </w:p>
    <w:p w14:paraId="0B990B8A">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（3）浇水：花卉类植物每天早或晚浇水一次，干旱时可适当多浇水；树木草坪在旱季时应适时补浇水。</w:t>
      </w:r>
    </w:p>
    <w:p w14:paraId="5D18D06C">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4）防病虫害：树木类绿化物每季度喷打一次药，早发现虫害早喷打药物；草坪夏、秋季各打药一次，早发现早喷打药物；花卉类绿化物每月喷药一次，早发现早喷打药；做好病虫害的防治，随时发现随时治理，虫害高发期，酌情增打药物次数。</w:t>
      </w:r>
    </w:p>
    <w:p w14:paraId="39FC5FBB">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（5）行道树下缘线整齐，修剪适度，干直冠美，无死树缺枝，无枯枝残叶，景观效果优良。</w:t>
      </w:r>
    </w:p>
    <w:p w14:paraId="29780116">
      <w:pPr>
        <w:spacing w:line="360" w:lineRule="auto"/>
        <w:ind w:firstLine="42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5.2.</w:t>
      </w:r>
      <w:r>
        <w:rPr>
          <w:rFonts w:hint="eastAsia" w:ascii="宋体" w:hAnsi="宋体" w:eastAsia="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rPr>
        <w:t xml:space="preserve"> 空调系统维护保养管理</w:t>
      </w:r>
    </w:p>
    <w:p w14:paraId="4E47EC3E">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建立规范完善的空调运行制度和维修保养制度并严格执行；空调系统安全、正常，保持状况良好。设备及环境整洁，无异常噪声及滴漏水现象；有准确完整的空调系统档案资料，各项运行记录和维修保养记录齐全，并归档保存。制定切实可行节能运行制度，有明显节能降耗成果。</w:t>
      </w:r>
    </w:p>
    <w:p w14:paraId="3A82C789">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5.2.</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rPr>
        <w:t xml:space="preserve"> 消防系统维护保养管理</w:t>
      </w:r>
    </w:p>
    <w:p w14:paraId="5F2F649E">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rPr>
        <w:t>）本项目设置一间消防控制室，要求乙方全天24小时消防中心值班，24小时消防主机监管，消防中心值班人员每班不得少于2人（消防值班人员必须满足相关职业资格要求，并取得相关证书）。</w:t>
      </w:r>
    </w:p>
    <w:p w14:paraId="1A49068E">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rPr>
        <w:t>）消防控制中心及消防系统设施配备齐全，完好无损，待机状态良好；落实区域消防安全责任人、义务消防人员，定期进行演练，开展消防知识及法规的宣传教育，保证火灾发生率为“0”；落实消防部门关于1分钟响应到达、3分钟处理的消防流程；制定火灾应急方案，设立消防疏散示意图，紧急疏散通道畅通，照明设备、引路标志完好；消防设备完好率100%，零修合格率100%。</w:t>
      </w:r>
    </w:p>
    <w:p w14:paraId="71AA28CE">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5.2.</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rPr>
        <w:t xml:space="preserve"> 供配电系统维护保养管理</w:t>
      </w:r>
    </w:p>
    <w:p w14:paraId="7748CDB4">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保证供配电设备24小时正常运行，确保分列的电表数据准确；零修合格率100%，设备完好率100%；应急发电机可随时启动，在市政停电情况下，保证发电机在15秒钟内运转供电。</w:t>
      </w:r>
    </w:p>
    <w:p w14:paraId="654CE001">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5.2.</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rPr>
        <w:t xml:space="preserve"> 给排水系统维护保养管理</w:t>
      </w:r>
    </w:p>
    <w:p w14:paraId="1A79C355">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建立用水、供水管理制度并落实，积极协助用户安排合理的用水和实施节水计划；建立给排水设备维修保养制度并严格执行，设备和管道系统状况良好，如遇爆管、设备故障等，维修人员及时到场抢修；供水系统功能正常，排水系统通畅，零修合格率100%，设备完好率100%；限水、停水能预先通知用户；按规定定期清洗</w:t>
      </w:r>
      <w:r>
        <w:rPr>
          <w:rFonts w:hint="eastAsia" w:ascii="宋体" w:hAnsi="宋体" w:eastAsia="宋体" w:cs="宋体"/>
          <w:b w:val="0"/>
          <w:bCs w:val="0"/>
          <w:color w:val="auto"/>
          <w:sz w:val="21"/>
          <w:szCs w:val="21"/>
          <w:highlight w:val="none"/>
          <w:lang w:val="en-US" w:eastAsia="zh-CN"/>
        </w:rPr>
        <w:t>水业</w:t>
      </w:r>
      <w:r>
        <w:rPr>
          <w:rFonts w:hint="eastAsia" w:ascii="宋体" w:hAnsi="宋体" w:eastAsia="宋体" w:cs="宋体"/>
          <w:b w:val="0"/>
          <w:bCs w:val="0"/>
          <w:color w:val="auto"/>
          <w:sz w:val="21"/>
          <w:szCs w:val="21"/>
          <w:highlight w:val="none"/>
          <w:lang w:val="en-US"/>
        </w:rPr>
        <w:t>大厦供水蓄水设备；设备及周围环境整洁，有封闭措施；确保</w:t>
      </w:r>
      <w:r>
        <w:rPr>
          <w:rFonts w:hint="eastAsia" w:ascii="宋体" w:hAnsi="宋体" w:eastAsia="宋体" w:cs="宋体"/>
          <w:b w:val="0"/>
          <w:bCs w:val="0"/>
          <w:color w:val="auto"/>
          <w:sz w:val="21"/>
          <w:szCs w:val="21"/>
          <w:highlight w:val="none"/>
          <w:lang w:val="en-US" w:eastAsia="zh-CN"/>
        </w:rPr>
        <w:t>水业</w:t>
      </w:r>
      <w:r>
        <w:rPr>
          <w:rFonts w:hint="eastAsia" w:ascii="宋体" w:hAnsi="宋体" w:eastAsia="宋体" w:cs="宋体"/>
          <w:b w:val="0"/>
          <w:bCs w:val="0"/>
          <w:color w:val="auto"/>
          <w:sz w:val="21"/>
          <w:szCs w:val="21"/>
          <w:highlight w:val="none"/>
          <w:lang w:val="en-US"/>
        </w:rPr>
        <w:t>大厦内分列的水表行数据准确。</w:t>
      </w:r>
    </w:p>
    <w:p w14:paraId="519ED51D">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5.2.</w:t>
      </w: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val="en-US"/>
        </w:rPr>
        <w:t xml:space="preserve"> 智能化系统维护与保养管理</w:t>
      </w:r>
    </w:p>
    <w:p w14:paraId="0731D366">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建立24小时维修值班制度，及时排除故障，确保智能化系统24小时正常、安全运行，做好各项运行和维修保养记录。</w:t>
      </w:r>
      <w:r>
        <w:rPr>
          <w:rFonts w:hint="eastAsia" w:ascii="宋体" w:hAnsi="宋体" w:eastAsia="宋体" w:cs="宋体"/>
          <w:b w:val="0"/>
          <w:bCs w:val="0"/>
          <w:color w:val="auto"/>
          <w:sz w:val="21"/>
          <w:szCs w:val="21"/>
          <w:highlight w:val="none"/>
          <w:lang w:val="en-US"/>
        </w:rPr>
        <w:t>确保相关设备100%完好率，每4小时巡检一次并做好台账。</w:t>
      </w:r>
    </w:p>
    <w:p w14:paraId="2661B01F">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5.2.1</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rPr>
        <w:t xml:space="preserve"> 电梯系统维护与保养管理</w:t>
      </w:r>
    </w:p>
    <w:p w14:paraId="7ED72D14">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电梯维修</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rPr>
        <w:t>保养人员均持证上岗，电梯各种年审证件齐全；严密的安全运行和维修保养规章制度得到落实，维护保养、巡视记录统一归档管理，资料完整；电梯运行状态良好，安全设施齐全有效，轿厢及机房整洁，通风、照明及其他附属设施完好，设备完好率100%；出现运行故障后（如困人），</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lang w:val="en-US"/>
        </w:rPr>
        <w:t>维修人员在5分钟内到达现场处理，无发生因困人处理不当造成的安全责任事故。</w:t>
      </w:r>
    </w:p>
    <w:p w14:paraId="28652E5D">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5.2.1</w:t>
      </w:r>
      <w:r>
        <w:rPr>
          <w:rFonts w:hint="eastAsia" w:ascii="宋体" w:hAnsi="宋体" w:eastAsia="宋体" w:cs="宋体"/>
          <w:b w:val="0"/>
          <w:bCs w:val="0"/>
          <w:color w:val="auto"/>
          <w:sz w:val="21"/>
          <w:szCs w:val="21"/>
          <w:highlight w:val="none"/>
          <w:lang w:val="en-US" w:eastAsia="zh-CN"/>
        </w:rPr>
        <w:t>1突发</w:t>
      </w:r>
      <w:r>
        <w:rPr>
          <w:rFonts w:hint="eastAsia" w:ascii="宋体" w:hAnsi="宋体" w:eastAsia="宋体" w:cs="宋体"/>
          <w:b w:val="0"/>
          <w:bCs w:val="0"/>
          <w:color w:val="auto"/>
          <w:sz w:val="21"/>
          <w:szCs w:val="21"/>
          <w:highlight w:val="none"/>
          <w:lang w:val="en-US"/>
        </w:rPr>
        <w:t>应急管理</w:t>
      </w:r>
    </w:p>
    <w:p w14:paraId="24970F39">
      <w:pPr>
        <w:pStyle w:val="18"/>
        <w:spacing w:line="360" w:lineRule="auto"/>
        <w:ind w:firstLine="42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服务范围为水业大厦规划红线范围的区域，服务内容包括但不限于以下内容：</w:t>
      </w:r>
    </w:p>
    <w:p w14:paraId="53533E74">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（1）物业管理服务相关的突发事件应急处置。包括火警应急处理方案、初中期火灾应急处理方案、</w:t>
      </w:r>
      <w:r>
        <w:rPr>
          <w:rFonts w:hint="eastAsia" w:ascii="宋体" w:hAnsi="宋体" w:eastAsia="宋体" w:cs="宋体"/>
          <w:b w:val="0"/>
          <w:bCs w:val="0"/>
          <w:color w:val="auto"/>
          <w:sz w:val="21"/>
          <w:szCs w:val="21"/>
          <w:highlight w:val="none"/>
          <w:lang w:val="en-US" w:eastAsia="zh-CN"/>
        </w:rPr>
        <w:t>水业</w:t>
      </w:r>
      <w:r>
        <w:rPr>
          <w:rFonts w:hint="eastAsia" w:ascii="宋体" w:hAnsi="宋体" w:eastAsia="宋体" w:cs="宋体"/>
          <w:b w:val="0"/>
          <w:bCs w:val="0"/>
          <w:color w:val="auto"/>
          <w:sz w:val="21"/>
          <w:szCs w:val="21"/>
          <w:highlight w:val="none"/>
          <w:lang w:val="en-US"/>
        </w:rPr>
        <w:t>大厦</w:t>
      </w:r>
      <w:r>
        <w:rPr>
          <w:rFonts w:hint="eastAsia" w:ascii="宋体" w:hAnsi="宋体" w:eastAsia="宋体" w:cs="宋体"/>
          <w:b w:val="0"/>
          <w:bCs w:val="0"/>
          <w:color w:val="auto"/>
          <w:sz w:val="21"/>
          <w:szCs w:val="21"/>
          <w:highlight w:val="none"/>
          <w:lang w:val="en-US" w:eastAsia="zh-CN"/>
        </w:rPr>
        <w:t>燃气泄漏</w:t>
      </w:r>
      <w:r>
        <w:rPr>
          <w:rFonts w:hint="eastAsia" w:ascii="宋体" w:hAnsi="宋体" w:eastAsia="宋体" w:cs="宋体"/>
          <w:b w:val="0"/>
          <w:bCs w:val="0"/>
          <w:color w:val="auto"/>
          <w:sz w:val="21"/>
          <w:szCs w:val="21"/>
          <w:highlight w:val="none"/>
          <w:lang w:val="en-US"/>
        </w:rPr>
        <w:t>应急方案、电梯困人应急处理方案等。</w:t>
      </w:r>
    </w:p>
    <w:p w14:paraId="0405ADC4">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（2）针对可能发生的自然灾害、事故灾难、公共卫生事件和社会安全事件制定应急防范措施，并在发生突发事件时组织人力物力处置突发事件。</w:t>
      </w:r>
    </w:p>
    <w:p w14:paraId="0146A57E">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（3）针对公共卫生事件，</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lang w:val="en-US"/>
        </w:rPr>
        <w:t>需在每个月月底前向</w:t>
      </w:r>
      <w:r>
        <w:rPr>
          <w:rFonts w:hint="eastAsia" w:ascii="宋体" w:hAnsi="宋体" w:eastAsia="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val="en-US"/>
        </w:rPr>
        <w:t>以书面的形式汇报月度具体防疫工作方案、情况说明、突发情况处理等。</w:t>
      </w:r>
    </w:p>
    <w:p w14:paraId="27F3B1C7">
      <w:pPr>
        <w:spacing w:line="360" w:lineRule="auto"/>
        <w:ind w:firstLine="420" w:firstLineChars="2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针对可能发生的各类突发事件，乙方组织突发事件应急演练（防火、防恐防暴、高空抛物、防台、防汛、防疫、电梯困人等），联合街道和消防部门组织大型综合消防应急演练，并按照甲方要求留下文字记录。乙方人员全面熟练掌握消防监控报警、干式灭火（气体）、湿式灭火（喷淋）、防排烟及消防栓等系统的作用、位置和操作方法。</w:t>
      </w:r>
    </w:p>
    <w:p w14:paraId="659C945F">
      <w:pPr>
        <w:spacing w:line="360" w:lineRule="auto"/>
        <w:ind w:firstLine="420" w:firstLineChars="2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（5）甲方要求的其他应急服务。</w:t>
      </w:r>
    </w:p>
    <w:p w14:paraId="4CD41F96">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5.2.12 楼宇主体及其附属设施、公共配套设施维护与保养</w:t>
      </w:r>
    </w:p>
    <w:p w14:paraId="6D779847">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rPr>
        <w:t>）楼宇主体及附属设施维护与保养</w:t>
      </w:r>
    </w:p>
    <w:p w14:paraId="6DBAC69E">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① 确保楼宇主体及附属设施维护保养实施过程中所使用材料符合环保要求，并事先通过甲方审核。</w:t>
      </w:r>
    </w:p>
    <w:p w14:paraId="4554385F">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② 楼宇主体及附属设施完好率&gt;98%，零修工程合格率100%，返修率&lt;0.5%，重大维修工程回访率100%。</w:t>
      </w:r>
    </w:p>
    <w:p w14:paraId="7622A1B3">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rPr>
        <w:t>）公共配套设施维护与保养</w:t>
      </w:r>
    </w:p>
    <w:p w14:paraId="3DBCB146">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① 确保公共配套设施维护保养实施过程中所使用材料符合环保要求，并事先通过甲方审核。</w:t>
      </w:r>
    </w:p>
    <w:p w14:paraId="5546248D">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② 公共配套设施完好率&gt;98%，零修工程合格率100%，返修率&lt;0.5%，重大维修工程回访率100%。</w:t>
      </w:r>
    </w:p>
    <w:p w14:paraId="0443A7C8">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5.2.13 日常物业维修及物业使用人装修管理</w:t>
      </w:r>
    </w:p>
    <w:p w14:paraId="70ABEA0E">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rPr>
        <w:t>）根据《装修管理协议》的有关规定办理物业使用人的进场装修手续，做到装修现场井然有序，对其它物业使用人造成不良影响或有投诉的事项应积极协调。</w:t>
      </w:r>
    </w:p>
    <w:p w14:paraId="28519360">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rPr>
        <w:t>）物业使用人的装修图纸或审批等有关施工资料按法律法规或相关行政管理规定应报批国家或当地有关行政管理部门的，乙方应督促物业使用人报批国家或当地有关行政管理部门审批通过后方可允许施工，否则因物业使用人违法施工造成的一切后果均由乙方承担连带责任。</w:t>
      </w:r>
    </w:p>
    <w:p w14:paraId="4ACCB506">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rPr>
        <w:t>）物业使用人装修施工现场管理</w:t>
      </w:r>
    </w:p>
    <w:p w14:paraId="52E0FF28">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① 禁止物业使用人及任何使用单位拆改房屋主体和承重结构，禁止在楼宇外墙、承重墙、梁柱上开孔，禁止改变房屋及公共配套设施的使用功能。</w:t>
      </w:r>
    </w:p>
    <w:p w14:paraId="7C4D148E">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② 乙方每日至少2次对物业使用人装修现场进行安全、环境等方面的巡查和监督，并填写《装修现场巡查记录表》</w:t>
      </w:r>
      <w:r>
        <w:rPr>
          <w:rFonts w:hint="eastAsia" w:hAnsi="宋体" w:cs="宋体"/>
          <w:b w:val="0"/>
          <w:bCs w:val="0"/>
          <w:color w:val="auto"/>
          <w:sz w:val="21"/>
          <w:szCs w:val="21"/>
          <w:lang w:val="en-US" w:eastAsia="zh-CN"/>
        </w:rPr>
        <w:t>同时保留现场照片</w:t>
      </w:r>
      <w:r>
        <w:rPr>
          <w:rFonts w:hint="eastAsia" w:ascii="宋体" w:hAnsi="宋体" w:eastAsia="宋体" w:cs="宋体"/>
          <w:b w:val="0"/>
          <w:bCs w:val="0"/>
          <w:color w:val="auto"/>
          <w:sz w:val="21"/>
          <w:szCs w:val="21"/>
          <w:highlight w:val="none"/>
          <w:lang w:val="en-US"/>
        </w:rPr>
        <w:t>。发现违规装修、违规操作等行为应及时制止并报告甲方，要求装修现场限时整改并监督整改结果，确保装修现场安全施工。</w:t>
      </w:r>
    </w:p>
    <w:p w14:paraId="5CF1F1B6">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③ 做好装修现场环境管理工作，采取有效的防尘降噪措施，对装修现场的噪音、扬尘等进行检测，每天产生的装修垃圾及时清运，保持现场清洁整齐。</w:t>
      </w:r>
    </w:p>
    <w:p w14:paraId="676FA7C4">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④ 施工过程中，必须保证有物业使用人或施工单位管理人员在现场值班，不得空岗。进入施工现场的人员必须按规定佩戴安全帽，并系下颌带。凡从事2米以上高处作业人员必须系安全绳，安全绳上端固定应牢固可靠，使用时安全绳应基本保持垂直于地，作业人员身后余绳不得超过1米，禁止两人同时使用一条安全绳，并且专人看守。</w:t>
      </w:r>
    </w:p>
    <w:p w14:paraId="48F82C5C">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⑤ 参加现场施工的所有特殊工种人员必须持证上岗，并复印证件报乙方备案。</w:t>
      </w:r>
    </w:p>
    <w:p w14:paraId="0095BEB2">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⑥ 施工现场各类标牌和警示标志齐全醒目。高处作业所使用的工具和所持电缆、水管等材料等必须有可靠的防坠措施，现场区域应保证四周环境的安全，其作业下方应设置警戒线，在醒目处应设置“禁止入内”的标志牌。</w:t>
      </w:r>
    </w:p>
    <w:p w14:paraId="3D99EEEA">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⑦ 所有装修材料及装修垃圾须在规定时间内，通过指定通道运输并在指定区域内起卸，严禁堆放在其他公共区域，确保不影响其他区域办公，发现违规情况及时制止。</w:t>
      </w:r>
    </w:p>
    <w:p w14:paraId="2DB1D510">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⑧ 装修施工结束时，乙方应对物业使用人装修现场及相关区域进行全面检查，确保物业使用人装修所涉区域清洁完成。督促物业使用人和施工单位完成二次消防验收手续，如发现问题需要求物业使用人和施工单位进行整改直至验收合格，方可办理装修退场手续。</w:t>
      </w:r>
    </w:p>
    <w:p w14:paraId="42693A22">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⑨ 物业使用人装修完成且消防验收合格后向物业使用人收集二次装修施工图（含给排水、电气、空调等）、二次消防验收报告等资料，并进行整理、归档。</w:t>
      </w:r>
    </w:p>
    <w:p w14:paraId="7E5C0FD4">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5.2.1</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rPr>
        <w:t xml:space="preserve"> </w:t>
      </w:r>
      <w:r>
        <w:rPr>
          <w:rFonts w:hint="eastAsia" w:ascii="宋体" w:hAnsi="宋体" w:eastAsia="宋体" w:cs="宋体"/>
          <w:b w:val="0"/>
          <w:bCs w:val="0"/>
          <w:color w:val="auto"/>
          <w:sz w:val="21"/>
          <w:szCs w:val="21"/>
          <w:highlight w:val="none"/>
          <w:lang w:val="en-US" w:eastAsia="zh-CN"/>
        </w:rPr>
        <w:t>其他</w:t>
      </w:r>
      <w:r>
        <w:rPr>
          <w:rFonts w:hint="eastAsia" w:ascii="宋体" w:hAnsi="宋体" w:eastAsia="宋体" w:cs="宋体"/>
          <w:b w:val="0"/>
          <w:bCs w:val="0"/>
          <w:color w:val="auto"/>
          <w:sz w:val="21"/>
          <w:szCs w:val="21"/>
          <w:highlight w:val="none"/>
          <w:lang w:val="en-US"/>
        </w:rPr>
        <w:t>服务</w:t>
      </w:r>
    </w:p>
    <w:p w14:paraId="3BEF39D7">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（1）</w:t>
      </w:r>
      <w:r>
        <w:rPr>
          <w:rFonts w:hint="eastAsia" w:ascii="宋体" w:hAnsi="宋体" w:eastAsia="宋体" w:cs="宋体"/>
          <w:b w:val="0"/>
          <w:bCs w:val="0"/>
          <w:color w:val="auto"/>
          <w:sz w:val="21"/>
          <w:szCs w:val="21"/>
          <w:highlight w:val="none"/>
          <w:lang w:val="en-US" w:eastAsia="zh-CN"/>
        </w:rPr>
        <w:t>协助甲方管理固定资产</w:t>
      </w:r>
      <w:r>
        <w:rPr>
          <w:rFonts w:hint="eastAsia" w:ascii="宋体" w:hAnsi="宋体" w:eastAsia="宋体" w:cs="宋体"/>
          <w:b w:val="0"/>
          <w:bCs w:val="0"/>
          <w:color w:val="auto"/>
          <w:sz w:val="21"/>
          <w:szCs w:val="21"/>
          <w:highlight w:val="none"/>
          <w:lang w:val="en-US"/>
        </w:rPr>
        <w:t>。</w:t>
      </w:r>
    </w:p>
    <w:p w14:paraId="65DD74FA">
      <w:pPr>
        <w:pStyle w:val="18"/>
        <w:spacing w:line="360" w:lineRule="auto"/>
        <w:ind w:firstLine="42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rPr>
        <w:t>（2）</w:t>
      </w:r>
      <w:r>
        <w:rPr>
          <w:rFonts w:hint="eastAsia" w:ascii="宋体" w:hAnsi="宋体" w:eastAsia="宋体" w:cs="宋体"/>
          <w:b w:val="0"/>
          <w:bCs w:val="0"/>
          <w:color w:val="auto"/>
          <w:sz w:val="21"/>
          <w:szCs w:val="21"/>
          <w:highlight w:val="none"/>
          <w:lang w:val="en-US" w:eastAsia="zh-CN"/>
        </w:rPr>
        <w:t>协助甲方办理办公用房交接登记。</w:t>
      </w:r>
    </w:p>
    <w:p w14:paraId="3207B23C">
      <w:pPr>
        <w:pStyle w:val="18"/>
        <w:spacing w:line="360" w:lineRule="auto"/>
        <w:ind w:firstLine="42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（3）协助甲方及物业使用人临时搬运物资。 </w:t>
      </w:r>
    </w:p>
    <w:p w14:paraId="5A28D228">
      <w:pPr>
        <w:pStyle w:val="18"/>
        <w:spacing w:line="360" w:lineRule="auto"/>
        <w:ind w:firstLine="42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（4）乙方要建立资料的收集、分类整理、归档管理制度。</w:t>
      </w:r>
    </w:p>
    <w:p w14:paraId="461C39E2">
      <w:pPr>
        <w:pStyle w:val="18"/>
        <w:spacing w:line="360" w:lineRule="auto"/>
        <w:ind w:firstLine="42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（5）在日常管理中要建立交接班、项目故障与维修、保养等登记制度。</w:t>
      </w:r>
    </w:p>
    <w:p w14:paraId="7EB60E65">
      <w:pPr>
        <w:pStyle w:val="18"/>
        <w:spacing w:line="360" w:lineRule="auto"/>
        <w:ind w:firstLine="42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（6）档案资料包括：与物业相关的工程图纸、档案和竣工验收资料：实施管理和服务工作中的各种制度、规程、流程、记录、图表、函件等。</w:t>
      </w:r>
    </w:p>
    <w:p w14:paraId="77FCF694">
      <w:pPr>
        <w:pStyle w:val="18"/>
        <w:spacing w:line="360" w:lineRule="auto"/>
        <w:ind w:firstLine="42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（7）协助甲方其它临时性的事务。</w:t>
      </w:r>
    </w:p>
    <w:p w14:paraId="0BAD6360">
      <w:pPr>
        <w:pStyle w:val="18"/>
        <w:spacing w:line="360" w:lineRule="auto"/>
        <w:ind w:firstLine="42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（8）乙方的物业管理人员须具备符合国家或行业规定的相关证件，无刑事犯罪记录，重要岗位人员聘用要经甲方审定。</w:t>
      </w:r>
    </w:p>
    <w:p w14:paraId="12DE5A20">
      <w:pPr>
        <w:pStyle w:val="18"/>
        <w:spacing w:line="360" w:lineRule="auto"/>
        <w:ind w:firstLine="42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（9）管理范围内，财物、设备及资料有被盗遗失情况的，乙方负责照价赔偿，资料补办手续费用一切由乙方负责。造成严重后果的追究其相关的值班人员的刑事责任。</w:t>
      </w:r>
    </w:p>
    <w:p w14:paraId="65E8ED7E">
      <w:pPr>
        <w:pStyle w:val="18"/>
        <w:spacing w:line="360" w:lineRule="auto"/>
        <w:ind w:firstLine="42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（10）如有需要，乙方的物业管理人员须听从甲方调动指挥。</w:t>
      </w:r>
    </w:p>
    <w:p w14:paraId="78CCB714">
      <w:pPr>
        <w:pStyle w:val="18"/>
        <w:spacing w:line="360" w:lineRule="auto"/>
        <w:ind w:firstLine="42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（11）在服务期内，乙方员工发生纠纷或伤亡事故，与甲方无关，乙方自行负责解决。</w:t>
      </w:r>
    </w:p>
    <w:p w14:paraId="636DDA69">
      <w:pPr>
        <w:pStyle w:val="18"/>
        <w:spacing w:line="360" w:lineRule="auto"/>
        <w:ind w:firstLine="42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（12）协助甲方进行水电费、租金等催缴工作。</w:t>
      </w:r>
    </w:p>
    <w:p w14:paraId="3DC408B9">
      <w:pPr>
        <w:pStyle w:val="18"/>
        <w:spacing w:line="360" w:lineRule="auto"/>
        <w:ind w:firstLine="42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highlight w:val="none"/>
          <w:lang w:val="en-US" w:eastAsia="zh-CN"/>
        </w:rPr>
        <w:t>（13）疫情防控、防汛防台等应急场景下，凡是由甲方统一采购并提供的应急物资或防控耗材，乙方应在收到物资或耗材后立即核对数量并签字确认。乙方对甲方提供的应急物资、防控耗材应规范使用、妥善保管并做好台账登记，不得擅自挪用、倒卖；应急结束后，乙方需向甲方提交物资使用明细及剩余物资清单，剩余物资由甲方统一回收处理。因乙方保管不善或违规使用导致物资损耗、流失的，乙方应照价赔偿。</w:t>
      </w:r>
    </w:p>
    <w:p w14:paraId="433DB991">
      <w:pPr>
        <w:spacing w:line="360" w:lineRule="auto"/>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第六条 双方权利义务</w:t>
      </w:r>
    </w:p>
    <w:p w14:paraId="5B5C226B">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 甲方权利和义务</w:t>
      </w:r>
    </w:p>
    <w:p w14:paraId="4EA5A05B">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xml:space="preserve"> 甲方有权要求根据本物业管理的实际情况，调整乙方的服务内容，但调整后的服务内容不应超出本合同的约定。本合同有效期内，甲方有权监督乙方工作的实施及相关制度的执行情况。甲方有权就乙方拟定的各类物业管理文件提出合理的意见和建议，并根据实际情况作出调整。当乙方出现严重管理问题（由于管理不善造成的财物被盗、火灾及其他安全事故）时，甲方有权发出书面整改通知，责令乙方在整改通知中载明的期限内完成整改；如到期时乙方不能达到整改要求，甲方有权单方解除合同。</w:t>
      </w:r>
    </w:p>
    <w:p w14:paraId="3891B57C">
      <w:pPr>
        <w:spacing w:line="360"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6.1.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在服务期内，甲方有权根据带教服务评估结果和实际情况要求乙方对带教计划、方法或导师配置进行调整，以确保最终培养目标的实现。</w:t>
      </w:r>
    </w:p>
    <w:p w14:paraId="0996C5C1">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6.1.3 </w:t>
      </w:r>
      <w:r>
        <w:rPr>
          <w:rFonts w:hint="eastAsia" w:ascii="宋体" w:hAnsi="宋体" w:eastAsia="宋体" w:cs="宋体"/>
          <w:color w:val="auto"/>
          <w:szCs w:val="21"/>
          <w:highlight w:val="none"/>
        </w:rPr>
        <w:t>甲方有权检查乙方本物业管理服务过程的财务报表及资料，有权对不合理的分配支出提出整改意见。乙方应在30天内整改完毕，如逾期未能整改完成的，甲方有权不予支付当月物业管理</w:t>
      </w:r>
      <w:r>
        <w:rPr>
          <w:rFonts w:hint="eastAsia" w:ascii="宋体" w:hAnsi="宋体" w:eastAsia="宋体" w:cs="宋体"/>
          <w:color w:val="auto"/>
          <w:szCs w:val="21"/>
          <w:highlight w:val="none"/>
          <w:lang w:val="en-US" w:eastAsia="zh-CN"/>
        </w:rPr>
        <w:t>运营</w:t>
      </w:r>
      <w:r>
        <w:rPr>
          <w:rFonts w:hint="eastAsia" w:ascii="宋体" w:hAnsi="宋体" w:eastAsia="宋体" w:cs="宋体"/>
          <w:color w:val="auto"/>
          <w:szCs w:val="21"/>
          <w:highlight w:val="none"/>
        </w:rPr>
        <w:t>服务</w:t>
      </w:r>
      <w:r>
        <w:rPr>
          <w:rFonts w:hint="eastAsia" w:ascii="宋体" w:hAnsi="宋体" w:eastAsia="宋体" w:cs="宋体"/>
          <w:color w:val="auto"/>
          <w:szCs w:val="21"/>
          <w:highlight w:val="none"/>
          <w:lang w:val="en-US" w:eastAsia="zh-CN"/>
        </w:rPr>
        <w:t>费用</w:t>
      </w:r>
      <w:r>
        <w:rPr>
          <w:rFonts w:hint="eastAsia" w:ascii="宋体" w:hAnsi="宋体" w:eastAsia="宋体" w:cs="宋体"/>
          <w:color w:val="auto"/>
          <w:szCs w:val="21"/>
          <w:highlight w:val="none"/>
        </w:rPr>
        <w:t>。</w:t>
      </w:r>
    </w:p>
    <w:p w14:paraId="0BA9A0D6">
      <w:pPr>
        <w:spacing w:line="360" w:lineRule="auto"/>
        <w:ind w:firstLine="42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6.1.4 甲方有权检查乙方投入本项目的物业人员的上岗情况。</w:t>
      </w:r>
    </w:p>
    <w:p w14:paraId="0F51B53A">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甲方有监督、检查乙方驻场人员工作情况的义务。如管理服务质量达不到合同要求，甲方有权要求乙方更换驻场人员，乙方应立即无条件更换。乙方未经甲方事先书面同意不得单方决定更换驻场人员，更换人员的资质、能力应不低于本合同约定及甲方要求，并经甲方审核通过。</w:t>
      </w:r>
    </w:p>
    <w:p w14:paraId="0D3A2C26">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甲方指定【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】为本项目的联系人，联系方式为【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】，代表甲方与乙方进行沟通、联络，若该被指定人变化或其联络方式变更，均应提前以书面形式通知乙方。</w:t>
      </w:r>
    </w:p>
    <w:p w14:paraId="1D31D5BA">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检查监督乙方的物业管理工作的实施及制度的执行情况；对乙方不履行岗位职责的人员，甲方有权要求乙方进行处理。</w:t>
      </w:r>
    </w:p>
    <w:p w14:paraId="391CA5B9">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xml:space="preserve"> 甲方应及时处理解决乙方报告或通知甲方可能对管理工作造成障碍的各种问题，以便乙方工作得以顺利进行。</w:t>
      </w:r>
    </w:p>
    <w:p w14:paraId="3F786374">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 xml:space="preserve"> 代表和维护产权人、使用人的合法权益。</w:t>
      </w:r>
    </w:p>
    <w:p w14:paraId="31103180">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 xml:space="preserve"> 审定乙方的物业管理制度、管理方案并有权提出修改意见。</w:t>
      </w:r>
    </w:p>
    <w:p w14:paraId="236D23E1">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xml:space="preserve"> 审批房屋、附属建筑物、构筑物、设施、设备维护保养及大中修、易耗物品购买的费用预算。</w:t>
      </w:r>
    </w:p>
    <w:p w14:paraId="225ADBA9">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审阅</w:t>
      </w:r>
      <w:r>
        <w:rPr>
          <w:rFonts w:hint="eastAsia" w:ascii="宋体" w:hAnsi="宋体" w:eastAsia="宋体" w:cs="宋体"/>
          <w:color w:val="auto"/>
          <w:szCs w:val="21"/>
          <w:highlight w:val="none"/>
          <w:lang w:val="en-US" w:eastAsia="zh-CN"/>
        </w:rPr>
        <w:t>物业</w:t>
      </w:r>
      <w:r>
        <w:rPr>
          <w:rFonts w:hint="eastAsia" w:ascii="宋体" w:hAnsi="宋体" w:eastAsia="宋体" w:cs="宋体"/>
          <w:color w:val="auto"/>
          <w:szCs w:val="21"/>
          <w:highlight w:val="none"/>
        </w:rPr>
        <w:t>管理报告，提出整改意见。</w:t>
      </w:r>
    </w:p>
    <w:p w14:paraId="00823781">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审阅、批准乙方制定的大楼管理制度、消防管理制度等与履行本合同相关的制度，并支持、监督、指导乙方为此而开展的管理工作。</w:t>
      </w:r>
    </w:p>
    <w:p w14:paraId="223DC9E7">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委托乙方管理的房屋、设施、设备应达到国家验收标准；如存在质量问题，按以下方式处理。</w:t>
      </w:r>
    </w:p>
    <w:p w14:paraId="41011F4F">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保修期内：甲方向乙方提供相关承建商的资料，由乙方负责联系，并督促承建商返修；</w:t>
      </w:r>
    </w:p>
    <w:p w14:paraId="12DB9CD0">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保修期外：乙方向甲方提出设施、设备、房屋的维修报告，甲方视维修项目的大小决定进行另外采购或交由乙方负责。</w:t>
      </w:r>
    </w:p>
    <w:p w14:paraId="4E3B3EFA">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协助乙方做好物业管理工作和宣传教育、文化活动。</w:t>
      </w:r>
    </w:p>
    <w:p w14:paraId="5CDF2402">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监督、指导乙方的管理行为并及时纠正乙方的不当行为。</w:t>
      </w:r>
    </w:p>
    <w:p w14:paraId="59AEC50F">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协调日常管理中有关的内外关系，对乙方需要甲方协调解决的问题，甲方在力所能及的范围内应采取积极态度予以处理。</w:t>
      </w:r>
    </w:p>
    <w:p w14:paraId="60AF21D9">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 xml:space="preserve"> 在合同期内，甲方定期根据本合同及其附件的要求对乙方进行考核，并有权按照甲方管理要求进行处理。</w:t>
      </w:r>
    </w:p>
    <w:p w14:paraId="10B5211C">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 xml:space="preserve"> 物业管理用房配置：</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配置</w:t>
      </w:r>
      <w:r>
        <w:rPr>
          <w:rFonts w:hint="eastAsia" w:ascii="宋体" w:hAnsi="宋体" w:eastAsia="宋体" w:cs="宋体"/>
          <w:color w:val="auto"/>
          <w:szCs w:val="21"/>
          <w:highlight w:val="none"/>
          <w:lang w:val="en-US" w:eastAsia="zh-CN"/>
        </w:rPr>
        <w:t>物业</w:t>
      </w:r>
      <w:r>
        <w:rPr>
          <w:rFonts w:hint="eastAsia" w:ascii="宋体" w:hAnsi="宋体" w:eastAsia="宋体" w:cs="宋体"/>
          <w:color w:val="auto"/>
          <w:szCs w:val="21"/>
          <w:highlight w:val="none"/>
        </w:rPr>
        <w:t>办公室，协助乙方开展物业管理。</w:t>
      </w:r>
    </w:p>
    <w:p w14:paraId="30303E97">
      <w:pPr>
        <w:spacing w:line="360" w:lineRule="auto"/>
        <w:ind w:firstLine="420"/>
        <w:jc w:val="left"/>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rPr>
        <w:t>6.1.2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 xml:space="preserve"> 甲方不得将本合同的内容向甲乙双方以外的，与签订和履行本合同无关的任何第三方透露，不得泄露乙</w:t>
      </w:r>
      <w:r>
        <w:rPr>
          <w:rFonts w:hint="eastAsia" w:ascii="宋体" w:hAnsi="宋体" w:eastAsia="宋体" w:cs="宋体"/>
          <w:b w:val="0"/>
          <w:bCs w:val="0"/>
          <w:color w:val="auto"/>
          <w:szCs w:val="21"/>
          <w:highlight w:val="none"/>
        </w:rPr>
        <w:t>方的商业秘密（包括本合同及其附件和合同签订前的各项方案）。</w:t>
      </w:r>
    </w:p>
    <w:p w14:paraId="49A5B5CE">
      <w:pPr>
        <w:spacing w:line="360" w:lineRule="auto"/>
        <w:ind w:firstLine="42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6.1.2</w:t>
      </w:r>
      <w:r>
        <w:rPr>
          <w:rFonts w:hint="eastAsia" w:ascii="宋体" w:hAnsi="宋体" w:eastAsia="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rPr>
        <w:t xml:space="preserve"> 本合同不具排他性，甲方具有将本合同项下的物业管理服务委托其他第三方服务的权利。</w:t>
      </w:r>
    </w:p>
    <w:p w14:paraId="30A9A795">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6.1.2</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rPr>
        <w:t xml:space="preserve"> 根据本合同约定，乙方应支付的违约金、赔偿金、费用等，甲方有权从未支付的物业管理服务费中直接抵扣。</w:t>
      </w:r>
    </w:p>
    <w:p w14:paraId="4A175553">
      <w:pPr>
        <w:spacing w:line="360" w:lineRule="auto"/>
        <w:ind w:firstLine="42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6.1.2</w:t>
      </w:r>
      <w:r>
        <w:rPr>
          <w:rFonts w:hint="eastAsia" w:ascii="宋体" w:hAnsi="宋体" w:eastAsia="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rPr>
        <w:t xml:space="preserve"> 甲方按照既定的审批支付程序，及时办理物业管理服务费的支付手续。</w:t>
      </w:r>
    </w:p>
    <w:p w14:paraId="7B70A7EF">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6.1.2</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rPr>
        <w:t xml:space="preserve"> 合同文件及附件内容约定的甲方其他权利义务。</w:t>
      </w:r>
    </w:p>
    <w:p w14:paraId="2541CD6A">
      <w:pPr>
        <w:spacing w:line="360" w:lineRule="auto"/>
        <w:ind w:firstLine="42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6.2 乙方的权利和义务</w:t>
      </w:r>
    </w:p>
    <w:p w14:paraId="34C30B81">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rPr>
        <w:t>6.2.1 在合同履行期限，乙方应保证其具有提供本合同项下物业管理服务的资质及能力，若因乙方物业管理服务资质丧失</w:t>
      </w:r>
      <w:r>
        <w:rPr>
          <w:rFonts w:hint="eastAsia" w:ascii="宋体" w:hAnsi="宋体" w:eastAsia="宋体" w:cs="宋体"/>
          <w:b w:val="0"/>
          <w:bCs w:val="0"/>
          <w:color w:val="auto"/>
          <w:szCs w:val="21"/>
          <w:highlight w:val="none"/>
          <w:lang w:val="en-US" w:eastAsia="zh-CN"/>
        </w:rPr>
        <w:t>或不具备相应服务能力</w:t>
      </w:r>
      <w:r>
        <w:rPr>
          <w:rFonts w:hint="eastAsia" w:ascii="宋体" w:hAnsi="宋体" w:eastAsia="宋体" w:cs="宋体"/>
          <w:b w:val="0"/>
          <w:bCs w:val="0"/>
          <w:color w:val="auto"/>
          <w:szCs w:val="21"/>
          <w:highlight w:val="none"/>
        </w:rPr>
        <w:t>而导致无法继续提供本合同项下物业管理服务的，甲方有权单方解除本合同，并要求乙方向甲方支付</w:t>
      </w:r>
      <w:r>
        <w:rPr>
          <w:rFonts w:hint="eastAsia" w:ascii="宋体" w:hAnsi="宋体" w:eastAsia="宋体" w:cs="宋体"/>
          <w:b w:val="0"/>
          <w:bCs w:val="0"/>
          <w:color w:val="auto"/>
          <w:szCs w:val="21"/>
          <w:highlight w:val="none"/>
          <w:lang w:val="en-US" w:eastAsia="zh-CN"/>
        </w:rPr>
        <w:t>300,000.00</w:t>
      </w:r>
      <w:r>
        <w:rPr>
          <w:rFonts w:hint="eastAsia" w:ascii="宋体" w:hAnsi="宋体" w:eastAsia="宋体" w:cs="宋体"/>
          <w:b w:val="0"/>
          <w:bCs w:val="0"/>
          <w:color w:val="auto"/>
          <w:szCs w:val="21"/>
          <w:highlight w:val="none"/>
        </w:rPr>
        <w:t>元的违约金，违约金不足以弥补甲方损失的（包括但不限于采购第三方单位、委托第三方单位的价差），</w:t>
      </w:r>
      <w:r>
        <w:rPr>
          <w:rFonts w:hint="eastAsia" w:ascii="宋体" w:hAnsi="宋体" w:eastAsia="宋体" w:cs="宋体"/>
          <w:color w:val="auto"/>
          <w:szCs w:val="21"/>
          <w:highlight w:val="none"/>
        </w:rPr>
        <w:t>乙方还应当予以补足。</w:t>
      </w:r>
    </w:p>
    <w:p w14:paraId="53778863">
      <w:pPr>
        <w:spacing w:line="360"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6.2.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乙方应根据带教服务要求，制定专项培养计划，建立并动态更新个人带教成长档案，配置带教团队，投入必要的培训资源。</w:t>
      </w:r>
    </w:p>
    <w:p w14:paraId="0B0B7797">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6.2.3 </w:t>
      </w:r>
      <w:r>
        <w:rPr>
          <w:rFonts w:hint="eastAsia" w:ascii="宋体" w:hAnsi="宋体" w:eastAsia="宋体" w:cs="宋体"/>
          <w:color w:val="auto"/>
          <w:szCs w:val="21"/>
          <w:highlight w:val="none"/>
        </w:rPr>
        <w:t>乙方应根据本大厦的入驻率按月制定全面详细的阶段性工作计划及项目管理预算报甲方审核，并严格按照甲方书面审核后的计划和方案执行。乙方有权根据本项目的实际需要，及时调整工作计划的内容及时间安排，但必须将调整后的内容交甲方书面审核确定后方可实施。</w:t>
      </w:r>
    </w:p>
    <w:p w14:paraId="151FF999">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根据本物业营销宣传之需要，向甲方提供（包括但不限于）乙方的企业简介、主要业绩、物业图片及资质等级证书拷贝等资料。</w:t>
      </w:r>
    </w:p>
    <w:p w14:paraId="3E4FE63B">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乙方应按用户需求书要求配备足够的人员（具体的人员要求详见招标文件的用户需求书），乙方指定【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】为本项目的物业管理服务负责人，联系方式为【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】，代表乙方与甲方进行沟通、联络，负责水业大厦物业管理服务的日常管理工作。甲方传递给乙方的所有信息资料经上述联络人确认收到后即视为已交付乙方。若该联络人发生变动，乙方须提前</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日以书面形式通知甲方，并安排新的联络人与原联络人进行工作交接，否则由此造成工作处理上的延误及责任均由乙方承担，如造成甲方损失的，应予以赔偿。</w:t>
      </w:r>
    </w:p>
    <w:p w14:paraId="029CB137">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乙方有权对指派到本物业提供物业管理服务的员工提出聘用、解聘、续聘。</w:t>
      </w:r>
    </w:p>
    <w:p w14:paraId="1C72A7F9">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乙方不得将本合同全部的权利义务转让给第三人；按照国家有关规定必须由具备相应资质的专业机构进行服务保障的项目（如本物业维修保养、清洁及安全管理等专项管理业务）乙方需向甲方提交书面申请，未经甲方书面同意，乙方不得将本合同项下乙方的部分权利义务转让给第三人。乙方将专项管理业务交由其它专业公司负责的，由乙方负责选聘专业公司，选聘的专业公司必须经甲方书面同意后方可实施工作，并与甲乙双方签订三方协议，乙方对该专项管理业务的实施承担</w:t>
      </w:r>
      <w:r>
        <w:rPr>
          <w:rFonts w:hint="eastAsia" w:ascii="宋体" w:hAnsi="宋体" w:eastAsia="宋体" w:cs="宋体"/>
          <w:color w:val="auto"/>
          <w:szCs w:val="21"/>
          <w:highlight w:val="none"/>
          <w:lang w:val="en-US" w:eastAsia="zh-CN"/>
        </w:rPr>
        <w:t>全部</w:t>
      </w:r>
      <w:r>
        <w:rPr>
          <w:rFonts w:hint="eastAsia" w:ascii="宋体" w:hAnsi="宋体" w:eastAsia="宋体" w:cs="宋体"/>
          <w:color w:val="auto"/>
          <w:szCs w:val="21"/>
          <w:highlight w:val="none"/>
        </w:rPr>
        <w:t>连带责任</w:t>
      </w:r>
      <w:r>
        <w:rPr>
          <w:rFonts w:hint="eastAsia" w:ascii="宋体" w:hAnsi="宋体" w:eastAsia="宋体" w:cs="宋体"/>
          <w:color w:val="auto"/>
          <w:szCs w:val="21"/>
          <w:highlight w:val="none"/>
          <w:lang w:eastAsia="zh-CN"/>
        </w:rPr>
        <w:t>，且不得因甲方参与验收或直接付款而减轻或免除其责任</w:t>
      </w:r>
      <w:r>
        <w:rPr>
          <w:rFonts w:hint="eastAsia" w:ascii="宋体" w:hAnsi="宋体" w:eastAsia="宋体" w:cs="宋体"/>
          <w:color w:val="auto"/>
          <w:szCs w:val="21"/>
          <w:highlight w:val="none"/>
        </w:rPr>
        <w:t>。甲方不同意的，由此产生的费用由乙方自行承担，如由此造成甲方损失的，应承担赔偿责任。</w:t>
      </w:r>
    </w:p>
    <w:p w14:paraId="4FA8D409">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xml:space="preserve"> 根据有关法律法规及本合同的约定，制定物业管理制度、管理方案，对于甲方提出的意见应予以重视，无正当理由不得拒绝采纳；管理制度、管理方案必须经甲方审定后方可实施。</w:t>
      </w:r>
    </w:p>
    <w:p w14:paraId="337EC877">
      <w:pPr>
        <w:spacing w:line="360"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6.2.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乙方每月向甲方报送</w:t>
      </w:r>
      <w:r>
        <w:rPr>
          <w:rFonts w:hint="eastAsia" w:ascii="宋体" w:hAnsi="宋体" w:eastAsia="宋体" w:cs="宋体"/>
          <w:b w:val="0"/>
          <w:color w:val="auto"/>
          <w:sz w:val="21"/>
          <w:szCs w:val="21"/>
          <w:highlight w:val="none"/>
          <w:lang w:val="en-US" w:eastAsia="zh-CN" w:bidi="ar-SA"/>
        </w:rPr>
        <w:t>投入本项目的物业人员考勤资料。</w:t>
      </w:r>
    </w:p>
    <w:p w14:paraId="40F26065">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 xml:space="preserve"> 依约定实施物业管理工作并执行相关管理制度，对于甲方书面提出的履行岗位职责不符合要求的人员，乙方应于甲方提出的限期内作出相应的调整和处理。</w:t>
      </w:r>
    </w:p>
    <w:p w14:paraId="3517B068">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xml:space="preserve"> 向甲方及物业使用人书面告知物业使用的有关规定，当物业使用人装修物业时，书面告知有关限制条件，并负责监督。</w:t>
      </w:r>
    </w:p>
    <w:p w14:paraId="7C30CFDF">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对物业使用人违反法律、法规、物业管理制度的行为，及时提请甲方处理。</w:t>
      </w:r>
    </w:p>
    <w:p w14:paraId="46BD2AA8">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负责编制房屋、附属建筑物、构筑物、设施、设备、绿化等的定期维修养护计划和大中修方案，经甲方同意后由乙方组织实施。</w:t>
      </w:r>
    </w:p>
    <w:p w14:paraId="444FD1BD">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负责编制物业管理的管理计划、资金使用计划及财务预决算报告，并按时提交给甲方。</w:t>
      </w:r>
    </w:p>
    <w:p w14:paraId="28458BF2">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对本物业的公用设施不得擅自占用和改变使用功能，如需在本物业内改、扩建或完善配套项目，须与甲方协商并经甲方同意，报有关部门批准后方可实施。</w:t>
      </w:r>
    </w:p>
    <w:p w14:paraId="33056F04">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对甲方的设备、设施负有保护的责任，如属于管理不善或操作不当造成的损失，乙方应负赔偿责任。 </w:t>
      </w:r>
    </w:p>
    <w:p w14:paraId="77A04666">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保护甲方、物业使用者的人身和财产的安全，维持楼内及周边的正常秩序，包括但不限于防止、制止违法犯罪行为，报警，组织抢救等。</w:t>
      </w:r>
    </w:p>
    <w:p w14:paraId="3409E7CB">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 xml:space="preserve"> 执行物业管理制度及消防管理制度等相关制度，对违反管理制度的行为给予纠正或制止。</w:t>
      </w:r>
    </w:p>
    <w:p w14:paraId="2DEFE8D4">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 xml:space="preserve"> 接受甲方的监督、指导，对于不当行为应在甲方提出的限期内予以纠正。</w:t>
      </w:r>
    </w:p>
    <w:p w14:paraId="4245081A">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 xml:space="preserve"> 协助甲方完善各项管理制度并坚决贯彻执行。</w:t>
      </w:r>
    </w:p>
    <w:p w14:paraId="1582C4C4">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xml:space="preserve"> 切实做好防火、防盗、防破坏、防抢、防骗、防泄密、防自然灾害事故等的工作。</w:t>
      </w:r>
    </w:p>
    <w:p w14:paraId="0A2FECCA">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发现问题及时进行处理并向甲方报告，在日常管理过程中对无法解决的事情要及时向甲方反映并在甲方指导下予以解决。</w:t>
      </w:r>
    </w:p>
    <w:p w14:paraId="79A7C9FE">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对甲方提供的图纸、档案、资料，负有保密义务；未经甲方书面许可，不得外传或提供给第三方（包括但不限于原件、复印件或复制品等）；如在日常管理中需要复印使用，应向甲方提出书面申请，经甲方批准后方可复印，否则，由此产生的一切责任及给甲方造成的任何损失均由乙方予以承担。</w:t>
      </w:r>
    </w:p>
    <w:p w14:paraId="69532288">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乙方因维修、保养物业所需的物品，可向甲方提出申请，甲方经审查后给予配备。</w:t>
      </w:r>
    </w:p>
    <w:p w14:paraId="00D1EE09">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乙方应当自</w:t>
      </w:r>
      <w:r>
        <w:rPr>
          <w:rFonts w:hint="eastAsia" w:ascii="宋体" w:hAnsi="宋体" w:eastAsia="宋体" w:cs="宋体"/>
          <w:color w:val="auto"/>
          <w:szCs w:val="21"/>
          <w:highlight w:val="none"/>
          <w:lang w:val="en-US" w:eastAsia="zh-CN"/>
        </w:rPr>
        <w:t>本合同服务期届满前3</w:t>
      </w:r>
      <w:r>
        <w:rPr>
          <w:rFonts w:hint="eastAsia" w:ascii="宋体" w:hAnsi="宋体" w:eastAsia="宋体" w:cs="宋体"/>
          <w:color w:val="auto"/>
          <w:szCs w:val="21"/>
          <w:highlight w:val="none"/>
        </w:rPr>
        <w:t>0日内，无条件按甲方要求向甲方移交其合法占有的以下资料和财物，并配合新的物业服务企业做好交接工作：</w:t>
      </w:r>
    </w:p>
    <w:p w14:paraId="4F3D0CC4">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1)竣工总平面图，单体建筑、结构、设备竣工图，配套设施、地下管网工程竣工图等原竣工验收资料； </w:t>
      </w:r>
    </w:p>
    <w:p w14:paraId="7DCF268B">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2)设施设备买卖合同复印件及安装、使用和维护保养等技术资料； </w:t>
      </w:r>
    </w:p>
    <w:p w14:paraId="67D3E656">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3)物业质量保证文件和物业使用说明文件； </w:t>
      </w:r>
    </w:p>
    <w:p w14:paraId="789B7578">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4)物业管理区域内各类建筑物、场地、设施设备清单； </w:t>
      </w:r>
    </w:p>
    <w:p w14:paraId="44850189">
      <w:pPr>
        <w:spacing w:line="360" w:lineRule="auto"/>
        <w:ind w:firstLine="420"/>
        <w:jc w:val="left"/>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b w:val="0"/>
          <w:bCs w:val="0"/>
          <w:color w:val="auto"/>
          <w:szCs w:val="21"/>
          <w:highlight w:val="none"/>
        </w:rPr>
        <w:t>物业及配套设施产权清单；</w:t>
      </w:r>
    </w:p>
    <w:p w14:paraId="778DA7F1">
      <w:pPr>
        <w:spacing w:line="360" w:lineRule="auto"/>
        <w:ind w:firstLine="42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6）物业管理用房；</w:t>
      </w:r>
    </w:p>
    <w:p w14:paraId="51EA367A">
      <w:pPr>
        <w:pStyle w:val="18"/>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7）物业使用人清册；</w:t>
      </w:r>
    </w:p>
    <w:p w14:paraId="421399B3">
      <w:pPr>
        <w:spacing w:line="360" w:lineRule="auto"/>
        <w:ind w:firstLine="42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8）物业使用、维护、管理必需的其他资料；</w:t>
      </w:r>
    </w:p>
    <w:p w14:paraId="6CBCB911">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rPr>
        <w:t>9）物业服务期间改造、</w:t>
      </w:r>
      <w:r>
        <w:rPr>
          <w:rFonts w:hint="eastAsia" w:ascii="宋体" w:hAnsi="宋体" w:eastAsia="宋体" w:cs="宋体"/>
          <w:color w:val="auto"/>
          <w:szCs w:val="21"/>
          <w:highlight w:val="none"/>
        </w:rPr>
        <w:t>维修、保养有关物业形成的技术资料；</w:t>
      </w:r>
    </w:p>
    <w:p w14:paraId="256DAA84">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10）物业服务期间配置的固定设施设备；</w:t>
      </w:r>
    </w:p>
    <w:p w14:paraId="379A7501">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11）其他应当移交的财物、资料。 </w:t>
      </w:r>
    </w:p>
    <w:p w14:paraId="0249A8F5">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资料移交完毕后，移交和接收双方须签字认可，若有未移交部分，由双方列出未移交部分的清单，确定移交时间并签字认可。</w:t>
      </w:r>
    </w:p>
    <w:p w14:paraId="34F6E17D">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新的物业管理企业承接物业时，乙方应当与新的物业管理企业共同对物业设施设备进行查验。查验时，甲方应当制作物业查验记录。查验记录应当包括查验项目名称、查验时间、查验内容、查验结论、存在问题等，并由查验人签名。新的物业管理企业和乙方对查验结果存在争议的，应当在查验记录中载明，并明确解决办法。 </w:t>
      </w:r>
    </w:p>
    <w:p w14:paraId="224556FD">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color w:val="auto"/>
          <w:szCs w:val="21"/>
          <w:highlight w:val="none"/>
          <w:lang w:val="en-US" w:eastAsia="zh-CN"/>
        </w:rPr>
        <w:t>27</w:t>
      </w:r>
      <w:r>
        <w:rPr>
          <w:rFonts w:hint="eastAsia" w:ascii="宋体" w:hAnsi="宋体" w:eastAsia="宋体" w:cs="宋体"/>
          <w:color w:val="auto"/>
          <w:szCs w:val="21"/>
          <w:highlight w:val="none"/>
        </w:rPr>
        <w:t xml:space="preserve"> 乙方因履行本合同聘请的员工或人员，均与乙方建立劳动关系，与甲方无关；合同期间内乙方及其聘请的员工发生的一切事故均由乙方予以承担；如由此造成甲方损失的，乙方应承担赔偿责任。</w:t>
      </w:r>
    </w:p>
    <w:p w14:paraId="0B0C66E0">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 xml:space="preserve"> 在合同履约过程中，国家、地方或行业及甲方有发布新的物业管理规定的，按新发布的管理规定执行，乙方不得以任何理由要求甲方额外增加任何费用。</w:t>
      </w:r>
    </w:p>
    <w:p w14:paraId="5F81A477">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 xml:space="preserve"> 乙方须按下列约定，实现目标管理，包括但不限于以下内容：</w:t>
      </w:r>
    </w:p>
    <w:p w14:paraId="1E2E0E8F">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1)房屋外观：完好率98%以上；</w:t>
      </w:r>
    </w:p>
    <w:p w14:paraId="7E6A6A6B">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2)设备运行：运行正常，重大设备完好率98%以上；</w:t>
      </w:r>
    </w:p>
    <w:p w14:paraId="30673CC5">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3)设施、设备的维修、养护：完成率100%；</w:t>
      </w:r>
    </w:p>
    <w:p w14:paraId="6455DA54">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4)公共环境：合格率95%以上：</w:t>
      </w:r>
    </w:p>
    <w:p w14:paraId="3AE5D20F">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5)急修：及时率100%；小修：合格率98%以上；</w:t>
      </w:r>
    </w:p>
    <w:p w14:paraId="6586A4DF">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6)保安：治安、刑事案件及火灾事故发生率为0；</w:t>
      </w:r>
    </w:p>
    <w:p w14:paraId="461E22CA">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7)交通秩序：车辆出入登记、每辆车发放一张停车卡、车辆依停车卡放行、管理有序、无交通事故发生，完成率100%；</w:t>
      </w:r>
    </w:p>
    <w:p w14:paraId="74643092">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8)物业内部财产保护：物业内部（包括停车场）财产失窃、人为故意损毁发生率为0；</w:t>
      </w:r>
    </w:p>
    <w:p w14:paraId="4D405EF3">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9)甲方对乙方的满意率达到95%以上；</w:t>
      </w:r>
    </w:p>
    <w:p w14:paraId="52C774F0">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10)乙方</w:t>
      </w:r>
      <w:r>
        <w:rPr>
          <w:rFonts w:hint="eastAsia" w:ascii="宋体" w:hAnsi="宋体" w:eastAsia="宋体" w:cs="宋体"/>
          <w:color w:val="auto"/>
          <w:szCs w:val="21"/>
          <w:highlight w:val="none"/>
          <w:lang w:val="en-US" w:eastAsia="zh-CN"/>
        </w:rPr>
        <w:t>物业管理</w:t>
      </w:r>
      <w:r>
        <w:rPr>
          <w:rFonts w:hint="eastAsia" w:ascii="宋体" w:hAnsi="宋体" w:eastAsia="宋体" w:cs="宋体"/>
          <w:color w:val="auto"/>
          <w:szCs w:val="21"/>
          <w:highlight w:val="none"/>
        </w:rPr>
        <w:t>运营</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费用（不含销项税额）控制[包</w:t>
      </w:r>
      <w:r>
        <w:rPr>
          <w:rFonts w:hint="eastAsia" w:ascii="宋体" w:hAnsi="宋体" w:eastAsia="宋体" w:cs="宋体"/>
          <w:color w:val="auto"/>
          <w:szCs w:val="21"/>
          <w:highlight w:val="none"/>
          <w:lang w:eastAsia="zh-CN"/>
        </w:rPr>
        <w:t>括但</w:t>
      </w:r>
      <w:r>
        <w:rPr>
          <w:rFonts w:hint="eastAsia" w:ascii="宋体" w:hAnsi="宋体" w:eastAsia="宋体" w:cs="宋体"/>
          <w:color w:val="auto"/>
          <w:szCs w:val="21"/>
          <w:highlight w:val="none"/>
        </w:rPr>
        <w:t>不限于</w:t>
      </w:r>
      <w:r>
        <w:rPr>
          <w:rFonts w:hint="eastAsia" w:ascii="宋体" w:hAnsi="宋体" w:eastAsia="宋体" w:cs="宋体"/>
          <w:color w:val="auto"/>
          <w:szCs w:val="21"/>
          <w:highlight w:val="none"/>
          <w:lang w:val="en-US" w:eastAsia="zh-CN"/>
        </w:rPr>
        <w:t>服务期</w:t>
      </w:r>
      <w:r>
        <w:rPr>
          <w:rFonts w:hint="eastAsia" w:ascii="宋体" w:hAnsi="宋体" w:eastAsia="宋体" w:cs="宋体"/>
          <w:color w:val="auto"/>
          <w:szCs w:val="21"/>
          <w:highlight w:val="none"/>
        </w:rPr>
        <w:t>所产生的物业管理人员</w:t>
      </w:r>
      <w:r>
        <w:rPr>
          <w:rFonts w:hint="eastAsia" w:ascii="宋体" w:hAnsi="宋体" w:eastAsia="宋体" w:cs="宋体"/>
          <w:bCs/>
          <w:color w:val="auto"/>
          <w:szCs w:val="21"/>
          <w:highlight w:val="none"/>
          <w:lang w:bidi="ar"/>
        </w:rPr>
        <w:t>人工费用、日常设施维护费用</w:t>
      </w:r>
      <w:r>
        <w:rPr>
          <w:rFonts w:hint="eastAsia" w:ascii="宋体" w:hAnsi="宋体" w:eastAsia="宋体" w:cs="宋体"/>
          <w:color w:val="auto"/>
          <w:szCs w:val="21"/>
          <w:highlight w:val="none"/>
          <w:lang w:val="zh-CN"/>
        </w:rPr>
        <w:t>（包括电梯、空调、消防等）</w:t>
      </w:r>
      <w:r>
        <w:rPr>
          <w:rFonts w:hint="eastAsia" w:ascii="宋体" w:hAnsi="宋体" w:eastAsia="宋体" w:cs="宋体"/>
          <w:bCs/>
          <w:color w:val="auto"/>
          <w:szCs w:val="21"/>
          <w:highlight w:val="none"/>
          <w:lang w:bidi="ar"/>
        </w:rPr>
        <w:t>、</w:t>
      </w:r>
      <w:r>
        <w:rPr>
          <w:rFonts w:hint="eastAsia" w:ascii="宋体" w:hAnsi="宋体" w:eastAsia="宋体" w:cs="宋体"/>
          <w:color w:val="auto"/>
          <w:szCs w:val="21"/>
          <w:highlight w:val="none"/>
          <w:lang w:val="zh-CN"/>
        </w:rPr>
        <w:t>工器具及材料费用、</w:t>
      </w:r>
      <w:r>
        <w:rPr>
          <w:rFonts w:hint="eastAsia" w:ascii="宋体" w:hAnsi="宋体" w:eastAsia="宋体" w:cs="宋体"/>
          <w:bCs/>
          <w:color w:val="auto"/>
          <w:szCs w:val="21"/>
          <w:highlight w:val="none"/>
          <w:lang w:bidi="ar"/>
        </w:rPr>
        <w:t>垃圾清运及处理费、清洁耗材、日常耗材、绿化养护及材料费、玻璃外墙清洗费、“四害”消杀及白蚁防治费、清洗生活水池、消防水池费</w:t>
      </w:r>
      <w:r>
        <w:rPr>
          <w:rFonts w:hint="eastAsia" w:ascii="宋体" w:hAnsi="宋体" w:eastAsia="宋体" w:cs="宋体"/>
          <w:color w:val="auto"/>
          <w:szCs w:val="21"/>
          <w:highlight w:val="none"/>
          <w:lang w:val="zh-CN"/>
        </w:rPr>
        <w:t>（含人工、材料、检测费用）</w:t>
      </w:r>
      <w:r>
        <w:rPr>
          <w:rFonts w:hint="eastAsia" w:ascii="宋体" w:hAnsi="宋体" w:eastAsia="宋体" w:cs="宋体"/>
          <w:bCs/>
          <w:color w:val="auto"/>
          <w:szCs w:val="21"/>
          <w:highlight w:val="none"/>
          <w:lang w:bidi="ar"/>
        </w:rPr>
        <w:t>、化粪池、隔油池清洗费用、文化活动与节日装饰、行政办公费用</w:t>
      </w:r>
      <w:r>
        <w:rPr>
          <w:rFonts w:hint="eastAsia" w:ascii="宋体" w:hAnsi="宋体" w:eastAsia="宋体" w:cs="宋体"/>
          <w:color w:val="auto"/>
          <w:szCs w:val="21"/>
          <w:highlight w:val="none"/>
        </w:rPr>
        <w:t>等费用]原则上应不超过投标报价最高限额，但甲乙双方约定的特殊事项除外。</w:t>
      </w:r>
    </w:p>
    <w:p w14:paraId="02620FEB">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 xml:space="preserve"> 在乙方无违约行为的情况下，乙方有权要求甲方及时支付</w:t>
      </w:r>
      <w:r>
        <w:rPr>
          <w:rFonts w:hint="eastAsia" w:ascii="宋体" w:hAnsi="宋体" w:eastAsia="宋体" w:cs="宋体"/>
          <w:color w:val="auto"/>
          <w:szCs w:val="21"/>
          <w:highlight w:val="none"/>
          <w:lang w:val="en-US" w:eastAsia="zh-CN"/>
        </w:rPr>
        <w:t>服务费用</w:t>
      </w:r>
      <w:r>
        <w:rPr>
          <w:rFonts w:hint="eastAsia" w:ascii="宋体" w:hAnsi="宋体" w:eastAsia="宋体" w:cs="宋体"/>
          <w:color w:val="auto"/>
          <w:szCs w:val="21"/>
          <w:highlight w:val="none"/>
        </w:rPr>
        <w:t>，甲方应按合同约定及时予以支付。</w:t>
      </w:r>
    </w:p>
    <w:p w14:paraId="3409111B">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xml:space="preserve"> 乙方未完全履行本物业管理服务合同的约定义务或相关行业规范规定，导致甲方或物业使用人或第三者人身、财产安全受到损害的，由乙方承担赔偿及相关法律责任。</w:t>
      </w:r>
    </w:p>
    <w:p w14:paraId="2631A806">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6.2.3</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甲方提供的物业管理用房专用于物业管理服务工作，不得挪作他用。</w:t>
      </w:r>
    </w:p>
    <w:p w14:paraId="6B36CF4E">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乙方投标时承诺自愿免费投入本项目使用的设备及软件应在乙方进驻本项目3天内全数如实投入本项目使用，不得以任何理由拖延或拒绝。</w:t>
      </w:r>
    </w:p>
    <w:p w14:paraId="519CA624">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在本合同期内及合同期满后，乙方不得向除甲方以外的任何第三方泄露甲方的经营情况及任何其它商业秘密等文件及信息，否则，由此产生的一切责任及给甲方造成的任何损失均由乙方予以承担。</w:t>
      </w:r>
    </w:p>
    <w:p w14:paraId="464279EC">
      <w:pPr>
        <w:pStyle w:val="53"/>
        <w:spacing w:line="360" w:lineRule="auto"/>
        <w:ind w:left="0"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color w:val="auto"/>
          <w:szCs w:val="21"/>
          <w:highlight w:val="none"/>
          <w:lang w:val="en-US"/>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合同文件及附件内容约定的乙方其他权利义务。</w:t>
      </w:r>
    </w:p>
    <w:p w14:paraId="0182E035">
      <w:pPr>
        <w:pStyle w:val="53"/>
        <w:spacing w:line="360" w:lineRule="auto"/>
        <w:ind w:left="0"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6.2.36 乙方应配合甲方及上级单位对本项目的审计、督查、绩效评价工作，按要求提供财务凭证、服务记录等相关资料（包括但不限于用户需求书7.2.2条要求的物业费收缴报表、能耗数据报表等），不得拒绝、拖延或隐瞒。若乙方未按要求配合，导致审计、督查工作延误或无法开展，甲方有权暂缓支付当期物业管理运营服务费用，直至乙方完成配合；造成甲方损失的，乙方还应承担赔偿责任。</w:t>
      </w:r>
    </w:p>
    <w:p w14:paraId="266EEFF1">
      <w:pPr>
        <w:pStyle w:val="53"/>
        <w:spacing w:line="360" w:lineRule="auto"/>
        <w:ind w:left="0"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6.2.37 乙方应确保服务期内关键岗位人员（属于用户需求书4.4条要求“持证上岗”的消防值班人员、电梯维保人员、特种作业人员及带教导师等）的职业资格持续有效。乙方应在人员资格到期前15日向甲方提交合格人员替换方案并完成更换；乙方需每季度向甲方提交人员资格证书查验清单，配合甲方核实。</w:t>
      </w:r>
    </w:p>
    <w:p w14:paraId="34C1AA1B">
      <w:pPr>
        <w:spacing w:line="360" w:lineRule="auto"/>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履约担保</w:t>
      </w:r>
    </w:p>
    <w:p w14:paraId="6219C44A">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乙方应当根据招标文件的规定在签订本合同前向甲方提供履约担保，履约担保形式及金额由乙方从以下方式中任选一种：</w:t>
      </w:r>
    </w:p>
    <w:p w14:paraId="5D532DF7">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履约保证金（银行转账形式）金额为人民币</w:t>
      </w:r>
      <w:r>
        <w:rPr>
          <w:rFonts w:hint="eastAsia" w:ascii="宋体" w:hAnsi="宋体" w:eastAsia="宋体" w:cs="宋体"/>
          <w:color w:val="auto"/>
          <w:szCs w:val="21"/>
          <w:highlight w:val="none"/>
          <w:u w:val="single"/>
          <w:lang w:val="en-US" w:eastAsia="zh-CN"/>
        </w:rPr>
        <w:t>叁拾万元整（¥300,000.00）</w:t>
      </w:r>
      <w:r>
        <w:rPr>
          <w:rFonts w:hint="eastAsia" w:ascii="宋体" w:hAnsi="宋体" w:eastAsia="宋体" w:cs="宋体"/>
          <w:color w:val="auto"/>
          <w:szCs w:val="21"/>
          <w:highlight w:val="none"/>
        </w:rPr>
        <w:t>。</w:t>
      </w:r>
    </w:p>
    <w:p w14:paraId="5B45329A">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银行不可撤销履约保函金额为人民币</w:t>
      </w:r>
      <w:r>
        <w:rPr>
          <w:rFonts w:hint="eastAsia" w:ascii="宋体" w:hAnsi="宋体" w:eastAsia="宋体" w:cs="宋体"/>
          <w:color w:val="auto"/>
          <w:szCs w:val="21"/>
          <w:highlight w:val="none"/>
          <w:u w:val="single"/>
          <w:lang w:val="en-US" w:eastAsia="zh-CN"/>
        </w:rPr>
        <w:t>肆拾捌万元整（¥480,000.00）</w:t>
      </w:r>
      <w:r>
        <w:rPr>
          <w:rFonts w:hint="eastAsia" w:ascii="宋体" w:hAnsi="宋体" w:eastAsia="宋体" w:cs="宋体"/>
          <w:color w:val="auto"/>
          <w:szCs w:val="21"/>
          <w:highlight w:val="none"/>
        </w:rPr>
        <w:t>。</w:t>
      </w:r>
    </w:p>
    <w:p w14:paraId="3EAC4AED">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履约</w:t>
      </w:r>
      <w:r>
        <w:rPr>
          <w:rFonts w:hint="eastAsia" w:ascii="宋体" w:hAnsi="宋体" w:eastAsia="宋体" w:cs="宋体"/>
          <w:color w:val="auto"/>
          <w:szCs w:val="21"/>
          <w:highlight w:val="none"/>
          <w:lang w:val="en-US" w:eastAsia="zh-CN"/>
        </w:rPr>
        <w:t>保证保险</w:t>
      </w:r>
      <w:r>
        <w:rPr>
          <w:rFonts w:hint="eastAsia" w:ascii="宋体" w:hAnsi="宋体" w:eastAsia="宋体" w:cs="宋体"/>
          <w:color w:val="auto"/>
          <w:szCs w:val="21"/>
          <w:highlight w:val="none"/>
        </w:rPr>
        <w:t>金额为人民币</w:t>
      </w:r>
      <w:r>
        <w:rPr>
          <w:rFonts w:hint="eastAsia" w:ascii="宋体" w:hAnsi="宋体" w:eastAsia="宋体" w:cs="宋体"/>
          <w:color w:val="auto"/>
          <w:szCs w:val="21"/>
          <w:highlight w:val="none"/>
          <w:u w:val="single"/>
          <w:lang w:val="en-US" w:eastAsia="zh-CN"/>
        </w:rPr>
        <w:t>陆拾万元整（¥600,000.00）</w:t>
      </w:r>
      <w:r>
        <w:rPr>
          <w:rFonts w:hint="eastAsia" w:ascii="宋体" w:hAnsi="宋体" w:eastAsia="宋体" w:cs="宋体"/>
          <w:color w:val="auto"/>
          <w:szCs w:val="21"/>
          <w:highlight w:val="none"/>
        </w:rPr>
        <w:t>。</w:t>
      </w:r>
    </w:p>
    <w:p w14:paraId="156B577F">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担保公司履约担保书金额为人民币</w:t>
      </w:r>
      <w:r>
        <w:rPr>
          <w:rFonts w:hint="eastAsia" w:ascii="宋体" w:hAnsi="宋体" w:eastAsia="宋体" w:cs="宋体"/>
          <w:color w:val="auto"/>
          <w:szCs w:val="21"/>
          <w:highlight w:val="none"/>
          <w:u w:val="single"/>
          <w:lang w:val="en-US" w:eastAsia="zh-CN"/>
        </w:rPr>
        <w:t>陆拾万元整（¥600,000.00）</w:t>
      </w:r>
      <w:r>
        <w:rPr>
          <w:rFonts w:hint="eastAsia" w:ascii="宋体" w:hAnsi="宋体" w:eastAsia="宋体" w:cs="宋体"/>
          <w:color w:val="auto"/>
          <w:szCs w:val="21"/>
          <w:highlight w:val="none"/>
        </w:rPr>
        <w:t>。</w:t>
      </w:r>
    </w:p>
    <w:p w14:paraId="0AF198EB">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7.2 履约担保用于补偿甲方因乙方不能完全履行其合同义务而蒙受的损失，如发生下列任一情况时，甲方除有权依合同追究乙方违约责任外，还有权提取履约担保并进行相应处理：</w:t>
      </w:r>
    </w:p>
    <w:p w14:paraId="2B8FCDE1">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（1）未经甲方书面同意，乙方将本合同部分或全部的权利义务转让给第三人，甲方可没收其履约担保。</w:t>
      </w:r>
    </w:p>
    <w:p w14:paraId="3EDF01A6">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在合同履行期间，因乙方服务质量问题造成损害、侵权损失（包括但不限于甲方经济损失、乙方所雇人员及第三人人身财产损失等）、乙方与其所雇用员工发生劳资纠纷、上访、闹事或其他影响甲方生产经营等情况而其未及时妥善处理的，甲方有权使用履约担保予以支付或作出相应处理，由此产生的一切法律后果由乙方承担。</w:t>
      </w:r>
    </w:p>
    <w:p w14:paraId="5B37D14E">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）在合同履行期间，乙方违约产生的违约金、赔偿、罚款或其他应付费用等款项，甲方有权直接从未付服务费中扣除或使用履约担保予以支付。</w:t>
      </w:r>
    </w:p>
    <w:p w14:paraId="33DEAB90">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）合同期内，乙方不能及时完成合同某项义务的，甲方有权使用履约担保用于处理该项工作。</w:t>
      </w:r>
    </w:p>
    <w:p w14:paraId="16F163CD">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）其他根据本合同约定或法律规定，甲方可使用履约担保的情形。</w:t>
      </w:r>
    </w:p>
    <w:p w14:paraId="09735142">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7.3 在本合同服务期满且乙方完成本合同项下全部服务后</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val="zh-CN"/>
        </w:rPr>
        <w:t>可向</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zh-CN"/>
        </w:rPr>
        <w:t>提交退回</w:t>
      </w:r>
      <w:r>
        <w:rPr>
          <w:rFonts w:hint="eastAsia" w:ascii="宋体" w:hAnsi="宋体" w:eastAsia="宋体" w:cs="宋体"/>
          <w:color w:val="auto"/>
          <w:szCs w:val="21"/>
          <w:highlight w:val="none"/>
        </w:rPr>
        <w:t>履约担保</w:t>
      </w:r>
      <w:r>
        <w:rPr>
          <w:rFonts w:hint="eastAsia" w:ascii="宋体" w:hAnsi="宋体" w:eastAsia="宋体" w:cs="宋体"/>
          <w:color w:val="auto"/>
          <w:szCs w:val="21"/>
          <w:highlight w:val="none"/>
          <w:lang w:val="zh-CN"/>
        </w:rPr>
        <w:t>的申请。</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zh-CN"/>
        </w:rPr>
        <w:t>审核无异议后，办理履约担保退还手续，</w:t>
      </w:r>
      <w:r>
        <w:rPr>
          <w:rFonts w:hint="eastAsia" w:ascii="宋体" w:hAnsi="宋体" w:eastAsia="宋体" w:cs="宋体"/>
          <w:color w:val="auto"/>
          <w:szCs w:val="21"/>
          <w:highlight w:val="none"/>
        </w:rPr>
        <w:t>履约担保余额（</w:t>
      </w:r>
      <w:r>
        <w:rPr>
          <w:rFonts w:hint="eastAsia" w:ascii="宋体" w:hAnsi="宋体" w:eastAsia="宋体" w:cs="宋体"/>
          <w:color w:val="auto"/>
          <w:szCs w:val="21"/>
          <w:highlight w:val="none"/>
          <w:lang w:val="zh-CN"/>
        </w:rPr>
        <w:t>履约保证金形式提交的履约担保</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退回时一律以银行转账的形式无息退回到</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val="zh-CN"/>
        </w:rPr>
        <w:t>的帐户</w:t>
      </w:r>
      <w:r>
        <w:rPr>
          <w:rFonts w:hint="eastAsia" w:ascii="宋体" w:hAnsi="宋体" w:eastAsia="宋体" w:cs="宋体"/>
          <w:color w:val="auto"/>
          <w:szCs w:val="21"/>
          <w:highlight w:val="none"/>
        </w:rPr>
        <w:t>。</w:t>
      </w:r>
    </w:p>
    <w:p w14:paraId="0F9140F7">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7.4 如乙方提供不可撤销银行履约保函或担保公司履约担保书作为履约担保的，不可撤销银行履约保函或担保公司履约担保书应自本合同签订之日起到本合同服务期满且乙方完成本合同项下全部服务之后28日内保持有效。</w:t>
      </w:r>
    </w:p>
    <w:p w14:paraId="59381834">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7.5 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w:t>
      </w:r>
    </w:p>
    <w:p w14:paraId="3A034DE0">
      <w:pPr>
        <w:spacing w:line="360" w:lineRule="auto"/>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第八条 违约责任</w:t>
      </w:r>
    </w:p>
    <w:p w14:paraId="6C55B997">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8.1</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乙方未按合同约定履行合同义务，除本合同另有约定及甲方的特殊要求外，甲方有权向乙方发出</w:t>
      </w:r>
      <w:r>
        <w:rPr>
          <w:rFonts w:hint="eastAsia" w:ascii="宋体" w:hAnsi="宋体" w:eastAsia="宋体" w:cs="宋体"/>
          <w:color w:val="auto"/>
          <w:szCs w:val="21"/>
          <w:highlight w:val="none"/>
          <w:lang w:val="en-US" w:eastAsia="zh-CN"/>
        </w:rPr>
        <w:t>书面限期</w:t>
      </w:r>
      <w:r>
        <w:rPr>
          <w:rFonts w:hint="eastAsia" w:ascii="宋体" w:hAnsi="宋体" w:eastAsia="宋体" w:cs="宋体"/>
          <w:color w:val="auto"/>
          <w:szCs w:val="21"/>
          <w:highlight w:val="none"/>
        </w:rPr>
        <w:t>整改通知，如乙方在限期内未做出整改或整改没有达到甲方要求的，乙方应向甲方支付人民币100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000.00元/次作为违约金，</w:t>
      </w:r>
      <w:r>
        <w:rPr>
          <w:rFonts w:hint="eastAsia" w:ascii="宋体" w:hAnsi="宋体" w:eastAsia="宋体" w:cs="宋体"/>
          <w:color w:val="auto"/>
          <w:szCs w:val="21"/>
          <w:highlight w:val="none"/>
          <w:lang w:val="en-US" w:eastAsia="zh-CN"/>
        </w:rPr>
        <w:t>本款违约金最高不超过</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违约金不足以弥补甲方损失的，乙方还应当予以补足。</w:t>
      </w:r>
    </w:p>
    <w:p w14:paraId="267918CD">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因乙方管理疏漏导致甲方及物业使用人的财物被盗、火灾、消防安全事故、漏电触电、人/物坠落或其他安全事故，对甲方、第三方人身或财产造成损失的，超过保险赔付部分，由乙方承担赔偿责任，同时甲方有权单方解除合同，不论甲方是否解除本合同，乙方还应向甲方支付人民币300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000.00元/次作为违约金，违约金不足以弥补甲方损失（包括但不限于采购第三方单位、委托第三方单位的价差）的，乙方还应予以补足。</w:t>
      </w:r>
    </w:p>
    <w:p w14:paraId="5FE789F5">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若因乙方管理原因导致某个分项内容出现三次以上（含三次）的有效投诉（包括但不限于本项目物业使用人、有关行政管理部门等的投诉，经甲方核实为事实情况的），</w:t>
      </w:r>
      <w:r>
        <w:rPr>
          <w:rFonts w:hint="eastAsia" w:ascii="宋体" w:hAnsi="宋体" w:eastAsia="宋体" w:cs="宋体"/>
          <w:color w:val="auto"/>
          <w:szCs w:val="21"/>
          <w:highlight w:val="none"/>
          <w:lang w:val="en-US" w:eastAsia="zh-CN"/>
        </w:rPr>
        <w:t>该分项内容每增加一次，</w:t>
      </w:r>
      <w:r>
        <w:rPr>
          <w:rFonts w:hint="eastAsia" w:ascii="宋体" w:hAnsi="宋体" w:eastAsia="宋体" w:cs="宋体"/>
          <w:color w:val="auto"/>
          <w:szCs w:val="21"/>
          <w:highlight w:val="none"/>
        </w:rPr>
        <w:t>乙方应向甲方支付人民币</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000.00元/次作为违约金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本款违约金最高不超过</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w:t>
      </w:r>
    </w:p>
    <w:p w14:paraId="58C30F8E">
      <w:pPr>
        <w:spacing w:line="360"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甲方每发现一次乙方投入本项目的物业人员未按合同约定正常上岗，乙方应向甲方支付人民币3,000元/次作为违约金，本款违约金最高不超过</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同时甲方将在支付乙方月度物业管理运营服务人工费中扣减缺勤人员的费用。</w:t>
      </w:r>
    </w:p>
    <w:p w14:paraId="7C3A7592">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8.5 物业管理带教服务过程</w:t>
      </w:r>
      <w:r>
        <w:rPr>
          <w:rFonts w:hint="eastAsia" w:ascii="宋体" w:hAnsi="宋体" w:eastAsia="宋体" w:cs="宋体"/>
          <w:color w:val="auto"/>
          <w:szCs w:val="21"/>
          <w:highlight w:val="none"/>
        </w:rPr>
        <w:t>考核得分＜</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0分的，甲方无需支付</w:t>
      </w:r>
      <w:r>
        <w:rPr>
          <w:rFonts w:hint="eastAsia" w:ascii="宋体" w:hAnsi="宋体" w:eastAsia="宋体" w:cs="宋体"/>
          <w:color w:val="auto"/>
          <w:szCs w:val="21"/>
          <w:highlight w:val="none"/>
          <w:lang w:val="en-US" w:eastAsia="zh-CN"/>
        </w:rPr>
        <w:t>当期物业管理带教服务费用</w:t>
      </w:r>
      <w:r>
        <w:rPr>
          <w:rFonts w:hint="eastAsia" w:ascii="宋体" w:hAnsi="宋体" w:eastAsia="宋体" w:cs="宋体"/>
          <w:color w:val="auto"/>
          <w:szCs w:val="21"/>
          <w:highlight w:val="none"/>
        </w:rPr>
        <w:t>，同时乙方还应向甲方支付人民币100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000.00元作为违约金。</w:t>
      </w:r>
    </w:p>
    <w:p w14:paraId="42B122C4">
      <w:pPr>
        <w:spacing w:line="360" w:lineRule="auto"/>
        <w:ind w:firstLine="42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en-US"/>
        </w:rPr>
        <w:t xml:space="preserve"> </w:t>
      </w:r>
      <w:r>
        <w:rPr>
          <w:rFonts w:hint="eastAsia" w:ascii="宋体" w:hAnsi="宋体" w:eastAsia="宋体" w:cs="宋体"/>
          <w:color w:val="auto"/>
          <w:szCs w:val="21"/>
          <w:highlight w:val="none"/>
          <w:lang w:val="en-US" w:eastAsia="zh-CN"/>
        </w:rPr>
        <w:t>物业管理带教服务结果</w:t>
      </w:r>
      <w:r>
        <w:rPr>
          <w:rFonts w:hint="eastAsia" w:ascii="宋体" w:hAnsi="宋体" w:eastAsia="宋体" w:cs="宋体"/>
          <w:color w:val="auto"/>
          <w:szCs w:val="21"/>
          <w:highlight w:val="none"/>
        </w:rPr>
        <w:t>考核得分＜</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0分的，甲方无需支付</w:t>
      </w:r>
      <w:r>
        <w:rPr>
          <w:rFonts w:hint="eastAsia" w:ascii="宋体" w:hAnsi="宋体" w:eastAsia="宋体" w:cs="宋体"/>
          <w:color w:val="auto"/>
          <w:szCs w:val="21"/>
          <w:highlight w:val="none"/>
          <w:lang w:val="en-US" w:eastAsia="zh-CN"/>
        </w:rPr>
        <w:t>当期物业管理带教服务费用</w:t>
      </w:r>
      <w:r>
        <w:rPr>
          <w:rFonts w:hint="eastAsia" w:ascii="宋体" w:hAnsi="宋体" w:eastAsia="宋体" w:cs="宋体"/>
          <w:color w:val="auto"/>
          <w:szCs w:val="21"/>
          <w:highlight w:val="none"/>
        </w:rPr>
        <w:t>，同时乙方还应向甲方支付人民币</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000.00元作为违约金。</w:t>
      </w:r>
    </w:p>
    <w:p w14:paraId="4D441D2D">
      <w:pPr>
        <w:spacing w:line="360" w:lineRule="auto"/>
        <w:ind w:firstLine="42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en-US"/>
        </w:rPr>
        <w:t xml:space="preserve"> </w:t>
      </w:r>
      <w:r>
        <w:rPr>
          <w:rFonts w:hint="eastAsia" w:ascii="宋体" w:hAnsi="宋体" w:eastAsia="宋体" w:cs="宋体"/>
          <w:color w:val="auto"/>
          <w:szCs w:val="21"/>
          <w:highlight w:val="none"/>
          <w:lang w:val="en-US" w:eastAsia="zh-CN"/>
        </w:rPr>
        <w:t>物业管理运营</w:t>
      </w:r>
      <w:r>
        <w:rPr>
          <w:rFonts w:hint="eastAsia" w:ascii="宋体" w:hAnsi="宋体" w:eastAsia="宋体" w:cs="宋体"/>
          <w:color w:val="auto"/>
          <w:szCs w:val="21"/>
          <w:highlight w:val="none"/>
          <w:lang w:val="en-US"/>
        </w:rPr>
        <w:t>服务考核得分＜60分</w:t>
      </w:r>
      <w:r>
        <w:rPr>
          <w:rFonts w:hint="eastAsia" w:ascii="宋体" w:hAnsi="宋体" w:eastAsia="宋体" w:cs="宋体"/>
          <w:color w:val="auto"/>
          <w:szCs w:val="21"/>
          <w:highlight w:val="none"/>
          <w:lang w:val="en-US" w:eastAsia="zh-CN"/>
        </w:rPr>
        <w:t>的，甲方无需支付考核对应月份物业管理运营服务费用，同时乙方还应向甲方支付人民币</w:t>
      </w:r>
      <w:r>
        <w:rPr>
          <w:rFonts w:hint="eastAsia" w:ascii="宋体" w:hAnsi="宋体" w:eastAsia="宋体" w:cs="宋体"/>
          <w:color w:val="auto"/>
          <w:szCs w:val="21"/>
          <w:highlight w:val="none"/>
        </w:rPr>
        <w:t>100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000.00元作为违约金</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12个月内累计3次70≤考核总得分＜80分或6个月内累计2次60≤考核总得分＜70分的</w:t>
      </w:r>
      <w:r>
        <w:rPr>
          <w:rFonts w:hint="eastAsia" w:ascii="宋体" w:hAnsi="宋体" w:eastAsia="宋体" w:cs="宋体"/>
          <w:color w:val="auto"/>
          <w:szCs w:val="21"/>
          <w:highlight w:val="none"/>
          <w:lang w:val="en-US"/>
        </w:rPr>
        <w:t>，甲方有权单方解除合同，且不承担任何违约责任</w:t>
      </w:r>
      <w:r>
        <w:rPr>
          <w:rFonts w:hint="eastAsia" w:ascii="宋体" w:hAnsi="宋体" w:eastAsia="宋体" w:cs="宋体"/>
          <w:color w:val="auto"/>
          <w:szCs w:val="21"/>
          <w:highlight w:val="none"/>
          <w:lang w:val="en-US" w:eastAsia="zh-CN"/>
        </w:rPr>
        <w:t>，同时乙方还应向甲方支付人民币3</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000.00元作为违约金</w:t>
      </w:r>
      <w:r>
        <w:rPr>
          <w:rFonts w:hint="eastAsia" w:ascii="宋体" w:hAnsi="宋体" w:eastAsia="宋体" w:cs="宋体"/>
          <w:color w:val="auto"/>
          <w:szCs w:val="21"/>
          <w:highlight w:val="none"/>
          <w:lang w:val="en-US"/>
        </w:rPr>
        <w:t>。</w:t>
      </w:r>
    </w:p>
    <w:p w14:paraId="0BBB12D9">
      <w:pPr>
        <w:pStyle w:val="53"/>
        <w:spacing w:line="360" w:lineRule="auto"/>
        <w:ind w:left="0" w:firstLine="42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8.</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en-US"/>
        </w:rPr>
        <w:t xml:space="preserve"> 乙方应积极对乙方服务人员进行廉洁宣传工作、预防职务犯罪等，乙方服务人员存在廉洁问题、职务犯罪的，一经核实，乙方应在甲方限定时间内与该服务人员依法解除劳动合同，并向甲方支付人民币100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rPr>
        <w:t>000.00元/次作为违约金</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本款违约金最高不超过</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违约金不足以弥补甲方损失的，乙方还应予以补足。</w:t>
      </w:r>
    </w:p>
    <w:p w14:paraId="648E564F">
      <w:pPr>
        <w:pStyle w:val="53"/>
        <w:spacing w:line="360" w:lineRule="auto"/>
        <w:ind w:left="0" w:firstLine="42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8.</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en-US"/>
        </w:rPr>
        <w:t xml:space="preserve"> 乙方未按合同或甲方要求制定应急预案及定期演练的，乙方应向甲方支付人民币10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rPr>
        <w:t>000.00元/次作为违约金</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本款违约金最高不超过</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违约金不足以弥补甲方经济损失的，乙方还应予以补足</w:t>
      </w:r>
      <w:r>
        <w:rPr>
          <w:rFonts w:hint="eastAsia" w:ascii="宋体" w:hAnsi="宋体" w:eastAsia="宋体" w:cs="宋体"/>
          <w:color w:val="auto"/>
          <w:szCs w:val="21"/>
          <w:highlight w:val="none"/>
          <w:lang w:val="en-US"/>
        </w:rPr>
        <w:t>。</w:t>
      </w:r>
    </w:p>
    <w:p w14:paraId="1AA93D0F">
      <w:pPr>
        <w:pStyle w:val="53"/>
        <w:spacing w:line="360" w:lineRule="auto"/>
        <w:ind w:left="0" w:firstLine="42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8.</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en-US"/>
        </w:rPr>
        <w:t xml:space="preserve"> 乙方存在弄虚作假、虚报运营项目及运营费用、擅自提高收费标准、扩大收费范围、重复收费等不良行为的，乙方应向甲方支付人民币100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rPr>
        <w:t>000.00元/次作为违约金，累计满3次的，乙方除了须向甲方支付人民币300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rPr>
        <w:t>000.00元的违约金外，同时甲方有权单方解除合同且不承担任何违约责任，</w:t>
      </w:r>
      <w:r>
        <w:rPr>
          <w:rFonts w:hint="eastAsia" w:ascii="宋体" w:hAnsi="宋体" w:eastAsia="宋体" w:cs="宋体"/>
          <w:color w:val="auto"/>
          <w:szCs w:val="21"/>
          <w:highlight w:val="none"/>
        </w:rPr>
        <w:t>若违约金不足以弥补甲方损失的，乙方还应予以补足。</w:t>
      </w:r>
    </w:p>
    <w:p w14:paraId="41C80640">
      <w:pPr>
        <w:pStyle w:val="53"/>
        <w:spacing w:line="360" w:lineRule="auto"/>
        <w:ind w:left="0"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en-US"/>
        </w:rPr>
        <w:t xml:space="preserve"> </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val="en-US"/>
        </w:rPr>
        <w:t>应按投标时承诺的项目负责人投入本项目，</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val="en-US"/>
        </w:rPr>
        <w:t>合同履约</w:t>
      </w:r>
      <w:r>
        <w:rPr>
          <w:rFonts w:hint="eastAsia" w:ascii="宋体" w:hAnsi="宋体" w:eastAsia="宋体" w:cs="宋体"/>
          <w:color w:val="auto"/>
          <w:szCs w:val="21"/>
          <w:highlight w:val="none"/>
        </w:rPr>
        <w:t>过程中不可无故</w:t>
      </w:r>
      <w:r>
        <w:rPr>
          <w:rFonts w:hint="eastAsia" w:ascii="宋体" w:hAnsi="宋体" w:eastAsia="宋体" w:cs="宋体"/>
          <w:color w:val="auto"/>
          <w:szCs w:val="21"/>
          <w:highlight w:val="none"/>
          <w:lang w:val="en-US"/>
        </w:rPr>
        <w:t>更换</w:t>
      </w:r>
      <w:r>
        <w:rPr>
          <w:rFonts w:hint="eastAsia" w:ascii="宋体" w:hAnsi="宋体" w:eastAsia="宋体" w:cs="宋体"/>
          <w:color w:val="auto"/>
          <w:szCs w:val="21"/>
          <w:highlight w:val="none"/>
        </w:rPr>
        <w:t>项目负责人，如确实需要</w:t>
      </w:r>
      <w:r>
        <w:rPr>
          <w:rFonts w:hint="eastAsia" w:ascii="宋体" w:hAnsi="宋体" w:eastAsia="宋体" w:cs="宋体"/>
          <w:color w:val="auto"/>
          <w:szCs w:val="21"/>
          <w:highlight w:val="none"/>
          <w:lang w:val="en-US"/>
        </w:rPr>
        <w:t>更换</w:t>
      </w:r>
      <w:r>
        <w:rPr>
          <w:rFonts w:hint="eastAsia" w:ascii="宋体" w:hAnsi="宋体" w:eastAsia="宋体" w:cs="宋体"/>
          <w:color w:val="auto"/>
          <w:szCs w:val="21"/>
          <w:highlight w:val="none"/>
        </w:rPr>
        <w:t>，乙方应提前1个月向甲方提出</w:t>
      </w:r>
      <w:r>
        <w:rPr>
          <w:rFonts w:hint="eastAsia" w:ascii="宋体" w:hAnsi="宋体" w:eastAsia="宋体" w:cs="宋体"/>
          <w:color w:val="auto"/>
          <w:szCs w:val="21"/>
          <w:highlight w:val="none"/>
          <w:lang w:val="en-US"/>
        </w:rPr>
        <w:t>书面申请（申请应明确更换的理由，继任人员的资格、职称、经历经验及简历等资料）</w:t>
      </w:r>
      <w:r>
        <w:rPr>
          <w:rFonts w:hint="eastAsia" w:ascii="宋体" w:hAnsi="宋体" w:eastAsia="宋体" w:cs="宋体"/>
          <w:color w:val="auto"/>
          <w:szCs w:val="21"/>
          <w:highlight w:val="none"/>
        </w:rPr>
        <w:t>，经甲方</w:t>
      </w:r>
      <w:r>
        <w:rPr>
          <w:rFonts w:hint="eastAsia" w:ascii="宋体" w:hAnsi="宋体" w:eastAsia="宋体" w:cs="宋体"/>
          <w:color w:val="auto"/>
          <w:szCs w:val="21"/>
          <w:highlight w:val="none"/>
          <w:lang w:val="en-US"/>
        </w:rPr>
        <w:t>书面</w:t>
      </w:r>
      <w:r>
        <w:rPr>
          <w:rFonts w:hint="eastAsia" w:ascii="宋体" w:hAnsi="宋体" w:eastAsia="宋体" w:cs="宋体"/>
          <w:color w:val="auto"/>
          <w:szCs w:val="21"/>
          <w:highlight w:val="none"/>
        </w:rPr>
        <w:t>同意后方可</w:t>
      </w:r>
      <w:r>
        <w:rPr>
          <w:rFonts w:hint="eastAsia" w:ascii="宋体" w:hAnsi="宋体" w:eastAsia="宋体" w:cs="宋体"/>
          <w:color w:val="auto"/>
          <w:szCs w:val="21"/>
          <w:highlight w:val="none"/>
          <w:lang w:val="en-US"/>
        </w:rPr>
        <w:t>更换</w:t>
      </w:r>
      <w:r>
        <w:rPr>
          <w:rFonts w:hint="eastAsia" w:ascii="宋体" w:hAnsi="宋体" w:eastAsia="宋体" w:cs="宋体"/>
          <w:color w:val="auto"/>
          <w:szCs w:val="21"/>
          <w:highlight w:val="none"/>
        </w:rPr>
        <w:t>，同时，</w:t>
      </w:r>
      <w:r>
        <w:rPr>
          <w:rFonts w:hint="eastAsia" w:ascii="宋体" w:hAnsi="宋体" w:eastAsia="宋体" w:cs="宋体"/>
          <w:color w:val="auto"/>
          <w:szCs w:val="21"/>
          <w:highlight w:val="none"/>
          <w:lang w:val="en-US"/>
        </w:rPr>
        <w:t>该等更换视为乙方违约，</w:t>
      </w:r>
      <w:r>
        <w:rPr>
          <w:rFonts w:hint="eastAsia" w:ascii="宋体" w:hAnsi="宋体" w:eastAsia="宋体" w:cs="宋体"/>
          <w:color w:val="auto"/>
          <w:szCs w:val="21"/>
          <w:highlight w:val="none"/>
        </w:rPr>
        <w:t>乙方应支付甲方</w:t>
      </w:r>
      <w:r>
        <w:rPr>
          <w:rFonts w:hint="eastAsia" w:ascii="宋体" w:hAnsi="宋体" w:eastAsia="宋体" w:cs="宋体"/>
          <w:color w:val="auto"/>
          <w:szCs w:val="21"/>
          <w:highlight w:val="none"/>
          <w:lang w:val="en-US"/>
        </w:rPr>
        <w:t>人民币150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rPr>
        <w:t>000.00</w:t>
      </w:r>
      <w:r>
        <w:rPr>
          <w:rFonts w:hint="eastAsia" w:ascii="宋体" w:hAnsi="宋体" w:eastAsia="宋体" w:cs="宋体"/>
          <w:color w:val="auto"/>
          <w:szCs w:val="21"/>
          <w:highlight w:val="none"/>
        </w:rPr>
        <w:t>元/次</w:t>
      </w:r>
      <w:r>
        <w:rPr>
          <w:rFonts w:hint="eastAsia" w:ascii="宋体" w:hAnsi="宋体" w:eastAsia="宋体" w:cs="宋体"/>
          <w:color w:val="auto"/>
          <w:szCs w:val="21"/>
          <w:highlight w:val="none"/>
          <w:lang w:val="en-US"/>
        </w:rPr>
        <w:t>作为</w:t>
      </w:r>
      <w:r>
        <w:rPr>
          <w:rFonts w:hint="eastAsia" w:ascii="宋体" w:hAnsi="宋体" w:eastAsia="宋体" w:cs="宋体"/>
          <w:color w:val="auto"/>
          <w:szCs w:val="21"/>
          <w:highlight w:val="none"/>
        </w:rPr>
        <w:t>违约</w:t>
      </w:r>
      <w:r>
        <w:rPr>
          <w:rFonts w:hint="eastAsia" w:ascii="宋体" w:hAnsi="宋体" w:eastAsia="宋体" w:cs="宋体"/>
          <w:color w:val="auto"/>
          <w:szCs w:val="21"/>
          <w:highlight w:val="none"/>
          <w:lang w:val="en-US"/>
        </w:rPr>
        <w:t>金</w:t>
      </w:r>
      <w:r>
        <w:rPr>
          <w:rFonts w:hint="eastAsia" w:ascii="宋体" w:hAnsi="宋体" w:eastAsia="宋体" w:cs="宋体"/>
          <w:color w:val="auto"/>
          <w:szCs w:val="21"/>
          <w:highlight w:val="none"/>
        </w:rPr>
        <w:t>；如乙方一年内连续两次更换项目负责人，</w:t>
      </w:r>
      <w:r>
        <w:rPr>
          <w:rFonts w:hint="eastAsia" w:ascii="宋体" w:hAnsi="宋体" w:eastAsia="宋体" w:cs="宋体"/>
          <w:color w:val="auto"/>
          <w:szCs w:val="21"/>
          <w:highlight w:val="none"/>
          <w:lang w:val="en-US"/>
        </w:rPr>
        <w:t>第三次更换时，甲方有权单方解除合同且不承担任何违约责任，</w:t>
      </w:r>
      <w:r>
        <w:rPr>
          <w:rFonts w:hint="eastAsia" w:ascii="宋体" w:hAnsi="宋体" w:eastAsia="宋体" w:cs="宋体"/>
          <w:color w:val="auto"/>
          <w:szCs w:val="21"/>
          <w:highlight w:val="none"/>
        </w:rPr>
        <w:t>乙方还应向甲方支付</w:t>
      </w:r>
      <w:r>
        <w:rPr>
          <w:rFonts w:hint="eastAsia" w:ascii="宋体" w:hAnsi="宋体" w:eastAsia="宋体" w:cs="宋体"/>
          <w:color w:val="auto"/>
          <w:szCs w:val="21"/>
          <w:highlight w:val="none"/>
          <w:lang w:val="en-US"/>
        </w:rPr>
        <w:t>人民币300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rPr>
        <w:t>000.00元</w:t>
      </w:r>
      <w:r>
        <w:rPr>
          <w:rFonts w:hint="eastAsia" w:ascii="宋体" w:hAnsi="宋体" w:eastAsia="宋体" w:cs="宋体"/>
          <w:color w:val="auto"/>
          <w:szCs w:val="21"/>
          <w:highlight w:val="none"/>
        </w:rPr>
        <w:t>作为违约金；违约金不足以弥补乙方因此给甲方所造成的损失的，乙方还应当予以补足。因上述人员辞职、死亡、重大疾病导致不能履行职责的或业主要求撤换的除外。</w:t>
      </w:r>
    </w:p>
    <w:p w14:paraId="001B9478">
      <w:pPr>
        <w:pStyle w:val="53"/>
        <w:spacing w:line="360" w:lineRule="auto"/>
        <w:ind w:left="0"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8.1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en-US"/>
        </w:rPr>
        <w:t xml:space="preserve"> 乙方更换派驻本项目的其他服务人员，应提前7天向甲方提出书面申请，经甲方同意后方可更换，乙方应以相当资格、能力与经验的人员替换，否则视为乙方违约，乙方应向甲方支付人民币100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rPr>
        <w:t>000.00元</w:t>
      </w:r>
      <w:r>
        <w:rPr>
          <w:rFonts w:hint="eastAsia" w:ascii="宋体" w:hAnsi="宋体" w:eastAsia="宋体" w:cs="宋体"/>
          <w:color w:val="auto"/>
          <w:szCs w:val="21"/>
          <w:highlight w:val="none"/>
        </w:rPr>
        <w:t>/次作为违约金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本款违约金最高不超过</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违约金不足以弥补乙方因此给甲方所造成的损失的，乙方还应当予以补足。</w:t>
      </w:r>
    </w:p>
    <w:p w14:paraId="5A54975F">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乙方应严格执行乙方投标报价中的</w:t>
      </w:r>
      <w:r>
        <w:rPr>
          <w:rFonts w:hint="eastAsia" w:ascii="宋体" w:hAnsi="宋体" w:eastAsia="宋体" w:cs="宋体"/>
          <w:color w:val="auto"/>
          <w:szCs w:val="21"/>
          <w:highlight w:val="none"/>
          <w:lang w:val="en-US" w:eastAsia="zh-CN"/>
        </w:rPr>
        <w:t>物业管理</w:t>
      </w:r>
      <w:r>
        <w:rPr>
          <w:rFonts w:hint="eastAsia" w:ascii="宋体" w:hAnsi="宋体" w:eastAsia="宋体" w:cs="宋体"/>
          <w:color w:val="auto"/>
          <w:szCs w:val="21"/>
          <w:highlight w:val="none"/>
        </w:rPr>
        <w:t>运营</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费用各项单价和总价最高限额控制日常运营费用支出，如实际运营</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费用各项（不含销项税额）单价和（不含销项税额）总价（含乙方委外实施的分包项目费用）超过分项明细表的最高限额，甲方有权拒绝相关费用的支付并要求乙方整改，如乙方整改无效或拒绝整改或因乙方的投标报价明显低于市场/行业平均价导致无法整改或整改后的服务质量达不到甲方的服务要求的，甲方有权单方解除合同，乙方还应向甲方支付人民币</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000.00元/次作为违约金，违约金不足以弥补甲方损失（包括但不限于采购第三方单位、委托第三方单位的价差）的，乙方还应当予以补足。因国家政策或临时突发事项导致的情况除外。</w:t>
      </w:r>
    </w:p>
    <w:p w14:paraId="2FBF2EE2">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乙方违反约定将合同项下乙方的权利义务全部转让给第三方，或未经甲方书面同意将部分权利义务转让给第三方的，甲方有权要求乙方支付人民币300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次作为违约金，并有权单方解除合同，若违约金不足以弥补由此给甲方造成损失的，乙方还应当予以补足。如因乙方将乙方本合同项下全部/部分权利义务转让给第三方导致安全事故或人身损害事故的，造成甲方其他损失的或甲方被认定承担赔偿责任的，甲方有权向乙方追偿。</w:t>
      </w:r>
    </w:p>
    <w:p w14:paraId="437CA137">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乙方不配合甲方进行财务报表及资料的检查，或在甲方提出的时间内未完整提供相关报表、资料，拒绝、拖延或隐藏资料的，甲方有权要求乙方向甲方支付</w:t>
      </w:r>
      <w:r>
        <w:rPr>
          <w:rFonts w:hint="eastAsia" w:ascii="宋体" w:hAnsi="宋体" w:eastAsia="宋体" w:cs="宋体"/>
          <w:color w:val="auto"/>
          <w:szCs w:val="21"/>
          <w:highlight w:val="none"/>
        </w:rPr>
        <w:t>人民币100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000.00元/次作为违约金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本款违约金最高不超过</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w:t>
      </w:r>
    </w:p>
    <w:p w14:paraId="76371301">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8.16 </w:t>
      </w:r>
      <w:r>
        <w:rPr>
          <w:rFonts w:hint="eastAsia" w:ascii="宋体" w:hAnsi="宋体" w:eastAsia="宋体" w:cs="宋体"/>
          <w:color w:val="auto"/>
          <w:szCs w:val="21"/>
          <w:highlight w:val="none"/>
        </w:rPr>
        <w:t>乙方未经甲方书面同意私自擅自占用本物业的公用设施或改变使用功能，且未报有关部门批准私自实施的，乙方应向甲方支付人民币100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000.00元/次作为违约金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本款违约金最高不超过</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000.00元，并按甲方要求的期限恢复原状，若违约金不足以弥补甲方损失的，乙方还应当予以补足。</w:t>
      </w:r>
    </w:p>
    <w:p w14:paraId="19F669AA">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 xml:space="preserve"> 因乙方维护维修不及时或错误维护维修导致甲方物业设施设备损坏的，由乙方承担维护维修所有费用并负责维护维修至正常使用状态，因损坏严重导致无法维修的，乙方应购买同款设施设备或不低于原设施设备进行赔偿，且乙方还应向甲方支付人民币100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000.00元/次作为违约金，</w:t>
      </w:r>
      <w:r>
        <w:rPr>
          <w:rFonts w:hint="eastAsia" w:ascii="宋体" w:hAnsi="宋体" w:eastAsia="宋体" w:cs="宋体"/>
          <w:color w:val="auto"/>
          <w:szCs w:val="21"/>
          <w:highlight w:val="none"/>
          <w:lang w:val="en-US" w:eastAsia="zh-CN"/>
        </w:rPr>
        <w:t>本款违约金最高不超过</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违约金不足以弥补甲方损失的，乙方还应当予以补足。</w:t>
      </w:r>
    </w:p>
    <w:p w14:paraId="3E2350EB">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 xml:space="preserve"> 乙方</w:t>
      </w:r>
      <w:r>
        <w:rPr>
          <w:rFonts w:hint="eastAsia" w:ascii="宋体" w:hAnsi="宋体" w:eastAsia="宋体" w:cs="宋体"/>
          <w:color w:val="auto"/>
          <w:szCs w:val="21"/>
          <w:highlight w:val="none"/>
          <w:lang w:val="en-US" w:eastAsia="zh-CN"/>
        </w:rPr>
        <w:t>在本合同服务期限届满前3</w:t>
      </w:r>
      <w:r>
        <w:rPr>
          <w:rFonts w:hint="eastAsia" w:ascii="宋体" w:hAnsi="宋体" w:eastAsia="宋体" w:cs="宋体"/>
          <w:color w:val="auto"/>
          <w:szCs w:val="21"/>
          <w:highlight w:val="none"/>
        </w:rPr>
        <w:t>0日内，拒不按合同约定向甲方移交资料、移交资料不齐全或伪造资料的，经甲方书面通知移交期限后仍拒绝移交或以任何理由未按甲方要求完成移交的，乙方应向甲方支付人民币</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000.00元作为违约金，违约金不足以弥补甲方损失的，乙方还应当予以补足。</w:t>
      </w:r>
    </w:p>
    <w:p w14:paraId="156C5DEA">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 xml:space="preserve"> 合同期满，乙方以任何理由拒不退出物业管理区域的，甲方无须向乙方支付物业管理服务</w:t>
      </w:r>
      <w:r>
        <w:rPr>
          <w:rFonts w:hint="eastAsia" w:ascii="宋体" w:hAnsi="宋体" w:eastAsia="宋体" w:cs="宋体"/>
          <w:color w:val="auto"/>
          <w:szCs w:val="21"/>
          <w:highlight w:val="none"/>
          <w:lang w:val="en-US" w:eastAsia="zh-CN"/>
        </w:rPr>
        <w:t>费用</w:t>
      </w:r>
      <w:r>
        <w:rPr>
          <w:rFonts w:hint="eastAsia" w:ascii="宋体" w:hAnsi="宋体" w:eastAsia="宋体" w:cs="宋体"/>
          <w:color w:val="auto"/>
          <w:szCs w:val="21"/>
          <w:highlight w:val="none"/>
        </w:rPr>
        <w:t>、人工费用等相关费用，乙方应按10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000.00元/天向甲方支付违约金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本款违约金最高不超过</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w:t>
      </w:r>
    </w:p>
    <w:p w14:paraId="4B83EE83">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 xml:space="preserve"> 合同履行过程中，乙方应依法妥善处置劳动关系归属乙方的劳动人员，因乙方未依法妥善处置劳动关系归属乙方的劳动人员导致劳动人员上访或出现其他给甲方造成负面影响的行为，乙方应积极消除负面影响，由此导致甲方的任何经济损失均由乙方全额承担，甲方先行垫付的有权向乙方全额追偿。</w:t>
      </w:r>
    </w:p>
    <w:p w14:paraId="084CD3E6">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xml:space="preserve"> 因乙方管理不善、失误或其他原因导致主管部门批评、通报、媒体曝光或物业使用人在主流网站（包括但不限于东莞阳光网、今日头条、东莞日报、阳光热线问政平台等）进行有效投诉等对甲方造成负面影响的，乙方应积极消除负面影响，由此导致甲方的任何经济损失均由乙方全额承担，甲方先行垫付的有权向乙方全额追偿。</w:t>
      </w:r>
    </w:p>
    <w:p w14:paraId="4CC663EA">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乙方未在进驻本项目3天内全数如实投入投标时承诺自愿免费投入本项目使用的设备及软件或以任何理由拖延或拒绝的，甲方有权要求乙方限期内全数如实投入使用，否则乙方应按10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000.00元/天向甲方支付违约金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本款违约金最高不超过</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w:t>
      </w:r>
    </w:p>
    <w:p w14:paraId="56585E22">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因乙方违反本合同约定产生的违约金、赔偿金或其他应付费用等款项的，甲方有权在未付合同款或履约担保中直接扣除，如造成甲方损失，且实际损失高于违约金的，甲方有权另行追偿</w:t>
      </w:r>
      <w:r>
        <w:rPr>
          <w:rFonts w:hint="eastAsia" w:ascii="宋体" w:hAnsi="宋体" w:eastAsia="宋体" w:cs="宋体"/>
          <w:color w:val="auto"/>
          <w:szCs w:val="21"/>
          <w:highlight w:val="none"/>
        </w:rPr>
        <w:t>。</w:t>
      </w:r>
    </w:p>
    <w:p w14:paraId="4411D08E">
      <w:pPr>
        <w:spacing w:line="360"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8.24 如因乙方原因，引起法律纠纷案件，</w:t>
      </w:r>
      <w:r>
        <w:rPr>
          <w:rFonts w:hint="eastAsia" w:ascii="宋体" w:hAnsi="宋体" w:eastAsia="宋体" w:cs="宋体"/>
          <w:color w:val="auto"/>
          <w:sz w:val="21"/>
          <w:szCs w:val="21"/>
          <w:highlight w:val="none"/>
        </w:rPr>
        <w:t>并导致</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 w:val="21"/>
          <w:szCs w:val="21"/>
          <w:highlight w:val="none"/>
        </w:rPr>
        <w:t>被牵涉其中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成为需承担法律责任的诉讼参与方</w:t>
      </w:r>
      <w:r>
        <w:rPr>
          <w:rFonts w:hint="eastAsia" w:ascii="宋体" w:hAnsi="宋体" w:eastAsia="宋体" w:cs="宋体"/>
          <w:color w:val="auto"/>
          <w:szCs w:val="21"/>
          <w:highlight w:val="none"/>
          <w:lang w:val="en-US" w:eastAsia="zh-CN"/>
        </w:rPr>
        <w:t>（第三人或被告），或</w:t>
      </w:r>
      <w:r>
        <w:rPr>
          <w:rFonts w:hint="eastAsia" w:ascii="宋体" w:hAnsi="宋体" w:eastAsia="宋体" w:cs="宋体"/>
          <w:color w:val="auto"/>
          <w:sz w:val="21"/>
          <w:szCs w:val="21"/>
          <w:highlight w:val="none"/>
          <w:lang w:val="en-US" w:eastAsia="zh-CN"/>
        </w:rPr>
        <w:t>因法律纠纷对甲方</w:t>
      </w:r>
      <w:r>
        <w:rPr>
          <w:rFonts w:hint="eastAsia" w:ascii="宋体" w:hAnsi="宋体" w:eastAsia="宋体" w:cs="宋体"/>
          <w:color w:val="auto"/>
          <w:szCs w:val="21"/>
          <w:highlight w:val="none"/>
          <w:lang w:val="en-US" w:eastAsia="zh-CN"/>
        </w:rPr>
        <w:t>造成社会负面影响的，视为乙方违约，即甲方有权要求乙方向甲方支付人民币</w:t>
      </w:r>
      <w:r>
        <w:rPr>
          <w:rFonts w:hint="eastAsia" w:ascii="宋体" w:hAnsi="宋体" w:eastAsia="宋体" w:cs="宋体"/>
          <w:color w:val="auto"/>
          <w:szCs w:val="21"/>
          <w:highlight w:val="none"/>
        </w:rPr>
        <w:t>300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违约金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如造成甲方经济损失的（包括但不限于律师费、诉讼费、保全费、执行费、差旅费等损失），由乙方赔偿所有损失，并将相关情况报相关行政主管部门。甲方收到法院参与诉讼通知之日视为乙方构成违约，甲方即要求乙方承担前述违约金、损失赔偿的违约责任，即使甲方最终未被法院判决承担任何责任，乙方也无权要求甲方免除前述违约责任。</w:t>
      </w:r>
    </w:p>
    <w:p w14:paraId="2B23F103">
      <w:pPr>
        <w:spacing w:line="360"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8.25 乙方确认，乙方员工或劳务、安全事故、环境事件等引致的付款请求或其他权利主张，由乙方负责承担和处理。如因乙方原因导致甲方被列为承担连带责任方或被上访单位，而相关生效判决/裁决判定甲方需向相关人员承担责任或甲方基于维稳等原因导致甲方必须支付相关费用的，甲方在支付相关费用后有权从乙方的应付合同款中直接抵扣。无论甲方是否承担连带责任或代为乙方支付相关费用，甲方因此发生的诉讼费、鉴定评估费、律师费、出具银行保函产生的费用、垫付款项利息损失（如有，则按人民银行同期贷款利率LPR的4倍计算）等全部损失，均由乙方承担。</w:t>
      </w:r>
    </w:p>
    <w:p w14:paraId="5A853714">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若乙方发生本合同规定之外的任何违</w:t>
      </w:r>
      <w:r>
        <w:rPr>
          <w:rFonts w:hint="eastAsia" w:ascii="宋体" w:hAnsi="宋体" w:eastAsia="宋体" w:cs="宋体"/>
          <w:color w:val="auto"/>
          <w:szCs w:val="21"/>
          <w:highlight w:val="none"/>
          <w:lang w:val="en-US" w:eastAsia="zh-CN"/>
        </w:rPr>
        <w:t>约</w:t>
      </w:r>
      <w:r>
        <w:rPr>
          <w:rFonts w:hint="eastAsia" w:ascii="宋体" w:hAnsi="宋体" w:eastAsia="宋体" w:cs="宋体"/>
          <w:color w:val="auto"/>
          <w:szCs w:val="21"/>
          <w:highlight w:val="none"/>
        </w:rPr>
        <w:t>行为，不得解除其在本合同下的任何责任或义务。</w:t>
      </w:r>
    </w:p>
    <w:p w14:paraId="4E75D5F4">
      <w:pPr>
        <w:spacing w:line="360"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8.27 乙方违反本合同第6.2.38条约定，关键岗位人员资格失效且未及时整改的，视为严重违约，甲方有权要求乙方在15个工作日内整改，整改期间暂缓支付当期物业管理运营服务费用。若逾期未整改或整改后仍不符合要求，甲方有权单方解除合同，乙方应向甲方支付人民币3</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w:t>
      </w:r>
      <w:r>
        <w:rPr>
          <w:rFonts w:hint="eastAsia" w:ascii="宋体" w:hAnsi="宋体" w:eastAsia="宋体" w:cs="宋体"/>
          <w:color w:val="auto"/>
          <w:szCs w:val="21"/>
          <w:highlight w:val="none"/>
          <w:lang w:val="en-US" w:eastAsia="zh-CN"/>
        </w:rPr>
        <w:t>元作为违约金。违约金不足以弥补甲方损失的，乙方还应予以补足。</w:t>
      </w:r>
    </w:p>
    <w:p w14:paraId="4E59617E">
      <w:pPr>
        <w:spacing w:line="360" w:lineRule="auto"/>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第九条 保密约定</w:t>
      </w:r>
    </w:p>
    <w:p w14:paraId="097E3E84">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9.1 乙方对在工作过程中接触到的甲方的任何资料、文件、数据（</w:t>
      </w:r>
      <w:r>
        <w:rPr>
          <w:rFonts w:hint="eastAsia" w:ascii="宋体" w:hAnsi="宋体" w:eastAsia="宋体" w:cs="宋体"/>
          <w:color w:val="auto"/>
          <w:szCs w:val="21"/>
          <w:highlight w:val="none"/>
          <w:lang w:val="en-US" w:eastAsia="zh-CN"/>
        </w:rPr>
        <w:t>包括但不限于</w:t>
      </w:r>
      <w:r>
        <w:rPr>
          <w:rFonts w:hint="eastAsia" w:ascii="宋体" w:hAnsi="宋体" w:eastAsia="宋体" w:cs="宋体"/>
          <w:color w:val="auto"/>
          <w:szCs w:val="21"/>
          <w:highlight w:val="none"/>
        </w:rPr>
        <w:t>书面形式</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电子形式），以及对为甲方服务形成的任何交付物，负有为甲方保密的责任。未经甲方书面同意，乙方不得以任何方式向任何第三方提供或透露。</w:t>
      </w:r>
    </w:p>
    <w:p w14:paraId="6208B2D6">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9.2 甲方向乙方提供的任何资料、文件和信息，在乙方服务结束后，乙方均应及时归还甲方，电子文档的应从自己的电脑等存储设备上永久删除。</w:t>
      </w:r>
    </w:p>
    <w:p w14:paraId="5DAD18AA">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9.3 乙方人员若违反上述保密规定，乙方应承担相应法律责任。</w:t>
      </w:r>
    </w:p>
    <w:p w14:paraId="73E82BA6">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9.4 本保密规定不因本合同的解除或终止而失效，直至保密信息被依法公开为止。</w:t>
      </w:r>
    </w:p>
    <w:p w14:paraId="72B13A2F">
      <w:pPr>
        <w:spacing w:line="360" w:lineRule="auto"/>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十</w:t>
      </w:r>
      <w:r>
        <w:rPr>
          <w:rFonts w:hint="eastAsia" w:ascii="宋体" w:hAnsi="宋体" w:eastAsia="宋体" w:cs="宋体"/>
          <w:b/>
          <w:color w:val="auto"/>
          <w:szCs w:val="21"/>
          <w:highlight w:val="none"/>
        </w:rPr>
        <w:t>条 知识产权</w:t>
      </w:r>
    </w:p>
    <w:p w14:paraId="7504EC59">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对本合同产生的所有工作成果享有完全、独立、排他的所有权和知识产权，乙方应保证提供的工作成果不得侵犯任何第三方的专利、商标、版权以及其它权利，一旦甲方因此遭受到任何第三方的索赔、诉讼或任何权利请求，乙方须与第三方交涉并承担由此发生的一切责任、费用和经济赔偿，导致甲方不能使用工作成果的，乙方应退还全部费用，并承担违约责任及赔偿因此给甲方造成的全部损失（包括但不限于律师费、诉讼费、执行费、保全费、公证费、鉴定费）。</w:t>
      </w:r>
    </w:p>
    <w:p w14:paraId="1FBF0921">
      <w:pPr>
        <w:spacing w:line="360" w:lineRule="auto"/>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一</w:t>
      </w:r>
      <w:r>
        <w:rPr>
          <w:rFonts w:hint="eastAsia" w:ascii="宋体" w:hAnsi="宋体" w:eastAsia="宋体" w:cs="宋体"/>
          <w:b/>
          <w:color w:val="auto"/>
          <w:szCs w:val="21"/>
          <w:highlight w:val="none"/>
        </w:rPr>
        <w:t>条 不可抗力</w:t>
      </w:r>
    </w:p>
    <w:p w14:paraId="1087B4D4">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032CBE18">
      <w:pPr>
        <w:spacing w:line="360" w:lineRule="auto"/>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十二</w:t>
      </w:r>
      <w:r>
        <w:rPr>
          <w:rFonts w:hint="eastAsia" w:ascii="宋体" w:hAnsi="宋体" w:eastAsia="宋体" w:cs="宋体"/>
          <w:b/>
          <w:color w:val="auto"/>
          <w:szCs w:val="21"/>
          <w:highlight w:val="none"/>
        </w:rPr>
        <w:t>条 廉政保证</w:t>
      </w:r>
    </w:p>
    <w:p w14:paraId="78ACBD55">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12.1 </w:t>
      </w:r>
      <w:r>
        <w:rPr>
          <w:rFonts w:hint="eastAsia" w:ascii="宋体" w:hAnsi="宋体" w:eastAsia="宋体" w:cs="宋体"/>
          <w:color w:val="auto"/>
          <w:szCs w:val="21"/>
          <w:highlight w:val="none"/>
        </w:rPr>
        <w:t>乙方应确保其以及其指定的第三方、其自身所有雇员等在本合同履行期间，应遵守甲方的各项政策和制度。甲方应当</w:t>
      </w:r>
      <w:r>
        <w:rPr>
          <w:rFonts w:hint="eastAsia" w:ascii="宋体" w:hAnsi="宋体" w:eastAsia="宋体" w:cs="宋体"/>
          <w:color w:val="auto"/>
          <w:szCs w:val="21"/>
          <w:highlight w:val="none"/>
          <w:lang w:val="en-US" w:eastAsia="zh-CN"/>
        </w:rPr>
        <w:t>限</w:t>
      </w:r>
      <w:r>
        <w:rPr>
          <w:rFonts w:hint="eastAsia" w:ascii="宋体" w:hAnsi="宋体" w:eastAsia="宋体" w:cs="宋体"/>
          <w:color w:val="auto"/>
          <w:szCs w:val="21"/>
          <w:highlight w:val="none"/>
        </w:rPr>
        <w:t>制乙方代表和雇员在甲方办公区域进出，</w:t>
      </w:r>
      <w:r>
        <w:rPr>
          <w:rFonts w:hint="eastAsia" w:ascii="宋体" w:hAnsi="宋体" w:eastAsia="宋体" w:cs="宋体"/>
          <w:color w:val="auto"/>
          <w:szCs w:val="21"/>
          <w:highlight w:val="none"/>
          <w:lang w:val="en-US" w:eastAsia="zh-CN"/>
        </w:rPr>
        <w:t>乙方应始终遵守</w:t>
      </w:r>
      <w:r>
        <w:rPr>
          <w:rFonts w:hint="eastAsia" w:ascii="宋体" w:hAnsi="宋体" w:eastAsia="宋体" w:cs="宋体"/>
          <w:color w:val="auto"/>
          <w:szCs w:val="21"/>
          <w:highlight w:val="none"/>
        </w:rPr>
        <w:t xml:space="preserve">甲方对于现场的人员进出及员工管理方面的要求。 </w:t>
      </w:r>
    </w:p>
    <w:p w14:paraId="78B2BEBD">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12.2 </w:t>
      </w:r>
      <w:r>
        <w:rPr>
          <w:rFonts w:hint="eastAsia" w:ascii="宋体" w:hAnsi="宋体" w:eastAsia="宋体" w:cs="宋体"/>
          <w:color w:val="auto"/>
          <w:szCs w:val="21"/>
          <w:highlight w:val="none"/>
        </w:rPr>
        <w:t>乙方同意在</w:t>
      </w:r>
      <w:r>
        <w:rPr>
          <w:rFonts w:hint="eastAsia" w:ascii="宋体" w:hAnsi="宋体" w:eastAsia="宋体" w:cs="宋体"/>
          <w:color w:val="auto"/>
          <w:szCs w:val="21"/>
          <w:highlight w:val="none"/>
          <w:lang w:val="en-US" w:eastAsia="zh-CN"/>
        </w:rPr>
        <w:t>合同</w:t>
      </w:r>
      <w:r>
        <w:rPr>
          <w:rFonts w:hint="eastAsia" w:ascii="宋体" w:hAnsi="宋体" w:eastAsia="宋体" w:cs="宋体"/>
          <w:color w:val="auto"/>
          <w:szCs w:val="21"/>
          <w:highlight w:val="none"/>
        </w:rPr>
        <w:t>履行期间，遵守各项法律，特别是任何及所有反贿赂反腐败方面的法律。未经甲方事先</w:t>
      </w:r>
      <w:r>
        <w:rPr>
          <w:rFonts w:hint="eastAsia" w:ascii="宋体" w:hAnsi="宋体" w:eastAsia="宋体" w:cs="宋体"/>
          <w:color w:val="auto"/>
          <w:szCs w:val="21"/>
          <w:highlight w:val="none"/>
          <w:lang w:val="en-US" w:eastAsia="zh-CN"/>
        </w:rPr>
        <w:t>书面</w:t>
      </w:r>
      <w:r>
        <w:rPr>
          <w:rFonts w:hint="eastAsia" w:ascii="宋体" w:hAnsi="宋体" w:eastAsia="宋体" w:cs="宋体"/>
          <w:color w:val="auto"/>
          <w:szCs w:val="21"/>
          <w:highlight w:val="none"/>
        </w:rPr>
        <w:t>授权，乙方应确保其以及其指定的第三方、其自身所有雇员等均不得向与本项目相关的任何个人、政府或单位支付任何款项，也不得提供任何形式的便利、利益。</w:t>
      </w:r>
    </w:p>
    <w:p w14:paraId="1CED6639">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12.3 </w:t>
      </w:r>
      <w:r>
        <w:rPr>
          <w:rFonts w:hint="eastAsia" w:ascii="宋体" w:hAnsi="宋体" w:eastAsia="宋体" w:cs="宋体"/>
          <w:color w:val="auto"/>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甲乙双方自愿按附件</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 xml:space="preserve">格式签订《廉洁协议书》。 </w:t>
      </w:r>
    </w:p>
    <w:p w14:paraId="13211C2B">
      <w:pPr>
        <w:spacing w:line="360" w:lineRule="auto"/>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条 争议解决</w:t>
      </w:r>
    </w:p>
    <w:p w14:paraId="66818CE0">
      <w:pPr>
        <w:spacing w:line="360"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13.1 本合同在履行过程中若发生争议，甲、乙双方应首先通过友好协商的方式解决，协商不成的，双方同意将争议提交到甲方所在地有管辖权的人民法院通过诉讼的方式解决。因乙方违约导致甲方为就解决纠纷所产生的费用（包括但不限于诉讼费、律师费、保全费、鉴定费、评估费、公证费等）由乙方承担。</w:t>
      </w:r>
    </w:p>
    <w:p w14:paraId="695C4B63">
      <w:pPr>
        <w:spacing w:line="360"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13.2 双方按本合同列明的地址为送达地址，其适用范围包括双方非诉时各类通知、协议等文件以及就合同发生纠纷时相关文件和法律文书的送达，同时包括在争议进入仲裁、民事诉讼程序后的一审、二审、再审和执行程序。一方向对方发出的通知及文件，可以通过直接送达，或者邮寄、电话通知、传真、电子邮件等方式送达，信函寄出三日后视为送达，其他方式发出之日即视为送达，实际收到时间更早的，以实际收到时间为送达时间。一方无故拒收或无法联系或联系方式错误等原因导致无法送达的，仍视为已送达；无论是否为对方签收还是第三人签收，都被认为十分确定地送达给了对方；一方联系方式变更的，应当提前书面通知对方，否则视为未变更，由变更方承担不利后果。</w:t>
      </w:r>
    </w:p>
    <w:p w14:paraId="5B625C0C">
      <w:pPr>
        <w:spacing w:line="360" w:lineRule="auto"/>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四</w:t>
      </w:r>
      <w:r>
        <w:rPr>
          <w:rFonts w:hint="eastAsia" w:ascii="宋体" w:hAnsi="宋体" w:eastAsia="宋体" w:cs="宋体"/>
          <w:b/>
          <w:color w:val="auto"/>
          <w:szCs w:val="21"/>
          <w:highlight w:val="none"/>
        </w:rPr>
        <w:t>条 其他</w:t>
      </w:r>
    </w:p>
    <w:p w14:paraId="0E2E51F8">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 本合同之所有附件均为合同的有效组成部分，与合同具有同等法律效力，合同与附件之间的内容应认为是互为补充和解释的，但如有模棱两可或互相矛盾之处，以合同约定为准，若合同签订后，双方另有签订文件的，则以时间在后的文件为准。</w:t>
      </w:r>
    </w:p>
    <w:p w14:paraId="2EF31FBB">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 本合同未尽事宜，双方可另行协商签署补充协议，补充协议为本合同之有效组成部分，与本合同具有同等法律效力。</w:t>
      </w:r>
    </w:p>
    <w:p w14:paraId="050E1DF9">
      <w:pPr>
        <w:spacing w:line="360"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14.3 乙方在签订本合同时，须与甲方签订附件二《安全生产管理协议》。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61DFC858">
      <w:pPr>
        <w:spacing w:line="360" w:lineRule="auto"/>
        <w:ind w:firstLine="420"/>
        <w:jc w:val="left"/>
        <w:rPr>
          <w:rFonts w:hint="eastAsia" w:ascii="宋体" w:hAnsi="宋体" w:eastAsia="宋体" w:cs="宋体"/>
          <w:color w:val="auto"/>
          <w:sz w:val="21"/>
          <w:szCs w:val="21"/>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.4 本合同一式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份，招标代理机构执</w:t>
      </w:r>
      <w:r>
        <w:rPr>
          <w:rFonts w:hint="eastAsia" w:ascii="宋体" w:hAnsi="宋体" w:eastAsia="宋体" w:cs="宋体"/>
          <w:color w:val="auto"/>
          <w:szCs w:val="21"/>
          <w:highlight w:val="none"/>
          <w:u w:val="single"/>
        </w:rPr>
        <w:t>壹</w:t>
      </w:r>
      <w:r>
        <w:rPr>
          <w:rFonts w:hint="eastAsia" w:ascii="宋体" w:hAnsi="宋体" w:eastAsia="宋体" w:cs="宋体"/>
          <w:color w:val="auto"/>
          <w:szCs w:val="21"/>
          <w:highlight w:val="none"/>
        </w:rPr>
        <w:t>份，具有同等法律效力，本合同自双方盖章</w:t>
      </w:r>
      <w:r>
        <w:rPr>
          <w:rFonts w:hint="eastAsia" w:ascii="宋体" w:hAnsi="宋体" w:eastAsia="宋体" w:cs="宋体"/>
          <w:color w:val="auto"/>
          <w:szCs w:val="21"/>
          <w:highlight w:val="none"/>
          <w:lang w:val="en-US" w:eastAsia="zh-CN"/>
        </w:rPr>
        <w:t>并经</w:t>
      </w:r>
      <w:r>
        <w:rPr>
          <w:rFonts w:hint="eastAsia" w:ascii="宋体" w:hAnsi="宋体" w:eastAsia="宋体" w:cs="宋体"/>
          <w:color w:val="auto"/>
          <w:szCs w:val="21"/>
          <w:highlight w:val="none"/>
        </w:rPr>
        <w:t>法定代表人签字之日起生效</w:t>
      </w:r>
      <w:r>
        <w:rPr>
          <w:rFonts w:hint="eastAsia" w:ascii="宋体" w:hAnsi="宋体" w:eastAsia="宋体" w:cs="宋体"/>
          <w:color w:val="auto"/>
          <w:sz w:val="21"/>
          <w:szCs w:val="21"/>
        </w:rPr>
        <w:t>。</w:t>
      </w:r>
    </w:p>
    <w:p w14:paraId="162FEDB4">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附件：1.廉洁协议书；</w:t>
      </w:r>
    </w:p>
    <w:p w14:paraId="1BE94A43">
      <w:pPr>
        <w:pStyle w:val="51"/>
        <w:spacing w:line="360" w:lineRule="auto"/>
        <w:ind w:firstLine="422"/>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val="0"/>
          <w:color w:val="auto"/>
          <w:sz w:val="21"/>
          <w:szCs w:val="21"/>
        </w:rPr>
        <w:t>2.安全生产管理协议；</w:t>
      </w:r>
    </w:p>
    <w:p w14:paraId="057819B4">
      <w:pPr>
        <w:spacing w:line="360" w:lineRule="auto"/>
        <w:ind w:firstLine="1050" w:firstLineChars="500"/>
        <w:rPr>
          <w:rFonts w:hint="eastAsia" w:ascii="宋体" w:hAnsi="宋体" w:eastAsia="宋体" w:cs="宋体"/>
          <w:color w:val="auto"/>
          <w:sz w:val="21"/>
          <w:szCs w:val="21"/>
        </w:rPr>
      </w:pPr>
      <w:r>
        <w:rPr>
          <w:rFonts w:hint="eastAsia" w:ascii="宋体" w:hAnsi="宋体" w:eastAsia="宋体" w:cs="宋体"/>
          <w:color w:val="auto"/>
          <w:sz w:val="21"/>
          <w:szCs w:val="21"/>
        </w:rPr>
        <w:t>3.用户需求书；</w:t>
      </w:r>
    </w:p>
    <w:p w14:paraId="38E8BB33">
      <w:pPr>
        <w:spacing w:line="360" w:lineRule="auto"/>
        <w:ind w:firstLine="1050" w:firstLineChars="500"/>
        <w:rPr>
          <w:rFonts w:hint="eastAsia" w:ascii="宋体" w:hAnsi="宋体" w:eastAsia="宋体" w:cs="宋体"/>
          <w:color w:val="auto"/>
          <w:sz w:val="21"/>
          <w:szCs w:val="21"/>
        </w:rPr>
      </w:pPr>
      <w:r>
        <w:rPr>
          <w:rFonts w:hint="eastAsia" w:ascii="宋体" w:hAnsi="宋体" w:eastAsia="宋体" w:cs="宋体"/>
          <w:color w:val="auto"/>
          <w:sz w:val="21"/>
          <w:szCs w:val="21"/>
        </w:rPr>
        <w:t>4.中标通知书；</w:t>
      </w:r>
    </w:p>
    <w:p w14:paraId="7BFC300B">
      <w:pPr>
        <w:spacing w:line="360" w:lineRule="auto"/>
        <w:ind w:firstLine="1050" w:firstLineChars="500"/>
        <w:rPr>
          <w:rFonts w:hint="eastAsia" w:ascii="宋体" w:hAnsi="宋体" w:eastAsia="宋体" w:cs="宋体"/>
          <w:b/>
          <w:color w:val="auto"/>
          <w:sz w:val="21"/>
          <w:szCs w:val="21"/>
        </w:rPr>
      </w:pPr>
      <w:r>
        <w:rPr>
          <w:rFonts w:hint="eastAsia" w:ascii="宋体" w:hAnsi="宋体" w:eastAsia="宋体" w:cs="宋体"/>
          <w:color w:val="auto"/>
          <w:sz w:val="21"/>
          <w:szCs w:val="21"/>
        </w:rPr>
        <w:t>5.投标文件。</w:t>
      </w:r>
    </w:p>
    <w:p w14:paraId="3CE2E424">
      <w:pPr>
        <w:keepNext w:val="0"/>
        <w:keepLines w:val="0"/>
        <w:pageBreakBefore/>
        <w:widowControl w:val="0"/>
        <w:kinsoku/>
        <w:wordWrap/>
        <w:overflowPunct/>
        <w:topLinePunct w:val="0"/>
        <w:autoSpaceDE w:val="0"/>
        <w:autoSpaceDN w:val="0"/>
        <w:bidi w:val="0"/>
        <w:adjustRightInd w:val="0"/>
        <w:snapToGrid/>
        <w:spacing w:line="360" w:lineRule="auto"/>
        <w:ind w:firstLine="422"/>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（以下无正文</w:t>
      </w:r>
      <w:r>
        <w:rPr>
          <w:rFonts w:hint="eastAsia" w:ascii="宋体" w:hAnsi="宋体" w:eastAsia="宋体" w:cs="宋体"/>
          <w:b w:val="0"/>
          <w:bCs/>
          <w:color w:val="auto"/>
          <w:sz w:val="21"/>
          <w:szCs w:val="21"/>
          <w:lang w:val="en-US" w:eastAsia="zh-CN"/>
        </w:rPr>
        <w:t>内容</w:t>
      </w:r>
      <w:r>
        <w:rPr>
          <w:rFonts w:hint="eastAsia" w:ascii="宋体" w:hAnsi="宋体" w:eastAsia="宋体" w:cs="宋体"/>
          <w:b w:val="0"/>
          <w:bCs/>
          <w:color w:val="auto"/>
          <w:sz w:val="21"/>
          <w:szCs w:val="21"/>
        </w:rPr>
        <w:t>为</w:t>
      </w:r>
      <w:r>
        <w:rPr>
          <w:rFonts w:hint="eastAsia" w:ascii="宋体" w:hAnsi="宋体" w:eastAsia="宋体" w:cs="宋体"/>
          <w:b w:val="0"/>
          <w:bCs/>
          <w:color w:val="auto"/>
          <w:sz w:val="21"/>
          <w:szCs w:val="21"/>
          <w:lang w:val="en-US" w:eastAsia="zh-CN"/>
        </w:rPr>
        <w:t>签字盖章页</w:t>
      </w:r>
      <w:r>
        <w:rPr>
          <w:rFonts w:hint="eastAsia" w:ascii="宋体" w:hAnsi="宋体" w:eastAsia="宋体" w:cs="宋体"/>
          <w:b w:val="0"/>
          <w:bCs/>
          <w:color w:val="auto"/>
          <w:sz w:val="21"/>
          <w:szCs w:val="21"/>
        </w:rPr>
        <w:t>）</w:t>
      </w:r>
    </w:p>
    <w:p w14:paraId="3DD91884">
      <w:pPr>
        <w:pStyle w:val="18"/>
        <w:ind w:firstLine="422"/>
        <w:rPr>
          <w:rFonts w:hint="eastAsia" w:ascii="宋体" w:hAnsi="宋体" w:eastAsia="宋体" w:cs="宋体"/>
          <w:b/>
          <w:color w:val="auto"/>
          <w:sz w:val="21"/>
          <w:szCs w:val="21"/>
        </w:rPr>
      </w:pPr>
    </w:p>
    <w:p w14:paraId="632BB790">
      <w:pPr>
        <w:pStyle w:val="40"/>
        <w:ind w:firstLine="210"/>
        <w:rPr>
          <w:rFonts w:hint="eastAsia" w:ascii="宋体" w:hAnsi="宋体" w:eastAsia="宋体" w:cs="宋体"/>
          <w:color w:val="auto"/>
          <w:sz w:val="21"/>
          <w:szCs w:val="21"/>
        </w:rPr>
      </w:pPr>
    </w:p>
    <w:tbl>
      <w:tblPr>
        <w:tblStyle w:val="41"/>
        <w:tblW w:w="9691" w:type="dxa"/>
        <w:jc w:val="center"/>
        <w:tblLayout w:type="fixed"/>
        <w:tblCellMar>
          <w:top w:w="0" w:type="dxa"/>
          <w:left w:w="108" w:type="dxa"/>
          <w:bottom w:w="0" w:type="dxa"/>
          <w:right w:w="108" w:type="dxa"/>
        </w:tblCellMar>
      </w:tblPr>
      <w:tblGrid>
        <w:gridCol w:w="4695"/>
        <w:gridCol w:w="240"/>
        <w:gridCol w:w="4756"/>
      </w:tblGrid>
      <w:tr w14:paraId="17786C5E">
        <w:tblPrEx>
          <w:tblCellMar>
            <w:top w:w="0" w:type="dxa"/>
            <w:left w:w="108" w:type="dxa"/>
            <w:bottom w:w="0" w:type="dxa"/>
            <w:right w:w="108" w:type="dxa"/>
          </w:tblCellMar>
        </w:tblPrEx>
        <w:trPr>
          <w:jc w:val="center"/>
        </w:trPr>
        <w:tc>
          <w:tcPr>
            <w:tcW w:w="4695" w:type="dxa"/>
            <w:noWrap w:val="0"/>
            <w:vAlign w:val="top"/>
          </w:tcPr>
          <w:p w14:paraId="72D95F1F">
            <w:pPr>
              <w:spacing w:line="360" w:lineRule="auto"/>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甲方（盖章）：</w:t>
            </w:r>
            <w:r>
              <w:rPr>
                <w:rFonts w:hint="eastAsia" w:ascii="宋体" w:hAnsi="宋体" w:eastAsia="宋体" w:cs="宋体"/>
                <w:color w:val="auto"/>
                <w:sz w:val="21"/>
                <w:szCs w:val="21"/>
                <w:lang w:val="en-US" w:eastAsia="zh-CN"/>
              </w:rPr>
              <w:t>东莞市置拓投资有限公司</w:t>
            </w:r>
          </w:p>
          <w:p w14:paraId="4F64E23C">
            <w:pPr>
              <w:spacing w:line="360" w:lineRule="auto"/>
              <w:ind w:firstLine="420"/>
              <w:rPr>
                <w:rFonts w:hint="eastAsia" w:ascii="宋体" w:hAnsi="宋体" w:eastAsia="宋体" w:cs="宋体"/>
                <w:color w:val="auto"/>
                <w:sz w:val="21"/>
                <w:szCs w:val="21"/>
              </w:rPr>
            </w:pPr>
          </w:p>
          <w:p w14:paraId="45DF9DF5">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法定代表人（或负责人）</w:t>
            </w:r>
            <w:r>
              <w:rPr>
                <w:rFonts w:hint="eastAsia" w:ascii="宋体" w:hAnsi="宋体" w:eastAsia="宋体" w:cs="宋体"/>
                <w:color w:val="auto"/>
                <w:sz w:val="21"/>
                <w:szCs w:val="21"/>
                <w:lang w:val="en-US" w:eastAsia="zh-CN"/>
              </w:rPr>
              <w:t>或委托代理人</w:t>
            </w:r>
            <w:r>
              <w:rPr>
                <w:rFonts w:hint="eastAsia" w:ascii="宋体" w:hAnsi="宋体" w:eastAsia="宋体" w:cs="宋体"/>
                <w:color w:val="auto"/>
                <w:sz w:val="21"/>
                <w:szCs w:val="21"/>
              </w:rPr>
              <w:t xml:space="preserve">：                                   </w:t>
            </w:r>
          </w:p>
        </w:tc>
        <w:tc>
          <w:tcPr>
            <w:tcW w:w="240" w:type="dxa"/>
            <w:noWrap w:val="0"/>
            <w:vAlign w:val="top"/>
          </w:tcPr>
          <w:p w14:paraId="2BB88604">
            <w:pPr>
              <w:spacing w:line="360" w:lineRule="auto"/>
              <w:ind w:firstLine="420"/>
              <w:rPr>
                <w:rFonts w:hint="eastAsia" w:ascii="宋体" w:hAnsi="宋体" w:eastAsia="宋体" w:cs="宋体"/>
                <w:color w:val="auto"/>
                <w:sz w:val="21"/>
                <w:szCs w:val="21"/>
              </w:rPr>
            </w:pPr>
          </w:p>
        </w:tc>
        <w:tc>
          <w:tcPr>
            <w:tcW w:w="4756" w:type="dxa"/>
            <w:noWrap w:val="0"/>
            <w:vAlign w:val="top"/>
          </w:tcPr>
          <w:p w14:paraId="7F0275FA">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乙方（盖章）：</w:t>
            </w:r>
          </w:p>
          <w:p w14:paraId="40F18299">
            <w:pPr>
              <w:spacing w:line="360" w:lineRule="auto"/>
              <w:ind w:firstLine="420"/>
              <w:rPr>
                <w:rFonts w:hint="eastAsia" w:ascii="宋体" w:hAnsi="宋体" w:eastAsia="宋体" w:cs="宋体"/>
                <w:color w:val="auto"/>
                <w:sz w:val="21"/>
                <w:szCs w:val="21"/>
              </w:rPr>
            </w:pPr>
          </w:p>
          <w:p w14:paraId="5A49093E">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法定代表人（或负责人）</w:t>
            </w:r>
            <w:r>
              <w:rPr>
                <w:rFonts w:hint="eastAsia" w:ascii="宋体" w:hAnsi="宋体" w:eastAsia="宋体" w:cs="宋体"/>
                <w:color w:val="auto"/>
                <w:sz w:val="21"/>
                <w:szCs w:val="21"/>
                <w:lang w:val="en-US" w:eastAsia="zh-CN"/>
              </w:rPr>
              <w:t>或委托代理人</w:t>
            </w:r>
            <w:r>
              <w:rPr>
                <w:rFonts w:hint="eastAsia" w:ascii="宋体" w:hAnsi="宋体" w:eastAsia="宋体" w:cs="宋体"/>
                <w:color w:val="auto"/>
                <w:sz w:val="21"/>
                <w:szCs w:val="21"/>
              </w:rPr>
              <w:t>：</w:t>
            </w:r>
          </w:p>
        </w:tc>
      </w:tr>
      <w:tr w14:paraId="295407DB">
        <w:tblPrEx>
          <w:tblCellMar>
            <w:top w:w="0" w:type="dxa"/>
            <w:left w:w="108" w:type="dxa"/>
            <w:bottom w:w="0" w:type="dxa"/>
            <w:right w:w="108" w:type="dxa"/>
          </w:tblCellMar>
        </w:tblPrEx>
        <w:trPr>
          <w:trHeight w:val="432" w:hRule="atLeast"/>
          <w:jc w:val="center"/>
        </w:trPr>
        <w:tc>
          <w:tcPr>
            <w:tcW w:w="4695" w:type="dxa"/>
            <w:noWrap w:val="0"/>
            <w:vAlign w:val="top"/>
          </w:tcPr>
          <w:p w14:paraId="61EE0CC5">
            <w:pPr>
              <w:spacing w:line="360" w:lineRule="auto"/>
              <w:ind w:firstLine="420"/>
              <w:rPr>
                <w:rFonts w:hint="eastAsia" w:ascii="宋体" w:hAnsi="宋体" w:eastAsia="宋体" w:cs="宋体"/>
                <w:color w:val="auto"/>
                <w:sz w:val="21"/>
                <w:szCs w:val="21"/>
              </w:rPr>
            </w:pPr>
          </w:p>
          <w:p w14:paraId="7F37B741">
            <w:pPr>
              <w:spacing w:line="360" w:lineRule="auto"/>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电话：</w:t>
            </w:r>
          </w:p>
          <w:p w14:paraId="4A56AA99">
            <w:pPr>
              <w:spacing w:line="360" w:lineRule="auto"/>
              <w:ind w:firstLine="420"/>
              <w:rPr>
                <w:rFonts w:hint="eastAsia" w:ascii="宋体" w:hAnsi="宋体" w:eastAsia="宋体" w:cs="宋体"/>
                <w:color w:val="auto"/>
                <w:sz w:val="21"/>
                <w:szCs w:val="21"/>
              </w:rPr>
            </w:pPr>
          </w:p>
          <w:p w14:paraId="44833067">
            <w:pPr>
              <w:spacing w:line="360" w:lineRule="auto"/>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地址：</w:t>
            </w:r>
          </w:p>
          <w:p w14:paraId="63E584F5">
            <w:pPr>
              <w:spacing w:line="360" w:lineRule="auto"/>
              <w:ind w:firstLine="420"/>
              <w:rPr>
                <w:rFonts w:hint="eastAsia" w:ascii="宋体" w:hAnsi="宋体" w:eastAsia="宋体" w:cs="宋体"/>
                <w:color w:val="auto"/>
                <w:sz w:val="21"/>
                <w:szCs w:val="21"/>
              </w:rPr>
            </w:pPr>
          </w:p>
          <w:p w14:paraId="66260B92">
            <w:pPr>
              <w:spacing w:line="360" w:lineRule="auto"/>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开户名称：东莞市置拓投资有限公司</w:t>
            </w:r>
          </w:p>
          <w:p w14:paraId="3A5F6AA8">
            <w:pPr>
              <w:spacing w:line="360" w:lineRule="auto"/>
              <w:ind w:firstLine="420"/>
              <w:rPr>
                <w:rFonts w:hint="eastAsia" w:ascii="宋体" w:hAnsi="宋体" w:eastAsia="宋体" w:cs="宋体"/>
                <w:color w:val="auto"/>
                <w:sz w:val="21"/>
                <w:szCs w:val="21"/>
              </w:rPr>
            </w:pPr>
          </w:p>
          <w:p w14:paraId="32C1ED31">
            <w:pPr>
              <w:spacing w:line="360" w:lineRule="auto"/>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开户银行：</w:t>
            </w:r>
          </w:p>
          <w:p w14:paraId="7BEEB8E1">
            <w:pPr>
              <w:spacing w:line="360" w:lineRule="auto"/>
              <w:ind w:firstLine="420"/>
              <w:rPr>
                <w:rFonts w:hint="eastAsia" w:ascii="宋体" w:hAnsi="宋体" w:eastAsia="宋体" w:cs="宋体"/>
                <w:color w:val="auto"/>
                <w:sz w:val="21"/>
                <w:szCs w:val="21"/>
                <w:lang w:val="en-US" w:eastAsia="zh-CN"/>
              </w:rPr>
            </w:pPr>
          </w:p>
          <w:p w14:paraId="4EC483CB">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账户</w:t>
            </w:r>
            <w:r>
              <w:rPr>
                <w:rFonts w:hint="eastAsia" w:ascii="宋体" w:hAnsi="宋体" w:eastAsia="宋体" w:cs="宋体"/>
                <w:color w:val="auto"/>
                <w:sz w:val="21"/>
                <w:szCs w:val="21"/>
              </w:rPr>
              <w:t>：</w:t>
            </w:r>
          </w:p>
        </w:tc>
        <w:tc>
          <w:tcPr>
            <w:tcW w:w="240" w:type="dxa"/>
            <w:noWrap w:val="0"/>
            <w:vAlign w:val="top"/>
          </w:tcPr>
          <w:p w14:paraId="35234BD3">
            <w:pPr>
              <w:spacing w:line="360" w:lineRule="auto"/>
              <w:ind w:firstLine="420"/>
              <w:rPr>
                <w:rFonts w:hint="eastAsia" w:ascii="宋体" w:hAnsi="宋体" w:eastAsia="宋体" w:cs="宋体"/>
                <w:color w:val="auto"/>
                <w:sz w:val="21"/>
                <w:szCs w:val="21"/>
              </w:rPr>
            </w:pPr>
          </w:p>
        </w:tc>
        <w:tc>
          <w:tcPr>
            <w:tcW w:w="4756" w:type="dxa"/>
            <w:noWrap w:val="0"/>
            <w:vAlign w:val="top"/>
          </w:tcPr>
          <w:p w14:paraId="157FCC50">
            <w:pPr>
              <w:spacing w:line="360" w:lineRule="auto"/>
              <w:ind w:firstLine="420"/>
              <w:rPr>
                <w:rFonts w:hint="eastAsia" w:ascii="宋体" w:hAnsi="宋体" w:eastAsia="宋体" w:cs="宋体"/>
                <w:color w:val="auto"/>
                <w:sz w:val="21"/>
                <w:szCs w:val="21"/>
                <w:lang w:val="en-US" w:eastAsia="zh-CN"/>
              </w:rPr>
            </w:pPr>
          </w:p>
          <w:p w14:paraId="66631ABA">
            <w:pPr>
              <w:spacing w:line="360" w:lineRule="auto"/>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电话：</w:t>
            </w:r>
          </w:p>
          <w:p w14:paraId="037CB74C">
            <w:pPr>
              <w:spacing w:line="360" w:lineRule="auto"/>
              <w:ind w:firstLine="420"/>
              <w:rPr>
                <w:rFonts w:hint="eastAsia" w:ascii="宋体" w:hAnsi="宋体" w:eastAsia="宋体" w:cs="宋体"/>
                <w:color w:val="auto"/>
                <w:sz w:val="21"/>
                <w:szCs w:val="21"/>
              </w:rPr>
            </w:pPr>
          </w:p>
          <w:p w14:paraId="1C7051A5">
            <w:pPr>
              <w:spacing w:line="360" w:lineRule="auto"/>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地址：</w:t>
            </w:r>
          </w:p>
          <w:p w14:paraId="3103C31C">
            <w:pPr>
              <w:spacing w:line="360" w:lineRule="auto"/>
              <w:ind w:firstLine="420"/>
              <w:rPr>
                <w:rFonts w:hint="eastAsia" w:ascii="宋体" w:hAnsi="宋体" w:eastAsia="宋体" w:cs="宋体"/>
                <w:color w:val="auto"/>
                <w:sz w:val="21"/>
                <w:szCs w:val="21"/>
              </w:rPr>
            </w:pPr>
          </w:p>
          <w:p w14:paraId="6DCCCDBE">
            <w:pPr>
              <w:spacing w:line="360" w:lineRule="auto"/>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开户名称：</w:t>
            </w:r>
          </w:p>
          <w:p w14:paraId="527E7243">
            <w:pPr>
              <w:spacing w:line="360" w:lineRule="auto"/>
              <w:ind w:firstLine="420"/>
              <w:rPr>
                <w:rFonts w:hint="eastAsia" w:ascii="宋体" w:hAnsi="宋体" w:eastAsia="宋体" w:cs="宋体"/>
                <w:color w:val="auto"/>
                <w:sz w:val="21"/>
                <w:szCs w:val="21"/>
              </w:rPr>
            </w:pPr>
          </w:p>
          <w:p w14:paraId="2783E2BA">
            <w:pPr>
              <w:spacing w:line="360" w:lineRule="auto"/>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开户银行：</w:t>
            </w:r>
          </w:p>
          <w:p w14:paraId="763C67BF">
            <w:pPr>
              <w:spacing w:line="360" w:lineRule="auto"/>
              <w:ind w:firstLine="420"/>
              <w:rPr>
                <w:rFonts w:hint="eastAsia" w:ascii="宋体" w:hAnsi="宋体" w:eastAsia="宋体" w:cs="宋体"/>
                <w:color w:val="auto"/>
                <w:sz w:val="21"/>
                <w:szCs w:val="21"/>
                <w:lang w:val="en-US" w:eastAsia="zh-CN"/>
              </w:rPr>
            </w:pPr>
          </w:p>
          <w:p w14:paraId="5D31BBB2">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账户</w:t>
            </w:r>
            <w:r>
              <w:rPr>
                <w:rFonts w:hint="eastAsia" w:ascii="宋体" w:hAnsi="宋体" w:eastAsia="宋体" w:cs="宋体"/>
                <w:color w:val="auto"/>
                <w:sz w:val="21"/>
                <w:szCs w:val="21"/>
              </w:rPr>
              <w:t>：</w:t>
            </w:r>
          </w:p>
        </w:tc>
      </w:tr>
    </w:tbl>
    <w:p w14:paraId="7DFD1A62">
      <w:pPr>
        <w:spacing w:line="360" w:lineRule="auto"/>
        <w:ind w:firstLine="420"/>
        <w:rPr>
          <w:rFonts w:hint="eastAsia" w:ascii="宋体" w:hAnsi="宋体" w:eastAsia="宋体" w:cs="宋体"/>
          <w:color w:val="auto"/>
          <w:sz w:val="21"/>
          <w:szCs w:val="21"/>
        </w:rPr>
      </w:pPr>
    </w:p>
    <w:p w14:paraId="08098ACE">
      <w:pPr>
        <w:pageBreakBefore/>
        <w:spacing w:line="360" w:lineRule="auto"/>
        <w:ind w:firstLine="482"/>
        <w:rPr>
          <w:rFonts w:hint="eastAsia" w:ascii="宋体" w:hAnsi="宋体" w:eastAsia="宋体" w:cs="宋体"/>
          <w:b/>
          <w:color w:val="auto"/>
          <w:sz w:val="24"/>
        </w:rPr>
      </w:pPr>
      <w:bookmarkStart w:id="726" w:name="_Toc135163450"/>
      <w:bookmarkStart w:id="727" w:name="_Toc135162766"/>
      <w:bookmarkStart w:id="728" w:name="_Toc135256465"/>
      <w:bookmarkStart w:id="729" w:name="_Toc135256710"/>
      <w:bookmarkStart w:id="730" w:name="_Toc135162971"/>
      <w:r>
        <w:rPr>
          <w:rFonts w:hint="eastAsia" w:ascii="宋体" w:hAnsi="宋体" w:eastAsia="宋体" w:cs="宋体"/>
          <w:b/>
          <w:color w:val="auto"/>
          <w:sz w:val="24"/>
        </w:rPr>
        <w:t>附件1 廉洁协议书</w:t>
      </w:r>
      <w:bookmarkEnd w:id="726"/>
      <w:bookmarkEnd w:id="727"/>
      <w:bookmarkEnd w:id="728"/>
      <w:bookmarkEnd w:id="729"/>
      <w:bookmarkEnd w:id="730"/>
    </w:p>
    <w:p w14:paraId="5F87DB2B">
      <w:pPr>
        <w:spacing w:line="360" w:lineRule="auto"/>
        <w:ind w:firstLine="0" w:firstLineChars="0"/>
        <w:jc w:val="center"/>
        <w:rPr>
          <w:rFonts w:hint="eastAsia" w:ascii="宋体" w:hAnsi="宋体" w:eastAsia="宋体" w:cs="宋体"/>
          <w:color w:val="auto"/>
          <w:szCs w:val="21"/>
        </w:rPr>
      </w:pPr>
      <w:r>
        <w:rPr>
          <w:rFonts w:hint="eastAsia" w:ascii="宋体" w:hAnsi="宋体" w:eastAsia="宋体" w:cs="宋体"/>
          <w:b/>
          <w:color w:val="auto"/>
          <w:sz w:val="30"/>
          <w:szCs w:val="30"/>
        </w:rPr>
        <w:t>廉洁协议书</w:t>
      </w:r>
    </w:p>
    <w:p w14:paraId="3DD9ABD7">
      <w:pPr>
        <w:autoSpaceDE w:val="0"/>
        <w:autoSpaceDN w:val="0"/>
        <w:adjustRightInd w:val="0"/>
        <w:spacing w:line="360" w:lineRule="auto"/>
        <w:ind w:firstLine="0" w:firstLineChars="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                                   （招标编号：</w:t>
      </w:r>
      <w:r>
        <w:rPr>
          <w:rFonts w:hint="eastAsia" w:ascii="宋体" w:hAnsi="宋体" w:eastAsia="宋体" w:cs="宋体"/>
          <w:color w:val="auto"/>
          <w:kern w:val="0"/>
          <w:szCs w:val="21"/>
          <w:highlight w:val="none"/>
          <w:lang w:val="zh-CN"/>
        </w:rPr>
        <w:t xml:space="preserve">     </w:t>
      </w:r>
      <w:r>
        <w:rPr>
          <w:rFonts w:hint="eastAsia" w:ascii="宋体" w:hAnsi="宋体" w:eastAsia="宋体" w:cs="宋体"/>
          <w:color w:val="auto"/>
          <w:kern w:val="0"/>
          <w:szCs w:val="21"/>
          <w:highlight w:val="none"/>
        </w:rPr>
        <w:t>）</w:t>
      </w:r>
    </w:p>
    <w:p w14:paraId="4E51F4BB">
      <w:pPr>
        <w:snapToGrid w:val="0"/>
        <w:spacing w:line="360" w:lineRule="auto"/>
        <w:ind w:left="0" w:leftChars="0" w:firstLine="0" w:firstLineChars="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甲方（业主单位）：</w:t>
      </w:r>
    </w:p>
    <w:p w14:paraId="51021462">
      <w:pPr>
        <w:snapToGrid w:val="0"/>
        <w:spacing w:line="360" w:lineRule="auto"/>
        <w:ind w:left="0" w:leftChars="0" w:firstLine="0" w:firstLineChars="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p>
    <w:p w14:paraId="7F0E980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501C295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  甲乙双方的权利和义务</w:t>
      </w:r>
    </w:p>
    <w:p w14:paraId="3E30C09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（一）严格遵守党和国家有关法律法规等有关廉洁从业规定。</w:t>
      </w:r>
    </w:p>
    <w:p w14:paraId="186F589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（二）严格执行本项目的合同文件，自觉按合同办事。</w:t>
      </w:r>
    </w:p>
    <w:p w14:paraId="76CE399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（三）双方的业务活动坚持公开、公正、诚信、透明的原则（除法律认定的商业秘密和合同文件另有规定之外）不得损害国家和集体利益，违反工程建设管理及其他法律法规规章制度。</w:t>
      </w:r>
    </w:p>
    <w:p w14:paraId="725C3733">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（四）建立健全廉洁制度，开展廉洁教育，设立廉洁监督公示牌，公布举报电话，监督并认真查处违法违纪行为。</w:t>
      </w:r>
    </w:p>
    <w:p w14:paraId="77ECCC7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（五）发现对方在业务活动中有违反廉洁规定的行为，有及时提醒对方纠正的权利和义务。</w:t>
      </w:r>
    </w:p>
    <w:p w14:paraId="4C89310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（六）发现对方严重违反本协议义务条款的行为，有向其上级有关部门举报、建议给予处理并要求告知处理结果的权利。</w:t>
      </w:r>
    </w:p>
    <w:p w14:paraId="67D9F40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第二条  甲方的义务</w:t>
      </w:r>
    </w:p>
    <w:p w14:paraId="26EF3D8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（一）甲方及其工作人员不得索要或接受乙方的礼金、有价证券和贵重物品，不得在乙方报销任何应由甲方或个人支付的费用。</w:t>
      </w:r>
    </w:p>
    <w:p w14:paraId="3AB97E5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（二）甲方工作人员不得参加乙方安排的高消费宴请和娱乐活动；不得接受乙方提供的通讯工具、交通工具和高档办公用品。</w:t>
      </w:r>
    </w:p>
    <w:p w14:paraId="12EAFB8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（三）甲方及其工作人员不得要求或者接受乙方为其住房装修、婚丧嫁娶活动、家属或亲友的工作安排以及出国出境、旅游等提供方便。</w:t>
      </w:r>
    </w:p>
    <w:p w14:paraId="0CE7D90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（四）甲方工作人员不得向乙方介绍其家属或者亲友（包括家属或亲友开办的公司企业）从事于本项目涉及的经济业务活动。</w:t>
      </w:r>
    </w:p>
    <w:p w14:paraId="4481404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（五）甲方及其工作人员不得以任何理由向乙方推荐分包单位，不得要求乙方购买合同规定外的材料和设备。</w:t>
      </w:r>
    </w:p>
    <w:p w14:paraId="4C9D888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（六）甲方及其工作人员不得进行违反廉洁规定的其他活动。</w:t>
      </w:r>
    </w:p>
    <w:p w14:paraId="6A3B51F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6A7132E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第三条  乙方义务</w:t>
      </w:r>
    </w:p>
    <w:p w14:paraId="04A6A7C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（一）乙方不得以任何理由向甲方及其工作人员馈赠礼金、有价证券、贵重礼品，或报销应由甲方单位或个人支付的任何费用。</w:t>
      </w:r>
    </w:p>
    <w:p w14:paraId="45D633B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（二）乙方及其工作人员不得以考察、参观、洽谈业务、签订合同等的借口邀请甲方及其工作人员参加高消费的宴请、娱乐和健身等活动。</w:t>
      </w:r>
    </w:p>
    <w:p w14:paraId="7A33509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（三）乙方不得为甲方单位和个人购置或提供通讯工具、交通工具和高档办公用品等。</w:t>
      </w:r>
    </w:p>
    <w:p w14:paraId="3099829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（四）乙方及其工作人员不得为甲方工作人员购买、装修、维修私人住房、汽车等。</w:t>
      </w:r>
    </w:p>
    <w:p w14:paraId="2FD6323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（五）乙方及其工作人员不得为甲方工作人员的婚丧嫁娶、家属或亲友的工作安排，及出国出境提供方便以及报销任何私人消费的费用。</w:t>
      </w:r>
    </w:p>
    <w:p w14:paraId="08A26A1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（六）乙方及其工作人员不得进行影响甲方及其工作人员公正执行合同和履行职务的其他活动。</w:t>
      </w:r>
    </w:p>
    <w:p w14:paraId="589B7FE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192C389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第四条  违约责任</w:t>
      </w:r>
    </w:p>
    <w:p w14:paraId="46321AB1">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（一）甲方违反本协议第一、第二条给乙方单位造成经济损失的，应予以赔偿。</w:t>
      </w:r>
    </w:p>
    <w:p w14:paraId="201AD33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（二）乙方违反本协议第一、第三条给甲方单位造成经济损失的，应予以赔偿。</w:t>
      </w:r>
    </w:p>
    <w:p w14:paraId="0C4794F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第五条  监督检查</w:t>
      </w:r>
    </w:p>
    <w:p w14:paraId="5500252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甲乙双方的廉洁从业行为由双方或双方上级单位的纪检、监察部门负责监督，对本协议履行情况进行检查。</w:t>
      </w:r>
    </w:p>
    <w:p w14:paraId="13C9F71F">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第六条 举报信访受理</w:t>
      </w:r>
    </w:p>
    <w:p w14:paraId="4F371FE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（一）举报受理部门：东莞市水务</w:t>
      </w:r>
      <w:r>
        <w:rPr>
          <w:rFonts w:hint="eastAsia" w:ascii="宋体" w:hAnsi="宋体" w:eastAsia="宋体" w:cs="宋体"/>
          <w:color w:val="auto"/>
          <w:kern w:val="0"/>
          <w:szCs w:val="21"/>
          <w:highlight w:val="none"/>
          <w:lang w:val="en-US" w:eastAsia="zh-CN"/>
        </w:rPr>
        <w:t>环境投资控股</w:t>
      </w:r>
      <w:r>
        <w:rPr>
          <w:rFonts w:hint="eastAsia" w:ascii="宋体" w:hAnsi="宋体" w:eastAsia="宋体" w:cs="宋体"/>
          <w:color w:val="auto"/>
          <w:kern w:val="0"/>
          <w:szCs w:val="21"/>
          <w:highlight w:val="none"/>
        </w:rPr>
        <w:t>集团有限公司纪检监察部。</w:t>
      </w:r>
    </w:p>
    <w:p w14:paraId="5804095F">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（二）举报电话：（0769）23076092。</w:t>
      </w:r>
    </w:p>
    <w:p w14:paraId="6734E86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（三）举报邮箱：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"mailto:jcsj@dgswjt.cn。"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Cs w:val="21"/>
          <w:highlight w:val="none"/>
        </w:rPr>
        <w:t>jcsj@dgswjt.cn。</w:t>
      </w:r>
      <w:r>
        <w:rPr>
          <w:rFonts w:hint="eastAsia" w:ascii="宋体" w:hAnsi="宋体" w:eastAsia="宋体" w:cs="宋体"/>
          <w:color w:val="auto"/>
          <w:kern w:val="0"/>
          <w:szCs w:val="21"/>
          <w:highlight w:val="none"/>
        </w:rPr>
        <w:fldChar w:fldCharType="end"/>
      </w:r>
    </w:p>
    <w:p w14:paraId="7090D393">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（四）信访地址：广东省东莞市东城街道育华路1号。</w:t>
      </w:r>
    </w:p>
    <w:p w14:paraId="5BE9095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第七条 其他</w:t>
      </w:r>
    </w:p>
    <w:p w14:paraId="7282288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本协议有效期为甲乙</w:t>
      </w:r>
      <w:r>
        <w:rPr>
          <w:rFonts w:hint="eastAsia" w:ascii="宋体" w:hAnsi="宋体" w:eastAsia="宋体" w:cs="宋体"/>
          <w:color w:val="auto"/>
          <w:kern w:val="0"/>
          <w:szCs w:val="21"/>
          <w:highlight w:val="none"/>
          <w:lang w:val="en-US" w:eastAsia="zh-CN"/>
        </w:rPr>
        <w:t>双方</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或负责人</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val="en-US" w:eastAsia="zh-CN"/>
        </w:rPr>
        <w:t>委托代理人</w:t>
      </w:r>
      <w:r>
        <w:rPr>
          <w:rFonts w:hint="eastAsia" w:ascii="宋体" w:hAnsi="宋体" w:eastAsia="宋体" w:cs="宋体"/>
          <w:color w:val="auto"/>
          <w:sz w:val="21"/>
          <w:szCs w:val="21"/>
          <w:highlight w:val="none"/>
        </w:rPr>
        <w:t>签字并盖章之日</w:t>
      </w:r>
      <w:r>
        <w:rPr>
          <w:rFonts w:hint="eastAsia" w:ascii="宋体" w:hAnsi="宋体" w:eastAsia="宋体" w:cs="宋体"/>
          <w:color w:val="auto"/>
          <w:kern w:val="0"/>
          <w:szCs w:val="21"/>
          <w:highlight w:val="none"/>
        </w:rPr>
        <w:t>起至</w:t>
      </w:r>
      <w:r>
        <w:rPr>
          <w:rFonts w:hint="eastAsia" w:ascii="宋体" w:hAnsi="宋体" w:eastAsia="宋体" w:cs="宋体"/>
          <w:color w:val="auto"/>
          <w:sz w:val="21"/>
          <w:szCs w:val="21"/>
          <w:highlight w:val="none"/>
        </w:rPr>
        <w:t>采购项目</w:t>
      </w:r>
      <w:r>
        <w:rPr>
          <w:rFonts w:hint="eastAsia" w:ascii="宋体" w:hAnsi="宋体" w:eastAsia="宋体" w:cs="宋体"/>
          <w:color w:val="auto"/>
          <w:sz w:val="21"/>
          <w:szCs w:val="21"/>
          <w:highlight w:val="none"/>
          <w:lang w:val="en-US" w:eastAsia="zh-CN"/>
        </w:rPr>
        <w:t>服务期</w:t>
      </w:r>
      <w:r>
        <w:rPr>
          <w:rFonts w:hint="eastAsia" w:ascii="宋体" w:hAnsi="宋体" w:eastAsia="宋体" w:cs="宋体"/>
          <w:color w:val="auto"/>
          <w:sz w:val="21"/>
          <w:szCs w:val="21"/>
          <w:highlight w:val="none"/>
        </w:rPr>
        <w:t>满后止</w:t>
      </w:r>
      <w:r>
        <w:rPr>
          <w:rFonts w:hint="eastAsia" w:ascii="宋体" w:hAnsi="宋体" w:eastAsia="宋体" w:cs="宋体"/>
          <w:color w:val="auto"/>
          <w:kern w:val="0"/>
          <w:szCs w:val="21"/>
          <w:highlight w:val="none"/>
        </w:rPr>
        <w:t>。</w:t>
      </w:r>
    </w:p>
    <w:p w14:paraId="652546E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本协议一式   份，</w:t>
      </w:r>
      <w:r>
        <w:rPr>
          <w:rFonts w:hint="eastAsia" w:ascii="宋体" w:hAnsi="宋体" w:eastAsia="宋体" w:cs="宋体"/>
          <w:color w:val="auto"/>
          <w:szCs w:val="21"/>
          <w:highlight w:val="none"/>
        </w:rPr>
        <w:t>甲方执叁份，乙方执【</w:t>
      </w:r>
      <w:r>
        <w:rPr>
          <w:rFonts w:hint="eastAsia" w:ascii="宋体" w:hAnsi="宋体" w:eastAsia="宋体" w:cs="宋体"/>
          <w:color w:val="auto"/>
          <w:szCs w:val="21"/>
          <w:highlight w:val="none"/>
          <w:lang w:val="en-US" w:eastAsia="zh-CN"/>
        </w:rPr>
        <w:t>贰</w:t>
      </w:r>
      <w:r>
        <w:rPr>
          <w:rFonts w:hint="eastAsia" w:ascii="宋体" w:hAnsi="宋体" w:eastAsia="宋体" w:cs="宋体"/>
          <w:color w:val="auto"/>
          <w:szCs w:val="21"/>
          <w:highlight w:val="none"/>
        </w:rPr>
        <w:t>】份，招标代理机构执</w:t>
      </w:r>
      <w:r>
        <w:rPr>
          <w:rFonts w:hint="eastAsia" w:ascii="宋体" w:hAnsi="宋体" w:eastAsia="宋体" w:cs="宋体"/>
          <w:color w:val="auto"/>
          <w:szCs w:val="21"/>
          <w:highlight w:val="none"/>
          <w:lang w:val="en-US" w:eastAsia="zh-CN"/>
        </w:rPr>
        <w:t>壹</w:t>
      </w:r>
      <w:r>
        <w:rPr>
          <w:rFonts w:hint="eastAsia" w:ascii="宋体" w:hAnsi="宋体" w:eastAsia="宋体" w:cs="宋体"/>
          <w:color w:val="auto"/>
          <w:szCs w:val="21"/>
          <w:highlight w:val="none"/>
        </w:rPr>
        <w:t>份</w:t>
      </w:r>
      <w:r>
        <w:rPr>
          <w:rFonts w:hint="eastAsia" w:ascii="宋体" w:hAnsi="宋体" w:eastAsia="宋体" w:cs="宋体"/>
          <w:color w:val="auto"/>
          <w:kern w:val="0"/>
          <w:szCs w:val="21"/>
          <w:highlight w:val="none"/>
        </w:rPr>
        <w:t>。</w:t>
      </w:r>
    </w:p>
    <w:p w14:paraId="51F6FA51">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15FE7456">
      <w:pPr>
        <w:spacing w:before="48" w:beforeLines="20" w:after="48" w:afterLines="20"/>
        <w:ind w:firstLine="420" w:firstLineChars="200"/>
        <w:outlineLvl w:val="9"/>
        <w:rPr>
          <w:rFonts w:hint="eastAsia" w:ascii="宋体" w:hAnsi="宋体" w:eastAsia="宋体" w:cs="宋体"/>
          <w:color w:val="auto"/>
          <w:szCs w:val="21"/>
          <w:highlight w:val="none"/>
        </w:rPr>
      </w:pPr>
    </w:p>
    <w:p w14:paraId="6D76DCC4">
      <w:pPr>
        <w:spacing w:before="48" w:beforeLines="20" w:after="48" w:afterLines="20"/>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乙方（盖章）： </w:t>
      </w:r>
    </w:p>
    <w:p w14:paraId="23A94348">
      <w:pPr>
        <w:spacing w:before="48" w:beforeLines="20" w:after="48" w:afterLines="20"/>
        <w:ind w:firstLine="420" w:firstLineChars="200"/>
        <w:outlineLvl w:val="9"/>
        <w:rPr>
          <w:rFonts w:hint="eastAsia" w:ascii="宋体" w:hAnsi="宋体" w:eastAsia="宋体" w:cs="宋体"/>
          <w:color w:val="auto"/>
          <w:szCs w:val="21"/>
          <w:highlight w:val="none"/>
        </w:rPr>
      </w:pPr>
    </w:p>
    <w:p w14:paraId="07447EB1">
      <w:pPr>
        <w:spacing w:before="48" w:beforeLines="20" w:after="48" w:afterLines="20"/>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负责人</w:t>
      </w:r>
      <w:r>
        <w:rPr>
          <w:rFonts w:hint="eastAsia" w:ascii="宋体" w:hAnsi="宋体" w:eastAsia="宋体" w:cs="宋体"/>
          <w:color w:val="auto"/>
          <w:szCs w:val="21"/>
          <w:highlight w:val="none"/>
          <w:lang w:val="en-US" w:eastAsia="zh-CN"/>
        </w:rPr>
        <w:t>(或委托代理人)</w:t>
      </w:r>
      <w:r>
        <w:rPr>
          <w:rFonts w:hint="eastAsia" w:ascii="宋体" w:hAnsi="宋体" w:eastAsia="宋体" w:cs="宋体"/>
          <w:color w:val="auto"/>
          <w:szCs w:val="21"/>
          <w:highlight w:val="none"/>
        </w:rPr>
        <w:t>：      法定代表人</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负责人</w:t>
      </w:r>
      <w:r>
        <w:rPr>
          <w:rFonts w:hint="eastAsia" w:ascii="宋体" w:hAnsi="宋体" w:eastAsia="宋体" w:cs="宋体"/>
          <w:color w:val="auto"/>
          <w:szCs w:val="21"/>
          <w:highlight w:val="none"/>
          <w:lang w:val="en-US" w:eastAsia="zh-CN"/>
        </w:rPr>
        <w:t>(或委托代理人)</w:t>
      </w:r>
      <w:r>
        <w:rPr>
          <w:rFonts w:hint="eastAsia" w:ascii="宋体" w:hAnsi="宋体" w:eastAsia="宋体" w:cs="宋体"/>
          <w:color w:val="auto"/>
          <w:szCs w:val="21"/>
          <w:highlight w:val="none"/>
        </w:rPr>
        <w:t>：</w:t>
      </w:r>
    </w:p>
    <w:p w14:paraId="0E3EDC79">
      <w:pPr>
        <w:spacing w:before="48" w:beforeLines="20" w:after="48" w:afterLines="20"/>
        <w:ind w:firstLine="420" w:firstLineChars="200"/>
        <w:outlineLvl w:val="9"/>
        <w:rPr>
          <w:rFonts w:hint="eastAsia" w:ascii="宋体" w:hAnsi="宋体" w:eastAsia="宋体" w:cs="宋体"/>
          <w:color w:val="auto"/>
          <w:szCs w:val="21"/>
          <w:highlight w:val="none"/>
        </w:rPr>
      </w:pPr>
    </w:p>
    <w:p w14:paraId="1263F6A2">
      <w:pPr>
        <w:spacing w:before="48" w:beforeLines="20" w:after="48" w:afterLines="20"/>
        <w:outlineLvl w:val="9"/>
        <w:rPr>
          <w:rFonts w:hint="eastAsia" w:ascii="宋体" w:hAnsi="宋体" w:eastAsia="宋体" w:cs="宋体"/>
          <w:color w:val="auto"/>
          <w:szCs w:val="21"/>
          <w:highlight w:val="none"/>
        </w:rPr>
      </w:pPr>
    </w:p>
    <w:p w14:paraId="073AABC9">
      <w:pPr>
        <w:spacing w:line="360" w:lineRule="auto"/>
        <w:ind w:firstLine="371" w:firstLineChars="177"/>
        <w:outlineLvl w:val="9"/>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签订日期：    年  月  日                  年  月  日</w:t>
      </w:r>
      <w:r>
        <w:rPr>
          <w:rFonts w:hint="eastAsia" w:ascii="宋体" w:hAnsi="宋体" w:eastAsia="宋体" w:cs="宋体"/>
          <w:color w:val="auto"/>
          <w:szCs w:val="21"/>
          <w:highlight w:val="none"/>
          <w:lang w:val="en-US" w:eastAsia="zh-CN"/>
        </w:rPr>
        <w:t xml:space="preserve">   </w:t>
      </w:r>
      <w:r>
        <w:rPr>
          <w:rFonts w:hAnsi="宋体"/>
          <w:b/>
          <w:color w:val="auto"/>
        </w:rPr>
        <w:br w:type="page"/>
      </w: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：安全</w:t>
      </w:r>
      <w:r>
        <w:rPr>
          <w:rFonts w:hint="eastAsia" w:ascii="宋体" w:hAnsi="宋体" w:eastAsia="宋体" w:cs="宋体"/>
          <w:b/>
          <w:color w:val="auto"/>
          <w:szCs w:val="21"/>
          <w:highlight w:val="none"/>
          <w:lang w:val="en-US" w:eastAsia="zh-CN"/>
        </w:rPr>
        <w:t>生产</w:t>
      </w:r>
      <w:r>
        <w:rPr>
          <w:rFonts w:hint="eastAsia" w:ascii="宋体" w:hAnsi="宋体" w:eastAsia="宋体" w:cs="宋体"/>
          <w:b/>
          <w:color w:val="auto"/>
          <w:szCs w:val="21"/>
          <w:highlight w:val="none"/>
        </w:rPr>
        <w:t>管理协议</w:t>
      </w:r>
    </w:p>
    <w:p w14:paraId="1E5E5202">
      <w:pPr>
        <w:spacing w:line="360" w:lineRule="auto"/>
        <w:ind w:right="31" w:rightChars="15"/>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安全</w:t>
      </w:r>
      <w:r>
        <w:rPr>
          <w:rFonts w:hint="eastAsia" w:ascii="宋体" w:hAnsi="宋体" w:eastAsia="宋体" w:cs="宋体"/>
          <w:b/>
          <w:color w:val="auto"/>
          <w:sz w:val="32"/>
          <w:szCs w:val="32"/>
          <w:highlight w:val="none"/>
          <w:lang w:val="en-US" w:eastAsia="zh-CN"/>
        </w:rPr>
        <w:t>生产</w:t>
      </w:r>
      <w:r>
        <w:rPr>
          <w:rFonts w:hint="eastAsia" w:ascii="宋体" w:hAnsi="宋体" w:eastAsia="宋体" w:cs="宋体"/>
          <w:b/>
          <w:color w:val="auto"/>
          <w:sz w:val="32"/>
          <w:szCs w:val="32"/>
          <w:highlight w:val="none"/>
        </w:rPr>
        <w:t>管理协议</w:t>
      </w:r>
    </w:p>
    <w:p w14:paraId="437CF9A5">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w:t>
      </w:r>
    </w:p>
    <w:p w14:paraId="2F146C30">
      <w:pPr>
        <w:spacing w:line="360" w:lineRule="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甲方：</w:t>
      </w:r>
    </w:p>
    <w:p w14:paraId="1BCCC3A1">
      <w:pPr>
        <w:pStyle w:val="18"/>
        <w:spacing w:line="360" w:lineRule="auto"/>
        <w:jc w:val="both"/>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地址：</w:t>
      </w:r>
    </w:p>
    <w:p w14:paraId="424FE003">
      <w:pPr>
        <w:pStyle w:val="18"/>
        <w:jc w:val="both"/>
        <w:outlineLvl w:val="9"/>
        <w:rPr>
          <w:rFonts w:hint="eastAsia" w:ascii="宋体" w:hAnsi="宋体" w:eastAsia="宋体" w:cs="宋体"/>
          <w:color w:val="auto"/>
          <w:sz w:val="21"/>
          <w:szCs w:val="21"/>
          <w:highlight w:val="none"/>
          <w:lang w:val="en-US"/>
        </w:rPr>
      </w:pPr>
    </w:p>
    <w:p w14:paraId="69864347">
      <w:pPr>
        <w:spacing w:line="360" w:lineRule="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乙方：</w:t>
      </w:r>
    </w:p>
    <w:p w14:paraId="131DE2BB">
      <w:pPr>
        <w:pStyle w:val="18"/>
        <w:jc w:val="both"/>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地址：</w:t>
      </w:r>
    </w:p>
    <w:p w14:paraId="73A9B19F">
      <w:pPr>
        <w:pStyle w:val="51"/>
        <w:jc w:val="both"/>
        <w:outlineLvl w:val="9"/>
        <w:rPr>
          <w:rFonts w:hint="eastAsia" w:ascii="宋体" w:hAnsi="宋体" w:eastAsia="宋体" w:cs="宋体"/>
          <w:color w:val="auto"/>
          <w:highlight w:val="none"/>
          <w:lang w:val="en-US" w:eastAsia="zh-CN"/>
        </w:rPr>
      </w:pPr>
    </w:p>
    <w:p w14:paraId="76C4E89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安全生产法》和《建设工程安全生产管理条例》等法律法规要求，为加强作业现场的安全管理，落实甲乙双方的安全生产职责，进一步加强作业的安全管理，杜绝作业人员因安全管理不善而引发的各类安全事故，保证甲、乙双方的财产和员工的人身安全不受侵害，经甲乙双方协商一致，签订协议如下：</w:t>
      </w:r>
    </w:p>
    <w:p w14:paraId="0D45B93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进场前乙方应将本企业的营业执照、企业资质等级证书、安全生产许可证、进场人员花名册、携带进场的机具一览表、特种作业人员及特种作业操作证的复印件报甲方。进场职工必须办好作业所在地所需办理的各种证件，不得雇用未成年工、童工、超龄工和安排女工从事禁忌劳动，进场前，乙方必须严格遵守甲方及项目所在地的相关防疫要求。</w:t>
      </w:r>
    </w:p>
    <w:p w14:paraId="6A58BDC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设置专职或兼职安全员，对作业进行安全管理，并在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4A07943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3、乙方使用被派遣劳动者的，应当将被派遣劳动者纳入本单位从业人员统一管理，对被派遣劳动者进行岗位安全操作规程和安全操作技能的教育和培训。</w:t>
      </w:r>
    </w:p>
    <w:p w14:paraId="0B7E47E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应当在有较大危险因素的场所和有关设施、设备上，设置明显的安全警示标志。乙方应当对安全设备进行经常性维护、保养，并定期检测，保证正常运转。维护、保养、检测应当做好记录，并由乙方安全员或代表签字。</w:t>
      </w:r>
    </w:p>
    <w:p w14:paraId="74134E7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5、乙方应当教育和督促从业人员严格执行本单位的安全生产规章制度和安全操作规程；并向从业人员如实告知作业场所和工作岗位存在的危险因素、防范措施以及事故应急措施。</w:t>
      </w:r>
    </w:p>
    <w:p w14:paraId="1B1406F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6、乙方应严格遵守国家、地方政府有关安全生产及劳动保护的法律法规、标准、规定，贯彻执行甲方的各项安全管理规章制度。</w:t>
      </w:r>
    </w:p>
    <w:p w14:paraId="04EE877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乙方应当服从甲方的安全管理，保证作业区域的现场文明安全管理达标，现场临时用电、机器设备、安全防护齐全、完好。接受和配合甲方的安全监督检查，乙方现场的所有安全装置、防护设施必须依据经甲方审批通过后的安全技术方案进行搭设、安装，乙方必须无条件保证安全防护设施使用的搭设材料的质量，在用于安全防护的物资进场前将有关物资的材质证明报甲方，经甲方确认后方可使用。</w:t>
      </w:r>
    </w:p>
    <w:p w14:paraId="1CEA27A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68B56FC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9、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1C3E58B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乙方在作业过程中违反有关安全管理规定、有违章现象发生、安全问题整改不到位或拒不接受甲方的正常安全管理的，甲方有权依据有关法律法规规定进行处理。乙方作业中存在重大隐患或险情时，甲方有权要求乙方立即整改直至隐患消除，若乙方整改后仍达不到甲方要求的，甲方有权要求与乙方解除合同，并要求乙方清退出场。</w:t>
      </w:r>
    </w:p>
    <w:p w14:paraId="1EC0AAF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乙方作业人员未经许可不得随意到作业区域以外的其它工作场所活动，乙方作业人员擅自到作业区域以外的其它工作场所活动，出现人身损伤或伤亡的，由乙方自行承担一切责任。乙方作业人员需动用或作业涉及到甲方所属设备、电器、管线及其他设施等，必须事先征得甲方代表的同意，并采取安全防护措施。</w:t>
      </w:r>
    </w:p>
    <w:p w14:paraId="31E766E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在作业过程中，需要进行动土、动火、登高、吊装、断路、进入限制性空间等危险性较高的作业时，乙方的作业负责人、专职或兼职安全员必须现场确认，并在开始作业前报送甲方且甲方同意方可作业。乙方应严格按照甲方的关于危险作业安全要求执行。</w:t>
      </w:r>
    </w:p>
    <w:p w14:paraId="07C2C00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13、因乙方原因，造成乙方损失，由乙方自负，给甲方造成财产损失和人员伤害，乙方要负全部责任，并全额赔偿甲方。</w:t>
      </w:r>
    </w:p>
    <w:p w14:paraId="49CB7E4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14、非因甲方原因，造成乙方损失的，甲方不承担任何责任，由乙方自行承担全部责任。</w:t>
      </w:r>
    </w:p>
    <w:p w14:paraId="0C40E51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15、乙方应严格遵守法律法规以及甲方的安全管理要求，并接受甲方的安全生产工作协调和监督，积极消除安全隐患。安全管理的基本要求包括但不限于以下条款：</w:t>
      </w:r>
    </w:p>
    <w:p w14:paraId="7E5D536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①禁火区内严禁吸烟、动火。有火灾危险的作业区域，乙方必须配置足够的灭火设施。</w:t>
      </w:r>
    </w:p>
    <w:p w14:paraId="23B5158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②焊接、气割作业时两瓶距离必须达到5M及以上，气瓶距可能产生火花的电器、设备和其它火源的间距必须达到10M及以上。</w:t>
      </w:r>
    </w:p>
    <w:p w14:paraId="174E3D7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③严禁在厂内道路、消防通道内搭建临时建筑或堆放物资。</w:t>
      </w:r>
    </w:p>
    <w:p w14:paraId="51F5FC5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④作业场所的电动工具、电焊机等须有漏电保护器和相应的安全防护装置。</w:t>
      </w:r>
    </w:p>
    <w:p w14:paraId="00B709A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⑤作业现场及居住室、办公室内的用电设施必须符合要求，严禁电线乱接、乱拉，刀闸和开关无盖，在电器设施上堆放物品。</w:t>
      </w:r>
    </w:p>
    <w:p w14:paraId="120C72A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⑥防雷、防静电设施及用电设施要有良好接地。</w:t>
      </w:r>
    </w:p>
    <w:p w14:paraId="7499648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⑦作业现场的危险区域，如临边、深坑、土方堆填区等，必须设置围栏和危险标志，夜间要设信号灯。</w:t>
      </w:r>
    </w:p>
    <w:p w14:paraId="7B478AD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时，应及时组织抢救、保护好现场，并立即报告甲方主管领导。</w:t>
      </w:r>
    </w:p>
    <w:p w14:paraId="6072BC1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⑨登高架子、安全防护设施、脚手架搭设完毕后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或作业审批表），先通风，检测氧气、有毒有害气体，确保符合作业条件，做好个人防护和专人监护后，方可进入。</w:t>
      </w:r>
    </w:p>
    <w:p w14:paraId="0726E16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1753453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16、乙方必须接受甲方的检查与监督，并应主动配合，做好安全工作，凡有违反上述协议的即视为乙方违约，甲方有权视情况从工程结算款/服务价款中扣除（1000-2000）元/次作为违约金。</w:t>
      </w:r>
    </w:p>
    <w:p w14:paraId="22BA80E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17、乙方对作业过程中潜在的安全风险不明确的，不可盲目作业，否则，造成的后果由乙方独自承担。</w:t>
      </w:r>
    </w:p>
    <w:p w14:paraId="32DB3A8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18、本协议一式 贰 份，甲、乙双方各执 壹 份，本协议有效期为自甲乙双方法定代表人</w:t>
      </w:r>
      <w:r>
        <w:rPr>
          <w:rFonts w:hint="eastAsia" w:ascii="宋体" w:hAnsi="宋体" w:eastAsia="宋体" w:cs="宋体"/>
          <w:color w:val="auto"/>
          <w:szCs w:val="21"/>
          <w:highlight w:val="none"/>
          <w:lang w:val="en-US" w:eastAsia="zh-CN"/>
        </w:rPr>
        <w:t>或负责人</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val="en-US" w:eastAsia="zh-CN"/>
        </w:rPr>
        <w:t>委托代理人</w:t>
      </w:r>
      <w:r>
        <w:rPr>
          <w:rFonts w:hint="eastAsia" w:ascii="宋体" w:hAnsi="宋体" w:eastAsia="宋体" w:cs="宋体"/>
          <w:color w:val="auto"/>
          <w:szCs w:val="21"/>
          <w:highlight w:val="none"/>
        </w:rPr>
        <w:t>签字并盖章之日起至该项目合同义务履行完毕止。</w:t>
      </w:r>
    </w:p>
    <w:p w14:paraId="596ED8F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乙方声明：</w:t>
      </w:r>
    </w:p>
    <w:p w14:paraId="18A56CB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乙方已认真阅读协议内容，对协议条款、现场的安全管理要求、安全风险充分理解，并自愿承担因违约造成的一切后果。</w:t>
      </w:r>
    </w:p>
    <w:p w14:paraId="46371AE3">
      <w:pPr>
        <w:spacing w:line="360" w:lineRule="auto"/>
        <w:ind w:firstLine="420" w:firstLineChars="200"/>
        <w:outlineLvl w:val="9"/>
        <w:rPr>
          <w:rFonts w:hint="eastAsia" w:ascii="宋体" w:hAnsi="宋体" w:eastAsia="宋体" w:cs="宋体"/>
          <w:color w:val="auto"/>
          <w:szCs w:val="21"/>
          <w:highlight w:val="none"/>
        </w:rPr>
      </w:pPr>
    </w:p>
    <w:p w14:paraId="52CF6EE5">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    （盖章）                             乙方：      （盖章）</w:t>
      </w:r>
    </w:p>
    <w:p w14:paraId="23B12898">
      <w:pPr>
        <w:spacing w:line="360" w:lineRule="auto"/>
        <w:ind w:firstLine="420" w:firstLineChars="200"/>
        <w:outlineLvl w:val="9"/>
        <w:rPr>
          <w:rFonts w:hint="eastAsia" w:ascii="宋体" w:hAnsi="宋体" w:eastAsia="宋体" w:cs="宋体"/>
          <w:color w:val="auto"/>
          <w:szCs w:val="21"/>
          <w:highlight w:val="none"/>
        </w:rPr>
      </w:pPr>
    </w:p>
    <w:p w14:paraId="05F2F836">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负责人</w:t>
      </w:r>
      <w:r>
        <w:rPr>
          <w:rFonts w:hint="eastAsia" w:ascii="宋体" w:hAnsi="宋体" w:eastAsia="宋体" w:cs="宋体"/>
          <w:color w:val="auto"/>
          <w:szCs w:val="21"/>
          <w:highlight w:val="none"/>
          <w:lang w:val="en-US" w:eastAsia="zh-CN"/>
        </w:rPr>
        <w:t>(或委托代理人)</w:t>
      </w:r>
      <w:r>
        <w:rPr>
          <w:rFonts w:hint="eastAsia" w:ascii="宋体" w:hAnsi="宋体" w:eastAsia="宋体" w:cs="宋体"/>
          <w:color w:val="auto"/>
          <w:szCs w:val="21"/>
          <w:highlight w:val="none"/>
        </w:rPr>
        <w:t>：              法定代表人</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负责人</w:t>
      </w:r>
      <w:r>
        <w:rPr>
          <w:rFonts w:hint="eastAsia" w:ascii="宋体" w:hAnsi="宋体" w:eastAsia="宋体" w:cs="宋体"/>
          <w:color w:val="auto"/>
          <w:szCs w:val="21"/>
          <w:highlight w:val="none"/>
          <w:lang w:val="en-US" w:eastAsia="zh-CN"/>
        </w:rPr>
        <w:t>(或委托代理人)</w:t>
      </w:r>
      <w:r>
        <w:rPr>
          <w:rFonts w:hint="eastAsia" w:ascii="宋体" w:hAnsi="宋体" w:eastAsia="宋体" w:cs="宋体"/>
          <w:color w:val="auto"/>
          <w:szCs w:val="21"/>
          <w:highlight w:val="none"/>
        </w:rPr>
        <w:t>：</w:t>
      </w:r>
    </w:p>
    <w:p w14:paraId="535F125F">
      <w:pPr>
        <w:spacing w:line="360" w:lineRule="auto"/>
        <w:ind w:firstLine="420" w:firstLineChars="200"/>
        <w:outlineLvl w:val="9"/>
        <w:rPr>
          <w:rFonts w:hint="eastAsia" w:ascii="宋体" w:hAnsi="宋体" w:eastAsia="宋体" w:cs="宋体"/>
          <w:color w:val="auto"/>
          <w:szCs w:val="21"/>
          <w:highlight w:val="none"/>
        </w:rPr>
      </w:pPr>
    </w:p>
    <w:p w14:paraId="7E971043">
      <w:pPr>
        <w:spacing w:line="360" w:lineRule="auto"/>
        <w:outlineLvl w:val="9"/>
        <w:rPr>
          <w:rFonts w:hint="eastAsia" w:ascii="宋体" w:hAnsi="宋体" w:eastAsia="宋体" w:cs="宋体"/>
          <w:color w:val="auto"/>
          <w:szCs w:val="21"/>
          <w:highlight w:val="none"/>
        </w:rPr>
      </w:pPr>
    </w:p>
    <w:p w14:paraId="310DC232">
      <w:pPr>
        <w:widowControl/>
        <w:kinsoku/>
        <w:autoSpaceDE/>
        <w:autoSpaceDN/>
        <w:adjustRightInd/>
        <w:snapToGrid/>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签订日期：    年  月  日   </w:t>
      </w:r>
    </w:p>
    <w:p w14:paraId="3A1FC438">
      <w:pPr>
        <w:rPr>
          <w:color w:val="auto"/>
        </w:rPr>
      </w:pPr>
    </w:p>
    <w:p w14:paraId="42FFCE31">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2B8C4FC5">
      <w:pPr>
        <w:pageBreakBefore w:val="0"/>
        <w:spacing w:before="0" w:beforeLines="-2147483648" w:after="0" w:afterLines="-2147483648" w:line="240" w:lineRule="auto"/>
        <w:jc w:val="left"/>
        <w:outlineLvl w:val="9"/>
        <w:rPr>
          <w:rFonts w:hint="eastAsia" w:ascii="宋体" w:hAnsi="宋体" w:eastAsia="宋体" w:cs="宋体"/>
          <w:b/>
          <w:bCs/>
          <w:color w:val="auto"/>
          <w:sz w:val="21"/>
          <w:szCs w:val="21"/>
          <w:highlight w:val="none"/>
          <w:lang w:val="zh-CN"/>
        </w:rPr>
      </w:pPr>
    </w:p>
    <w:p w14:paraId="3ED97BBC">
      <w:pPr>
        <w:pageBreakBefore/>
        <w:spacing w:before="120" w:beforeLines="50" w:after="120" w:afterLines="50" w:line="360" w:lineRule="auto"/>
        <w:jc w:val="center"/>
        <w:outlineLvl w:val="1"/>
        <w:rPr>
          <w:rFonts w:ascii="宋体" w:hAnsi="宋体" w:eastAsia="宋体" w:cs="Times New Roman"/>
          <w:b/>
          <w:bCs/>
          <w:color w:val="auto"/>
          <w:sz w:val="32"/>
          <w:szCs w:val="32"/>
          <w:highlight w:val="none"/>
          <w:lang w:val="zh-CN"/>
        </w:rPr>
      </w:pPr>
      <w:bookmarkStart w:id="731" w:name="_Toc772"/>
      <w:bookmarkStart w:id="732" w:name="_Toc4630"/>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731"/>
      <w:bookmarkEnd w:id="732"/>
    </w:p>
    <w:p w14:paraId="4039A672">
      <w:pPr>
        <w:autoSpaceDE w:val="0"/>
        <w:autoSpaceDN w:val="0"/>
        <w:adjustRightInd w:val="0"/>
        <w:spacing w:after="120" w:afterLines="50" w:line="360" w:lineRule="auto"/>
        <w:jc w:val="left"/>
        <w:outlineLvl w:val="9"/>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一、不可撤销银行履约保函格式</w:t>
      </w:r>
    </w:p>
    <w:p w14:paraId="2F9C247A">
      <w:pPr>
        <w:autoSpaceDE w:val="0"/>
        <w:autoSpaceDN w:val="0"/>
        <w:adjustRightInd w:val="0"/>
        <w:jc w:val="center"/>
        <w:outlineLvl w:val="9"/>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028C1BDA">
      <w:pPr>
        <w:widowControl/>
        <w:autoSpaceDE w:val="0"/>
        <w:autoSpaceDN w:val="0"/>
        <w:adjustRightInd w:val="0"/>
        <w:spacing w:line="360" w:lineRule="auto"/>
        <w:jc w:val="left"/>
        <w:rPr>
          <w:rFonts w:ascii="宋体" w:hAnsi="宋体" w:eastAsia="宋体" w:cs="宋体"/>
          <w:color w:val="auto"/>
          <w:kern w:val="0"/>
          <w:szCs w:val="21"/>
          <w:highlight w:val="none"/>
        </w:rPr>
      </w:pPr>
    </w:p>
    <w:p w14:paraId="293A4BA6">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58C9F0C3">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52220D6C">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0A5296D0">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6205341B">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159DC36B">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569A6FE3">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4D56B57E">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rPr>
        <w:t>本保函应自合同签订之日起至合同期限届满并完成合同全部服务义务后二十八（</w:t>
      </w:r>
      <w:r>
        <w:rPr>
          <w:rFonts w:ascii="宋体" w:hAnsi="宋体" w:eastAsia="宋体" w:cs="Times New Roman"/>
          <w:color w:val="auto"/>
          <w:kern w:val="0"/>
          <w:szCs w:val="21"/>
        </w:rPr>
        <w:t>28）日内保持有效</w:t>
      </w:r>
      <w:r>
        <w:rPr>
          <w:rFonts w:hint="eastAsia" w:ascii="宋体" w:hAnsi="宋体" w:eastAsia="宋体" w:cs="Times New Roman"/>
          <w:color w:val="auto"/>
          <w:kern w:val="0"/>
          <w:szCs w:val="21"/>
          <w:highlight w:val="none"/>
        </w:rPr>
        <w:t>。</w:t>
      </w:r>
    </w:p>
    <w:p w14:paraId="0D1545B7">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2F4AE620">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40F29C4C">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0FDA35B3">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347348AB">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4BAC3BCB">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69AC735F">
      <w:pPr>
        <w:widowControl/>
        <w:autoSpaceDE w:val="0"/>
        <w:autoSpaceDN w:val="0"/>
        <w:adjustRightInd w:val="0"/>
        <w:spacing w:line="360" w:lineRule="auto"/>
        <w:jc w:val="left"/>
        <w:rPr>
          <w:rFonts w:ascii="宋体" w:hAnsi="宋体" w:eastAsia="宋体" w:cs="宋体"/>
          <w:color w:val="auto"/>
          <w:kern w:val="0"/>
          <w:szCs w:val="21"/>
          <w:highlight w:val="none"/>
        </w:rPr>
      </w:pPr>
    </w:p>
    <w:p w14:paraId="01DE0D95">
      <w:pPr>
        <w:widowControl/>
        <w:autoSpaceDE w:val="0"/>
        <w:autoSpaceDN w:val="0"/>
        <w:adjustRightInd w:val="0"/>
        <w:spacing w:line="360" w:lineRule="auto"/>
        <w:jc w:val="left"/>
        <w:rPr>
          <w:rFonts w:ascii="宋体" w:hAnsi="宋体" w:eastAsia="宋体" w:cs="宋体"/>
          <w:color w:val="auto"/>
          <w:kern w:val="0"/>
          <w:szCs w:val="21"/>
          <w:highlight w:val="none"/>
        </w:rPr>
      </w:pPr>
    </w:p>
    <w:p w14:paraId="5DC80EDD">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7" w:type="default"/>
          <w:pgSz w:w="12240" w:h="15840"/>
          <w:pgMar w:top="1191" w:right="1043" w:bottom="1191" w:left="1043" w:header="720" w:footer="720" w:gutter="0"/>
          <w:pgNumType w:fmt="decimal"/>
          <w:cols w:space="720" w:num="1"/>
          <w:docGrid w:linePitch="326" w:charSpace="0"/>
        </w:sectPr>
      </w:pPr>
    </w:p>
    <w:p w14:paraId="3790E11F">
      <w:pPr>
        <w:autoSpaceDE w:val="0"/>
        <w:autoSpaceDN w:val="0"/>
        <w:adjustRightInd w:val="0"/>
        <w:spacing w:after="120" w:afterLines="50" w:line="360" w:lineRule="auto"/>
        <w:jc w:val="left"/>
        <w:outlineLvl w:val="9"/>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rPr>
        <w:t>二、履约保证保险凭证格式</w:t>
      </w:r>
    </w:p>
    <w:p w14:paraId="34AA76A8">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489BE45D">
      <w:pPr>
        <w:autoSpaceDE w:val="0"/>
        <w:autoSpaceDN w:val="0"/>
        <w:adjustRightInd w:val="0"/>
        <w:jc w:val="center"/>
        <w:outlineLvl w:val="9"/>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62013600">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25A294E1">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7AE8098C">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59D336B7">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4C45BD9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69BDCA47">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48A37C5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4B031AE9">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二、保证保险的责任范围 </w:t>
      </w:r>
    </w:p>
    <w:p w14:paraId="052E931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493721FB">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三、代偿的安排 </w:t>
      </w:r>
    </w:p>
    <w:p w14:paraId="215EB59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3FD1187B">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四、生效时间 </w:t>
      </w:r>
    </w:p>
    <w:p w14:paraId="2EE42F7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18E2566B">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五、其他</w:t>
      </w:r>
    </w:p>
    <w:p w14:paraId="0805A7BC">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rPr>
        <w:t>本履约保证保险应自合同签订之日起至合同期限届满并完成合同全部服务义务后二十八（</w:t>
      </w:r>
      <w:r>
        <w:rPr>
          <w:rFonts w:ascii="宋体" w:hAnsi="宋体" w:eastAsia="宋体" w:cs="Times New Roman"/>
          <w:color w:val="auto"/>
          <w:kern w:val="0"/>
          <w:szCs w:val="21"/>
        </w:rPr>
        <w:t>28）日内保持有效</w:t>
      </w:r>
      <w:r>
        <w:rPr>
          <w:rFonts w:hint="eastAsia" w:ascii="宋体" w:hAnsi="宋体" w:eastAsia="宋体" w:cs="Times New Roman"/>
          <w:color w:val="auto"/>
          <w:kern w:val="0"/>
          <w:szCs w:val="21"/>
          <w:highlight w:val="none"/>
        </w:rPr>
        <w:t>。</w:t>
      </w:r>
    </w:p>
    <w:p w14:paraId="3A64EF97">
      <w:pPr>
        <w:numPr>
          <w:ilvl w:val="0"/>
          <w:numId w:val="0"/>
        </w:numPr>
        <w:outlineLvl w:val="9"/>
        <w:rPr>
          <w:rFonts w:hint="default"/>
          <w:color w:val="auto"/>
          <w:highlight w:val="none"/>
          <w:lang w:val="en-US" w:eastAsia="zh-CN"/>
        </w:rPr>
      </w:pPr>
    </w:p>
    <w:p w14:paraId="5019A8C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11EF8B04">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1CBF5DE6">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74D29900">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37BB5C1F">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color w:val="auto"/>
          <w:kern w:val="0"/>
          <w:sz w:val="28"/>
          <w:szCs w:val="28"/>
          <w:highlight w:val="none"/>
        </w:rPr>
        <w:br w:type="page"/>
      </w:r>
    </w:p>
    <w:p w14:paraId="315549EA">
      <w:pPr>
        <w:autoSpaceDE w:val="0"/>
        <w:autoSpaceDN w:val="0"/>
        <w:adjustRightInd w:val="0"/>
        <w:spacing w:after="120" w:afterLines="50" w:line="360" w:lineRule="auto"/>
        <w:jc w:val="left"/>
        <w:outlineLvl w:val="9"/>
        <w:rPr>
          <w:rFonts w:hint="eastAsia"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14:paraId="5B444456">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0FDD253F">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087A7145">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1F076568">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5EE94C05">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1E5F36C7">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60EC8AA2">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本保函应自合同签订之日起至合同期限届满并完成合同全部服务义务后二十八（28）日内保持有效。</w:t>
      </w:r>
    </w:p>
    <w:p w14:paraId="00F7EEAB">
      <w:pPr>
        <w:autoSpaceDE w:val="0"/>
        <w:autoSpaceDN w:val="0"/>
        <w:adjustRightInd w:val="0"/>
        <w:spacing w:line="360" w:lineRule="auto"/>
        <w:jc w:val="left"/>
        <w:rPr>
          <w:rFonts w:ascii="宋体" w:hAnsi="宋体" w:eastAsia="宋体" w:cs="Times New Roman"/>
          <w:color w:val="auto"/>
          <w:kern w:val="0"/>
          <w:szCs w:val="21"/>
          <w:highlight w:val="none"/>
        </w:rPr>
      </w:pPr>
    </w:p>
    <w:p w14:paraId="3B48F31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084DFA5F">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2E0F5F94">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5E67F412">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0D4B346C">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78292780">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3EE8EE2E">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0C9DD3BA">
      <w:pPr>
        <w:autoSpaceDE w:val="0"/>
        <w:autoSpaceDN w:val="0"/>
        <w:adjustRightInd w:val="0"/>
        <w:spacing w:line="360" w:lineRule="auto"/>
        <w:jc w:val="left"/>
        <w:rPr>
          <w:rFonts w:ascii="宋体" w:hAnsi="宋体" w:eastAsia="宋体" w:cs="Times New Roman"/>
          <w:color w:val="auto"/>
          <w:kern w:val="0"/>
          <w:szCs w:val="21"/>
          <w:highlight w:val="none"/>
        </w:rPr>
      </w:pPr>
    </w:p>
    <w:p w14:paraId="670A06A0">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AD172A1">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35DA660F">
      <w:pPr>
        <w:rPr>
          <w:color w:val="auto"/>
          <w:highlight w:val="none"/>
          <w:lang w:val="zh-CN"/>
        </w:rPr>
      </w:pPr>
    </w:p>
    <w:p w14:paraId="2AE6CA67">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120A2D76">
      <w:pPr>
        <w:widowControl/>
        <w:autoSpaceDE w:val="0"/>
        <w:autoSpaceDN w:val="0"/>
        <w:adjustRightInd w:val="0"/>
        <w:spacing w:line="360" w:lineRule="auto"/>
        <w:ind w:left="436" w:leftChars="-59" w:hanging="560" w:hangingChars="267"/>
        <w:jc w:val="left"/>
        <w:rPr>
          <w:rFonts w:ascii="宋体" w:hAnsi="宋体" w:eastAsia="宋体" w:cs="宋体"/>
          <w:color w:val="auto"/>
          <w:szCs w:val="24"/>
          <w:highlight w:val="none"/>
          <w:lang w:val="zh-CN"/>
        </w:rPr>
      </w:pPr>
    </w:p>
    <w:p w14:paraId="507439CA">
      <w:pPr>
        <w:rPr>
          <w:color w:val="auto"/>
          <w:lang w:val="zh-CN"/>
        </w:rPr>
      </w:pPr>
    </w:p>
    <w:p w14:paraId="5EA7422B">
      <w:pPr>
        <w:pageBreakBefore/>
        <w:numPr>
          <w:ilvl w:val="0"/>
          <w:numId w:val="0"/>
        </w:numPr>
        <w:tabs>
          <w:tab w:val="left" w:pos="1080"/>
        </w:tabs>
        <w:autoSpaceDE w:val="0"/>
        <w:autoSpaceDN w:val="0"/>
        <w:adjustRightInd w:val="0"/>
        <w:spacing w:line="360" w:lineRule="auto"/>
        <w:ind w:left="357" w:leftChars="-100" w:hanging="567" w:firstLineChars="0"/>
        <w:jc w:val="center"/>
        <w:outlineLvl w:val="0"/>
        <w:rPr>
          <w:rFonts w:hint="eastAsia" w:ascii="宋体" w:hAnsi="宋体" w:eastAsia="宋体" w:cs="宋体"/>
          <w:b/>
          <w:bCs/>
          <w:color w:val="auto"/>
          <w:kern w:val="44"/>
          <w:sz w:val="32"/>
          <w:szCs w:val="32"/>
          <w:lang w:val="zh-CN" w:eastAsia="zh-CN" w:bidi="ar-SA"/>
        </w:rPr>
        <w:sectPr>
          <w:headerReference r:id="rId8" w:type="first"/>
          <w:footerReference r:id="rId10" w:type="first"/>
          <w:footerReference r:id="rId9" w:type="default"/>
          <w:pgSz w:w="12240" w:h="15840"/>
          <w:pgMar w:top="1191" w:right="1043" w:bottom="1191" w:left="1043" w:header="720" w:footer="720" w:gutter="0"/>
          <w:pgNumType w:fmt="decimal"/>
          <w:cols w:space="720" w:num="1"/>
          <w:docGrid w:linePitch="326" w:charSpace="0"/>
        </w:sectPr>
      </w:pPr>
      <w:bookmarkStart w:id="733" w:name="_Toc20393"/>
      <w:bookmarkStart w:id="734" w:name="_Toc29705"/>
    </w:p>
    <w:p w14:paraId="39426056">
      <w:pPr>
        <w:pageBreakBefore/>
        <w:numPr>
          <w:ilvl w:val="0"/>
          <w:numId w:val="0"/>
        </w:numPr>
        <w:tabs>
          <w:tab w:val="left" w:pos="1080"/>
        </w:tabs>
        <w:autoSpaceDE w:val="0"/>
        <w:autoSpaceDN w:val="0"/>
        <w:adjustRightInd w:val="0"/>
        <w:spacing w:line="360" w:lineRule="auto"/>
        <w:ind w:left="357" w:leftChars="-100" w:hanging="567" w:firstLineChars="0"/>
        <w:jc w:val="center"/>
        <w:outlineLvl w:val="0"/>
        <w:rPr>
          <w:rFonts w:hint="eastAsia" w:ascii="宋体" w:hAnsi="宋体" w:eastAsia="宋体" w:cs="宋体"/>
          <w:b/>
          <w:bCs/>
          <w:color w:val="auto"/>
          <w:kern w:val="44"/>
          <w:sz w:val="32"/>
          <w:szCs w:val="32"/>
          <w:highlight w:val="none"/>
          <w:lang w:val="zh-CN"/>
        </w:rPr>
      </w:pPr>
      <w:r>
        <w:rPr>
          <w:rFonts w:hint="eastAsia" w:ascii="宋体" w:hAnsi="宋体" w:eastAsia="宋体" w:cs="宋体"/>
          <w:b/>
          <w:bCs/>
          <w:color w:val="auto"/>
          <w:kern w:val="44"/>
          <w:sz w:val="32"/>
          <w:szCs w:val="32"/>
          <w:lang w:val="zh-CN" w:eastAsia="zh-CN" w:bidi="ar-SA"/>
        </w:rPr>
        <w:t>第六篇</w:t>
      </w:r>
      <w:r>
        <w:rPr>
          <w:rFonts w:hint="eastAsia" w:ascii="宋体" w:hAnsi="宋体" w:eastAsia="宋体" w:cs="宋体"/>
          <w:b/>
          <w:bCs/>
          <w:color w:val="auto"/>
          <w:kern w:val="44"/>
          <w:sz w:val="32"/>
          <w:szCs w:val="32"/>
          <w:highlight w:val="none"/>
          <w:lang w:val="en-US" w:eastAsia="zh-CN"/>
        </w:rPr>
        <w:t xml:space="preserve"> </w:t>
      </w:r>
      <w:r>
        <w:rPr>
          <w:rFonts w:hint="eastAsia" w:ascii="宋体" w:hAnsi="宋体" w:eastAsia="宋体" w:cs="宋体"/>
          <w:b/>
          <w:bCs/>
          <w:color w:val="auto"/>
          <w:kern w:val="44"/>
          <w:sz w:val="32"/>
          <w:szCs w:val="32"/>
          <w:highlight w:val="none"/>
          <w:lang w:val="zh-CN"/>
        </w:rPr>
        <w:t>投标文件格式</w:t>
      </w:r>
      <w:bookmarkEnd w:id="506"/>
      <w:bookmarkEnd w:id="507"/>
      <w:bookmarkEnd w:id="508"/>
      <w:bookmarkEnd w:id="509"/>
      <w:bookmarkEnd w:id="510"/>
      <w:bookmarkEnd w:id="511"/>
      <w:bookmarkEnd w:id="512"/>
      <w:bookmarkEnd w:id="733"/>
      <w:bookmarkEnd w:id="734"/>
    </w:p>
    <w:p w14:paraId="582CF281">
      <w:pPr>
        <w:pStyle w:val="52"/>
        <w:numPr>
          <w:ilvl w:val="0"/>
          <w:numId w:val="0"/>
        </w:numPr>
        <w:jc w:val="center"/>
        <w:outlineLvl w:val="1"/>
        <w:rPr>
          <w:rFonts w:hint="eastAsia" w:ascii="宋体" w:hAnsi="宋体" w:eastAsia="宋体" w:cs="宋体"/>
          <w:b/>
          <w:bCs w:val="0"/>
          <w:color w:val="auto"/>
          <w:sz w:val="32"/>
          <w:szCs w:val="32"/>
          <w:highlight w:val="none"/>
          <w:lang w:val="en-US" w:eastAsia="zh-CN"/>
        </w:rPr>
      </w:pPr>
      <w:bookmarkStart w:id="735" w:name="_Toc11545"/>
      <w:r>
        <w:rPr>
          <w:rFonts w:hint="eastAsia" w:ascii="宋体" w:hAnsi="宋体" w:eastAsia="宋体" w:cs="宋体"/>
          <w:b/>
          <w:bCs w:val="0"/>
          <w:color w:val="auto"/>
          <w:sz w:val="32"/>
          <w:szCs w:val="32"/>
          <w:highlight w:val="none"/>
          <w:lang w:val="en-US" w:eastAsia="zh-CN"/>
        </w:rPr>
        <w:t>一 商务标格式</w:t>
      </w:r>
      <w:bookmarkEnd w:id="735"/>
    </w:p>
    <w:p w14:paraId="24A7D1CD">
      <w:pPr>
        <w:pStyle w:val="19"/>
        <w:spacing w:line="360" w:lineRule="auto"/>
        <w:jc w:val="center"/>
        <w:rPr>
          <w:rFonts w:hint="eastAsia" w:ascii="宋体" w:hAnsi="宋体" w:eastAsia="宋体" w:cs="宋体"/>
          <w:color w:val="auto"/>
          <w:sz w:val="84"/>
          <w:highlight w:val="none"/>
        </w:rPr>
        <w:sectPr>
          <w:footerReference r:id="rId11" w:type="default"/>
          <w:pgSz w:w="12240" w:h="15840"/>
          <w:pgMar w:top="1191" w:right="1043" w:bottom="1191" w:left="1043" w:header="720" w:footer="720" w:gutter="0"/>
          <w:pgNumType w:fmt="decimal"/>
          <w:cols w:space="720" w:num="1"/>
          <w:docGrid w:linePitch="326" w:charSpace="0"/>
        </w:sectPr>
      </w:pPr>
      <w:bookmarkStart w:id="736" w:name="_Toc102860411"/>
      <w:bookmarkStart w:id="737" w:name="_Toc533708121"/>
      <w:bookmarkStart w:id="738" w:name="_Toc104991868"/>
      <w:bookmarkStart w:id="739" w:name="_Toc94107202"/>
      <w:bookmarkStart w:id="740" w:name="_Toc142508362"/>
      <w:bookmarkStart w:id="741" w:name="_Toc140596921"/>
      <w:bookmarkStart w:id="742" w:name="_Toc102860067"/>
      <w:bookmarkStart w:id="743" w:name="_Toc1977721"/>
      <w:bookmarkStart w:id="744" w:name="_Toc21133_WPSOffice_Level2"/>
      <w:bookmarkStart w:id="745" w:name="_Toc486167709"/>
    </w:p>
    <w:p w14:paraId="55D1CCE7">
      <w:pPr>
        <w:pStyle w:val="19"/>
        <w:spacing w:line="360" w:lineRule="auto"/>
        <w:jc w:val="center"/>
        <w:rPr>
          <w:rFonts w:hint="eastAsia" w:ascii="宋体" w:hAnsi="宋体" w:eastAsia="宋体" w:cs="宋体"/>
          <w:color w:val="auto"/>
          <w:sz w:val="84"/>
          <w:highlight w:val="none"/>
        </w:rPr>
      </w:pPr>
    </w:p>
    <w:p w14:paraId="6D9BF706">
      <w:pPr>
        <w:pStyle w:val="19"/>
        <w:spacing w:line="360" w:lineRule="auto"/>
        <w:jc w:val="center"/>
        <w:rPr>
          <w:rFonts w:hint="eastAsia" w:ascii="宋体" w:hAnsi="宋体" w:eastAsia="宋体" w:cs="宋体"/>
          <w:color w:val="auto"/>
          <w:sz w:val="84"/>
          <w:highlight w:val="none"/>
        </w:rPr>
      </w:pPr>
    </w:p>
    <w:p w14:paraId="0DA52DC3">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566318F2">
      <w:pPr>
        <w:pStyle w:val="19"/>
        <w:spacing w:line="360" w:lineRule="auto"/>
        <w:rPr>
          <w:rFonts w:hint="eastAsia" w:ascii="宋体" w:hAnsi="宋体" w:eastAsia="宋体" w:cs="宋体"/>
          <w:color w:val="auto"/>
          <w:highlight w:val="none"/>
        </w:rPr>
      </w:pPr>
    </w:p>
    <w:p w14:paraId="6ED5FB9F">
      <w:pPr>
        <w:pStyle w:val="19"/>
        <w:spacing w:line="360" w:lineRule="auto"/>
        <w:rPr>
          <w:rFonts w:hint="eastAsia" w:ascii="宋体" w:hAnsi="宋体" w:eastAsia="宋体" w:cs="宋体"/>
          <w:color w:val="auto"/>
          <w:highlight w:val="none"/>
        </w:rPr>
      </w:pPr>
    </w:p>
    <w:p w14:paraId="2BCA16E6">
      <w:pPr>
        <w:pStyle w:val="19"/>
        <w:spacing w:line="360" w:lineRule="auto"/>
        <w:rPr>
          <w:rFonts w:hint="eastAsia" w:ascii="宋体" w:hAnsi="宋体" w:eastAsia="宋体" w:cs="宋体"/>
          <w:color w:val="auto"/>
          <w:highlight w:val="none"/>
        </w:rPr>
      </w:pPr>
    </w:p>
    <w:p w14:paraId="5A5D4796">
      <w:pPr>
        <w:pStyle w:val="19"/>
        <w:spacing w:line="360" w:lineRule="auto"/>
        <w:rPr>
          <w:rFonts w:hint="eastAsia" w:ascii="宋体" w:hAnsi="宋体" w:eastAsia="宋体" w:cs="宋体"/>
          <w:color w:val="auto"/>
          <w:highlight w:val="none"/>
        </w:rPr>
      </w:pPr>
    </w:p>
    <w:p w14:paraId="3974261B">
      <w:pPr>
        <w:pStyle w:val="19"/>
        <w:spacing w:line="360" w:lineRule="auto"/>
        <w:rPr>
          <w:rFonts w:hint="eastAsia" w:ascii="宋体" w:hAnsi="宋体" w:eastAsia="宋体" w:cs="宋体"/>
          <w:color w:val="auto"/>
          <w:highlight w:val="none"/>
        </w:rPr>
      </w:pPr>
    </w:p>
    <w:p w14:paraId="4AB1F8BF">
      <w:pPr>
        <w:pStyle w:val="19"/>
        <w:spacing w:line="360" w:lineRule="auto"/>
        <w:rPr>
          <w:rFonts w:hint="eastAsia" w:ascii="宋体" w:hAnsi="宋体" w:eastAsia="宋体" w:cs="宋体"/>
          <w:color w:val="auto"/>
          <w:highlight w:val="none"/>
        </w:rPr>
      </w:pPr>
    </w:p>
    <w:p w14:paraId="1C08602B">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2B500EC">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3E82094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投标文件商务标 </w:t>
      </w:r>
    </w:p>
    <w:p w14:paraId="527AF47B">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4436A9FD">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（企业数字证书电子签名）   </w:t>
      </w:r>
    </w:p>
    <w:p w14:paraId="67989725">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6D22168C">
      <w:pPr>
        <w:pStyle w:val="19"/>
        <w:spacing w:line="360" w:lineRule="auto"/>
        <w:rPr>
          <w:rFonts w:hint="eastAsia" w:ascii="宋体" w:hAnsi="宋体" w:eastAsia="宋体" w:cs="宋体"/>
          <w:color w:val="auto"/>
          <w:highlight w:val="none"/>
        </w:rPr>
      </w:pPr>
    </w:p>
    <w:p w14:paraId="6FC4913E">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AEFC0BC">
      <w:pPr>
        <w:pStyle w:val="19"/>
        <w:spacing w:line="500" w:lineRule="exact"/>
        <w:jc w:val="center"/>
        <w:outlineLvl w:val="1"/>
        <w:rPr>
          <w:rFonts w:hint="eastAsia" w:ascii="宋体" w:hAnsi="宋体" w:eastAsia="宋体" w:cs="宋体"/>
          <w:b/>
          <w:bCs/>
          <w:color w:val="auto"/>
          <w:sz w:val="24"/>
          <w:szCs w:val="24"/>
          <w:highlight w:val="none"/>
        </w:rPr>
      </w:pPr>
      <w:bookmarkStart w:id="746" w:name="_Toc17612"/>
      <w:bookmarkStart w:id="747" w:name="_Toc10999"/>
      <w:bookmarkStart w:id="748" w:name="_Toc195714374"/>
      <w:bookmarkStart w:id="749" w:name="_Toc31361"/>
      <w:bookmarkStart w:id="750" w:name="_Toc27422"/>
      <w:bookmarkStart w:id="751" w:name="_Toc25406"/>
      <w:bookmarkStart w:id="752" w:name="_Toc16205"/>
      <w:r>
        <w:rPr>
          <w:rFonts w:hint="eastAsia" w:ascii="宋体" w:hAnsi="宋体" w:eastAsia="宋体" w:cs="宋体"/>
          <w:b/>
          <w:bCs/>
          <w:color w:val="auto"/>
          <w:sz w:val="24"/>
          <w:szCs w:val="24"/>
          <w:highlight w:val="none"/>
        </w:rPr>
        <w:t>目录</w:t>
      </w:r>
      <w:bookmarkEnd w:id="746"/>
      <w:bookmarkEnd w:id="747"/>
      <w:bookmarkEnd w:id="748"/>
      <w:bookmarkEnd w:id="749"/>
      <w:bookmarkEnd w:id="750"/>
      <w:bookmarkEnd w:id="751"/>
      <w:bookmarkEnd w:id="752"/>
    </w:p>
    <w:p w14:paraId="01C373B8">
      <w:pPr>
        <w:spacing w:line="360" w:lineRule="auto"/>
        <w:ind w:firstLine="420" w:firstLineChars="200"/>
        <w:rPr>
          <w:rFonts w:hint="eastAsia" w:ascii="宋体" w:hAnsi="宋体" w:eastAsia="宋体" w:cs="宋体"/>
          <w:color w:val="auto"/>
          <w:lang w:val="zh-CN"/>
        </w:rPr>
      </w:pPr>
      <w:r>
        <w:rPr>
          <w:rFonts w:hint="eastAsia" w:ascii="宋体" w:hAnsi="宋体" w:eastAsia="宋体" w:cs="宋体"/>
          <w:color w:val="auto"/>
        </w:rPr>
        <w:t>一、</w:t>
      </w:r>
      <w:r>
        <w:rPr>
          <w:rFonts w:hint="eastAsia" w:ascii="宋体" w:hAnsi="宋体" w:eastAsia="宋体" w:cs="宋体"/>
          <w:color w:val="auto"/>
          <w:lang w:val="zh-CN"/>
        </w:rPr>
        <w:t>投标函；</w:t>
      </w:r>
    </w:p>
    <w:p w14:paraId="48834864">
      <w:pPr>
        <w:spacing w:line="360" w:lineRule="auto"/>
        <w:ind w:firstLine="420" w:firstLineChars="200"/>
        <w:rPr>
          <w:rFonts w:hint="eastAsia" w:ascii="宋体" w:hAnsi="宋体" w:eastAsia="宋体" w:cs="宋体"/>
          <w:color w:val="auto"/>
          <w:lang w:val="zh-CN"/>
        </w:rPr>
      </w:pPr>
      <w:r>
        <w:rPr>
          <w:rFonts w:hint="eastAsia" w:ascii="宋体" w:hAnsi="宋体" w:eastAsia="宋体" w:cs="宋体"/>
          <w:color w:val="auto"/>
          <w:lang w:val="en-US" w:eastAsia="zh-CN"/>
        </w:rPr>
        <w:t>二</w:t>
      </w:r>
      <w:r>
        <w:rPr>
          <w:rFonts w:hint="eastAsia" w:ascii="宋体" w:hAnsi="宋体" w:eastAsia="宋体" w:cs="宋体"/>
          <w:color w:val="auto"/>
          <w:lang w:val="zh-CN"/>
        </w:rPr>
        <w:t>、投标承诺书；</w:t>
      </w:r>
    </w:p>
    <w:p w14:paraId="4DD064D7">
      <w:pPr>
        <w:spacing w:line="360" w:lineRule="auto"/>
        <w:ind w:firstLine="420" w:firstLineChars="200"/>
        <w:rPr>
          <w:rFonts w:hint="eastAsia" w:ascii="宋体" w:hAnsi="宋体" w:eastAsia="宋体" w:cs="宋体"/>
          <w:color w:val="auto"/>
          <w:lang w:val="zh-CN"/>
        </w:rPr>
      </w:pPr>
      <w:r>
        <w:rPr>
          <w:rFonts w:hint="eastAsia" w:ascii="宋体" w:hAnsi="宋体" w:eastAsia="宋体" w:cs="宋体"/>
          <w:color w:val="auto"/>
          <w:lang w:val="zh-CN"/>
        </w:rPr>
        <w:t>三、供货及/或提供服务过程承诺函；</w:t>
      </w:r>
    </w:p>
    <w:p w14:paraId="47697922">
      <w:pPr>
        <w:spacing w:line="360" w:lineRule="auto"/>
        <w:ind w:firstLine="420" w:firstLineChars="200"/>
        <w:rPr>
          <w:rFonts w:hint="eastAsia" w:ascii="宋体" w:hAnsi="宋体" w:eastAsia="宋体" w:cs="宋体"/>
          <w:color w:val="auto"/>
          <w:lang w:val="zh-CN"/>
        </w:rPr>
      </w:pPr>
      <w:r>
        <w:rPr>
          <w:rFonts w:hint="eastAsia" w:ascii="宋体" w:hAnsi="宋体" w:eastAsia="宋体" w:cs="宋体"/>
          <w:color w:val="auto"/>
          <w:lang w:val="zh-CN"/>
        </w:rPr>
        <w:t>四、投标报价表格式；</w:t>
      </w:r>
    </w:p>
    <w:p w14:paraId="27ECD6CB">
      <w:pPr>
        <w:spacing w:line="360" w:lineRule="auto"/>
        <w:ind w:firstLine="420" w:firstLineChars="200"/>
        <w:rPr>
          <w:rFonts w:hint="eastAsia" w:ascii="宋体" w:hAnsi="宋体" w:eastAsia="宋体" w:cs="宋体"/>
          <w:color w:val="auto"/>
          <w:lang w:val="zh-CN"/>
        </w:rPr>
      </w:pPr>
      <w:r>
        <w:rPr>
          <w:rFonts w:hint="eastAsia" w:ascii="宋体" w:hAnsi="宋体" w:eastAsia="宋体" w:cs="宋体"/>
          <w:color w:val="auto"/>
          <w:lang w:val="zh-CN"/>
        </w:rPr>
        <w:t>五、投标人资格证明文件：</w:t>
      </w:r>
    </w:p>
    <w:p w14:paraId="2B47791E">
      <w:pPr>
        <w:spacing w:line="360" w:lineRule="auto"/>
        <w:ind w:firstLine="420" w:firstLineChars="200"/>
        <w:rPr>
          <w:rFonts w:hint="eastAsia" w:ascii="宋体" w:hAnsi="宋体" w:eastAsia="宋体" w:cs="宋体"/>
          <w:color w:val="auto"/>
          <w:lang w:val="zh-CN"/>
        </w:rPr>
      </w:pPr>
      <w:r>
        <w:rPr>
          <w:rFonts w:hint="eastAsia" w:ascii="宋体" w:hAnsi="宋体" w:eastAsia="宋体" w:cs="宋体"/>
          <w:color w:val="auto"/>
          <w:lang w:val="en-US" w:eastAsia="zh-CN"/>
        </w:rPr>
        <w:t>5.1</w:t>
      </w:r>
      <w:r>
        <w:rPr>
          <w:rFonts w:hint="eastAsia" w:ascii="宋体" w:hAnsi="宋体" w:eastAsia="宋体" w:cs="宋体"/>
          <w:color w:val="auto"/>
          <w:lang w:val="zh-CN"/>
        </w:rPr>
        <w:t>多证合一营业执照</w:t>
      </w:r>
      <w:r>
        <w:rPr>
          <w:rFonts w:hint="eastAsia" w:ascii="宋体" w:hAnsi="宋体" w:eastAsia="宋体" w:cs="宋体"/>
          <w:color w:val="auto"/>
        </w:rPr>
        <w:t>（或事业单位法人证书）</w:t>
      </w:r>
      <w:r>
        <w:rPr>
          <w:rFonts w:hint="eastAsia" w:ascii="宋体" w:hAnsi="宋体" w:eastAsia="宋体" w:cs="宋体"/>
          <w:color w:val="auto"/>
          <w:lang w:val="en-US" w:eastAsia="zh-CN"/>
        </w:rPr>
        <w:t>原件扫</w:t>
      </w:r>
      <w:r>
        <w:rPr>
          <w:rFonts w:hint="eastAsia" w:ascii="宋体" w:hAnsi="宋体" w:eastAsia="宋体" w:cs="宋体"/>
          <w:color w:val="auto"/>
          <w:lang w:val="zh-CN"/>
        </w:rPr>
        <w:t>描件；</w:t>
      </w:r>
    </w:p>
    <w:p w14:paraId="645515A0">
      <w:pPr>
        <w:spacing w:line="360" w:lineRule="auto"/>
        <w:ind w:firstLine="420" w:firstLineChars="200"/>
        <w:rPr>
          <w:rFonts w:hint="eastAsia" w:ascii="宋体" w:hAnsi="宋体" w:eastAsia="宋体" w:cs="宋体"/>
          <w:color w:val="auto"/>
          <w:lang w:val="zh-CN"/>
        </w:rPr>
      </w:pPr>
      <w:r>
        <w:rPr>
          <w:rFonts w:hint="eastAsia" w:ascii="宋体" w:hAnsi="宋体" w:eastAsia="宋体" w:cs="宋体"/>
          <w:color w:val="auto"/>
          <w:lang w:val="en-US" w:eastAsia="zh-CN"/>
        </w:rPr>
        <w:t>5.2</w:t>
      </w:r>
      <w:r>
        <w:rPr>
          <w:rFonts w:hint="eastAsia" w:ascii="宋体" w:hAnsi="宋体" w:eastAsia="宋体" w:cs="宋体"/>
          <w:color w:val="auto"/>
          <w:lang w:val="zh-CN"/>
        </w:rPr>
        <w:t>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14:paraId="05AD32B9">
      <w:pPr>
        <w:spacing w:line="360" w:lineRule="auto"/>
        <w:ind w:firstLine="420" w:firstLineChars="200"/>
        <w:rPr>
          <w:rFonts w:hint="eastAsia" w:ascii="宋体" w:hAnsi="宋体" w:eastAsia="宋体" w:cs="宋体"/>
          <w:color w:val="auto"/>
          <w:lang w:val="zh-CN"/>
        </w:rPr>
      </w:pPr>
      <w:r>
        <w:rPr>
          <w:rFonts w:hint="eastAsia" w:ascii="宋体" w:hAnsi="宋体" w:eastAsia="宋体" w:cs="宋体"/>
          <w:color w:val="auto"/>
          <w:lang w:val="en-US" w:eastAsia="zh-CN"/>
        </w:rPr>
        <w:t>5.3</w:t>
      </w:r>
      <w:r>
        <w:rPr>
          <w:rFonts w:hint="eastAsia" w:ascii="宋体" w:hAnsi="宋体" w:eastAsia="宋体" w:cs="宋体"/>
          <w:color w:val="auto"/>
          <w:lang w:val="zh-CN"/>
        </w:rPr>
        <w:t>法定代表人身份证明书和法定代表人授权书（法定代表人投标时只提供法定代表人身份证明书，委托</w:t>
      </w:r>
      <w:r>
        <w:rPr>
          <w:rFonts w:hint="eastAsia" w:ascii="宋体" w:hAnsi="宋体" w:eastAsia="宋体" w:cs="宋体"/>
          <w:color w:val="auto"/>
        </w:rPr>
        <w:t>他人</w:t>
      </w:r>
      <w:r>
        <w:rPr>
          <w:rFonts w:hint="eastAsia" w:ascii="宋体" w:hAnsi="宋体" w:eastAsia="宋体" w:cs="宋体"/>
          <w:color w:val="auto"/>
          <w:lang w:val="zh-CN"/>
        </w:rPr>
        <w:t>为投标代表时同时提供法定代表人授权书）；</w:t>
      </w:r>
    </w:p>
    <w:p w14:paraId="6841689A">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lang w:val="en-US" w:eastAsia="zh-CN"/>
        </w:rPr>
        <w:t>5.4</w:t>
      </w:r>
      <w:r>
        <w:rPr>
          <w:rFonts w:hint="eastAsia" w:ascii="宋体" w:hAnsi="宋体" w:eastAsia="宋体" w:cs="宋体"/>
          <w:color w:val="auto"/>
        </w:rPr>
        <w:t>资格业绩【</w:t>
      </w:r>
      <w:r>
        <w:rPr>
          <w:rFonts w:hint="eastAsia" w:ascii="宋体" w:hAnsi="宋体" w:eastAsia="宋体" w:cs="宋体"/>
          <w:color w:val="auto"/>
          <w:lang w:val="zh-CN"/>
        </w:rPr>
        <w:t>投标人202</w:t>
      </w:r>
      <w:r>
        <w:rPr>
          <w:rFonts w:hint="eastAsia" w:ascii="宋体" w:hAnsi="宋体" w:eastAsia="宋体" w:cs="宋体"/>
          <w:color w:val="auto"/>
          <w:lang w:val="en-US" w:eastAsia="zh-CN"/>
        </w:rPr>
        <w:t>2</w:t>
      </w:r>
      <w:r>
        <w:rPr>
          <w:rFonts w:hint="eastAsia" w:ascii="宋体" w:hAnsi="宋体" w:eastAsia="宋体" w:cs="宋体"/>
          <w:color w:val="auto"/>
          <w:lang w:val="zh-CN"/>
        </w:rPr>
        <w:t>年1月1日以来(以合同签订日期为准)至少承接一个物业管理服务项目业绩(服务内容必须为物业管理服务且同时包含保洁（或清洁或环境卫生）及保安（或安保或秩序维护）服务，合同签订日期为</w:t>
      </w:r>
      <w:r>
        <w:rPr>
          <w:rFonts w:hint="eastAsia" w:ascii="宋体" w:hAnsi="宋体" w:eastAsia="宋体" w:cs="宋体"/>
          <w:color w:val="auto"/>
          <w:lang w:val="en-US" w:eastAsia="zh-CN"/>
        </w:rPr>
        <w:t>2022</w:t>
      </w:r>
      <w:r>
        <w:rPr>
          <w:rFonts w:hint="eastAsia" w:ascii="宋体" w:hAnsi="宋体" w:eastAsia="宋体" w:cs="宋体"/>
          <w:color w:val="auto"/>
          <w:lang w:val="zh-CN"/>
        </w:rPr>
        <w:t>年</w:t>
      </w:r>
      <w:r>
        <w:rPr>
          <w:rFonts w:hint="eastAsia" w:ascii="宋体" w:hAnsi="宋体" w:eastAsia="宋体" w:cs="宋体"/>
          <w:color w:val="auto"/>
          <w:lang w:val="en-US" w:eastAsia="zh-CN"/>
        </w:rPr>
        <w:t>1</w:t>
      </w:r>
      <w:r>
        <w:rPr>
          <w:rFonts w:hint="eastAsia" w:ascii="宋体" w:hAnsi="宋体" w:eastAsia="宋体" w:cs="宋体"/>
          <w:color w:val="auto"/>
          <w:lang w:val="zh-CN"/>
        </w:rPr>
        <w:t>月</w:t>
      </w:r>
      <w:r>
        <w:rPr>
          <w:rFonts w:hint="eastAsia" w:ascii="宋体" w:hAnsi="宋体" w:eastAsia="宋体" w:cs="宋体"/>
          <w:color w:val="auto"/>
          <w:lang w:val="en-US" w:eastAsia="zh-CN"/>
        </w:rPr>
        <w:t>1</w:t>
      </w:r>
      <w:r>
        <w:rPr>
          <w:rFonts w:hint="eastAsia" w:ascii="宋体" w:hAnsi="宋体" w:eastAsia="宋体" w:cs="宋体"/>
          <w:color w:val="auto"/>
          <w:lang w:val="zh-CN"/>
        </w:rPr>
        <w:t>日或以后）</w:t>
      </w:r>
      <w:r>
        <w:rPr>
          <w:rFonts w:hint="eastAsia" w:ascii="宋体" w:hAnsi="宋体" w:eastAsia="宋体" w:cs="宋体"/>
          <w:color w:val="auto"/>
        </w:rPr>
        <w:t>，资格业绩证明材料提交要求详见招标文件第六篇投标文件格式</w:t>
      </w:r>
      <w:r>
        <w:rPr>
          <w:rFonts w:hint="eastAsia" w:ascii="宋体" w:hAnsi="宋体" w:eastAsia="宋体" w:cs="宋体"/>
          <w:color w:val="auto"/>
          <w:lang w:val="en-US" w:eastAsia="zh-CN"/>
        </w:rPr>
        <w:t>5</w:t>
      </w:r>
      <w:r>
        <w:rPr>
          <w:rFonts w:hint="eastAsia" w:ascii="宋体" w:hAnsi="宋体" w:eastAsia="宋体" w:cs="宋体"/>
          <w:color w:val="auto"/>
        </w:rPr>
        <w:t>.</w:t>
      </w:r>
      <w:r>
        <w:rPr>
          <w:rFonts w:hint="eastAsia" w:ascii="宋体" w:hAnsi="宋体" w:eastAsia="宋体" w:cs="宋体"/>
          <w:color w:val="auto"/>
          <w:lang w:val="en-US" w:eastAsia="zh-CN"/>
        </w:rPr>
        <w:t>4</w:t>
      </w:r>
      <w:r>
        <w:rPr>
          <w:rFonts w:hint="eastAsia" w:ascii="宋体" w:hAnsi="宋体" w:eastAsia="宋体" w:cs="宋体"/>
          <w:color w:val="auto"/>
        </w:rPr>
        <w:t>】</w:t>
      </w:r>
      <w:r>
        <w:rPr>
          <w:rFonts w:hint="eastAsia" w:ascii="宋体" w:hAnsi="宋体" w:eastAsia="宋体" w:cs="宋体"/>
          <w:color w:val="auto"/>
          <w:lang w:eastAsia="zh-CN"/>
        </w:rPr>
        <w:t>；</w:t>
      </w:r>
    </w:p>
    <w:p w14:paraId="4E310604">
      <w:pPr>
        <w:spacing w:line="360" w:lineRule="auto"/>
        <w:ind w:firstLine="420" w:firstLineChars="200"/>
        <w:rPr>
          <w:rFonts w:hint="eastAsia" w:ascii="宋体" w:hAnsi="宋体" w:eastAsia="宋体" w:cs="宋体"/>
          <w:color w:val="auto"/>
          <w:lang w:val="zh-CN"/>
        </w:rPr>
      </w:pPr>
      <w:r>
        <w:rPr>
          <w:rFonts w:hint="eastAsia" w:ascii="宋体" w:hAnsi="宋体" w:eastAsia="宋体" w:cs="宋体"/>
          <w:color w:val="auto"/>
          <w:lang w:val="en-US" w:eastAsia="zh-CN"/>
        </w:rPr>
        <w:t>5.5</w:t>
      </w:r>
      <w:r>
        <w:rPr>
          <w:rFonts w:hint="eastAsia" w:ascii="宋体" w:hAnsi="宋体" w:eastAsia="宋体" w:cs="宋体"/>
          <w:color w:val="auto"/>
          <w:lang w:val="zh-CN"/>
        </w:rPr>
        <w:t>最近3年投标人牵涉的其他（失信和违法）</w:t>
      </w:r>
      <w:r>
        <w:rPr>
          <w:rFonts w:hint="eastAsia" w:ascii="宋体" w:hAnsi="宋体" w:eastAsia="宋体" w:cs="宋体"/>
          <w:color w:val="auto"/>
        </w:rPr>
        <w:t>处罚说明</w:t>
      </w:r>
      <w:r>
        <w:rPr>
          <w:rFonts w:hint="eastAsia" w:ascii="宋体" w:hAnsi="宋体" w:eastAsia="宋体" w:cs="宋体"/>
          <w:color w:val="auto"/>
          <w:lang w:val="zh-CN"/>
        </w:rPr>
        <w:t>；</w:t>
      </w:r>
    </w:p>
    <w:p w14:paraId="3FDB2A14">
      <w:pPr>
        <w:spacing w:line="360" w:lineRule="auto"/>
        <w:ind w:firstLine="420" w:firstLineChars="200"/>
        <w:rPr>
          <w:rFonts w:hint="eastAsia" w:ascii="宋体" w:hAnsi="宋体" w:eastAsia="宋体" w:cs="宋体"/>
          <w:color w:val="auto"/>
          <w:lang w:val="zh-CN"/>
        </w:rPr>
      </w:pPr>
      <w:r>
        <w:rPr>
          <w:rFonts w:hint="eastAsia" w:ascii="宋体" w:hAnsi="宋体" w:eastAsia="宋体" w:cs="宋体"/>
          <w:color w:val="auto"/>
          <w:lang w:val="en-US" w:eastAsia="zh-CN"/>
        </w:rPr>
        <w:t>六</w:t>
      </w:r>
      <w:r>
        <w:rPr>
          <w:rFonts w:hint="eastAsia" w:ascii="宋体" w:hAnsi="宋体" w:eastAsia="宋体" w:cs="宋体"/>
          <w:color w:val="auto"/>
          <w:lang w:val="zh-CN"/>
        </w:rPr>
        <w:t>、投标人基本情况一览表；</w:t>
      </w:r>
    </w:p>
    <w:p w14:paraId="76E7371F">
      <w:pPr>
        <w:spacing w:line="360" w:lineRule="auto"/>
        <w:ind w:firstLine="420" w:firstLineChars="200"/>
        <w:rPr>
          <w:rFonts w:hint="eastAsia" w:ascii="宋体" w:hAnsi="宋体" w:eastAsia="宋体" w:cs="宋体"/>
          <w:color w:val="auto"/>
          <w:lang w:val="zh-CN"/>
        </w:rPr>
      </w:pPr>
      <w:r>
        <w:rPr>
          <w:rFonts w:hint="eastAsia" w:ascii="宋体" w:hAnsi="宋体" w:eastAsia="宋体" w:cs="宋体"/>
          <w:color w:val="auto"/>
          <w:lang w:val="zh-CN"/>
        </w:rPr>
        <w:t>七、投标人财务状况表；</w:t>
      </w:r>
    </w:p>
    <w:p w14:paraId="0E2E09AC">
      <w:pPr>
        <w:spacing w:line="360" w:lineRule="auto"/>
        <w:ind w:firstLine="420" w:firstLineChars="200"/>
        <w:rPr>
          <w:rFonts w:hint="eastAsia" w:ascii="宋体" w:hAnsi="宋体" w:eastAsia="宋体" w:cs="宋体"/>
          <w:color w:val="auto"/>
          <w:lang w:val="zh-CN"/>
        </w:rPr>
      </w:pPr>
      <w:r>
        <w:rPr>
          <w:rFonts w:hint="eastAsia" w:ascii="宋体" w:hAnsi="宋体" w:eastAsia="宋体" w:cs="宋体"/>
          <w:color w:val="auto"/>
          <w:lang w:eastAsia="zh-CN"/>
        </w:rPr>
        <w:t>八</w:t>
      </w:r>
      <w:r>
        <w:rPr>
          <w:rFonts w:hint="eastAsia" w:ascii="宋体" w:hAnsi="宋体" w:eastAsia="宋体" w:cs="宋体"/>
          <w:color w:val="auto"/>
          <w:lang w:val="zh-CN"/>
        </w:rPr>
        <w:t>、标准化体系认证；</w:t>
      </w:r>
    </w:p>
    <w:p w14:paraId="679C4886">
      <w:pPr>
        <w:spacing w:line="360" w:lineRule="auto"/>
        <w:ind w:firstLine="420" w:firstLineChars="200"/>
        <w:rPr>
          <w:rFonts w:hint="eastAsia" w:ascii="宋体" w:hAnsi="宋体" w:eastAsia="宋体" w:cs="宋体"/>
          <w:color w:val="auto"/>
          <w:lang w:val="zh-CN"/>
        </w:rPr>
      </w:pPr>
      <w:r>
        <w:rPr>
          <w:rFonts w:hint="eastAsia" w:ascii="宋体" w:hAnsi="宋体" w:eastAsia="宋体" w:cs="宋体"/>
          <w:color w:val="auto"/>
          <w:lang w:val="en-US" w:eastAsia="zh-CN"/>
        </w:rPr>
        <w:t>九</w:t>
      </w:r>
      <w:r>
        <w:rPr>
          <w:rFonts w:hint="eastAsia" w:ascii="宋体" w:hAnsi="宋体" w:eastAsia="宋体" w:cs="宋体"/>
          <w:color w:val="auto"/>
          <w:lang w:eastAsia="zh-CN"/>
        </w:rPr>
        <w:t>、</w:t>
      </w:r>
      <w:r>
        <w:rPr>
          <w:rFonts w:hint="eastAsia" w:ascii="宋体" w:hAnsi="宋体" w:eastAsia="宋体" w:cs="宋体"/>
          <w:color w:val="auto"/>
        </w:rPr>
        <w:t>合同条款响应程度（合同条款偏离表）；</w:t>
      </w:r>
    </w:p>
    <w:p w14:paraId="1CB17588">
      <w:pPr>
        <w:spacing w:line="360" w:lineRule="auto"/>
        <w:ind w:firstLine="420" w:firstLineChars="200"/>
        <w:rPr>
          <w:rFonts w:hint="eastAsia" w:ascii="宋体" w:hAnsi="宋体" w:eastAsia="宋体" w:cs="宋体"/>
          <w:color w:val="auto"/>
          <w:lang w:val="zh-CN"/>
        </w:rPr>
      </w:pPr>
      <w:r>
        <w:rPr>
          <w:rFonts w:hint="eastAsia" w:ascii="宋体" w:hAnsi="宋体" w:eastAsia="宋体" w:cs="宋体"/>
          <w:color w:val="auto"/>
          <w:lang w:val="en-US" w:eastAsia="zh-CN"/>
        </w:rPr>
        <w:t>十</w:t>
      </w:r>
      <w:r>
        <w:rPr>
          <w:rFonts w:hint="eastAsia" w:ascii="宋体" w:hAnsi="宋体" w:eastAsia="宋体" w:cs="宋体"/>
          <w:color w:val="auto"/>
          <w:lang w:val="zh-CN"/>
        </w:rPr>
        <w:t>、业绩表；</w:t>
      </w:r>
    </w:p>
    <w:p w14:paraId="43987E9B">
      <w:pPr>
        <w:spacing w:line="360" w:lineRule="auto"/>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十一、服务便利性；</w:t>
      </w:r>
    </w:p>
    <w:p w14:paraId="4332869F">
      <w:pPr>
        <w:spacing w:line="360" w:lineRule="auto"/>
        <w:ind w:firstLine="420" w:firstLineChars="200"/>
        <w:rPr>
          <w:rFonts w:hint="eastAsia" w:ascii="宋体" w:hAnsi="宋体" w:eastAsia="宋体" w:cs="宋体"/>
          <w:b/>
          <w:bCs/>
          <w:color w:val="auto"/>
          <w:szCs w:val="21"/>
          <w:highlight w:val="none"/>
          <w:u w:val="none"/>
        </w:rPr>
      </w:pPr>
      <w:r>
        <w:rPr>
          <w:rFonts w:hint="eastAsia" w:ascii="宋体" w:hAnsi="宋体" w:eastAsia="宋体" w:cs="宋体"/>
          <w:color w:val="auto"/>
          <w:lang w:val="en-US" w:eastAsia="zh-CN"/>
        </w:rPr>
        <w:t>十二</w:t>
      </w:r>
      <w:r>
        <w:rPr>
          <w:rFonts w:hint="eastAsia" w:ascii="宋体" w:hAnsi="宋体" w:eastAsia="宋体" w:cs="宋体"/>
          <w:color w:val="auto"/>
          <w:lang w:eastAsia="zh-CN"/>
        </w:rPr>
        <w:t>、</w:t>
      </w:r>
      <w:r>
        <w:rPr>
          <w:rFonts w:hint="eastAsia" w:ascii="宋体" w:hAnsi="宋体" w:eastAsia="宋体" w:cs="宋体"/>
          <w:color w:val="auto"/>
          <w:lang w:val="zh-CN"/>
        </w:rPr>
        <w:t>投标人资格证明文件以外的其他资质证书、知识产权证书及获得的相关获奖、认证证书、社会评价资料证明文件扫描件等投标人认为有需要证明其具备为本次招标项目提供服务能力的有关其它商务文件（不做强制要求）。</w:t>
      </w:r>
      <w:r>
        <w:rPr>
          <w:rFonts w:hint="eastAsia" w:ascii="宋体" w:hAnsi="宋体" w:eastAsia="宋体" w:cs="宋体"/>
          <w:b/>
          <w:bCs/>
          <w:color w:val="auto"/>
          <w:szCs w:val="21"/>
          <w:highlight w:val="none"/>
          <w:u w:val="none"/>
        </w:rPr>
        <w:br w:type="page"/>
      </w:r>
    </w:p>
    <w:p w14:paraId="12C8B4A6">
      <w:pPr>
        <w:rPr>
          <w:rFonts w:hint="eastAsia" w:ascii="宋体" w:hAnsi="宋体" w:eastAsia="宋体" w:cs="宋体"/>
          <w:b/>
          <w:color w:val="auto"/>
          <w:kern w:val="0"/>
          <w:sz w:val="32"/>
          <w:szCs w:val="32"/>
          <w:highlight w:val="none"/>
        </w:rPr>
      </w:pPr>
    </w:p>
    <w:p w14:paraId="142A2284">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bookmarkStart w:id="753" w:name="_Toc13281"/>
      <w:bookmarkStart w:id="754" w:name="_Toc23782"/>
      <w:bookmarkStart w:id="755" w:name="_Toc27679"/>
      <w:bookmarkStart w:id="756" w:name="_Toc9119"/>
      <w:r>
        <w:rPr>
          <w:rFonts w:hint="eastAsia" w:ascii="宋体" w:hAnsi="宋体" w:eastAsia="宋体" w:cs="宋体"/>
          <w:b/>
          <w:color w:val="auto"/>
          <w:kern w:val="0"/>
          <w:sz w:val="32"/>
          <w:szCs w:val="32"/>
          <w:highlight w:val="none"/>
        </w:rPr>
        <w:t>一、投标函格式</w:t>
      </w:r>
      <w:bookmarkEnd w:id="736"/>
      <w:bookmarkEnd w:id="737"/>
      <w:bookmarkEnd w:id="738"/>
      <w:bookmarkEnd w:id="739"/>
      <w:bookmarkEnd w:id="740"/>
      <w:bookmarkEnd w:id="741"/>
      <w:bookmarkEnd w:id="742"/>
      <w:bookmarkEnd w:id="743"/>
      <w:bookmarkEnd w:id="744"/>
      <w:bookmarkEnd w:id="745"/>
      <w:bookmarkEnd w:id="753"/>
      <w:bookmarkEnd w:id="754"/>
      <w:bookmarkEnd w:id="755"/>
      <w:bookmarkEnd w:id="756"/>
    </w:p>
    <w:p w14:paraId="44CAAE03">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757" w:name="_Toc16695_WPSOffice_Level3"/>
      <w:r>
        <w:rPr>
          <w:rFonts w:hint="eastAsia" w:ascii="宋体" w:hAnsi="宋体" w:eastAsia="宋体" w:cs="宋体"/>
          <w:b/>
          <w:bCs/>
          <w:color w:val="auto"/>
          <w:sz w:val="30"/>
          <w:szCs w:val="30"/>
          <w:highlight w:val="none"/>
          <w:lang w:val="zh-CN"/>
        </w:rPr>
        <w:t>投 标 函</w:t>
      </w:r>
      <w:bookmarkEnd w:id="757"/>
    </w:p>
    <w:p w14:paraId="763970EF">
      <w:pPr>
        <w:autoSpaceDE w:val="0"/>
        <w:autoSpaceDN w:val="0"/>
        <w:adjustRightInd w:val="0"/>
        <w:spacing w:line="360" w:lineRule="auto"/>
        <w:outlineLvl w:val="9"/>
        <w:rPr>
          <w:rFonts w:hint="eastAsia" w:ascii="宋体" w:hAnsi="宋体" w:eastAsia="宋体" w:cs="宋体"/>
          <w:color w:val="auto"/>
          <w:szCs w:val="21"/>
          <w:highlight w:val="none"/>
          <w:lang w:val="zh-CN"/>
        </w:rPr>
      </w:pPr>
    </w:p>
    <w:p w14:paraId="695A60AE">
      <w:pPr>
        <w:autoSpaceDE w:val="0"/>
        <w:autoSpaceDN w:val="0"/>
        <w:adjustRightInd w:val="0"/>
        <w:spacing w:line="360" w:lineRule="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东莞市置拓投资有限公司</w:t>
      </w:r>
    </w:p>
    <w:p w14:paraId="2044033F">
      <w:pPr>
        <w:autoSpaceDE w:val="0"/>
        <w:autoSpaceDN w:val="0"/>
        <w:adjustRightInd w:val="0"/>
        <w:spacing w:line="360" w:lineRule="auto"/>
        <w:outlineLvl w:val="9"/>
        <w:rPr>
          <w:rFonts w:hint="eastAsia" w:ascii="宋体" w:hAnsi="宋体" w:eastAsia="宋体" w:cs="宋体"/>
          <w:color w:val="auto"/>
          <w:szCs w:val="21"/>
          <w:highlight w:val="none"/>
        </w:rPr>
      </w:pPr>
    </w:p>
    <w:p w14:paraId="6FA81E5B">
      <w:pPr>
        <w:wordWrap w:val="0"/>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东莞市置拓投资有限公司水业大厦2026-2027年度物业管理服务采购项目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7F25FE4C">
      <w:pPr>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005403C1">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的投标；</w:t>
      </w:r>
    </w:p>
    <w:p w14:paraId="04E7F431">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73E53E08">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60EDAD74">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w:t>
      </w:r>
      <w:r>
        <w:rPr>
          <w:rFonts w:hint="eastAsia" w:ascii="宋体" w:hAnsi="宋体" w:eastAsia="宋体" w:cs="宋体"/>
          <w:color w:val="auto"/>
          <w:szCs w:val="21"/>
          <w:highlight w:val="none"/>
          <w:lang w:val="en-US" w:eastAsia="zh-CN"/>
        </w:rPr>
        <w:t>回</w:t>
      </w:r>
      <w:r>
        <w:rPr>
          <w:rFonts w:hint="eastAsia" w:ascii="宋体" w:hAnsi="宋体" w:eastAsia="宋体" w:cs="宋体"/>
          <w:color w:val="auto"/>
          <w:szCs w:val="21"/>
          <w:highlight w:val="none"/>
          <w:lang w:val="zh-CN"/>
        </w:rPr>
        <w:t>投标，则不予退还我方投标保证金；</w:t>
      </w:r>
    </w:p>
    <w:p w14:paraId="27873C06">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475709D9">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1B9E9FBC">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0114940B">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001A0C90">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62FD38A6">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0DCE3A14">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bookmarkStart w:id="758" w:name="_Toc3743"/>
      <w:r>
        <w:rPr>
          <w:rFonts w:hint="eastAsia" w:ascii="宋体" w:hAnsi="宋体" w:eastAsia="宋体" w:cs="宋体"/>
          <w:color w:val="auto"/>
          <w:szCs w:val="21"/>
          <w:highlight w:val="none"/>
          <w:lang w:val="zh-CN"/>
        </w:rPr>
        <w:t>（十一）所有与本投标有关的函件请发往下列地址：</w:t>
      </w:r>
      <w:bookmarkEnd w:id="758"/>
    </w:p>
    <w:p w14:paraId="47AAA001">
      <w:pPr>
        <w:autoSpaceDE w:val="0"/>
        <w:autoSpaceDN w:val="0"/>
        <w:adjustRightInd w:val="0"/>
        <w:spacing w:line="360" w:lineRule="auto"/>
        <w:ind w:left="395" w:leftChars="-12" w:hanging="420" w:hangingChars="200"/>
        <w:outlineLvl w:val="9"/>
        <w:rPr>
          <w:rFonts w:hint="eastAsia" w:ascii="宋体" w:hAnsi="宋体" w:eastAsia="宋体" w:cs="宋体"/>
          <w:color w:val="auto"/>
          <w:szCs w:val="21"/>
          <w:highlight w:val="none"/>
          <w:u w:val="single"/>
          <w:lang w:val="zh-CN"/>
        </w:rPr>
      </w:pPr>
    </w:p>
    <w:p w14:paraId="10682A37">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4E2735D5">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717D99B7">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34FFF026">
      <w:pPr>
        <w:autoSpaceDE w:val="0"/>
        <w:autoSpaceDN w:val="0"/>
        <w:adjustRightInd w:val="0"/>
        <w:spacing w:line="360" w:lineRule="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49D54AAD">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p>
    <w:p w14:paraId="57EEE696">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4005689F">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64094F98">
      <w:pPr>
        <w:autoSpaceDE w:val="0"/>
        <w:autoSpaceDN w:val="0"/>
        <w:adjustRightInd w:val="0"/>
        <w:spacing w:line="360" w:lineRule="auto"/>
        <w:ind w:firstLine="4960" w:firstLineChars="236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25480FA0">
      <w:pPr>
        <w:tabs>
          <w:tab w:val="left" w:pos="567"/>
        </w:tabs>
        <w:autoSpaceDE w:val="0"/>
        <w:autoSpaceDN w:val="0"/>
        <w:adjustRightInd w:val="0"/>
        <w:spacing w:line="360" w:lineRule="auto"/>
        <w:ind w:left="357" w:leftChars="-100" w:hanging="567"/>
        <w:jc w:val="center"/>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14:paraId="70CC6AE5">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bookmarkStart w:id="759" w:name="_Toc142508363"/>
      <w:bookmarkStart w:id="760" w:name="_Toc28613_WPSOffice_Level2"/>
      <w:bookmarkStart w:id="761" w:name="_Toc94107203"/>
      <w:bookmarkStart w:id="762" w:name="_Toc140596922"/>
      <w:bookmarkStart w:id="763" w:name="_Toc102860068"/>
      <w:bookmarkStart w:id="764" w:name="_Toc102860412"/>
      <w:bookmarkStart w:id="765" w:name="_Toc1977722"/>
      <w:bookmarkStart w:id="766" w:name="_Toc486167710"/>
      <w:bookmarkStart w:id="767" w:name="_Toc12417"/>
      <w:bookmarkStart w:id="768" w:name="_Toc533708122"/>
      <w:bookmarkStart w:id="769" w:name="_Toc30995"/>
      <w:bookmarkStart w:id="770" w:name="_Toc3104"/>
      <w:bookmarkStart w:id="771" w:name="_Toc104991869"/>
    </w:p>
    <w:p w14:paraId="7DBB2418">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bookmarkStart w:id="772" w:name="_Toc22497"/>
      <w:r>
        <w:rPr>
          <w:rFonts w:hint="eastAsia" w:ascii="宋体" w:hAnsi="宋体" w:eastAsia="宋体" w:cs="宋体"/>
          <w:b/>
          <w:color w:val="auto"/>
          <w:kern w:val="0"/>
          <w:sz w:val="32"/>
          <w:szCs w:val="32"/>
          <w:highlight w:val="none"/>
        </w:rPr>
        <w:t>二、投标承诺书格式</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18523EC3">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投标承诺书</w:t>
      </w:r>
    </w:p>
    <w:p w14:paraId="51BDCA7B">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57D841D1">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kern w:val="0"/>
          <w:szCs w:val="21"/>
          <w:highlight w:val="none"/>
          <w:u w:val="single"/>
          <w:lang w:eastAsia="zh-CN"/>
        </w:rPr>
        <w:t>东莞市置拓投资有限公司水业大厦2026-2027年度物业管理服务采购项目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宋体"/>
          <w:color w:val="auto"/>
          <w:kern w:val="0"/>
          <w:szCs w:val="21"/>
          <w:highlight w:val="none"/>
          <w:lang w:eastAsia="zh-CN"/>
        </w:rPr>
        <w:t>异议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21D57BF6">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若我方在投标或履行本合同过程中存在提供虚假材料、虚假响应招标文件要求等弄虚作假行为，或未能根据招标文件投标人须知第29.2款约定按时提供原件核查的，因此导致我方无法参与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14:paraId="66E5695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3955CE93">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651D4BF0">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3FDB9E4D">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5D9B213">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78E1C439">
      <w:pPr>
        <w:autoSpaceDE w:val="0"/>
        <w:autoSpaceDN w:val="0"/>
        <w:adjustRightInd w:val="0"/>
        <w:spacing w:line="360" w:lineRule="auto"/>
        <w:ind w:firstLine="4960" w:firstLineChars="2362"/>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387ABAE3">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14:paraId="055040B4">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6163F38A">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p>
    <w:p w14:paraId="16453300">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6321D1A1">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bookmarkStart w:id="773" w:name="_Toc316896755"/>
      <w:bookmarkStart w:id="774" w:name="_Toc311032584"/>
      <w:bookmarkStart w:id="775" w:name="_Toc326768876"/>
    </w:p>
    <w:p w14:paraId="2A6AC676">
      <w:pPr>
        <w:rPr>
          <w:rFonts w:hint="eastAsia" w:ascii="宋体" w:hAnsi="宋体" w:eastAsia="宋体" w:cs="宋体"/>
          <w:b/>
          <w:color w:val="auto"/>
          <w:kern w:val="44"/>
          <w:sz w:val="32"/>
          <w:szCs w:val="32"/>
          <w:highlight w:val="none"/>
        </w:rPr>
      </w:pPr>
      <w:bookmarkStart w:id="776" w:name="_Toc94107204"/>
      <w:bookmarkStart w:id="777" w:name="_Toc86764083"/>
      <w:bookmarkStart w:id="778" w:name="_Toc102860413"/>
      <w:bookmarkStart w:id="779" w:name="_Toc24336"/>
      <w:bookmarkStart w:id="780" w:name="_Toc5075"/>
      <w:bookmarkStart w:id="781" w:name="_Toc142508364"/>
      <w:bookmarkStart w:id="782" w:name="_Toc82182546"/>
      <w:bookmarkStart w:id="783" w:name="_Toc140596923"/>
      <w:bookmarkStart w:id="784" w:name="_Toc104991870"/>
      <w:bookmarkStart w:id="785" w:name="_Toc102860069"/>
      <w:bookmarkStart w:id="786" w:name="_Toc16764"/>
      <w:bookmarkStart w:id="787" w:name="_Toc29910"/>
      <w:bookmarkStart w:id="788" w:name="_Toc486167711"/>
      <w:bookmarkStart w:id="789" w:name="_Toc533708123"/>
      <w:bookmarkStart w:id="790" w:name="_Toc7024_WPSOffice_Level2"/>
      <w:bookmarkStart w:id="791" w:name="_Toc1977723"/>
      <w:r>
        <w:rPr>
          <w:rFonts w:hint="eastAsia" w:ascii="宋体" w:hAnsi="宋体" w:eastAsia="宋体" w:cs="宋体"/>
          <w:b/>
          <w:color w:val="auto"/>
          <w:kern w:val="44"/>
          <w:sz w:val="32"/>
          <w:szCs w:val="32"/>
          <w:highlight w:val="none"/>
        </w:rPr>
        <w:br w:type="page"/>
      </w:r>
    </w:p>
    <w:p w14:paraId="310A3225">
      <w:pPr>
        <w:pageBreakBefore/>
        <w:autoSpaceDE w:val="0"/>
        <w:autoSpaceDN w:val="0"/>
        <w:adjustRightInd w:val="0"/>
        <w:spacing w:line="360" w:lineRule="auto"/>
        <w:jc w:val="left"/>
        <w:outlineLvl w:val="1"/>
        <w:rPr>
          <w:rFonts w:hint="eastAsia" w:ascii="宋体" w:hAnsi="宋体" w:eastAsia="宋体" w:cs="宋体"/>
          <w:b/>
          <w:color w:val="auto"/>
          <w:kern w:val="44"/>
          <w:sz w:val="32"/>
          <w:szCs w:val="32"/>
          <w:highlight w:val="none"/>
        </w:rPr>
      </w:pPr>
      <w:r>
        <w:rPr>
          <w:rFonts w:hint="eastAsia" w:ascii="宋体" w:hAnsi="宋体" w:eastAsia="宋体" w:cs="宋体"/>
          <w:b/>
          <w:color w:val="auto"/>
          <w:kern w:val="44"/>
          <w:sz w:val="32"/>
          <w:szCs w:val="32"/>
          <w:highlight w:val="none"/>
          <w:lang w:val="en-US" w:eastAsia="zh-CN"/>
        </w:rPr>
        <w:t>三</w:t>
      </w:r>
      <w:r>
        <w:rPr>
          <w:rFonts w:hint="eastAsia" w:ascii="宋体" w:hAnsi="宋体" w:eastAsia="宋体" w:cs="宋体"/>
          <w:b/>
          <w:color w:val="auto"/>
          <w:kern w:val="44"/>
          <w:sz w:val="32"/>
          <w:szCs w:val="32"/>
          <w:highlight w:val="none"/>
        </w:rPr>
        <w:t>、供货及/或提供服务过程承诺函格式</w:t>
      </w:r>
    </w:p>
    <w:p w14:paraId="64115601">
      <w:pPr>
        <w:autoSpaceDE w:val="0"/>
        <w:autoSpaceDN w:val="0"/>
        <w:adjustRightInd w:val="0"/>
        <w:spacing w:line="360" w:lineRule="auto"/>
        <w:jc w:val="center"/>
        <w:outlineLvl w:val="9"/>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01F3C84F">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东莞市置拓投资有限公司</w:t>
      </w:r>
      <w:r>
        <w:rPr>
          <w:rFonts w:hint="eastAsia" w:ascii="宋体" w:hAnsi="宋体" w:eastAsia="宋体" w:cs="宋体"/>
          <w:color w:val="auto"/>
          <w:kern w:val="0"/>
          <w:szCs w:val="21"/>
          <w:highlight w:val="none"/>
        </w:rPr>
        <w:t>：</w:t>
      </w:r>
    </w:p>
    <w:p w14:paraId="261ADEC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lang w:eastAsia="zh-CN"/>
        </w:rPr>
        <w:t>东莞市置拓投资有限公司水业大厦2026-2027年度物业管理服务采购项目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3AB09E6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38AB0BA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14F9954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27D58FB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7C6ED85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2C04049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1266681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7BB1EF7F">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49C8B51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1202C23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313826A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01C91AD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7985312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130E765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0A4FD06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707FAC2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2D83F02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1861ADD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120DB9E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3FC29E1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w:t>
      </w:r>
      <w:r>
        <w:rPr>
          <w:rFonts w:hint="eastAsia" w:ascii="宋体" w:hAnsi="宋体" w:eastAsia="宋体" w:cs="宋体"/>
          <w:color w:val="auto"/>
          <w:kern w:val="0"/>
          <w:szCs w:val="21"/>
          <w:highlight w:val="none"/>
          <w:lang w:val="en-US" w:eastAsia="zh-CN"/>
        </w:rPr>
        <w:t>2000</w:t>
      </w:r>
      <w:r>
        <w:rPr>
          <w:rFonts w:hint="eastAsia" w:ascii="宋体" w:hAnsi="宋体" w:eastAsia="宋体" w:cs="宋体"/>
          <w:color w:val="auto"/>
          <w:kern w:val="0"/>
          <w:szCs w:val="21"/>
          <w:highlight w:val="none"/>
        </w:rPr>
        <w:t>元/次作为违约金。</w:t>
      </w:r>
    </w:p>
    <w:p w14:paraId="65206AC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08770785">
      <w:pPr>
        <w:autoSpaceDE w:val="0"/>
        <w:autoSpaceDN w:val="0"/>
        <w:adjustRightInd w:val="0"/>
        <w:spacing w:line="360" w:lineRule="auto"/>
        <w:ind w:firstLine="504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7E2C318">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4B8B954C">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374C133E">
      <w:pPr>
        <w:autoSpaceDE w:val="0"/>
        <w:autoSpaceDN w:val="0"/>
        <w:adjustRightInd w:val="0"/>
        <w:spacing w:line="360" w:lineRule="auto"/>
        <w:ind w:firstLine="4960" w:firstLineChars="2362"/>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55B08FE1">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14:paraId="15A477C9">
      <w:pPr>
        <w:pageBreakBefore/>
        <w:autoSpaceDE w:val="0"/>
        <w:autoSpaceDN w:val="0"/>
        <w:adjustRightInd w:val="0"/>
        <w:spacing w:line="360" w:lineRule="auto"/>
        <w:jc w:val="left"/>
        <w:outlineLvl w:val="1"/>
        <w:rPr>
          <w:rFonts w:ascii="宋体" w:hAnsi="宋体" w:eastAsia="宋体" w:cs="宋体"/>
          <w:color w:val="auto"/>
          <w:sz w:val="32"/>
          <w:szCs w:val="32"/>
        </w:rPr>
      </w:pPr>
      <w:r>
        <w:rPr>
          <w:rFonts w:hint="eastAsia" w:ascii="宋体" w:hAnsi="宋体" w:eastAsia="宋体" w:cs="宋体"/>
          <w:b/>
          <w:bCs/>
          <w:color w:val="auto"/>
          <w:spacing w:val="-3"/>
          <w:sz w:val="32"/>
          <w:szCs w:val="32"/>
          <w:lang w:val="en-US" w:eastAsia="zh-CN"/>
        </w:rPr>
        <w:t>四</w:t>
      </w:r>
      <w:r>
        <w:rPr>
          <w:rFonts w:ascii="宋体" w:hAnsi="宋体" w:eastAsia="宋体" w:cs="宋体"/>
          <w:b/>
          <w:bCs/>
          <w:color w:val="auto"/>
          <w:spacing w:val="-3"/>
          <w:sz w:val="32"/>
          <w:szCs w:val="32"/>
        </w:rPr>
        <w:t>、投标报价表格式</w:t>
      </w:r>
    </w:p>
    <w:p w14:paraId="6155887F">
      <w:pPr>
        <w:spacing w:before="242" w:line="218" w:lineRule="auto"/>
        <w:ind w:left="4379"/>
        <w:rPr>
          <w:rFonts w:ascii="宋体" w:hAnsi="宋体" w:eastAsia="宋体" w:cs="宋体"/>
          <w:color w:val="auto"/>
          <w:sz w:val="32"/>
          <w:szCs w:val="32"/>
        </w:rPr>
      </w:pPr>
      <w:r>
        <w:rPr>
          <w:rFonts w:hint="eastAsia" w:ascii="宋体" w:hAnsi="宋体" w:eastAsia="宋体" w:cs="宋体"/>
          <w:b/>
          <w:bCs/>
          <w:color w:val="auto"/>
          <w:spacing w:val="-3"/>
          <w:sz w:val="32"/>
          <w:szCs w:val="32"/>
          <w:lang w:val="en-US" w:eastAsia="zh-CN"/>
        </w:rPr>
        <w:t>4.</w:t>
      </w:r>
      <w:r>
        <w:rPr>
          <w:rFonts w:ascii="宋体" w:hAnsi="宋体" w:eastAsia="宋体" w:cs="宋体"/>
          <w:b/>
          <w:bCs/>
          <w:color w:val="auto"/>
          <w:spacing w:val="-3"/>
          <w:sz w:val="32"/>
          <w:szCs w:val="32"/>
        </w:rPr>
        <w:t>1</w:t>
      </w:r>
      <w:r>
        <w:rPr>
          <w:rFonts w:ascii="宋体" w:hAnsi="宋体" w:eastAsia="宋体" w:cs="宋体"/>
          <w:color w:val="auto"/>
          <w:spacing w:val="-3"/>
          <w:sz w:val="32"/>
          <w:szCs w:val="32"/>
        </w:rPr>
        <w:t xml:space="preserve"> </w:t>
      </w:r>
      <w:r>
        <w:rPr>
          <w:rFonts w:ascii="宋体" w:hAnsi="宋体" w:eastAsia="宋体" w:cs="宋体"/>
          <w:b/>
          <w:bCs/>
          <w:color w:val="auto"/>
          <w:spacing w:val="-3"/>
          <w:sz w:val="32"/>
          <w:szCs w:val="32"/>
        </w:rPr>
        <w:t>投标报价表</w:t>
      </w:r>
    </w:p>
    <w:p w14:paraId="757A361C">
      <w:pPr>
        <w:keepNext w:val="0"/>
        <w:keepLines w:val="0"/>
        <w:pageBreakBefore w:val="0"/>
        <w:widowControl w:val="0"/>
        <w:kinsoku/>
        <w:wordWrap/>
        <w:overflowPunct/>
        <w:topLinePunct w:val="0"/>
        <w:autoSpaceDE/>
        <w:autoSpaceDN/>
        <w:bidi w:val="0"/>
        <w:adjustRightInd/>
        <w:snapToGrid/>
        <w:spacing w:before="65" w:line="360" w:lineRule="auto"/>
        <w:ind w:left="1047"/>
        <w:textAlignment w:val="auto"/>
        <w:rPr>
          <w:rFonts w:ascii="宋体" w:hAnsi="宋体" w:eastAsia="宋体" w:cs="宋体"/>
          <w:color w:val="auto"/>
          <w:sz w:val="20"/>
          <w:szCs w:val="20"/>
        </w:rPr>
      </w:pPr>
      <w:r>
        <w:rPr>
          <w:rFonts w:ascii="宋体" w:hAnsi="宋体" w:eastAsia="宋体" w:cs="宋体"/>
          <w:b/>
          <w:bCs/>
          <w:color w:val="auto"/>
          <w:spacing w:val="14"/>
          <w:sz w:val="20"/>
          <w:szCs w:val="20"/>
        </w:rPr>
        <w:t>项目名称：</w:t>
      </w:r>
      <w:r>
        <w:rPr>
          <w:rFonts w:hint="eastAsia" w:ascii="宋体" w:hAnsi="宋体" w:eastAsia="宋体" w:cs="宋体"/>
          <w:color w:val="auto"/>
          <w:kern w:val="0"/>
          <w:szCs w:val="21"/>
          <w:highlight w:val="none"/>
          <w:u w:val="single"/>
          <w:lang w:eastAsia="zh-CN"/>
        </w:rPr>
        <w:t>东莞市置拓投资有限公司水业大厦2026-2027年度物业管理服务采购项目</w:t>
      </w:r>
    </w:p>
    <w:p w14:paraId="54A90D90">
      <w:pPr>
        <w:keepNext w:val="0"/>
        <w:keepLines w:val="0"/>
        <w:pageBreakBefore w:val="0"/>
        <w:widowControl w:val="0"/>
        <w:kinsoku/>
        <w:wordWrap/>
        <w:overflowPunct/>
        <w:topLinePunct w:val="0"/>
        <w:autoSpaceDE/>
        <w:autoSpaceDN/>
        <w:bidi w:val="0"/>
        <w:adjustRightInd/>
        <w:snapToGrid/>
        <w:spacing w:before="152" w:line="360" w:lineRule="auto"/>
        <w:ind w:left="1047"/>
        <w:textAlignment w:val="auto"/>
        <w:rPr>
          <w:rFonts w:ascii="宋体" w:hAnsi="宋体" w:eastAsia="宋体" w:cs="宋体"/>
          <w:b/>
          <w:bCs/>
          <w:color w:val="auto"/>
          <w:spacing w:val="16"/>
          <w:sz w:val="20"/>
          <w:szCs w:val="20"/>
        </w:rPr>
      </w:pPr>
      <w:r>
        <w:rPr>
          <w:rFonts w:ascii="宋体" w:hAnsi="宋体" w:eastAsia="宋体" w:cs="宋体"/>
          <w:b/>
          <w:bCs/>
          <w:color w:val="auto"/>
          <w:spacing w:val="16"/>
          <w:sz w:val="20"/>
          <w:szCs w:val="20"/>
        </w:rPr>
        <w:t>招标编号：</w:t>
      </w:r>
    </w:p>
    <w:tbl>
      <w:tblPr>
        <w:tblStyle w:val="213"/>
        <w:tblW w:w="42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8"/>
        <w:gridCol w:w="1070"/>
        <w:gridCol w:w="1738"/>
        <w:gridCol w:w="1155"/>
        <w:gridCol w:w="2388"/>
        <w:gridCol w:w="1672"/>
      </w:tblGrid>
      <w:tr w14:paraId="00D8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395" w:type="pct"/>
            <w:vAlign w:val="center"/>
          </w:tcPr>
          <w:p w14:paraId="32BE9539">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eastAsia="宋体"/>
                <w:color w:val="auto"/>
                <w:spacing w:val="4"/>
                <w:sz w:val="21"/>
                <w:szCs w:val="21"/>
                <w:lang w:val="en-US" w:eastAsia="zh-CN"/>
              </w:rPr>
            </w:pPr>
            <w:r>
              <w:rPr>
                <w:rFonts w:hint="eastAsia"/>
                <w:color w:val="auto"/>
                <w:spacing w:val="4"/>
                <w:sz w:val="21"/>
                <w:szCs w:val="21"/>
                <w:lang w:val="en-US" w:eastAsia="zh-CN"/>
              </w:rPr>
              <w:t>序号</w:t>
            </w:r>
          </w:p>
        </w:tc>
        <w:tc>
          <w:tcPr>
            <w:tcW w:w="614" w:type="pct"/>
            <w:vAlign w:val="center"/>
          </w:tcPr>
          <w:p w14:paraId="2323A054">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eastAsia="宋体"/>
                <w:color w:val="auto"/>
                <w:sz w:val="21"/>
                <w:szCs w:val="21"/>
                <w:lang w:val="en-US" w:eastAsia="zh-CN"/>
              </w:rPr>
            </w:pPr>
            <w:r>
              <w:rPr>
                <w:rFonts w:hint="eastAsia"/>
                <w:color w:val="auto"/>
                <w:sz w:val="21"/>
                <w:szCs w:val="21"/>
                <w:lang w:val="en-US" w:eastAsia="zh-CN"/>
              </w:rPr>
              <w:t>服务内容</w:t>
            </w:r>
          </w:p>
        </w:tc>
        <w:tc>
          <w:tcPr>
            <w:tcW w:w="997" w:type="pct"/>
            <w:vAlign w:val="center"/>
          </w:tcPr>
          <w:p w14:paraId="07B4A054">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color w:val="auto"/>
                <w:spacing w:val="4"/>
                <w:sz w:val="21"/>
                <w:szCs w:val="21"/>
              </w:rPr>
            </w:pPr>
            <w:r>
              <w:rPr>
                <w:color w:val="auto"/>
                <w:spacing w:val="4"/>
                <w:sz w:val="21"/>
                <w:szCs w:val="21"/>
              </w:rPr>
              <w:t>费用类别</w:t>
            </w:r>
          </w:p>
        </w:tc>
        <w:tc>
          <w:tcPr>
            <w:tcW w:w="662" w:type="pct"/>
            <w:vAlign w:val="center"/>
          </w:tcPr>
          <w:p w14:paraId="4AF5B949">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eastAsia="宋体"/>
                <w:color w:val="auto"/>
                <w:spacing w:val="4"/>
                <w:sz w:val="21"/>
                <w:szCs w:val="21"/>
                <w:lang w:val="en-US" w:eastAsia="zh-CN"/>
              </w:rPr>
            </w:pPr>
            <w:r>
              <w:rPr>
                <w:rFonts w:hint="eastAsia"/>
                <w:color w:val="auto"/>
                <w:spacing w:val="4"/>
                <w:sz w:val="21"/>
                <w:szCs w:val="21"/>
                <w:lang w:val="en-US" w:eastAsia="zh-CN"/>
              </w:rPr>
              <w:t>服务期</w:t>
            </w:r>
          </w:p>
        </w:tc>
        <w:tc>
          <w:tcPr>
            <w:tcW w:w="1370" w:type="pct"/>
            <w:vAlign w:val="center"/>
          </w:tcPr>
          <w:p w14:paraId="11639D6B">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color w:val="auto"/>
                <w:sz w:val="21"/>
                <w:szCs w:val="21"/>
              </w:rPr>
            </w:pPr>
            <w:r>
              <w:rPr>
                <w:color w:val="auto"/>
                <w:spacing w:val="1"/>
                <w:sz w:val="21"/>
                <w:szCs w:val="21"/>
              </w:rPr>
              <w:t>不含税报价</w:t>
            </w:r>
            <w:r>
              <w:rPr>
                <w:color w:val="auto"/>
                <w:spacing w:val="16"/>
                <w:sz w:val="21"/>
                <w:szCs w:val="21"/>
              </w:rPr>
              <w:t>(元)</w:t>
            </w:r>
          </w:p>
        </w:tc>
        <w:tc>
          <w:tcPr>
            <w:tcW w:w="959" w:type="pct"/>
            <w:vAlign w:val="center"/>
          </w:tcPr>
          <w:p w14:paraId="0DDCD1E7">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color w:val="auto"/>
                <w:sz w:val="21"/>
                <w:szCs w:val="21"/>
              </w:rPr>
            </w:pPr>
            <w:r>
              <w:rPr>
                <w:color w:val="auto"/>
                <w:spacing w:val="5"/>
                <w:sz w:val="21"/>
                <w:szCs w:val="21"/>
              </w:rPr>
              <w:t>备注</w:t>
            </w:r>
          </w:p>
        </w:tc>
      </w:tr>
      <w:tr w14:paraId="2C7D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8" w:hRule="atLeast"/>
          <w:jc w:val="center"/>
        </w:trPr>
        <w:tc>
          <w:tcPr>
            <w:tcW w:w="395" w:type="pct"/>
            <w:vAlign w:val="center"/>
          </w:tcPr>
          <w:p w14:paraId="5CBF143B">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eastAsia="宋体"/>
                <w:color w:val="auto"/>
                <w:spacing w:val="14"/>
                <w:sz w:val="21"/>
                <w:szCs w:val="21"/>
                <w:lang w:val="en-US" w:eastAsia="zh-CN"/>
              </w:rPr>
            </w:pPr>
            <w:r>
              <w:rPr>
                <w:rFonts w:hint="eastAsia"/>
                <w:color w:val="auto"/>
                <w:spacing w:val="14"/>
                <w:sz w:val="21"/>
                <w:szCs w:val="21"/>
                <w:lang w:val="en-US" w:eastAsia="zh-CN"/>
              </w:rPr>
              <w:t>1</w:t>
            </w:r>
          </w:p>
        </w:tc>
        <w:tc>
          <w:tcPr>
            <w:tcW w:w="614" w:type="pct"/>
            <w:vMerge w:val="restart"/>
            <w:vAlign w:val="center"/>
          </w:tcPr>
          <w:p w14:paraId="4DE96F17">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eastAsia="宋体"/>
                <w:color w:val="auto"/>
                <w:spacing w:val="14"/>
                <w:sz w:val="21"/>
                <w:szCs w:val="21"/>
                <w:lang w:val="en-US" w:eastAsia="zh-CN"/>
              </w:rPr>
            </w:pPr>
            <w:r>
              <w:rPr>
                <w:rFonts w:hint="eastAsia"/>
                <w:color w:val="auto"/>
                <w:spacing w:val="14"/>
                <w:sz w:val="21"/>
                <w:szCs w:val="21"/>
                <w:lang w:val="en-US" w:eastAsia="zh-CN"/>
              </w:rPr>
              <w:t>物业管理服务</w:t>
            </w:r>
          </w:p>
        </w:tc>
        <w:tc>
          <w:tcPr>
            <w:tcW w:w="997" w:type="pct"/>
            <w:vAlign w:val="center"/>
          </w:tcPr>
          <w:p w14:paraId="4B6F61D0">
            <w:pPr>
              <w:pStyle w:val="2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olor w:val="auto"/>
                <w:spacing w:val="14"/>
                <w:sz w:val="21"/>
                <w:szCs w:val="21"/>
                <w:lang w:val="zh-CN"/>
              </w:rPr>
            </w:pPr>
            <w:r>
              <w:rPr>
                <w:rFonts w:hint="eastAsia"/>
                <w:color w:val="auto"/>
                <w:spacing w:val="14"/>
                <w:sz w:val="21"/>
                <w:szCs w:val="21"/>
                <w:lang w:val="zh-CN"/>
              </w:rPr>
              <w:t>物业管理带教</w:t>
            </w:r>
            <w:r>
              <w:rPr>
                <w:rFonts w:hint="eastAsia" w:hAnsi="宋体" w:cs="仿宋_GB2312"/>
                <w:color w:val="auto"/>
                <w:sz w:val="21"/>
                <w:szCs w:val="21"/>
                <w:lang w:val="en-US" w:eastAsia="zh-CN"/>
              </w:rPr>
              <w:t>服务费用</w:t>
            </w:r>
          </w:p>
        </w:tc>
        <w:tc>
          <w:tcPr>
            <w:tcW w:w="662" w:type="pct"/>
            <w:vMerge w:val="restart"/>
            <w:vAlign w:val="center"/>
          </w:tcPr>
          <w:p w14:paraId="3A843324">
            <w:pPr>
              <w:pStyle w:val="2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olor w:val="auto"/>
                <w:spacing w:val="14"/>
                <w:sz w:val="21"/>
                <w:szCs w:val="21"/>
                <w:lang w:val="en-US" w:eastAsia="zh-CN"/>
              </w:rPr>
            </w:pPr>
            <w:r>
              <w:rPr>
                <w:rFonts w:hint="eastAsia"/>
                <w:color w:val="auto"/>
                <w:spacing w:val="14"/>
                <w:sz w:val="21"/>
                <w:szCs w:val="21"/>
                <w:lang w:val="en-US" w:eastAsia="zh-CN"/>
              </w:rPr>
              <w:t>招标人书面通知中标人进场之日起至2027年12月31日</w:t>
            </w:r>
          </w:p>
        </w:tc>
        <w:tc>
          <w:tcPr>
            <w:tcW w:w="1370" w:type="pct"/>
            <w:vAlign w:val="center"/>
          </w:tcPr>
          <w:p w14:paraId="538BB9A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ascii="Arial"/>
                <w:color w:val="auto"/>
                <w:sz w:val="21"/>
                <w:szCs w:val="21"/>
              </w:rPr>
            </w:pPr>
            <w:r>
              <w:rPr>
                <w:rFonts w:hint="eastAsia" w:ascii="宋体" w:hAnsi="宋体" w:eastAsia="宋体" w:cs="宋体"/>
                <w:color w:val="auto"/>
                <w:kern w:val="0"/>
                <w:szCs w:val="21"/>
                <w:highlight w:val="none"/>
              </w:rPr>
              <w:t>小写（人民币）</w:t>
            </w:r>
            <w:r>
              <w:rPr>
                <w:rFonts w:hint="eastAsia" w:ascii="宋体" w:hAnsi="宋体" w:eastAsia="宋体" w:cs="宋体"/>
                <w:color w:val="auto"/>
                <w:kern w:val="0"/>
                <w:szCs w:val="21"/>
                <w:highlight w:val="none"/>
                <w:lang w:eastAsia="zh-CN"/>
              </w:rPr>
              <w:t>：</w:t>
            </w:r>
          </w:p>
        </w:tc>
        <w:tc>
          <w:tcPr>
            <w:tcW w:w="959" w:type="pct"/>
            <w:vAlign w:val="center"/>
          </w:tcPr>
          <w:p w14:paraId="39717E32">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eastAsia="宋体"/>
                <w:color w:val="auto"/>
                <w:sz w:val="21"/>
                <w:szCs w:val="21"/>
                <w:lang w:val="en-US" w:eastAsia="zh-CN"/>
              </w:rPr>
            </w:pPr>
            <w:r>
              <w:rPr>
                <w:rFonts w:hint="eastAsia"/>
                <w:color w:val="auto"/>
                <w:sz w:val="21"/>
                <w:szCs w:val="21"/>
                <w:lang w:val="en-US" w:eastAsia="zh-CN"/>
              </w:rPr>
              <w:t>/</w:t>
            </w:r>
          </w:p>
        </w:tc>
      </w:tr>
      <w:tr w14:paraId="3B8A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jc w:val="center"/>
        </w:trPr>
        <w:tc>
          <w:tcPr>
            <w:tcW w:w="395" w:type="pct"/>
            <w:vAlign w:val="center"/>
          </w:tcPr>
          <w:p w14:paraId="666C811B">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color w:val="auto"/>
                <w:spacing w:val="14"/>
                <w:sz w:val="21"/>
                <w:szCs w:val="21"/>
                <w:lang w:val="en-US" w:eastAsia="zh-CN"/>
              </w:rPr>
            </w:pPr>
            <w:r>
              <w:rPr>
                <w:rFonts w:hint="eastAsia"/>
                <w:color w:val="auto"/>
                <w:spacing w:val="14"/>
                <w:sz w:val="21"/>
                <w:szCs w:val="21"/>
                <w:lang w:val="en-US" w:eastAsia="zh-CN"/>
              </w:rPr>
              <w:t>2</w:t>
            </w:r>
          </w:p>
        </w:tc>
        <w:tc>
          <w:tcPr>
            <w:tcW w:w="614" w:type="pct"/>
            <w:vMerge w:val="continue"/>
            <w:vAlign w:val="center"/>
          </w:tcPr>
          <w:p w14:paraId="46B2A83B">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default"/>
                <w:color w:val="auto"/>
                <w:spacing w:val="14"/>
                <w:sz w:val="21"/>
                <w:szCs w:val="21"/>
                <w:lang w:val="en-US"/>
              </w:rPr>
            </w:pPr>
          </w:p>
        </w:tc>
        <w:tc>
          <w:tcPr>
            <w:tcW w:w="997" w:type="pct"/>
            <w:vAlign w:val="center"/>
          </w:tcPr>
          <w:p w14:paraId="349BFAAE">
            <w:pPr>
              <w:pStyle w:val="2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olor w:val="auto"/>
                <w:spacing w:val="14"/>
                <w:sz w:val="21"/>
                <w:szCs w:val="21"/>
                <w:lang w:val="en-US" w:eastAsia="zh-CN"/>
              </w:rPr>
            </w:pPr>
            <w:r>
              <w:rPr>
                <w:rFonts w:hint="default"/>
                <w:color w:val="auto"/>
                <w:spacing w:val="14"/>
                <w:sz w:val="21"/>
                <w:szCs w:val="21"/>
                <w:lang w:val="en-US" w:eastAsia="zh-CN"/>
              </w:rPr>
              <w:t>物业</w:t>
            </w:r>
            <w:r>
              <w:rPr>
                <w:rFonts w:hint="eastAsia"/>
                <w:color w:val="auto"/>
                <w:spacing w:val="14"/>
                <w:sz w:val="21"/>
                <w:szCs w:val="21"/>
                <w:lang w:val="en-US" w:eastAsia="zh-CN"/>
              </w:rPr>
              <w:t>管理运营</w:t>
            </w:r>
            <w:r>
              <w:rPr>
                <w:rFonts w:hint="default"/>
                <w:color w:val="auto"/>
                <w:spacing w:val="14"/>
                <w:sz w:val="21"/>
                <w:szCs w:val="21"/>
                <w:lang w:val="en-US" w:eastAsia="zh-CN"/>
              </w:rPr>
              <w:t>服务</w:t>
            </w:r>
            <w:r>
              <w:rPr>
                <w:rFonts w:hint="eastAsia"/>
                <w:color w:val="auto"/>
                <w:spacing w:val="14"/>
                <w:sz w:val="21"/>
                <w:szCs w:val="21"/>
                <w:lang w:val="en-US" w:eastAsia="zh-CN"/>
              </w:rPr>
              <w:t>费</w:t>
            </w:r>
            <w:r>
              <w:rPr>
                <w:rFonts w:hint="eastAsia" w:hAnsi="宋体" w:cs="仿宋_GB2312"/>
                <w:color w:val="auto"/>
                <w:sz w:val="21"/>
                <w:szCs w:val="21"/>
              </w:rPr>
              <w:t>用最高限额</w:t>
            </w:r>
          </w:p>
        </w:tc>
        <w:tc>
          <w:tcPr>
            <w:tcW w:w="662" w:type="pct"/>
            <w:vMerge w:val="continue"/>
            <w:vAlign w:val="center"/>
          </w:tcPr>
          <w:p w14:paraId="13E97F6D">
            <w:pPr>
              <w:pStyle w:val="2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color w:val="auto"/>
                <w:spacing w:val="14"/>
                <w:sz w:val="21"/>
                <w:szCs w:val="21"/>
                <w:lang w:val="en-US" w:eastAsia="zh-CN"/>
              </w:rPr>
            </w:pPr>
          </w:p>
        </w:tc>
        <w:tc>
          <w:tcPr>
            <w:tcW w:w="1370" w:type="pct"/>
            <w:vAlign w:val="center"/>
          </w:tcPr>
          <w:p w14:paraId="705BFD20">
            <w:pPr>
              <w:pStyle w:val="212"/>
              <w:keepNext w:val="0"/>
              <w:keepLines w:val="0"/>
              <w:pageBreakBefore w:val="0"/>
              <w:widowControl w:val="0"/>
              <w:kinsoku/>
              <w:wordWrap/>
              <w:overflowPunct/>
              <w:topLinePunct w:val="0"/>
              <w:autoSpaceDE/>
              <w:autoSpaceDN/>
              <w:bidi w:val="0"/>
              <w:adjustRightInd w:val="0"/>
              <w:snapToGrid w:val="0"/>
              <w:spacing w:line="240" w:lineRule="auto"/>
              <w:ind w:left="210" w:right="0" w:hanging="210" w:hangingChars="100"/>
              <w:jc w:val="left"/>
              <w:textAlignment w:val="auto"/>
              <w:rPr>
                <w:color w:val="auto"/>
                <w:sz w:val="21"/>
                <w:szCs w:val="21"/>
              </w:rPr>
            </w:pPr>
            <w:r>
              <w:rPr>
                <w:rFonts w:hint="eastAsia" w:ascii="宋体" w:hAnsi="宋体" w:eastAsia="宋体" w:cs="宋体"/>
                <w:color w:val="auto"/>
                <w:kern w:val="0"/>
                <w:sz w:val="21"/>
                <w:szCs w:val="21"/>
                <w:highlight w:val="none"/>
              </w:rPr>
              <w:t>小写（人民币）</w:t>
            </w:r>
            <w:r>
              <w:rPr>
                <w:rFonts w:hint="eastAsia" w:ascii="宋体" w:hAnsi="宋体" w:eastAsia="宋体" w:cs="宋体"/>
                <w:color w:val="auto"/>
                <w:kern w:val="0"/>
                <w:sz w:val="21"/>
                <w:szCs w:val="21"/>
                <w:highlight w:val="none"/>
                <w:lang w:eastAsia="zh-CN"/>
              </w:rPr>
              <w:t>：</w:t>
            </w:r>
          </w:p>
        </w:tc>
        <w:tc>
          <w:tcPr>
            <w:tcW w:w="959" w:type="pct"/>
            <w:vAlign w:val="center"/>
          </w:tcPr>
          <w:p w14:paraId="1B2D55B2">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eastAsia="宋体"/>
                <w:color w:val="auto"/>
                <w:sz w:val="21"/>
                <w:szCs w:val="21"/>
                <w:lang w:val="en-US" w:eastAsia="zh-CN"/>
              </w:rPr>
            </w:pPr>
            <w:r>
              <w:rPr>
                <w:rFonts w:hint="eastAsia"/>
                <w:color w:val="auto"/>
                <w:sz w:val="21"/>
                <w:szCs w:val="21"/>
                <w:lang w:val="en-US" w:eastAsia="zh-CN"/>
              </w:rPr>
              <w:t>物业管理运营费用最高限额不含税报价应包含物业管理运营服务人工费用最高限额</w:t>
            </w:r>
          </w:p>
        </w:tc>
      </w:tr>
      <w:tr w14:paraId="07DB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jc w:val="center"/>
        </w:trPr>
        <w:tc>
          <w:tcPr>
            <w:tcW w:w="395" w:type="pct"/>
            <w:vAlign w:val="center"/>
          </w:tcPr>
          <w:p w14:paraId="3C48212A">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color w:val="auto"/>
                <w:spacing w:val="14"/>
                <w:sz w:val="21"/>
                <w:szCs w:val="21"/>
                <w:lang w:val="en-US" w:eastAsia="zh-CN"/>
              </w:rPr>
            </w:pPr>
            <w:r>
              <w:rPr>
                <w:rFonts w:hint="eastAsia"/>
                <w:color w:val="auto"/>
                <w:spacing w:val="14"/>
                <w:sz w:val="21"/>
                <w:szCs w:val="21"/>
                <w:lang w:val="en-US" w:eastAsia="zh-CN"/>
              </w:rPr>
              <w:t>3</w:t>
            </w:r>
          </w:p>
        </w:tc>
        <w:tc>
          <w:tcPr>
            <w:tcW w:w="614" w:type="pct"/>
            <w:vMerge w:val="continue"/>
            <w:vAlign w:val="center"/>
          </w:tcPr>
          <w:p w14:paraId="60447088">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default"/>
                <w:color w:val="auto"/>
                <w:spacing w:val="14"/>
                <w:sz w:val="21"/>
                <w:szCs w:val="21"/>
                <w:lang w:val="en-US"/>
              </w:rPr>
            </w:pPr>
          </w:p>
        </w:tc>
        <w:tc>
          <w:tcPr>
            <w:tcW w:w="997" w:type="pct"/>
            <w:vAlign w:val="center"/>
          </w:tcPr>
          <w:p w14:paraId="34AAC2CB">
            <w:pPr>
              <w:pStyle w:val="2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olor w:val="auto"/>
                <w:spacing w:val="14"/>
                <w:sz w:val="21"/>
                <w:szCs w:val="21"/>
                <w:lang w:val="en-US" w:eastAsia="zh-CN"/>
              </w:rPr>
            </w:pPr>
            <w:r>
              <w:rPr>
                <w:rFonts w:hint="eastAsia" w:hAnsi="宋体" w:cs="宋体"/>
                <w:b w:val="0"/>
                <w:bCs w:val="0"/>
                <w:color w:val="auto"/>
                <w:sz w:val="21"/>
                <w:szCs w:val="21"/>
              </w:rPr>
              <w:t>其中</w:t>
            </w:r>
            <w:r>
              <w:rPr>
                <w:rFonts w:hint="eastAsia" w:ascii="宋体" w:eastAsia="宋体" w:cs="宋体"/>
                <w:b w:val="0"/>
                <w:bCs w:val="0"/>
                <w:color w:val="auto"/>
                <w:sz w:val="21"/>
                <w:szCs w:val="21"/>
                <w:lang w:val="en-US" w:eastAsia="zh-CN"/>
              </w:rPr>
              <w:t>物业管理运营服务</w:t>
            </w:r>
            <w:r>
              <w:rPr>
                <w:rFonts w:hint="eastAsia" w:ascii="宋体" w:eastAsia="宋体" w:cs="宋体"/>
                <w:b w:val="0"/>
                <w:bCs w:val="0"/>
                <w:color w:val="auto"/>
                <w:sz w:val="21"/>
                <w:szCs w:val="21"/>
              </w:rPr>
              <w:t>人工费用最高限额</w:t>
            </w:r>
            <w:r>
              <w:rPr>
                <w:rFonts w:hint="eastAsia" w:cs="宋体"/>
                <w:b w:val="0"/>
                <w:bCs w:val="0"/>
                <w:color w:val="auto"/>
                <w:sz w:val="21"/>
                <w:szCs w:val="21"/>
                <w:lang w:val="en-US" w:eastAsia="zh-CN"/>
              </w:rPr>
              <w:t>为</w:t>
            </w:r>
          </w:p>
        </w:tc>
        <w:tc>
          <w:tcPr>
            <w:tcW w:w="662" w:type="pct"/>
            <w:vMerge w:val="continue"/>
            <w:vAlign w:val="center"/>
          </w:tcPr>
          <w:p w14:paraId="3B386856">
            <w:pPr>
              <w:pStyle w:val="2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color w:val="auto"/>
                <w:spacing w:val="14"/>
                <w:sz w:val="21"/>
                <w:szCs w:val="21"/>
                <w:lang w:val="en-US" w:eastAsia="zh-CN"/>
              </w:rPr>
            </w:pPr>
          </w:p>
        </w:tc>
        <w:tc>
          <w:tcPr>
            <w:tcW w:w="1370" w:type="pct"/>
            <w:vAlign w:val="center"/>
          </w:tcPr>
          <w:p w14:paraId="2D51B1AB">
            <w:pPr>
              <w:pStyle w:val="212"/>
              <w:keepNext w:val="0"/>
              <w:keepLines w:val="0"/>
              <w:pageBreakBefore w:val="0"/>
              <w:widowControl w:val="0"/>
              <w:kinsoku/>
              <w:wordWrap/>
              <w:overflowPunct/>
              <w:topLinePunct w:val="0"/>
              <w:autoSpaceDE/>
              <w:autoSpaceDN/>
              <w:bidi w:val="0"/>
              <w:adjustRightInd w:val="0"/>
              <w:snapToGrid w:val="0"/>
              <w:spacing w:line="240" w:lineRule="auto"/>
              <w:ind w:left="210" w:right="0" w:hanging="210" w:hangingChars="1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小写（人民币）</w:t>
            </w:r>
            <w:r>
              <w:rPr>
                <w:rFonts w:hint="eastAsia" w:ascii="宋体" w:hAnsi="宋体" w:eastAsia="宋体" w:cs="宋体"/>
                <w:color w:val="auto"/>
                <w:kern w:val="0"/>
                <w:sz w:val="21"/>
                <w:szCs w:val="21"/>
                <w:highlight w:val="none"/>
                <w:lang w:eastAsia="zh-CN"/>
              </w:rPr>
              <w:t>：</w:t>
            </w:r>
            <w:r>
              <w:rPr>
                <w:rFonts w:hint="eastAsia" w:cs="宋体"/>
                <w:color w:val="auto"/>
                <w:kern w:val="0"/>
                <w:sz w:val="21"/>
                <w:szCs w:val="21"/>
                <w:highlight w:val="none"/>
                <w:u w:val="single"/>
                <w:lang w:val="en-US" w:eastAsia="zh-CN"/>
              </w:rPr>
              <w:t xml:space="preserve">    </w:t>
            </w:r>
          </w:p>
        </w:tc>
        <w:tc>
          <w:tcPr>
            <w:tcW w:w="959" w:type="pct"/>
            <w:vAlign w:val="center"/>
          </w:tcPr>
          <w:p w14:paraId="0BC2BD85">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color w:val="auto"/>
                <w:sz w:val="21"/>
                <w:szCs w:val="21"/>
              </w:rPr>
            </w:pPr>
            <w:r>
              <w:rPr>
                <w:color w:val="auto"/>
                <w:sz w:val="21"/>
                <w:szCs w:val="21"/>
              </w:rPr>
              <w:t>按</w:t>
            </w:r>
            <w:r>
              <w:rPr>
                <w:rFonts w:hint="eastAsia"/>
                <w:color w:val="auto"/>
                <w:sz w:val="21"/>
                <w:szCs w:val="21"/>
                <w:lang w:val="en-US" w:eastAsia="zh-CN"/>
              </w:rPr>
              <w:t>入驻</w:t>
            </w:r>
            <w:r>
              <w:rPr>
                <w:color w:val="auto"/>
                <w:sz w:val="21"/>
                <w:szCs w:val="21"/>
              </w:rPr>
              <w:t>率</w:t>
            </w:r>
            <w:r>
              <w:rPr>
                <w:rFonts w:hint="eastAsia" w:ascii="宋体" w:hAnsi="宋体" w:eastAsia="宋体" w:cs="宋体"/>
                <w:color w:val="auto"/>
                <w:kern w:val="2"/>
                <w:sz w:val="21"/>
                <w:szCs w:val="21"/>
                <w:highlight w:val="none"/>
                <w:lang w:val="en-US" w:eastAsia="zh-CN"/>
              </w:rPr>
              <w:t>≥</w:t>
            </w:r>
            <w:r>
              <w:rPr>
                <w:color w:val="auto"/>
                <w:sz w:val="21"/>
                <w:szCs w:val="21"/>
              </w:rPr>
              <w:t>70%时的人员配置要求</w:t>
            </w:r>
          </w:p>
        </w:tc>
      </w:tr>
      <w:tr w14:paraId="09CE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0" w:hRule="atLeast"/>
          <w:jc w:val="center"/>
        </w:trPr>
        <w:tc>
          <w:tcPr>
            <w:tcW w:w="395" w:type="pct"/>
            <w:vAlign w:val="center"/>
          </w:tcPr>
          <w:p w14:paraId="62B7DA81">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color w:val="auto"/>
                <w:spacing w:val="14"/>
                <w:sz w:val="21"/>
                <w:szCs w:val="21"/>
                <w:lang w:val="en-US" w:eastAsia="zh-CN"/>
              </w:rPr>
            </w:pPr>
            <w:r>
              <w:rPr>
                <w:rFonts w:hint="eastAsia"/>
                <w:color w:val="auto"/>
                <w:spacing w:val="14"/>
                <w:sz w:val="21"/>
                <w:szCs w:val="21"/>
                <w:lang w:val="en-US" w:eastAsia="zh-CN"/>
              </w:rPr>
              <w:t>3</w:t>
            </w:r>
          </w:p>
        </w:tc>
        <w:tc>
          <w:tcPr>
            <w:tcW w:w="2274" w:type="pct"/>
            <w:gridSpan w:val="3"/>
            <w:vAlign w:val="center"/>
          </w:tcPr>
          <w:p w14:paraId="062A0AD2">
            <w:pPr>
              <w:pStyle w:val="2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hAnsi="宋体" w:cs="宋体"/>
                <w:b w:val="0"/>
                <w:bCs w:val="0"/>
                <w:color w:val="auto"/>
                <w:sz w:val="21"/>
                <w:szCs w:val="21"/>
              </w:rPr>
            </w:pPr>
            <w:r>
              <w:rPr>
                <w:color w:val="auto"/>
                <w:spacing w:val="1"/>
                <w:sz w:val="21"/>
                <w:szCs w:val="21"/>
              </w:rPr>
              <w:t>不含税</w:t>
            </w:r>
            <w:r>
              <w:rPr>
                <w:rFonts w:hint="eastAsia"/>
                <w:color w:val="auto"/>
                <w:spacing w:val="1"/>
                <w:sz w:val="21"/>
                <w:szCs w:val="21"/>
                <w:lang w:eastAsia="zh-CN"/>
              </w:rPr>
              <w:t>总</w:t>
            </w:r>
            <w:r>
              <w:rPr>
                <w:color w:val="auto"/>
                <w:spacing w:val="1"/>
                <w:sz w:val="21"/>
                <w:szCs w:val="21"/>
              </w:rPr>
              <w:t>报价</w:t>
            </w:r>
            <w:r>
              <w:rPr>
                <w:color w:val="auto"/>
                <w:spacing w:val="16"/>
                <w:sz w:val="21"/>
                <w:szCs w:val="21"/>
              </w:rPr>
              <w:t>(元)</w:t>
            </w:r>
          </w:p>
        </w:tc>
        <w:tc>
          <w:tcPr>
            <w:tcW w:w="1370" w:type="pct"/>
            <w:vAlign w:val="center"/>
          </w:tcPr>
          <w:p w14:paraId="408242CA">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小写（人民币）</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u w:val="single"/>
                <w:lang w:val="en-US" w:eastAsia="zh-CN"/>
              </w:rPr>
              <w:t xml:space="preserve">     </w:t>
            </w:r>
            <w:r>
              <w:rPr>
                <w:rFonts w:hint="eastAsia" w:cs="宋体"/>
                <w:color w:val="auto"/>
                <w:kern w:val="0"/>
                <w:sz w:val="21"/>
                <w:szCs w:val="21"/>
                <w:highlight w:val="none"/>
                <w:lang w:val="en-US" w:eastAsia="zh-CN"/>
              </w:rPr>
              <w:t>元</w:t>
            </w:r>
            <w:r>
              <w:rPr>
                <w:rFonts w:hint="eastAsia" w:ascii="宋体" w:hAnsi="宋体" w:eastAsia="宋体" w:cs="宋体"/>
                <w:color w:val="auto"/>
                <w:kern w:val="0"/>
                <w:sz w:val="21"/>
                <w:szCs w:val="21"/>
                <w:highlight w:val="none"/>
                <w:lang w:val="en-US" w:eastAsia="zh-CN"/>
              </w:rPr>
              <w:t xml:space="preserve"> </w:t>
            </w:r>
          </w:p>
          <w:p w14:paraId="0FF752C8">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hint="eastAsia" w:ascii="宋体" w:hAnsi="宋体" w:eastAsia="宋体" w:cs="宋体"/>
                <w:color w:val="auto"/>
                <w:kern w:val="0"/>
                <w:sz w:val="21"/>
                <w:szCs w:val="21"/>
                <w:highlight w:val="none"/>
              </w:rPr>
            </w:pPr>
            <w:r>
              <w:rPr>
                <w:rFonts w:hint="eastAsia" w:hAnsi="宋体" w:cs="宋体"/>
                <w:color w:val="auto"/>
                <w:sz w:val="21"/>
                <w:szCs w:val="21"/>
              </w:rPr>
              <w:t>注：不含税总报价=</w:t>
            </w:r>
            <w:r>
              <w:rPr>
                <w:rFonts w:hint="eastAsia" w:hAnsi="宋体" w:cs="宋体"/>
                <w:color w:val="auto"/>
                <w:sz w:val="21"/>
                <w:szCs w:val="21"/>
                <w:lang w:val="en-US" w:eastAsia="zh-CN"/>
              </w:rPr>
              <w:t>1</w:t>
            </w:r>
            <w:r>
              <w:rPr>
                <w:rFonts w:hint="eastAsia" w:hAnsi="宋体" w:cs="宋体"/>
                <w:color w:val="auto"/>
                <w:sz w:val="21"/>
                <w:szCs w:val="21"/>
              </w:rPr>
              <w:t>+</w:t>
            </w:r>
            <w:r>
              <w:rPr>
                <w:rFonts w:hint="eastAsia" w:hAnsi="宋体" w:cs="宋体"/>
                <w:color w:val="auto"/>
                <w:sz w:val="21"/>
                <w:szCs w:val="21"/>
                <w:lang w:val="en-US" w:eastAsia="zh-CN"/>
              </w:rPr>
              <w:t>2</w:t>
            </w:r>
          </w:p>
        </w:tc>
        <w:tc>
          <w:tcPr>
            <w:tcW w:w="959" w:type="pct"/>
            <w:vAlign w:val="center"/>
          </w:tcPr>
          <w:p w14:paraId="44F32D7C">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eastAsia="宋体"/>
                <w:color w:val="auto"/>
                <w:sz w:val="21"/>
                <w:szCs w:val="21"/>
                <w:lang w:val="en-US" w:eastAsia="zh-CN"/>
              </w:rPr>
            </w:pPr>
            <w:r>
              <w:rPr>
                <w:rFonts w:hint="eastAsia"/>
                <w:color w:val="auto"/>
                <w:sz w:val="21"/>
                <w:szCs w:val="21"/>
                <w:lang w:val="en-US" w:eastAsia="zh-CN"/>
              </w:rPr>
              <w:t>/</w:t>
            </w:r>
          </w:p>
        </w:tc>
      </w:tr>
    </w:tbl>
    <w:p w14:paraId="677A9B9E">
      <w:pPr>
        <w:autoSpaceDE w:val="0"/>
        <w:autoSpaceDN w:val="0"/>
        <w:adjustRightIn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12EDD30B">
      <w:pPr>
        <w:autoSpaceDE w:val="0"/>
        <w:autoSpaceDN w:val="0"/>
        <w:adjustRightInd w:val="0"/>
        <w:snapToGrid w:val="0"/>
        <w:spacing w:line="360" w:lineRule="auto"/>
        <w:ind w:left="605" w:leftChars="18"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color w:val="auto"/>
          <w:kern w:val="0"/>
          <w:szCs w:val="21"/>
          <w:highlight w:val="none"/>
          <w:u w:val="single"/>
        </w:rPr>
        <w:t>本项目投标报价为不含税价</w:t>
      </w:r>
      <w:r>
        <w:rPr>
          <w:rFonts w:hint="eastAsia" w:ascii="宋体" w:hAnsi="宋体" w:eastAsia="宋体" w:cs="宋体"/>
          <w:b/>
          <w:color w:val="auto"/>
          <w:kern w:val="0"/>
          <w:szCs w:val="21"/>
          <w:highlight w:val="none"/>
          <w:u w:val="single"/>
          <w:lang w:val="en-US" w:eastAsia="zh-CN"/>
        </w:rPr>
        <w:t>[</w:t>
      </w:r>
      <w:r>
        <w:rPr>
          <w:rFonts w:hint="eastAsia" w:ascii="宋体" w:hAnsi="宋体" w:eastAsia="宋体" w:cs="宋体"/>
          <w:b/>
          <w:color w:val="auto"/>
          <w:kern w:val="0"/>
          <w:szCs w:val="21"/>
          <w:highlight w:val="none"/>
          <w:u w:val="single"/>
          <w:lang w:eastAsia="zh-CN"/>
        </w:rPr>
        <w:t>物业管理带教服务费用、物业管理运营服务费用最高限额（</w:t>
      </w:r>
      <w:r>
        <w:rPr>
          <w:rFonts w:hint="eastAsia" w:ascii="宋体" w:hAnsi="宋体" w:eastAsia="宋体" w:cs="宋体"/>
          <w:b/>
          <w:color w:val="auto"/>
          <w:kern w:val="0"/>
          <w:szCs w:val="21"/>
          <w:highlight w:val="none"/>
          <w:u w:val="single"/>
          <w:lang w:val="en-US" w:eastAsia="zh-CN"/>
        </w:rPr>
        <w:t>含</w:t>
      </w:r>
      <w:r>
        <w:rPr>
          <w:rFonts w:hint="eastAsia" w:ascii="宋体" w:hAnsi="宋体" w:eastAsia="宋体" w:cs="宋体"/>
          <w:b/>
          <w:color w:val="auto"/>
          <w:kern w:val="0"/>
          <w:szCs w:val="21"/>
          <w:highlight w:val="none"/>
          <w:u w:val="single"/>
          <w:lang w:eastAsia="zh-CN"/>
        </w:rPr>
        <w:t>物业管理运营服务人工费用最高限额），不含增值税</w:t>
      </w:r>
      <w:r>
        <w:rPr>
          <w:rFonts w:hint="eastAsia" w:ascii="宋体" w:hAnsi="宋体" w:eastAsia="宋体" w:cs="宋体"/>
          <w:b/>
          <w:color w:val="auto"/>
          <w:kern w:val="0"/>
          <w:szCs w:val="21"/>
          <w:highlight w:val="none"/>
          <w:u w:val="single"/>
          <w:lang w:val="en-US" w:eastAsia="zh-CN"/>
        </w:rPr>
        <w:t>]</w:t>
      </w:r>
      <w:r>
        <w:rPr>
          <w:rFonts w:hint="eastAsia" w:ascii="宋体" w:hAnsi="宋体" w:eastAsia="宋体" w:cs="宋体"/>
          <w:b/>
          <w:color w:val="auto"/>
          <w:kern w:val="0"/>
          <w:szCs w:val="21"/>
          <w:highlight w:val="none"/>
          <w:u w:val="single"/>
        </w:rPr>
        <w:t>，即为《中华人民共和国增值税暂行条例》（国务院令第691号修订版）规定的销售额</w:t>
      </w:r>
      <w:r>
        <w:rPr>
          <w:rFonts w:hint="eastAsia" w:ascii="宋体" w:hAnsi="宋体" w:eastAsia="宋体" w:cs="宋体"/>
          <w:color w:val="auto"/>
          <w:kern w:val="0"/>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宋体"/>
          <w:color w:val="auto"/>
          <w:szCs w:val="21"/>
          <w:highlight w:val="none"/>
          <w:lang w:val="zh-CN"/>
        </w:rPr>
        <w:t>本采购项目的销项税额由招标人承担</w:t>
      </w:r>
      <w:r>
        <w:rPr>
          <w:rFonts w:hint="eastAsia" w:ascii="宋体" w:hAnsi="宋体" w:eastAsia="宋体" w:cs="宋体"/>
          <w:color w:val="auto"/>
          <w:kern w:val="0"/>
          <w:szCs w:val="21"/>
          <w:highlight w:val="none"/>
        </w:rPr>
        <w:t>，不计入投标报价。</w:t>
      </w:r>
    </w:p>
    <w:p w14:paraId="6AFAE256">
      <w:pPr>
        <w:autoSpaceDE w:val="0"/>
        <w:autoSpaceDN w:val="0"/>
        <w:adjustRightInd w:val="0"/>
        <w:snapToGrid w:val="0"/>
        <w:spacing w:line="360" w:lineRule="auto"/>
        <w:ind w:left="605" w:leftChars="18" w:hanging="567" w:hangingChars="270"/>
        <w:jc w:val="lef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w:t>
      </w:r>
      <w:r>
        <w:rPr>
          <w:rFonts w:hint="eastAsia" w:ascii="宋体" w:hAnsi="宋体" w:eastAsia="宋体" w:cs="宋体"/>
          <w:b w:val="0"/>
          <w:bCs w:val="0"/>
          <w:color w:val="auto"/>
          <w:kern w:val="0"/>
          <w:szCs w:val="21"/>
          <w:highlight w:val="none"/>
          <w:lang w:val="en-US" w:eastAsia="zh-CN"/>
        </w:rPr>
        <w:t>2</w:t>
      </w:r>
      <w:r>
        <w:rPr>
          <w:rFonts w:hint="eastAsia" w:ascii="宋体" w:hAnsi="宋体" w:eastAsia="宋体" w:cs="宋体"/>
          <w:b w:val="0"/>
          <w:bCs w:val="0"/>
          <w:color w:val="auto"/>
          <w:kern w:val="0"/>
          <w:szCs w:val="21"/>
          <w:highlight w:val="none"/>
        </w:rPr>
        <w:t>）</w:t>
      </w:r>
      <w:r>
        <w:rPr>
          <w:rFonts w:hint="eastAsia" w:ascii="宋体" w:hAnsi="宋体" w:eastAsia="宋体" w:cs="宋体"/>
          <w:b/>
          <w:color w:val="auto"/>
          <w:szCs w:val="21"/>
          <w:u w:val="single"/>
        </w:rPr>
        <w:t>投标人的投标报价超过最高投标限价的或单项报价超过单项</w:t>
      </w:r>
      <w:r>
        <w:rPr>
          <w:rFonts w:hint="eastAsia" w:ascii="宋体" w:hAnsi="宋体" w:eastAsia="宋体" w:cs="宋体"/>
          <w:b/>
          <w:color w:val="auto"/>
          <w:szCs w:val="21"/>
          <w:u w:val="single"/>
          <w:lang w:val="zh-CN"/>
        </w:rPr>
        <w:t>最高投标限价的</w:t>
      </w:r>
      <w:r>
        <w:rPr>
          <w:rFonts w:hint="eastAsia" w:ascii="宋体" w:hAnsi="宋体" w:eastAsia="宋体" w:cs="宋体"/>
          <w:b/>
          <w:color w:val="auto"/>
          <w:szCs w:val="21"/>
          <w:u w:val="single"/>
        </w:rPr>
        <w:t>，该投标人的投标文件将被视为无效投标</w:t>
      </w:r>
      <w:r>
        <w:rPr>
          <w:rFonts w:hint="eastAsia" w:ascii="宋体" w:hAnsi="宋体" w:eastAsia="宋体" w:cs="宋体"/>
          <w:b/>
          <w:color w:val="auto"/>
          <w:szCs w:val="21"/>
        </w:rPr>
        <w:t>。</w:t>
      </w:r>
    </w:p>
    <w:p w14:paraId="59DECFE1">
      <w:pPr>
        <w:autoSpaceDE w:val="0"/>
        <w:autoSpaceDN w:val="0"/>
        <w:adjustRightInd w:val="0"/>
        <w:snapToGrid w:val="0"/>
        <w:spacing w:line="360" w:lineRule="auto"/>
        <w:ind w:left="605" w:leftChars="18" w:hanging="567" w:hangingChars="270"/>
        <w:jc w:val="left"/>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b/>
          <w:color w:val="auto"/>
          <w:szCs w:val="21"/>
          <w:highlight w:val="none"/>
          <w:u w:val="single"/>
          <w:lang w:val="zh-CN"/>
        </w:rPr>
        <w:t>此表的不含税总报价指所有需招标人支付的本次招标范围内所有内容的金额总数即报价信封中的投标值</w:t>
      </w:r>
      <w:r>
        <w:rPr>
          <w:rFonts w:hint="eastAsia" w:ascii="宋体" w:hAnsi="宋体" w:eastAsia="宋体" w:cs="宋体"/>
          <w:b/>
          <w:bCs/>
          <w:color w:val="auto"/>
          <w:kern w:val="0"/>
          <w:szCs w:val="21"/>
          <w:highlight w:val="none"/>
        </w:rPr>
        <w:t>。</w:t>
      </w:r>
    </w:p>
    <w:p w14:paraId="79D28A9E">
      <w:pPr>
        <w:autoSpaceDE w:val="0"/>
        <w:autoSpaceDN w:val="0"/>
        <w:adjustRightInd w:val="0"/>
        <w:snapToGrid w:val="0"/>
        <w:spacing w:line="360" w:lineRule="auto"/>
        <w:ind w:left="605" w:leftChars="18" w:hanging="567" w:hangingChars="270"/>
        <w:jc w:val="left"/>
        <w:rPr>
          <w:rFonts w:hint="eastAsia" w:ascii="宋体" w:hAnsi="宋体" w:eastAsia="宋体" w:cs="宋体"/>
          <w:b/>
          <w:color w:val="auto"/>
          <w:szCs w:val="21"/>
          <w:highlight w:val="none"/>
          <w:lang w:val="zh-CN"/>
        </w:rPr>
      </w:pPr>
      <w:r>
        <w:rPr>
          <w:rFonts w:hint="eastAsia" w:ascii="宋体" w:hAnsi="宋体" w:eastAsia="宋体" w:cs="宋体"/>
          <w:bCs/>
          <w:color w:val="auto"/>
          <w:kern w:val="0"/>
          <w:szCs w:val="21"/>
          <w:highlight w:val="none"/>
          <w:lang w:val="zh-CN"/>
        </w:rPr>
        <w:t>（</w:t>
      </w:r>
      <w:r>
        <w:rPr>
          <w:rFonts w:hint="eastAsia" w:ascii="宋体" w:hAnsi="宋体" w:eastAsia="宋体" w:cs="宋体"/>
          <w:bCs/>
          <w:color w:val="auto"/>
          <w:kern w:val="0"/>
          <w:szCs w:val="21"/>
          <w:highlight w:val="none"/>
          <w:lang w:val="en-US" w:eastAsia="zh-CN"/>
        </w:rPr>
        <w:t>4</w:t>
      </w:r>
      <w:r>
        <w:rPr>
          <w:rFonts w:hint="eastAsia" w:ascii="宋体" w:hAnsi="宋体" w:eastAsia="宋体" w:cs="宋体"/>
          <w:bCs/>
          <w:color w:val="auto"/>
          <w:kern w:val="0"/>
          <w:szCs w:val="21"/>
          <w:highlight w:val="none"/>
          <w:lang w:val="zh-CN"/>
        </w:rPr>
        <w:t>）</w:t>
      </w:r>
      <w:r>
        <w:rPr>
          <w:rFonts w:hint="eastAsia" w:ascii="宋体" w:hAnsi="宋体" w:eastAsia="宋体" w:cs="宋体"/>
          <w:b/>
          <w:color w:val="auto"/>
          <w:szCs w:val="21"/>
          <w:highlight w:val="none"/>
          <w:u w:val="single"/>
          <w:lang w:val="zh-CN"/>
        </w:rPr>
        <w:t>本表内各子项目的投标报价之和应等于报价信封中的投标值。若本表内各子项目的投标报价之和不等于报价信封中的投标值时，以报价信封中的投标值为准，修</w:t>
      </w:r>
      <w:r>
        <w:rPr>
          <w:rFonts w:hint="eastAsia" w:ascii="宋体" w:hAnsi="宋体" w:eastAsia="宋体" w:cs="宋体"/>
          <w:b/>
          <w:color w:val="auto"/>
          <w:szCs w:val="21"/>
          <w:highlight w:val="none"/>
          <w:u w:val="single"/>
          <w:lang w:val="en-US" w:eastAsia="zh-CN"/>
        </w:rPr>
        <w:t>正投标报价</w:t>
      </w:r>
      <w:r>
        <w:rPr>
          <w:rFonts w:hint="eastAsia" w:ascii="宋体" w:hAnsi="宋体" w:eastAsia="宋体" w:cs="宋体"/>
          <w:b/>
          <w:color w:val="auto"/>
          <w:szCs w:val="21"/>
          <w:highlight w:val="none"/>
          <w:u w:val="single"/>
          <w:lang w:val="zh-CN"/>
        </w:rPr>
        <w:t>表内各子项目的投标报价</w:t>
      </w:r>
      <w:r>
        <w:rPr>
          <w:rFonts w:hint="eastAsia" w:ascii="宋体" w:hAnsi="宋体" w:eastAsia="宋体" w:cs="宋体"/>
          <w:b/>
          <w:color w:val="auto"/>
          <w:szCs w:val="21"/>
          <w:highlight w:val="none"/>
          <w:lang w:val="zh-CN"/>
        </w:rPr>
        <w:t>。</w:t>
      </w:r>
    </w:p>
    <w:p w14:paraId="290FB42A">
      <w:pPr>
        <w:autoSpaceDE w:val="0"/>
        <w:autoSpaceDN w:val="0"/>
        <w:adjustRightInd w:val="0"/>
        <w:snapToGrid w:val="0"/>
        <w:spacing w:line="360" w:lineRule="auto"/>
        <w:ind w:left="605" w:leftChars="18" w:hanging="567" w:hangingChars="270"/>
        <w:jc w:val="left"/>
        <w:rPr>
          <w:rFonts w:hint="eastAsia"/>
          <w:color w:val="auto"/>
          <w:lang w:val="zh-CN"/>
        </w:rPr>
      </w:pPr>
      <w:r>
        <w:rPr>
          <w:rFonts w:hint="eastAsia" w:ascii="宋体" w:hAnsi="宋体" w:eastAsia="宋体" w:cs="宋体"/>
          <w:bCs/>
          <w:color w:val="auto"/>
          <w:kern w:val="0"/>
          <w:szCs w:val="21"/>
          <w:highlight w:val="none"/>
          <w:lang w:val="zh-CN"/>
        </w:rPr>
        <w:t>（</w:t>
      </w:r>
      <w:r>
        <w:rPr>
          <w:rFonts w:hint="eastAsia" w:ascii="宋体" w:hAnsi="宋体" w:eastAsia="宋体" w:cs="宋体"/>
          <w:bCs/>
          <w:color w:val="auto"/>
          <w:kern w:val="0"/>
          <w:szCs w:val="21"/>
          <w:highlight w:val="none"/>
          <w:lang w:val="en-US" w:eastAsia="zh-CN"/>
        </w:rPr>
        <w:t>5</w:t>
      </w:r>
      <w:r>
        <w:rPr>
          <w:rFonts w:hint="eastAsia" w:ascii="宋体" w:hAnsi="宋体" w:eastAsia="宋体" w:cs="宋体"/>
          <w:bCs/>
          <w:color w:val="auto"/>
          <w:kern w:val="0"/>
          <w:szCs w:val="21"/>
          <w:highlight w:val="none"/>
          <w:lang w:val="zh-CN"/>
        </w:rPr>
        <w:t>）本投标报价表报价与分项报价明细表报价不一致的，以本投标报价表为准。对不同文字文本投标文件的解释发生异议的，以中文文本为准。</w:t>
      </w:r>
    </w:p>
    <w:p w14:paraId="06CBC313">
      <w:pPr>
        <w:autoSpaceDE w:val="0"/>
        <w:autoSpaceDN w:val="0"/>
        <w:adjustRightInd w:val="0"/>
        <w:snapToGrid w:val="0"/>
        <w:spacing w:line="360" w:lineRule="auto"/>
        <w:ind w:left="605" w:leftChars="18" w:hanging="567" w:hangingChars="270"/>
        <w:jc w:val="left"/>
        <w:rPr>
          <w:rFonts w:hint="eastAsia" w:ascii="宋体" w:hAnsi="宋体" w:eastAsia="宋体" w:cs="宋体"/>
          <w:b/>
          <w:bCs/>
          <w:color w:val="auto"/>
          <w:kern w:val="0"/>
          <w:szCs w:val="21"/>
          <w:highlight w:val="none"/>
        </w:rPr>
      </w:pPr>
      <w:r>
        <w:rPr>
          <w:rFonts w:hint="eastAsia" w:ascii="宋体" w:hAnsi="宋体" w:eastAsia="宋体" w:cs="宋体"/>
          <w:bCs/>
          <w:color w:val="auto"/>
          <w:kern w:val="0"/>
          <w:szCs w:val="21"/>
          <w:highlight w:val="none"/>
          <w:lang w:val="zh-CN"/>
        </w:rPr>
        <w:t>（</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lang w:val="zh-CN"/>
        </w:rPr>
        <w:t>）</w:t>
      </w:r>
      <w:r>
        <w:rPr>
          <w:rFonts w:hint="eastAsia" w:ascii="宋体" w:hAnsi="宋体" w:eastAsia="宋体" w:cs="宋体"/>
          <w:b/>
          <w:bCs/>
          <w:color w:val="auto"/>
          <w:kern w:val="0"/>
          <w:szCs w:val="21"/>
          <w:highlight w:val="none"/>
        </w:rPr>
        <w:t>报价保留小数点后两位。</w:t>
      </w:r>
    </w:p>
    <w:p w14:paraId="498BBE9E">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lang w:eastAsia="zh-CN"/>
        </w:rPr>
        <w:t>）</w:t>
      </w:r>
      <w:r>
        <w:rPr>
          <w:rFonts w:hint="eastAsia" w:ascii="宋体" w:hAnsi="宋体" w:eastAsia="宋体" w:cs="宋体"/>
          <w:b/>
          <w:bCs/>
          <w:color w:val="auto"/>
          <w:kern w:val="0"/>
          <w:szCs w:val="21"/>
          <w:highlight w:val="none"/>
        </w:rPr>
        <w:t>由投标人使用投标人的企业数字证书，法定代表人或其授权代表数字证书电子签名。</w:t>
      </w:r>
    </w:p>
    <w:p w14:paraId="7E13683C">
      <w:pPr>
        <w:pStyle w:val="191"/>
        <w:rPr>
          <w:rFonts w:hint="eastAsia"/>
          <w:color w:val="auto"/>
          <w:highlight w:val="none"/>
          <w:lang w:val="zh-CN"/>
        </w:rPr>
      </w:pPr>
    </w:p>
    <w:p w14:paraId="37A866AD">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2C4140E9">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52AD1197">
      <w:pPr>
        <w:autoSpaceDE w:val="0"/>
        <w:autoSpaceDN w:val="0"/>
        <w:adjustRightInd w:val="0"/>
        <w:spacing w:line="360" w:lineRule="auto"/>
        <w:ind w:firstLine="4960" w:firstLineChars="2362"/>
        <w:rPr>
          <w:rFonts w:hint="eastAsia"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2669663D">
      <w:pPr>
        <w:tabs>
          <w:tab w:val="left" w:pos="567"/>
        </w:tabs>
        <w:autoSpaceDE w:val="0"/>
        <w:autoSpaceDN w:val="0"/>
        <w:adjustRightInd w:val="0"/>
        <w:spacing w:line="360" w:lineRule="auto"/>
        <w:ind w:left="357" w:leftChars="-100" w:hanging="567"/>
        <w:jc w:val="center"/>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14:paraId="4FBE69B5">
      <w:pPr>
        <w:autoSpaceDE w:val="0"/>
        <w:autoSpaceDN w:val="0"/>
        <w:adjustRightInd w:val="0"/>
        <w:spacing w:line="360" w:lineRule="auto"/>
        <w:ind w:firstLine="4960" w:firstLineChars="2362"/>
        <w:rPr>
          <w:rFonts w:hint="eastAsia" w:ascii="宋体" w:hAnsi="宋体" w:eastAsia="宋体" w:cs="Times New Roman"/>
          <w:color w:val="auto"/>
          <w:szCs w:val="24"/>
          <w:highlight w:val="none"/>
          <w:lang w:val="zh-CN"/>
        </w:rPr>
      </w:pPr>
    </w:p>
    <w:p w14:paraId="6A6A2A79">
      <w:pPr>
        <w:rPr>
          <w:rFonts w:hint="eastAsia" w:ascii="宋体" w:hAnsi="宋体" w:eastAsia="宋体" w:cs="宋体"/>
          <w:b/>
          <w:color w:val="auto"/>
          <w:kern w:val="44"/>
          <w:sz w:val="32"/>
          <w:szCs w:val="32"/>
          <w:highlight w:val="none"/>
        </w:rPr>
      </w:pPr>
    </w:p>
    <w:p w14:paraId="37B391D4">
      <w:pPr>
        <w:rPr>
          <w:rFonts w:ascii="宋体" w:hAnsi="宋体" w:eastAsia="宋体" w:cs="宋体"/>
          <w:b/>
          <w:bCs/>
          <w:color w:val="auto"/>
          <w:spacing w:val="-3"/>
          <w:sz w:val="32"/>
          <w:szCs w:val="32"/>
        </w:rPr>
      </w:pPr>
      <w:r>
        <w:rPr>
          <w:rFonts w:ascii="宋体" w:hAnsi="宋体" w:eastAsia="宋体" w:cs="宋体"/>
          <w:b/>
          <w:bCs/>
          <w:color w:val="auto"/>
          <w:spacing w:val="-3"/>
          <w:sz w:val="32"/>
          <w:szCs w:val="32"/>
        </w:rPr>
        <w:br w:type="page"/>
      </w:r>
    </w:p>
    <w:p w14:paraId="57CEEF38">
      <w:pPr>
        <w:spacing w:before="242" w:line="218" w:lineRule="auto"/>
        <w:ind w:left="4379"/>
        <w:rPr>
          <w:rFonts w:ascii="宋体" w:hAnsi="宋体" w:eastAsia="宋体" w:cs="宋体"/>
          <w:color w:val="auto"/>
          <w:sz w:val="32"/>
          <w:szCs w:val="32"/>
        </w:rPr>
      </w:pPr>
      <w:r>
        <w:rPr>
          <w:rFonts w:hint="eastAsia" w:ascii="宋体" w:hAnsi="宋体" w:eastAsia="宋体" w:cs="宋体"/>
          <w:b/>
          <w:bCs/>
          <w:color w:val="auto"/>
          <w:spacing w:val="-3"/>
          <w:sz w:val="32"/>
          <w:szCs w:val="32"/>
          <w:lang w:val="en-US" w:eastAsia="zh-CN"/>
        </w:rPr>
        <w:t>4</w:t>
      </w:r>
      <w:r>
        <w:rPr>
          <w:rFonts w:hint="eastAsia" w:ascii="宋体" w:hAnsi="宋体" w:eastAsia="宋体" w:cs="宋体"/>
          <w:b/>
          <w:bCs/>
          <w:color w:val="auto"/>
          <w:spacing w:val="-3"/>
          <w:sz w:val="32"/>
          <w:szCs w:val="32"/>
          <w:lang w:eastAsia="zh-CN"/>
        </w:rPr>
        <w:t>.</w:t>
      </w:r>
      <w:r>
        <w:rPr>
          <w:rFonts w:hint="eastAsia" w:ascii="宋体" w:hAnsi="宋体" w:eastAsia="宋体" w:cs="宋体"/>
          <w:b/>
          <w:bCs/>
          <w:color w:val="auto"/>
          <w:spacing w:val="-3"/>
          <w:sz w:val="32"/>
          <w:szCs w:val="32"/>
          <w:lang w:val="en-US" w:eastAsia="zh-CN"/>
        </w:rPr>
        <w:t>2</w:t>
      </w:r>
      <w:r>
        <w:rPr>
          <w:rFonts w:ascii="宋体" w:hAnsi="宋体" w:eastAsia="宋体" w:cs="宋体"/>
          <w:b/>
          <w:bCs/>
          <w:color w:val="auto"/>
          <w:spacing w:val="-3"/>
          <w:sz w:val="32"/>
          <w:szCs w:val="32"/>
        </w:rPr>
        <w:t xml:space="preserve"> </w:t>
      </w:r>
      <w:r>
        <w:rPr>
          <w:rFonts w:hint="eastAsia" w:ascii="宋体" w:hAnsi="宋体" w:eastAsia="宋体" w:cs="宋体"/>
          <w:b/>
          <w:bCs/>
          <w:color w:val="auto"/>
          <w:spacing w:val="-3"/>
          <w:sz w:val="32"/>
          <w:szCs w:val="32"/>
        </w:rPr>
        <w:t>分项报价表</w:t>
      </w:r>
    </w:p>
    <w:p w14:paraId="3E9D54BB">
      <w:pPr>
        <w:spacing w:before="65" w:line="219" w:lineRule="auto"/>
        <w:ind w:left="1047"/>
        <w:rPr>
          <w:rFonts w:ascii="宋体" w:hAnsi="宋体" w:eastAsia="宋体" w:cs="宋体"/>
          <w:b/>
          <w:bCs/>
          <w:color w:val="auto"/>
          <w:spacing w:val="14"/>
          <w:sz w:val="20"/>
          <w:szCs w:val="20"/>
        </w:rPr>
      </w:pPr>
    </w:p>
    <w:p w14:paraId="579F01BC">
      <w:pPr>
        <w:spacing w:before="65" w:line="219" w:lineRule="auto"/>
        <w:ind w:left="1047"/>
        <w:rPr>
          <w:rFonts w:ascii="宋体" w:hAnsi="宋体" w:eastAsia="宋体" w:cs="宋体"/>
          <w:color w:val="auto"/>
          <w:sz w:val="20"/>
          <w:szCs w:val="20"/>
        </w:rPr>
      </w:pPr>
      <w:r>
        <w:rPr>
          <w:rFonts w:ascii="宋体" w:hAnsi="宋体" w:eastAsia="宋体" w:cs="宋体"/>
          <w:b/>
          <w:bCs/>
          <w:color w:val="auto"/>
          <w:spacing w:val="14"/>
          <w:sz w:val="20"/>
          <w:szCs w:val="20"/>
        </w:rPr>
        <w:t>项目名称：</w:t>
      </w:r>
      <w:r>
        <w:rPr>
          <w:rFonts w:hint="eastAsia" w:ascii="宋体" w:hAnsi="宋体" w:eastAsia="宋体" w:cs="宋体"/>
          <w:color w:val="auto"/>
          <w:kern w:val="0"/>
          <w:szCs w:val="21"/>
          <w:highlight w:val="none"/>
          <w:u w:val="single"/>
          <w:lang w:eastAsia="zh-CN"/>
        </w:rPr>
        <w:t>东莞市置拓投资有限公司水业大厦2026-2027年度物业管理服务采购项目</w:t>
      </w:r>
    </w:p>
    <w:p w14:paraId="226345BC">
      <w:pPr>
        <w:spacing w:before="152" w:line="219" w:lineRule="auto"/>
        <w:ind w:left="1047"/>
        <w:rPr>
          <w:rFonts w:ascii="宋体" w:hAnsi="宋体" w:eastAsia="宋体" w:cs="宋体"/>
          <w:b/>
          <w:bCs/>
          <w:color w:val="auto"/>
          <w:spacing w:val="16"/>
          <w:sz w:val="20"/>
          <w:szCs w:val="20"/>
        </w:rPr>
      </w:pPr>
      <w:r>
        <w:rPr>
          <w:rFonts w:ascii="宋体" w:hAnsi="宋体" w:eastAsia="宋体" w:cs="宋体"/>
          <w:b/>
          <w:bCs/>
          <w:color w:val="auto"/>
          <w:spacing w:val="16"/>
          <w:sz w:val="20"/>
          <w:szCs w:val="20"/>
        </w:rPr>
        <w:t>招标编号：</w:t>
      </w:r>
    </w:p>
    <w:p w14:paraId="7FD217CC">
      <w:pPr>
        <w:adjustRightInd w:val="0"/>
        <w:snapToGrid w:val="0"/>
        <w:spacing w:line="240" w:lineRule="atLeast"/>
        <w:jc w:val="center"/>
        <w:rPr>
          <w:rFonts w:hint="eastAsia" w:ascii="宋体" w:hAnsi="宋体" w:eastAsia="宋体" w:cs="宋体"/>
          <w:b w:val="0"/>
          <w:color w:val="auto"/>
          <w:kern w:val="2"/>
          <w:sz w:val="21"/>
          <w:szCs w:val="21"/>
          <w:highlight w:val="none"/>
        </w:rPr>
      </w:pPr>
    </w:p>
    <w:p w14:paraId="160B129D">
      <w:pPr>
        <w:keepNext w:val="0"/>
        <w:keepLines w:val="0"/>
        <w:pageBreakBefore w:val="0"/>
        <w:widowControl/>
        <w:numPr>
          <w:ilvl w:val="-1"/>
          <w:numId w:val="0"/>
        </w:numPr>
        <w:kinsoku/>
        <w:wordWrap/>
        <w:overflowPunct/>
        <w:topLinePunct w:val="0"/>
        <w:autoSpaceDE/>
        <w:autoSpaceDN/>
        <w:bidi w:val="0"/>
        <w:adjustRightInd w:val="0"/>
        <w:snapToGrid w:val="0"/>
        <w:spacing w:line="240" w:lineRule="atLeast"/>
        <w:ind w:left="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A、</w:t>
      </w:r>
      <w:r>
        <w:rPr>
          <w:rFonts w:hint="eastAsia" w:ascii="宋体" w:hAnsi="宋体" w:eastAsia="宋体" w:cs="宋体"/>
          <w:color w:val="auto"/>
          <w:spacing w:val="0"/>
          <w:sz w:val="21"/>
          <w:szCs w:val="21"/>
          <w:highlight w:val="none"/>
        </w:rPr>
        <w:t>物业管理运营服务费（按入驻率</w:t>
      </w:r>
      <w:r>
        <w:rPr>
          <w:rFonts w:hint="eastAsia" w:ascii="宋体" w:hAnsi="宋体" w:eastAsia="宋体" w:cs="宋体"/>
          <w:b w:val="0"/>
          <w:bCs w:val="0"/>
          <w:color w:val="auto"/>
          <w:spacing w:val="0"/>
          <w:sz w:val="21"/>
          <w:szCs w:val="21"/>
          <w:highlight w:val="none"/>
        </w:rPr>
        <w:t>≥</w:t>
      </w:r>
      <w:r>
        <w:rPr>
          <w:rFonts w:hint="eastAsia" w:ascii="宋体" w:hAnsi="宋体" w:eastAsia="宋体" w:cs="宋体"/>
          <w:color w:val="auto"/>
          <w:spacing w:val="0"/>
          <w:sz w:val="21"/>
          <w:szCs w:val="21"/>
          <w:highlight w:val="none"/>
        </w:rPr>
        <w:t>70%时的人员配置要求）</w:t>
      </w:r>
    </w:p>
    <w:tbl>
      <w:tblPr>
        <w:tblStyle w:val="41"/>
        <w:tblW w:w="89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50"/>
        <w:gridCol w:w="1644"/>
        <w:gridCol w:w="1813"/>
        <w:gridCol w:w="2168"/>
        <w:gridCol w:w="2718"/>
      </w:tblGrid>
      <w:tr w14:paraId="16CB1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atLeast"/>
          <w:jc w:val="center"/>
        </w:trPr>
        <w:tc>
          <w:tcPr>
            <w:tcW w:w="650" w:type="dxa"/>
            <w:tcBorders>
              <w:tl2br w:val="nil"/>
              <w:tr2bl w:val="nil"/>
            </w:tcBorders>
            <w:shd w:val="clear" w:color="auto" w:fill="auto"/>
            <w:vAlign w:val="center"/>
          </w:tcPr>
          <w:p w14:paraId="70F1310E">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val="en-US" w:eastAsia="zh-CN" w:bidi="ar-SA"/>
              </w:rPr>
              <w:t>序号</w:t>
            </w:r>
          </w:p>
        </w:tc>
        <w:tc>
          <w:tcPr>
            <w:tcW w:w="1644" w:type="dxa"/>
            <w:tcBorders>
              <w:tl2br w:val="nil"/>
              <w:tr2bl w:val="nil"/>
            </w:tcBorders>
            <w:shd w:val="clear" w:color="auto" w:fill="auto"/>
            <w:vAlign w:val="center"/>
          </w:tcPr>
          <w:p w14:paraId="41684760">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支出项目</w:t>
            </w:r>
          </w:p>
        </w:tc>
        <w:tc>
          <w:tcPr>
            <w:tcW w:w="1813" w:type="dxa"/>
            <w:tcBorders>
              <w:tl2br w:val="nil"/>
              <w:tr2bl w:val="nil"/>
            </w:tcBorders>
            <w:shd w:val="clear" w:color="auto" w:fill="auto"/>
            <w:vAlign w:val="center"/>
          </w:tcPr>
          <w:p w14:paraId="4F5FB2C4">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服务期</w:t>
            </w:r>
          </w:p>
        </w:tc>
        <w:tc>
          <w:tcPr>
            <w:tcW w:w="2168" w:type="dxa"/>
            <w:tcBorders>
              <w:tl2br w:val="nil"/>
              <w:tr2bl w:val="nil"/>
            </w:tcBorders>
            <w:shd w:val="clear" w:color="auto" w:fill="auto"/>
            <w:vAlign w:val="center"/>
          </w:tcPr>
          <w:p w14:paraId="6AEF9FFC">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不含税报价(元)</w:t>
            </w:r>
          </w:p>
        </w:tc>
        <w:tc>
          <w:tcPr>
            <w:tcW w:w="2718" w:type="dxa"/>
            <w:tcBorders>
              <w:tl2br w:val="nil"/>
              <w:tr2bl w:val="nil"/>
            </w:tcBorders>
            <w:shd w:val="clear" w:color="auto" w:fill="auto"/>
            <w:vAlign w:val="center"/>
          </w:tcPr>
          <w:p w14:paraId="24280313">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备注</w:t>
            </w:r>
          </w:p>
        </w:tc>
      </w:tr>
      <w:tr w14:paraId="7426D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650" w:type="dxa"/>
            <w:tcBorders>
              <w:tl2br w:val="nil"/>
              <w:tr2bl w:val="nil"/>
            </w:tcBorders>
            <w:shd w:val="clear" w:color="auto" w:fill="auto"/>
            <w:vAlign w:val="center"/>
          </w:tcPr>
          <w:p w14:paraId="5F1B1AD1">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1</w:t>
            </w:r>
          </w:p>
        </w:tc>
        <w:tc>
          <w:tcPr>
            <w:tcW w:w="1644" w:type="dxa"/>
            <w:tcBorders>
              <w:tl2br w:val="nil"/>
              <w:tr2bl w:val="nil"/>
            </w:tcBorders>
            <w:shd w:val="clear" w:color="auto" w:fill="auto"/>
            <w:vAlign w:val="center"/>
          </w:tcPr>
          <w:p w14:paraId="5CCAA56C">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人工费用</w:t>
            </w:r>
          </w:p>
        </w:tc>
        <w:tc>
          <w:tcPr>
            <w:tcW w:w="1813" w:type="dxa"/>
            <w:vMerge w:val="restart"/>
            <w:tcBorders>
              <w:tl2br w:val="nil"/>
              <w:tr2bl w:val="nil"/>
            </w:tcBorders>
            <w:shd w:val="clear" w:color="auto" w:fill="auto"/>
            <w:vAlign w:val="center"/>
          </w:tcPr>
          <w:p w14:paraId="11936B72">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color w:val="auto"/>
                <w:sz w:val="21"/>
                <w:szCs w:val="21"/>
                <w:lang w:val="en-US" w:eastAsia="zh-CN"/>
              </w:rPr>
              <w:t>自招标人书面通知中标人进场之日起至2027年12月31日</w:t>
            </w:r>
          </w:p>
        </w:tc>
        <w:tc>
          <w:tcPr>
            <w:tcW w:w="2168" w:type="dxa"/>
            <w:tcBorders>
              <w:tl2br w:val="nil"/>
              <w:tr2bl w:val="nil"/>
            </w:tcBorders>
            <w:shd w:val="clear" w:color="auto" w:fill="auto"/>
            <w:vAlign w:val="center"/>
          </w:tcPr>
          <w:p w14:paraId="5B82EC1E">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val="en-US" w:eastAsia="zh-CN" w:bidi="ar-SA"/>
              </w:rPr>
            </w:pPr>
          </w:p>
        </w:tc>
        <w:tc>
          <w:tcPr>
            <w:tcW w:w="2718" w:type="dxa"/>
            <w:tcBorders>
              <w:tl2br w:val="nil"/>
              <w:tr2bl w:val="nil"/>
            </w:tcBorders>
            <w:shd w:val="clear" w:color="auto" w:fill="auto"/>
            <w:vAlign w:val="center"/>
          </w:tcPr>
          <w:p w14:paraId="52188171">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详见</w:t>
            </w:r>
            <w:r>
              <w:rPr>
                <w:rFonts w:hint="eastAsia" w:ascii="宋体" w:hAnsi="宋体" w:eastAsia="宋体" w:cs="宋体"/>
                <w:color w:val="auto"/>
                <w:spacing w:val="-3"/>
                <w:sz w:val="21"/>
                <w:szCs w:val="21"/>
              </w:rPr>
              <w:t>人工费用明细表</w:t>
            </w:r>
            <w:r>
              <w:rPr>
                <w:rFonts w:hint="eastAsia" w:ascii="宋体" w:hAnsi="宋体" w:eastAsia="宋体" w:cs="宋体"/>
                <w:b w:val="0"/>
                <w:bCs w:val="0"/>
                <w:color w:val="auto"/>
                <w:kern w:val="2"/>
                <w:sz w:val="21"/>
                <w:szCs w:val="21"/>
                <w:highlight w:val="none"/>
                <w:lang w:eastAsia="zh-CN" w:bidi="ar-SA"/>
              </w:rPr>
              <w:t>。</w:t>
            </w:r>
          </w:p>
        </w:tc>
      </w:tr>
      <w:tr w14:paraId="4A2FF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atLeast"/>
          <w:jc w:val="center"/>
        </w:trPr>
        <w:tc>
          <w:tcPr>
            <w:tcW w:w="650" w:type="dxa"/>
            <w:tcBorders>
              <w:tl2br w:val="nil"/>
              <w:tr2bl w:val="nil"/>
            </w:tcBorders>
            <w:shd w:val="clear" w:color="auto" w:fill="auto"/>
            <w:vAlign w:val="center"/>
          </w:tcPr>
          <w:p w14:paraId="182BA0CD">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2</w:t>
            </w:r>
          </w:p>
        </w:tc>
        <w:tc>
          <w:tcPr>
            <w:tcW w:w="1644" w:type="dxa"/>
            <w:tcBorders>
              <w:tl2br w:val="nil"/>
              <w:tr2bl w:val="nil"/>
            </w:tcBorders>
            <w:shd w:val="clear" w:color="auto" w:fill="auto"/>
            <w:vAlign w:val="center"/>
          </w:tcPr>
          <w:p w14:paraId="5A63D6C7">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日常设施维护费用（包括电梯、空调、消防等）</w:t>
            </w:r>
          </w:p>
        </w:tc>
        <w:tc>
          <w:tcPr>
            <w:tcW w:w="1813" w:type="dxa"/>
            <w:vMerge w:val="continue"/>
            <w:tcBorders>
              <w:tl2br w:val="nil"/>
              <w:tr2bl w:val="nil"/>
            </w:tcBorders>
            <w:shd w:val="clear" w:color="auto" w:fill="auto"/>
            <w:vAlign w:val="center"/>
          </w:tcPr>
          <w:p w14:paraId="0F569521">
            <w:pPr>
              <w:adjustRightInd w:val="0"/>
              <w:snapToGrid w:val="0"/>
              <w:spacing w:line="240" w:lineRule="atLeast"/>
              <w:ind w:left="0" w:leftChars="0" w:firstLine="210" w:firstLineChars="100"/>
              <w:jc w:val="center"/>
              <w:rPr>
                <w:rFonts w:hint="eastAsia" w:ascii="宋体" w:hAnsi="宋体" w:eastAsia="宋体" w:cs="宋体"/>
                <w:b w:val="0"/>
                <w:bCs w:val="0"/>
                <w:color w:val="auto"/>
                <w:kern w:val="2"/>
                <w:sz w:val="21"/>
                <w:szCs w:val="21"/>
                <w:highlight w:val="none"/>
                <w:lang w:eastAsia="zh-CN" w:bidi="ar-SA"/>
              </w:rPr>
            </w:pPr>
          </w:p>
        </w:tc>
        <w:tc>
          <w:tcPr>
            <w:tcW w:w="2168" w:type="dxa"/>
            <w:tcBorders>
              <w:tl2br w:val="nil"/>
              <w:tr2bl w:val="nil"/>
            </w:tcBorders>
            <w:shd w:val="clear" w:color="auto" w:fill="auto"/>
            <w:vAlign w:val="center"/>
          </w:tcPr>
          <w:p w14:paraId="5EF84667">
            <w:pPr>
              <w:adjustRightInd w:val="0"/>
              <w:snapToGrid w:val="0"/>
              <w:spacing w:line="240" w:lineRule="atLeast"/>
              <w:ind w:left="0" w:leftChars="0" w:firstLine="210" w:firstLineChars="100"/>
              <w:jc w:val="center"/>
              <w:rPr>
                <w:rFonts w:hint="eastAsia" w:ascii="宋体" w:hAnsi="宋体" w:eastAsia="宋体" w:cs="宋体"/>
                <w:b w:val="0"/>
                <w:bCs w:val="0"/>
                <w:color w:val="auto"/>
                <w:kern w:val="2"/>
                <w:sz w:val="21"/>
                <w:szCs w:val="21"/>
                <w:highlight w:val="none"/>
                <w:lang w:val="en-US" w:eastAsia="zh-CN" w:bidi="ar-SA"/>
              </w:rPr>
            </w:pPr>
          </w:p>
        </w:tc>
        <w:tc>
          <w:tcPr>
            <w:tcW w:w="2718" w:type="dxa"/>
            <w:tcBorders>
              <w:tl2br w:val="nil"/>
              <w:tr2bl w:val="nil"/>
            </w:tcBorders>
            <w:shd w:val="clear" w:color="auto" w:fill="auto"/>
            <w:vAlign w:val="center"/>
          </w:tcPr>
          <w:p w14:paraId="6D6CF883">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val="en-US" w:eastAsia="zh-CN" w:bidi="ar-SA"/>
              </w:rPr>
            </w:pPr>
          </w:p>
        </w:tc>
      </w:tr>
      <w:tr w14:paraId="519F1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4" w:hRule="atLeast"/>
          <w:jc w:val="center"/>
        </w:trPr>
        <w:tc>
          <w:tcPr>
            <w:tcW w:w="650" w:type="dxa"/>
            <w:tcBorders>
              <w:tl2br w:val="nil"/>
              <w:tr2bl w:val="nil"/>
            </w:tcBorders>
            <w:shd w:val="clear" w:color="auto" w:fill="auto"/>
            <w:vAlign w:val="center"/>
          </w:tcPr>
          <w:p w14:paraId="141EA0B3">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3</w:t>
            </w:r>
          </w:p>
        </w:tc>
        <w:tc>
          <w:tcPr>
            <w:tcW w:w="1644" w:type="dxa"/>
            <w:tcBorders>
              <w:tl2br w:val="nil"/>
              <w:tr2bl w:val="nil"/>
            </w:tcBorders>
            <w:shd w:val="clear" w:color="auto" w:fill="auto"/>
            <w:vAlign w:val="center"/>
          </w:tcPr>
          <w:p w14:paraId="2B383699">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bookmarkStart w:id="792" w:name="OLE_LINK24"/>
            <w:r>
              <w:rPr>
                <w:rFonts w:hint="eastAsia" w:ascii="宋体" w:hAnsi="宋体" w:eastAsia="宋体" w:cs="宋体"/>
                <w:b w:val="0"/>
                <w:bCs w:val="0"/>
                <w:color w:val="auto"/>
                <w:kern w:val="2"/>
                <w:sz w:val="21"/>
                <w:szCs w:val="21"/>
                <w:highlight w:val="none"/>
                <w:lang w:eastAsia="zh-CN" w:bidi="ar-SA"/>
              </w:rPr>
              <w:t>工器具及材料</w:t>
            </w:r>
            <w:bookmarkEnd w:id="792"/>
            <w:r>
              <w:rPr>
                <w:rFonts w:hint="eastAsia" w:ascii="宋体" w:hAnsi="宋体" w:eastAsia="宋体" w:cs="宋体"/>
                <w:b w:val="0"/>
                <w:bCs w:val="0"/>
                <w:color w:val="auto"/>
                <w:kern w:val="2"/>
                <w:sz w:val="21"/>
                <w:szCs w:val="21"/>
                <w:highlight w:val="none"/>
                <w:lang w:eastAsia="zh-CN" w:bidi="ar-SA"/>
              </w:rPr>
              <w:t>费用</w:t>
            </w:r>
          </w:p>
        </w:tc>
        <w:tc>
          <w:tcPr>
            <w:tcW w:w="1813" w:type="dxa"/>
            <w:vMerge w:val="continue"/>
            <w:tcBorders>
              <w:tl2br w:val="nil"/>
              <w:tr2bl w:val="nil"/>
            </w:tcBorders>
            <w:shd w:val="clear" w:color="auto" w:fill="auto"/>
            <w:vAlign w:val="center"/>
          </w:tcPr>
          <w:p w14:paraId="1B493B8E">
            <w:pPr>
              <w:adjustRightInd w:val="0"/>
              <w:snapToGrid w:val="0"/>
              <w:spacing w:line="240" w:lineRule="atLeast"/>
              <w:ind w:left="0" w:leftChars="0" w:firstLine="210" w:firstLineChars="100"/>
              <w:jc w:val="center"/>
              <w:rPr>
                <w:rFonts w:hint="eastAsia" w:ascii="宋体" w:hAnsi="宋体" w:eastAsia="宋体" w:cs="宋体"/>
                <w:b w:val="0"/>
                <w:bCs w:val="0"/>
                <w:color w:val="auto"/>
                <w:kern w:val="2"/>
                <w:sz w:val="21"/>
                <w:szCs w:val="21"/>
                <w:highlight w:val="none"/>
                <w:lang w:eastAsia="zh-CN" w:bidi="ar-SA"/>
              </w:rPr>
            </w:pPr>
          </w:p>
        </w:tc>
        <w:tc>
          <w:tcPr>
            <w:tcW w:w="2168" w:type="dxa"/>
            <w:tcBorders>
              <w:tl2br w:val="nil"/>
              <w:tr2bl w:val="nil"/>
            </w:tcBorders>
            <w:shd w:val="clear" w:color="auto" w:fill="auto"/>
            <w:vAlign w:val="center"/>
          </w:tcPr>
          <w:p w14:paraId="12CD794A">
            <w:pPr>
              <w:adjustRightInd w:val="0"/>
              <w:snapToGrid w:val="0"/>
              <w:spacing w:line="240" w:lineRule="atLeast"/>
              <w:ind w:left="0" w:leftChars="0" w:firstLine="210" w:firstLineChars="100"/>
              <w:jc w:val="center"/>
              <w:rPr>
                <w:rFonts w:hint="eastAsia" w:ascii="宋体" w:hAnsi="宋体" w:eastAsia="宋体" w:cs="宋体"/>
                <w:b w:val="0"/>
                <w:bCs w:val="0"/>
                <w:color w:val="auto"/>
                <w:kern w:val="2"/>
                <w:sz w:val="21"/>
                <w:szCs w:val="21"/>
                <w:highlight w:val="none"/>
                <w:lang w:val="en-US" w:eastAsia="zh-CN" w:bidi="ar-SA"/>
              </w:rPr>
            </w:pPr>
          </w:p>
        </w:tc>
        <w:tc>
          <w:tcPr>
            <w:tcW w:w="2718" w:type="dxa"/>
            <w:tcBorders>
              <w:tl2br w:val="nil"/>
              <w:tr2bl w:val="nil"/>
            </w:tcBorders>
            <w:shd w:val="clear" w:color="auto" w:fill="auto"/>
            <w:vAlign w:val="center"/>
          </w:tcPr>
          <w:p w14:paraId="3EC6955B">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color w:val="auto"/>
                <w:kern w:val="0"/>
                <w:sz w:val="21"/>
                <w:szCs w:val="21"/>
                <w:highlight w:val="none"/>
                <w:lang w:val="en-US" w:eastAsia="zh-CN" w:bidi="en-US"/>
              </w:rPr>
              <w:t>单次</w:t>
            </w:r>
            <w:r>
              <w:rPr>
                <w:rFonts w:hint="eastAsia" w:ascii="宋体" w:hAnsi="宋体" w:eastAsia="宋体" w:cs="宋体"/>
                <w:b w:val="0"/>
                <w:bCs w:val="0"/>
                <w:color w:val="auto"/>
                <w:kern w:val="2"/>
                <w:sz w:val="21"/>
                <w:szCs w:val="21"/>
                <w:highlight w:val="none"/>
                <w:lang w:eastAsia="zh-CN" w:bidi="ar-SA"/>
              </w:rPr>
              <w:t>工器具及材料</w:t>
            </w:r>
            <w:r>
              <w:rPr>
                <w:rFonts w:hint="eastAsia" w:ascii="宋体" w:hAnsi="宋体" w:eastAsia="宋体" w:cs="宋体"/>
                <w:color w:val="auto"/>
                <w:kern w:val="0"/>
                <w:sz w:val="21"/>
                <w:szCs w:val="21"/>
                <w:highlight w:val="none"/>
                <w:lang w:val="en-US" w:eastAsia="zh-CN" w:bidi="en-US"/>
              </w:rPr>
              <w:t>费用不超过5000元</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en-US"/>
              </w:rPr>
              <w:t>由中标人在工器具及材料费用中列支；单次</w:t>
            </w:r>
            <w:r>
              <w:rPr>
                <w:rFonts w:hint="eastAsia" w:ascii="宋体" w:hAnsi="宋体" w:eastAsia="宋体" w:cs="宋体"/>
                <w:b w:val="0"/>
                <w:bCs w:val="0"/>
                <w:color w:val="auto"/>
                <w:kern w:val="2"/>
                <w:sz w:val="21"/>
                <w:szCs w:val="21"/>
                <w:highlight w:val="none"/>
                <w:lang w:eastAsia="zh-CN" w:bidi="ar-SA"/>
              </w:rPr>
              <w:t>工器具及材料</w:t>
            </w:r>
            <w:r>
              <w:rPr>
                <w:rFonts w:hint="eastAsia" w:ascii="宋体" w:hAnsi="宋体" w:eastAsia="宋体" w:cs="宋体"/>
                <w:color w:val="auto"/>
                <w:kern w:val="0"/>
                <w:sz w:val="21"/>
                <w:szCs w:val="21"/>
                <w:highlight w:val="none"/>
                <w:lang w:val="en-US" w:eastAsia="zh-CN" w:bidi="en-US"/>
              </w:rPr>
              <w:t>费用超过5000元，由招标人负责或招标人委托中标人采购，不在工器具及材料费用费用中列支</w:t>
            </w:r>
            <w:r>
              <w:rPr>
                <w:rFonts w:hint="eastAsia" w:ascii="宋体" w:hAnsi="宋体" w:eastAsia="宋体" w:cs="宋体"/>
                <w:b w:val="0"/>
                <w:bCs w:val="0"/>
                <w:color w:val="auto"/>
                <w:kern w:val="2"/>
                <w:sz w:val="21"/>
                <w:szCs w:val="21"/>
                <w:highlight w:val="none"/>
                <w:lang w:val="en-US" w:eastAsia="zh-CN" w:bidi="ar-SA"/>
              </w:rPr>
              <w:t>。</w:t>
            </w:r>
          </w:p>
        </w:tc>
      </w:tr>
      <w:tr w14:paraId="13B52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50" w:type="dxa"/>
            <w:tcBorders>
              <w:tl2br w:val="nil"/>
              <w:tr2bl w:val="nil"/>
            </w:tcBorders>
            <w:shd w:val="clear" w:color="auto" w:fill="auto"/>
            <w:vAlign w:val="center"/>
          </w:tcPr>
          <w:p w14:paraId="009F7229">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4</w:t>
            </w:r>
          </w:p>
        </w:tc>
        <w:tc>
          <w:tcPr>
            <w:tcW w:w="1644" w:type="dxa"/>
            <w:tcBorders>
              <w:tl2br w:val="nil"/>
              <w:tr2bl w:val="nil"/>
            </w:tcBorders>
            <w:shd w:val="clear" w:color="auto" w:fill="auto"/>
            <w:vAlign w:val="center"/>
          </w:tcPr>
          <w:p w14:paraId="007901B2">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垃圾清运及处理费</w:t>
            </w:r>
          </w:p>
        </w:tc>
        <w:tc>
          <w:tcPr>
            <w:tcW w:w="1813" w:type="dxa"/>
            <w:vMerge w:val="continue"/>
            <w:tcBorders>
              <w:tl2br w:val="nil"/>
              <w:tr2bl w:val="nil"/>
            </w:tcBorders>
            <w:shd w:val="clear" w:color="auto" w:fill="auto"/>
            <w:vAlign w:val="center"/>
          </w:tcPr>
          <w:p w14:paraId="1859C372">
            <w:pPr>
              <w:adjustRightInd w:val="0"/>
              <w:snapToGrid w:val="0"/>
              <w:spacing w:line="240" w:lineRule="atLeast"/>
              <w:ind w:left="0" w:leftChars="0" w:firstLine="210" w:firstLineChars="100"/>
              <w:jc w:val="center"/>
              <w:rPr>
                <w:rFonts w:hint="eastAsia" w:ascii="宋体" w:hAnsi="宋体" w:eastAsia="宋体" w:cs="宋体"/>
                <w:b w:val="0"/>
                <w:bCs w:val="0"/>
                <w:color w:val="auto"/>
                <w:kern w:val="2"/>
                <w:sz w:val="21"/>
                <w:szCs w:val="21"/>
                <w:highlight w:val="none"/>
                <w:lang w:eastAsia="zh-CN" w:bidi="ar-SA"/>
              </w:rPr>
            </w:pPr>
          </w:p>
        </w:tc>
        <w:tc>
          <w:tcPr>
            <w:tcW w:w="2168" w:type="dxa"/>
            <w:tcBorders>
              <w:tl2br w:val="nil"/>
              <w:tr2bl w:val="nil"/>
            </w:tcBorders>
            <w:shd w:val="clear" w:color="auto" w:fill="auto"/>
            <w:vAlign w:val="center"/>
          </w:tcPr>
          <w:p w14:paraId="11F41174">
            <w:pPr>
              <w:adjustRightInd w:val="0"/>
              <w:snapToGrid w:val="0"/>
              <w:spacing w:line="240" w:lineRule="atLeast"/>
              <w:ind w:left="0" w:leftChars="0" w:firstLine="210" w:firstLineChars="100"/>
              <w:jc w:val="center"/>
              <w:rPr>
                <w:rFonts w:hint="eastAsia" w:ascii="宋体" w:hAnsi="宋体" w:eastAsia="宋体" w:cs="宋体"/>
                <w:b w:val="0"/>
                <w:bCs w:val="0"/>
                <w:color w:val="auto"/>
                <w:kern w:val="2"/>
                <w:sz w:val="21"/>
                <w:szCs w:val="21"/>
                <w:highlight w:val="none"/>
                <w:lang w:val="en-US" w:eastAsia="zh-CN" w:bidi="ar-SA"/>
              </w:rPr>
            </w:pPr>
          </w:p>
        </w:tc>
        <w:tc>
          <w:tcPr>
            <w:tcW w:w="2718" w:type="dxa"/>
            <w:tcBorders>
              <w:tl2br w:val="nil"/>
              <w:tr2bl w:val="nil"/>
            </w:tcBorders>
            <w:shd w:val="clear" w:color="auto" w:fill="auto"/>
            <w:vAlign w:val="center"/>
          </w:tcPr>
          <w:p w14:paraId="03503B73">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p>
        </w:tc>
      </w:tr>
      <w:tr w14:paraId="0FBF4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650" w:type="dxa"/>
            <w:tcBorders>
              <w:tl2br w:val="nil"/>
              <w:tr2bl w:val="nil"/>
            </w:tcBorders>
            <w:shd w:val="clear" w:color="auto" w:fill="auto"/>
            <w:vAlign w:val="center"/>
          </w:tcPr>
          <w:p w14:paraId="3E9F4110">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5</w:t>
            </w:r>
          </w:p>
        </w:tc>
        <w:tc>
          <w:tcPr>
            <w:tcW w:w="1644" w:type="dxa"/>
            <w:tcBorders>
              <w:tl2br w:val="nil"/>
              <w:tr2bl w:val="nil"/>
            </w:tcBorders>
            <w:shd w:val="clear" w:color="auto" w:fill="auto"/>
            <w:vAlign w:val="center"/>
          </w:tcPr>
          <w:p w14:paraId="6D2EA4C0">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清洁耗材、日常耗材</w:t>
            </w:r>
          </w:p>
        </w:tc>
        <w:tc>
          <w:tcPr>
            <w:tcW w:w="1813" w:type="dxa"/>
            <w:vMerge w:val="continue"/>
            <w:tcBorders>
              <w:tl2br w:val="nil"/>
              <w:tr2bl w:val="nil"/>
            </w:tcBorders>
            <w:shd w:val="clear" w:color="auto" w:fill="auto"/>
            <w:vAlign w:val="center"/>
          </w:tcPr>
          <w:p w14:paraId="43B3EE31">
            <w:pPr>
              <w:adjustRightInd w:val="0"/>
              <w:snapToGrid w:val="0"/>
              <w:spacing w:line="240" w:lineRule="atLeast"/>
              <w:ind w:left="0" w:leftChars="0" w:firstLine="210" w:firstLineChars="100"/>
              <w:jc w:val="center"/>
              <w:rPr>
                <w:rFonts w:hint="eastAsia" w:ascii="宋体" w:hAnsi="宋体" w:eastAsia="宋体" w:cs="宋体"/>
                <w:b w:val="0"/>
                <w:bCs w:val="0"/>
                <w:color w:val="auto"/>
                <w:kern w:val="2"/>
                <w:sz w:val="21"/>
                <w:szCs w:val="21"/>
                <w:highlight w:val="none"/>
                <w:lang w:eastAsia="zh-CN" w:bidi="ar-SA"/>
              </w:rPr>
            </w:pPr>
          </w:p>
        </w:tc>
        <w:tc>
          <w:tcPr>
            <w:tcW w:w="2168" w:type="dxa"/>
            <w:tcBorders>
              <w:tl2br w:val="nil"/>
              <w:tr2bl w:val="nil"/>
            </w:tcBorders>
            <w:shd w:val="clear" w:color="auto" w:fill="auto"/>
            <w:vAlign w:val="center"/>
          </w:tcPr>
          <w:p w14:paraId="5A9B4E3B">
            <w:pPr>
              <w:adjustRightInd w:val="0"/>
              <w:snapToGrid w:val="0"/>
              <w:spacing w:line="240" w:lineRule="atLeast"/>
              <w:ind w:left="0" w:leftChars="0" w:firstLine="210" w:firstLineChars="100"/>
              <w:jc w:val="center"/>
              <w:rPr>
                <w:rFonts w:hint="eastAsia" w:ascii="宋体" w:hAnsi="宋体" w:eastAsia="宋体" w:cs="宋体"/>
                <w:b w:val="0"/>
                <w:bCs w:val="0"/>
                <w:color w:val="auto"/>
                <w:kern w:val="2"/>
                <w:sz w:val="21"/>
                <w:szCs w:val="21"/>
                <w:highlight w:val="none"/>
                <w:lang w:val="en-US" w:eastAsia="zh-CN" w:bidi="ar-SA"/>
              </w:rPr>
            </w:pPr>
          </w:p>
        </w:tc>
        <w:tc>
          <w:tcPr>
            <w:tcW w:w="2718" w:type="dxa"/>
            <w:tcBorders>
              <w:tl2br w:val="nil"/>
              <w:tr2bl w:val="nil"/>
            </w:tcBorders>
            <w:shd w:val="clear" w:color="auto" w:fill="auto"/>
            <w:vAlign w:val="center"/>
          </w:tcPr>
          <w:p w14:paraId="7847E1E8">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p>
        </w:tc>
      </w:tr>
      <w:tr w14:paraId="03CEF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jc w:val="center"/>
        </w:trPr>
        <w:tc>
          <w:tcPr>
            <w:tcW w:w="650" w:type="dxa"/>
            <w:tcBorders>
              <w:tl2br w:val="nil"/>
              <w:tr2bl w:val="nil"/>
            </w:tcBorders>
            <w:shd w:val="clear" w:color="auto" w:fill="auto"/>
            <w:vAlign w:val="center"/>
          </w:tcPr>
          <w:p w14:paraId="534435ED">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6</w:t>
            </w:r>
          </w:p>
        </w:tc>
        <w:tc>
          <w:tcPr>
            <w:tcW w:w="1644" w:type="dxa"/>
            <w:tcBorders>
              <w:tl2br w:val="nil"/>
              <w:tr2bl w:val="nil"/>
            </w:tcBorders>
            <w:shd w:val="clear" w:color="auto" w:fill="auto"/>
            <w:vAlign w:val="center"/>
          </w:tcPr>
          <w:p w14:paraId="1B570A0B">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绿化养护及材料费</w:t>
            </w:r>
          </w:p>
        </w:tc>
        <w:tc>
          <w:tcPr>
            <w:tcW w:w="1813" w:type="dxa"/>
            <w:vMerge w:val="continue"/>
            <w:tcBorders>
              <w:tl2br w:val="nil"/>
              <w:tr2bl w:val="nil"/>
            </w:tcBorders>
            <w:shd w:val="clear" w:color="auto" w:fill="auto"/>
            <w:vAlign w:val="center"/>
          </w:tcPr>
          <w:p w14:paraId="5158FF54">
            <w:pPr>
              <w:adjustRightInd w:val="0"/>
              <w:snapToGrid w:val="0"/>
              <w:spacing w:line="240" w:lineRule="atLeast"/>
              <w:ind w:left="0" w:leftChars="0" w:firstLine="210" w:firstLineChars="100"/>
              <w:jc w:val="center"/>
              <w:rPr>
                <w:rFonts w:hint="eastAsia" w:ascii="宋体" w:hAnsi="宋体" w:eastAsia="宋体" w:cs="宋体"/>
                <w:b w:val="0"/>
                <w:bCs w:val="0"/>
                <w:color w:val="auto"/>
                <w:kern w:val="2"/>
                <w:sz w:val="21"/>
                <w:szCs w:val="21"/>
                <w:highlight w:val="none"/>
                <w:lang w:eastAsia="zh-CN" w:bidi="ar-SA"/>
              </w:rPr>
            </w:pPr>
          </w:p>
        </w:tc>
        <w:tc>
          <w:tcPr>
            <w:tcW w:w="2168" w:type="dxa"/>
            <w:tcBorders>
              <w:tl2br w:val="nil"/>
              <w:tr2bl w:val="nil"/>
            </w:tcBorders>
            <w:shd w:val="clear" w:color="auto" w:fill="auto"/>
            <w:vAlign w:val="center"/>
          </w:tcPr>
          <w:p w14:paraId="05421224">
            <w:pPr>
              <w:adjustRightInd w:val="0"/>
              <w:snapToGrid w:val="0"/>
              <w:spacing w:line="240" w:lineRule="atLeast"/>
              <w:ind w:left="0" w:leftChars="0" w:firstLine="210" w:firstLineChars="100"/>
              <w:jc w:val="center"/>
              <w:rPr>
                <w:rFonts w:hint="eastAsia" w:ascii="宋体" w:hAnsi="宋体" w:eastAsia="宋体" w:cs="宋体"/>
                <w:b w:val="0"/>
                <w:bCs w:val="0"/>
                <w:color w:val="auto"/>
                <w:kern w:val="2"/>
                <w:sz w:val="21"/>
                <w:szCs w:val="21"/>
                <w:highlight w:val="none"/>
                <w:lang w:val="en-US" w:eastAsia="zh-CN" w:bidi="ar-SA"/>
              </w:rPr>
            </w:pPr>
          </w:p>
        </w:tc>
        <w:tc>
          <w:tcPr>
            <w:tcW w:w="2718" w:type="dxa"/>
            <w:tcBorders>
              <w:tl2br w:val="nil"/>
              <w:tr2bl w:val="nil"/>
            </w:tcBorders>
            <w:shd w:val="clear" w:color="auto" w:fill="auto"/>
            <w:vAlign w:val="center"/>
          </w:tcPr>
          <w:p w14:paraId="032DBA06">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p>
        </w:tc>
      </w:tr>
      <w:tr w14:paraId="6C46D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jc w:val="center"/>
        </w:trPr>
        <w:tc>
          <w:tcPr>
            <w:tcW w:w="650" w:type="dxa"/>
            <w:tcBorders>
              <w:tl2br w:val="nil"/>
              <w:tr2bl w:val="nil"/>
            </w:tcBorders>
            <w:shd w:val="clear" w:color="auto" w:fill="auto"/>
            <w:vAlign w:val="center"/>
          </w:tcPr>
          <w:p w14:paraId="5C394CDB">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7</w:t>
            </w:r>
          </w:p>
        </w:tc>
        <w:tc>
          <w:tcPr>
            <w:tcW w:w="1644" w:type="dxa"/>
            <w:tcBorders>
              <w:tl2br w:val="nil"/>
              <w:tr2bl w:val="nil"/>
            </w:tcBorders>
            <w:shd w:val="clear" w:color="auto" w:fill="auto"/>
            <w:vAlign w:val="center"/>
          </w:tcPr>
          <w:p w14:paraId="493463EA">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玻璃外墙清洗费</w:t>
            </w:r>
          </w:p>
        </w:tc>
        <w:tc>
          <w:tcPr>
            <w:tcW w:w="1813" w:type="dxa"/>
            <w:vMerge w:val="continue"/>
            <w:tcBorders>
              <w:tl2br w:val="nil"/>
              <w:tr2bl w:val="nil"/>
            </w:tcBorders>
            <w:shd w:val="clear" w:color="auto" w:fill="auto"/>
            <w:vAlign w:val="center"/>
          </w:tcPr>
          <w:p w14:paraId="24BC7DC3">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p>
        </w:tc>
        <w:tc>
          <w:tcPr>
            <w:tcW w:w="2168" w:type="dxa"/>
            <w:tcBorders>
              <w:tl2br w:val="nil"/>
              <w:tr2bl w:val="nil"/>
            </w:tcBorders>
            <w:shd w:val="clear" w:color="auto" w:fill="auto"/>
            <w:vAlign w:val="center"/>
          </w:tcPr>
          <w:p w14:paraId="3386B219">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val="en-US" w:eastAsia="zh-CN" w:bidi="ar-SA"/>
              </w:rPr>
            </w:pPr>
          </w:p>
        </w:tc>
        <w:tc>
          <w:tcPr>
            <w:tcW w:w="2718" w:type="dxa"/>
            <w:tcBorders>
              <w:tl2br w:val="nil"/>
              <w:tr2bl w:val="nil"/>
            </w:tcBorders>
            <w:shd w:val="clear" w:color="auto" w:fill="auto"/>
            <w:vAlign w:val="center"/>
          </w:tcPr>
          <w:p w14:paraId="5EA2E2D6">
            <w:pPr>
              <w:adjustRightInd w:val="0"/>
              <w:snapToGrid w:val="0"/>
              <w:spacing w:line="240" w:lineRule="atLeast"/>
              <w:ind w:firstLine="0" w:firstLineChars="0"/>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eastAsia="zh-CN" w:bidi="ar-SA"/>
              </w:rPr>
              <w:t>每年一次（</w:t>
            </w:r>
            <w:r>
              <w:rPr>
                <w:rFonts w:hint="eastAsia" w:ascii="宋体" w:hAnsi="宋体" w:eastAsia="宋体" w:cs="宋体"/>
                <w:b w:val="0"/>
                <w:bCs w:val="0"/>
                <w:color w:val="auto"/>
                <w:kern w:val="2"/>
                <w:sz w:val="21"/>
                <w:szCs w:val="21"/>
                <w:highlight w:val="none"/>
                <w:lang w:val="en-US" w:eastAsia="zh-CN" w:bidi="ar-SA"/>
              </w:rPr>
              <w:t>共2次</w:t>
            </w:r>
            <w:r>
              <w:rPr>
                <w:rFonts w:hint="eastAsia" w:ascii="宋体" w:hAnsi="宋体" w:eastAsia="宋体" w:cs="宋体"/>
                <w:b w:val="0"/>
                <w:bCs w:val="0"/>
                <w:color w:val="auto"/>
                <w:kern w:val="2"/>
                <w:sz w:val="21"/>
                <w:szCs w:val="21"/>
                <w:highlight w:val="none"/>
                <w:lang w:eastAsia="zh-CN" w:bidi="ar-SA"/>
              </w:rPr>
              <w:t>）</w:t>
            </w:r>
          </w:p>
        </w:tc>
      </w:tr>
      <w:tr w14:paraId="16813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650" w:type="dxa"/>
            <w:tcBorders>
              <w:tl2br w:val="nil"/>
              <w:tr2bl w:val="nil"/>
            </w:tcBorders>
            <w:shd w:val="clear" w:color="auto" w:fill="auto"/>
            <w:vAlign w:val="center"/>
          </w:tcPr>
          <w:p w14:paraId="606FE8A2">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8</w:t>
            </w:r>
          </w:p>
        </w:tc>
        <w:tc>
          <w:tcPr>
            <w:tcW w:w="1644" w:type="dxa"/>
            <w:tcBorders>
              <w:tl2br w:val="nil"/>
              <w:tr2bl w:val="nil"/>
            </w:tcBorders>
            <w:shd w:val="clear" w:color="auto" w:fill="auto"/>
            <w:vAlign w:val="center"/>
          </w:tcPr>
          <w:p w14:paraId="6D020374">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“四害”消杀及白蚁防治费</w:t>
            </w:r>
          </w:p>
        </w:tc>
        <w:tc>
          <w:tcPr>
            <w:tcW w:w="1813" w:type="dxa"/>
            <w:vMerge w:val="continue"/>
            <w:tcBorders>
              <w:tl2br w:val="nil"/>
              <w:tr2bl w:val="nil"/>
            </w:tcBorders>
            <w:shd w:val="clear" w:color="auto" w:fill="auto"/>
            <w:vAlign w:val="center"/>
          </w:tcPr>
          <w:p w14:paraId="21FD798D">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p>
        </w:tc>
        <w:tc>
          <w:tcPr>
            <w:tcW w:w="2168" w:type="dxa"/>
            <w:tcBorders>
              <w:tl2br w:val="nil"/>
              <w:tr2bl w:val="nil"/>
            </w:tcBorders>
            <w:shd w:val="clear" w:color="auto" w:fill="auto"/>
            <w:vAlign w:val="center"/>
          </w:tcPr>
          <w:p w14:paraId="6124E64B">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val="en-US" w:eastAsia="zh-CN" w:bidi="ar-SA"/>
              </w:rPr>
            </w:pPr>
          </w:p>
        </w:tc>
        <w:tc>
          <w:tcPr>
            <w:tcW w:w="2718" w:type="dxa"/>
            <w:tcBorders>
              <w:tl2br w:val="nil"/>
              <w:tr2bl w:val="nil"/>
            </w:tcBorders>
            <w:shd w:val="clear" w:color="auto" w:fill="auto"/>
            <w:vAlign w:val="center"/>
          </w:tcPr>
          <w:p w14:paraId="3EFE57D6">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p>
        </w:tc>
      </w:tr>
      <w:tr w14:paraId="2B6CD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6" w:hRule="atLeast"/>
          <w:jc w:val="center"/>
        </w:trPr>
        <w:tc>
          <w:tcPr>
            <w:tcW w:w="650" w:type="dxa"/>
            <w:tcBorders>
              <w:tl2br w:val="nil"/>
              <w:tr2bl w:val="nil"/>
            </w:tcBorders>
            <w:shd w:val="clear" w:color="auto" w:fill="auto"/>
            <w:vAlign w:val="center"/>
          </w:tcPr>
          <w:p w14:paraId="5B96D304">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9</w:t>
            </w:r>
          </w:p>
        </w:tc>
        <w:tc>
          <w:tcPr>
            <w:tcW w:w="1644" w:type="dxa"/>
            <w:tcBorders>
              <w:tl2br w:val="nil"/>
              <w:tr2bl w:val="nil"/>
            </w:tcBorders>
            <w:shd w:val="clear" w:color="auto" w:fill="auto"/>
            <w:vAlign w:val="center"/>
          </w:tcPr>
          <w:p w14:paraId="0BEC3109">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清洗生活水池、消防水池费（含人工、材料、检测费用）</w:t>
            </w:r>
          </w:p>
        </w:tc>
        <w:tc>
          <w:tcPr>
            <w:tcW w:w="1813" w:type="dxa"/>
            <w:vMerge w:val="continue"/>
            <w:tcBorders>
              <w:tl2br w:val="nil"/>
              <w:tr2bl w:val="nil"/>
            </w:tcBorders>
            <w:shd w:val="clear" w:color="auto" w:fill="auto"/>
            <w:vAlign w:val="center"/>
          </w:tcPr>
          <w:p w14:paraId="7B7CF337">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p>
        </w:tc>
        <w:tc>
          <w:tcPr>
            <w:tcW w:w="2168" w:type="dxa"/>
            <w:tcBorders>
              <w:tl2br w:val="nil"/>
              <w:tr2bl w:val="nil"/>
            </w:tcBorders>
            <w:shd w:val="clear" w:color="auto" w:fill="auto"/>
            <w:vAlign w:val="center"/>
          </w:tcPr>
          <w:p w14:paraId="2F301C0E">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val="en-US" w:eastAsia="zh-CN" w:bidi="ar-SA"/>
              </w:rPr>
            </w:pPr>
          </w:p>
        </w:tc>
        <w:tc>
          <w:tcPr>
            <w:tcW w:w="2718" w:type="dxa"/>
            <w:tcBorders>
              <w:tl2br w:val="nil"/>
              <w:tr2bl w:val="nil"/>
            </w:tcBorders>
            <w:shd w:val="clear" w:color="auto" w:fill="auto"/>
            <w:vAlign w:val="center"/>
          </w:tcPr>
          <w:p w14:paraId="01C4A96C">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每半年一次（</w:t>
            </w:r>
            <w:r>
              <w:rPr>
                <w:rFonts w:hint="eastAsia" w:ascii="宋体" w:hAnsi="宋体" w:eastAsia="宋体" w:cs="宋体"/>
                <w:b w:val="0"/>
                <w:bCs w:val="0"/>
                <w:color w:val="auto"/>
                <w:kern w:val="2"/>
                <w:sz w:val="21"/>
                <w:szCs w:val="21"/>
                <w:highlight w:val="none"/>
                <w:lang w:val="en-US" w:eastAsia="zh-CN" w:bidi="ar-SA"/>
              </w:rPr>
              <w:t>共4次</w:t>
            </w:r>
            <w:r>
              <w:rPr>
                <w:rFonts w:hint="eastAsia" w:ascii="宋体" w:hAnsi="宋体" w:eastAsia="宋体" w:cs="宋体"/>
                <w:b w:val="0"/>
                <w:bCs w:val="0"/>
                <w:color w:val="auto"/>
                <w:kern w:val="2"/>
                <w:sz w:val="21"/>
                <w:szCs w:val="21"/>
                <w:highlight w:val="none"/>
                <w:lang w:eastAsia="zh-CN" w:bidi="ar-SA"/>
              </w:rPr>
              <w:t>）</w:t>
            </w:r>
          </w:p>
        </w:tc>
      </w:tr>
      <w:tr w14:paraId="5E276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650" w:type="dxa"/>
            <w:tcBorders>
              <w:tl2br w:val="nil"/>
              <w:tr2bl w:val="nil"/>
            </w:tcBorders>
            <w:shd w:val="clear" w:color="auto" w:fill="auto"/>
            <w:vAlign w:val="center"/>
          </w:tcPr>
          <w:p w14:paraId="03A862EF">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10</w:t>
            </w:r>
          </w:p>
        </w:tc>
        <w:tc>
          <w:tcPr>
            <w:tcW w:w="1644" w:type="dxa"/>
            <w:tcBorders>
              <w:tl2br w:val="nil"/>
              <w:tr2bl w:val="nil"/>
            </w:tcBorders>
            <w:shd w:val="clear" w:color="auto" w:fill="auto"/>
            <w:vAlign w:val="center"/>
          </w:tcPr>
          <w:p w14:paraId="2D48853E">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化粪池、隔油池清洗费用</w:t>
            </w:r>
          </w:p>
        </w:tc>
        <w:tc>
          <w:tcPr>
            <w:tcW w:w="1813" w:type="dxa"/>
            <w:vMerge w:val="continue"/>
            <w:tcBorders>
              <w:tl2br w:val="nil"/>
              <w:tr2bl w:val="nil"/>
            </w:tcBorders>
            <w:shd w:val="clear" w:color="auto" w:fill="auto"/>
            <w:vAlign w:val="center"/>
          </w:tcPr>
          <w:p w14:paraId="640F8A30">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p>
        </w:tc>
        <w:tc>
          <w:tcPr>
            <w:tcW w:w="2168" w:type="dxa"/>
            <w:tcBorders>
              <w:tl2br w:val="nil"/>
              <w:tr2bl w:val="nil"/>
            </w:tcBorders>
            <w:shd w:val="clear" w:color="auto" w:fill="auto"/>
            <w:vAlign w:val="center"/>
          </w:tcPr>
          <w:p w14:paraId="76851044">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val="en-US" w:eastAsia="zh-CN" w:bidi="ar-SA"/>
              </w:rPr>
            </w:pPr>
          </w:p>
        </w:tc>
        <w:tc>
          <w:tcPr>
            <w:tcW w:w="2718" w:type="dxa"/>
            <w:tcBorders>
              <w:tl2br w:val="nil"/>
              <w:tr2bl w:val="nil"/>
            </w:tcBorders>
            <w:shd w:val="clear" w:color="auto" w:fill="auto"/>
            <w:vAlign w:val="center"/>
          </w:tcPr>
          <w:p w14:paraId="1CFE1965">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每季度一次（</w:t>
            </w:r>
            <w:r>
              <w:rPr>
                <w:rFonts w:hint="eastAsia" w:ascii="宋体" w:hAnsi="宋体" w:eastAsia="宋体" w:cs="宋体"/>
                <w:b w:val="0"/>
                <w:bCs w:val="0"/>
                <w:color w:val="auto"/>
                <w:kern w:val="2"/>
                <w:sz w:val="21"/>
                <w:szCs w:val="21"/>
                <w:highlight w:val="none"/>
                <w:lang w:val="en-US" w:eastAsia="zh-CN" w:bidi="ar-SA"/>
              </w:rPr>
              <w:t>共7次</w:t>
            </w:r>
            <w:r>
              <w:rPr>
                <w:rFonts w:hint="eastAsia" w:ascii="宋体" w:hAnsi="宋体" w:eastAsia="宋体" w:cs="宋体"/>
                <w:b w:val="0"/>
                <w:bCs w:val="0"/>
                <w:color w:val="auto"/>
                <w:kern w:val="2"/>
                <w:sz w:val="21"/>
                <w:szCs w:val="21"/>
                <w:highlight w:val="none"/>
                <w:lang w:eastAsia="zh-CN" w:bidi="ar-SA"/>
              </w:rPr>
              <w:t>）</w:t>
            </w:r>
          </w:p>
        </w:tc>
      </w:tr>
      <w:tr w14:paraId="2A4DF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650" w:type="dxa"/>
            <w:tcBorders>
              <w:tl2br w:val="nil"/>
              <w:tr2bl w:val="nil"/>
            </w:tcBorders>
            <w:shd w:val="clear" w:color="auto" w:fill="auto"/>
            <w:vAlign w:val="center"/>
          </w:tcPr>
          <w:p w14:paraId="1584940F">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11</w:t>
            </w:r>
          </w:p>
        </w:tc>
        <w:tc>
          <w:tcPr>
            <w:tcW w:w="1644" w:type="dxa"/>
            <w:tcBorders>
              <w:tl2br w:val="nil"/>
              <w:tr2bl w:val="nil"/>
            </w:tcBorders>
            <w:shd w:val="clear" w:color="auto" w:fill="auto"/>
            <w:vAlign w:val="center"/>
          </w:tcPr>
          <w:p w14:paraId="5141D5F5">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文化活动与节日装饰</w:t>
            </w:r>
          </w:p>
        </w:tc>
        <w:tc>
          <w:tcPr>
            <w:tcW w:w="1813" w:type="dxa"/>
            <w:vMerge w:val="continue"/>
            <w:tcBorders>
              <w:tl2br w:val="nil"/>
              <w:tr2bl w:val="nil"/>
            </w:tcBorders>
            <w:shd w:val="clear" w:color="auto" w:fill="auto"/>
            <w:vAlign w:val="center"/>
          </w:tcPr>
          <w:p w14:paraId="75D15612">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p>
        </w:tc>
        <w:tc>
          <w:tcPr>
            <w:tcW w:w="2168" w:type="dxa"/>
            <w:tcBorders>
              <w:tl2br w:val="nil"/>
              <w:tr2bl w:val="nil"/>
            </w:tcBorders>
            <w:shd w:val="clear" w:color="auto" w:fill="auto"/>
            <w:vAlign w:val="center"/>
          </w:tcPr>
          <w:p w14:paraId="04155354">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p>
        </w:tc>
        <w:tc>
          <w:tcPr>
            <w:tcW w:w="2718" w:type="dxa"/>
            <w:tcBorders>
              <w:tl2br w:val="nil"/>
              <w:tr2bl w:val="nil"/>
            </w:tcBorders>
            <w:shd w:val="clear" w:color="auto" w:fill="auto"/>
            <w:vAlign w:val="center"/>
          </w:tcPr>
          <w:p w14:paraId="6EAA6E46">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合同期内文化活动与节日装饰费用</w:t>
            </w:r>
          </w:p>
        </w:tc>
      </w:tr>
      <w:tr w14:paraId="5894B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650" w:type="dxa"/>
            <w:tcBorders>
              <w:tl2br w:val="nil"/>
              <w:tr2bl w:val="nil"/>
            </w:tcBorders>
            <w:shd w:val="clear" w:color="auto" w:fill="auto"/>
            <w:vAlign w:val="center"/>
          </w:tcPr>
          <w:p w14:paraId="3B03EE55">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12</w:t>
            </w:r>
          </w:p>
        </w:tc>
        <w:tc>
          <w:tcPr>
            <w:tcW w:w="1644" w:type="dxa"/>
            <w:tcBorders>
              <w:tl2br w:val="nil"/>
              <w:tr2bl w:val="nil"/>
            </w:tcBorders>
            <w:shd w:val="clear" w:color="auto" w:fill="auto"/>
            <w:vAlign w:val="center"/>
          </w:tcPr>
          <w:p w14:paraId="6ED92A7B">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行政办公费用</w:t>
            </w:r>
          </w:p>
        </w:tc>
        <w:tc>
          <w:tcPr>
            <w:tcW w:w="1813" w:type="dxa"/>
            <w:vMerge w:val="continue"/>
            <w:tcBorders>
              <w:tl2br w:val="nil"/>
              <w:tr2bl w:val="nil"/>
            </w:tcBorders>
            <w:shd w:val="clear" w:color="auto" w:fill="auto"/>
            <w:vAlign w:val="center"/>
          </w:tcPr>
          <w:p w14:paraId="1003C813">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p>
        </w:tc>
        <w:tc>
          <w:tcPr>
            <w:tcW w:w="2168" w:type="dxa"/>
            <w:tcBorders>
              <w:tl2br w:val="nil"/>
              <w:tr2bl w:val="nil"/>
            </w:tcBorders>
            <w:shd w:val="clear" w:color="auto" w:fill="auto"/>
            <w:vAlign w:val="center"/>
          </w:tcPr>
          <w:p w14:paraId="17E84F95">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val="en-US" w:eastAsia="zh-CN" w:bidi="ar-SA"/>
              </w:rPr>
            </w:pPr>
          </w:p>
        </w:tc>
        <w:tc>
          <w:tcPr>
            <w:tcW w:w="2718" w:type="dxa"/>
            <w:tcBorders>
              <w:tl2br w:val="nil"/>
              <w:tr2bl w:val="nil"/>
            </w:tcBorders>
            <w:shd w:val="clear" w:color="auto" w:fill="auto"/>
            <w:vAlign w:val="center"/>
          </w:tcPr>
          <w:p w14:paraId="4EB72346">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含服装费</w:t>
            </w:r>
          </w:p>
        </w:tc>
      </w:tr>
      <w:tr w14:paraId="31D5C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4107" w:type="dxa"/>
            <w:gridSpan w:val="3"/>
            <w:tcBorders>
              <w:tl2br w:val="nil"/>
              <w:tr2bl w:val="nil"/>
            </w:tcBorders>
            <w:shd w:val="clear" w:color="auto" w:fill="auto"/>
            <w:vAlign w:val="center"/>
          </w:tcPr>
          <w:p w14:paraId="3E457566">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color w:val="auto"/>
                <w:sz w:val="21"/>
                <w:szCs w:val="21"/>
                <w:lang w:val="en-US" w:eastAsia="zh-CN"/>
              </w:rPr>
              <w:t>物业管理</w:t>
            </w:r>
            <w:r>
              <w:rPr>
                <w:rFonts w:hint="eastAsia" w:ascii="宋体" w:hAnsi="宋体" w:eastAsia="宋体" w:cs="宋体"/>
                <w:color w:val="auto"/>
                <w:sz w:val="21"/>
                <w:szCs w:val="21"/>
              </w:rPr>
              <w:t>运营</w:t>
            </w:r>
            <w:r>
              <w:rPr>
                <w:rFonts w:hint="eastAsia" w:ascii="宋体" w:hAnsi="宋体" w:eastAsia="宋体" w:cs="宋体"/>
                <w:color w:val="auto"/>
                <w:sz w:val="21"/>
                <w:szCs w:val="21"/>
                <w:lang w:val="en-US" w:eastAsia="zh-CN"/>
              </w:rPr>
              <w:t>服务</w:t>
            </w:r>
            <w:r>
              <w:rPr>
                <w:rFonts w:hint="eastAsia" w:ascii="宋体" w:hAnsi="宋体" w:eastAsia="宋体" w:cs="宋体"/>
                <w:color w:val="auto"/>
                <w:sz w:val="21"/>
                <w:szCs w:val="21"/>
              </w:rPr>
              <w:t>费用最高限额不含税合计</w:t>
            </w:r>
            <w:r>
              <w:rPr>
                <w:rFonts w:hint="eastAsia" w:ascii="宋体" w:hAnsi="宋体" w:eastAsia="宋体" w:cs="宋体"/>
                <w:color w:val="auto"/>
                <w:spacing w:val="2"/>
                <w:sz w:val="21"/>
                <w:szCs w:val="21"/>
              </w:rPr>
              <w:t>(元)</w:t>
            </w:r>
          </w:p>
        </w:tc>
        <w:tc>
          <w:tcPr>
            <w:tcW w:w="4886" w:type="dxa"/>
            <w:gridSpan w:val="2"/>
            <w:tcBorders>
              <w:tl2br w:val="nil"/>
              <w:tr2bl w:val="nil"/>
            </w:tcBorders>
            <w:shd w:val="clear" w:color="auto" w:fill="auto"/>
            <w:vAlign w:val="center"/>
          </w:tcPr>
          <w:p w14:paraId="2323717E">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p>
        </w:tc>
      </w:tr>
    </w:tbl>
    <w:p w14:paraId="508C5F0D">
      <w:pPr>
        <w:pStyle w:val="136"/>
        <w:ind w:left="0" w:leftChars="0" w:firstLine="0" w:firstLineChars="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说明：</w:t>
      </w:r>
    </w:p>
    <w:p w14:paraId="64D7F38B">
      <w:pPr>
        <w:pStyle w:val="18"/>
        <w:keepNext w:val="0"/>
        <w:keepLines w:val="0"/>
        <w:pageBreakBefore w:val="0"/>
        <w:widowControl w:val="0"/>
        <w:kinsoku/>
        <w:wordWrap/>
        <w:overflowPunct/>
        <w:topLinePunct w:val="0"/>
        <w:autoSpaceDE w:val="0"/>
        <w:autoSpaceDN w:val="0"/>
        <w:bidi w:val="0"/>
        <w:adjustRightInd w:val="0"/>
        <w:snapToGrid/>
        <w:spacing w:line="360" w:lineRule="auto"/>
        <w:ind w:left="525" w:right="0" w:hanging="525" w:hangingChars="250"/>
        <w:jc w:val="left"/>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（1）投标人应根据自身情况分项列明</w:t>
      </w:r>
      <w:r>
        <w:rPr>
          <w:rFonts w:hint="eastAsia" w:hAnsi="宋体" w:cs="宋体"/>
          <w:b w:val="0"/>
          <w:bCs/>
          <w:color w:val="auto"/>
          <w:kern w:val="0"/>
          <w:sz w:val="21"/>
          <w:szCs w:val="21"/>
          <w:highlight w:val="none"/>
          <w:lang w:val="en-US" w:eastAsia="zh-CN" w:bidi="ar-SA"/>
        </w:rPr>
        <w:t>物业</w:t>
      </w:r>
      <w:r>
        <w:rPr>
          <w:rFonts w:hint="eastAsia" w:ascii="宋体" w:hAnsi="宋体" w:eastAsia="宋体" w:cs="宋体"/>
          <w:b w:val="0"/>
          <w:bCs/>
          <w:color w:val="auto"/>
          <w:kern w:val="0"/>
          <w:sz w:val="21"/>
          <w:szCs w:val="21"/>
          <w:highlight w:val="none"/>
          <w:lang w:val="en-US" w:eastAsia="zh-CN" w:bidi="ar-SA"/>
        </w:rPr>
        <w:t>管理</w:t>
      </w:r>
      <w:r>
        <w:rPr>
          <w:rFonts w:hint="eastAsia" w:hAnsi="宋体" w:cs="宋体"/>
          <w:b w:val="0"/>
          <w:bCs/>
          <w:color w:val="auto"/>
          <w:kern w:val="0"/>
          <w:sz w:val="21"/>
          <w:szCs w:val="21"/>
          <w:highlight w:val="none"/>
          <w:lang w:val="en-US" w:eastAsia="zh-CN" w:bidi="ar-SA"/>
        </w:rPr>
        <w:t>运营服务中</w:t>
      </w:r>
      <w:r>
        <w:rPr>
          <w:rFonts w:hint="eastAsia" w:ascii="宋体" w:hAnsi="宋体" w:eastAsia="宋体" w:cs="宋体"/>
          <w:b w:val="0"/>
          <w:bCs/>
          <w:color w:val="auto"/>
          <w:kern w:val="0"/>
          <w:sz w:val="21"/>
          <w:szCs w:val="21"/>
          <w:highlight w:val="none"/>
          <w:lang w:val="en-US" w:eastAsia="zh-CN" w:bidi="ar-SA"/>
        </w:rPr>
        <w:t>支出</w:t>
      </w:r>
      <w:r>
        <w:rPr>
          <w:rFonts w:hint="eastAsia" w:hAnsi="宋体" w:cs="宋体"/>
          <w:b w:val="0"/>
          <w:bCs/>
          <w:color w:val="auto"/>
          <w:kern w:val="0"/>
          <w:sz w:val="21"/>
          <w:szCs w:val="21"/>
          <w:highlight w:val="none"/>
          <w:lang w:val="en-US" w:eastAsia="zh-CN" w:bidi="ar-SA"/>
        </w:rPr>
        <w:t>项目</w:t>
      </w:r>
      <w:r>
        <w:rPr>
          <w:rFonts w:hint="eastAsia" w:ascii="宋体" w:hAnsi="宋体" w:eastAsia="宋体" w:cs="宋体"/>
          <w:b w:val="0"/>
          <w:bCs/>
          <w:color w:val="auto"/>
          <w:kern w:val="0"/>
          <w:sz w:val="21"/>
          <w:szCs w:val="21"/>
          <w:highlight w:val="none"/>
          <w:lang w:val="en-US" w:eastAsia="zh-CN" w:bidi="ar-SA"/>
        </w:rPr>
        <w:t>最高限额的报价，</w:t>
      </w:r>
      <w:r>
        <w:rPr>
          <w:rFonts w:hint="eastAsia" w:hAnsi="宋体" w:cs="宋体"/>
          <w:b w:val="0"/>
          <w:bCs/>
          <w:color w:val="auto"/>
          <w:kern w:val="0"/>
          <w:sz w:val="21"/>
          <w:szCs w:val="21"/>
          <w:highlight w:val="none"/>
          <w:lang w:val="en-US" w:eastAsia="zh-CN" w:bidi="ar-SA"/>
        </w:rPr>
        <w:t>物业管理运营服务中</w:t>
      </w:r>
      <w:r>
        <w:rPr>
          <w:rFonts w:hint="eastAsia" w:ascii="宋体" w:hAnsi="宋体" w:eastAsia="宋体" w:cs="宋体"/>
          <w:b w:val="0"/>
          <w:bCs/>
          <w:color w:val="auto"/>
          <w:kern w:val="0"/>
          <w:sz w:val="21"/>
          <w:szCs w:val="21"/>
          <w:highlight w:val="none"/>
          <w:lang w:val="en-US" w:eastAsia="zh-CN" w:bidi="ar-SA"/>
        </w:rPr>
        <w:t>各</w:t>
      </w:r>
      <w:r>
        <w:rPr>
          <w:rFonts w:hint="eastAsia" w:hAnsi="宋体" w:cs="宋体"/>
          <w:b w:val="0"/>
          <w:bCs/>
          <w:color w:val="auto"/>
          <w:kern w:val="0"/>
          <w:sz w:val="21"/>
          <w:szCs w:val="21"/>
          <w:highlight w:val="none"/>
          <w:lang w:val="en-US" w:eastAsia="zh-CN" w:bidi="ar-SA"/>
        </w:rPr>
        <w:t>支出</w:t>
      </w:r>
      <w:r>
        <w:rPr>
          <w:rFonts w:hint="eastAsia" w:ascii="宋体" w:hAnsi="宋体" w:eastAsia="宋体" w:cs="宋体"/>
          <w:b w:val="0"/>
          <w:bCs/>
          <w:color w:val="auto"/>
          <w:kern w:val="0"/>
          <w:sz w:val="21"/>
          <w:szCs w:val="21"/>
          <w:highlight w:val="none"/>
          <w:lang w:val="en-US" w:eastAsia="zh-CN" w:bidi="ar-SA"/>
        </w:rPr>
        <w:t>项</w:t>
      </w:r>
      <w:r>
        <w:rPr>
          <w:rFonts w:hint="eastAsia" w:hAnsi="宋体" w:cs="宋体"/>
          <w:b w:val="0"/>
          <w:bCs/>
          <w:color w:val="auto"/>
          <w:kern w:val="0"/>
          <w:sz w:val="21"/>
          <w:szCs w:val="21"/>
          <w:highlight w:val="none"/>
          <w:lang w:val="en-US" w:eastAsia="zh-CN" w:bidi="ar-SA"/>
        </w:rPr>
        <w:t>目</w:t>
      </w:r>
      <w:r>
        <w:rPr>
          <w:rFonts w:hint="eastAsia" w:ascii="宋体" w:hAnsi="宋体" w:eastAsia="宋体" w:cs="宋体"/>
          <w:b w:val="0"/>
          <w:bCs/>
          <w:color w:val="auto"/>
          <w:kern w:val="0"/>
          <w:sz w:val="21"/>
          <w:szCs w:val="21"/>
          <w:highlight w:val="none"/>
          <w:lang w:val="en-US" w:eastAsia="zh-CN" w:bidi="ar-SA"/>
        </w:rPr>
        <w:t>最高限额的报价作为中标人服务期量化考核的基础。服务期间的实际运营费用各</w:t>
      </w:r>
      <w:r>
        <w:rPr>
          <w:rFonts w:hint="eastAsia" w:hAnsi="宋体" w:cs="宋体"/>
          <w:b w:val="0"/>
          <w:bCs/>
          <w:color w:val="auto"/>
          <w:kern w:val="0"/>
          <w:sz w:val="21"/>
          <w:szCs w:val="21"/>
          <w:highlight w:val="none"/>
          <w:lang w:val="en-US" w:eastAsia="zh-CN" w:bidi="ar-SA"/>
        </w:rPr>
        <w:t>支出项目</w:t>
      </w:r>
      <w:r>
        <w:rPr>
          <w:rFonts w:hint="eastAsia" w:ascii="宋体" w:hAnsi="宋体" w:eastAsia="宋体" w:cs="宋体"/>
          <w:b w:val="0"/>
          <w:bCs/>
          <w:color w:val="auto"/>
          <w:kern w:val="0"/>
          <w:sz w:val="21"/>
          <w:szCs w:val="21"/>
          <w:highlight w:val="none"/>
          <w:lang w:val="en-US" w:eastAsia="zh-CN" w:bidi="ar-SA"/>
        </w:rPr>
        <w:t>（不含销项税额）单价和（不含销项税额）总价（含中标人委外实施的分包项目费用）不得超过分项明细表</w:t>
      </w:r>
      <w:r>
        <w:rPr>
          <w:rFonts w:hint="eastAsia" w:hAnsi="宋体" w:cs="宋体"/>
          <w:b w:val="0"/>
          <w:bCs/>
          <w:color w:val="auto"/>
          <w:kern w:val="0"/>
          <w:sz w:val="21"/>
          <w:szCs w:val="21"/>
          <w:highlight w:val="none"/>
          <w:lang w:val="en-US" w:eastAsia="zh-CN" w:bidi="ar-SA"/>
        </w:rPr>
        <w:t>对应支出项目</w:t>
      </w:r>
      <w:r>
        <w:rPr>
          <w:rFonts w:hint="eastAsia" w:ascii="宋体" w:hAnsi="宋体" w:eastAsia="宋体" w:cs="宋体"/>
          <w:b w:val="0"/>
          <w:bCs/>
          <w:color w:val="auto"/>
          <w:kern w:val="0"/>
          <w:sz w:val="21"/>
          <w:szCs w:val="21"/>
          <w:highlight w:val="none"/>
          <w:lang w:val="en-US" w:eastAsia="zh-CN" w:bidi="ar-SA"/>
        </w:rPr>
        <w:t>的最高限额，否则，招标人将按本合同有关违约责任约定处理。</w:t>
      </w:r>
    </w:p>
    <w:p w14:paraId="7DEAFA3C">
      <w:pPr>
        <w:pStyle w:val="18"/>
        <w:keepNext w:val="0"/>
        <w:keepLines w:val="0"/>
        <w:pageBreakBefore w:val="0"/>
        <w:widowControl w:val="0"/>
        <w:kinsoku/>
        <w:wordWrap/>
        <w:overflowPunct/>
        <w:topLinePunct w:val="0"/>
        <w:autoSpaceDE w:val="0"/>
        <w:autoSpaceDN w:val="0"/>
        <w:bidi w:val="0"/>
        <w:adjustRightInd w:val="0"/>
        <w:snapToGrid/>
        <w:spacing w:line="360" w:lineRule="auto"/>
        <w:ind w:left="420" w:right="0" w:hanging="420" w:hangingChars="200"/>
        <w:jc w:val="left"/>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（2）报价保留两位小数，此表格不得修改。</w:t>
      </w:r>
    </w:p>
    <w:p w14:paraId="6AAE39CF">
      <w:pPr>
        <w:rPr>
          <w:rFonts w:hint="eastAsia" w:ascii="宋体" w:hAnsi="宋体" w:eastAsia="宋体" w:cs="宋体"/>
          <w:b w:val="0"/>
          <w:bCs/>
          <w:color w:val="auto"/>
          <w:kern w:val="0"/>
          <w:sz w:val="21"/>
          <w:szCs w:val="21"/>
          <w:highlight w:val="none"/>
          <w:lang w:val="en-US" w:eastAsia="zh-CN" w:bidi="ar-SA"/>
        </w:rPr>
      </w:pPr>
    </w:p>
    <w:p w14:paraId="0BD37994">
      <w:pPr>
        <w:rPr>
          <w:rFonts w:hint="eastAsia" w:ascii="宋体" w:hAnsi="宋体" w:eastAsia="宋体" w:cs="宋体"/>
          <w:color w:val="auto"/>
          <w:spacing w:val="31"/>
          <w:sz w:val="21"/>
          <w:szCs w:val="21"/>
          <w:lang w:val="en-US" w:eastAsia="zh-CN"/>
        </w:rPr>
      </w:pPr>
      <w:r>
        <w:rPr>
          <w:rFonts w:hint="eastAsia" w:ascii="宋体" w:hAnsi="宋体" w:eastAsia="宋体" w:cs="宋体"/>
          <w:color w:val="auto"/>
          <w:spacing w:val="31"/>
          <w:sz w:val="21"/>
          <w:szCs w:val="21"/>
          <w:lang w:val="en-US" w:eastAsia="zh-CN"/>
        </w:rPr>
        <w:br w:type="page"/>
      </w:r>
    </w:p>
    <w:p w14:paraId="464F2CA0">
      <w:pPr>
        <w:pStyle w:val="212"/>
        <w:spacing w:line="240" w:lineRule="auto"/>
        <w:jc w:val="left"/>
        <w:rPr>
          <w:rFonts w:hint="eastAsia" w:ascii="宋体" w:hAnsi="宋体" w:eastAsia="宋体" w:cs="宋体"/>
          <w:color w:val="auto"/>
          <w:spacing w:val="-3"/>
          <w:sz w:val="21"/>
          <w:szCs w:val="21"/>
        </w:rPr>
      </w:pPr>
      <w:r>
        <w:rPr>
          <w:rFonts w:hint="eastAsia" w:ascii="宋体" w:hAnsi="宋体" w:eastAsia="宋体" w:cs="宋体"/>
          <w:color w:val="auto"/>
          <w:spacing w:val="-3"/>
          <w:sz w:val="21"/>
          <w:szCs w:val="21"/>
          <w:lang w:val="en-US" w:eastAsia="zh-CN"/>
        </w:rPr>
        <w:t>B</w:t>
      </w:r>
      <w:r>
        <w:rPr>
          <w:rFonts w:hint="eastAsia" w:ascii="宋体" w:hAnsi="宋体" w:eastAsia="宋体" w:cs="宋体"/>
          <w:color w:val="auto"/>
          <w:spacing w:val="-3"/>
          <w:sz w:val="21"/>
          <w:szCs w:val="21"/>
        </w:rPr>
        <w:t>、人工费用明细表（按入驻率</w:t>
      </w:r>
      <w:r>
        <w:rPr>
          <w:rFonts w:hint="eastAsia" w:ascii="宋体" w:hAnsi="宋体" w:eastAsia="宋体" w:cs="宋体"/>
          <w:b w:val="0"/>
          <w:bCs w:val="0"/>
          <w:color w:val="auto"/>
          <w:spacing w:val="-3"/>
          <w:sz w:val="21"/>
          <w:szCs w:val="21"/>
        </w:rPr>
        <w:t>≥</w:t>
      </w:r>
      <w:r>
        <w:rPr>
          <w:rFonts w:hint="eastAsia" w:ascii="宋体" w:hAnsi="宋体" w:eastAsia="宋体" w:cs="宋体"/>
          <w:color w:val="auto"/>
          <w:spacing w:val="-3"/>
          <w:sz w:val="21"/>
          <w:szCs w:val="21"/>
        </w:rPr>
        <w:t>70%时的人员配置要求）</w:t>
      </w:r>
    </w:p>
    <w:tbl>
      <w:tblPr>
        <w:tblStyle w:val="213"/>
        <w:tblW w:w="505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8"/>
        <w:gridCol w:w="1210"/>
        <w:gridCol w:w="1159"/>
        <w:gridCol w:w="1755"/>
        <w:gridCol w:w="2310"/>
        <w:gridCol w:w="1693"/>
        <w:gridCol w:w="1457"/>
      </w:tblGrid>
      <w:tr w14:paraId="2908C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5" w:type="pct"/>
            <w:vAlign w:val="center"/>
          </w:tcPr>
          <w:p w14:paraId="710E6AE5">
            <w:pPr>
              <w:pStyle w:val="212"/>
              <w:keepNext w:val="0"/>
              <w:keepLines w:val="0"/>
              <w:pageBreakBefore w:val="0"/>
              <w:widowControl w:val="0"/>
              <w:kinsoku/>
              <w:wordWrap/>
              <w:overflowPunct/>
              <w:topLinePunct w:val="0"/>
              <w:autoSpaceDE/>
              <w:autoSpaceDN/>
              <w:bidi w:val="0"/>
              <w:spacing w:line="240" w:lineRule="auto"/>
              <w:ind w:left="0"/>
              <w:jc w:val="center"/>
              <w:textAlignment w:val="auto"/>
              <w:rPr>
                <w:rFonts w:hint="eastAsia" w:ascii="宋体" w:hAnsi="宋体" w:eastAsia="宋体" w:cs="宋体"/>
                <w:color w:val="auto"/>
                <w:sz w:val="21"/>
                <w:szCs w:val="21"/>
              </w:rPr>
            </w:pPr>
            <w:r>
              <w:rPr>
                <w:rFonts w:hint="eastAsia" w:ascii="宋体" w:hAnsi="宋体" w:eastAsia="宋体" w:cs="宋体"/>
                <w:b/>
                <w:bCs/>
                <w:color w:val="auto"/>
                <w:spacing w:val="-5"/>
                <w:sz w:val="21"/>
                <w:szCs w:val="21"/>
              </w:rPr>
              <w:t>序号</w:t>
            </w:r>
          </w:p>
        </w:tc>
        <w:tc>
          <w:tcPr>
            <w:tcW w:w="589" w:type="pct"/>
            <w:vAlign w:val="center"/>
          </w:tcPr>
          <w:p w14:paraId="2F97BB23">
            <w:pPr>
              <w:pStyle w:val="212"/>
              <w:keepNext w:val="0"/>
              <w:keepLines w:val="0"/>
              <w:pageBreakBefore w:val="0"/>
              <w:widowControl w:val="0"/>
              <w:kinsoku/>
              <w:wordWrap/>
              <w:overflowPunct/>
              <w:topLinePunct w:val="0"/>
              <w:autoSpaceDE/>
              <w:autoSpaceDN/>
              <w:bidi w:val="0"/>
              <w:spacing w:line="240" w:lineRule="auto"/>
              <w:ind w:left="0"/>
              <w:jc w:val="center"/>
              <w:textAlignment w:val="auto"/>
              <w:rPr>
                <w:rFonts w:hint="eastAsia" w:ascii="宋体" w:hAnsi="宋体" w:eastAsia="宋体" w:cs="宋体"/>
                <w:color w:val="auto"/>
                <w:sz w:val="21"/>
                <w:szCs w:val="21"/>
              </w:rPr>
            </w:pPr>
            <w:r>
              <w:rPr>
                <w:rFonts w:hint="eastAsia" w:ascii="宋体" w:hAnsi="宋体" w:eastAsia="宋体" w:cs="宋体"/>
                <w:b/>
                <w:bCs/>
                <w:color w:val="auto"/>
                <w:spacing w:val="7"/>
                <w:sz w:val="21"/>
                <w:szCs w:val="21"/>
              </w:rPr>
              <w:t>部门</w:t>
            </w:r>
          </w:p>
        </w:tc>
        <w:tc>
          <w:tcPr>
            <w:tcW w:w="564" w:type="pct"/>
            <w:vAlign w:val="center"/>
          </w:tcPr>
          <w:p w14:paraId="349B6ADA">
            <w:pPr>
              <w:pStyle w:val="212"/>
              <w:keepNext w:val="0"/>
              <w:keepLines w:val="0"/>
              <w:pageBreakBefore w:val="0"/>
              <w:widowControl w:val="0"/>
              <w:kinsoku/>
              <w:wordWrap/>
              <w:overflowPunct/>
              <w:topLinePunct w:val="0"/>
              <w:autoSpaceDE/>
              <w:autoSpaceDN/>
              <w:bidi w:val="0"/>
              <w:spacing w:line="240" w:lineRule="auto"/>
              <w:ind w:left="0"/>
              <w:jc w:val="center"/>
              <w:textAlignment w:val="auto"/>
              <w:rPr>
                <w:rFonts w:hint="eastAsia" w:ascii="宋体" w:hAnsi="宋体" w:eastAsia="宋体" w:cs="宋体"/>
                <w:color w:val="auto"/>
                <w:sz w:val="21"/>
                <w:szCs w:val="21"/>
              </w:rPr>
            </w:pPr>
            <w:r>
              <w:rPr>
                <w:rFonts w:hint="eastAsia" w:ascii="宋体" w:hAnsi="宋体" w:eastAsia="宋体" w:cs="宋体"/>
                <w:b/>
                <w:bCs/>
                <w:color w:val="auto"/>
                <w:spacing w:val="-2"/>
                <w:sz w:val="21"/>
                <w:szCs w:val="21"/>
              </w:rPr>
              <w:t>岗位</w:t>
            </w:r>
          </w:p>
        </w:tc>
        <w:tc>
          <w:tcPr>
            <w:tcW w:w="854" w:type="pct"/>
            <w:vAlign w:val="center"/>
          </w:tcPr>
          <w:p w14:paraId="08B98878">
            <w:pPr>
              <w:pStyle w:val="212"/>
              <w:keepNext w:val="0"/>
              <w:keepLines w:val="0"/>
              <w:pageBreakBefore w:val="0"/>
              <w:widowControl w:val="0"/>
              <w:kinsoku/>
              <w:wordWrap/>
              <w:overflowPunct/>
              <w:topLinePunct w:val="0"/>
              <w:autoSpaceDE/>
              <w:autoSpaceDN/>
              <w:bidi w:val="0"/>
              <w:spacing w:line="240" w:lineRule="auto"/>
              <w:ind w:left="0"/>
              <w:jc w:val="center"/>
              <w:textAlignment w:val="auto"/>
              <w:rPr>
                <w:rFonts w:hint="eastAsia" w:ascii="宋体" w:hAnsi="宋体" w:eastAsia="宋体" w:cs="宋体"/>
                <w:color w:val="auto"/>
                <w:sz w:val="21"/>
                <w:szCs w:val="21"/>
              </w:rPr>
            </w:pPr>
            <w:r>
              <w:rPr>
                <w:rFonts w:hint="eastAsia" w:ascii="宋体" w:hAnsi="宋体" w:eastAsia="宋体" w:cs="宋体"/>
                <w:b/>
                <w:bCs/>
                <w:color w:val="auto"/>
                <w:spacing w:val="-4"/>
                <w:sz w:val="21"/>
                <w:szCs w:val="21"/>
              </w:rPr>
              <w:t>配备人数</w:t>
            </w:r>
          </w:p>
          <w:p w14:paraId="13E80CF0">
            <w:pPr>
              <w:pStyle w:val="212"/>
              <w:keepNext w:val="0"/>
              <w:keepLines w:val="0"/>
              <w:pageBreakBefore w:val="0"/>
              <w:widowControl w:val="0"/>
              <w:kinsoku/>
              <w:wordWrap/>
              <w:overflowPunct/>
              <w:topLinePunct w:val="0"/>
              <w:autoSpaceDE/>
              <w:autoSpaceDN/>
              <w:bidi w:val="0"/>
              <w:spacing w:line="240" w:lineRule="auto"/>
              <w:ind w:left="0"/>
              <w:jc w:val="center"/>
              <w:textAlignment w:val="auto"/>
              <w:rPr>
                <w:rFonts w:hint="eastAsia" w:ascii="宋体" w:hAnsi="宋体" w:eastAsia="宋体" w:cs="宋体"/>
                <w:color w:val="auto"/>
                <w:sz w:val="21"/>
                <w:szCs w:val="21"/>
              </w:rPr>
            </w:pPr>
            <w:r>
              <w:rPr>
                <w:rFonts w:hint="eastAsia" w:ascii="宋体" w:hAnsi="宋体" w:eastAsia="宋体" w:cs="宋体"/>
                <w:b/>
                <w:bCs/>
                <w:color w:val="auto"/>
                <w:spacing w:val="2"/>
                <w:sz w:val="21"/>
                <w:szCs w:val="21"/>
              </w:rPr>
              <w:t>(</w:t>
            </w:r>
            <w:r>
              <w:rPr>
                <w:rFonts w:hint="eastAsia" w:ascii="宋体" w:hAnsi="宋体" w:eastAsia="宋体" w:cs="宋体"/>
                <w:b/>
                <w:bCs/>
                <w:color w:val="auto"/>
                <w:spacing w:val="2"/>
                <w:sz w:val="21"/>
                <w:szCs w:val="21"/>
                <w:lang w:eastAsia="zh-CN"/>
              </w:rPr>
              <w:t>入驻</w:t>
            </w:r>
            <w:r>
              <w:rPr>
                <w:rFonts w:hint="eastAsia" w:ascii="宋体" w:hAnsi="宋体" w:eastAsia="宋体" w:cs="宋体"/>
                <w:b/>
                <w:bCs/>
                <w:color w:val="auto"/>
                <w:spacing w:val="2"/>
                <w:sz w:val="21"/>
                <w:szCs w:val="21"/>
              </w:rPr>
              <w:t>率≥70%)</w:t>
            </w:r>
          </w:p>
        </w:tc>
        <w:tc>
          <w:tcPr>
            <w:tcW w:w="1124" w:type="pct"/>
            <w:vAlign w:val="center"/>
          </w:tcPr>
          <w:p w14:paraId="440B754B">
            <w:pPr>
              <w:pStyle w:val="212"/>
              <w:keepNext w:val="0"/>
              <w:keepLines w:val="0"/>
              <w:pageBreakBefore w:val="0"/>
              <w:widowControl w:val="0"/>
              <w:kinsoku/>
              <w:wordWrap/>
              <w:overflowPunct/>
              <w:topLinePunct w:val="0"/>
              <w:autoSpaceDE/>
              <w:autoSpaceDN/>
              <w:bidi w:val="0"/>
              <w:spacing w:line="240" w:lineRule="auto"/>
              <w:ind w:left="0"/>
              <w:jc w:val="center"/>
              <w:textAlignment w:val="auto"/>
              <w:rPr>
                <w:rFonts w:hint="eastAsia" w:ascii="宋体" w:hAnsi="宋体" w:eastAsia="宋体" w:cs="宋体"/>
                <w:color w:val="auto"/>
                <w:sz w:val="21"/>
                <w:szCs w:val="21"/>
              </w:rPr>
            </w:pPr>
            <w:r>
              <w:rPr>
                <w:rFonts w:hint="eastAsia" w:ascii="宋体" w:hAnsi="宋体" w:eastAsia="宋体" w:cs="宋体"/>
                <w:b/>
                <w:bCs/>
                <w:color w:val="auto"/>
                <w:spacing w:val="-4"/>
                <w:sz w:val="21"/>
                <w:szCs w:val="21"/>
              </w:rPr>
              <w:t>不含税人工单价</w:t>
            </w:r>
          </w:p>
          <w:p w14:paraId="31B88A96">
            <w:pPr>
              <w:pStyle w:val="212"/>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b/>
                <w:bCs/>
                <w:color w:val="auto"/>
                <w:spacing w:val="6"/>
                <w:sz w:val="21"/>
                <w:szCs w:val="21"/>
              </w:rPr>
              <w:t>(元/月)</w:t>
            </w:r>
          </w:p>
        </w:tc>
        <w:tc>
          <w:tcPr>
            <w:tcW w:w="824" w:type="pct"/>
            <w:vAlign w:val="center"/>
          </w:tcPr>
          <w:p w14:paraId="1A0B935F">
            <w:pPr>
              <w:pStyle w:val="212"/>
              <w:keepNext w:val="0"/>
              <w:keepLines w:val="0"/>
              <w:pageBreakBefore w:val="0"/>
              <w:widowControl w:val="0"/>
              <w:kinsoku/>
              <w:wordWrap/>
              <w:overflowPunct/>
              <w:topLinePunct w:val="0"/>
              <w:autoSpaceDE/>
              <w:autoSpaceDN/>
              <w:bidi w:val="0"/>
              <w:spacing w:line="240" w:lineRule="auto"/>
              <w:ind w:left="111"/>
              <w:jc w:val="center"/>
              <w:textAlignment w:val="auto"/>
              <w:rPr>
                <w:rFonts w:hint="default" w:ascii="宋体" w:hAnsi="宋体" w:eastAsia="宋体" w:cs="宋体"/>
                <w:color w:val="auto"/>
                <w:sz w:val="21"/>
                <w:szCs w:val="21"/>
                <w:lang w:val="en-US" w:eastAsia="zh-CN"/>
              </w:rPr>
            </w:pPr>
            <w:r>
              <w:rPr>
                <w:rFonts w:hint="eastAsia" w:cs="宋体"/>
                <w:b/>
                <w:bCs/>
                <w:color w:val="auto"/>
                <w:szCs w:val="21"/>
                <w:lang w:val="en-US" w:eastAsia="zh-CN" w:bidi="ar"/>
              </w:rPr>
              <w:t>服务期内预估月份数量</w:t>
            </w:r>
          </w:p>
        </w:tc>
        <w:tc>
          <w:tcPr>
            <w:tcW w:w="708" w:type="pct"/>
            <w:vAlign w:val="center"/>
          </w:tcPr>
          <w:p w14:paraId="482B62F8">
            <w:pPr>
              <w:pStyle w:val="212"/>
              <w:keepNext w:val="0"/>
              <w:keepLines w:val="0"/>
              <w:pageBreakBefore w:val="0"/>
              <w:widowControl w:val="0"/>
              <w:kinsoku/>
              <w:wordWrap/>
              <w:overflowPunct/>
              <w:topLinePunct w:val="0"/>
              <w:autoSpaceDE/>
              <w:autoSpaceDN/>
              <w:bidi w:val="0"/>
              <w:spacing w:line="240" w:lineRule="auto"/>
              <w:ind w:left="0"/>
              <w:jc w:val="center"/>
              <w:textAlignment w:val="auto"/>
              <w:rPr>
                <w:rFonts w:hint="eastAsia" w:ascii="宋体" w:hAnsi="宋体" w:eastAsia="宋体" w:cs="宋体"/>
                <w:color w:val="auto"/>
                <w:sz w:val="21"/>
                <w:szCs w:val="21"/>
              </w:rPr>
            </w:pPr>
            <w:r>
              <w:rPr>
                <w:rFonts w:hint="eastAsia" w:ascii="宋体" w:hAnsi="宋体" w:eastAsia="宋体" w:cs="宋体"/>
                <w:b/>
                <w:bCs/>
                <w:color w:val="auto"/>
                <w:spacing w:val="-5"/>
                <w:sz w:val="21"/>
                <w:szCs w:val="21"/>
              </w:rPr>
              <w:t>不含税小计</w:t>
            </w:r>
          </w:p>
          <w:p w14:paraId="0E8783F0">
            <w:pPr>
              <w:pStyle w:val="212"/>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b/>
                <w:bCs/>
                <w:color w:val="auto"/>
                <w:spacing w:val="11"/>
                <w:sz w:val="21"/>
                <w:szCs w:val="21"/>
              </w:rPr>
              <w:t>(元)</w:t>
            </w:r>
          </w:p>
        </w:tc>
      </w:tr>
      <w:tr w14:paraId="0B31E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5" w:type="pct"/>
            <w:vMerge w:val="restart"/>
            <w:tcBorders>
              <w:bottom w:val="nil"/>
            </w:tcBorders>
            <w:vAlign w:val="center"/>
          </w:tcPr>
          <w:p w14:paraId="44AE9400">
            <w:pPr>
              <w:pStyle w:val="212"/>
              <w:keepNext w:val="0"/>
              <w:keepLines w:val="0"/>
              <w:pageBreakBefore w:val="0"/>
              <w:widowControl w:val="0"/>
              <w:kinsoku/>
              <w:wordWrap/>
              <w:overflowPunct/>
              <w:topLinePunct w:val="0"/>
              <w:autoSpaceDE/>
              <w:autoSpaceDN/>
              <w:bidi w:val="0"/>
              <w:spacing w:line="240" w:lineRule="auto"/>
              <w:ind w:left="254"/>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89" w:type="pct"/>
            <w:vMerge w:val="restart"/>
            <w:tcBorders>
              <w:bottom w:val="nil"/>
            </w:tcBorders>
            <w:vAlign w:val="center"/>
          </w:tcPr>
          <w:p w14:paraId="5AD0345C">
            <w:pPr>
              <w:pStyle w:val="212"/>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3"/>
                <w:sz w:val="21"/>
                <w:szCs w:val="21"/>
              </w:rPr>
              <w:t>综合支持</w:t>
            </w:r>
          </w:p>
        </w:tc>
        <w:tc>
          <w:tcPr>
            <w:tcW w:w="564" w:type="pct"/>
            <w:vAlign w:val="center"/>
          </w:tcPr>
          <w:p w14:paraId="465BB0C1">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项目经理</w:t>
            </w:r>
          </w:p>
        </w:tc>
        <w:tc>
          <w:tcPr>
            <w:tcW w:w="854" w:type="pct"/>
            <w:vAlign w:val="center"/>
          </w:tcPr>
          <w:p w14:paraId="5D866CFB">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w:t>
            </w:r>
          </w:p>
        </w:tc>
        <w:tc>
          <w:tcPr>
            <w:tcW w:w="1124" w:type="pct"/>
            <w:vAlign w:val="center"/>
          </w:tcPr>
          <w:p w14:paraId="286DA43C">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824" w:type="pct"/>
            <w:vAlign w:val="center"/>
          </w:tcPr>
          <w:p w14:paraId="7A4C9273">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bCs/>
                <w:color w:val="auto"/>
                <w:szCs w:val="21"/>
                <w:lang w:val="en-US" w:eastAsia="zh-CN" w:bidi="ar"/>
              </w:rPr>
              <w:t>22</w:t>
            </w:r>
            <w:r>
              <w:rPr>
                <w:rFonts w:hint="eastAsia" w:ascii="宋体" w:hAnsi="宋体" w:eastAsia="宋体" w:cs="宋体"/>
                <w:bCs/>
                <w:color w:val="auto"/>
                <w:szCs w:val="21"/>
                <w:lang w:bidi="ar"/>
              </w:rPr>
              <w:t>个月</w:t>
            </w:r>
          </w:p>
        </w:tc>
        <w:tc>
          <w:tcPr>
            <w:tcW w:w="708" w:type="pct"/>
            <w:vAlign w:val="center"/>
          </w:tcPr>
          <w:p w14:paraId="4B8D017D">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r>
      <w:tr w14:paraId="26D5D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5" w:type="pct"/>
            <w:vMerge w:val="continue"/>
            <w:tcBorders>
              <w:top w:val="nil"/>
              <w:bottom w:val="nil"/>
            </w:tcBorders>
            <w:vAlign w:val="center"/>
          </w:tcPr>
          <w:p w14:paraId="7E42F785">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589" w:type="pct"/>
            <w:vMerge w:val="continue"/>
            <w:tcBorders>
              <w:top w:val="nil"/>
              <w:bottom w:val="nil"/>
            </w:tcBorders>
            <w:vAlign w:val="center"/>
          </w:tcPr>
          <w:p w14:paraId="045194ED">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564" w:type="pct"/>
            <w:vAlign w:val="center"/>
          </w:tcPr>
          <w:p w14:paraId="06B2FFF5">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财务</w:t>
            </w:r>
            <w:r>
              <w:rPr>
                <w:rFonts w:hint="eastAsia" w:ascii="宋体" w:hAnsi="宋体" w:eastAsia="宋体" w:cs="宋体"/>
                <w:color w:val="auto"/>
                <w:kern w:val="2"/>
                <w:sz w:val="21"/>
                <w:szCs w:val="21"/>
                <w:highlight w:val="none"/>
                <w:lang w:val="en-US" w:eastAsia="zh-CN"/>
              </w:rPr>
              <w:t>专员</w:t>
            </w:r>
          </w:p>
        </w:tc>
        <w:tc>
          <w:tcPr>
            <w:tcW w:w="854" w:type="pct"/>
            <w:vAlign w:val="center"/>
          </w:tcPr>
          <w:p w14:paraId="0D1797FF">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w:t>
            </w:r>
          </w:p>
        </w:tc>
        <w:tc>
          <w:tcPr>
            <w:tcW w:w="1124" w:type="pct"/>
            <w:vAlign w:val="center"/>
          </w:tcPr>
          <w:p w14:paraId="0308E6A1">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824" w:type="pct"/>
            <w:vAlign w:val="center"/>
          </w:tcPr>
          <w:p w14:paraId="2ADC1E11">
            <w:pPr>
              <w:keepNext w:val="0"/>
              <w:keepLines w:val="0"/>
              <w:pageBreakBefore w:val="0"/>
              <w:widowControl w:val="0"/>
              <w:kinsoku/>
              <w:wordWrap/>
              <w:overflowPunct/>
              <w:topLinePunct w:val="0"/>
              <w:autoSpaceDE/>
              <w:autoSpaceDN/>
              <w:bidi w:val="0"/>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bCs/>
                <w:color w:val="auto"/>
                <w:szCs w:val="21"/>
                <w:lang w:val="en-US" w:eastAsia="zh-CN" w:bidi="ar"/>
              </w:rPr>
              <w:t>22</w:t>
            </w:r>
            <w:r>
              <w:rPr>
                <w:rFonts w:hint="eastAsia" w:ascii="宋体" w:hAnsi="宋体" w:eastAsia="宋体" w:cs="宋体"/>
                <w:bCs/>
                <w:color w:val="auto"/>
                <w:szCs w:val="21"/>
                <w:lang w:bidi="ar"/>
              </w:rPr>
              <w:t>个月</w:t>
            </w:r>
          </w:p>
        </w:tc>
        <w:tc>
          <w:tcPr>
            <w:tcW w:w="708" w:type="pct"/>
            <w:vAlign w:val="center"/>
          </w:tcPr>
          <w:p w14:paraId="4A883E63">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r>
      <w:tr w14:paraId="3D222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5" w:type="pct"/>
            <w:vMerge w:val="continue"/>
            <w:tcBorders>
              <w:top w:val="nil"/>
            </w:tcBorders>
            <w:vAlign w:val="center"/>
          </w:tcPr>
          <w:p w14:paraId="258BD522">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589" w:type="pct"/>
            <w:vMerge w:val="continue"/>
            <w:tcBorders>
              <w:top w:val="nil"/>
            </w:tcBorders>
            <w:vAlign w:val="center"/>
          </w:tcPr>
          <w:p w14:paraId="3E9845F5">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564" w:type="pct"/>
            <w:vAlign w:val="center"/>
          </w:tcPr>
          <w:p w14:paraId="4E0F4A34">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品质专员</w:t>
            </w:r>
          </w:p>
        </w:tc>
        <w:tc>
          <w:tcPr>
            <w:tcW w:w="854" w:type="pct"/>
            <w:vAlign w:val="center"/>
          </w:tcPr>
          <w:p w14:paraId="7CDA88C2">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w:t>
            </w:r>
          </w:p>
        </w:tc>
        <w:tc>
          <w:tcPr>
            <w:tcW w:w="1124" w:type="pct"/>
            <w:vAlign w:val="center"/>
          </w:tcPr>
          <w:p w14:paraId="62CD4FDB">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824" w:type="pct"/>
            <w:vAlign w:val="center"/>
          </w:tcPr>
          <w:p w14:paraId="54EBED8A">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bCs/>
                <w:color w:val="auto"/>
                <w:szCs w:val="21"/>
                <w:lang w:val="en-US" w:eastAsia="zh-CN" w:bidi="ar"/>
              </w:rPr>
              <w:t>22</w:t>
            </w:r>
            <w:r>
              <w:rPr>
                <w:rFonts w:hint="eastAsia" w:ascii="宋体" w:hAnsi="宋体" w:eastAsia="宋体" w:cs="宋体"/>
                <w:bCs/>
                <w:color w:val="auto"/>
                <w:szCs w:val="21"/>
                <w:lang w:bidi="ar"/>
              </w:rPr>
              <w:t>个月</w:t>
            </w:r>
          </w:p>
        </w:tc>
        <w:tc>
          <w:tcPr>
            <w:tcW w:w="708" w:type="pct"/>
            <w:vAlign w:val="center"/>
          </w:tcPr>
          <w:p w14:paraId="4F947AD8">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r>
      <w:tr w14:paraId="2E400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5" w:type="pct"/>
            <w:vMerge w:val="restart"/>
            <w:tcBorders>
              <w:bottom w:val="nil"/>
            </w:tcBorders>
            <w:vAlign w:val="center"/>
          </w:tcPr>
          <w:p w14:paraId="1042B90E">
            <w:pPr>
              <w:pStyle w:val="212"/>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89" w:type="pct"/>
            <w:vMerge w:val="restart"/>
            <w:tcBorders>
              <w:bottom w:val="nil"/>
            </w:tcBorders>
            <w:vAlign w:val="center"/>
          </w:tcPr>
          <w:p w14:paraId="38CB1B1D">
            <w:pPr>
              <w:pStyle w:val="212"/>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3"/>
                <w:sz w:val="21"/>
                <w:szCs w:val="21"/>
              </w:rPr>
              <w:t>安保</w:t>
            </w:r>
          </w:p>
        </w:tc>
        <w:tc>
          <w:tcPr>
            <w:tcW w:w="564" w:type="pct"/>
            <w:vAlign w:val="center"/>
          </w:tcPr>
          <w:p w14:paraId="6B067D67">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安保负责人</w:t>
            </w:r>
          </w:p>
        </w:tc>
        <w:tc>
          <w:tcPr>
            <w:tcW w:w="854" w:type="pct"/>
            <w:vAlign w:val="center"/>
          </w:tcPr>
          <w:p w14:paraId="3178B5C3">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w:t>
            </w:r>
          </w:p>
        </w:tc>
        <w:tc>
          <w:tcPr>
            <w:tcW w:w="1124" w:type="pct"/>
            <w:vAlign w:val="center"/>
          </w:tcPr>
          <w:p w14:paraId="601ECCE7">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824" w:type="pct"/>
            <w:vAlign w:val="center"/>
          </w:tcPr>
          <w:p w14:paraId="1ED8F28E">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bCs/>
                <w:color w:val="auto"/>
                <w:szCs w:val="21"/>
                <w:lang w:val="en-US" w:eastAsia="zh-CN" w:bidi="ar"/>
              </w:rPr>
              <w:t>22</w:t>
            </w:r>
            <w:r>
              <w:rPr>
                <w:rFonts w:hint="eastAsia" w:ascii="宋体" w:hAnsi="宋体" w:eastAsia="宋体" w:cs="宋体"/>
                <w:bCs/>
                <w:color w:val="auto"/>
                <w:szCs w:val="21"/>
                <w:lang w:bidi="ar"/>
              </w:rPr>
              <w:t>个月</w:t>
            </w:r>
          </w:p>
        </w:tc>
        <w:tc>
          <w:tcPr>
            <w:tcW w:w="708" w:type="pct"/>
            <w:vAlign w:val="center"/>
          </w:tcPr>
          <w:p w14:paraId="0A31D3F2">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r>
      <w:tr w14:paraId="1A8F3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5" w:type="pct"/>
            <w:vMerge w:val="continue"/>
            <w:tcBorders>
              <w:top w:val="nil"/>
              <w:bottom w:val="nil"/>
            </w:tcBorders>
            <w:vAlign w:val="center"/>
          </w:tcPr>
          <w:p w14:paraId="56479C3C">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589" w:type="pct"/>
            <w:vMerge w:val="continue"/>
            <w:tcBorders>
              <w:top w:val="nil"/>
              <w:bottom w:val="nil"/>
            </w:tcBorders>
            <w:vAlign w:val="center"/>
          </w:tcPr>
          <w:p w14:paraId="43C5B634">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564" w:type="pct"/>
            <w:vAlign w:val="center"/>
          </w:tcPr>
          <w:p w14:paraId="2610F095">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安全领班</w:t>
            </w:r>
          </w:p>
        </w:tc>
        <w:tc>
          <w:tcPr>
            <w:tcW w:w="854" w:type="pct"/>
            <w:vAlign w:val="center"/>
          </w:tcPr>
          <w:p w14:paraId="70247FCB">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w:t>
            </w:r>
          </w:p>
        </w:tc>
        <w:tc>
          <w:tcPr>
            <w:tcW w:w="1124" w:type="pct"/>
            <w:vAlign w:val="center"/>
          </w:tcPr>
          <w:p w14:paraId="765987D6">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824" w:type="pct"/>
            <w:vAlign w:val="center"/>
          </w:tcPr>
          <w:p w14:paraId="16908D15">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bCs/>
                <w:color w:val="auto"/>
                <w:szCs w:val="21"/>
                <w:lang w:val="en-US" w:eastAsia="zh-CN" w:bidi="ar"/>
              </w:rPr>
              <w:t>22</w:t>
            </w:r>
            <w:r>
              <w:rPr>
                <w:rFonts w:hint="eastAsia" w:ascii="宋体" w:hAnsi="宋体" w:eastAsia="宋体" w:cs="宋体"/>
                <w:bCs/>
                <w:color w:val="auto"/>
                <w:szCs w:val="21"/>
                <w:lang w:bidi="ar"/>
              </w:rPr>
              <w:t>个月</w:t>
            </w:r>
          </w:p>
        </w:tc>
        <w:tc>
          <w:tcPr>
            <w:tcW w:w="708" w:type="pct"/>
            <w:vAlign w:val="center"/>
          </w:tcPr>
          <w:p w14:paraId="000EAE64">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r>
      <w:tr w14:paraId="04DB7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5" w:type="pct"/>
            <w:vMerge w:val="continue"/>
            <w:tcBorders>
              <w:top w:val="nil"/>
            </w:tcBorders>
            <w:vAlign w:val="center"/>
          </w:tcPr>
          <w:p w14:paraId="1AC73E63">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589" w:type="pct"/>
            <w:vMerge w:val="continue"/>
            <w:tcBorders>
              <w:top w:val="nil"/>
            </w:tcBorders>
            <w:vAlign w:val="center"/>
          </w:tcPr>
          <w:p w14:paraId="759CF236">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564" w:type="pct"/>
            <w:vAlign w:val="center"/>
          </w:tcPr>
          <w:p w14:paraId="79DD8935">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安保员</w:t>
            </w:r>
          </w:p>
        </w:tc>
        <w:tc>
          <w:tcPr>
            <w:tcW w:w="854" w:type="pct"/>
            <w:vAlign w:val="center"/>
          </w:tcPr>
          <w:p w14:paraId="74AC1D47">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15</w:t>
            </w:r>
          </w:p>
        </w:tc>
        <w:tc>
          <w:tcPr>
            <w:tcW w:w="1124" w:type="pct"/>
            <w:vAlign w:val="center"/>
          </w:tcPr>
          <w:p w14:paraId="6E019302">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824" w:type="pct"/>
            <w:vAlign w:val="center"/>
          </w:tcPr>
          <w:p w14:paraId="55030DF3">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bCs/>
                <w:color w:val="auto"/>
                <w:szCs w:val="21"/>
                <w:lang w:val="en-US" w:eastAsia="zh-CN" w:bidi="ar"/>
              </w:rPr>
              <w:t>22</w:t>
            </w:r>
            <w:r>
              <w:rPr>
                <w:rFonts w:hint="eastAsia" w:ascii="宋体" w:hAnsi="宋体" w:eastAsia="宋体" w:cs="宋体"/>
                <w:bCs/>
                <w:color w:val="auto"/>
                <w:szCs w:val="21"/>
                <w:lang w:bidi="ar"/>
              </w:rPr>
              <w:t>个月</w:t>
            </w:r>
          </w:p>
        </w:tc>
        <w:tc>
          <w:tcPr>
            <w:tcW w:w="708" w:type="pct"/>
            <w:vAlign w:val="center"/>
          </w:tcPr>
          <w:p w14:paraId="1A1F52D2">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r>
      <w:tr w14:paraId="7F8BD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jc w:val="center"/>
        </w:trPr>
        <w:tc>
          <w:tcPr>
            <w:tcW w:w="335" w:type="pct"/>
            <w:vMerge w:val="restart"/>
            <w:tcBorders>
              <w:bottom w:val="nil"/>
            </w:tcBorders>
            <w:vAlign w:val="center"/>
          </w:tcPr>
          <w:p w14:paraId="795CC8CA">
            <w:pPr>
              <w:pStyle w:val="212"/>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589" w:type="pct"/>
            <w:vMerge w:val="restart"/>
            <w:tcBorders>
              <w:bottom w:val="nil"/>
            </w:tcBorders>
            <w:vAlign w:val="center"/>
          </w:tcPr>
          <w:p w14:paraId="60ACAF5D">
            <w:pPr>
              <w:pStyle w:val="212"/>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3"/>
                <w:sz w:val="21"/>
                <w:szCs w:val="21"/>
              </w:rPr>
              <w:t>环境</w:t>
            </w:r>
          </w:p>
        </w:tc>
        <w:tc>
          <w:tcPr>
            <w:tcW w:w="564" w:type="pct"/>
            <w:vAlign w:val="center"/>
          </w:tcPr>
          <w:p w14:paraId="44F7F06A">
            <w:pPr>
              <w:adjustRightInd w:val="0"/>
              <w:snapToGrid w:val="0"/>
              <w:spacing w:line="240" w:lineRule="atLeast"/>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b w:val="0"/>
                <w:bCs w:val="0"/>
                <w:color w:val="auto"/>
                <w:kern w:val="2"/>
                <w:sz w:val="21"/>
                <w:szCs w:val="21"/>
                <w:highlight w:val="none"/>
                <w:lang w:eastAsia="zh-CN" w:bidi="ar-SA"/>
              </w:rPr>
              <w:t>环境负责人</w:t>
            </w:r>
          </w:p>
        </w:tc>
        <w:tc>
          <w:tcPr>
            <w:tcW w:w="854" w:type="pct"/>
            <w:vAlign w:val="center"/>
          </w:tcPr>
          <w:p w14:paraId="02684291">
            <w:pPr>
              <w:adjustRightInd w:val="0"/>
              <w:snapToGrid w:val="0"/>
              <w:spacing w:line="240" w:lineRule="atLeast"/>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b w:val="0"/>
                <w:bCs w:val="0"/>
                <w:color w:val="auto"/>
                <w:kern w:val="2"/>
                <w:sz w:val="21"/>
                <w:szCs w:val="21"/>
                <w:highlight w:val="none"/>
                <w:lang w:eastAsia="zh-CN" w:bidi="ar-SA"/>
              </w:rPr>
              <w:t>1</w:t>
            </w:r>
          </w:p>
        </w:tc>
        <w:tc>
          <w:tcPr>
            <w:tcW w:w="1124" w:type="pct"/>
            <w:vAlign w:val="center"/>
          </w:tcPr>
          <w:p w14:paraId="121D5B3C">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824" w:type="pct"/>
            <w:vAlign w:val="center"/>
          </w:tcPr>
          <w:p w14:paraId="4CDF5DEE">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bCs/>
                <w:color w:val="auto"/>
                <w:szCs w:val="21"/>
                <w:lang w:val="en-US" w:eastAsia="zh-CN" w:bidi="ar"/>
              </w:rPr>
              <w:t>22</w:t>
            </w:r>
            <w:r>
              <w:rPr>
                <w:rFonts w:hint="eastAsia" w:ascii="宋体" w:hAnsi="宋体" w:eastAsia="宋体" w:cs="宋体"/>
                <w:bCs/>
                <w:color w:val="auto"/>
                <w:szCs w:val="21"/>
                <w:lang w:bidi="ar"/>
              </w:rPr>
              <w:t>个月</w:t>
            </w:r>
          </w:p>
        </w:tc>
        <w:tc>
          <w:tcPr>
            <w:tcW w:w="708" w:type="pct"/>
            <w:vAlign w:val="center"/>
          </w:tcPr>
          <w:p w14:paraId="6314E009">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r>
      <w:tr w14:paraId="3F66E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5" w:type="pct"/>
            <w:vMerge w:val="continue"/>
            <w:tcBorders>
              <w:top w:val="nil"/>
              <w:bottom w:val="nil"/>
            </w:tcBorders>
            <w:vAlign w:val="center"/>
          </w:tcPr>
          <w:p w14:paraId="2033EC76">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589" w:type="pct"/>
            <w:vMerge w:val="continue"/>
            <w:tcBorders>
              <w:top w:val="nil"/>
              <w:bottom w:val="nil"/>
            </w:tcBorders>
            <w:vAlign w:val="center"/>
          </w:tcPr>
          <w:p w14:paraId="344335C7">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564" w:type="pct"/>
            <w:vAlign w:val="center"/>
          </w:tcPr>
          <w:p w14:paraId="3E11EAF5">
            <w:pPr>
              <w:adjustRightInd w:val="0"/>
              <w:snapToGrid w:val="0"/>
              <w:spacing w:line="240" w:lineRule="atLeast"/>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b w:val="0"/>
                <w:bCs w:val="0"/>
                <w:color w:val="auto"/>
                <w:kern w:val="2"/>
                <w:sz w:val="21"/>
                <w:szCs w:val="21"/>
                <w:highlight w:val="none"/>
                <w:lang w:eastAsia="zh-CN" w:bidi="ar-SA"/>
              </w:rPr>
              <w:t>保洁员</w:t>
            </w:r>
          </w:p>
        </w:tc>
        <w:tc>
          <w:tcPr>
            <w:tcW w:w="854" w:type="pct"/>
            <w:vAlign w:val="center"/>
          </w:tcPr>
          <w:p w14:paraId="03D9B13E">
            <w:pPr>
              <w:adjustRightInd w:val="0"/>
              <w:snapToGrid w:val="0"/>
              <w:spacing w:line="240" w:lineRule="atLeast"/>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b w:val="0"/>
                <w:bCs w:val="0"/>
                <w:color w:val="auto"/>
                <w:kern w:val="2"/>
                <w:sz w:val="21"/>
                <w:szCs w:val="21"/>
                <w:highlight w:val="none"/>
                <w:lang w:val="en-US" w:eastAsia="zh-CN" w:bidi="ar-SA"/>
              </w:rPr>
              <w:t>30</w:t>
            </w:r>
          </w:p>
        </w:tc>
        <w:tc>
          <w:tcPr>
            <w:tcW w:w="1124" w:type="pct"/>
            <w:vAlign w:val="center"/>
          </w:tcPr>
          <w:p w14:paraId="1E4FF345">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824" w:type="pct"/>
            <w:vAlign w:val="center"/>
          </w:tcPr>
          <w:p w14:paraId="47E1C977">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bCs/>
                <w:color w:val="auto"/>
                <w:szCs w:val="21"/>
                <w:lang w:val="en-US" w:eastAsia="zh-CN" w:bidi="ar"/>
              </w:rPr>
              <w:t>22</w:t>
            </w:r>
            <w:r>
              <w:rPr>
                <w:rFonts w:hint="eastAsia" w:ascii="宋体" w:hAnsi="宋体" w:eastAsia="宋体" w:cs="宋体"/>
                <w:bCs/>
                <w:color w:val="auto"/>
                <w:szCs w:val="21"/>
                <w:lang w:bidi="ar"/>
              </w:rPr>
              <w:t>个月</w:t>
            </w:r>
          </w:p>
        </w:tc>
        <w:tc>
          <w:tcPr>
            <w:tcW w:w="708" w:type="pct"/>
            <w:vAlign w:val="center"/>
          </w:tcPr>
          <w:p w14:paraId="5BCCCABC">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r>
      <w:tr w14:paraId="6226B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5" w:type="pct"/>
            <w:vMerge w:val="continue"/>
            <w:tcBorders>
              <w:top w:val="nil"/>
            </w:tcBorders>
            <w:vAlign w:val="center"/>
          </w:tcPr>
          <w:p w14:paraId="1D13F0A5">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589" w:type="pct"/>
            <w:vMerge w:val="continue"/>
            <w:tcBorders>
              <w:top w:val="nil"/>
            </w:tcBorders>
            <w:vAlign w:val="center"/>
          </w:tcPr>
          <w:p w14:paraId="49C71F3D">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564" w:type="pct"/>
            <w:vAlign w:val="center"/>
          </w:tcPr>
          <w:p w14:paraId="52938619">
            <w:pPr>
              <w:adjustRightInd w:val="0"/>
              <w:snapToGrid w:val="0"/>
              <w:spacing w:line="240" w:lineRule="atLeast"/>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b w:val="0"/>
                <w:bCs w:val="0"/>
                <w:color w:val="auto"/>
                <w:kern w:val="2"/>
                <w:sz w:val="21"/>
                <w:szCs w:val="21"/>
                <w:highlight w:val="none"/>
                <w:lang w:eastAsia="zh-CN" w:bidi="ar-SA"/>
              </w:rPr>
              <w:t>绿化养护</w:t>
            </w:r>
          </w:p>
        </w:tc>
        <w:tc>
          <w:tcPr>
            <w:tcW w:w="854" w:type="pct"/>
            <w:vAlign w:val="center"/>
          </w:tcPr>
          <w:p w14:paraId="09FE0EB7">
            <w:pPr>
              <w:adjustRightInd w:val="0"/>
              <w:snapToGrid w:val="0"/>
              <w:spacing w:line="240" w:lineRule="atLeast"/>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b w:val="0"/>
                <w:bCs w:val="0"/>
                <w:color w:val="auto"/>
                <w:kern w:val="2"/>
                <w:sz w:val="21"/>
                <w:szCs w:val="21"/>
                <w:highlight w:val="none"/>
                <w:lang w:eastAsia="zh-CN" w:bidi="ar-SA"/>
              </w:rPr>
              <w:t>1</w:t>
            </w:r>
          </w:p>
        </w:tc>
        <w:tc>
          <w:tcPr>
            <w:tcW w:w="1124" w:type="pct"/>
            <w:vAlign w:val="center"/>
          </w:tcPr>
          <w:p w14:paraId="66CC3860">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824" w:type="pct"/>
            <w:vAlign w:val="center"/>
          </w:tcPr>
          <w:p w14:paraId="634E70D1">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bCs/>
                <w:color w:val="auto"/>
                <w:szCs w:val="21"/>
                <w:lang w:val="en-US" w:eastAsia="zh-CN" w:bidi="ar"/>
              </w:rPr>
              <w:t>22</w:t>
            </w:r>
            <w:r>
              <w:rPr>
                <w:rFonts w:hint="eastAsia" w:ascii="宋体" w:hAnsi="宋体" w:eastAsia="宋体" w:cs="宋体"/>
                <w:bCs/>
                <w:color w:val="auto"/>
                <w:szCs w:val="21"/>
                <w:lang w:bidi="ar"/>
              </w:rPr>
              <w:t>个月</w:t>
            </w:r>
          </w:p>
        </w:tc>
        <w:tc>
          <w:tcPr>
            <w:tcW w:w="708" w:type="pct"/>
            <w:vAlign w:val="center"/>
          </w:tcPr>
          <w:p w14:paraId="5CCB9A37">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r>
      <w:tr w14:paraId="1595C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5" w:type="pct"/>
            <w:vMerge w:val="restart"/>
            <w:tcBorders>
              <w:bottom w:val="nil"/>
            </w:tcBorders>
            <w:vAlign w:val="center"/>
          </w:tcPr>
          <w:p w14:paraId="6B5BC423">
            <w:pPr>
              <w:pStyle w:val="212"/>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589" w:type="pct"/>
            <w:vMerge w:val="restart"/>
            <w:tcBorders>
              <w:bottom w:val="nil"/>
            </w:tcBorders>
            <w:vAlign w:val="center"/>
          </w:tcPr>
          <w:p w14:paraId="3A10F5C0">
            <w:pPr>
              <w:pStyle w:val="212"/>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3"/>
                <w:sz w:val="21"/>
                <w:szCs w:val="21"/>
              </w:rPr>
              <w:t>客服</w:t>
            </w:r>
          </w:p>
        </w:tc>
        <w:tc>
          <w:tcPr>
            <w:tcW w:w="564" w:type="pct"/>
            <w:vAlign w:val="center"/>
          </w:tcPr>
          <w:p w14:paraId="0A792BDD">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客服负责人</w:t>
            </w:r>
          </w:p>
        </w:tc>
        <w:tc>
          <w:tcPr>
            <w:tcW w:w="854" w:type="pct"/>
            <w:vAlign w:val="center"/>
          </w:tcPr>
          <w:p w14:paraId="54A27252">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w:t>
            </w:r>
          </w:p>
        </w:tc>
        <w:tc>
          <w:tcPr>
            <w:tcW w:w="1124" w:type="pct"/>
            <w:vAlign w:val="center"/>
          </w:tcPr>
          <w:p w14:paraId="1AC5B8C0">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824" w:type="pct"/>
            <w:vAlign w:val="center"/>
          </w:tcPr>
          <w:p w14:paraId="67939CFC">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bCs/>
                <w:color w:val="auto"/>
                <w:szCs w:val="21"/>
                <w:lang w:val="en-US" w:eastAsia="zh-CN" w:bidi="ar"/>
              </w:rPr>
              <w:t>22</w:t>
            </w:r>
            <w:r>
              <w:rPr>
                <w:rFonts w:hint="eastAsia" w:ascii="宋体" w:hAnsi="宋体" w:eastAsia="宋体" w:cs="宋体"/>
                <w:bCs/>
                <w:color w:val="auto"/>
                <w:szCs w:val="21"/>
                <w:lang w:bidi="ar"/>
              </w:rPr>
              <w:t>个月</w:t>
            </w:r>
          </w:p>
        </w:tc>
        <w:tc>
          <w:tcPr>
            <w:tcW w:w="708" w:type="pct"/>
            <w:vAlign w:val="center"/>
          </w:tcPr>
          <w:p w14:paraId="767A4B2C">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r>
      <w:tr w14:paraId="3462D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5" w:type="pct"/>
            <w:vMerge w:val="continue"/>
            <w:tcBorders>
              <w:top w:val="nil"/>
            </w:tcBorders>
            <w:vAlign w:val="center"/>
          </w:tcPr>
          <w:p w14:paraId="14145ACA">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589" w:type="pct"/>
            <w:vMerge w:val="continue"/>
            <w:tcBorders>
              <w:top w:val="nil"/>
            </w:tcBorders>
            <w:vAlign w:val="center"/>
          </w:tcPr>
          <w:p w14:paraId="20C80518">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564" w:type="pct"/>
            <w:vAlign w:val="center"/>
          </w:tcPr>
          <w:p w14:paraId="51929EA9">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大堂客服</w:t>
            </w:r>
          </w:p>
        </w:tc>
        <w:tc>
          <w:tcPr>
            <w:tcW w:w="854" w:type="pct"/>
            <w:vAlign w:val="center"/>
          </w:tcPr>
          <w:p w14:paraId="2F943E32">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4</w:t>
            </w:r>
          </w:p>
        </w:tc>
        <w:tc>
          <w:tcPr>
            <w:tcW w:w="1124" w:type="pct"/>
            <w:vAlign w:val="center"/>
          </w:tcPr>
          <w:p w14:paraId="5B796D29">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824" w:type="pct"/>
            <w:vAlign w:val="center"/>
          </w:tcPr>
          <w:p w14:paraId="3415C01B">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bCs/>
                <w:color w:val="auto"/>
                <w:szCs w:val="21"/>
                <w:lang w:val="en-US" w:eastAsia="zh-CN" w:bidi="ar"/>
              </w:rPr>
              <w:t>22</w:t>
            </w:r>
            <w:r>
              <w:rPr>
                <w:rFonts w:hint="eastAsia" w:ascii="宋体" w:hAnsi="宋体" w:eastAsia="宋体" w:cs="宋体"/>
                <w:bCs/>
                <w:color w:val="auto"/>
                <w:szCs w:val="21"/>
                <w:lang w:bidi="ar"/>
              </w:rPr>
              <w:t>个月</w:t>
            </w:r>
          </w:p>
        </w:tc>
        <w:tc>
          <w:tcPr>
            <w:tcW w:w="708" w:type="pct"/>
            <w:vAlign w:val="center"/>
          </w:tcPr>
          <w:p w14:paraId="5E257C3C">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r>
      <w:tr w14:paraId="5A7A1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5" w:type="pct"/>
            <w:vMerge w:val="restart"/>
            <w:tcBorders>
              <w:bottom w:val="nil"/>
            </w:tcBorders>
            <w:vAlign w:val="center"/>
          </w:tcPr>
          <w:p w14:paraId="2B9D1C37">
            <w:pPr>
              <w:pStyle w:val="212"/>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589" w:type="pct"/>
            <w:vMerge w:val="restart"/>
            <w:tcBorders>
              <w:bottom w:val="nil"/>
            </w:tcBorders>
            <w:vAlign w:val="center"/>
          </w:tcPr>
          <w:p w14:paraId="1AC133D9">
            <w:pPr>
              <w:pStyle w:val="212"/>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3"/>
                <w:sz w:val="21"/>
                <w:szCs w:val="21"/>
              </w:rPr>
              <w:t>工程</w:t>
            </w:r>
          </w:p>
        </w:tc>
        <w:tc>
          <w:tcPr>
            <w:tcW w:w="564" w:type="pct"/>
            <w:vAlign w:val="center"/>
          </w:tcPr>
          <w:p w14:paraId="0EC2E8EE">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工程负责人</w:t>
            </w:r>
          </w:p>
        </w:tc>
        <w:tc>
          <w:tcPr>
            <w:tcW w:w="854" w:type="pct"/>
            <w:vAlign w:val="center"/>
          </w:tcPr>
          <w:p w14:paraId="406DB05C">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w:t>
            </w:r>
          </w:p>
        </w:tc>
        <w:tc>
          <w:tcPr>
            <w:tcW w:w="1124" w:type="pct"/>
            <w:vAlign w:val="center"/>
          </w:tcPr>
          <w:p w14:paraId="060AB93E">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824" w:type="pct"/>
            <w:vAlign w:val="center"/>
          </w:tcPr>
          <w:p w14:paraId="022EB623">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bCs/>
                <w:color w:val="auto"/>
                <w:szCs w:val="21"/>
                <w:lang w:val="en-US" w:eastAsia="zh-CN" w:bidi="ar"/>
              </w:rPr>
              <w:t>22</w:t>
            </w:r>
            <w:r>
              <w:rPr>
                <w:rFonts w:hint="eastAsia" w:ascii="宋体" w:hAnsi="宋体" w:eastAsia="宋体" w:cs="宋体"/>
                <w:bCs/>
                <w:color w:val="auto"/>
                <w:szCs w:val="21"/>
                <w:lang w:bidi="ar"/>
              </w:rPr>
              <w:t>个月</w:t>
            </w:r>
          </w:p>
        </w:tc>
        <w:tc>
          <w:tcPr>
            <w:tcW w:w="708" w:type="pct"/>
            <w:vAlign w:val="center"/>
          </w:tcPr>
          <w:p w14:paraId="013AC823">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r>
      <w:tr w14:paraId="5BBD4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5" w:type="pct"/>
            <w:vMerge w:val="continue"/>
            <w:vAlign w:val="center"/>
          </w:tcPr>
          <w:p w14:paraId="7B52F57E">
            <w:pPr>
              <w:pStyle w:val="212"/>
              <w:keepNext w:val="0"/>
              <w:keepLines w:val="0"/>
              <w:pageBreakBefore w:val="0"/>
              <w:widowControl w:val="0"/>
              <w:kinsoku/>
              <w:wordWrap/>
              <w:overflowPunct/>
              <w:topLinePunct w:val="0"/>
              <w:autoSpaceDE/>
              <w:autoSpaceDN/>
              <w:bidi w:val="0"/>
              <w:spacing w:line="240" w:lineRule="auto"/>
              <w:ind w:left="254"/>
              <w:jc w:val="center"/>
              <w:textAlignment w:val="auto"/>
              <w:rPr>
                <w:rFonts w:hint="eastAsia" w:ascii="宋体" w:hAnsi="宋体" w:eastAsia="宋体" w:cs="宋体"/>
                <w:color w:val="auto"/>
                <w:sz w:val="21"/>
                <w:szCs w:val="21"/>
              </w:rPr>
            </w:pPr>
          </w:p>
        </w:tc>
        <w:tc>
          <w:tcPr>
            <w:tcW w:w="589" w:type="pct"/>
            <w:vMerge w:val="continue"/>
            <w:vAlign w:val="center"/>
          </w:tcPr>
          <w:p w14:paraId="37D399AD">
            <w:pPr>
              <w:pStyle w:val="212"/>
              <w:keepNext w:val="0"/>
              <w:keepLines w:val="0"/>
              <w:pageBreakBefore w:val="0"/>
              <w:widowControl w:val="0"/>
              <w:kinsoku/>
              <w:wordWrap/>
              <w:overflowPunct/>
              <w:topLinePunct w:val="0"/>
              <w:autoSpaceDE/>
              <w:autoSpaceDN/>
              <w:bidi w:val="0"/>
              <w:spacing w:line="240" w:lineRule="auto"/>
              <w:ind w:left="320"/>
              <w:jc w:val="center"/>
              <w:textAlignment w:val="auto"/>
              <w:rPr>
                <w:rFonts w:hint="eastAsia" w:ascii="宋体" w:hAnsi="宋体" w:eastAsia="宋体" w:cs="宋体"/>
                <w:color w:val="auto"/>
                <w:spacing w:val="-3"/>
                <w:sz w:val="21"/>
                <w:szCs w:val="21"/>
              </w:rPr>
            </w:pPr>
          </w:p>
        </w:tc>
        <w:tc>
          <w:tcPr>
            <w:tcW w:w="564" w:type="pct"/>
            <w:vAlign w:val="center"/>
          </w:tcPr>
          <w:p w14:paraId="3538024B">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工程主管</w:t>
            </w:r>
          </w:p>
        </w:tc>
        <w:tc>
          <w:tcPr>
            <w:tcW w:w="854" w:type="pct"/>
            <w:vAlign w:val="center"/>
          </w:tcPr>
          <w:p w14:paraId="5D006FEA">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1</w:t>
            </w:r>
          </w:p>
        </w:tc>
        <w:tc>
          <w:tcPr>
            <w:tcW w:w="1124" w:type="pct"/>
            <w:vAlign w:val="center"/>
          </w:tcPr>
          <w:p w14:paraId="18E74559">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824" w:type="pct"/>
            <w:vAlign w:val="center"/>
          </w:tcPr>
          <w:p w14:paraId="064493E4">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pacing w:val="11"/>
                <w:sz w:val="21"/>
                <w:szCs w:val="21"/>
              </w:rPr>
            </w:pPr>
            <w:r>
              <w:rPr>
                <w:rFonts w:hint="eastAsia" w:ascii="宋体" w:hAnsi="宋体" w:eastAsia="宋体" w:cs="宋体"/>
                <w:bCs/>
                <w:color w:val="auto"/>
                <w:szCs w:val="21"/>
                <w:lang w:val="en-US" w:eastAsia="zh-CN" w:bidi="ar"/>
              </w:rPr>
              <w:t>22</w:t>
            </w:r>
            <w:r>
              <w:rPr>
                <w:rFonts w:hint="eastAsia" w:ascii="宋体" w:hAnsi="宋体" w:eastAsia="宋体" w:cs="宋体"/>
                <w:bCs/>
                <w:color w:val="auto"/>
                <w:szCs w:val="21"/>
                <w:lang w:bidi="ar"/>
              </w:rPr>
              <w:t>个月</w:t>
            </w:r>
          </w:p>
        </w:tc>
        <w:tc>
          <w:tcPr>
            <w:tcW w:w="708" w:type="pct"/>
            <w:vAlign w:val="center"/>
          </w:tcPr>
          <w:p w14:paraId="161A3860">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r>
      <w:tr w14:paraId="19E4F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5" w:type="pct"/>
            <w:vMerge w:val="continue"/>
            <w:tcBorders>
              <w:top w:val="nil"/>
            </w:tcBorders>
            <w:vAlign w:val="center"/>
          </w:tcPr>
          <w:p w14:paraId="44388439">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589" w:type="pct"/>
            <w:vMerge w:val="continue"/>
            <w:tcBorders>
              <w:top w:val="nil"/>
            </w:tcBorders>
            <w:vAlign w:val="center"/>
          </w:tcPr>
          <w:p w14:paraId="2AA03263">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564" w:type="pct"/>
            <w:vAlign w:val="center"/>
          </w:tcPr>
          <w:p w14:paraId="1E74979E">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工程管理人员</w:t>
            </w:r>
          </w:p>
        </w:tc>
        <w:tc>
          <w:tcPr>
            <w:tcW w:w="854" w:type="pct"/>
            <w:vAlign w:val="center"/>
          </w:tcPr>
          <w:p w14:paraId="5D27D377">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5</w:t>
            </w:r>
          </w:p>
        </w:tc>
        <w:tc>
          <w:tcPr>
            <w:tcW w:w="1124" w:type="pct"/>
            <w:vAlign w:val="center"/>
          </w:tcPr>
          <w:p w14:paraId="3E1FAEDE">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824" w:type="pct"/>
            <w:vAlign w:val="center"/>
          </w:tcPr>
          <w:p w14:paraId="243D4951">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bCs/>
                <w:color w:val="auto"/>
                <w:szCs w:val="21"/>
                <w:lang w:val="en-US" w:eastAsia="zh-CN" w:bidi="ar"/>
              </w:rPr>
              <w:t>22</w:t>
            </w:r>
            <w:r>
              <w:rPr>
                <w:rFonts w:hint="eastAsia" w:ascii="宋体" w:hAnsi="宋体" w:eastAsia="宋体" w:cs="宋体"/>
                <w:bCs/>
                <w:color w:val="auto"/>
                <w:szCs w:val="21"/>
                <w:lang w:bidi="ar"/>
              </w:rPr>
              <w:t>个月</w:t>
            </w:r>
          </w:p>
        </w:tc>
        <w:tc>
          <w:tcPr>
            <w:tcW w:w="708" w:type="pct"/>
            <w:vAlign w:val="center"/>
          </w:tcPr>
          <w:p w14:paraId="04B6245D">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r>
      <w:tr w14:paraId="4FFFE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42" w:type="pct"/>
            <w:gridSpan w:val="4"/>
            <w:vAlign w:val="center"/>
          </w:tcPr>
          <w:p w14:paraId="05E0F8D3">
            <w:pPr>
              <w:pStyle w:val="212"/>
              <w:keepNext w:val="0"/>
              <w:keepLines w:val="0"/>
              <w:pageBreakBefore w:val="0"/>
              <w:widowControl w:val="0"/>
              <w:kinsoku/>
              <w:wordWrap/>
              <w:overflowPunct/>
              <w:topLinePunct w:val="0"/>
              <w:autoSpaceDE/>
              <w:autoSpaceDN/>
              <w:bidi w:val="0"/>
              <w:spacing w:line="240" w:lineRule="auto"/>
              <w:ind w:left="504"/>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物业管理运营服务人工费用最高限额不含税合计(元)</w:t>
            </w:r>
          </w:p>
        </w:tc>
        <w:tc>
          <w:tcPr>
            <w:tcW w:w="2657" w:type="pct"/>
            <w:gridSpan w:val="3"/>
            <w:vAlign w:val="center"/>
          </w:tcPr>
          <w:p w14:paraId="34FB922A">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r>
    </w:tbl>
    <w:p w14:paraId="22603F7B">
      <w:pPr>
        <w:autoSpaceDE w:val="0"/>
        <w:autoSpaceDN w:val="0"/>
        <w:adjustRightInd w:val="0"/>
        <w:spacing w:line="360" w:lineRule="auto"/>
        <w:jc w:val="left"/>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说明：</w:t>
      </w:r>
    </w:p>
    <w:p w14:paraId="1D682AD9">
      <w:pPr>
        <w:keepNext w:val="0"/>
        <w:keepLines w:val="0"/>
        <w:pageBreakBefore w:val="0"/>
        <w:widowControl w:val="0"/>
        <w:kinsoku/>
        <w:wordWrap/>
        <w:overflowPunct/>
        <w:topLinePunct w:val="0"/>
        <w:autoSpaceDE w:val="0"/>
        <w:autoSpaceDN w:val="0"/>
        <w:bidi w:val="0"/>
        <w:adjustRightInd w:val="0"/>
        <w:spacing w:line="360" w:lineRule="auto"/>
        <w:ind w:left="525" w:leftChars="0" w:hanging="525" w:hangingChars="250"/>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（1）以上投标人应按组织架构人员编制、职务列明不含税人工单价，该不含税人工单价将来作为运营管理不含税人工单价上限。</w:t>
      </w:r>
    </w:p>
    <w:p w14:paraId="0DAB5157">
      <w:pPr>
        <w:keepNext w:val="0"/>
        <w:keepLines w:val="0"/>
        <w:pageBreakBefore w:val="0"/>
        <w:widowControl w:val="0"/>
        <w:kinsoku/>
        <w:wordWrap/>
        <w:overflowPunct/>
        <w:topLinePunct w:val="0"/>
        <w:autoSpaceDE w:val="0"/>
        <w:autoSpaceDN w:val="0"/>
        <w:bidi w:val="0"/>
        <w:adjustRightInd w:val="0"/>
        <w:spacing w:line="360" w:lineRule="auto"/>
        <w:ind w:left="525" w:leftChars="0" w:hanging="525" w:hangingChars="250"/>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en-US"/>
        </w:rPr>
        <w:t>（2）报价保留两位小数。</w:t>
      </w:r>
    </w:p>
    <w:p w14:paraId="6851A2D1">
      <w:pPr>
        <w:autoSpaceDE w:val="0"/>
        <w:autoSpaceDN w:val="0"/>
        <w:adjustRightInd w:val="0"/>
        <w:spacing w:line="360" w:lineRule="auto"/>
        <w:ind w:left="0" w:leftChars="0" w:firstLine="420" w:firstLineChars="200"/>
        <w:jc w:val="right"/>
        <w:outlineLvl w:val="9"/>
        <w:rPr>
          <w:rFonts w:hint="eastAsia" w:ascii="宋体" w:hAnsi="宋体" w:eastAsia="宋体" w:cs="宋体"/>
          <w:color w:val="auto"/>
          <w:kern w:val="0"/>
          <w:szCs w:val="21"/>
          <w:highlight w:val="none"/>
        </w:rPr>
      </w:pPr>
    </w:p>
    <w:p w14:paraId="76B7E270">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4B6DFA5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04880F3B">
      <w:pPr>
        <w:autoSpaceDE w:val="0"/>
        <w:autoSpaceDN w:val="0"/>
        <w:adjustRightInd w:val="0"/>
        <w:spacing w:line="360" w:lineRule="auto"/>
        <w:ind w:firstLine="4960" w:firstLineChars="2362"/>
        <w:rPr>
          <w:rFonts w:hint="eastAsia"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0A7ABEED">
      <w:pPr>
        <w:rPr>
          <w:rFonts w:hint="eastAsia" w:ascii="宋体" w:hAnsi="宋体" w:eastAsia="宋体" w:cs="宋体"/>
          <w:b/>
          <w:color w:val="auto"/>
          <w:kern w:val="44"/>
          <w:sz w:val="32"/>
          <w:szCs w:val="32"/>
          <w:highlight w:val="none"/>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bookmarkEnd w:id="776"/>
    <w:bookmarkEnd w:id="777"/>
    <w:bookmarkEnd w:id="778"/>
    <w:bookmarkEnd w:id="779"/>
    <w:bookmarkEnd w:id="780"/>
    <w:bookmarkEnd w:id="781"/>
    <w:bookmarkEnd w:id="782"/>
    <w:bookmarkEnd w:id="783"/>
    <w:bookmarkEnd w:id="784"/>
    <w:bookmarkEnd w:id="785"/>
    <w:bookmarkEnd w:id="786"/>
    <w:bookmarkEnd w:id="787"/>
    <w:p w14:paraId="1C29C9B2">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1"/>
        <w:rPr>
          <w:rFonts w:hint="eastAsia" w:ascii="宋体" w:hAnsi="宋体" w:eastAsia="宋体" w:cs="宋体"/>
          <w:b/>
          <w:color w:val="auto"/>
          <w:kern w:val="0"/>
          <w:sz w:val="32"/>
          <w:szCs w:val="32"/>
          <w:highlight w:val="none"/>
        </w:rPr>
      </w:pPr>
      <w:bookmarkStart w:id="793" w:name="_Toc142508366"/>
      <w:bookmarkStart w:id="794" w:name="_Toc18346"/>
      <w:bookmarkStart w:id="795" w:name="_Toc94107206"/>
      <w:bookmarkStart w:id="796" w:name="_Toc140596925"/>
      <w:bookmarkStart w:id="797" w:name="_Toc104991872"/>
      <w:bookmarkStart w:id="798" w:name="_Toc13416"/>
      <w:bookmarkStart w:id="799" w:name="_Toc1140"/>
      <w:bookmarkStart w:id="800" w:name="_Toc102860071"/>
      <w:bookmarkStart w:id="801" w:name="_Toc102860415"/>
      <w:bookmarkStart w:id="802" w:name="_Toc21106"/>
      <w:r>
        <w:rPr>
          <w:rFonts w:hint="eastAsia" w:ascii="宋体" w:hAnsi="宋体" w:eastAsia="宋体" w:cs="宋体"/>
          <w:b/>
          <w:color w:val="auto"/>
          <w:kern w:val="0"/>
          <w:sz w:val="32"/>
          <w:szCs w:val="32"/>
          <w:highlight w:val="none"/>
          <w:lang w:val="en-US" w:eastAsia="zh-CN"/>
        </w:rPr>
        <w:t>五</w:t>
      </w:r>
      <w:r>
        <w:rPr>
          <w:rFonts w:hint="eastAsia" w:ascii="宋体" w:hAnsi="宋体" w:eastAsia="宋体" w:cs="宋体"/>
          <w:b/>
          <w:color w:val="auto"/>
          <w:kern w:val="0"/>
          <w:sz w:val="32"/>
          <w:szCs w:val="32"/>
          <w:highlight w:val="none"/>
        </w:rPr>
        <w:t>、</w:t>
      </w:r>
      <w:bookmarkEnd w:id="788"/>
      <w:bookmarkEnd w:id="789"/>
      <w:bookmarkEnd w:id="790"/>
      <w:bookmarkEnd w:id="791"/>
      <w:bookmarkEnd w:id="793"/>
      <w:bookmarkEnd w:id="794"/>
      <w:bookmarkEnd w:id="795"/>
      <w:bookmarkEnd w:id="796"/>
      <w:bookmarkEnd w:id="797"/>
      <w:bookmarkEnd w:id="798"/>
      <w:bookmarkEnd w:id="799"/>
      <w:bookmarkEnd w:id="800"/>
      <w:bookmarkEnd w:id="801"/>
      <w:bookmarkStart w:id="803" w:name="_Toc104991875"/>
      <w:bookmarkStart w:id="804" w:name="_Toc142508369"/>
      <w:bookmarkStart w:id="805" w:name="_Toc1977725"/>
      <w:bookmarkStart w:id="806" w:name="_Toc6190"/>
      <w:bookmarkStart w:id="807" w:name="_Toc94107209"/>
      <w:bookmarkStart w:id="808" w:name="_Toc102860418"/>
      <w:bookmarkStart w:id="809" w:name="_Toc26516"/>
      <w:bookmarkStart w:id="810" w:name="_Toc140596928"/>
      <w:bookmarkStart w:id="811" w:name="_Toc102860074"/>
      <w:bookmarkStart w:id="812" w:name="_Toc23083"/>
      <w:bookmarkStart w:id="813" w:name="_Toc486167712"/>
      <w:bookmarkStart w:id="814" w:name="_Toc533708124"/>
      <w:bookmarkStart w:id="815" w:name="_Toc20759_WPSOffice_Level2"/>
      <w:r>
        <w:rPr>
          <w:rFonts w:hint="eastAsia" w:ascii="宋体" w:hAnsi="宋体" w:eastAsia="宋体" w:cs="宋体"/>
          <w:b/>
          <w:color w:val="auto"/>
          <w:kern w:val="0"/>
          <w:sz w:val="32"/>
          <w:szCs w:val="32"/>
          <w:highlight w:val="none"/>
        </w:rPr>
        <w:t>投标人资格证明文件</w:t>
      </w:r>
      <w:bookmarkEnd w:id="802"/>
      <w:bookmarkEnd w:id="803"/>
      <w:bookmarkEnd w:id="804"/>
      <w:bookmarkEnd w:id="805"/>
      <w:bookmarkEnd w:id="806"/>
      <w:bookmarkEnd w:id="807"/>
      <w:bookmarkEnd w:id="808"/>
      <w:bookmarkEnd w:id="809"/>
      <w:bookmarkEnd w:id="810"/>
      <w:bookmarkEnd w:id="811"/>
      <w:bookmarkEnd w:id="812"/>
    </w:p>
    <w:p w14:paraId="105218FB">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816" w:name="_Toc102860075"/>
      <w:bookmarkStart w:id="817" w:name="_Toc25267"/>
      <w:bookmarkStart w:id="818" w:name="_Toc140596929"/>
      <w:bookmarkStart w:id="819" w:name="_Toc104991876"/>
      <w:bookmarkStart w:id="820" w:name="_Toc29874"/>
      <w:bookmarkStart w:id="821" w:name="_Toc142508370"/>
      <w:bookmarkStart w:id="822" w:name="_Toc17358"/>
      <w:bookmarkStart w:id="823" w:name="_Toc94107210"/>
      <w:bookmarkStart w:id="824" w:name="_Toc102860419"/>
      <w:bookmarkStart w:id="825" w:name="_Toc21361"/>
      <w:bookmarkStart w:id="826"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w:t>
      </w:r>
      <w:bookmarkEnd w:id="816"/>
      <w:bookmarkEnd w:id="817"/>
      <w:bookmarkEnd w:id="818"/>
      <w:bookmarkEnd w:id="819"/>
      <w:bookmarkEnd w:id="820"/>
      <w:bookmarkEnd w:id="821"/>
      <w:bookmarkEnd w:id="822"/>
      <w:bookmarkEnd w:id="823"/>
      <w:bookmarkEnd w:id="824"/>
      <w:r>
        <w:rPr>
          <w:rFonts w:hint="eastAsia" w:ascii="宋体" w:hAnsi="宋体" w:eastAsia="宋体" w:cs="宋体"/>
          <w:b/>
          <w:color w:val="auto"/>
          <w:kern w:val="0"/>
          <w:sz w:val="30"/>
          <w:szCs w:val="30"/>
          <w:highlight w:val="none"/>
        </w:rPr>
        <w:t>原件扫描件</w:t>
      </w:r>
      <w:bookmarkEnd w:id="825"/>
    </w:p>
    <w:p w14:paraId="41CDF9E5">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911A138">
      <w:pPr>
        <w:tabs>
          <w:tab w:val="left" w:pos="567"/>
        </w:tabs>
        <w:autoSpaceDE w:val="0"/>
        <w:autoSpaceDN w:val="0"/>
        <w:adjustRightInd w:val="0"/>
        <w:spacing w:line="360" w:lineRule="auto"/>
        <w:ind w:firstLine="316" w:firstLineChars="150"/>
        <w:jc w:val="left"/>
        <w:outlineLvl w:val="9"/>
        <w:rPr>
          <w:rFonts w:hint="eastAsia" w:ascii="宋体" w:hAnsi="宋体" w:eastAsia="宋体" w:cs="宋体"/>
          <w:b/>
          <w:color w:val="auto"/>
          <w:kern w:val="0"/>
          <w:szCs w:val="21"/>
          <w:highlight w:val="none"/>
        </w:rPr>
        <w:sectPr>
          <w:footerReference r:id="rId12" w:type="default"/>
          <w:pgSz w:w="12240" w:h="15840"/>
          <w:pgMar w:top="1191" w:right="1043" w:bottom="1191" w:left="1043" w:header="720" w:footer="720" w:gutter="0"/>
          <w:pgNumType w:fmt="decimal"/>
          <w:cols w:space="720" w:num="1"/>
          <w:docGrid w:linePitch="326" w:charSpace="0"/>
        </w:sectPr>
      </w:pPr>
    </w:p>
    <w:p w14:paraId="34A7A352">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827" w:name="_Toc102860420"/>
      <w:bookmarkStart w:id="828" w:name="_Toc142508371"/>
      <w:bookmarkStart w:id="829" w:name="_Toc7756"/>
      <w:bookmarkStart w:id="830" w:name="_Toc27861"/>
      <w:bookmarkStart w:id="831" w:name="_Toc140596930"/>
      <w:bookmarkStart w:id="832" w:name="_Toc104991877"/>
      <w:bookmarkStart w:id="833" w:name="_Toc102860076"/>
      <w:bookmarkStart w:id="834" w:name="_Toc94107211"/>
      <w:bookmarkStart w:id="835" w:name="_Toc25013"/>
      <w:bookmarkStart w:id="836" w:name="_Toc7493"/>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.2 </w:t>
      </w:r>
      <w:bookmarkEnd w:id="827"/>
      <w:bookmarkEnd w:id="828"/>
      <w:bookmarkEnd w:id="829"/>
      <w:bookmarkEnd w:id="830"/>
      <w:bookmarkEnd w:id="831"/>
      <w:bookmarkEnd w:id="832"/>
      <w:bookmarkEnd w:id="833"/>
      <w:bookmarkEnd w:id="834"/>
      <w:bookmarkEnd w:id="835"/>
      <w:r>
        <w:rPr>
          <w:rFonts w:hint="eastAsia" w:ascii="宋体" w:hAnsi="宋体" w:eastAsia="宋体" w:cs="宋体"/>
          <w:b/>
          <w:color w:val="auto"/>
          <w:kern w:val="0"/>
          <w:sz w:val="30"/>
          <w:szCs w:val="30"/>
          <w:highlight w:val="none"/>
        </w:rPr>
        <w:t>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bookmarkEnd w:id="836"/>
    </w:p>
    <w:p w14:paraId="027F5823">
      <w:pPr>
        <w:tabs>
          <w:tab w:val="left" w:pos="567"/>
        </w:tabs>
        <w:autoSpaceDE w:val="0"/>
        <w:autoSpaceDN w:val="0"/>
        <w:adjustRightInd w:val="0"/>
        <w:spacing w:line="360" w:lineRule="auto"/>
        <w:jc w:val="left"/>
        <w:outlineLvl w:val="2"/>
        <w:rPr>
          <w:rFonts w:hint="eastAsia" w:ascii="宋体" w:hAnsi="宋体" w:eastAsia="宋体" w:cs="宋体"/>
          <w:b/>
          <w:color w:val="auto"/>
          <w:kern w:val="0"/>
          <w:szCs w:val="21"/>
          <w:highlight w:val="none"/>
        </w:rPr>
      </w:pPr>
      <w:r>
        <w:rPr>
          <w:rFonts w:hint="eastAsia" w:ascii="宋体" w:hAnsi="宋体" w:eastAsia="宋体" w:cs="宋体"/>
          <w:b/>
          <w:color w:val="auto"/>
          <w:kern w:val="0"/>
          <w:sz w:val="30"/>
          <w:szCs w:val="30"/>
          <w:highlight w:val="none"/>
        </w:rPr>
        <w:br w:type="page"/>
      </w:r>
      <w:bookmarkStart w:id="837" w:name="_Toc94107212"/>
      <w:bookmarkStart w:id="838" w:name="_Toc17499"/>
      <w:bookmarkStart w:id="839" w:name="_Toc142508372"/>
      <w:bookmarkStart w:id="840" w:name="_Toc9132"/>
      <w:bookmarkStart w:id="841" w:name="_Toc24579"/>
      <w:bookmarkStart w:id="842" w:name="_Toc102860077"/>
      <w:bookmarkStart w:id="843" w:name="_Toc102860421"/>
      <w:bookmarkStart w:id="844" w:name="_Toc7441"/>
      <w:bookmarkStart w:id="845" w:name="_Toc140596931"/>
      <w:bookmarkStart w:id="846" w:name="_Toc104991878"/>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 法定代表人身份证明书、法定代表人授权书格式（法定代表人投标时只需提供法定代表人身份证明书，委托他人为投标代表或签署投标文件时需同时提供法定代表人授权书）</w:t>
      </w:r>
      <w:bookmarkEnd w:id="837"/>
      <w:bookmarkEnd w:id="838"/>
      <w:bookmarkEnd w:id="839"/>
      <w:bookmarkEnd w:id="840"/>
      <w:bookmarkEnd w:id="841"/>
      <w:bookmarkEnd w:id="842"/>
      <w:bookmarkEnd w:id="843"/>
      <w:bookmarkEnd w:id="844"/>
      <w:bookmarkEnd w:id="845"/>
      <w:bookmarkEnd w:id="846"/>
    </w:p>
    <w:p w14:paraId="3AD08720">
      <w:pPr>
        <w:spacing w:before="120" w:after="120" w:line="360" w:lineRule="auto"/>
        <w:ind w:firstLine="426" w:firstLineChars="202"/>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813"/>
      <w:bookmarkEnd w:id="814"/>
      <w:bookmarkEnd w:id="815"/>
      <w:bookmarkEnd w:id="826"/>
    </w:p>
    <w:p w14:paraId="5DC70641">
      <w:pPr>
        <w:spacing w:before="120" w:after="120" w:line="360" w:lineRule="auto"/>
        <w:ind w:firstLine="608" w:firstLineChars="202"/>
        <w:jc w:val="center"/>
        <w:outlineLvl w:val="9"/>
        <w:rPr>
          <w:rFonts w:hint="eastAsia" w:ascii="宋体" w:hAnsi="宋体" w:eastAsia="宋体" w:cs="宋体"/>
          <w:b/>
          <w:bCs/>
          <w:color w:val="auto"/>
          <w:sz w:val="30"/>
          <w:szCs w:val="30"/>
          <w:highlight w:val="none"/>
        </w:rPr>
      </w:pPr>
      <w:bookmarkStart w:id="847" w:name="_Toc11033_WPSOffice_Level3"/>
      <w:r>
        <w:rPr>
          <w:rFonts w:hint="eastAsia" w:ascii="宋体" w:hAnsi="宋体" w:eastAsia="宋体" w:cs="宋体"/>
          <w:b/>
          <w:color w:val="auto"/>
          <w:sz w:val="30"/>
          <w:szCs w:val="30"/>
          <w:highlight w:val="none"/>
        </w:rPr>
        <w:t>法定代</w:t>
      </w:r>
      <w:bookmarkStart w:id="848" w:name="_Toc36971359"/>
      <w:bookmarkStart w:id="849" w:name="_Toc45995270"/>
      <w:r>
        <w:rPr>
          <w:rFonts w:hint="eastAsia" w:ascii="宋体" w:hAnsi="宋体" w:eastAsia="宋体" w:cs="宋体"/>
          <w:b/>
          <w:color w:val="auto"/>
          <w:sz w:val="30"/>
          <w:szCs w:val="30"/>
          <w:highlight w:val="none"/>
        </w:rPr>
        <w:t>表人身份证明书</w:t>
      </w:r>
      <w:bookmarkEnd w:id="847"/>
    </w:p>
    <w:bookmarkEnd w:id="848"/>
    <w:bookmarkEnd w:id="849"/>
    <w:p w14:paraId="06D45379">
      <w:pPr>
        <w:spacing w:before="120" w:after="120"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01D04647">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393306D7">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1AC9B078">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7819517B">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759D26EC">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56B09176">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附 法定代表人身份证原件扫描件</w:t>
      </w:r>
    </w:p>
    <w:p w14:paraId="2783C3B1">
      <w:pPr>
        <w:snapToGrid w:val="0"/>
        <w:spacing w:line="360" w:lineRule="auto"/>
        <w:ind w:firstLine="3465" w:firstLineChars="1650"/>
        <w:rPr>
          <w:rFonts w:hint="eastAsia" w:ascii="宋体" w:hAnsi="宋体" w:eastAsia="宋体" w:cs="宋体"/>
          <w:color w:val="auto"/>
          <w:kern w:val="3"/>
          <w:szCs w:val="24"/>
          <w:highlight w:val="none"/>
        </w:rPr>
      </w:pPr>
    </w:p>
    <w:p w14:paraId="6202E4C7">
      <w:pPr>
        <w:snapToGrid w:val="0"/>
        <w:spacing w:line="360" w:lineRule="auto"/>
        <w:ind w:firstLine="3465" w:firstLineChars="1650"/>
        <w:rPr>
          <w:rFonts w:hint="eastAsia" w:ascii="宋体" w:hAnsi="宋体" w:eastAsia="宋体" w:cs="宋体"/>
          <w:color w:val="auto"/>
          <w:kern w:val="3"/>
          <w:szCs w:val="24"/>
          <w:highlight w:val="none"/>
          <w:u w:val="single"/>
        </w:rPr>
      </w:pPr>
      <w:r>
        <w:rPr>
          <w:rFonts w:hint="eastAsia" w:ascii="宋体" w:hAnsi="宋体" w:eastAsia="宋体" w:cs="宋体"/>
          <w:color w:val="auto"/>
          <w:kern w:val="3"/>
          <w:szCs w:val="24"/>
          <w:highlight w:val="none"/>
        </w:rPr>
        <w:t>投 标 人：</w:t>
      </w:r>
      <w:r>
        <w:rPr>
          <w:rFonts w:hint="eastAsia" w:ascii="宋体" w:hAnsi="宋体" w:eastAsia="宋体" w:cs="宋体"/>
          <w:color w:val="auto"/>
          <w:kern w:val="3"/>
          <w:szCs w:val="24"/>
          <w:highlight w:val="none"/>
          <w:u w:val="single"/>
        </w:rPr>
        <w:t xml:space="preserve">             </w:t>
      </w:r>
      <w:r>
        <w:rPr>
          <w:rFonts w:hint="eastAsia" w:ascii="宋体" w:hAnsi="宋体" w:eastAsia="宋体" w:cs="宋体"/>
          <w:color w:val="auto"/>
          <w:szCs w:val="21"/>
          <w:highlight w:val="none"/>
          <w:u w:val="single"/>
        </w:rPr>
        <w:t>（企业数字证书电子签名）</w:t>
      </w:r>
    </w:p>
    <w:p w14:paraId="5083B42B">
      <w:pPr>
        <w:spacing w:before="120" w:after="120" w:line="360" w:lineRule="auto"/>
        <w:ind w:left="340" w:leftChars="162" w:firstLine="47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0AE8B58A">
      <w:pPr>
        <w:autoSpaceDE w:val="0"/>
        <w:autoSpaceDN w:val="0"/>
        <w:adjustRightIn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A13866A"/>
                          <w:p w14:paraId="3A08D897"/>
                          <w:p w14:paraId="79132869"/>
                          <w:p w14:paraId="30CA77D8"/>
                          <w:p w14:paraId="7E264AA0">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540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4A13866A"/>
                    <w:p w14:paraId="3A08D897"/>
                    <w:p w14:paraId="79132869"/>
                    <w:p w14:paraId="30CA77D8"/>
                    <w:p w14:paraId="7E264AA0">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EE2C1CA"/>
                          <w:p w14:paraId="4C1939FE"/>
                          <w:p w14:paraId="287C3765"/>
                          <w:p w14:paraId="4C74CF23"/>
                          <w:p w14:paraId="4E188F41">
                            <w:pPr>
                              <w:jc w:val="center"/>
                              <w:rPr>
                                <w:szCs w:val="21"/>
                              </w:rPr>
                            </w:pPr>
                            <w:r>
                              <w:rPr>
                                <w:rFonts w:hint="eastAsia"/>
                                <w:szCs w:val="21"/>
                              </w:rPr>
                              <w:t>法定代表人身份证反面</w:t>
                            </w:r>
                          </w:p>
                          <w:p w14:paraId="0043331E">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4384;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5EE2C1CA"/>
                    <w:p w14:paraId="4C1939FE"/>
                    <w:p w14:paraId="287C3765"/>
                    <w:p w14:paraId="4C74CF23"/>
                    <w:p w14:paraId="4E188F41">
                      <w:pPr>
                        <w:jc w:val="center"/>
                        <w:rPr>
                          <w:szCs w:val="21"/>
                        </w:rPr>
                      </w:pPr>
                      <w:r>
                        <w:rPr>
                          <w:rFonts w:hint="eastAsia"/>
                          <w:szCs w:val="21"/>
                        </w:rPr>
                        <w:t>法定代表人身份证反面</w:t>
                      </w:r>
                    </w:p>
                    <w:p w14:paraId="0043331E">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2A1A46A"/>
                          <w:p w14:paraId="4FCF7C76"/>
                          <w:p w14:paraId="2DECBE6B"/>
                          <w:p w14:paraId="4B0814CF"/>
                          <w:p w14:paraId="3FE2B0F4">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336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52A1A46A"/>
                    <w:p w14:paraId="4FCF7C76"/>
                    <w:p w14:paraId="2DECBE6B"/>
                    <w:p w14:paraId="4B0814CF"/>
                    <w:p w14:paraId="3FE2B0F4">
                      <w:pPr>
                        <w:jc w:val="center"/>
                      </w:pPr>
                      <w:r>
                        <w:rPr>
                          <w:rFonts w:hint="eastAsia"/>
                        </w:rPr>
                        <w:t>身份证正面</w:t>
                      </w:r>
                    </w:p>
                  </w:txbxContent>
                </v:textbox>
              </v:shape>
            </w:pict>
          </mc:Fallback>
        </mc:AlternateContent>
      </w:r>
    </w:p>
    <w:p w14:paraId="4749E227">
      <w:pPr>
        <w:autoSpaceDE w:val="0"/>
        <w:autoSpaceDN w:val="0"/>
        <w:adjustRightInd w:val="0"/>
        <w:jc w:val="left"/>
        <w:rPr>
          <w:rFonts w:hint="eastAsia" w:ascii="宋体" w:hAnsi="宋体" w:eastAsia="宋体" w:cs="宋体"/>
          <w:color w:val="auto"/>
          <w:kern w:val="0"/>
          <w:sz w:val="24"/>
          <w:szCs w:val="24"/>
          <w:highlight w:val="none"/>
        </w:rPr>
      </w:pPr>
    </w:p>
    <w:p w14:paraId="4094C664">
      <w:pPr>
        <w:autoSpaceDE w:val="0"/>
        <w:autoSpaceDN w:val="0"/>
        <w:adjustRightInd w:val="0"/>
        <w:jc w:val="left"/>
        <w:rPr>
          <w:rFonts w:hint="eastAsia" w:ascii="宋体" w:hAnsi="宋体" w:eastAsia="宋体" w:cs="宋体"/>
          <w:color w:val="auto"/>
          <w:kern w:val="0"/>
          <w:sz w:val="24"/>
          <w:szCs w:val="24"/>
          <w:highlight w:val="none"/>
        </w:rPr>
      </w:pPr>
    </w:p>
    <w:p w14:paraId="3043A614">
      <w:pPr>
        <w:autoSpaceDE w:val="0"/>
        <w:autoSpaceDN w:val="0"/>
        <w:adjustRightInd w:val="0"/>
        <w:jc w:val="left"/>
        <w:rPr>
          <w:rFonts w:hint="eastAsia" w:ascii="宋体" w:hAnsi="宋体" w:eastAsia="宋体" w:cs="宋体"/>
          <w:color w:val="auto"/>
          <w:kern w:val="0"/>
          <w:sz w:val="24"/>
          <w:szCs w:val="24"/>
          <w:highlight w:val="none"/>
        </w:rPr>
      </w:pPr>
    </w:p>
    <w:p w14:paraId="074123D3">
      <w:pPr>
        <w:autoSpaceDE w:val="0"/>
        <w:autoSpaceDN w:val="0"/>
        <w:adjustRightInd w:val="0"/>
        <w:jc w:val="left"/>
        <w:rPr>
          <w:rFonts w:hint="eastAsia" w:ascii="宋体" w:hAnsi="宋体" w:eastAsia="宋体" w:cs="宋体"/>
          <w:color w:val="auto"/>
          <w:kern w:val="0"/>
          <w:sz w:val="24"/>
          <w:szCs w:val="24"/>
          <w:highlight w:val="none"/>
        </w:rPr>
      </w:pPr>
    </w:p>
    <w:p w14:paraId="2D17B623">
      <w:pPr>
        <w:autoSpaceDE w:val="0"/>
        <w:autoSpaceDN w:val="0"/>
        <w:adjustRightInd w:val="0"/>
        <w:jc w:val="left"/>
        <w:rPr>
          <w:rFonts w:hint="eastAsia" w:ascii="宋体" w:hAnsi="宋体" w:eastAsia="宋体" w:cs="宋体"/>
          <w:color w:val="auto"/>
          <w:kern w:val="0"/>
          <w:sz w:val="24"/>
          <w:szCs w:val="24"/>
          <w:highlight w:val="none"/>
        </w:rPr>
      </w:pPr>
    </w:p>
    <w:p w14:paraId="087B40D4">
      <w:pPr>
        <w:autoSpaceDE w:val="0"/>
        <w:autoSpaceDN w:val="0"/>
        <w:adjustRightInd w:val="0"/>
        <w:jc w:val="left"/>
        <w:rPr>
          <w:rFonts w:hint="eastAsia" w:ascii="宋体" w:hAnsi="宋体" w:eastAsia="宋体" w:cs="宋体"/>
          <w:color w:val="auto"/>
          <w:kern w:val="0"/>
          <w:sz w:val="24"/>
          <w:szCs w:val="24"/>
          <w:highlight w:val="none"/>
        </w:rPr>
      </w:pPr>
    </w:p>
    <w:p w14:paraId="48AF3786">
      <w:pPr>
        <w:autoSpaceDE w:val="0"/>
        <w:autoSpaceDN w:val="0"/>
        <w:adjustRightInd w:val="0"/>
        <w:jc w:val="left"/>
        <w:rPr>
          <w:rFonts w:hint="eastAsia" w:ascii="宋体" w:hAnsi="宋体" w:eastAsia="宋体" w:cs="宋体"/>
          <w:color w:val="auto"/>
          <w:kern w:val="0"/>
          <w:sz w:val="24"/>
          <w:szCs w:val="24"/>
          <w:highlight w:val="none"/>
        </w:rPr>
      </w:pPr>
    </w:p>
    <w:p w14:paraId="30F53A6A">
      <w:pPr>
        <w:autoSpaceDE w:val="0"/>
        <w:autoSpaceDN w:val="0"/>
        <w:adjustRightInd w:val="0"/>
        <w:jc w:val="left"/>
        <w:rPr>
          <w:rFonts w:hint="eastAsia" w:ascii="宋体" w:hAnsi="宋体" w:eastAsia="宋体" w:cs="宋体"/>
          <w:color w:val="auto"/>
          <w:kern w:val="0"/>
          <w:sz w:val="24"/>
          <w:szCs w:val="24"/>
          <w:highlight w:val="none"/>
        </w:rPr>
      </w:pPr>
    </w:p>
    <w:p w14:paraId="49C250ED">
      <w:pPr>
        <w:autoSpaceDE w:val="0"/>
        <w:autoSpaceDN w:val="0"/>
        <w:adjustRightInd w:val="0"/>
        <w:jc w:val="left"/>
        <w:rPr>
          <w:rFonts w:hint="eastAsia" w:ascii="宋体" w:hAnsi="宋体" w:eastAsia="宋体" w:cs="宋体"/>
          <w:color w:val="auto"/>
          <w:kern w:val="0"/>
          <w:sz w:val="24"/>
          <w:szCs w:val="24"/>
          <w:highlight w:val="none"/>
        </w:rPr>
      </w:pPr>
    </w:p>
    <w:p w14:paraId="798FC43D">
      <w:pPr>
        <w:autoSpaceDE w:val="0"/>
        <w:autoSpaceDN w:val="0"/>
        <w:adjustRightInd w:val="0"/>
        <w:jc w:val="left"/>
        <w:rPr>
          <w:rFonts w:hint="eastAsia" w:ascii="宋体" w:hAnsi="宋体" w:eastAsia="宋体" w:cs="宋体"/>
          <w:b/>
          <w:color w:val="auto"/>
          <w:kern w:val="0"/>
          <w:szCs w:val="21"/>
          <w:highlight w:val="none"/>
        </w:rPr>
      </w:pPr>
    </w:p>
    <w:p w14:paraId="6C62F96A">
      <w:pPr>
        <w:autoSpaceDE w:val="0"/>
        <w:autoSpaceDN w:val="0"/>
        <w:adjustRightInd w:val="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09C044A8">
      <w:pPr>
        <w:autoSpaceDE w:val="0"/>
        <w:autoSpaceDN w:val="0"/>
        <w:adjustRightInd w:val="0"/>
        <w:jc w:val="left"/>
        <w:rPr>
          <w:rFonts w:hint="eastAsia" w:ascii="宋体" w:hAnsi="宋体" w:eastAsia="宋体" w:cs="宋体"/>
          <w:color w:val="auto"/>
          <w:kern w:val="0"/>
          <w:szCs w:val="21"/>
          <w:highlight w:val="none"/>
        </w:rPr>
      </w:pPr>
    </w:p>
    <w:p w14:paraId="064C6175">
      <w:pPr>
        <w:autoSpaceDE w:val="0"/>
        <w:autoSpaceDN w:val="0"/>
        <w:adjustRightInd w:val="0"/>
        <w:jc w:val="center"/>
        <w:outlineLvl w:val="9"/>
        <w:rPr>
          <w:rFonts w:hint="eastAsia"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说明：由投标人使用投标人的企业数字证书电子签名。</w:t>
      </w:r>
    </w:p>
    <w:p w14:paraId="5A3EE78B">
      <w:pPr>
        <w:autoSpaceDE w:val="0"/>
        <w:autoSpaceDN w:val="0"/>
        <w:adjustRightInd w:val="0"/>
        <w:jc w:val="left"/>
        <w:outlineLvl w:val="9"/>
        <w:rPr>
          <w:rFonts w:hint="eastAsia" w:ascii="宋体" w:hAnsi="宋体" w:eastAsia="宋体" w:cs="宋体"/>
          <w:color w:val="auto"/>
          <w:kern w:val="0"/>
          <w:szCs w:val="21"/>
          <w:highlight w:val="none"/>
        </w:rPr>
      </w:pPr>
    </w:p>
    <w:p w14:paraId="6F6933C6">
      <w:pPr>
        <w:spacing w:before="120" w:after="120" w:line="360" w:lineRule="auto"/>
        <w:ind w:firstLine="424" w:firstLineChars="202"/>
        <w:outlineLvl w:val="9"/>
        <w:rPr>
          <w:rFonts w:hint="eastAsia"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773"/>
      <w:bookmarkEnd w:id="774"/>
      <w:bookmarkEnd w:id="775"/>
      <w:bookmarkStart w:id="850" w:name="_Toc1977727"/>
      <w:bookmarkStart w:id="851" w:name="_Toc486167713"/>
      <w:bookmarkStart w:id="852" w:name="_Toc533708125"/>
      <w:bookmarkStart w:id="853" w:name="_Toc6240_WPSOffice_Level2"/>
      <w:r>
        <w:rPr>
          <w:rFonts w:hint="eastAsia" w:ascii="宋体" w:hAnsi="宋体" w:eastAsia="宋体" w:cs="宋体"/>
          <w:b/>
          <w:color w:val="auto"/>
          <w:szCs w:val="24"/>
          <w:highlight w:val="none"/>
        </w:rPr>
        <w:t>（2）法定代表人授权书格式</w:t>
      </w:r>
      <w:bookmarkEnd w:id="850"/>
      <w:bookmarkEnd w:id="851"/>
      <w:bookmarkEnd w:id="852"/>
      <w:bookmarkEnd w:id="853"/>
    </w:p>
    <w:p w14:paraId="6C33D392">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p>
    <w:p w14:paraId="03777E13">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bookmarkStart w:id="854" w:name="_Toc29146_WPSOffice_Level3"/>
      <w:r>
        <w:rPr>
          <w:rFonts w:hint="eastAsia" w:ascii="宋体" w:hAnsi="宋体" w:eastAsia="宋体" w:cs="宋体"/>
          <w:b/>
          <w:bCs/>
          <w:color w:val="auto"/>
          <w:sz w:val="30"/>
          <w:szCs w:val="30"/>
          <w:highlight w:val="none"/>
          <w:lang w:val="zh-CN"/>
        </w:rPr>
        <w:t>法定代表人授权书</w:t>
      </w:r>
      <w:bookmarkEnd w:id="854"/>
    </w:p>
    <w:p w14:paraId="3BB3DEA4">
      <w:pPr>
        <w:autoSpaceDE w:val="0"/>
        <w:autoSpaceDN w:val="0"/>
        <w:adjustRightInd w:val="0"/>
        <w:spacing w:line="360" w:lineRule="auto"/>
        <w:jc w:val="center"/>
        <w:outlineLvl w:val="9"/>
        <w:rPr>
          <w:rFonts w:hint="eastAsia" w:ascii="宋体" w:hAnsi="宋体" w:eastAsia="宋体" w:cs="宋体"/>
          <w:color w:val="auto"/>
          <w:szCs w:val="28"/>
          <w:highlight w:val="none"/>
          <w:lang w:val="zh-CN"/>
        </w:rPr>
      </w:pPr>
    </w:p>
    <w:p w14:paraId="4DD17029">
      <w:pPr>
        <w:spacing w:before="120" w:after="120"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致：东莞市置拓投资有限公司</w:t>
      </w:r>
    </w:p>
    <w:p w14:paraId="3E6F3E9A">
      <w:pPr>
        <w:spacing w:before="120" w:after="12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东莞市置拓投资有限公司水业大厦2026-2027年度物业管理服务采购项目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4799AEC5">
      <w:pPr>
        <w:spacing w:before="120" w:after="12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09CFE80A">
      <w:pPr>
        <w:spacing w:before="120" w:after="120" w:line="360" w:lineRule="auto"/>
        <w:ind w:left="348" w:leftChars="136" w:hanging="62"/>
        <w:outlineLvl w:val="9"/>
        <w:rPr>
          <w:rFonts w:hint="eastAsia" w:ascii="宋体" w:hAnsi="宋体" w:eastAsia="宋体" w:cs="宋体"/>
          <w:color w:val="auto"/>
          <w:szCs w:val="24"/>
          <w:highlight w:val="none"/>
        </w:rPr>
      </w:pPr>
    </w:p>
    <w:p w14:paraId="5ECECA46">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（企业数字证书电子签名）</w:t>
      </w:r>
    </w:p>
    <w:p w14:paraId="45104C27">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6A22F428">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14:paraId="43A7F514">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0D0EC02A">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14:paraId="37665BA5">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6B5B2C1D">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7693282E">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73E7F16C">
      <w:pPr>
        <w:pStyle w:val="37"/>
        <w:widowControl w:val="0"/>
        <w:snapToGrid w:val="0"/>
        <w:spacing w:before="0" w:beforeAutospacing="0" w:after="0" w:afterAutospacing="0" w:line="360" w:lineRule="auto"/>
        <w:jc w:val="center"/>
        <w:rPr>
          <w:rFonts w:hint="eastAsia" w:ascii="宋体" w:hAnsi="宋体" w:eastAsia="宋体" w:cs="宋体"/>
          <w:b/>
          <w:color w:val="auto"/>
          <w:sz w:val="21"/>
          <w:szCs w:val="21"/>
          <w:highlight w:val="none"/>
          <w:lang w:bidi="ar"/>
        </w:rPr>
      </w:pPr>
    </w:p>
    <w:p w14:paraId="49AACF92">
      <w:pPr>
        <w:widowControl/>
        <w:autoSpaceDE w:val="0"/>
        <w:autoSpaceDN w:val="0"/>
        <w:spacing w:before="120" w:after="120" w:line="360" w:lineRule="auto"/>
        <w:ind w:right="781" w:rightChars="372" w:firstLine="422" w:firstLineChars="200"/>
        <w:jc w:val="center"/>
        <w:textAlignment w:val="bottom"/>
        <w:outlineLvl w:val="9"/>
        <w:rPr>
          <w:rFonts w:hint="eastAsia" w:ascii="宋体" w:hAnsi="宋体" w:eastAsia="宋体" w:cs="宋体"/>
          <w:b/>
          <w:bCs/>
          <w:color w:val="auto"/>
          <w:sz w:val="21"/>
          <w:szCs w:val="21"/>
          <w:highlight w:val="none"/>
          <w:u w:val="single"/>
          <w:lang w:bidi="ar"/>
        </w:rPr>
      </w:pPr>
      <w:r>
        <w:rPr>
          <w:rFonts w:hint="eastAsia" w:ascii="宋体" w:hAnsi="宋体" w:eastAsia="宋体" w:cs="宋体"/>
          <w:b/>
          <w:bCs/>
          <w:color w:val="auto"/>
          <w:sz w:val="21"/>
          <w:szCs w:val="21"/>
          <w:highlight w:val="none"/>
          <w:u w:val="single"/>
          <w:lang w:bidi="ar"/>
        </w:rPr>
        <w:t>说明：由投标人使用投标人的企业数字证书，法定代表人</w:t>
      </w:r>
      <w:r>
        <w:rPr>
          <w:rFonts w:hint="eastAsia" w:ascii="宋体" w:hAnsi="宋体" w:eastAsia="宋体" w:cs="宋体"/>
          <w:b/>
          <w:bCs/>
          <w:color w:val="auto"/>
          <w:sz w:val="21"/>
          <w:szCs w:val="21"/>
          <w:highlight w:val="none"/>
          <w:u w:val="single"/>
          <w:lang w:eastAsia="zh-CN" w:bidi="ar"/>
        </w:rPr>
        <w:t>、</w:t>
      </w:r>
      <w:r>
        <w:rPr>
          <w:rFonts w:hint="eastAsia" w:ascii="宋体" w:hAnsi="宋体" w:eastAsia="宋体" w:cs="宋体"/>
          <w:b/>
          <w:bCs/>
          <w:color w:val="auto"/>
          <w:sz w:val="21"/>
          <w:szCs w:val="21"/>
          <w:highlight w:val="none"/>
          <w:u w:val="single"/>
          <w:lang w:bidi="ar"/>
        </w:rPr>
        <w:t>其授权代表数字证书电子签名。</w:t>
      </w:r>
    </w:p>
    <w:p w14:paraId="16A9ABCF">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607D57F0">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附 法定代表人、被授权人身份证</w:t>
      </w:r>
      <w:r>
        <w:rPr>
          <w:rFonts w:hint="eastAsia" w:ascii="宋体" w:hAnsi="宋体" w:eastAsia="宋体" w:cs="宋体"/>
          <w:color w:val="auto"/>
          <w:szCs w:val="24"/>
          <w:highlight w:val="none"/>
          <w:lang w:eastAsia="zh-CN"/>
        </w:rPr>
        <w:t>扫描件</w:t>
      </w:r>
    </w:p>
    <w:p w14:paraId="3744D318">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06D21EE"/>
                          <w:p w14:paraId="4FB5D75C"/>
                          <w:p w14:paraId="2BFAD8FC"/>
                          <w:p w14:paraId="17A7A81D"/>
                          <w:p w14:paraId="1DF70D29">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1312;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206D21EE"/>
                    <w:p w14:paraId="4FB5D75C"/>
                    <w:p w14:paraId="2BFAD8FC"/>
                    <w:p w14:paraId="17A7A81D"/>
                    <w:p w14:paraId="1DF70D29">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8B8A198"/>
                          <w:p w14:paraId="41F95740"/>
                          <w:p w14:paraId="6A5D6870"/>
                          <w:p w14:paraId="4CB97734"/>
                          <w:p w14:paraId="3551A300">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59264;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38B8A198"/>
                    <w:p w14:paraId="41F95740"/>
                    <w:p w14:paraId="6A5D6870"/>
                    <w:p w14:paraId="4CB97734"/>
                    <w:p w14:paraId="3551A300">
                      <w:pPr>
                        <w:jc w:val="center"/>
                        <w:rPr>
                          <w:rFonts w:hAnsi="宋体"/>
                        </w:rPr>
                      </w:pPr>
                      <w:r>
                        <w:rPr>
                          <w:rFonts w:hint="eastAsia" w:hAnsi="宋体"/>
                        </w:rPr>
                        <w:t>法定代表人身份证正面</w:t>
                      </w:r>
                    </w:p>
                  </w:txbxContent>
                </v:textbox>
              </v:shape>
            </w:pict>
          </mc:Fallback>
        </mc:AlternateContent>
      </w:r>
    </w:p>
    <w:p w14:paraId="09794CD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8BC5E0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C7836BC">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F897607">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7CABE2E">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261321A">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036EF81">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151E425">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0D1D3F7">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7CB67CA6"/>
                          <w:p w14:paraId="7F63537C">
                            <w:pPr>
                              <w:jc w:val="center"/>
                              <w:rPr>
                                <w:rFonts w:hAnsi="宋体"/>
                                <w:color w:val="FF0000"/>
                              </w:rPr>
                            </w:pPr>
                          </w:p>
                          <w:p w14:paraId="6419E813">
                            <w:pPr>
                              <w:jc w:val="center"/>
                              <w:rPr>
                                <w:rFonts w:hAnsi="宋体"/>
                                <w:color w:val="FF0000"/>
                              </w:rPr>
                            </w:pPr>
                          </w:p>
                          <w:p w14:paraId="0756092F">
                            <w:pPr>
                              <w:jc w:val="center"/>
                              <w:rPr>
                                <w:rFonts w:hAnsi="宋体"/>
                                <w:color w:val="FF0000"/>
                              </w:rPr>
                            </w:pPr>
                          </w:p>
                          <w:p w14:paraId="3AD52DCD">
                            <w:pPr>
                              <w:jc w:val="center"/>
                            </w:pPr>
                            <w:r>
                              <w:rPr>
                                <w:rFonts w:hint="eastAsia" w:hAnsi="宋体"/>
                              </w:rPr>
                              <w:t>被授权人身份证反面</w:t>
                            </w:r>
                          </w:p>
                          <w:p w14:paraId="4E749602"/>
                          <w:p w14:paraId="2C53FAE1"/>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2336;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7CB67CA6"/>
                    <w:p w14:paraId="7F63537C">
                      <w:pPr>
                        <w:jc w:val="center"/>
                        <w:rPr>
                          <w:rFonts w:hAnsi="宋体"/>
                          <w:color w:val="FF0000"/>
                        </w:rPr>
                      </w:pPr>
                    </w:p>
                    <w:p w14:paraId="6419E813">
                      <w:pPr>
                        <w:jc w:val="center"/>
                        <w:rPr>
                          <w:rFonts w:hAnsi="宋体"/>
                          <w:color w:val="FF0000"/>
                        </w:rPr>
                      </w:pPr>
                    </w:p>
                    <w:p w14:paraId="0756092F">
                      <w:pPr>
                        <w:jc w:val="center"/>
                        <w:rPr>
                          <w:rFonts w:hAnsi="宋体"/>
                          <w:color w:val="FF0000"/>
                        </w:rPr>
                      </w:pPr>
                    </w:p>
                    <w:p w14:paraId="3AD52DCD">
                      <w:pPr>
                        <w:jc w:val="center"/>
                      </w:pPr>
                      <w:r>
                        <w:rPr>
                          <w:rFonts w:hint="eastAsia" w:hAnsi="宋体"/>
                        </w:rPr>
                        <w:t>被授权人身份证反面</w:t>
                      </w:r>
                    </w:p>
                    <w:p w14:paraId="4E749602"/>
                    <w:p w14:paraId="2C53FAE1"/>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9E17597"/>
                          <w:p w14:paraId="216428E7">
                            <w:pPr>
                              <w:jc w:val="center"/>
                              <w:rPr>
                                <w:rFonts w:hAnsi="宋体"/>
                                <w:color w:val="FF0000"/>
                              </w:rPr>
                            </w:pPr>
                          </w:p>
                          <w:p w14:paraId="2EF98DF6">
                            <w:pPr>
                              <w:jc w:val="center"/>
                              <w:rPr>
                                <w:rFonts w:hAnsi="宋体"/>
                                <w:color w:val="FF0000"/>
                              </w:rPr>
                            </w:pPr>
                          </w:p>
                          <w:p w14:paraId="1EF4C149">
                            <w:pPr>
                              <w:jc w:val="center"/>
                              <w:rPr>
                                <w:rFonts w:hAnsi="宋体"/>
                                <w:color w:val="FF0000"/>
                              </w:rPr>
                            </w:pPr>
                          </w:p>
                          <w:p w14:paraId="63A0866F">
                            <w:pPr>
                              <w:jc w:val="center"/>
                            </w:pPr>
                            <w:r>
                              <w:rPr>
                                <w:rFonts w:hint="eastAsia" w:hAnsi="宋体"/>
                              </w:rPr>
                              <w:t>被授权人身份证正面</w:t>
                            </w:r>
                          </w:p>
                          <w:p w14:paraId="4A4608B5"/>
                          <w:p w14:paraId="184989BA"/>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0288;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59E17597"/>
                    <w:p w14:paraId="216428E7">
                      <w:pPr>
                        <w:jc w:val="center"/>
                        <w:rPr>
                          <w:rFonts w:hAnsi="宋体"/>
                          <w:color w:val="FF0000"/>
                        </w:rPr>
                      </w:pPr>
                    </w:p>
                    <w:p w14:paraId="2EF98DF6">
                      <w:pPr>
                        <w:jc w:val="center"/>
                        <w:rPr>
                          <w:rFonts w:hAnsi="宋体"/>
                          <w:color w:val="FF0000"/>
                        </w:rPr>
                      </w:pPr>
                    </w:p>
                    <w:p w14:paraId="1EF4C149">
                      <w:pPr>
                        <w:jc w:val="center"/>
                        <w:rPr>
                          <w:rFonts w:hAnsi="宋体"/>
                          <w:color w:val="FF0000"/>
                        </w:rPr>
                      </w:pPr>
                    </w:p>
                    <w:p w14:paraId="63A0866F">
                      <w:pPr>
                        <w:jc w:val="center"/>
                      </w:pPr>
                      <w:r>
                        <w:rPr>
                          <w:rFonts w:hint="eastAsia" w:hAnsi="宋体"/>
                        </w:rPr>
                        <w:t>被授权人身份证正面</w:t>
                      </w:r>
                    </w:p>
                    <w:p w14:paraId="4A4608B5"/>
                    <w:p w14:paraId="184989BA"/>
                  </w:txbxContent>
                </v:textbox>
              </v:shape>
            </w:pict>
          </mc:Fallback>
        </mc:AlternateContent>
      </w:r>
    </w:p>
    <w:p w14:paraId="2D979594">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27BB6F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A8DD42C">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22D548A">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9445DEC">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8B9C9E8">
      <w:pPr>
        <w:widowControl/>
        <w:autoSpaceDE w:val="0"/>
        <w:autoSpaceDN w:val="0"/>
        <w:spacing w:before="120" w:after="120" w:line="360" w:lineRule="auto"/>
        <w:ind w:right="781" w:rightChars="372" w:firstLine="422" w:firstLineChars="200"/>
        <w:textAlignment w:val="bottom"/>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注：上述所附身份证应在有效期限内。</w:t>
      </w:r>
    </w:p>
    <w:p w14:paraId="2420C23A">
      <w:pPr>
        <w:rPr>
          <w:rFonts w:hint="eastAsia"/>
          <w:color w:val="auto"/>
        </w:rPr>
      </w:pPr>
    </w:p>
    <w:p w14:paraId="3A514724">
      <w:pPr>
        <w:pStyle w:val="18"/>
        <w:rPr>
          <w:rFonts w:hint="eastAsia"/>
          <w:color w:val="auto"/>
        </w:rPr>
        <w:sectPr>
          <w:footerReference r:id="rId14" w:type="first"/>
          <w:footerReference r:id="rId13" w:type="default"/>
          <w:pgSz w:w="12240" w:h="15840"/>
          <w:pgMar w:top="1191" w:right="1043" w:bottom="1191" w:left="1043" w:header="720" w:footer="720" w:gutter="0"/>
          <w:pgNumType w:fmt="decimal"/>
          <w:cols w:space="720" w:num="1"/>
          <w:docGrid w:linePitch="326" w:charSpace="0"/>
        </w:sectPr>
      </w:pPr>
    </w:p>
    <w:p w14:paraId="66389A7D">
      <w:pPr>
        <w:pStyle w:val="4"/>
        <w:pageBreakBefore/>
        <w:spacing w:line="360" w:lineRule="auto"/>
        <w:rPr>
          <w:rFonts w:hint="eastAsia" w:hAnsi="宋体" w:eastAsia="宋体"/>
          <w:b/>
          <w:color w:val="auto"/>
          <w:sz w:val="30"/>
          <w:szCs w:val="30"/>
          <w:highlight w:val="none"/>
          <w:lang w:val="zh-CN" w:eastAsia="zh-CN"/>
        </w:rPr>
      </w:pPr>
      <w:bookmarkStart w:id="855" w:name="_Toc31462"/>
      <w:bookmarkStart w:id="856" w:name="_Toc21968"/>
      <w:bookmarkStart w:id="857" w:name="_Toc16718"/>
      <w:bookmarkStart w:id="858" w:name="_Toc23386"/>
      <w:bookmarkStart w:id="859" w:name="_Toc13411"/>
      <w:bookmarkStart w:id="860" w:name="_Toc32328"/>
      <w:bookmarkStart w:id="861" w:name="_Toc15716"/>
      <w:bookmarkStart w:id="862" w:name="_Toc12400"/>
      <w:bookmarkStart w:id="863" w:name="_Toc94107214"/>
      <w:bookmarkStart w:id="864" w:name="_Toc104991880"/>
      <w:bookmarkStart w:id="865" w:name="_Toc142508373"/>
      <w:bookmarkStart w:id="866" w:name="_Toc1977730"/>
      <w:bookmarkStart w:id="867" w:name="_Toc140596933"/>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hAnsi="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w:t>
      </w:r>
      <w:bookmarkEnd w:id="855"/>
      <w:bookmarkEnd w:id="856"/>
      <w:bookmarkEnd w:id="857"/>
      <w:bookmarkEnd w:id="858"/>
      <w:r>
        <w:rPr>
          <w:rFonts w:hint="eastAsia" w:ascii="宋体" w:hAnsi="宋体" w:eastAsia="宋体"/>
          <w:b/>
          <w:bCs/>
          <w:color w:val="auto"/>
          <w:sz w:val="32"/>
          <w:szCs w:val="32"/>
          <w:highlight w:val="none"/>
        </w:rPr>
        <w:t>投标人2022年1月1日以来(以合同签订日期为准)至少承接一个物业管理服务项目业绩(服务内容必须为物业管理服务且同时包含保洁（或清洁或环境卫生）及保安（或安保或秩序维护）服务</w:t>
      </w:r>
      <w:r>
        <w:rPr>
          <w:rFonts w:hint="eastAsia" w:hAnsi="宋体"/>
          <w:b/>
          <w:bCs/>
          <w:color w:val="auto"/>
          <w:sz w:val="32"/>
          <w:szCs w:val="32"/>
          <w:highlight w:val="none"/>
          <w:lang w:eastAsia="zh-CN"/>
        </w:rPr>
        <w:t>，</w:t>
      </w:r>
      <w:r>
        <w:rPr>
          <w:rFonts w:hint="eastAsia" w:ascii="宋体" w:hAnsi="宋体" w:eastAsia="宋体"/>
          <w:b/>
          <w:bCs/>
          <w:color w:val="auto"/>
          <w:sz w:val="32"/>
          <w:szCs w:val="32"/>
          <w:highlight w:val="none"/>
        </w:rPr>
        <w:t>合同签订日期为2022年1月1日或以后）</w:t>
      </w:r>
      <w:r>
        <w:rPr>
          <w:rFonts w:hint="eastAsia" w:hAnsi="宋体"/>
          <w:b/>
          <w:bCs/>
          <w:color w:val="auto"/>
          <w:sz w:val="32"/>
          <w:szCs w:val="32"/>
          <w:highlight w:val="none"/>
          <w:lang w:eastAsia="zh-CN"/>
        </w:rPr>
        <w:t>】</w:t>
      </w:r>
      <w:bookmarkEnd w:id="859"/>
    </w:p>
    <w:tbl>
      <w:tblPr>
        <w:tblStyle w:val="41"/>
        <w:tblW w:w="46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810"/>
        <w:gridCol w:w="1560"/>
        <w:gridCol w:w="1350"/>
        <w:gridCol w:w="1380"/>
        <w:gridCol w:w="1050"/>
        <w:gridCol w:w="1503"/>
        <w:gridCol w:w="825"/>
      </w:tblGrid>
      <w:tr w14:paraId="00308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46" w:hRule="exact"/>
          <w:jc w:val="center"/>
        </w:trPr>
        <w:tc>
          <w:tcPr>
            <w:tcW w:w="810" w:type="dxa"/>
            <w:vAlign w:val="center"/>
          </w:tcPr>
          <w:p w14:paraId="1D382C9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60" w:type="dxa"/>
            <w:vAlign w:val="center"/>
          </w:tcPr>
          <w:p w14:paraId="64719A7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350" w:type="dxa"/>
            <w:vAlign w:val="center"/>
          </w:tcPr>
          <w:p w14:paraId="570EC4A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1380" w:type="dxa"/>
            <w:vAlign w:val="center"/>
          </w:tcPr>
          <w:p w14:paraId="32686DF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1050" w:type="dxa"/>
            <w:vAlign w:val="center"/>
          </w:tcPr>
          <w:p w14:paraId="4587B72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1503" w:type="dxa"/>
            <w:vAlign w:val="center"/>
          </w:tcPr>
          <w:p w14:paraId="46B5B10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825" w:type="dxa"/>
            <w:vAlign w:val="center"/>
          </w:tcPr>
          <w:p w14:paraId="02B6D9F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454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9" w:hRule="exact"/>
          <w:jc w:val="center"/>
        </w:trPr>
        <w:tc>
          <w:tcPr>
            <w:tcW w:w="810" w:type="dxa"/>
            <w:vAlign w:val="center"/>
          </w:tcPr>
          <w:p w14:paraId="681B56F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560" w:type="dxa"/>
            <w:vAlign w:val="center"/>
          </w:tcPr>
          <w:p w14:paraId="656A295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50" w:type="dxa"/>
            <w:vAlign w:val="center"/>
          </w:tcPr>
          <w:p w14:paraId="34AD5E2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80" w:type="dxa"/>
            <w:vAlign w:val="center"/>
          </w:tcPr>
          <w:p w14:paraId="3D1789F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0" w:type="dxa"/>
            <w:vAlign w:val="center"/>
          </w:tcPr>
          <w:p w14:paraId="56EBF73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03" w:type="dxa"/>
            <w:vAlign w:val="center"/>
          </w:tcPr>
          <w:p w14:paraId="34DDD42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25" w:type="dxa"/>
            <w:vAlign w:val="center"/>
          </w:tcPr>
          <w:p w14:paraId="32990BC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67F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79" w:hRule="exact"/>
          <w:jc w:val="center"/>
        </w:trPr>
        <w:tc>
          <w:tcPr>
            <w:tcW w:w="810" w:type="dxa"/>
            <w:vAlign w:val="center"/>
          </w:tcPr>
          <w:p w14:paraId="6F7C1A0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560" w:type="dxa"/>
            <w:vAlign w:val="center"/>
          </w:tcPr>
          <w:p w14:paraId="1A5D355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50" w:type="dxa"/>
            <w:vAlign w:val="center"/>
          </w:tcPr>
          <w:p w14:paraId="3098956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80" w:type="dxa"/>
            <w:vAlign w:val="center"/>
          </w:tcPr>
          <w:p w14:paraId="628B9A5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0" w:type="dxa"/>
            <w:vAlign w:val="center"/>
          </w:tcPr>
          <w:p w14:paraId="6351897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03" w:type="dxa"/>
            <w:vAlign w:val="center"/>
          </w:tcPr>
          <w:p w14:paraId="4FDE94D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25" w:type="dxa"/>
            <w:vAlign w:val="center"/>
          </w:tcPr>
          <w:p w14:paraId="2F039E9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28C956EE">
      <w:pPr>
        <w:spacing w:line="360" w:lineRule="auto"/>
        <w:ind w:left="424" w:hanging="424" w:hangingChars="201"/>
        <w:rPr>
          <w:rFonts w:hint="eastAsia" w:ascii="宋体" w:hAnsi="宋体" w:eastAsia="宋体" w:cs="宋体"/>
          <w:b/>
          <w:color w:val="auto"/>
          <w:szCs w:val="21"/>
          <w:highlight w:val="none"/>
          <w:lang w:val="zh-CN"/>
        </w:rPr>
      </w:pPr>
    </w:p>
    <w:p w14:paraId="29F5A708">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58094142">
      <w:pPr>
        <w:spacing w:line="360" w:lineRule="auto"/>
        <w:ind w:left="422" w:hanging="422" w:hangingChars="201"/>
        <w:rPr>
          <w:rFonts w:ascii="宋体" w:hAnsi="宋体" w:eastAsia="宋体" w:cs="宋体"/>
          <w:color w:val="auto"/>
          <w:szCs w:val="21"/>
        </w:rPr>
      </w:pPr>
      <w:bookmarkStart w:id="868" w:name="_Toc14967"/>
      <w:bookmarkStart w:id="869" w:name="_Toc6253"/>
      <w:r>
        <w:rPr>
          <w:rFonts w:hint="eastAsia" w:ascii="宋体" w:hAnsi="宋体" w:eastAsia="宋体" w:cs="宋体"/>
          <w:color w:val="auto"/>
          <w:szCs w:val="21"/>
          <w:lang w:val="zh-CN"/>
        </w:rPr>
        <w:t>（1）</w:t>
      </w:r>
      <w:r>
        <w:rPr>
          <w:rFonts w:hint="eastAsia" w:ascii="宋体" w:hAnsi="宋体" w:eastAsia="宋体" w:cs="宋体"/>
          <w:color w:val="auto"/>
          <w:szCs w:val="21"/>
        </w:rPr>
        <w:t>作为投标人资格条件证明的业绩放置在此处。</w:t>
      </w:r>
    </w:p>
    <w:p w14:paraId="02AE71C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lang w:val="zh-CN"/>
        </w:rPr>
        <w:t>）业绩须附合同扫描件（合同服务提供方为投标人），和已服务的任意一张发票扫描件（发票开具日期须在本项目招标公告发布之日前）；</w:t>
      </w:r>
    </w:p>
    <w:p w14:paraId="3944E4F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lang w:val="zh-CN"/>
        </w:rPr>
        <w:t>）合同业绩证明材料必须能反映评审条件：</w:t>
      </w:r>
      <w:r>
        <w:rPr>
          <w:rFonts w:hint="eastAsia" w:ascii="宋体" w:hAnsi="宋体" w:eastAsia="宋体" w:cs="宋体"/>
          <w:color w:val="auto"/>
          <w:szCs w:val="21"/>
        </w:rPr>
        <w:t>①</w:t>
      </w:r>
      <w:r>
        <w:rPr>
          <w:rFonts w:hint="eastAsia" w:ascii="宋体" w:hAnsi="宋体" w:eastAsia="宋体" w:cs="宋体"/>
          <w:color w:val="auto"/>
          <w:szCs w:val="24"/>
          <w:highlight w:val="none"/>
          <w:lang w:val="zh-CN"/>
        </w:rPr>
        <w:t>合同签订日期为20</w:t>
      </w: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lang w:val="zh-CN"/>
        </w:rPr>
        <w:t>年1月1日或以后；</w:t>
      </w:r>
      <w:r>
        <w:rPr>
          <w:rFonts w:hint="eastAsia" w:ascii="宋体" w:hAnsi="宋体" w:eastAsia="宋体" w:cs="宋体"/>
          <w:color w:val="auto"/>
          <w:szCs w:val="21"/>
        </w:rPr>
        <w:t>②合同服务内容必须</w:t>
      </w:r>
      <w:r>
        <w:rPr>
          <w:rFonts w:hint="eastAsia" w:ascii="宋体" w:hAnsi="宋体" w:eastAsia="宋体" w:cs="宋体"/>
          <w:color w:val="auto"/>
          <w:szCs w:val="24"/>
          <w:highlight w:val="none"/>
          <w:lang w:val="zh-CN"/>
        </w:rPr>
        <w:t>为物</w:t>
      </w:r>
      <w:r>
        <w:rPr>
          <w:rFonts w:hint="eastAsia" w:ascii="宋体" w:hAnsi="宋体" w:eastAsia="宋体" w:cs="宋体"/>
          <w:color w:val="auto"/>
          <w:szCs w:val="21"/>
          <w:lang w:val="zh-CN"/>
        </w:rPr>
        <w:t>业管理服务且同时包含保洁（或清洁或环境卫生）及保安</w:t>
      </w:r>
      <w:r>
        <w:rPr>
          <w:rFonts w:hint="eastAsia" w:ascii="宋体" w:hAnsi="宋体" w:eastAsia="宋体" w:cs="宋体"/>
          <w:color w:val="auto"/>
          <w:szCs w:val="21"/>
          <w:lang w:val="zh-CN" w:eastAsia="zh-CN"/>
        </w:rPr>
        <w:t>（或安保或秩序维护）</w:t>
      </w:r>
      <w:r>
        <w:rPr>
          <w:rFonts w:hint="eastAsia" w:ascii="宋体" w:hAnsi="宋体" w:eastAsia="宋体" w:cs="宋体"/>
          <w:color w:val="auto"/>
          <w:szCs w:val="21"/>
          <w:lang w:val="zh-CN"/>
        </w:rPr>
        <w:t>服务</w:t>
      </w:r>
      <w:r>
        <w:rPr>
          <w:rFonts w:hint="eastAsia" w:ascii="宋体" w:hAnsi="宋体" w:eastAsia="宋体" w:cs="宋体"/>
          <w:color w:val="auto"/>
          <w:szCs w:val="21"/>
          <w:lang w:val="en-US"/>
        </w:rPr>
        <w:t>，否则，需同时提供服务发包人</w:t>
      </w:r>
      <w:r>
        <w:rPr>
          <w:rFonts w:hint="eastAsia" w:ascii="宋体" w:hAnsi="宋体" w:eastAsia="宋体" w:cs="宋体"/>
          <w:color w:val="auto"/>
          <w:szCs w:val="21"/>
          <w:lang w:val="en-US" w:eastAsia="zh-CN"/>
        </w:rPr>
        <w:t>（业主）出具的书面文件扫描件</w:t>
      </w:r>
      <w:r>
        <w:rPr>
          <w:rFonts w:hint="eastAsia" w:ascii="宋体" w:hAnsi="宋体" w:eastAsia="宋体" w:cs="宋体"/>
          <w:color w:val="auto"/>
          <w:szCs w:val="21"/>
          <w:lang w:val="en-US"/>
        </w:rPr>
        <w:t>（需加盖服务发包人公章，即</w:t>
      </w:r>
      <w:r>
        <w:rPr>
          <w:rFonts w:hint="eastAsia" w:ascii="宋体" w:hAnsi="宋体" w:eastAsia="宋体" w:cs="宋体"/>
          <w:color w:val="auto"/>
          <w:szCs w:val="21"/>
          <w:lang w:val="en-US" w:eastAsia="zh-CN"/>
        </w:rPr>
        <w:t>扫描件</w:t>
      </w:r>
      <w:r>
        <w:rPr>
          <w:rFonts w:hint="eastAsia" w:ascii="宋体" w:hAnsi="宋体" w:eastAsia="宋体" w:cs="宋体"/>
          <w:color w:val="auto"/>
          <w:szCs w:val="21"/>
          <w:lang w:val="en-US"/>
        </w:rPr>
        <w:t>能显示服务发包人公章）</w:t>
      </w:r>
      <w:r>
        <w:rPr>
          <w:rFonts w:hint="eastAsia" w:ascii="宋体" w:hAnsi="宋体" w:eastAsia="宋体" w:cs="宋体"/>
          <w:color w:val="auto"/>
          <w:szCs w:val="21"/>
          <w:lang w:val="en-US" w:eastAsia="zh-CN"/>
        </w:rPr>
        <w:t>或</w:t>
      </w:r>
      <w:r>
        <w:rPr>
          <w:rFonts w:hint="eastAsia" w:ascii="宋体" w:hAnsi="宋体" w:eastAsia="宋体" w:cs="宋体"/>
          <w:color w:val="auto"/>
          <w:szCs w:val="21"/>
          <w:lang w:val="en-US"/>
        </w:rPr>
        <w:t>发包人</w:t>
      </w:r>
      <w:r>
        <w:rPr>
          <w:rFonts w:hint="eastAsia" w:ascii="宋体" w:hAnsi="宋体" w:eastAsia="宋体" w:cs="宋体"/>
          <w:color w:val="auto"/>
          <w:szCs w:val="21"/>
          <w:lang w:val="en-US" w:eastAsia="zh-CN"/>
        </w:rPr>
        <w:t>（业主）加盖公章反映条件的招标文件扫描件或政府部门</w:t>
      </w:r>
      <w:r>
        <w:rPr>
          <w:rFonts w:hint="eastAsia" w:ascii="宋体" w:hAnsi="宋体" w:eastAsia="宋体" w:cs="宋体"/>
          <w:color w:val="auto"/>
          <w:szCs w:val="21"/>
        </w:rPr>
        <w:t>出具的相关证明材料</w:t>
      </w:r>
      <w:r>
        <w:rPr>
          <w:rFonts w:hint="eastAsia" w:ascii="宋体" w:hAnsi="宋体" w:eastAsia="宋体" w:cs="宋体"/>
          <w:color w:val="auto"/>
          <w:szCs w:val="21"/>
          <w:lang w:val="en-US" w:eastAsia="zh-CN"/>
        </w:rPr>
        <w:t>扫描</w:t>
      </w:r>
      <w:r>
        <w:rPr>
          <w:rFonts w:hint="eastAsia" w:ascii="宋体" w:hAnsi="宋体" w:eastAsia="宋体" w:cs="宋体"/>
          <w:color w:val="auto"/>
          <w:szCs w:val="21"/>
          <w:lang w:val="en-US"/>
        </w:rPr>
        <w:t>件作为辅助证明，否则不得分。</w:t>
      </w:r>
    </w:p>
    <w:p w14:paraId="50D9B1CF">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w:t>
      </w:r>
      <w:bookmarkEnd w:id="868"/>
      <w:bookmarkEnd w:id="869"/>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bookmarkEnd w:id="860"/>
    <w:bookmarkEnd w:id="861"/>
    <w:bookmarkEnd w:id="862"/>
    <w:p w14:paraId="0D963C82">
      <w:pPr>
        <w:autoSpaceDE/>
        <w:autoSpaceDN/>
        <w:adjustRightInd/>
        <w:spacing w:line="360" w:lineRule="auto"/>
        <w:ind w:firstLine="0" w:firstLineChars="0"/>
        <w:outlineLvl w:val="9"/>
        <w:rPr>
          <w:rFonts w:hint="eastAsia" w:ascii="宋体" w:hAnsi="宋体" w:eastAsia="宋体" w:cs="宋体"/>
          <w:b/>
          <w:color w:val="auto"/>
          <w:kern w:val="2"/>
          <w:sz w:val="21"/>
          <w:szCs w:val="21"/>
          <w:highlight w:val="none"/>
          <w:lang w:val="zh-CN"/>
        </w:rPr>
      </w:pPr>
    </w:p>
    <w:p w14:paraId="160CCFC7">
      <w:pPr>
        <w:autoSpaceDE/>
        <w:autoSpaceDN/>
        <w:adjustRightInd/>
        <w:spacing w:line="360" w:lineRule="auto"/>
        <w:ind w:firstLine="0" w:firstLineChars="0"/>
        <w:outlineLvl w:val="9"/>
        <w:rPr>
          <w:rFonts w:hint="eastAsia" w:ascii="宋体" w:hAnsi="宋体" w:eastAsia="宋体" w:cs="宋体"/>
          <w:b/>
          <w:color w:val="auto"/>
          <w:kern w:val="2"/>
          <w:sz w:val="21"/>
          <w:szCs w:val="21"/>
          <w:highlight w:val="none"/>
          <w:lang w:val="zh-CN"/>
        </w:rPr>
      </w:pPr>
    </w:p>
    <w:p w14:paraId="5E092EFD">
      <w:pPr>
        <w:autoSpaceDE/>
        <w:autoSpaceDN/>
        <w:adjustRightInd/>
        <w:spacing w:line="360" w:lineRule="auto"/>
        <w:ind w:firstLine="3780" w:firstLineChars="18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60696BA4">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51102691">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742C0B50">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1CEE5DF0">
      <w:pPr>
        <w:rPr>
          <w:rFonts w:hint="eastAsia" w:ascii="宋体" w:hAnsi="宋体" w:eastAsia="宋体" w:cs="宋体"/>
          <w:b/>
          <w:color w:val="auto"/>
          <w:kern w:val="0"/>
          <w:sz w:val="30"/>
          <w:szCs w:val="30"/>
          <w:highlight w:val="none"/>
          <w:lang w:val="en-US" w:eastAsia="zh-CN"/>
        </w:rPr>
      </w:pPr>
      <w:bookmarkStart w:id="870" w:name="_Toc8121"/>
      <w:bookmarkStart w:id="871" w:name="_Toc21843"/>
      <w:bookmarkStart w:id="872" w:name="_Toc15489"/>
      <w:bookmarkStart w:id="873" w:name="_Toc7508"/>
      <w:r>
        <w:rPr>
          <w:rFonts w:hint="eastAsia" w:ascii="宋体" w:hAnsi="宋体" w:eastAsia="宋体" w:cs="宋体"/>
          <w:b/>
          <w:color w:val="auto"/>
          <w:kern w:val="0"/>
          <w:sz w:val="30"/>
          <w:szCs w:val="30"/>
          <w:highlight w:val="none"/>
          <w:lang w:val="en-US" w:eastAsia="zh-CN"/>
        </w:rPr>
        <w:br w:type="page"/>
      </w:r>
    </w:p>
    <w:p w14:paraId="0D3C50C8">
      <w:pPr>
        <w:tabs>
          <w:tab w:val="left" w:pos="567"/>
        </w:tabs>
        <w:autoSpaceDE w:val="0"/>
        <w:autoSpaceDN w:val="0"/>
        <w:adjustRightInd w:val="0"/>
        <w:spacing w:line="360" w:lineRule="auto"/>
        <w:jc w:val="left"/>
        <w:outlineLvl w:val="2"/>
        <w:rPr>
          <w:rFonts w:hint="eastAsia" w:ascii="宋体" w:hAnsi="宋体" w:eastAsia="宋体" w:cs="宋体"/>
          <w:b/>
          <w:bCs/>
          <w:color w:val="auto"/>
          <w:sz w:val="32"/>
          <w:szCs w:val="32"/>
          <w:highlight w:val="none"/>
          <w:lang w:val="zh-CN"/>
        </w:rPr>
      </w:pPr>
      <w:r>
        <w:rPr>
          <w:rFonts w:hint="eastAsia" w:ascii="宋体" w:hAnsi="宋体" w:eastAsia="宋体" w:cs="宋体"/>
          <w:b/>
          <w:color w:val="auto"/>
          <w:kern w:val="0"/>
          <w:sz w:val="30"/>
          <w:szCs w:val="30"/>
          <w:highlight w:val="none"/>
          <w:lang w:val="en-US" w:eastAsia="zh-CN"/>
        </w:rPr>
        <w:t xml:space="preserve">5.5 </w:t>
      </w:r>
      <w:r>
        <w:rPr>
          <w:rFonts w:hint="eastAsia" w:ascii="宋体" w:hAnsi="宋体" w:eastAsia="宋体" w:cs="宋体"/>
          <w:b/>
          <w:color w:val="auto"/>
          <w:kern w:val="0"/>
          <w:sz w:val="30"/>
          <w:szCs w:val="30"/>
          <w:highlight w:val="none"/>
        </w:rPr>
        <w:t>最近3年投标人牵涉的其他（失信和违法）处罚说明格式</w:t>
      </w:r>
      <w:bookmarkEnd w:id="863"/>
      <w:bookmarkEnd w:id="864"/>
      <w:bookmarkEnd w:id="865"/>
      <w:bookmarkEnd w:id="866"/>
      <w:bookmarkEnd w:id="867"/>
      <w:bookmarkEnd w:id="870"/>
      <w:bookmarkEnd w:id="871"/>
      <w:bookmarkEnd w:id="872"/>
      <w:bookmarkEnd w:id="873"/>
    </w:p>
    <w:p w14:paraId="2012BCBE">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329D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577D6023">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31C834C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1FF5E7F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36188D3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3017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494A61D8">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65529F0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676EEAF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1E946EA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562A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1C357F5A">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0C493C4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2C2B935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65D5738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371F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17DEB922">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037B702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6A7B861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09CE688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38FFCE98">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0A32FD30">
      <w:p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w:t>
      </w:r>
      <w:r>
        <w:rPr>
          <w:rFonts w:hint="eastAsia" w:ascii="宋体" w:hAnsi="宋体" w:eastAsia="宋体" w:cs="宋体"/>
          <w:color w:val="auto"/>
          <w:kern w:val="0"/>
          <w:szCs w:val="21"/>
          <w:highlight w:val="none"/>
          <w:lang w:eastAsia="zh-CN"/>
        </w:rPr>
        <w:t>扫描件</w:t>
      </w:r>
      <w:r>
        <w:rPr>
          <w:rFonts w:hint="eastAsia" w:ascii="宋体" w:hAnsi="宋体" w:eastAsia="宋体" w:cs="宋体"/>
          <w:color w:val="auto"/>
          <w:kern w:val="0"/>
          <w:szCs w:val="21"/>
          <w:highlight w:val="none"/>
        </w:rPr>
        <w:t>；若出现相关处罚的处罚期满,但处罚公示没有及时更新的情况,投标人须提供相关材料(</w:t>
      </w:r>
      <w:r>
        <w:rPr>
          <w:rFonts w:hint="eastAsia" w:ascii="宋体" w:hAnsi="宋体" w:eastAsia="宋体" w:cs="宋体"/>
          <w:color w:val="auto"/>
          <w:kern w:val="0"/>
          <w:szCs w:val="21"/>
          <w:highlight w:val="none"/>
          <w:lang w:eastAsia="zh-CN"/>
        </w:rPr>
        <w:t>扫描件</w:t>
      </w:r>
      <w:r>
        <w:rPr>
          <w:rFonts w:hint="eastAsia" w:ascii="宋体" w:hAnsi="宋体" w:eastAsia="宋体" w:cs="宋体"/>
          <w:color w:val="auto"/>
          <w:kern w:val="0"/>
          <w:szCs w:val="21"/>
          <w:highlight w:val="none"/>
        </w:rPr>
        <w:t>)佐证，需原件备查</w:t>
      </w:r>
      <w:r>
        <w:rPr>
          <w:rFonts w:hint="eastAsia" w:ascii="宋体" w:hAnsi="宋体" w:eastAsia="宋体" w:cs="宋体"/>
          <w:color w:val="auto"/>
          <w:szCs w:val="21"/>
          <w:highlight w:val="none"/>
          <w:lang w:val="zh-CN"/>
        </w:rPr>
        <w:t>。</w:t>
      </w:r>
    </w:p>
    <w:p w14:paraId="79F97BAF">
      <w:pPr>
        <w:autoSpaceDE w:val="0"/>
        <w:autoSpaceDN w:val="0"/>
        <w:adjustRightInd w:val="0"/>
        <w:ind w:right="-23" w:rightChars="-11"/>
        <w:jc w:val="left"/>
        <w:outlineLvl w:val="9"/>
        <w:rPr>
          <w:rFonts w:hint="eastAsia" w:ascii="宋体" w:hAnsi="宋体" w:eastAsia="宋体" w:cs="宋体"/>
          <w:b/>
          <w:bCs/>
          <w:color w:val="auto"/>
          <w:kern w:val="0"/>
          <w:szCs w:val="21"/>
          <w:highlight w:val="none"/>
          <w:lang w:val="zh-CN"/>
        </w:rPr>
      </w:pPr>
    </w:p>
    <w:p w14:paraId="2B9B5DD8">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14:paraId="37BF4CD0">
      <w:pPr>
        <w:spacing w:line="360" w:lineRule="auto"/>
        <w:ind w:firstLine="494" w:firstLineChars="206"/>
        <w:outlineLvl w:val="9"/>
        <w:rPr>
          <w:rFonts w:hint="eastAsia" w:ascii="宋体" w:hAnsi="宋体" w:eastAsia="宋体" w:cs="宋体"/>
          <w:color w:val="auto"/>
          <w:kern w:val="0"/>
          <w:sz w:val="24"/>
          <w:szCs w:val="24"/>
          <w:highlight w:val="none"/>
        </w:rPr>
      </w:pPr>
    </w:p>
    <w:p w14:paraId="394A73CD">
      <w:pPr>
        <w:spacing w:line="360" w:lineRule="auto"/>
        <w:ind w:firstLine="494" w:firstLineChars="206"/>
        <w:outlineLvl w:val="9"/>
        <w:rPr>
          <w:rFonts w:hint="eastAsia" w:ascii="宋体" w:hAnsi="宋体" w:eastAsia="宋体" w:cs="宋体"/>
          <w:color w:val="auto"/>
          <w:kern w:val="0"/>
          <w:sz w:val="24"/>
          <w:szCs w:val="24"/>
          <w:highlight w:val="none"/>
        </w:rPr>
      </w:pPr>
    </w:p>
    <w:p w14:paraId="4C92DCD4">
      <w:pPr>
        <w:spacing w:line="360" w:lineRule="auto"/>
        <w:ind w:firstLine="494" w:firstLineChars="206"/>
        <w:outlineLvl w:val="9"/>
        <w:rPr>
          <w:rFonts w:hint="eastAsia" w:ascii="宋体" w:hAnsi="宋体" w:eastAsia="宋体" w:cs="宋体"/>
          <w:color w:val="auto"/>
          <w:kern w:val="0"/>
          <w:sz w:val="24"/>
          <w:szCs w:val="24"/>
          <w:highlight w:val="none"/>
        </w:rPr>
      </w:pPr>
    </w:p>
    <w:p w14:paraId="11BE9AD4">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bookmarkStart w:id="874" w:name="_Toc104991881"/>
      <w:bookmarkStart w:id="875" w:name="_Toc102860423"/>
      <w:bookmarkStart w:id="876" w:name="_Toc486167714"/>
      <w:bookmarkStart w:id="877" w:name="_Toc1977731"/>
      <w:bookmarkStart w:id="878" w:name="_Toc533708126"/>
      <w:bookmarkStart w:id="879" w:name="_Toc140596934"/>
      <w:bookmarkStart w:id="880" w:name="_Toc102860079"/>
      <w:bookmarkStart w:id="881" w:name="_Toc6412"/>
      <w:bookmarkStart w:id="882" w:name="_Toc2031_WPSOffice_Level2"/>
      <w:bookmarkStart w:id="883" w:name="_Toc30939"/>
      <w:bookmarkStart w:id="884" w:name="_Toc94107215"/>
      <w:bookmarkStart w:id="885" w:name="_Toc142508374"/>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3179698F">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4439BD57">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5ACC3D99">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3474491F">
      <w:pPr>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166F013C">
      <w:pPr>
        <w:tabs>
          <w:tab w:val="left" w:pos="567"/>
        </w:tabs>
        <w:autoSpaceDE w:val="0"/>
        <w:autoSpaceDN w:val="0"/>
        <w:adjustRightInd w:val="0"/>
        <w:spacing w:line="360" w:lineRule="auto"/>
        <w:jc w:val="left"/>
        <w:outlineLvl w:val="1"/>
        <w:rPr>
          <w:rFonts w:hint="eastAsia" w:ascii="宋体" w:hAnsi="宋体" w:eastAsia="宋体" w:cs="宋体"/>
          <w:color w:val="auto"/>
          <w:kern w:val="0"/>
          <w:szCs w:val="21"/>
          <w:highlight w:val="none"/>
          <w:u w:val="single"/>
        </w:rPr>
      </w:pPr>
      <w:bookmarkStart w:id="886" w:name="_Toc17508"/>
      <w:bookmarkStart w:id="887" w:name="_Toc19796"/>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p>
    <w:p w14:paraId="6C1542E5">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888" w:name="_Toc2773_WPSOffice_Level3"/>
      <w:r>
        <w:rPr>
          <w:rFonts w:hint="eastAsia" w:ascii="宋体" w:hAnsi="宋体" w:eastAsia="宋体" w:cs="宋体"/>
          <w:b/>
          <w:bCs/>
          <w:color w:val="auto"/>
          <w:sz w:val="30"/>
          <w:szCs w:val="30"/>
          <w:highlight w:val="none"/>
          <w:lang w:val="zh-CN"/>
        </w:rPr>
        <w:t>投标人基本情况一览表</w:t>
      </w:r>
      <w:bookmarkEnd w:id="888"/>
    </w:p>
    <w:p w14:paraId="615673A3">
      <w:pPr>
        <w:autoSpaceDE w:val="0"/>
        <w:autoSpaceDN w:val="0"/>
        <w:adjustRightInd w:val="0"/>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1C87983A">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04DD4027">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15DA2E27">
      <w:pPr>
        <w:autoSpaceDE w:val="0"/>
        <w:autoSpaceDN w:val="0"/>
        <w:adjustRightInd w:val="0"/>
        <w:spacing w:line="360" w:lineRule="auto"/>
        <w:ind w:firstLine="66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7D882369">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087776A7">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1819577F">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61A713E6">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31E2F64D">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1B27C3FC">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6FCB69AC">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0A9EB448">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68D714A9">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5192709C">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2C9B744A">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04E8D776">
      <w:pPr>
        <w:autoSpaceDE w:val="0"/>
        <w:autoSpaceDN w:val="0"/>
        <w:adjustRightInd w:val="0"/>
        <w:spacing w:line="360" w:lineRule="auto"/>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2755BE4E">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080B2272">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1AA184C1">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2EB01685">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68B0CB63">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74615867">
      <w:pPr>
        <w:autoSpaceDE w:val="0"/>
        <w:autoSpaceDN w:val="0"/>
        <w:adjustRightInd w:val="0"/>
        <w:spacing w:line="360" w:lineRule="auto"/>
        <w:ind w:left="836" w:leftChars="137" w:hanging="548" w:hangingChars="261"/>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（3）东莞市内设有分支机构情况介绍[应提供该分支机构的多证合一营业执照扫描件等证明材料]（若无前述分支机构的无需介绍）。</w:t>
      </w:r>
    </w:p>
    <w:p w14:paraId="7C224EA9">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71FD8D7B">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14:paraId="092BCF99">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95A2FF5">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5E09F64A">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37B2CF9B">
      <w:pPr>
        <w:autoSpaceDE w:val="0"/>
        <w:autoSpaceDN w:val="0"/>
        <w:adjustRightInd w:val="0"/>
        <w:spacing w:line="360" w:lineRule="auto"/>
        <w:jc w:val="center"/>
        <w:rPr>
          <w:rFonts w:hint="eastAsia"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391DC663">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889" w:name="_Toc1605"/>
      <w:bookmarkStart w:id="890" w:name="_Toc10443"/>
      <w:bookmarkStart w:id="891" w:name="_Toc94107216"/>
      <w:bookmarkStart w:id="892" w:name="_Toc29014"/>
      <w:bookmarkStart w:id="893" w:name="_Toc142508375"/>
      <w:bookmarkStart w:id="894" w:name="_Toc102860424"/>
      <w:bookmarkStart w:id="895" w:name="_Toc4023"/>
      <w:bookmarkStart w:id="896" w:name="_Toc140596935"/>
      <w:bookmarkStart w:id="897" w:name="_Toc104991882"/>
      <w:bookmarkStart w:id="898" w:name="_Toc102860080"/>
      <w:bookmarkStart w:id="899" w:name="_Toc486167715"/>
      <w:bookmarkStart w:id="900" w:name="_Toc9051_WPSOffice_Level2"/>
      <w:bookmarkStart w:id="901" w:name="_Toc533708128"/>
      <w:bookmarkStart w:id="902" w:name="_Toc1977733"/>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889"/>
      <w:bookmarkEnd w:id="890"/>
      <w:bookmarkEnd w:id="891"/>
      <w:bookmarkEnd w:id="892"/>
      <w:bookmarkEnd w:id="893"/>
      <w:bookmarkEnd w:id="894"/>
      <w:bookmarkEnd w:id="895"/>
      <w:bookmarkEnd w:id="896"/>
      <w:bookmarkEnd w:id="897"/>
      <w:bookmarkEnd w:id="898"/>
    </w:p>
    <w:p w14:paraId="61283F68">
      <w:pPr>
        <w:autoSpaceDE w:val="0"/>
        <w:autoSpaceDN w:val="0"/>
        <w:adjustRightInd w:val="0"/>
        <w:spacing w:line="360" w:lineRule="auto"/>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7C703577">
      <w:pPr>
        <w:autoSpaceDE w:val="0"/>
        <w:autoSpaceDN w:val="0"/>
        <w:adjustRightInd w:val="0"/>
        <w:spacing w:line="360" w:lineRule="auto"/>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4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67887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2A53661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29C6A96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276F623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55CB3FF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7DB9A89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1AC3EE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3BB6E39">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2022</w:t>
            </w:r>
          </w:p>
        </w:tc>
        <w:tc>
          <w:tcPr>
            <w:tcW w:w="1944" w:type="dxa"/>
            <w:vAlign w:val="center"/>
          </w:tcPr>
          <w:p w14:paraId="22F585E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18CAE71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vAlign w:val="center"/>
          </w:tcPr>
          <w:p w14:paraId="1EA6F63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4CAB606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3FA5D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87AAB4A">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2023</w:t>
            </w:r>
          </w:p>
        </w:tc>
        <w:tc>
          <w:tcPr>
            <w:tcW w:w="1944" w:type="dxa"/>
            <w:vAlign w:val="center"/>
          </w:tcPr>
          <w:p w14:paraId="7024DE7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6420D0E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5197D03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213B298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123ED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EC6D276">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2024</w:t>
            </w:r>
          </w:p>
        </w:tc>
        <w:tc>
          <w:tcPr>
            <w:tcW w:w="1944" w:type="dxa"/>
            <w:vAlign w:val="center"/>
          </w:tcPr>
          <w:p w14:paraId="5D8B756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1237562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2FCD030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0BD5386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75543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51471D1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4CD2B7B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1F90CF6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57B99374">
      <w:pPr>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06CBA6FA">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1E73E1FD">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p>
    <w:p w14:paraId="72CD03FC">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p>
    <w:p w14:paraId="0796B05C">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6F83FAAE">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7BE6DDA2">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59FC78A7">
      <w:pPr>
        <w:autoSpaceDE w:val="0"/>
        <w:autoSpaceDN w:val="0"/>
        <w:adjustRightInd w:val="0"/>
        <w:spacing w:line="360" w:lineRule="auto"/>
        <w:jc w:val="center"/>
        <w:outlineLvl w:val="9"/>
        <w:rPr>
          <w:rFonts w:hint="eastAsia" w:ascii="宋体" w:hAnsi="宋体" w:eastAsia="宋体" w:cs="宋体"/>
          <w:b/>
          <w:bCs/>
          <w:color w:val="auto"/>
          <w:kern w:val="0"/>
          <w:szCs w:val="21"/>
          <w:highlight w:val="none"/>
        </w:rPr>
        <w:sectPr>
          <w:footerReference r:id="rId15" w:type="default"/>
          <w:pgSz w:w="11907" w:h="16840"/>
          <w:pgMar w:top="1701" w:right="1418" w:bottom="851" w:left="1418" w:header="720" w:footer="720" w:gutter="0"/>
          <w:pgNumType w:fmt="decimal"/>
          <w:cols w:space="720" w:num="1"/>
          <w:docGrid w:linePitch="326" w:charSpace="0"/>
        </w:sectPr>
      </w:pPr>
      <w:r>
        <w:rPr>
          <w:rFonts w:hint="eastAsia" w:ascii="宋体" w:hAnsi="宋体" w:eastAsia="宋体" w:cs="宋体"/>
          <w:b/>
          <w:bCs/>
          <w:color w:val="auto"/>
          <w:szCs w:val="24"/>
          <w:highlight w:val="none"/>
          <w:lang w:val="zh-CN"/>
        </w:rPr>
        <w:t>说明：由投标人使用投标人的企业数字证书电子签名。</w:t>
      </w:r>
    </w:p>
    <w:bookmarkEnd w:id="899"/>
    <w:bookmarkEnd w:id="900"/>
    <w:bookmarkEnd w:id="901"/>
    <w:bookmarkEnd w:id="902"/>
    <w:p w14:paraId="2DFBB693">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sz w:val="32"/>
          <w:szCs w:val="32"/>
          <w:highlight w:val="none"/>
          <w:lang w:val="en-US" w:eastAsia="zh-CN"/>
        </w:rPr>
      </w:pPr>
      <w:bookmarkStart w:id="903" w:name="_Toc94107217"/>
      <w:bookmarkStart w:id="904" w:name="_Toc26821"/>
      <w:bookmarkStart w:id="905" w:name="_Toc17995"/>
      <w:bookmarkStart w:id="906" w:name="_Toc533708130"/>
      <w:bookmarkStart w:id="907" w:name="_Toc140596936"/>
      <w:bookmarkStart w:id="908" w:name="_Toc102860081"/>
      <w:bookmarkStart w:id="909" w:name="_Toc486167716"/>
      <w:bookmarkStart w:id="910" w:name="_Toc102860425"/>
      <w:bookmarkStart w:id="911" w:name="_Toc739_WPSOffice_Level2"/>
      <w:bookmarkStart w:id="912" w:name="_Toc142508376"/>
      <w:bookmarkStart w:id="913" w:name="_Toc104991883"/>
      <w:bookmarkStart w:id="914" w:name="_Toc1977736"/>
      <w:bookmarkStart w:id="915" w:name="_Toc333"/>
      <w:bookmarkStart w:id="916" w:name="_Toc9320"/>
      <w:r>
        <w:rPr>
          <w:rFonts w:hint="eastAsia" w:ascii="宋体" w:hAnsi="宋体" w:eastAsia="宋体" w:cs="宋体"/>
          <w:b/>
          <w:color w:val="auto"/>
          <w:sz w:val="32"/>
          <w:szCs w:val="32"/>
          <w:highlight w:val="none"/>
          <w:lang w:val="en-US" w:eastAsia="zh-CN"/>
        </w:rPr>
        <w:t>八、标准化体系认证</w:t>
      </w:r>
    </w:p>
    <w:p w14:paraId="36CB190C">
      <w:pPr>
        <w:tabs>
          <w:tab w:val="left" w:pos="120"/>
        </w:tabs>
        <w:spacing w:before="196" w:line="356" w:lineRule="auto"/>
        <w:ind w:left="30" w:right="59" w:firstLine="410"/>
        <w:jc w:val="both"/>
        <w:rPr>
          <w:rFonts w:ascii="宋体" w:hAnsi="宋体" w:eastAsia="宋体" w:cs="宋体"/>
          <w:color w:val="auto"/>
          <w:sz w:val="21"/>
          <w:szCs w:val="21"/>
        </w:rPr>
        <w:sectPr>
          <w:headerReference r:id="rId16" w:type="default"/>
          <w:footerReference r:id="rId17" w:type="default"/>
          <w:pgSz w:w="11910" w:h="16840"/>
          <w:pgMar w:top="962" w:right="1519" w:bottom="958" w:left="1249" w:header="700" w:footer="805" w:gutter="0"/>
          <w:pgNumType w:fmt="decimal"/>
          <w:cols w:space="720" w:num="1"/>
        </w:sectPr>
      </w:pPr>
      <w:r>
        <w:rPr>
          <w:rFonts w:ascii="宋体" w:hAnsi="宋体" w:eastAsia="宋体" w:cs="宋体"/>
          <w:color w:val="auto"/>
          <w:sz w:val="21"/>
          <w:szCs w:val="21"/>
        </w:rPr>
        <w:t>备注：</w:t>
      </w:r>
      <w:r>
        <w:rPr>
          <w:rFonts w:hint="eastAsia" w:ascii="宋体" w:hAnsi="宋体" w:eastAsia="宋体" w:cs="宋体"/>
          <w:color w:val="auto"/>
          <w:sz w:val="21"/>
          <w:szCs w:val="21"/>
          <w:lang w:val="en-US" w:eastAsia="zh-CN"/>
        </w:rPr>
        <w:t>投标人应</w:t>
      </w:r>
      <w:r>
        <w:rPr>
          <w:rFonts w:hint="eastAsia" w:ascii="宋体" w:hAnsi="宋体" w:eastAsia="宋体" w:cs="宋体"/>
          <w:color w:val="auto"/>
          <w:sz w:val="21"/>
          <w:szCs w:val="21"/>
        </w:rPr>
        <w:t>提供上述有效证书</w:t>
      </w:r>
      <w:r>
        <w:rPr>
          <w:rFonts w:hint="eastAsia" w:ascii="宋体" w:hAnsi="宋体" w:eastAsia="宋体" w:cs="宋体"/>
          <w:color w:val="auto"/>
          <w:sz w:val="21"/>
          <w:szCs w:val="21"/>
          <w:lang w:eastAsia="zh-CN"/>
        </w:rPr>
        <w:t>扫描件</w:t>
      </w:r>
      <w:r>
        <w:rPr>
          <w:rFonts w:hint="eastAsia" w:ascii="宋体" w:hAnsi="宋体" w:eastAsia="宋体" w:cs="宋体"/>
          <w:color w:val="auto"/>
          <w:sz w:val="21"/>
          <w:szCs w:val="21"/>
        </w:rPr>
        <w:t>及能显示证书有效状态的全国认证认可信息公共服务平台（http://cx.cnca.cn/）查询结果凭证[凭证界面需显示有“全国认证认可信息公共服务平台”或“认证证书（需显示网址cx.cnca.cn）”]</w:t>
      </w:r>
    </w:p>
    <w:p w14:paraId="7EA62378">
      <w:pPr>
        <w:tabs>
          <w:tab w:val="left" w:pos="567"/>
        </w:tabs>
        <w:autoSpaceDE w:val="0"/>
        <w:autoSpaceDN w:val="0"/>
        <w:adjustRightInd w:val="0"/>
        <w:spacing w:line="360" w:lineRule="auto"/>
        <w:jc w:val="left"/>
        <w:outlineLvl w:val="1"/>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、合同条款偏离表格式</w:t>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14:paraId="4BBFD921">
      <w:pPr>
        <w:autoSpaceDE w:val="0"/>
        <w:autoSpaceDN w:val="0"/>
        <w:adjustRightInd w:val="0"/>
        <w:spacing w:line="360" w:lineRule="auto"/>
        <w:jc w:val="center"/>
        <w:outlineLvl w:val="9"/>
        <w:rPr>
          <w:rFonts w:hint="eastAsia" w:ascii="宋体" w:hAnsi="宋体" w:eastAsia="宋体" w:cs="宋体"/>
          <w:b/>
          <w:bCs/>
          <w:color w:val="auto"/>
          <w:kern w:val="0"/>
          <w:sz w:val="28"/>
          <w:szCs w:val="30"/>
          <w:highlight w:val="none"/>
          <w:lang w:val="zh-CN"/>
        </w:rPr>
      </w:pPr>
      <w:bookmarkStart w:id="917" w:name="_Toc26412_WPSOffice_Level3"/>
      <w:r>
        <w:rPr>
          <w:rFonts w:hint="eastAsia" w:ascii="宋体" w:hAnsi="宋体" w:eastAsia="宋体" w:cs="宋体"/>
          <w:b/>
          <w:bCs/>
          <w:color w:val="auto"/>
          <w:kern w:val="0"/>
          <w:sz w:val="28"/>
          <w:szCs w:val="30"/>
          <w:highlight w:val="none"/>
          <w:lang w:val="zh-CN"/>
        </w:rPr>
        <w:t>东莞市置拓投资有限公司水业大厦2026-2027年度物业管理服务采购项目合同条款偏离表</w:t>
      </w:r>
      <w:bookmarkEnd w:id="917"/>
    </w:p>
    <w:tbl>
      <w:tblPr>
        <w:tblStyle w:val="41"/>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326"/>
        <w:gridCol w:w="2851"/>
        <w:gridCol w:w="1248"/>
        <w:gridCol w:w="3291"/>
      </w:tblGrid>
      <w:tr w14:paraId="2F76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89" w:type="pct"/>
            <w:vMerge w:val="restart"/>
            <w:vAlign w:val="center"/>
          </w:tcPr>
          <w:p w14:paraId="445BC0B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161" w:type="pct"/>
            <w:gridSpan w:val="2"/>
            <w:vAlign w:val="center"/>
          </w:tcPr>
          <w:p w14:paraId="3AE7586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2349" w:type="pct"/>
            <w:gridSpan w:val="2"/>
            <w:vAlign w:val="center"/>
          </w:tcPr>
          <w:p w14:paraId="72E12F7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33B0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489" w:type="pct"/>
            <w:vMerge w:val="continue"/>
            <w:vAlign w:val="center"/>
          </w:tcPr>
          <w:p w14:paraId="21F10A0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686" w:type="pct"/>
            <w:vAlign w:val="center"/>
          </w:tcPr>
          <w:p w14:paraId="5EB2DC9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1475" w:type="pct"/>
            <w:vAlign w:val="center"/>
          </w:tcPr>
          <w:p w14:paraId="106C068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646" w:type="pct"/>
            <w:vAlign w:val="center"/>
          </w:tcPr>
          <w:p w14:paraId="285C073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1703" w:type="pct"/>
            <w:vAlign w:val="center"/>
          </w:tcPr>
          <w:p w14:paraId="3D31D98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0054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0C71453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86" w:type="pct"/>
            <w:shd w:val="clear" w:color="auto" w:fill="auto"/>
            <w:vAlign w:val="center"/>
          </w:tcPr>
          <w:p w14:paraId="65ACC77E">
            <w:pPr>
              <w:autoSpaceDE w:val="0"/>
              <w:autoSpaceDN w:val="0"/>
              <w:adjustRightInd w:val="0"/>
              <w:spacing w:line="400" w:lineRule="exact"/>
              <w:jc w:val="center"/>
              <w:rPr>
                <w:rFonts w:hint="eastAsia" w:ascii="宋体" w:hAnsi="宋体" w:eastAsia="宋体" w:cs="宋体"/>
                <w:color w:val="auto"/>
                <w:kern w:val="0"/>
                <w:sz w:val="31"/>
                <w:szCs w:val="21"/>
                <w:lang w:val="en-US" w:eastAsia="zh-CN" w:bidi="ar-SA"/>
              </w:rPr>
            </w:pPr>
            <w:r>
              <w:rPr>
                <w:rFonts w:hint="eastAsia" w:ascii="宋体" w:hAnsi="宋体" w:eastAsia="宋体" w:cs="宋体"/>
                <w:color w:val="auto"/>
                <w:kern w:val="0"/>
                <w:szCs w:val="21"/>
                <w:highlight w:val="none"/>
              </w:rPr>
              <w:t>第一条</w:t>
            </w:r>
          </w:p>
        </w:tc>
        <w:tc>
          <w:tcPr>
            <w:tcW w:w="1475" w:type="pct"/>
            <w:shd w:val="clear" w:color="auto" w:fill="auto"/>
            <w:vAlign w:val="center"/>
          </w:tcPr>
          <w:p w14:paraId="006FF511">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服务内容</w:t>
            </w:r>
          </w:p>
        </w:tc>
        <w:tc>
          <w:tcPr>
            <w:tcW w:w="646" w:type="pct"/>
            <w:vAlign w:val="center"/>
          </w:tcPr>
          <w:p w14:paraId="6D5A68D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24D7C40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A8C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0140AE21">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2</w:t>
            </w:r>
          </w:p>
        </w:tc>
        <w:tc>
          <w:tcPr>
            <w:tcW w:w="686" w:type="pct"/>
            <w:shd w:val="clear" w:color="auto" w:fill="auto"/>
            <w:vAlign w:val="center"/>
          </w:tcPr>
          <w:p w14:paraId="7CCCDA30">
            <w:pPr>
              <w:pStyle w:val="70"/>
              <w:snapToGrid w:val="0"/>
              <w:spacing w:line="240" w:lineRule="auto"/>
              <w:ind w:firstLine="0" w:firstLineChars="0"/>
              <w:jc w:val="center"/>
              <w:rPr>
                <w:rFonts w:hint="eastAsia" w:ascii="宋体" w:hAnsi="宋体" w:eastAsia="宋体" w:cs="宋体"/>
                <w:color w:val="auto"/>
                <w:kern w:val="0"/>
                <w:sz w:val="31"/>
                <w:szCs w:val="21"/>
                <w:lang w:val="en-US" w:eastAsia="zh-CN" w:bidi="ar-SA"/>
              </w:rPr>
            </w:pPr>
            <w:r>
              <w:rPr>
                <w:rFonts w:hint="eastAsia" w:ascii="宋体" w:eastAsia="宋体"/>
                <w:color w:val="auto"/>
                <w:sz w:val="21"/>
                <w:szCs w:val="21"/>
                <w:highlight w:val="none"/>
              </w:rPr>
              <w:t>第二条</w:t>
            </w:r>
          </w:p>
        </w:tc>
        <w:tc>
          <w:tcPr>
            <w:tcW w:w="1475" w:type="pct"/>
            <w:shd w:val="clear" w:color="auto" w:fill="auto"/>
            <w:vAlign w:val="center"/>
          </w:tcPr>
          <w:p w14:paraId="70E1CB0C">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服务期限</w:t>
            </w:r>
          </w:p>
        </w:tc>
        <w:tc>
          <w:tcPr>
            <w:tcW w:w="646" w:type="pct"/>
            <w:vAlign w:val="center"/>
          </w:tcPr>
          <w:p w14:paraId="0131898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48FC0D4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AC2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4099B8C6">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3</w:t>
            </w:r>
          </w:p>
        </w:tc>
        <w:tc>
          <w:tcPr>
            <w:tcW w:w="686" w:type="pct"/>
            <w:shd w:val="clear" w:color="auto" w:fill="auto"/>
            <w:vAlign w:val="center"/>
          </w:tcPr>
          <w:p w14:paraId="4C2E7C60">
            <w:pPr>
              <w:pStyle w:val="70"/>
              <w:snapToGrid w:val="0"/>
              <w:spacing w:line="240" w:lineRule="auto"/>
              <w:ind w:firstLine="0" w:firstLineChars="0"/>
              <w:jc w:val="center"/>
              <w:rPr>
                <w:rFonts w:hint="eastAsia" w:ascii="宋体" w:hAnsi="宋体" w:eastAsia="宋体" w:cs="宋体"/>
                <w:color w:val="auto"/>
                <w:kern w:val="0"/>
                <w:sz w:val="31"/>
                <w:szCs w:val="21"/>
                <w:lang w:val="en-US" w:eastAsia="zh-CN" w:bidi="ar-SA"/>
              </w:rPr>
            </w:pPr>
            <w:r>
              <w:rPr>
                <w:rFonts w:hint="eastAsia" w:ascii="宋体" w:eastAsia="宋体"/>
                <w:color w:val="auto"/>
                <w:sz w:val="21"/>
                <w:szCs w:val="21"/>
                <w:highlight w:val="none"/>
              </w:rPr>
              <w:t>第三条</w:t>
            </w:r>
          </w:p>
        </w:tc>
        <w:tc>
          <w:tcPr>
            <w:tcW w:w="1475" w:type="pct"/>
            <w:shd w:val="clear" w:color="auto" w:fill="auto"/>
            <w:vAlign w:val="center"/>
          </w:tcPr>
          <w:p w14:paraId="2BFC6C5C">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合同价款</w:t>
            </w:r>
          </w:p>
        </w:tc>
        <w:tc>
          <w:tcPr>
            <w:tcW w:w="646" w:type="pct"/>
            <w:vAlign w:val="center"/>
          </w:tcPr>
          <w:p w14:paraId="52E90EC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433CAD6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F45A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762C2A83">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4</w:t>
            </w:r>
          </w:p>
        </w:tc>
        <w:tc>
          <w:tcPr>
            <w:tcW w:w="686" w:type="pct"/>
            <w:shd w:val="clear" w:color="auto" w:fill="auto"/>
            <w:vAlign w:val="center"/>
          </w:tcPr>
          <w:p w14:paraId="1C0E146F">
            <w:pPr>
              <w:pStyle w:val="70"/>
              <w:snapToGrid w:val="0"/>
              <w:spacing w:line="240" w:lineRule="auto"/>
              <w:ind w:firstLine="0" w:firstLineChars="0"/>
              <w:jc w:val="center"/>
              <w:rPr>
                <w:rFonts w:hint="eastAsia" w:ascii="宋体" w:hAnsi="宋体" w:eastAsia="宋体" w:cs="宋体"/>
                <w:color w:val="auto"/>
                <w:kern w:val="0"/>
                <w:sz w:val="31"/>
                <w:szCs w:val="21"/>
                <w:lang w:val="en-US" w:eastAsia="zh-CN" w:bidi="ar-SA"/>
              </w:rPr>
            </w:pPr>
            <w:r>
              <w:rPr>
                <w:rFonts w:hint="eastAsia" w:ascii="宋体" w:eastAsia="宋体"/>
                <w:color w:val="auto"/>
                <w:sz w:val="21"/>
                <w:szCs w:val="21"/>
                <w:highlight w:val="none"/>
              </w:rPr>
              <w:t>第四条</w:t>
            </w:r>
          </w:p>
        </w:tc>
        <w:tc>
          <w:tcPr>
            <w:tcW w:w="1475" w:type="pct"/>
            <w:shd w:val="clear" w:color="auto" w:fill="auto"/>
            <w:vAlign w:val="center"/>
          </w:tcPr>
          <w:p w14:paraId="14C7A5CE">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付款方式</w:t>
            </w:r>
          </w:p>
        </w:tc>
        <w:tc>
          <w:tcPr>
            <w:tcW w:w="646" w:type="pct"/>
            <w:vAlign w:val="center"/>
          </w:tcPr>
          <w:p w14:paraId="08A29F9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0085A5A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F23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3BE58DF0">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5</w:t>
            </w:r>
          </w:p>
        </w:tc>
        <w:tc>
          <w:tcPr>
            <w:tcW w:w="686" w:type="pct"/>
            <w:shd w:val="clear" w:color="auto" w:fill="auto"/>
            <w:vAlign w:val="center"/>
          </w:tcPr>
          <w:p w14:paraId="3466D020">
            <w:pPr>
              <w:pStyle w:val="70"/>
              <w:snapToGrid w:val="0"/>
              <w:spacing w:line="240" w:lineRule="auto"/>
              <w:ind w:firstLine="0" w:firstLineChars="0"/>
              <w:jc w:val="center"/>
              <w:rPr>
                <w:rFonts w:hint="eastAsia" w:ascii="宋体" w:hAnsi="宋体" w:eastAsia="宋体" w:cs="宋体"/>
                <w:color w:val="auto"/>
                <w:kern w:val="0"/>
                <w:sz w:val="31"/>
                <w:szCs w:val="21"/>
                <w:lang w:val="en-US" w:eastAsia="zh-CN" w:bidi="ar-SA"/>
              </w:rPr>
            </w:pPr>
            <w:r>
              <w:rPr>
                <w:rFonts w:hint="eastAsia" w:ascii="宋体" w:eastAsia="宋体"/>
                <w:color w:val="auto"/>
                <w:sz w:val="21"/>
                <w:szCs w:val="21"/>
                <w:highlight w:val="none"/>
              </w:rPr>
              <w:t>第五条</w:t>
            </w:r>
          </w:p>
        </w:tc>
        <w:tc>
          <w:tcPr>
            <w:tcW w:w="1475" w:type="pct"/>
            <w:shd w:val="clear" w:color="auto" w:fill="auto"/>
            <w:vAlign w:val="center"/>
          </w:tcPr>
          <w:p w14:paraId="31DBE708">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物业管理要求</w:t>
            </w:r>
          </w:p>
        </w:tc>
        <w:tc>
          <w:tcPr>
            <w:tcW w:w="646" w:type="pct"/>
            <w:vAlign w:val="center"/>
          </w:tcPr>
          <w:p w14:paraId="1982491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7E3CA73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148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6ADA8D44">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6</w:t>
            </w:r>
          </w:p>
        </w:tc>
        <w:tc>
          <w:tcPr>
            <w:tcW w:w="686" w:type="pct"/>
            <w:shd w:val="clear" w:color="auto" w:fill="auto"/>
            <w:vAlign w:val="center"/>
          </w:tcPr>
          <w:p w14:paraId="1218F1DA">
            <w:pPr>
              <w:pStyle w:val="70"/>
              <w:snapToGrid w:val="0"/>
              <w:spacing w:line="240" w:lineRule="auto"/>
              <w:ind w:firstLine="0" w:firstLineChars="0"/>
              <w:jc w:val="center"/>
              <w:rPr>
                <w:rFonts w:hint="default" w:ascii="宋体" w:hAnsi="宋体" w:eastAsia="宋体" w:cs="宋体"/>
                <w:color w:val="auto"/>
                <w:kern w:val="0"/>
                <w:sz w:val="31"/>
                <w:szCs w:val="21"/>
                <w:lang w:val="en-US" w:eastAsia="zh-CN" w:bidi="ar-SA"/>
              </w:rPr>
            </w:pPr>
            <w:r>
              <w:rPr>
                <w:rFonts w:hint="eastAsia" w:ascii="宋体" w:eastAsia="宋体"/>
                <w:color w:val="auto"/>
                <w:sz w:val="21"/>
                <w:szCs w:val="21"/>
                <w:highlight w:val="none"/>
              </w:rPr>
              <w:t>第六条</w:t>
            </w:r>
          </w:p>
        </w:tc>
        <w:tc>
          <w:tcPr>
            <w:tcW w:w="1475" w:type="pct"/>
            <w:shd w:val="clear" w:color="auto" w:fill="auto"/>
            <w:vAlign w:val="center"/>
          </w:tcPr>
          <w:p w14:paraId="3C6734CE">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双方权利义务</w:t>
            </w:r>
          </w:p>
        </w:tc>
        <w:tc>
          <w:tcPr>
            <w:tcW w:w="646" w:type="pct"/>
            <w:vAlign w:val="center"/>
          </w:tcPr>
          <w:p w14:paraId="63A7FBA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2C1DFA8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236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66127205">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7</w:t>
            </w:r>
          </w:p>
        </w:tc>
        <w:tc>
          <w:tcPr>
            <w:tcW w:w="686" w:type="pct"/>
            <w:shd w:val="clear" w:color="auto" w:fill="auto"/>
            <w:vAlign w:val="center"/>
          </w:tcPr>
          <w:p w14:paraId="3B1728BE">
            <w:pPr>
              <w:pStyle w:val="70"/>
              <w:snapToGrid w:val="0"/>
              <w:spacing w:line="240" w:lineRule="auto"/>
              <w:ind w:firstLine="0" w:firstLineChars="0"/>
              <w:jc w:val="center"/>
              <w:rPr>
                <w:rFonts w:hint="eastAsia" w:ascii="宋体" w:hAnsi="宋体" w:eastAsia="宋体" w:cs="宋体"/>
                <w:color w:val="auto"/>
                <w:kern w:val="0"/>
                <w:sz w:val="31"/>
                <w:szCs w:val="21"/>
                <w:lang w:val="en-US" w:eastAsia="zh-CN" w:bidi="ar-SA"/>
              </w:rPr>
            </w:pPr>
            <w:r>
              <w:rPr>
                <w:rFonts w:hint="eastAsia" w:ascii="宋体" w:eastAsia="宋体"/>
                <w:color w:val="auto"/>
                <w:sz w:val="21"/>
                <w:szCs w:val="21"/>
                <w:highlight w:val="none"/>
              </w:rPr>
              <w:t>第七条</w:t>
            </w:r>
          </w:p>
        </w:tc>
        <w:tc>
          <w:tcPr>
            <w:tcW w:w="1475" w:type="pct"/>
            <w:shd w:val="clear" w:color="auto" w:fill="auto"/>
            <w:vAlign w:val="center"/>
          </w:tcPr>
          <w:p w14:paraId="5981867C">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履约担保</w:t>
            </w:r>
          </w:p>
        </w:tc>
        <w:tc>
          <w:tcPr>
            <w:tcW w:w="646" w:type="pct"/>
            <w:vAlign w:val="center"/>
          </w:tcPr>
          <w:p w14:paraId="642C317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588483D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F35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635310EF">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8</w:t>
            </w:r>
          </w:p>
        </w:tc>
        <w:tc>
          <w:tcPr>
            <w:tcW w:w="686" w:type="pct"/>
            <w:shd w:val="clear" w:color="auto" w:fill="auto"/>
            <w:vAlign w:val="center"/>
          </w:tcPr>
          <w:p w14:paraId="21DD3A15">
            <w:pPr>
              <w:pStyle w:val="70"/>
              <w:snapToGrid w:val="0"/>
              <w:spacing w:line="240" w:lineRule="auto"/>
              <w:ind w:firstLine="0" w:firstLineChars="0"/>
              <w:jc w:val="center"/>
              <w:rPr>
                <w:rFonts w:hint="eastAsia" w:ascii="宋体" w:hAnsi="宋体" w:eastAsia="宋体" w:cs="宋体"/>
                <w:color w:val="auto"/>
                <w:kern w:val="0"/>
                <w:sz w:val="31"/>
                <w:szCs w:val="21"/>
                <w:lang w:val="en-US" w:eastAsia="zh-CN" w:bidi="ar-SA"/>
              </w:rPr>
            </w:pPr>
            <w:r>
              <w:rPr>
                <w:rFonts w:hint="eastAsia" w:ascii="宋体" w:eastAsia="宋体"/>
                <w:color w:val="auto"/>
                <w:sz w:val="21"/>
                <w:szCs w:val="21"/>
                <w:highlight w:val="none"/>
              </w:rPr>
              <w:t>第八条</w:t>
            </w:r>
          </w:p>
        </w:tc>
        <w:tc>
          <w:tcPr>
            <w:tcW w:w="1475" w:type="pct"/>
            <w:shd w:val="clear" w:color="auto" w:fill="auto"/>
            <w:vAlign w:val="center"/>
          </w:tcPr>
          <w:p w14:paraId="2FAB7775">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违约责任</w:t>
            </w:r>
          </w:p>
        </w:tc>
        <w:tc>
          <w:tcPr>
            <w:tcW w:w="646" w:type="pct"/>
            <w:vAlign w:val="center"/>
          </w:tcPr>
          <w:p w14:paraId="299D7B3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6E4A69A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E44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1FF6F4A4">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686" w:type="pct"/>
            <w:shd w:val="clear" w:color="auto" w:fill="auto"/>
            <w:vAlign w:val="center"/>
          </w:tcPr>
          <w:p w14:paraId="1A39F285">
            <w:pPr>
              <w:pStyle w:val="70"/>
              <w:snapToGrid w:val="0"/>
              <w:spacing w:line="240" w:lineRule="auto"/>
              <w:ind w:firstLine="0" w:firstLineChars="0"/>
              <w:jc w:val="center"/>
              <w:rPr>
                <w:rFonts w:hint="eastAsia" w:ascii="宋体" w:hAnsi="宋体" w:eastAsia="宋体" w:cs="宋体"/>
                <w:color w:val="auto"/>
                <w:kern w:val="0"/>
                <w:sz w:val="31"/>
                <w:szCs w:val="21"/>
                <w:lang w:val="en-US" w:eastAsia="zh-CN" w:bidi="ar-SA"/>
              </w:rPr>
            </w:pPr>
            <w:r>
              <w:rPr>
                <w:rFonts w:hint="eastAsia" w:ascii="宋体" w:eastAsia="宋体"/>
                <w:color w:val="auto"/>
                <w:sz w:val="21"/>
                <w:szCs w:val="21"/>
                <w:highlight w:val="none"/>
              </w:rPr>
              <w:t>第九条</w:t>
            </w:r>
          </w:p>
        </w:tc>
        <w:tc>
          <w:tcPr>
            <w:tcW w:w="1475" w:type="pct"/>
            <w:shd w:val="clear" w:color="auto" w:fill="auto"/>
            <w:vAlign w:val="center"/>
          </w:tcPr>
          <w:p w14:paraId="123544FA">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保密约定</w:t>
            </w:r>
          </w:p>
        </w:tc>
        <w:tc>
          <w:tcPr>
            <w:tcW w:w="646" w:type="pct"/>
            <w:vAlign w:val="center"/>
          </w:tcPr>
          <w:p w14:paraId="026EBB0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6BEDFB2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F1C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321B30C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p>
        </w:tc>
        <w:tc>
          <w:tcPr>
            <w:tcW w:w="686" w:type="pct"/>
            <w:shd w:val="clear" w:color="auto" w:fill="auto"/>
            <w:vAlign w:val="center"/>
          </w:tcPr>
          <w:p w14:paraId="0F06F0C1">
            <w:pPr>
              <w:pStyle w:val="70"/>
              <w:snapToGrid w:val="0"/>
              <w:spacing w:line="240" w:lineRule="auto"/>
              <w:ind w:firstLine="0" w:firstLineChars="0"/>
              <w:jc w:val="center"/>
              <w:rPr>
                <w:rFonts w:hint="eastAsia" w:ascii="宋体" w:hAnsi="宋体" w:eastAsia="宋体" w:cs="宋体"/>
                <w:color w:val="auto"/>
                <w:kern w:val="0"/>
                <w:sz w:val="31"/>
                <w:szCs w:val="21"/>
                <w:lang w:val="en-US" w:eastAsia="zh-CN" w:bidi="ar-SA"/>
              </w:rPr>
            </w:pPr>
            <w:r>
              <w:rPr>
                <w:rFonts w:hint="eastAsia" w:ascii="宋体" w:eastAsia="宋体"/>
                <w:color w:val="auto"/>
                <w:sz w:val="21"/>
                <w:szCs w:val="21"/>
                <w:highlight w:val="none"/>
              </w:rPr>
              <w:t>第十条</w:t>
            </w:r>
          </w:p>
        </w:tc>
        <w:tc>
          <w:tcPr>
            <w:tcW w:w="1475" w:type="pct"/>
            <w:shd w:val="clear" w:color="auto" w:fill="auto"/>
            <w:vAlign w:val="center"/>
          </w:tcPr>
          <w:p w14:paraId="490E4FBE">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知识产权</w:t>
            </w:r>
          </w:p>
        </w:tc>
        <w:tc>
          <w:tcPr>
            <w:tcW w:w="646" w:type="pct"/>
            <w:vAlign w:val="center"/>
          </w:tcPr>
          <w:p w14:paraId="0F8D2EC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58A18D6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6543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5327FBE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11</w:t>
            </w:r>
          </w:p>
        </w:tc>
        <w:tc>
          <w:tcPr>
            <w:tcW w:w="686" w:type="pct"/>
            <w:vAlign w:val="center"/>
          </w:tcPr>
          <w:p w14:paraId="19F07249">
            <w:pPr>
              <w:pStyle w:val="70"/>
              <w:snapToGrid w:val="0"/>
              <w:spacing w:line="240" w:lineRule="auto"/>
              <w:ind w:firstLine="0" w:firstLineChars="0"/>
              <w:jc w:val="center"/>
              <w:rPr>
                <w:rFonts w:hint="default" w:ascii="宋体" w:hAnsi="宋体" w:eastAsia="宋体" w:cs="宋体"/>
                <w:color w:val="auto"/>
                <w:kern w:val="0"/>
                <w:szCs w:val="21"/>
                <w:highlight w:val="none"/>
                <w:lang w:val="en-US" w:eastAsia="zh-CN"/>
              </w:rPr>
            </w:pPr>
            <w:r>
              <w:rPr>
                <w:rFonts w:hint="eastAsia" w:ascii="宋体" w:eastAsia="宋体"/>
                <w:color w:val="auto"/>
                <w:sz w:val="21"/>
                <w:szCs w:val="21"/>
                <w:highlight w:val="none"/>
              </w:rPr>
              <w:t>第十一条</w:t>
            </w:r>
          </w:p>
        </w:tc>
        <w:tc>
          <w:tcPr>
            <w:tcW w:w="1475" w:type="pct"/>
            <w:vAlign w:val="center"/>
          </w:tcPr>
          <w:p w14:paraId="74E10611">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不可抗力</w:t>
            </w:r>
          </w:p>
        </w:tc>
        <w:tc>
          <w:tcPr>
            <w:tcW w:w="646" w:type="pct"/>
            <w:vAlign w:val="center"/>
          </w:tcPr>
          <w:p w14:paraId="71157B1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252F264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0FF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150D7FAE">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w:t>
            </w:r>
          </w:p>
        </w:tc>
        <w:tc>
          <w:tcPr>
            <w:tcW w:w="686" w:type="pct"/>
            <w:vAlign w:val="center"/>
          </w:tcPr>
          <w:p w14:paraId="31B521DF">
            <w:pPr>
              <w:pStyle w:val="70"/>
              <w:snapToGrid w:val="0"/>
              <w:spacing w:line="240" w:lineRule="auto"/>
              <w:ind w:firstLine="0" w:firstLineChars="0"/>
              <w:jc w:val="center"/>
              <w:rPr>
                <w:rFonts w:hint="eastAsia" w:ascii="宋体" w:eastAsia="宋体" w:cs="宋体"/>
                <w:color w:val="auto"/>
                <w:sz w:val="21"/>
                <w:szCs w:val="21"/>
                <w:lang w:val="en-US" w:eastAsia="zh-CN"/>
              </w:rPr>
            </w:pPr>
            <w:r>
              <w:rPr>
                <w:rFonts w:hint="eastAsia" w:ascii="宋体" w:eastAsia="宋体"/>
                <w:color w:val="auto"/>
                <w:sz w:val="21"/>
                <w:szCs w:val="21"/>
                <w:highlight w:val="none"/>
              </w:rPr>
              <w:t>第十二条</w:t>
            </w:r>
          </w:p>
        </w:tc>
        <w:tc>
          <w:tcPr>
            <w:tcW w:w="1475" w:type="pct"/>
            <w:vAlign w:val="center"/>
          </w:tcPr>
          <w:p w14:paraId="7093945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廉政保证</w:t>
            </w:r>
          </w:p>
        </w:tc>
        <w:tc>
          <w:tcPr>
            <w:tcW w:w="646" w:type="pct"/>
            <w:vAlign w:val="center"/>
          </w:tcPr>
          <w:p w14:paraId="1C718C2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12647DE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ED3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44452330">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686" w:type="pct"/>
            <w:vAlign w:val="center"/>
          </w:tcPr>
          <w:p w14:paraId="74BB5420">
            <w:pPr>
              <w:pStyle w:val="70"/>
              <w:snapToGrid w:val="0"/>
              <w:spacing w:line="240" w:lineRule="auto"/>
              <w:ind w:firstLine="0" w:firstLineChars="0"/>
              <w:jc w:val="center"/>
              <w:rPr>
                <w:rFonts w:hint="eastAsia" w:ascii="宋体" w:eastAsia="宋体" w:cs="宋体"/>
                <w:color w:val="auto"/>
                <w:sz w:val="21"/>
                <w:szCs w:val="21"/>
                <w:lang w:val="en-US" w:eastAsia="zh-CN"/>
              </w:rPr>
            </w:pPr>
            <w:r>
              <w:rPr>
                <w:rFonts w:hint="eastAsia" w:ascii="宋体" w:eastAsia="宋体"/>
                <w:color w:val="auto"/>
                <w:sz w:val="21"/>
                <w:szCs w:val="21"/>
                <w:highlight w:val="none"/>
              </w:rPr>
              <w:t>第十三条</w:t>
            </w:r>
          </w:p>
        </w:tc>
        <w:tc>
          <w:tcPr>
            <w:tcW w:w="1475" w:type="pct"/>
            <w:vAlign w:val="center"/>
          </w:tcPr>
          <w:p w14:paraId="7FB305C7">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争议解决</w:t>
            </w:r>
          </w:p>
        </w:tc>
        <w:tc>
          <w:tcPr>
            <w:tcW w:w="646" w:type="pct"/>
            <w:vAlign w:val="center"/>
          </w:tcPr>
          <w:p w14:paraId="298B22E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3AFDBD2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1B5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7D7F623D">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686" w:type="pct"/>
            <w:vAlign w:val="center"/>
          </w:tcPr>
          <w:p w14:paraId="0C0A92D6">
            <w:pPr>
              <w:pStyle w:val="70"/>
              <w:snapToGrid w:val="0"/>
              <w:spacing w:line="240" w:lineRule="auto"/>
              <w:ind w:firstLine="0" w:firstLineChars="0"/>
              <w:jc w:val="center"/>
              <w:rPr>
                <w:rFonts w:hint="eastAsia" w:ascii="宋体" w:eastAsia="宋体" w:cs="宋体"/>
                <w:color w:val="auto"/>
                <w:sz w:val="21"/>
                <w:szCs w:val="21"/>
                <w:lang w:val="en-US" w:eastAsia="zh-CN"/>
              </w:rPr>
            </w:pPr>
            <w:r>
              <w:rPr>
                <w:rFonts w:hint="eastAsia" w:ascii="宋体" w:eastAsia="宋体"/>
                <w:color w:val="auto"/>
                <w:sz w:val="21"/>
                <w:szCs w:val="21"/>
                <w:highlight w:val="none"/>
              </w:rPr>
              <w:t>第十四条</w:t>
            </w:r>
          </w:p>
        </w:tc>
        <w:tc>
          <w:tcPr>
            <w:tcW w:w="1475" w:type="pct"/>
            <w:vAlign w:val="center"/>
          </w:tcPr>
          <w:p w14:paraId="51D76523">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646" w:type="pct"/>
            <w:vAlign w:val="center"/>
          </w:tcPr>
          <w:p w14:paraId="510E367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1381D90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78B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shd w:val="clear" w:color="auto" w:fill="auto"/>
            <w:vAlign w:val="center"/>
          </w:tcPr>
          <w:p w14:paraId="432DACEF">
            <w:pPr>
              <w:autoSpaceDE w:val="0"/>
              <w:autoSpaceDN w:val="0"/>
              <w:adjustRightInd w:val="0"/>
              <w:spacing w:line="400" w:lineRule="exact"/>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15</w:t>
            </w:r>
          </w:p>
        </w:tc>
        <w:tc>
          <w:tcPr>
            <w:tcW w:w="686" w:type="pct"/>
            <w:vAlign w:val="center"/>
          </w:tcPr>
          <w:p w14:paraId="36521843">
            <w:pPr>
              <w:pStyle w:val="70"/>
              <w:snapToGrid w:val="0"/>
              <w:spacing w:line="240" w:lineRule="auto"/>
              <w:ind w:firstLine="0" w:firstLineChars="0"/>
              <w:jc w:val="center"/>
              <w:rPr>
                <w:rFonts w:hint="eastAsia" w:ascii="宋体" w:eastAsia="宋体" w:cs="宋体"/>
                <w:color w:val="auto"/>
                <w:sz w:val="21"/>
                <w:szCs w:val="21"/>
                <w:lang w:eastAsia="zh-CN"/>
              </w:rPr>
            </w:pPr>
            <w:r>
              <w:rPr>
                <w:rFonts w:hint="eastAsia" w:ascii="宋体" w:eastAsia="宋体" w:cs="宋体"/>
                <w:color w:val="auto"/>
                <w:sz w:val="21"/>
                <w:szCs w:val="21"/>
              </w:rPr>
              <w:t>附件</w:t>
            </w:r>
            <w:r>
              <w:rPr>
                <w:rFonts w:hint="eastAsia" w:ascii="宋体" w:eastAsia="宋体" w:cs="宋体"/>
                <w:color w:val="auto"/>
                <w:sz w:val="21"/>
                <w:szCs w:val="21"/>
                <w:lang w:val="en-US" w:eastAsia="zh-CN"/>
              </w:rPr>
              <w:t>1</w:t>
            </w:r>
          </w:p>
        </w:tc>
        <w:tc>
          <w:tcPr>
            <w:tcW w:w="1475" w:type="pct"/>
            <w:vAlign w:val="center"/>
          </w:tcPr>
          <w:p w14:paraId="69090CFE">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646" w:type="pct"/>
            <w:vAlign w:val="center"/>
          </w:tcPr>
          <w:p w14:paraId="7B23BEA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2DDDBC1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B56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shd w:val="clear" w:color="auto" w:fill="auto"/>
            <w:vAlign w:val="center"/>
          </w:tcPr>
          <w:p w14:paraId="48F44E84">
            <w:pPr>
              <w:autoSpaceDE w:val="0"/>
              <w:autoSpaceDN w:val="0"/>
              <w:adjustRightInd w:val="0"/>
              <w:spacing w:line="400" w:lineRule="exact"/>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16</w:t>
            </w:r>
          </w:p>
        </w:tc>
        <w:tc>
          <w:tcPr>
            <w:tcW w:w="686" w:type="pct"/>
            <w:vAlign w:val="center"/>
          </w:tcPr>
          <w:p w14:paraId="1166898D">
            <w:pPr>
              <w:pStyle w:val="70"/>
              <w:snapToGrid w:val="0"/>
              <w:spacing w:line="240" w:lineRule="auto"/>
              <w:ind w:firstLine="0" w:firstLineChars="0"/>
              <w:jc w:val="center"/>
              <w:rPr>
                <w:rFonts w:hint="eastAsia" w:ascii="宋体" w:eastAsia="宋体" w:cs="宋体"/>
                <w:color w:val="auto"/>
                <w:sz w:val="21"/>
                <w:szCs w:val="21"/>
              </w:rPr>
            </w:pPr>
            <w:r>
              <w:rPr>
                <w:rFonts w:hint="eastAsia" w:ascii="宋体" w:eastAsia="宋体" w:cs="宋体"/>
                <w:color w:val="auto"/>
                <w:sz w:val="21"/>
                <w:szCs w:val="21"/>
              </w:rPr>
              <w:t>附件2</w:t>
            </w:r>
          </w:p>
        </w:tc>
        <w:tc>
          <w:tcPr>
            <w:tcW w:w="1475" w:type="pct"/>
            <w:vAlign w:val="center"/>
          </w:tcPr>
          <w:p w14:paraId="50201634">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安全生产管理协议</w:t>
            </w:r>
          </w:p>
        </w:tc>
        <w:tc>
          <w:tcPr>
            <w:tcW w:w="646" w:type="pct"/>
            <w:vAlign w:val="center"/>
          </w:tcPr>
          <w:p w14:paraId="51719FF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7FFE97B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105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shd w:val="clear" w:color="auto" w:fill="auto"/>
            <w:vAlign w:val="center"/>
          </w:tcPr>
          <w:p w14:paraId="356DF6EF">
            <w:pPr>
              <w:autoSpaceDE w:val="0"/>
              <w:autoSpaceDN w:val="0"/>
              <w:adjustRightInd w:val="0"/>
              <w:spacing w:line="400" w:lineRule="exact"/>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17</w:t>
            </w:r>
          </w:p>
        </w:tc>
        <w:tc>
          <w:tcPr>
            <w:tcW w:w="686" w:type="pct"/>
            <w:vAlign w:val="center"/>
          </w:tcPr>
          <w:p w14:paraId="38C5A911">
            <w:pPr>
              <w:pStyle w:val="70"/>
              <w:keepNext w:val="0"/>
              <w:keepLines w:val="0"/>
              <w:pageBreakBefore w:val="0"/>
              <w:widowControl w:val="0"/>
              <w:kinsoku/>
              <w:wordWrap/>
              <w:overflowPunct/>
              <w:topLinePunct w:val="0"/>
              <w:bidi w:val="0"/>
              <w:snapToGrid w:val="0"/>
              <w:spacing w:line="400" w:lineRule="exact"/>
              <w:ind w:left="0" w:leftChars="0" w:firstLine="0" w:firstLineChars="0"/>
              <w:jc w:val="center"/>
              <w:textAlignment w:val="auto"/>
              <w:rPr>
                <w:rFonts w:hint="eastAsia" w:ascii="宋体" w:eastAsia="宋体" w:cs="宋体"/>
                <w:color w:val="auto"/>
                <w:sz w:val="21"/>
                <w:szCs w:val="21"/>
              </w:rPr>
            </w:pPr>
            <w:r>
              <w:rPr>
                <w:rFonts w:hint="eastAsia" w:ascii="宋体" w:eastAsia="宋体" w:cs="宋体"/>
                <w:color w:val="auto"/>
                <w:sz w:val="21"/>
                <w:szCs w:val="21"/>
              </w:rPr>
              <w:t>一</w:t>
            </w:r>
          </w:p>
        </w:tc>
        <w:tc>
          <w:tcPr>
            <w:tcW w:w="1475" w:type="pct"/>
            <w:vAlign w:val="center"/>
          </w:tcPr>
          <w:p w14:paraId="779FFCF1">
            <w:pPr>
              <w:pStyle w:val="70"/>
              <w:keepNext w:val="0"/>
              <w:keepLines w:val="0"/>
              <w:pageBreakBefore w:val="0"/>
              <w:widowControl w:val="0"/>
              <w:kinsoku/>
              <w:wordWrap/>
              <w:overflowPunct/>
              <w:topLinePunct w:val="0"/>
              <w:bidi w:val="0"/>
              <w:snapToGrid w:val="0"/>
              <w:spacing w:line="400" w:lineRule="exact"/>
              <w:ind w:left="0" w:leftChars="0" w:firstLine="0" w:firstLineChars="0"/>
              <w:jc w:val="center"/>
              <w:textAlignment w:val="auto"/>
              <w:rPr>
                <w:rFonts w:hint="eastAsia" w:ascii="宋体" w:hAnsi="宋体" w:eastAsia="宋体" w:cs="宋体"/>
                <w:color w:val="auto"/>
                <w:kern w:val="0"/>
                <w:szCs w:val="21"/>
                <w:highlight w:val="none"/>
              </w:rPr>
            </w:pPr>
            <w:r>
              <w:rPr>
                <w:rFonts w:hint="eastAsia" w:ascii="宋体" w:eastAsia="宋体" w:cs="宋体"/>
                <w:color w:val="auto"/>
                <w:sz w:val="21"/>
                <w:szCs w:val="21"/>
              </w:rPr>
              <w:t>不可撤销银行履约保函</w:t>
            </w:r>
          </w:p>
        </w:tc>
        <w:tc>
          <w:tcPr>
            <w:tcW w:w="646" w:type="pct"/>
            <w:vAlign w:val="center"/>
          </w:tcPr>
          <w:p w14:paraId="75B0103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41F5740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4FA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shd w:val="clear" w:color="auto" w:fill="auto"/>
            <w:vAlign w:val="center"/>
          </w:tcPr>
          <w:p w14:paraId="6AF645C5">
            <w:pPr>
              <w:autoSpaceDE w:val="0"/>
              <w:autoSpaceDN w:val="0"/>
              <w:adjustRightInd w:val="0"/>
              <w:spacing w:line="400" w:lineRule="exact"/>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18</w:t>
            </w:r>
          </w:p>
        </w:tc>
        <w:tc>
          <w:tcPr>
            <w:tcW w:w="686" w:type="pct"/>
            <w:vAlign w:val="center"/>
          </w:tcPr>
          <w:p w14:paraId="16DB308E">
            <w:pPr>
              <w:pStyle w:val="70"/>
              <w:keepNext w:val="0"/>
              <w:keepLines w:val="0"/>
              <w:pageBreakBefore w:val="0"/>
              <w:widowControl w:val="0"/>
              <w:kinsoku/>
              <w:wordWrap/>
              <w:overflowPunct/>
              <w:topLinePunct w:val="0"/>
              <w:bidi w:val="0"/>
              <w:snapToGrid w:val="0"/>
              <w:spacing w:line="400" w:lineRule="exact"/>
              <w:ind w:left="0" w:leftChars="0" w:firstLine="0" w:firstLineChars="0"/>
              <w:jc w:val="center"/>
              <w:textAlignment w:val="auto"/>
              <w:rPr>
                <w:rFonts w:hint="eastAsia" w:ascii="宋体" w:hAnsi="宋体" w:eastAsia="宋体" w:cs="宋体"/>
                <w:color w:val="auto"/>
                <w:kern w:val="0"/>
                <w:szCs w:val="21"/>
                <w:highlight w:val="none"/>
                <w:lang w:val="en-US" w:eastAsia="zh-CN"/>
              </w:rPr>
            </w:pPr>
            <w:r>
              <w:rPr>
                <w:rFonts w:hint="eastAsia" w:ascii="宋体" w:eastAsia="宋体" w:cs="宋体"/>
                <w:color w:val="auto"/>
                <w:sz w:val="21"/>
                <w:szCs w:val="21"/>
              </w:rPr>
              <w:t>二</w:t>
            </w:r>
          </w:p>
        </w:tc>
        <w:tc>
          <w:tcPr>
            <w:tcW w:w="1475" w:type="pct"/>
            <w:vAlign w:val="center"/>
          </w:tcPr>
          <w:p w14:paraId="5A87F6EF">
            <w:pPr>
              <w:pStyle w:val="70"/>
              <w:keepNext w:val="0"/>
              <w:keepLines w:val="0"/>
              <w:pageBreakBefore w:val="0"/>
              <w:widowControl w:val="0"/>
              <w:kinsoku/>
              <w:wordWrap/>
              <w:overflowPunct/>
              <w:topLinePunct w:val="0"/>
              <w:bidi w:val="0"/>
              <w:snapToGrid w:val="0"/>
              <w:spacing w:line="400" w:lineRule="exact"/>
              <w:ind w:left="0" w:leftChars="0" w:firstLine="0" w:firstLineChars="0"/>
              <w:jc w:val="center"/>
              <w:textAlignment w:val="auto"/>
              <w:rPr>
                <w:rFonts w:hint="eastAsia" w:ascii="宋体" w:hAnsi="宋体" w:eastAsia="宋体" w:cs="宋体"/>
                <w:color w:val="auto"/>
                <w:kern w:val="0"/>
                <w:szCs w:val="21"/>
                <w:highlight w:val="none"/>
              </w:rPr>
            </w:pPr>
            <w:r>
              <w:rPr>
                <w:rFonts w:hint="eastAsia" w:ascii="宋体" w:eastAsia="宋体" w:cs="宋体"/>
                <w:color w:val="auto"/>
                <w:sz w:val="21"/>
                <w:szCs w:val="21"/>
              </w:rPr>
              <w:t>履约保证保险凭证</w:t>
            </w:r>
          </w:p>
        </w:tc>
        <w:tc>
          <w:tcPr>
            <w:tcW w:w="646" w:type="pct"/>
            <w:vAlign w:val="center"/>
          </w:tcPr>
          <w:p w14:paraId="218E7A3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5AD5ED6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896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shd w:val="clear" w:color="auto" w:fill="auto"/>
            <w:vAlign w:val="center"/>
          </w:tcPr>
          <w:p w14:paraId="11AA6B00">
            <w:pPr>
              <w:autoSpaceDE w:val="0"/>
              <w:autoSpaceDN w:val="0"/>
              <w:adjustRightInd w:val="0"/>
              <w:spacing w:line="400" w:lineRule="exact"/>
              <w:jc w:val="center"/>
              <w:outlineLvl w:val="9"/>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19</w:t>
            </w:r>
          </w:p>
        </w:tc>
        <w:tc>
          <w:tcPr>
            <w:tcW w:w="686" w:type="pct"/>
            <w:shd w:val="clear" w:color="auto" w:fill="auto"/>
            <w:vAlign w:val="center"/>
          </w:tcPr>
          <w:p w14:paraId="2AC590F6">
            <w:pPr>
              <w:pStyle w:val="70"/>
              <w:keepNext w:val="0"/>
              <w:keepLines w:val="0"/>
              <w:pageBreakBefore w:val="0"/>
              <w:widowControl w:val="0"/>
              <w:kinsoku/>
              <w:wordWrap/>
              <w:overflowPunct/>
              <w:topLinePunct w:val="0"/>
              <w:bidi w:val="0"/>
              <w:snapToGrid w:val="0"/>
              <w:spacing w:line="400" w:lineRule="exact"/>
              <w:ind w:left="0" w:leftChars="0" w:firstLine="0" w:firstLineChars="0"/>
              <w:jc w:val="center"/>
              <w:textAlignment w:val="auto"/>
              <w:rPr>
                <w:rFonts w:hint="eastAsia" w:ascii="宋体" w:hAnsi="宋体" w:eastAsia="宋体" w:cs="宋体"/>
                <w:color w:val="auto"/>
                <w:kern w:val="0"/>
                <w:sz w:val="31"/>
                <w:szCs w:val="21"/>
                <w:lang w:val="en-US" w:eastAsia="zh-CN" w:bidi="ar-SA"/>
              </w:rPr>
            </w:pPr>
            <w:r>
              <w:rPr>
                <w:rFonts w:hint="eastAsia" w:ascii="宋体" w:eastAsia="宋体" w:cs="宋体"/>
                <w:color w:val="auto"/>
                <w:sz w:val="21"/>
                <w:szCs w:val="21"/>
              </w:rPr>
              <w:t>三</w:t>
            </w:r>
          </w:p>
        </w:tc>
        <w:tc>
          <w:tcPr>
            <w:tcW w:w="1475" w:type="pct"/>
            <w:shd w:val="clear" w:color="auto" w:fill="auto"/>
            <w:vAlign w:val="center"/>
          </w:tcPr>
          <w:p w14:paraId="65977D48">
            <w:pPr>
              <w:pStyle w:val="70"/>
              <w:keepNext w:val="0"/>
              <w:keepLines w:val="0"/>
              <w:pageBreakBefore w:val="0"/>
              <w:widowControl w:val="0"/>
              <w:kinsoku/>
              <w:wordWrap/>
              <w:overflowPunct/>
              <w:topLinePunct w:val="0"/>
              <w:bidi w:val="0"/>
              <w:snapToGrid w:val="0"/>
              <w:spacing w:line="400" w:lineRule="exact"/>
              <w:ind w:left="0" w:leftChars="0" w:firstLine="0" w:firstLineChars="0"/>
              <w:jc w:val="center"/>
              <w:textAlignment w:val="auto"/>
              <w:rPr>
                <w:rFonts w:hint="eastAsia" w:ascii="宋体" w:hAnsi="宋体" w:eastAsia="宋体" w:cs="宋体"/>
                <w:color w:val="auto"/>
                <w:kern w:val="0"/>
                <w:szCs w:val="21"/>
                <w:highlight w:val="none"/>
                <w:lang w:val="en-US" w:eastAsia="zh-CN"/>
              </w:rPr>
            </w:pPr>
            <w:r>
              <w:rPr>
                <w:rFonts w:hint="eastAsia" w:ascii="宋体" w:eastAsia="宋体" w:cs="宋体"/>
                <w:color w:val="auto"/>
                <w:sz w:val="21"/>
                <w:szCs w:val="21"/>
              </w:rPr>
              <w:t>担保公司履约担保书</w:t>
            </w:r>
          </w:p>
        </w:tc>
        <w:tc>
          <w:tcPr>
            <w:tcW w:w="646" w:type="pct"/>
            <w:vAlign w:val="center"/>
          </w:tcPr>
          <w:p w14:paraId="32000C0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49E1433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bl>
    <w:p w14:paraId="3AE9F41F">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351CE5A0">
      <w:pPr>
        <w:autoSpaceDE w:val="0"/>
        <w:autoSpaceDN w:val="0"/>
        <w:adjustRightInd w:val="0"/>
        <w:snapToGrid w:val="0"/>
        <w:spacing w:line="360" w:lineRule="auto"/>
        <w:ind w:left="166" w:leftChars="-101" w:hanging="378" w:hangingChars="18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6AAA400D">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14:paraId="73436599">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01648AD5">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14:paraId="0B2EDC34">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14:paraId="4FE636DB">
      <w:pPr>
        <w:spacing w:line="360" w:lineRule="auto"/>
        <w:ind w:left="357" w:leftChars="-100" w:hanging="567" w:hangingChars="270"/>
        <w:outlineLvl w:val="9"/>
        <w:rPr>
          <w:rFonts w:hint="eastAsia" w:ascii="宋体" w:hAnsi="宋体" w:eastAsia="宋体" w:cs="宋体"/>
          <w:color w:val="auto"/>
          <w:szCs w:val="21"/>
          <w:highlight w:val="none"/>
        </w:rPr>
      </w:pPr>
    </w:p>
    <w:p w14:paraId="12E18C54">
      <w:pPr>
        <w:spacing w:line="360" w:lineRule="auto"/>
        <w:ind w:left="357" w:leftChars="-100" w:hanging="567" w:hangingChars="270"/>
        <w:outlineLvl w:val="9"/>
        <w:rPr>
          <w:rFonts w:hint="eastAsia" w:ascii="宋体" w:hAnsi="宋体" w:eastAsia="宋体" w:cs="宋体"/>
          <w:color w:val="auto"/>
          <w:szCs w:val="21"/>
          <w:highlight w:val="none"/>
        </w:rPr>
      </w:pPr>
    </w:p>
    <w:p w14:paraId="4E905423">
      <w:pPr>
        <w:spacing w:line="360" w:lineRule="auto"/>
        <w:ind w:left="357" w:leftChars="-100" w:hanging="567" w:hangingChars="270"/>
        <w:outlineLvl w:val="9"/>
        <w:rPr>
          <w:rFonts w:hint="eastAsia" w:ascii="宋体" w:hAnsi="宋体" w:eastAsia="宋体" w:cs="宋体"/>
          <w:color w:val="auto"/>
          <w:szCs w:val="21"/>
          <w:highlight w:val="none"/>
        </w:rPr>
      </w:pPr>
    </w:p>
    <w:p w14:paraId="29C8F856">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54671C1">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757D7563">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7B4F1FFE">
      <w:pPr>
        <w:autoSpaceDE w:val="0"/>
        <w:autoSpaceDN w:val="0"/>
        <w:adjustRightInd w:val="0"/>
        <w:spacing w:line="360" w:lineRule="auto"/>
        <w:jc w:val="center"/>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53B5BF53">
      <w:pPr>
        <w:tabs>
          <w:tab w:val="left" w:pos="567"/>
        </w:tabs>
        <w:autoSpaceDE w:val="0"/>
        <w:autoSpaceDN w:val="0"/>
        <w:adjustRightInd w:val="0"/>
        <w:spacing w:line="360" w:lineRule="auto"/>
        <w:jc w:val="left"/>
        <w:outlineLvl w:val="1"/>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918" w:name="_Toc102860426"/>
      <w:bookmarkStart w:id="919" w:name="_Toc29505"/>
      <w:bookmarkStart w:id="920" w:name="_Toc5473"/>
      <w:bookmarkStart w:id="921" w:name="_Toc13179"/>
      <w:bookmarkStart w:id="922" w:name="_Toc142508377"/>
      <w:bookmarkStart w:id="923" w:name="_Toc104991884"/>
      <w:bookmarkStart w:id="924" w:name="_Toc140596937"/>
      <w:bookmarkStart w:id="925" w:name="_Toc94107218"/>
      <w:bookmarkStart w:id="926" w:name="_Toc102860082"/>
      <w:bookmarkStart w:id="927" w:name="_Toc3472"/>
      <w:bookmarkStart w:id="928" w:name="_Toc486167717"/>
      <w:bookmarkStart w:id="929" w:name="_Toc27980_WPSOffice_Level2"/>
      <w:r>
        <w:rPr>
          <w:rFonts w:hint="eastAsia" w:ascii="宋体" w:hAnsi="宋体" w:eastAsia="宋体" w:cs="宋体"/>
          <w:b/>
          <w:color w:val="auto"/>
          <w:kern w:val="0"/>
          <w:sz w:val="32"/>
          <w:szCs w:val="32"/>
          <w:highlight w:val="none"/>
          <w:lang w:val="en-US" w:eastAsia="zh-CN"/>
        </w:rPr>
        <w:t>十、</w:t>
      </w:r>
      <w:r>
        <w:rPr>
          <w:rFonts w:hint="eastAsia" w:ascii="宋体" w:hAnsi="宋体" w:eastAsia="宋体" w:cs="宋体"/>
          <w:b/>
          <w:color w:val="auto"/>
          <w:kern w:val="0"/>
          <w:sz w:val="32"/>
          <w:szCs w:val="32"/>
          <w:highlight w:val="none"/>
        </w:rPr>
        <w:t>业绩表格式</w:t>
      </w:r>
      <w:bookmarkEnd w:id="918"/>
      <w:bookmarkEnd w:id="919"/>
      <w:bookmarkEnd w:id="920"/>
      <w:bookmarkEnd w:id="921"/>
      <w:bookmarkEnd w:id="922"/>
      <w:bookmarkEnd w:id="923"/>
      <w:bookmarkEnd w:id="924"/>
      <w:bookmarkEnd w:id="925"/>
      <w:bookmarkEnd w:id="926"/>
      <w:bookmarkEnd w:id="927"/>
    </w:p>
    <w:p w14:paraId="66AEF120">
      <w:pPr>
        <w:autoSpaceDE w:val="0"/>
        <w:autoSpaceDN w:val="0"/>
        <w:adjustRightInd w:val="0"/>
        <w:spacing w:line="360" w:lineRule="auto"/>
        <w:ind w:firstLine="0"/>
        <w:jc w:val="center"/>
        <w:outlineLvl w:val="9"/>
        <w:rPr>
          <w:rFonts w:hint="eastAsia" w:ascii="宋体" w:hAnsi="宋体" w:eastAsia="宋体" w:cs="Times New Roman"/>
          <w:b/>
          <w:bCs/>
          <w:color w:val="auto"/>
          <w:sz w:val="30"/>
          <w:szCs w:val="30"/>
          <w:highlight w:val="none"/>
          <w:lang w:val="zh-CN"/>
        </w:rPr>
      </w:pPr>
      <w:bookmarkStart w:id="930" w:name="_Toc30603"/>
      <w:bookmarkStart w:id="931" w:name="_Toc13226"/>
      <w:r>
        <w:rPr>
          <w:rFonts w:hint="eastAsia" w:ascii="宋体" w:hAnsi="宋体" w:eastAsia="宋体" w:cs="Times New Roman"/>
          <w:b/>
          <w:bCs/>
          <w:color w:val="auto"/>
          <w:sz w:val="30"/>
          <w:szCs w:val="30"/>
          <w:highlight w:val="none"/>
          <w:lang w:val="en-US" w:eastAsia="zh-CN"/>
        </w:rPr>
        <w:t>投标人</w:t>
      </w:r>
      <w:bookmarkEnd w:id="930"/>
      <w:bookmarkEnd w:id="931"/>
      <w:r>
        <w:rPr>
          <w:rFonts w:hint="eastAsia" w:ascii="宋体" w:hAnsi="宋体" w:eastAsia="宋体" w:cs="Times New Roman"/>
          <w:b/>
          <w:bCs/>
          <w:color w:val="auto"/>
          <w:sz w:val="30"/>
          <w:szCs w:val="30"/>
          <w:highlight w:val="none"/>
          <w:lang w:val="en-US" w:eastAsia="zh-CN"/>
        </w:rPr>
        <w:t>2022年1月1日以来承接的物业管理服务项目业绩表</w:t>
      </w:r>
    </w:p>
    <w:tbl>
      <w:tblPr>
        <w:tblStyle w:val="213"/>
        <w:tblW w:w="482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29"/>
        <w:gridCol w:w="611"/>
        <w:gridCol w:w="780"/>
        <w:gridCol w:w="1051"/>
        <w:gridCol w:w="1051"/>
        <w:gridCol w:w="725"/>
        <w:gridCol w:w="837"/>
        <w:gridCol w:w="848"/>
        <w:gridCol w:w="725"/>
        <w:gridCol w:w="705"/>
        <w:gridCol w:w="820"/>
        <w:gridCol w:w="560"/>
      </w:tblGrid>
      <w:tr w14:paraId="20474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 w:hRule="atLeast"/>
        </w:trPr>
        <w:tc>
          <w:tcPr>
            <w:tcW w:w="235" w:type="pct"/>
            <w:vAlign w:val="center"/>
          </w:tcPr>
          <w:p w14:paraId="50D06C7E">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rPr>
              <w:t>序号</w:t>
            </w:r>
          </w:p>
        </w:tc>
        <w:tc>
          <w:tcPr>
            <w:tcW w:w="334" w:type="pct"/>
            <w:vAlign w:val="center"/>
          </w:tcPr>
          <w:p w14:paraId="68C5E597">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rFonts w:hint="default"/>
                <w:color w:val="auto"/>
                <w:spacing w:val="4"/>
                <w:lang w:val="en-US" w:eastAsia="zh-CN"/>
              </w:rPr>
              <w:t>项目名称</w:t>
            </w:r>
          </w:p>
        </w:tc>
        <w:tc>
          <w:tcPr>
            <w:tcW w:w="426" w:type="pct"/>
            <w:vAlign w:val="center"/>
          </w:tcPr>
          <w:p w14:paraId="4140D7DD">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4"/>
              </w:rPr>
              <w:t>合同主</w:t>
            </w:r>
            <w:r>
              <w:rPr>
                <w:color w:val="auto"/>
                <w:spacing w:val="-3"/>
              </w:rPr>
              <w:t>要服务</w:t>
            </w:r>
            <w:r>
              <w:rPr>
                <w:color w:val="auto"/>
                <w:spacing w:val="5"/>
              </w:rPr>
              <w:t>内容</w:t>
            </w:r>
          </w:p>
        </w:tc>
        <w:tc>
          <w:tcPr>
            <w:tcW w:w="574" w:type="pct"/>
            <w:vAlign w:val="center"/>
          </w:tcPr>
          <w:p w14:paraId="6EA70F5E">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2"/>
              </w:rPr>
              <w:t>物业服务</w:t>
            </w:r>
          </w:p>
          <w:p w14:paraId="22A77E90">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3"/>
              </w:rPr>
              <w:t>项目年度</w:t>
            </w:r>
          </w:p>
          <w:p w14:paraId="734AFD96">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3"/>
              </w:rPr>
              <w:t>金额</w:t>
            </w:r>
          </w:p>
          <w:p w14:paraId="0E3048DE">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12"/>
              </w:rPr>
              <w:t>(万元)</w:t>
            </w:r>
          </w:p>
        </w:tc>
        <w:tc>
          <w:tcPr>
            <w:tcW w:w="574" w:type="pct"/>
            <w:vAlign w:val="center"/>
          </w:tcPr>
          <w:p w14:paraId="5272E42B">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4"/>
              </w:rPr>
              <w:t>单项合同</w:t>
            </w:r>
          </w:p>
          <w:p w14:paraId="0085012A">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2"/>
              </w:rPr>
              <w:t>总金额</w:t>
            </w:r>
          </w:p>
          <w:p w14:paraId="079660C9">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12"/>
              </w:rPr>
              <w:t>(万元)</w:t>
            </w:r>
          </w:p>
        </w:tc>
        <w:tc>
          <w:tcPr>
            <w:tcW w:w="396" w:type="pct"/>
            <w:vAlign w:val="center"/>
          </w:tcPr>
          <w:p w14:paraId="4078F80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p w14:paraId="3C968AE0">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3"/>
              </w:rPr>
              <w:t>物业</w:t>
            </w:r>
          </w:p>
          <w:p w14:paraId="11B499D7">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7"/>
              </w:rPr>
              <w:t>类型</w:t>
            </w:r>
          </w:p>
        </w:tc>
        <w:tc>
          <w:tcPr>
            <w:tcW w:w="457" w:type="pct"/>
            <w:vAlign w:val="center"/>
          </w:tcPr>
          <w:p w14:paraId="5B8376C7">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6"/>
              </w:rPr>
              <w:t>建筑</w:t>
            </w:r>
            <w:r>
              <w:rPr>
                <w:color w:val="auto"/>
              </w:rPr>
              <w:t xml:space="preserve">  </w:t>
            </w:r>
            <w:r>
              <w:rPr>
                <w:color w:val="auto"/>
                <w:spacing w:val="7"/>
              </w:rPr>
              <w:t>面积</w:t>
            </w:r>
            <w:r>
              <w:rPr>
                <w:color w:val="auto"/>
              </w:rPr>
              <w:t xml:space="preserve">  </w:t>
            </w:r>
            <w:r>
              <w:rPr>
                <w:color w:val="auto"/>
                <w:spacing w:val="6"/>
              </w:rPr>
              <w:t>(万平</w:t>
            </w:r>
          </w:p>
          <w:p w14:paraId="1E0BA758">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16"/>
              </w:rPr>
              <w:t>方米)</w:t>
            </w:r>
          </w:p>
        </w:tc>
        <w:tc>
          <w:tcPr>
            <w:tcW w:w="463" w:type="pct"/>
            <w:vAlign w:val="center"/>
          </w:tcPr>
          <w:p w14:paraId="29E2F7EF">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6"/>
              </w:rPr>
              <w:t>建筑</w:t>
            </w:r>
            <w:r>
              <w:rPr>
                <w:color w:val="auto"/>
                <w:spacing w:val="-5"/>
              </w:rPr>
              <w:t>层数</w:t>
            </w:r>
            <w:r>
              <w:rPr>
                <w:color w:val="auto"/>
              </w:rPr>
              <w:t xml:space="preserve"> </w:t>
            </w:r>
            <w:r>
              <w:rPr>
                <w:color w:val="auto"/>
                <w:spacing w:val="22"/>
              </w:rPr>
              <w:t>(层)</w:t>
            </w:r>
          </w:p>
        </w:tc>
        <w:tc>
          <w:tcPr>
            <w:tcW w:w="396" w:type="pct"/>
            <w:vAlign w:val="center"/>
          </w:tcPr>
          <w:p w14:paraId="0F850076">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9"/>
              </w:rPr>
              <w:t>合同</w:t>
            </w:r>
          </w:p>
          <w:p w14:paraId="2E88107A">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6"/>
              </w:rPr>
              <w:t>期限</w:t>
            </w:r>
          </w:p>
        </w:tc>
        <w:tc>
          <w:tcPr>
            <w:tcW w:w="385" w:type="pct"/>
            <w:vAlign w:val="center"/>
          </w:tcPr>
          <w:p w14:paraId="3A3E0AAD">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9"/>
              </w:rPr>
              <w:t>签约</w:t>
            </w:r>
          </w:p>
          <w:p w14:paraId="7E8FBB0C">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12"/>
              </w:rPr>
              <w:t>日期</w:t>
            </w:r>
          </w:p>
        </w:tc>
        <w:tc>
          <w:tcPr>
            <w:tcW w:w="448" w:type="pct"/>
            <w:vAlign w:val="center"/>
          </w:tcPr>
          <w:p w14:paraId="73113F70">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2"/>
              </w:rPr>
              <w:t>业主联</w:t>
            </w:r>
          </w:p>
          <w:p w14:paraId="0606F323">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4"/>
              </w:rPr>
              <w:t>系人及</w:t>
            </w:r>
            <w:r>
              <w:rPr>
                <w:color w:val="auto"/>
              </w:rPr>
              <w:t xml:space="preserve"> </w:t>
            </w:r>
            <w:r>
              <w:rPr>
                <w:color w:val="auto"/>
                <w:spacing w:val="4"/>
              </w:rPr>
              <w:t>电话</w:t>
            </w:r>
          </w:p>
        </w:tc>
        <w:tc>
          <w:tcPr>
            <w:tcW w:w="306" w:type="pct"/>
            <w:vAlign w:val="center"/>
          </w:tcPr>
          <w:p w14:paraId="58F2F105">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10"/>
              </w:rPr>
              <w:t>备注</w:t>
            </w:r>
          </w:p>
        </w:tc>
      </w:tr>
      <w:tr w14:paraId="7026F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235" w:type="pct"/>
            <w:vAlign w:val="top"/>
          </w:tcPr>
          <w:p w14:paraId="39DFA54B">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rPr>
              <w:t>1</w:t>
            </w:r>
          </w:p>
        </w:tc>
        <w:tc>
          <w:tcPr>
            <w:tcW w:w="334" w:type="pct"/>
            <w:vAlign w:val="top"/>
          </w:tcPr>
          <w:p w14:paraId="1195906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426" w:type="pct"/>
            <w:vAlign w:val="top"/>
          </w:tcPr>
          <w:p w14:paraId="1EF9428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574" w:type="pct"/>
            <w:vAlign w:val="top"/>
          </w:tcPr>
          <w:p w14:paraId="701D3C7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574" w:type="pct"/>
            <w:vAlign w:val="top"/>
          </w:tcPr>
          <w:p w14:paraId="58A78C1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396" w:type="pct"/>
            <w:vAlign w:val="top"/>
          </w:tcPr>
          <w:p w14:paraId="45AF20D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457" w:type="pct"/>
            <w:vAlign w:val="top"/>
          </w:tcPr>
          <w:p w14:paraId="40DA259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463" w:type="pct"/>
            <w:vAlign w:val="top"/>
          </w:tcPr>
          <w:p w14:paraId="3092748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396" w:type="pct"/>
            <w:vAlign w:val="top"/>
          </w:tcPr>
          <w:p w14:paraId="6DEEB8C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385" w:type="pct"/>
            <w:vAlign w:val="top"/>
          </w:tcPr>
          <w:p w14:paraId="28D7DF1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448" w:type="pct"/>
            <w:vAlign w:val="top"/>
          </w:tcPr>
          <w:p w14:paraId="58DB331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306" w:type="pct"/>
            <w:vAlign w:val="top"/>
          </w:tcPr>
          <w:p w14:paraId="04B7DD5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r>
      <w:tr w14:paraId="06D96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35" w:type="pct"/>
            <w:vAlign w:val="top"/>
          </w:tcPr>
          <w:p w14:paraId="001B306C">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rPr>
              <w:t>2</w:t>
            </w:r>
          </w:p>
        </w:tc>
        <w:tc>
          <w:tcPr>
            <w:tcW w:w="334" w:type="pct"/>
            <w:vAlign w:val="top"/>
          </w:tcPr>
          <w:p w14:paraId="748FE7D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426" w:type="pct"/>
            <w:vAlign w:val="top"/>
          </w:tcPr>
          <w:p w14:paraId="7AF72CB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574" w:type="pct"/>
            <w:vAlign w:val="top"/>
          </w:tcPr>
          <w:p w14:paraId="399A371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574" w:type="pct"/>
            <w:vAlign w:val="top"/>
          </w:tcPr>
          <w:p w14:paraId="4C3D8D1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396" w:type="pct"/>
            <w:vAlign w:val="top"/>
          </w:tcPr>
          <w:p w14:paraId="16F98C6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457" w:type="pct"/>
            <w:vAlign w:val="top"/>
          </w:tcPr>
          <w:p w14:paraId="52D2A58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463" w:type="pct"/>
            <w:vAlign w:val="top"/>
          </w:tcPr>
          <w:p w14:paraId="4748FB9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396" w:type="pct"/>
            <w:vAlign w:val="top"/>
          </w:tcPr>
          <w:p w14:paraId="17ABB5F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385" w:type="pct"/>
            <w:vAlign w:val="top"/>
          </w:tcPr>
          <w:p w14:paraId="5E7C087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448" w:type="pct"/>
            <w:vAlign w:val="top"/>
          </w:tcPr>
          <w:p w14:paraId="68D5C15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306" w:type="pct"/>
            <w:vAlign w:val="top"/>
          </w:tcPr>
          <w:p w14:paraId="5428730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r>
      <w:tr w14:paraId="0887F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235" w:type="pct"/>
            <w:vAlign w:val="top"/>
          </w:tcPr>
          <w:p w14:paraId="126D9BB1">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rPr>
              <w:t>3</w:t>
            </w:r>
          </w:p>
        </w:tc>
        <w:tc>
          <w:tcPr>
            <w:tcW w:w="334" w:type="pct"/>
            <w:vAlign w:val="top"/>
          </w:tcPr>
          <w:p w14:paraId="2215C5F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426" w:type="pct"/>
            <w:vAlign w:val="top"/>
          </w:tcPr>
          <w:p w14:paraId="05E9B9D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574" w:type="pct"/>
            <w:vAlign w:val="top"/>
          </w:tcPr>
          <w:p w14:paraId="77CFA2C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574" w:type="pct"/>
            <w:vAlign w:val="top"/>
          </w:tcPr>
          <w:p w14:paraId="7A68B10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396" w:type="pct"/>
            <w:vAlign w:val="top"/>
          </w:tcPr>
          <w:p w14:paraId="1D84193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457" w:type="pct"/>
            <w:vAlign w:val="top"/>
          </w:tcPr>
          <w:p w14:paraId="2507AC9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463" w:type="pct"/>
            <w:vAlign w:val="top"/>
          </w:tcPr>
          <w:p w14:paraId="00CD0B1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396" w:type="pct"/>
            <w:vAlign w:val="top"/>
          </w:tcPr>
          <w:p w14:paraId="3C98775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385" w:type="pct"/>
            <w:vAlign w:val="top"/>
          </w:tcPr>
          <w:p w14:paraId="48BDF5C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448" w:type="pct"/>
            <w:vAlign w:val="top"/>
          </w:tcPr>
          <w:p w14:paraId="15BACF3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306" w:type="pct"/>
            <w:vAlign w:val="top"/>
          </w:tcPr>
          <w:p w14:paraId="6ABABC4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r>
      <w:tr w14:paraId="75F2E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235" w:type="pct"/>
            <w:vAlign w:val="top"/>
          </w:tcPr>
          <w:p w14:paraId="5D649A09">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position w:val="2"/>
              </w:rPr>
              <w:t>…</w:t>
            </w:r>
          </w:p>
        </w:tc>
        <w:tc>
          <w:tcPr>
            <w:tcW w:w="334" w:type="pct"/>
            <w:vAlign w:val="top"/>
          </w:tcPr>
          <w:p w14:paraId="29E25C8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426" w:type="pct"/>
            <w:vAlign w:val="top"/>
          </w:tcPr>
          <w:p w14:paraId="43EE9CF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574" w:type="pct"/>
            <w:vAlign w:val="top"/>
          </w:tcPr>
          <w:p w14:paraId="6B07825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574" w:type="pct"/>
            <w:vAlign w:val="top"/>
          </w:tcPr>
          <w:p w14:paraId="68825B0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396" w:type="pct"/>
            <w:vAlign w:val="top"/>
          </w:tcPr>
          <w:p w14:paraId="50847E8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457" w:type="pct"/>
            <w:vAlign w:val="top"/>
          </w:tcPr>
          <w:p w14:paraId="3E1DE5A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463" w:type="pct"/>
            <w:vAlign w:val="top"/>
          </w:tcPr>
          <w:p w14:paraId="485E73F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396" w:type="pct"/>
            <w:vAlign w:val="top"/>
          </w:tcPr>
          <w:p w14:paraId="30BDF5A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385" w:type="pct"/>
            <w:vAlign w:val="top"/>
          </w:tcPr>
          <w:p w14:paraId="7015584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448" w:type="pct"/>
            <w:vAlign w:val="top"/>
          </w:tcPr>
          <w:p w14:paraId="3CD5D6E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306" w:type="pct"/>
            <w:vAlign w:val="top"/>
          </w:tcPr>
          <w:p w14:paraId="066B3D8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r>
    </w:tbl>
    <w:p w14:paraId="55BA50D6">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p>
    <w:p w14:paraId="76D991DA">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0E2D36DB">
      <w:pPr>
        <w:numPr>
          <w:ilvl w:val="-1"/>
          <w:numId w:val="0"/>
        </w:numPr>
        <w:autoSpaceDE w:val="0"/>
        <w:autoSpaceDN w:val="0"/>
        <w:adjustRightInd/>
        <w:snapToGrid w:val="0"/>
        <w:spacing w:line="360" w:lineRule="auto"/>
        <w:ind w:left="0" w:leftChars="0" w:firstLine="0" w:firstLineChars="0"/>
        <w:jc w:val="left"/>
        <w:rPr>
          <w:rFonts w:hint="eastAsia" w:ascii="宋体" w:hAnsi="宋体" w:eastAsia="宋体" w:cs="Times New Roman"/>
          <w:b/>
          <w:bCs/>
          <w:color w:val="auto"/>
          <w:szCs w:val="24"/>
          <w:highlight w:val="none"/>
          <w:lang w:val="zh-CN" w:eastAsia="zh-CN"/>
        </w:rPr>
      </w:pPr>
      <w:r>
        <w:rPr>
          <w:rFonts w:hint="eastAsia" w:ascii="宋体" w:hAnsi="宋体" w:eastAsia="宋体" w:cs="Times New Roman"/>
          <w:b/>
          <w:bCs/>
          <w:color w:val="auto"/>
          <w:szCs w:val="24"/>
          <w:highlight w:val="none"/>
          <w:lang w:val="zh-CN" w:eastAsia="zh-CN"/>
        </w:rPr>
        <w:t>（1）项目业绩按</w:t>
      </w:r>
      <w:r>
        <w:rPr>
          <w:rFonts w:hint="eastAsia" w:ascii="宋体" w:hAnsi="宋体" w:eastAsia="宋体" w:cs="Times New Roman"/>
          <w:b/>
          <w:bCs/>
          <w:color w:val="auto"/>
          <w:szCs w:val="24"/>
          <w:highlight w:val="none"/>
          <w:lang w:val="en-US" w:eastAsia="zh-CN"/>
        </w:rPr>
        <w:t>物业服务项目年度</w:t>
      </w:r>
      <w:r>
        <w:rPr>
          <w:rFonts w:hint="eastAsia" w:ascii="宋体" w:hAnsi="宋体" w:eastAsia="宋体" w:cs="Times New Roman"/>
          <w:b/>
          <w:bCs/>
          <w:color w:val="auto"/>
          <w:szCs w:val="24"/>
          <w:highlight w:val="none"/>
          <w:lang w:val="zh-CN" w:eastAsia="zh-CN"/>
        </w:rPr>
        <w:t>金额从高到低的方式排列；同一个单项合同的业绩可以同时在资格业绩和评分业绩重复放置；</w:t>
      </w:r>
    </w:p>
    <w:p w14:paraId="75F8E5E8">
      <w:pPr>
        <w:numPr>
          <w:ilvl w:val="-1"/>
          <w:numId w:val="0"/>
        </w:numPr>
        <w:autoSpaceDE w:val="0"/>
        <w:autoSpaceDN w:val="0"/>
        <w:adjustRightInd/>
        <w:snapToGrid w:val="0"/>
        <w:spacing w:line="360" w:lineRule="auto"/>
        <w:jc w:val="left"/>
        <w:rPr>
          <w:rFonts w:hint="eastAsia" w:ascii="宋体" w:hAnsi="宋体" w:eastAsia="宋体" w:cs="Times New Roman"/>
          <w:b/>
          <w:bCs/>
          <w:color w:val="auto"/>
          <w:szCs w:val="24"/>
          <w:highlight w:val="none"/>
          <w:lang w:val="zh-CN" w:eastAsia="zh-CN"/>
        </w:rPr>
      </w:pPr>
      <w:bookmarkStart w:id="932" w:name="_Toc23981"/>
      <w:bookmarkStart w:id="933" w:name="_Toc3876"/>
      <w:r>
        <w:rPr>
          <w:rFonts w:hint="eastAsia" w:ascii="宋体" w:hAnsi="宋体" w:eastAsia="宋体" w:cs="Times New Roman"/>
          <w:b/>
          <w:bCs/>
          <w:color w:val="auto"/>
          <w:szCs w:val="24"/>
          <w:highlight w:val="none"/>
          <w:lang w:val="zh-CN" w:eastAsia="zh-CN"/>
        </w:rPr>
        <w:t>（2）</w:t>
      </w:r>
      <w:bookmarkEnd w:id="932"/>
      <w:bookmarkEnd w:id="933"/>
      <w:r>
        <w:rPr>
          <w:rFonts w:hint="eastAsia" w:ascii="宋体" w:hAnsi="宋体" w:eastAsia="宋体" w:cs="Times New Roman"/>
          <w:b/>
          <w:bCs/>
          <w:color w:val="auto"/>
          <w:szCs w:val="24"/>
          <w:highlight w:val="none"/>
          <w:lang w:val="zh-CN" w:eastAsia="zh-CN"/>
        </w:rPr>
        <w:t>业绩须附合同扫描件(合同服务提供方为投标人),和已服务的任意一张发票扫描件（发票开具日期须在本项目招标公告发布之日前），否则不得分。</w:t>
      </w:r>
    </w:p>
    <w:p w14:paraId="53E2BCE7">
      <w:pPr>
        <w:numPr>
          <w:ilvl w:val="-1"/>
          <w:numId w:val="0"/>
        </w:numPr>
        <w:autoSpaceDE w:val="0"/>
        <w:autoSpaceDN w:val="0"/>
        <w:adjustRightInd/>
        <w:snapToGrid w:val="0"/>
        <w:spacing w:line="360" w:lineRule="auto"/>
        <w:jc w:val="left"/>
        <w:rPr>
          <w:rFonts w:hint="eastAsia" w:ascii="宋体" w:hAnsi="宋体" w:eastAsia="宋体" w:cs="Times New Roman"/>
          <w:b/>
          <w:bCs/>
          <w:color w:val="auto"/>
          <w:szCs w:val="24"/>
          <w:highlight w:val="none"/>
          <w:lang w:val="zh-CN" w:eastAsia="zh-CN"/>
        </w:rPr>
      </w:pPr>
      <w:r>
        <w:rPr>
          <w:rFonts w:hint="eastAsia" w:ascii="宋体" w:hAnsi="宋体" w:eastAsia="宋体" w:cs="Times New Roman"/>
          <w:b/>
          <w:bCs/>
          <w:color w:val="auto"/>
          <w:szCs w:val="24"/>
          <w:highlight w:val="none"/>
          <w:lang w:val="zh-CN" w:eastAsia="zh-CN"/>
        </w:rPr>
        <w:t>（</w:t>
      </w:r>
      <w:r>
        <w:rPr>
          <w:rFonts w:hint="eastAsia" w:ascii="宋体" w:hAnsi="宋体" w:eastAsia="宋体" w:cs="Times New Roman"/>
          <w:b/>
          <w:bCs/>
          <w:color w:val="auto"/>
          <w:szCs w:val="24"/>
          <w:highlight w:val="none"/>
          <w:lang w:val="en-US" w:eastAsia="zh-CN"/>
        </w:rPr>
        <w:t>3</w:t>
      </w:r>
      <w:r>
        <w:rPr>
          <w:rFonts w:hint="eastAsia" w:ascii="宋体" w:hAnsi="宋体" w:eastAsia="宋体" w:cs="Times New Roman"/>
          <w:b/>
          <w:bCs/>
          <w:color w:val="auto"/>
          <w:szCs w:val="24"/>
          <w:highlight w:val="none"/>
          <w:lang w:val="zh-CN" w:eastAsia="zh-CN"/>
        </w:rPr>
        <w:t>）合同必须能反映评分条件（合同签订日期、合同期限、合同金额、物业类型、建筑面积平方数、建筑层数），合同服务内容必须为物业管理服务且同时包含保洁（或清洁或环境卫生）及保安（或安保或秩序维护）服务，否则，需同时提供服务发包人（业主）出具的书面文件扫描件（需加盖服务发包人公章，即扫描件能显示服务发包人公章）或发包人（业主）加盖公章反映条件的招标文件扫描件或政府部门出具的相关证明材料扫描件作为辅助证明，否则不得分。</w:t>
      </w:r>
    </w:p>
    <w:p w14:paraId="40164962">
      <w:pPr>
        <w:numPr>
          <w:ilvl w:val="-1"/>
          <w:numId w:val="0"/>
        </w:numPr>
        <w:autoSpaceDE w:val="0"/>
        <w:autoSpaceDN w:val="0"/>
        <w:adjustRightInd/>
        <w:snapToGrid w:val="0"/>
        <w:spacing w:line="360" w:lineRule="auto"/>
        <w:jc w:val="left"/>
        <w:rPr>
          <w:rFonts w:hint="eastAsia" w:ascii="宋体" w:hAnsi="宋体" w:eastAsia="宋体" w:cs="Times New Roman"/>
          <w:b/>
          <w:bCs/>
          <w:color w:val="auto"/>
          <w:szCs w:val="24"/>
          <w:highlight w:val="none"/>
          <w:lang w:val="zh-CN" w:eastAsia="zh-CN"/>
        </w:rPr>
      </w:pPr>
      <w:r>
        <w:rPr>
          <w:rFonts w:hint="eastAsia" w:ascii="宋体" w:hAnsi="宋体" w:eastAsia="宋体" w:cs="Times New Roman"/>
          <w:b/>
          <w:bCs/>
          <w:color w:val="auto"/>
          <w:szCs w:val="24"/>
          <w:highlight w:val="none"/>
          <w:lang w:val="zh-CN" w:eastAsia="zh-CN"/>
        </w:rPr>
        <w:t>（</w:t>
      </w:r>
      <w:r>
        <w:rPr>
          <w:rFonts w:hint="eastAsia" w:ascii="宋体" w:hAnsi="宋体" w:eastAsia="宋体" w:cs="Times New Roman"/>
          <w:b/>
          <w:bCs/>
          <w:color w:val="auto"/>
          <w:szCs w:val="24"/>
          <w:highlight w:val="none"/>
          <w:lang w:val="en-US" w:eastAsia="zh-CN"/>
        </w:rPr>
        <w:t>4</w:t>
      </w:r>
      <w:r>
        <w:rPr>
          <w:rFonts w:hint="eastAsia" w:ascii="宋体" w:hAnsi="宋体" w:eastAsia="宋体" w:cs="Times New Roman"/>
          <w:b/>
          <w:bCs/>
          <w:color w:val="auto"/>
          <w:szCs w:val="24"/>
          <w:highlight w:val="none"/>
          <w:lang w:val="zh-CN" w:eastAsia="zh-CN"/>
        </w:rPr>
        <w:t>）招标文件“业绩”评分标准中第（2）项评审项业绩的物业类型须为商务办公楼或写字楼，不包括住宅小区、公寓、公园、工业园区、车站、机场、学校、医院项目，否则不得分。</w:t>
      </w:r>
    </w:p>
    <w:p w14:paraId="57CC2324">
      <w:pPr>
        <w:numPr>
          <w:ilvl w:val="-1"/>
          <w:numId w:val="0"/>
        </w:numPr>
        <w:autoSpaceDE w:val="0"/>
        <w:autoSpaceDN w:val="0"/>
        <w:adjustRightInd/>
        <w:snapToGrid w:val="0"/>
        <w:spacing w:line="360" w:lineRule="auto"/>
        <w:jc w:val="left"/>
        <w:rPr>
          <w:rFonts w:hint="eastAsia" w:ascii="宋体" w:hAnsi="宋体" w:eastAsia="宋体" w:cs="Times New Roman"/>
          <w:b/>
          <w:bCs/>
          <w:color w:val="auto"/>
          <w:szCs w:val="24"/>
          <w:highlight w:val="none"/>
          <w:lang w:val="en-US" w:eastAsia="zh-CN"/>
        </w:rPr>
      </w:pPr>
      <w:r>
        <w:rPr>
          <w:rFonts w:hint="eastAsia" w:ascii="宋体" w:hAnsi="宋体" w:eastAsia="宋体" w:cs="Times New Roman"/>
          <w:b/>
          <w:bCs/>
          <w:color w:val="auto"/>
          <w:szCs w:val="24"/>
          <w:highlight w:val="none"/>
          <w:lang w:val="en-US" w:eastAsia="zh-CN"/>
        </w:rPr>
        <w:t>（5）若业绩为框架式协议或资格入围无明确金额的合同</w:t>
      </w:r>
      <w:r>
        <w:rPr>
          <w:rFonts w:hint="eastAsia" w:ascii="宋体" w:hAnsi="宋体" w:eastAsia="宋体" w:cs="Times New Roman"/>
          <w:b/>
          <w:bCs/>
          <w:color w:val="auto"/>
          <w:szCs w:val="24"/>
          <w:highlight w:val="none"/>
          <w:lang w:val="zh-CN" w:eastAsia="zh-CN"/>
        </w:rPr>
        <w:t>(本表内填写物业服务项目年度金额和单项合同实际服务总金额)</w:t>
      </w:r>
      <w:r>
        <w:rPr>
          <w:rFonts w:hint="eastAsia" w:ascii="宋体" w:hAnsi="宋体" w:eastAsia="宋体" w:cs="Times New Roman"/>
          <w:b/>
          <w:bCs/>
          <w:color w:val="auto"/>
          <w:szCs w:val="24"/>
          <w:highlight w:val="none"/>
          <w:lang w:val="en-US" w:eastAsia="zh-CN"/>
        </w:rPr>
        <w:t>，必须同时提供合同期限内已服务发票金额统计表和发票</w:t>
      </w:r>
      <w:r>
        <w:rPr>
          <w:rFonts w:hint="eastAsia" w:ascii="宋体" w:hAnsi="宋体" w:eastAsia="宋体" w:cs="Times New Roman"/>
          <w:b/>
          <w:bCs/>
          <w:color w:val="auto"/>
          <w:szCs w:val="24"/>
          <w:highlight w:val="none"/>
          <w:lang w:val="zh-CN" w:eastAsia="zh-CN"/>
        </w:rPr>
        <w:t>扫描件</w:t>
      </w:r>
      <w:r>
        <w:rPr>
          <w:rFonts w:hint="eastAsia" w:ascii="宋体" w:hAnsi="宋体" w:eastAsia="宋体" w:cs="Times New Roman"/>
          <w:b/>
          <w:bCs/>
          <w:color w:val="auto"/>
          <w:szCs w:val="24"/>
          <w:highlight w:val="none"/>
          <w:lang w:val="en-US" w:eastAsia="zh-CN"/>
        </w:rPr>
        <w:t>。发票合计金额视为投标人所提供该单项物业服务项目实际总金额，评审时按物业服务项目年度金额进行评审。</w:t>
      </w:r>
    </w:p>
    <w:p w14:paraId="28489411">
      <w:pPr>
        <w:numPr>
          <w:ilvl w:val="-1"/>
          <w:numId w:val="0"/>
        </w:numPr>
        <w:autoSpaceDE w:val="0"/>
        <w:autoSpaceDN w:val="0"/>
        <w:adjustRightInd/>
        <w:snapToGrid w:val="0"/>
        <w:spacing w:line="360" w:lineRule="auto"/>
        <w:jc w:val="left"/>
        <w:rPr>
          <w:rFonts w:hint="eastAsia" w:ascii="宋体" w:hAnsi="宋体" w:eastAsia="宋体" w:cs="Times New Roman"/>
          <w:b/>
          <w:bCs/>
          <w:color w:val="auto"/>
          <w:szCs w:val="24"/>
          <w:highlight w:val="none"/>
          <w:lang w:val="zh-CN" w:eastAsia="zh-CN"/>
        </w:rPr>
      </w:pPr>
      <w:r>
        <w:rPr>
          <w:rFonts w:hint="eastAsia" w:ascii="宋体" w:hAnsi="宋体" w:eastAsia="宋体" w:cs="Times New Roman"/>
          <w:b/>
          <w:bCs/>
          <w:color w:val="auto"/>
          <w:szCs w:val="24"/>
          <w:highlight w:val="none"/>
          <w:lang w:val="zh-CN" w:eastAsia="zh-CN"/>
        </w:rPr>
        <w:t>（6）单项合同服务期限要求大于或等于一年，小于一年的业绩合同在评标时将不予考虑；若单项合同服务期限为一年的，“物业服务项目年度金额”为单项合同服务期内总金额；若单项合同服务期限超过一年的，“物业服务项目年度金额”为单项合同总金额按照合同期限折算成平均每年度的金额，即（单项合同总金额/合同服务期月数）×12。</w:t>
      </w:r>
    </w:p>
    <w:p w14:paraId="66667DA2">
      <w:pPr>
        <w:numPr>
          <w:ilvl w:val="-1"/>
          <w:numId w:val="0"/>
        </w:numPr>
        <w:autoSpaceDE w:val="0"/>
        <w:autoSpaceDN w:val="0"/>
        <w:adjustRightInd/>
        <w:snapToGrid w:val="0"/>
        <w:spacing w:line="360" w:lineRule="auto"/>
        <w:jc w:val="left"/>
        <w:rPr>
          <w:rFonts w:hint="eastAsia" w:ascii="宋体" w:hAnsi="宋体" w:eastAsia="宋体" w:cs="Times New Roman"/>
          <w:b/>
          <w:bCs/>
          <w:color w:val="auto"/>
          <w:szCs w:val="24"/>
          <w:highlight w:val="none"/>
          <w:lang w:val="zh-CN" w:eastAsia="zh-CN"/>
        </w:rPr>
      </w:pPr>
      <w:r>
        <w:rPr>
          <w:rFonts w:hint="eastAsia" w:ascii="宋体" w:hAnsi="宋体" w:eastAsia="宋体" w:cs="Times New Roman"/>
          <w:b/>
          <w:bCs/>
          <w:color w:val="auto"/>
          <w:szCs w:val="24"/>
          <w:highlight w:val="none"/>
          <w:lang w:val="zh-CN" w:eastAsia="zh-CN"/>
        </w:rPr>
        <w:t>（</w:t>
      </w:r>
      <w:r>
        <w:rPr>
          <w:rFonts w:hint="eastAsia" w:ascii="宋体" w:hAnsi="宋体" w:eastAsia="宋体" w:cs="Times New Roman"/>
          <w:b/>
          <w:bCs/>
          <w:color w:val="auto"/>
          <w:szCs w:val="24"/>
          <w:highlight w:val="none"/>
          <w:lang w:val="en-US" w:eastAsia="zh-CN"/>
        </w:rPr>
        <w:t>7</w:t>
      </w:r>
      <w:r>
        <w:rPr>
          <w:rFonts w:hint="eastAsia" w:ascii="宋体" w:hAnsi="宋体" w:eastAsia="宋体" w:cs="Times New Roman"/>
          <w:b/>
          <w:bCs/>
          <w:color w:val="auto"/>
          <w:szCs w:val="24"/>
          <w:highlight w:val="none"/>
          <w:lang w:val="zh-CN" w:eastAsia="zh-CN"/>
        </w:rPr>
        <w:t>）未按上述要求提供相关证明材料的业绩，或所附材料无法证明填报项目属投标人完成的或符合本项评分要求的业绩，在评标时将不予考虑。</w:t>
      </w:r>
    </w:p>
    <w:p w14:paraId="4057F1F5">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p>
    <w:p w14:paraId="2A76C35F">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D41664B">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426FE6D5">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0CF59654">
      <w:pPr>
        <w:autoSpaceDE w:val="0"/>
        <w:autoSpaceDN w:val="0"/>
        <w:adjustRightInd w:val="0"/>
        <w:spacing w:line="360" w:lineRule="auto"/>
        <w:jc w:val="center"/>
        <w:rPr>
          <w:rFonts w:hint="eastAsia"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bookmarkEnd w:id="928"/>
    <w:bookmarkEnd w:id="929"/>
    <w:p w14:paraId="2769DAA5">
      <w:pPr>
        <w:pageBreakBefore/>
        <w:snapToGrid w:val="0"/>
        <w:spacing w:line="360" w:lineRule="auto"/>
        <w:ind w:left="671" w:leftChars="-58" w:hanging="793" w:hangingChars="247"/>
        <w:rPr>
          <w:rFonts w:hint="eastAsia" w:ascii="宋体" w:hAnsi="宋体" w:eastAsia="宋体" w:cs="宋体"/>
          <w:b/>
          <w:color w:val="auto"/>
          <w:kern w:val="2"/>
          <w:sz w:val="32"/>
          <w:szCs w:val="32"/>
          <w:highlight w:val="none"/>
          <w:lang w:val="zh-CN"/>
        </w:rPr>
      </w:pPr>
      <w:bookmarkStart w:id="934" w:name="_Toc142508379"/>
      <w:bookmarkStart w:id="935" w:name="_Toc102860084"/>
      <w:bookmarkStart w:id="936" w:name="_Toc140596939"/>
      <w:bookmarkStart w:id="937" w:name="_Toc1977738"/>
      <w:bookmarkStart w:id="938" w:name="_Toc102860428"/>
      <w:bookmarkStart w:id="939" w:name="_Toc94107221"/>
      <w:bookmarkStart w:id="940" w:name="_Toc24616"/>
      <w:bookmarkStart w:id="941" w:name="_Toc104991886"/>
      <w:bookmarkStart w:id="942" w:name="_Toc533708134"/>
      <w:bookmarkStart w:id="943" w:name="_Toc486167721"/>
      <w:r>
        <w:rPr>
          <w:rFonts w:hint="eastAsia" w:ascii="宋体" w:hAnsi="宋体" w:eastAsia="宋体" w:cs="宋体"/>
          <w:b/>
          <w:color w:val="auto"/>
          <w:kern w:val="2"/>
          <w:sz w:val="32"/>
          <w:szCs w:val="32"/>
          <w:highlight w:val="none"/>
          <w:lang w:val="zh-CN"/>
        </w:rPr>
        <w:t>附表：已服务发票金额统计表</w:t>
      </w:r>
    </w:p>
    <w:tbl>
      <w:tblPr>
        <w:tblStyle w:val="41"/>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135"/>
        <w:gridCol w:w="1274"/>
        <w:gridCol w:w="1558"/>
        <w:gridCol w:w="1241"/>
      </w:tblGrid>
      <w:tr w14:paraId="1BD5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6D503C87">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项目名称</w:t>
            </w:r>
          </w:p>
        </w:tc>
        <w:tc>
          <w:tcPr>
            <w:tcW w:w="5208" w:type="dxa"/>
            <w:gridSpan w:val="4"/>
            <w:noWrap w:val="0"/>
            <w:vAlign w:val="center"/>
          </w:tcPr>
          <w:p w14:paraId="522E59C7">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r w14:paraId="45E6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2BBF4615">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合同约定的服务期</w:t>
            </w:r>
          </w:p>
        </w:tc>
        <w:tc>
          <w:tcPr>
            <w:tcW w:w="5208" w:type="dxa"/>
            <w:gridSpan w:val="4"/>
            <w:noWrap w:val="0"/>
            <w:vAlign w:val="center"/>
          </w:tcPr>
          <w:p w14:paraId="7AACDCEA">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r w14:paraId="6C6C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775E9EDB">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发票抬头（</w:t>
            </w:r>
            <w:r>
              <w:rPr>
                <w:rFonts w:hint="eastAsia" w:ascii="宋体" w:hAnsi="宋体" w:eastAsia="宋体" w:cs="宋体"/>
                <w:color w:val="auto"/>
                <w:kern w:val="2"/>
                <w:sz w:val="21"/>
                <w:szCs w:val="20"/>
                <w:highlight w:val="none"/>
                <w:lang w:val="en-US" w:eastAsia="zh-CN" w:bidi="ar-SA"/>
              </w:rPr>
              <w:t>合同服务购买方）</w:t>
            </w:r>
          </w:p>
        </w:tc>
        <w:tc>
          <w:tcPr>
            <w:tcW w:w="5208" w:type="dxa"/>
            <w:gridSpan w:val="4"/>
            <w:noWrap w:val="0"/>
            <w:vAlign w:val="center"/>
          </w:tcPr>
          <w:p w14:paraId="6328980E">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r w14:paraId="141D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325FE578">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3202" w:type="dxa"/>
            <w:noWrap w:val="0"/>
            <w:vAlign w:val="center"/>
          </w:tcPr>
          <w:p w14:paraId="2CC723D1">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发票名目</w:t>
            </w:r>
          </w:p>
        </w:tc>
        <w:tc>
          <w:tcPr>
            <w:tcW w:w="1135" w:type="dxa"/>
            <w:noWrap w:val="0"/>
            <w:vAlign w:val="center"/>
          </w:tcPr>
          <w:p w14:paraId="7868262D">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发票金额</w:t>
            </w:r>
          </w:p>
        </w:tc>
        <w:tc>
          <w:tcPr>
            <w:tcW w:w="1274" w:type="dxa"/>
            <w:noWrap w:val="0"/>
            <w:vAlign w:val="center"/>
          </w:tcPr>
          <w:p w14:paraId="54334B32">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发票号码</w:t>
            </w:r>
          </w:p>
        </w:tc>
        <w:tc>
          <w:tcPr>
            <w:tcW w:w="1558" w:type="dxa"/>
            <w:noWrap w:val="0"/>
            <w:vAlign w:val="center"/>
          </w:tcPr>
          <w:p w14:paraId="35449B35">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发票所属时期</w:t>
            </w:r>
          </w:p>
        </w:tc>
        <w:tc>
          <w:tcPr>
            <w:tcW w:w="1241" w:type="dxa"/>
            <w:noWrap w:val="0"/>
            <w:vAlign w:val="center"/>
          </w:tcPr>
          <w:p w14:paraId="65A27E76">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w:t>
            </w:r>
          </w:p>
        </w:tc>
      </w:tr>
      <w:tr w14:paraId="5DC4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4DE7666D">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3202" w:type="dxa"/>
            <w:noWrap w:val="0"/>
            <w:vAlign w:val="center"/>
          </w:tcPr>
          <w:p w14:paraId="1882E174">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135" w:type="dxa"/>
            <w:noWrap w:val="0"/>
            <w:vAlign w:val="center"/>
          </w:tcPr>
          <w:p w14:paraId="15E85086">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74" w:type="dxa"/>
            <w:noWrap w:val="0"/>
            <w:vAlign w:val="center"/>
          </w:tcPr>
          <w:p w14:paraId="4CC9DF56">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558" w:type="dxa"/>
            <w:noWrap w:val="0"/>
            <w:vAlign w:val="center"/>
          </w:tcPr>
          <w:p w14:paraId="1C8F91C2">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41" w:type="dxa"/>
            <w:noWrap w:val="0"/>
            <w:vAlign w:val="center"/>
          </w:tcPr>
          <w:p w14:paraId="2D8F9D53">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r w14:paraId="1566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6DE7BE27">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3202" w:type="dxa"/>
            <w:noWrap w:val="0"/>
            <w:vAlign w:val="center"/>
          </w:tcPr>
          <w:p w14:paraId="74C55D60">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135" w:type="dxa"/>
            <w:noWrap w:val="0"/>
            <w:vAlign w:val="center"/>
          </w:tcPr>
          <w:p w14:paraId="6D7EECC5">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74" w:type="dxa"/>
            <w:noWrap w:val="0"/>
            <w:vAlign w:val="center"/>
          </w:tcPr>
          <w:p w14:paraId="141F3161">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558" w:type="dxa"/>
            <w:noWrap w:val="0"/>
            <w:vAlign w:val="center"/>
          </w:tcPr>
          <w:p w14:paraId="037294B6">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41" w:type="dxa"/>
            <w:noWrap w:val="0"/>
            <w:vAlign w:val="center"/>
          </w:tcPr>
          <w:p w14:paraId="3F2CA2FD">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r w14:paraId="59F3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239BB118">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3202" w:type="dxa"/>
            <w:noWrap w:val="0"/>
            <w:vAlign w:val="center"/>
          </w:tcPr>
          <w:p w14:paraId="58CDB80A">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135" w:type="dxa"/>
            <w:noWrap w:val="0"/>
            <w:vAlign w:val="center"/>
          </w:tcPr>
          <w:p w14:paraId="4112D072">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74" w:type="dxa"/>
            <w:noWrap w:val="0"/>
            <w:vAlign w:val="center"/>
          </w:tcPr>
          <w:p w14:paraId="7D73185A">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558" w:type="dxa"/>
            <w:noWrap w:val="0"/>
            <w:vAlign w:val="center"/>
          </w:tcPr>
          <w:p w14:paraId="6BAACBCD">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41" w:type="dxa"/>
            <w:noWrap w:val="0"/>
            <w:vAlign w:val="center"/>
          </w:tcPr>
          <w:p w14:paraId="51DD5B1A">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r w14:paraId="6CF4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4CD09B17">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tc>
        <w:tc>
          <w:tcPr>
            <w:tcW w:w="3202" w:type="dxa"/>
            <w:noWrap w:val="0"/>
            <w:vAlign w:val="center"/>
          </w:tcPr>
          <w:p w14:paraId="09AC3069">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135" w:type="dxa"/>
            <w:noWrap w:val="0"/>
            <w:vAlign w:val="center"/>
          </w:tcPr>
          <w:p w14:paraId="38022098">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74" w:type="dxa"/>
            <w:noWrap w:val="0"/>
            <w:vAlign w:val="center"/>
          </w:tcPr>
          <w:p w14:paraId="35B9AEE9">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558" w:type="dxa"/>
            <w:noWrap w:val="0"/>
            <w:vAlign w:val="center"/>
          </w:tcPr>
          <w:p w14:paraId="3A1081B6">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41" w:type="dxa"/>
            <w:noWrap w:val="0"/>
            <w:vAlign w:val="center"/>
          </w:tcPr>
          <w:p w14:paraId="499F487D">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r w14:paraId="3C4F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079" w:type="dxa"/>
            <w:gridSpan w:val="2"/>
            <w:noWrap w:val="0"/>
            <w:vAlign w:val="center"/>
          </w:tcPr>
          <w:p w14:paraId="219A9D05">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发票金额合计</w:t>
            </w:r>
          </w:p>
        </w:tc>
        <w:tc>
          <w:tcPr>
            <w:tcW w:w="1135" w:type="dxa"/>
            <w:noWrap w:val="0"/>
            <w:vAlign w:val="center"/>
          </w:tcPr>
          <w:p w14:paraId="655FB36B">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74" w:type="dxa"/>
            <w:noWrap w:val="0"/>
            <w:vAlign w:val="center"/>
          </w:tcPr>
          <w:p w14:paraId="7C3221C2">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558" w:type="dxa"/>
            <w:noWrap w:val="0"/>
            <w:vAlign w:val="center"/>
          </w:tcPr>
          <w:p w14:paraId="5E87047D">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41" w:type="dxa"/>
            <w:noWrap w:val="0"/>
            <w:vAlign w:val="center"/>
          </w:tcPr>
          <w:p w14:paraId="79D1E8EB">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bl>
    <w:p w14:paraId="06BC8572">
      <w:pPr>
        <w:snapToGrid w:val="0"/>
        <w:spacing w:line="360" w:lineRule="auto"/>
        <w:ind w:left="491" w:leftChars="-57" w:hanging="611" w:hangingChars="291"/>
        <w:rPr>
          <w:rFonts w:hint="eastAsia" w:ascii="宋体" w:hAnsi="宋体" w:eastAsia="宋体" w:cs="宋体"/>
          <w:color w:val="auto"/>
          <w:kern w:val="2"/>
          <w:sz w:val="21"/>
          <w:highlight w:val="none"/>
        </w:rPr>
      </w:pPr>
    </w:p>
    <w:p w14:paraId="763A58FB">
      <w:pPr>
        <w:snapToGrid w:val="0"/>
        <w:spacing w:line="360" w:lineRule="auto"/>
        <w:ind w:left="611" w:hanging="611" w:hangingChars="291"/>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备注：</w:t>
      </w:r>
    </w:p>
    <w:p w14:paraId="0EADFB0D">
      <w:pPr>
        <w:snapToGrid w:val="0"/>
        <w:spacing w:line="360" w:lineRule="auto"/>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（1）投标人提供框架式协议或资格入围无明确金额的合同时，须同时提供本统计表及发票</w:t>
      </w:r>
      <w:r>
        <w:rPr>
          <w:rFonts w:hint="eastAsia" w:ascii="宋体" w:hAnsi="宋体" w:eastAsia="宋体" w:cs="宋体"/>
          <w:color w:val="auto"/>
          <w:kern w:val="2"/>
          <w:sz w:val="21"/>
          <w:highlight w:val="none"/>
          <w:lang w:eastAsia="zh-CN"/>
        </w:rPr>
        <w:t>扫描件</w:t>
      </w:r>
      <w:r>
        <w:rPr>
          <w:rFonts w:hint="eastAsia" w:ascii="宋体" w:hAnsi="宋体" w:eastAsia="宋体" w:cs="宋体"/>
          <w:color w:val="auto"/>
          <w:kern w:val="2"/>
          <w:sz w:val="21"/>
          <w:highlight w:val="none"/>
        </w:rPr>
        <w:t>，本统计表及发票</w:t>
      </w:r>
      <w:r>
        <w:rPr>
          <w:rFonts w:hint="eastAsia" w:ascii="宋体" w:hAnsi="宋体" w:eastAsia="宋体" w:cs="宋体"/>
          <w:color w:val="auto"/>
          <w:kern w:val="2"/>
          <w:sz w:val="21"/>
          <w:highlight w:val="none"/>
          <w:lang w:eastAsia="zh-CN"/>
        </w:rPr>
        <w:t>扫描件</w:t>
      </w:r>
      <w:r>
        <w:rPr>
          <w:rFonts w:hint="eastAsia" w:ascii="宋体" w:hAnsi="宋体" w:eastAsia="宋体" w:cs="宋体"/>
          <w:color w:val="auto"/>
          <w:kern w:val="2"/>
          <w:sz w:val="21"/>
          <w:highlight w:val="none"/>
        </w:rPr>
        <w:t>应后附于合同</w:t>
      </w:r>
      <w:r>
        <w:rPr>
          <w:rFonts w:hint="eastAsia" w:ascii="宋体" w:hAnsi="宋体" w:eastAsia="宋体" w:cs="宋体"/>
          <w:color w:val="auto"/>
          <w:kern w:val="2"/>
          <w:sz w:val="21"/>
          <w:highlight w:val="none"/>
          <w:lang w:eastAsia="zh-CN"/>
        </w:rPr>
        <w:t>扫描件</w:t>
      </w:r>
      <w:r>
        <w:rPr>
          <w:rFonts w:hint="eastAsia" w:ascii="宋体" w:hAnsi="宋体" w:eastAsia="宋体" w:cs="宋体"/>
          <w:color w:val="auto"/>
          <w:kern w:val="2"/>
          <w:sz w:val="21"/>
          <w:highlight w:val="none"/>
        </w:rPr>
        <w:t>。</w:t>
      </w:r>
    </w:p>
    <w:p w14:paraId="1E9AC096">
      <w:pPr>
        <w:snapToGrid w:val="0"/>
        <w:spacing w:line="360" w:lineRule="auto"/>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（2）发票抬头应为合同服务购买方，</w:t>
      </w:r>
      <w:r>
        <w:rPr>
          <w:rFonts w:hint="eastAsia" w:ascii="宋体" w:hAnsi="宋体" w:eastAsia="宋体" w:cs="宋体"/>
          <w:color w:val="auto"/>
          <w:kern w:val="2"/>
          <w:sz w:val="21"/>
          <w:highlight w:val="none"/>
          <w:lang w:val="en-US" w:eastAsia="zh-CN"/>
        </w:rPr>
        <w:t>收款人</w:t>
      </w:r>
      <w:r>
        <w:rPr>
          <w:rFonts w:hint="eastAsia" w:ascii="宋体" w:hAnsi="宋体" w:eastAsia="宋体" w:cs="宋体"/>
          <w:color w:val="auto"/>
          <w:kern w:val="2"/>
          <w:sz w:val="21"/>
          <w:highlight w:val="none"/>
        </w:rPr>
        <w:t>应为投标人，且发票名目、所属时期应与合同约定内容一致，否则不计分。</w:t>
      </w:r>
    </w:p>
    <w:p w14:paraId="697217A6">
      <w:pPr>
        <w:snapToGrid w:val="0"/>
        <w:spacing w:line="360" w:lineRule="auto"/>
        <w:rPr>
          <w:color w:val="auto"/>
          <w:lang w:val="zh-CN"/>
        </w:rPr>
      </w:pPr>
      <w:r>
        <w:rPr>
          <w:rFonts w:hint="eastAsia" w:ascii="宋体" w:hAnsi="宋体" w:eastAsia="宋体" w:cs="宋体"/>
          <w:color w:val="auto"/>
          <w:kern w:val="2"/>
          <w:sz w:val="21"/>
          <w:highlight w:val="none"/>
        </w:rPr>
        <w:t>（3）发票合计金额视为投标人所提供该单项物业服务项目实际总金额，评审时将按照物业服务项目年度金额进行评审。</w:t>
      </w:r>
    </w:p>
    <w:p w14:paraId="775478C1">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z w:val="32"/>
          <w:szCs w:val="32"/>
          <w:lang w:val="en-US" w:eastAsia="zh-CN"/>
        </w:rPr>
      </w:pPr>
      <w:bookmarkStart w:id="944" w:name="_Toc85553401"/>
      <w:bookmarkStart w:id="945" w:name="_Toc117668212"/>
      <w:bookmarkStart w:id="946" w:name="_Toc3795"/>
      <w:bookmarkStart w:id="947" w:name="_Toc27666"/>
      <w:bookmarkStart w:id="948" w:name="_Toc177203325"/>
      <w:bookmarkStart w:id="949" w:name="_Toc176453454"/>
      <w:bookmarkStart w:id="950" w:name="_Toc29652"/>
      <w:bookmarkStart w:id="951" w:name="_Toc2007"/>
      <w:r>
        <w:rPr>
          <w:rFonts w:hint="eastAsia" w:ascii="宋体" w:hAnsi="宋体" w:eastAsia="宋体" w:cs="宋体"/>
          <w:b/>
          <w:color w:val="auto"/>
          <w:sz w:val="32"/>
          <w:szCs w:val="32"/>
          <w:lang w:val="en-US" w:eastAsia="zh-CN"/>
        </w:rPr>
        <w:br w:type="page"/>
      </w:r>
      <w:bookmarkEnd w:id="944"/>
      <w:bookmarkEnd w:id="945"/>
      <w:bookmarkEnd w:id="946"/>
      <w:bookmarkEnd w:id="947"/>
      <w:bookmarkEnd w:id="948"/>
      <w:bookmarkEnd w:id="949"/>
      <w:r>
        <w:rPr>
          <w:rFonts w:hint="eastAsia" w:ascii="宋体" w:hAnsi="宋体" w:eastAsia="宋体" w:cs="宋体"/>
          <w:b/>
          <w:color w:val="auto"/>
          <w:sz w:val="32"/>
          <w:szCs w:val="32"/>
          <w:lang w:val="en-US" w:eastAsia="zh-CN"/>
        </w:rPr>
        <w:t>十一、服务便利性</w:t>
      </w:r>
    </w:p>
    <w:p w14:paraId="582C39A8">
      <w:pPr>
        <w:pStyle w:val="18"/>
        <w:spacing w:line="360" w:lineRule="auto"/>
        <w:outlineLvl w:val="9"/>
        <w:rPr>
          <w:rFonts w:hint="eastAsia" w:ascii="宋体" w:hAnsi="宋体" w:eastAsia="宋体" w:cs="宋体"/>
          <w:color w:val="auto"/>
          <w:highlight w:val="none"/>
          <w:lang w:val="en-US" w:eastAsia="zh-CN"/>
        </w:rPr>
      </w:pPr>
      <w:r>
        <w:rPr>
          <w:rFonts w:hint="eastAsia" w:ascii="宋体" w:hAnsi="宋体" w:eastAsia="宋体" w:cs="宋体"/>
          <w:b/>
          <w:bCs/>
          <w:color w:val="auto"/>
          <w:kern w:val="0"/>
          <w:sz w:val="32"/>
          <w:szCs w:val="32"/>
          <w:highlight w:val="none"/>
          <w:lang w:val="en-US" w:eastAsia="zh-CN" w:bidi="ar-SA"/>
        </w:rPr>
        <w:t>服务便利性时间情况表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2956"/>
        <w:gridCol w:w="2106"/>
        <w:gridCol w:w="2614"/>
        <w:gridCol w:w="1240"/>
      </w:tblGrid>
      <w:tr w14:paraId="70D6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60" w:type="dxa"/>
            <w:vAlign w:val="center"/>
          </w:tcPr>
          <w:p w14:paraId="1260AE19">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956" w:type="dxa"/>
            <w:vAlign w:val="center"/>
          </w:tcPr>
          <w:p w14:paraId="62BB86E4">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投标人地址</w:t>
            </w:r>
          </w:p>
        </w:tc>
        <w:tc>
          <w:tcPr>
            <w:tcW w:w="2106" w:type="dxa"/>
            <w:vAlign w:val="center"/>
          </w:tcPr>
          <w:p w14:paraId="2A691A0C">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到水业大厦的距离</w:t>
            </w:r>
          </w:p>
        </w:tc>
        <w:tc>
          <w:tcPr>
            <w:tcW w:w="2614" w:type="dxa"/>
            <w:vAlign w:val="center"/>
          </w:tcPr>
          <w:p w14:paraId="234DDD61">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到达水业大厦时间（分钟）</w:t>
            </w:r>
          </w:p>
        </w:tc>
        <w:tc>
          <w:tcPr>
            <w:tcW w:w="1240" w:type="dxa"/>
            <w:vAlign w:val="center"/>
          </w:tcPr>
          <w:p w14:paraId="49D5C0F6">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7C69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760" w:type="dxa"/>
            <w:vAlign w:val="center"/>
          </w:tcPr>
          <w:p w14:paraId="13E2D695">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956" w:type="dxa"/>
            <w:vAlign w:val="center"/>
          </w:tcPr>
          <w:p w14:paraId="229A984D">
            <w:pPr>
              <w:jc w:val="center"/>
              <w:outlineLvl w:val="9"/>
              <w:rPr>
                <w:rFonts w:hint="eastAsia" w:ascii="宋体" w:hAnsi="宋体" w:eastAsia="宋体" w:cs="宋体"/>
                <w:color w:val="auto"/>
                <w:sz w:val="21"/>
                <w:szCs w:val="21"/>
                <w:highlight w:val="none"/>
                <w:lang w:val="en-US" w:eastAsia="zh-CN"/>
              </w:rPr>
            </w:pPr>
          </w:p>
        </w:tc>
        <w:tc>
          <w:tcPr>
            <w:tcW w:w="2106" w:type="dxa"/>
            <w:vAlign w:val="center"/>
          </w:tcPr>
          <w:p w14:paraId="3BD7FDF6">
            <w:pPr>
              <w:jc w:val="center"/>
              <w:outlineLvl w:val="9"/>
              <w:rPr>
                <w:rFonts w:hint="eastAsia" w:ascii="宋体" w:hAnsi="宋体" w:eastAsia="宋体" w:cs="宋体"/>
                <w:color w:val="auto"/>
                <w:sz w:val="21"/>
                <w:szCs w:val="21"/>
                <w:highlight w:val="none"/>
                <w:lang w:val="en-US" w:eastAsia="zh-CN"/>
              </w:rPr>
            </w:pPr>
          </w:p>
        </w:tc>
        <w:tc>
          <w:tcPr>
            <w:tcW w:w="2614" w:type="dxa"/>
            <w:vAlign w:val="center"/>
          </w:tcPr>
          <w:p w14:paraId="0FED5166">
            <w:pPr>
              <w:jc w:val="center"/>
              <w:outlineLvl w:val="9"/>
              <w:rPr>
                <w:rFonts w:hint="eastAsia" w:ascii="宋体" w:hAnsi="宋体" w:eastAsia="宋体" w:cs="宋体"/>
                <w:color w:val="auto"/>
                <w:sz w:val="21"/>
                <w:szCs w:val="21"/>
                <w:highlight w:val="none"/>
                <w:lang w:val="en-US" w:eastAsia="zh-CN"/>
              </w:rPr>
            </w:pPr>
          </w:p>
        </w:tc>
        <w:tc>
          <w:tcPr>
            <w:tcW w:w="1240" w:type="dxa"/>
            <w:vAlign w:val="center"/>
          </w:tcPr>
          <w:p w14:paraId="049566C5">
            <w:pPr>
              <w:jc w:val="center"/>
              <w:outlineLvl w:val="9"/>
              <w:rPr>
                <w:rFonts w:hint="eastAsia" w:ascii="宋体" w:hAnsi="宋体" w:eastAsia="宋体" w:cs="宋体"/>
                <w:color w:val="auto"/>
                <w:sz w:val="21"/>
                <w:szCs w:val="21"/>
                <w:highlight w:val="none"/>
                <w:lang w:val="en-US" w:eastAsia="zh-CN"/>
              </w:rPr>
            </w:pPr>
          </w:p>
        </w:tc>
      </w:tr>
      <w:tr w14:paraId="336F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60" w:type="dxa"/>
            <w:vAlign w:val="center"/>
          </w:tcPr>
          <w:p w14:paraId="5EB8A20A">
            <w:pPr>
              <w:jc w:val="center"/>
              <w:outlineLvl w:val="9"/>
              <w:rPr>
                <w:rFonts w:hint="eastAsia" w:ascii="宋体" w:hAnsi="宋体" w:eastAsia="宋体" w:cs="宋体"/>
                <w:color w:val="auto"/>
                <w:sz w:val="21"/>
                <w:szCs w:val="21"/>
                <w:highlight w:val="none"/>
                <w:lang w:val="en-US" w:eastAsia="zh-CN"/>
              </w:rPr>
            </w:pPr>
          </w:p>
        </w:tc>
        <w:tc>
          <w:tcPr>
            <w:tcW w:w="2956" w:type="dxa"/>
            <w:vAlign w:val="center"/>
          </w:tcPr>
          <w:p w14:paraId="1ECBF5BD">
            <w:pPr>
              <w:jc w:val="center"/>
              <w:outlineLvl w:val="9"/>
              <w:rPr>
                <w:rFonts w:hint="eastAsia" w:ascii="宋体" w:hAnsi="宋体" w:eastAsia="宋体" w:cs="宋体"/>
                <w:color w:val="auto"/>
                <w:sz w:val="21"/>
                <w:szCs w:val="21"/>
                <w:highlight w:val="none"/>
                <w:lang w:val="en-US" w:eastAsia="zh-CN"/>
              </w:rPr>
            </w:pPr>
          </w:p>
        </w:tc>
        <w:tc>
          <w:tcPr>
            <w:tcW w:w="2106" w:type="dxa"/>
            <w:vAlign w:val="center"/>
          </w:tcPr>
          <w:p w14:paraId="09B634D6">
            <w:pPr>
              <w:jc w:val="center"/>
              <w:outlineLvl w:val="9"/>
              <w:rPr>
                <w:rFonts w:hint="eastAsia" w:ascii="宋体" w:hAnsi="宋体" w:eastAsia="宋体" w:cs="宋体"/>
                <w:color w:val="auto"/>
                <w:sz w:val="21"/>
                <w:szCs w:val="21"/>
                <w:highlight w:val="none"/>
                <w:lang w:val="en-US" w:eastAsia="zh-CN"/>
              </w:rPr>
            </w:pPr>
          </w:p>
        </w:tc>
        <w:tc>
          <w:tcPr>
            <w:tcW w:w="2614" w:type="dxa"/>
            <w:vAlign w:val="center"/>
          </w:tcPr>
          <w:p w14:paraId="3543EE2C">
            <w:pPr>
              <w:jc w:val="center"/>
              <w:outlineLvl w:val="9"/>
              <w:rPr>
                <w:rFonts w:hint="eastAsia" w:ascii="宋体" w:hAnsi="宋体" w:eastAsia="宋体" w:cs="宋体"/>
                <w:color w:val="auto"/>
                <w:sz w:val="21"/>
                <w:szCs w:val="21"/>
                <w:highlight w:val="none"/>
                <w:lang w:val="en-US" w:eastAsia="zh-CN"/>
              </w:rPr>
            </w:pPr>
          </w:p>
        </w:tc>
        <w:tc>
          <w:tcPr>
            <w:tcW w:w="1240" w:type="dxa"/>
            <w:vAlign w:val="center"/>
          </w:tcPr>
          <w:p w14:paraId="5EDF9396">
            <w:pPr>
              <w:jc w:val="center"/>
              <w:outlineLvl w:val="9"/>
              <w:rPr>
                <w:rFonts w:hint="eastAsia" w:ascii="宋体" w:hAnsi="宋体" w:eastAsia="宋体" w:cs="宋体"/>
                <w:color w:val="auto"/>
                <w:sz w:val="21"/>
                <w:szCs w:val="21"/>
                <w:highlight w:val="none"/>
                <w:lang w:val="en-US" w:eastAsia="zh-CN"/>
              </w:rPr>
            </w:pPr>
          </w:p>
        </w:tc>
      </w:tr>
    </w:tbl>
    <w:p w14:paraId="1CAD0160">
      <w:pPr>
        <w:numPr>
          <w:ilvl w:val="0"/>
          <w:numId w:val="0"/>
        </w:numPr>
        <w:spacing w:line="360" w:lineRule="auto"/>
        <w:outlineLvl w:val="9"/>
        <w:rPr>
          <w:rFonts w:hint="eastAsia" w:ascii="宋体" w:hAnsi="宋体" w:eastAsia="宋体" w:cs="宋体"/>
          <w:color w:val="auto"/>
          <w:sz w:val="21"/>
          <w:szCs w:val="21"/>
          <w:highlight w:val="none"/>
          <w:lang w:val="en-US" w:eastAsia="zh-CN"/>
        </w:rPr>
      </w:pPr>
    </w:p>
    <w:p w14:paraId="6879527A">
      <w:pPr>
        <w:numPr>
          <w:ilvl w:val="0"/>
          <w:numId w:val="0"/>
        </w:numPr>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46E87123">
      <w:pPr>
        <w:autoSpaceDE w:val="0"/>
        <w:autoSpaceDN w:val="0"/>
        <w:adjustRightInd w:val="0"/>
        <w:snapToGrid w:val="0"/>
        <w:spacing w:line="360" w:lineRule="auto"/>
        <w:ind w:left="691" w:leftChars="59" w:hanging="567" w:hangingChars="270"/>
        <w:jc w:val="left"/>
        <w:outlineLvl w:val="9"/>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（1）投标人注册地或其分支机构地址以提供的营业执照或办公场所租赁合同或产权证明的地址为准，需提供前述证明扫描件，否则评审时将不予考虑。</w:t>
      </w:r>
    </w:p>
    <w:p w14:paraId="7E853702">
      <w:pPr>
        <w:autoSpaceDE w:val="0"/>
        <w:autoSpaceDN w:val="0"/>
        <w:adjustRightInd w:val="0"/>
        <w:snapToGrid w:val="0"/>
        <w:spacing w:line="360" w:lineRule="auto"/>
        <w:ind w:left="691" w:leftChars="59" w:hanging="567" w:hangingChars="270"/>
        <w:jc w:val="left"/>
        <w:outlineLvl w:val="9"/>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投标人需提供从投标人注册地或其分支机构地址到达指定地点的路线图导航截屏（需体现投标人注册地或其分支机构地址至指定地点的名称、距离以及用时等关键因素），未提供相关证明资料或不符合本项评分要求的，在评审时将不予考虑。</w:t>
      </w:r>
    </w:p>
    <w:p w14:paraId="42D55A86">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p>
    <w:p w14:paraId="335EDAA0">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p>
    <w:p w14:paraId="460E9C9A">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FA3E487">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274AF013">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79BDE01D">
      <w:pPr>
        <w:autoSpaceDE w:val="0"/>
        <w:autoSpaceDN w:val="0"/>
        <w:adjustRightInd w:val="0"/>
        <w:spacing w:line="360" w:lineRule="auto"/>
        <w:jc w:val="center"/>
        <w:rPr>
          <w:rFonts w:hint="eastAsia"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40F5E5D8">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z w:val="32"/>
          <w:szCs w:val="32"/>
          <w:lang w:val="en-US" w:eastAsia="zh-CN"/>
        </w:rPr>
      </w:pPr>
    </w:p>
    <w:p w14:paraId="3B14AAD6">
      <w:pPr>
        <w:keepNext w:val="0"/>
        <w:keepLines w:val="0"/>
        <w:pageBreakBefore/>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kern w:val="0"/>
          <w:sz w:val="32"/>
          <w:szCs w:val="32"/>
          <w:highlight w:val="none"/>
          <w:lang w:val="en-US" w:eastAsia="zh-CN"/>
        </w:rPr>
        <w:sectPr>
          <w:pgSz w:w="12240" w:h="15840"/>
          <w:pgMar w:top="1191" w:right="1737" w:bottom="1191" w:left="1043" w:header="720" w:footer="720" w:gutter="0"/>
          <w:pgNumType w:fmt="decimal"/>
          <w:cols w:space="720" w:num="1"/>
          <w:docGrid w:linePitch="326" w:charSpace="0"/>
        </w:sectPr>
      </w:pPr>
      <w:r>
        <w:rPr>
          <w:rFonts w:hint="eastAsia" w:ascii="宋体" w:hAnsi="宋体" w:eastAsia="宋体" w:cs="宋体"/>
          <w:b/>
          <w:color w:val="auto"/>
          <w:kern w:val="0"/>
          <w:sz w:val="32"/>
          <w:szCs w:val="32"/>
          <w:highlight w:val="none"/>
          <w:lang w:val="en-US" w:eastAsia="zh-CN"/>
        </w:rPr>
        <w:t>十二、</w:t>
      </w:r>
      <w:r>
        <w:rPr>
          <w:rFonts w:hint="eastAsia" w:ascii="宋体" w:hAnsi="宋体" w:eastAsia="宋体" w:cs="宋体"/>
          <w:b/>
          <w:color w:val="auto"/>
          <w:kern w:val="0"/>
          <w:sz w:val="32"/>
          <w:szCs w:val="32"/>
          <w:highlight w:val="none"/>
          <w:lang w:val="zh-CN" w:eastAsia="zh-CN"/>
        </w:rPr>
        <w:t>投标人资格证明文件以外的其他资质证书、知识产权证书及获得的相关获奖、认证证书、社会评价资料证明文件扫描件等投标人认为有需要证明其具备为本次招标项目提供服务能力的有关其它商务文件（不做强制要求）</w:t>
      </w:r>
      <w:bookmarkEnd w:id="934"/>
      <w:bookmarkEnd w:id="935"/>
      <w:bookmarkEnd w:id="936"/>
      <w:bookmarkEnd w:id="937"/>
      <w:bookmarkEnd w:id="938"/>
      <w:bookmarkEnd w:id="939"/>
      <w:bookmarkEnd w:id="940"/>
      <w:bookmarkEnd w:id="941"/>
      <w:bookmarkEnd w:id="950"/>
      <w:bookmarkEnd w:id="951"/>
    </w:p>
    <w:p w14:paraId="3420226C">
      <w:pPr>
        <w:jc w:val="center"/>
        <w:outlineLvl w:val="1"/>
        <w:rPr>
          <w:rFonts w:hint="eastAsia" w:ascii="宋体" w:hAnsi="宋体" w:eastAsia="宋体" w:cs="宋体"/>
          <w:b/>
          <w:color w:val="auto"/>
          <w:kern w:val="0"/>
          <w:sz w:val="32"/>
          <w:szCs w:val="32"/>
          <w:highlight w:val="none"/>
        </w:rPr>
      </w:pPr>
      <w:bookmarkStart w:id="952" w:name="_Toc13776"/>
      <w:bookmarkStart w:id="953" w:name="_Toc32650"/>
      <w:bookmarkStart w:id="954" w:name="_Toc5256"/>
      <w:bookmarkStart w:id="955" w:name="_Toc4972"/>
      <w:bookmarkStart w:id="956" w:name="_Toc195714399"/>
      <w:bookmarkStart w:id="957" w:name="_Toc14997"/>
      <w:bookmarkStart w:id="958" w:name="_Toc27993"/>
      <w:bookmarkStart w:id="959" w:name="_Toc102860085"/>
      <w:bookmarkStart w:id="960" w:name="_Toc142508380"/>
      <w:bookmarkStart w:id="961" w:name="_Toc102860429"/>
      <w:bookmarkStart w:id="962" w:name="_Toc94107222"/>
      <w:bookmarkStart w:id="963" w:name="_Toc18038"/>
      <w:bookmarkStart w:id="964" w:name="_Toc27482"/>
      <w:bookmarkStart w:id="965" w:name="_Toc104991887"/>
      <w:bookmarkStart w:id="966" w:name="_Toc1977739"/>
      <w:bookmarkStart w:id="967" w:name="_Toc31916"/>
      <w:bookmarkStart w:id="968" w:name="_Toc140596940"/>
      <w:r>
        <w:rPr>
          <w:rFonts w:hint="eastAsia" w:ascii="宋体" w:hAnsi="宋体" w:eastAsia="宋体" w:cs="宋体"/>
          <w:b/>
          <w:color w:val="auto"/>
          <w:kern w:val="0"/>
          <w:sz w:val="32"/>
          <w:szCs w:val="32"/>
          <w:highlight w:val="none"/>
        </w:rPr>
        <w:t>二  技术标格式</w:t>
      </w:r>
      <w:bookmarkEnd w:id="952"/>
      <w:bookmarkEnd w:id="953"/>
      <w:bookmarkEnd w:id="954"/>
      <w:bookmarkEnd w:id="955"/>
      <w:bookmarkEnd w:id="956"/>
      <w:bookmarkEnd w:id="957"/>
      <w:bookmarkEnd w:id="958"/>
    </w:p>
    <w:bookmarkEnd w:id="942"/>
    <w:bookmarkEnd w:id="959"/>
    <w:bookmarkEnd w:id="960"/>
    <w:bookmarkEnd w:id="961"/>
    <w:bookmarkEnd w:id="962"/>
    <w:bookmarkEnd w:id="963"/>
    <w:bookmarkEnd w:id="964"/>
    <w:bookmarkEnd w:id="965"/>
    <w:bookmarkEnd w:id="966"/>
    <w:bookmarkEnd w:id="967"/>
    <w:bookmarkEnd w:id="968"/>
    <w:p w14:paraId="54A98F9F">
      <w:pPr>
        <w:pStyle w:val="19"/>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943"/>
      <w:bookmarkStart w:id="969" w:name="_Toc142508381"/>
      <w:bookmarkStart w:id="970" w:name="_Toc140596941"/>
      <w:bookmarkStart w:id="971" w:name="_Toc533708135"/>
      <w:bookmarkStart w:id="972" w:name="_Toc1977740"/>
      <w:bookmarkStart w:id="973" w:name="_Toc102860086"/>
      <w:bookmarkStart w:id="974" w:name="_Toc102860430"/>
      <w:bookmarkStart w:id="975" w:name="_Toc104991888"/>
      <w:bookmarkStart w:id="976" w:name="_Toc94107223"/>
    </w:p>
    <w:p w14:paraId="6B0F3BFA">
      <w:pPr>
        <w:pStyle w:val="19"/>
        <w:spacing w:line="360" w:lineRule="auto"/>
        <w:jc w:val="center"/>
        <w:outlineLvl w:val="9"/>
        <w:rPr>
          <w:rFonts w:hint="eastAsia" w:ascii="宋体" w:hAnsi="宋体" w:eastAsia="宋体" w:cs="宋体"/>
          <w:b/>
          <w:color w:val="auto"/>
          <w:kern w:val="0"/>
          <w:szCs w:val="21"/>
          <w:highlight w:val="none"/>
        </w:rPr>
      </w:pPr>
    </w:p>
    <w:p w14:paraId="5C0390E1">
      <w:pPr>
        <w:pStyle w:val="19"/>
        <w:spacing w:line="360" w:lineRule="auto"/>
        <w:jc w:val="center"/>
        <w:outlineLvl w:val="9"/>
        <w:rPr>
          <w:rFonts w:hint="eastAsia" w:ascii="宋体" w:hAnsi="宋体" w:eastAsia="宋体" w:cs="宋体"/>
          <w:b/>
          <w:color w:val="auto"/>
          <w:kern w:val="0"/>
          <w:szCs w:val="21"/>
          <w:highlight w:val="none"/>
        </w:rPr>
      </w:pPr>
    </w:p>
    <w:p w14:paraId="517B800F">
      <w:pPr>
        <w:pStyle w:val="19"/>
        <w:spacing w:line="360" w:lineRule="auto"/>
        <w:jc w:val="center"/>
        <w:outlineLvl w:val="9"/>
        <w:rPr>
          <w:rFonts w:hint="eastAsia" w:ascii="宋体" w:hAnsi="宋体" w:eastAsia="宋体" w:cs="宋体"/>
          <w:b/>
          <w:color w:val="auto"/>
          <w:kern w:val="0"/>
          <w:szCs w:val="21"/>
          <w:highlight w:val="none"/>
        </w:rPr>
      </w:pPr>
    </w:p>
    <w:p w14:paraId="36E1CA71">
      <w:pPr>
        <w:pStyle w:val="19"/>
        <w:spacing w:line="360" w:lineRule="auto"/>
        <w:jc w:val="center"/>
        <w:outlineLvl w:val="9"/>
        <w:rPr>
          <w:rFonts w:hint="eastAsia" w:ascii="宋体" w:hAnsi="宋体" w:eastAsia="宋体" w:cs="宋体"/>
          <w:b/>
          <w:color w:val="auto"/>
          <w:kern w:val="0"/>
          <w:szCs w:val="21"/>
          <w:highlight w:val="none"/>
        </w:rPr>
      </w:pPr>
    </w:p>
    <w:p w14:paraId="717A1862">
      <w:pPr>
        <w:pStyle w:val="19"/>
        <w:spacing w:line="360" w:lineRule="auto"/>
        <w:jc w:val="center"/>
        <w:outlineLvl w:val="9"/>
        <w:rPr>
          <w:rFonts w:hint="eastAsia" w:ascii="宋体" w:hAnsi="宋体" w:eastAsia="宋体" w:cs="宋体"/>
          <w:b/>
          <w:color w:val="auto"/>
          <w:kern w:val="0"/>
          <w:szCs w:val="21"/>
          <w:highlight w:val="none"/>
        </w:rPr>
      </w:pPr>
    </w:p>
    <w:p w14:paraId="2267A69E">
      <w:pPr>
        <w:pStyle w:val="19"/>
        <w:spacing w:line="360" w:lineRule="auto"/>
        <w:jc w:val="center"/>
        <w:outlineLvl w:val="9"/>
        <w:rPr>
          <w:rFonts w:hint="eastAsia" w:ascii="宋体" w:hAnsi="宋体" w:eastAsia="宋体" w:cs="宋体"/>
          <w:b/>
          <w:color w:val="auto"/>
          <w:kern w:val="0"/>
          <w:szCs w:val="21"/>
          <w:highlight w:val="none"/>
        </w:rPr>
      </w:pPr>
    </w:p>
    <w:p w14:paraId="0AB12DA1">
      <w:pPr>
        <w:pStyle w:val="19"/>
        <w:spacing w:line="360" w:lineRule="auto"/>
        <w:jc w:val="center"/>
        <w:outlineLvl w:val="9"/>
        <w:rPr>
          <w:rFonts w:hint="eastAsia" w:ascii="宋体" w:hAnsi="宋体" w:eastAsia="宋体" w:cs="宋体"/>
          <w:b/>
          <w:color w:val="auto"/>
          <w:kern w:val="0"/>
          <w:szCs w:val="21"/>
          <w:highlight w:val="none"/>
        </w:rPr>
      </w:pPr>
    </w:p>
    <w:p w14:paraId="0A40481F">
      <w:pPr>
        <w:pStyle w:val="19"/>
        <w:spacing w:line="360" w:lineRule="auto"/>
        <w:jc w:val="center"/>
        <w:outlineLvl w:val="9"/>
        <w:rPr>
          <w:rFonts w:hint="eastAsia" w:ascii="宋体" w:hAnsi="宋体" w:eastAsia="宋体" w:cs="宋体"/>
          <w:b/>
          <w:color w:val="auto"/>
          <w:kern w:val="0"/>
          <w:szCs w:val="21"/>
          <w:highlight w:val="none"/>
        </w:rPr>
      </w:pPr>
    </w:p>
    <w:p w14:paraId="01700E8E">
      <w:pPr>
        <w:pStyle w:val="19"/>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6AD15BB2">
      <w:pPr>
        <w:pStyle w:val="19"/>
        <w:spacing w:line="360" w:lineRule="auto"/>
        <w:outlineLvl w:val="9"/>
        <w:rPr>
          <w:rFonts w:hint="eastAsia" w:ascii="宋体" w:hAnsi="宋体" w:eastAsia="宋体" w:cs="宋体"/>
          <w:color w:val="auto"/>
          <w:highlight w:val="none"/>
        </w:rPr>
      </w:pPr>
    </w:p>
    <w:p w14:paraId="42901951">
      <w:pPr>
        <w:pStyle w:val="19"/>
        <w:spacing w:line="360" w:lineRule="auto"/>
        <w:outlineLvl w:val="9"/>
        <w:rPr>
          <w:rFonts w:hint="eastAsia" w:ascii="宋体" w:hAnsi="宋体" w:eastAsia="宋体" w:cs="宋体"/>
          <w:color w:val="auto"/>
          <w:highlight w:val="none"/>
        </w:rPr>
      </w:pPr>
    </w:p>
    <w:p w14:paraId="5ABCFB9E">
      <w:pPr>
        <w:pStyle w:val="19"/>
        <w:spacing w:line="360" w:lineRule="auto"/>
        <w:outlineLvl w:val="9"/>
        <w:rPr>
          <w:rFonts w:hint="eastAsia" w:ascii="宋体" w:hAnsi="宋体" w:eastAsia="宋体" w:cs="宋体"/>
          <w:color w:val="auto"/>
          <w:highlight w:val="none"/>
        </w:rPr>
      </w:pPr>
    </w:p>
    <w:p w14:paraId="3DF9F63F">
      <w:pPr>
        <w:pStyle w:val="19"/>
        <w:spacing w:line="360" w:lineRule="auto"/>
        <w:outlineLvl w:val="9"/>
        <w:rPr>
          <w:rFonts w:hint="eastAsia" w:ascii="宋体" w:hAnsi="宋体" w:eastAsia="宋体" w:cs="宋体"/>
          <w:color w:val="auto"/>
          <w:highlight w:val="none"/>
        </w:rPr>
      </w:pPr>
    </w:p>
    <w:p w14:paraId="7BCFD6D7">
      <w:pPr>
        <w:pStyle w:val="19"/>
        <w:spacing w:line="360" w:lineRule="auto"/>
        <w:outlineLvl w:val="9"/>
        <w:rPr>
          <w:rFonts w:hint="eastAsia" w:ascii="宋体" w:hAnsi="宋体" w:eastAsia="宋体" w:cs="宋体"/>
          <w:color w:val="auto"/>
          <w:highlight w:val="none"/>
        </w:rPr>
      </w:pPr>
    </w:p>
    <w:p w14:paraId="452E6A25">
      <w:pPr>
        <w:pStyle w:val="19"/>
        <w:spacing w:line="360" w:lineRule="auto"/>
        <w:outlineLvl w:val="9"/>
        <w:rPr>
          <w:rFonts w:hint="eastAsia" w:ascii="宋体" w:hAnsi="宋体" w:eastAsia="宋体" w:cs="宋体"/>
          <w:color w:val="auto"/>
          <w:highlight w:val="none"/>
        </w:rPr>
      </w:pPr>
    </w:p>
    <w:p w14:paraId="5CE71B2A">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1C2278A6">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2CDF2772">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投标文件技术标 </w:t>
      </w:r>
    </w:p>
    <w:p w14:paraId="13CBA21B">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7CBB4272">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（企业数字证书电子签名）   </w:t>
      </w:r>
    </w:p>
    <w:p w14:paraId="4B8D6E6B">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75468DA8">
      <w:pPr>
        <w:pStyle w:val="19"/>
        <w:spacing w:line="360" w:lineRule="auto"/>
        <w:outlineLvl w:val="9"/>
        <w:rPr>
          <w:rFonts w:hint="eastAsia" w:ascii="宋体" w:hAnsi="宋体" w:eastAsia="宋体" w:cs="宋体"/>
          <w:color w:val="auto"/>
          <w:highlight w:val="none"/>
        </w:rPr>
      </w:pPr>
    </w:p>
    <w:p w14:paraId="637F9F1F">
      <w:pPr>
        <w:pStyle w:val="19"/>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6B10C46">
      <w:pPr>
        <w:tabs>
          <w:tab w:val="left" w:pos="567"/>
        </w:tabs>
        <w:autoSpaceDE w:val="0"/>
        <w:autoSpaceDN w:val="0"/>
        <w:adjustRightInd w:val="0"/>
        <w:spacing w:line="360" w:lineRule="auto"/>
        <w:ind w:left="357" w:leftChars="-100" w:hanging="567"/>
        <w:jc w:val="center"/>
        <w:outlineLvl w:val="1"/>
        <w:rPr>
          <w:rFonts w:hint="eastAsia" w:ascii="宋体" w:hAnsi="宋体" w:eastAsia="宋体" w:cs="宋体"/>
          <w:b/>
          <w:color w:val="auto"/>
          <w:kern w:val="0"/>
          <w:sz w:val="24"/>
          <w:szCs w:val="24"/>
          <w:highlight w:val="none"/>
        </w:rPr>
      </w:pPr>
      <w:bookmarkStart w:id="977" w:name="_Toc195714400"/>
      <w:bookmarkStart w:id="978" w:name="_Toc23902"/>
      <w:bookmarkStart w:id="979" w:name="_Toc14054"/>
      <w:bookmarkStart w:id="980" w:name="_Toc22881"/>
      <w:bookmarkStart w:id="981" w:name="_Toc31565"/>
      <w:bookmarkStart w:id="982" w:name="_Toc8004"/>
      <w:bookmarkStart w:id="983" w:name="_Toc11390"/>
      <w:r>
        <w:rPr>
          <w:rFonts w:hint="eastAsia" w:ascii="宋体" w:hAnsi="宋体" w:eastAsia="宋体" w:cs="宋体"/>
          <w:b/>
          <w:color w:val="auto"/>
          <w:kern w:val="0"/>
          <w:sz w:val="24"/>
          <w:szCs w:val="24"/>
          <w:highlight w:val="none"/>
        </w:rPr>
        <w:t>目录</w:t>
      </w:r>
      <w:bookmarkEnd w:id="977"/>
      <w:bookmarkEnd w:id="978"/>
      <w:bookmarkEnd w:id="979"/>
      <w:bookmarkEnd w:id="980"/>
      <w:bookmarkEnd w:id="981"/>
      <w:bookmarkEnd w:id="982"/>
      <w:bookmarkEnd w:id="983"/>
    </w:p>
    <w:p w14:paraId="7B9A54B1">
      <w:pPr>
        <w:spacing w:line="360" w:lineRule="auto"/>
        <w:ind w:left="444" w:leftChars="77" w:hanging="282" w:hangingChars="134"/>
        <w:outlineLvl w:val="9"/>
        <w:rPr>
          <w:rFonts w:hint="eastAsia" w:ascii="宋体" w:hAnsi="宋体" w:eastAsia="宋体" w:cs="宋体"/>
          <w:b/>
          <w:bCs/>
          <w:color w:val="auto"/>
          <w:kern w:val="0"/>
          <w:szCs w:val="21"/>
          <w:highlight w:val="none"/>
        </w:rPr>
      </w:pPr>
    </w:p>
    <w:p w14:paraId="044665ED">
      <w:pPr>
        <w:spacing w:line="360" w:lineRule="auto"/>
        <w:ind w:left="444" w:leftChars="77" w:hanging="282" w:hangingChars="134"/>
        <w:outlineLvl w:val="9"/>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用户需求的响应程度</w:t>
      </w:r>
      <w:r>
        <w:rPr>
          <w:rFonts w:hint="eastAsia" w:ascii="宋体" w:hAnsi="宋体" w:eastAsia="宋体" w:cs="宋体"/>
          <w:color w:val="auto"/>
          <w:kern w:val="0"/>
          <w:szCs w:val="21"/>
        </w:rPr>
        <w:t>（用户需求偏离表）</w:t>
      </w:r>
      <w:r>
        <w:rPr>
          <w:rFonts w:hint="eastAsia" w:ascii="宋体" w:hAnsi="宋体" w:eastAsia="宋体" w:cs="宋体"/>
          <w:color w:val="auto"/>
          <w:kern w:val="0"/>
          <w:szCs w:val="21"/>
          <w:lang w:eastAsia="zh-CN"/>
        </w:rPr>
        <w:t>；</w:t>
      </w:r>
    </w:p>
    <w:p w14:paraId="75EF3755">
      <w:pPr>
        <w:spacing w:line="360" w:lineRule="auto"/>
        <w:ind w:left="444" w:leftChars="77" w:hanging="282" w:hangingChars="134"/>
        <w:outlineLvl w:val="9"/>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物业管理带教服务方案</w:t>
      </w:r>
      <w:r>
        <w:rPr>
          <w:rFonts w:hint="eastAsia" w:ascii="宋体" w:hAnsi="宋体" w:eastAsia="宋体" w:cs="宋体"/>
          <w:color w:val="auto"/>
          <w:kern w:val="0"/>
          <w:szCs w:val="21"/>
          <w:highlight w:val="none"/>
        </w:rPr>
        <w:t>（投标人自行编写）</w:t>
      </w:r>
      <w:r>
        <w:rPr>
          <w:rFonts w:hint="eastAsia" w:ascii="宋体" w:hAnsi="宋体" w:eastAsia="宋体" w:cs="宋体"/>
          <w:color w:val="auto"/>
          <w:kern w:val="0"/>
          <w:szCs w:val="21"/>
          <w:highlight w:val="none"/>
          <w:lang w:eastAsia="zh-CN"/>
        </w:rPr>
        <w:t>；</w:t>
      </w:r>
    </w:p>
    <w:p w14:paraId="583F4E5A">
      <w:pPr>
        <w:spacing w:line="360" w:lineRule="auto"/>
        <w:ind w:left="444" w:leftChars="77" w:hanging="282" w:hangingChars="134"/>
        <w:outlineLvl w:val="9"/>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val="en-US" w:eastAsia="zh-CN"/>
        </w:rPr>
        <w:t>3、物业管理运营服务方案</w:t>
      </w:r>
      <w:r>
        <w:rPr>
          <w:rFonts w:hint="eastAsia" w:ascii="宋体" w:hAnsi="宋体" w:eastAsia="宋体" w:cs="宋体"/>
          <w:color w:val="auto"/>
          <w:kern w:val="0"/>
          <w:szCs w:val="21"/>
          <w:highlight w:val="none"/>
        </w:rPr>
        <w:t>（投标人自行编写）</w:t>
      </w:r>
      <w:r>
        <w:rPr>
          <w:rFonts w:hint="eastAsia" w:ascii="宋体" w:hAnsi="宋体" w:eastAsia="宋体" w:cs="宋体"/>
          <w:color w:val="auto"/>
          <w:kern w:val="0"/>
          <w:szCs w:val="21"/>
          <w:highlight w:val="none"/>
          <w:lang w:eastAsia="zh-CN"/>
        </w:rPr>
        <w:t>；</w:t>
      </w:r>
    </w:p>
    <w:p w14:paraId="12253C1E">
      <w:pPr>
        <w:spacing w:line="360" w:lineRule="auto"/>
        <w:ind w:left="444" w:leftChars="77" w:hanging="282" w:hangingChars="134"/>
        <w:outlineLvl w:val="9"/>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拟投入本项目的服务人员情况</w:t>
      </w:r>
      <w:r>
        <w:rPr>
          <w:rFonts w:hint="eastAsia" w:ascii="宋体" w:hAnsi="宋体" w:eastAsia="宋体" w:cs="宋体"/>
          <w:b/>
          <w:bCs/>
          <w:color w:val="auto"/>
          <w:kern w:val="0"/>
          <w:szCs w:val="21"/>
          <w:highlight w:val="none"/>
          <w:lang w:eastAsia="zh-CN"/>
        </w:rPr>
        <w:t>；</w:t>
      </w:r>
    </w:p>
    <w:p w14:paraId="6506493B">
      <w:pPr>
        <w:spacing w:line="360" w:lineRule="auto"/>
        <w:ind w:left="444" w:leftChars="77" w:hanging="282" w:hangingChars="134"/>
        <w:outlineLvl w:val="9"/>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val="en-US" w:eastAsia="zh-CN"/>
        </w:rPr>
        <w:t>5、</w:t>
      </w:r>
      <w:r>
        <w:rPr>
          <w:rFonts w:hint="eastAsia" w:ascii="宋体" w:hAnsi="宋体" w:eastAsia="宋体" w:cs="宋体"/>
          <w:b/>
          <w:bCs/>
          <w:color w:val="auto"/>
          <w:kern w:val="0"/>
          <w:szCs w:val="21"/>
          <w:highlight w:val="none"/>
        </w:rPr>
        <w:t>拟投入的设备及软件系统情况</w:t>
      </w:r>
      <w:r>
        <w:rPr>
          <w:rFonts w:hint="eastAsia" w:ascii="宋体" w:hAnsi="宋体" w:eastAsia="宋体" w:cs="宋体"/>
          <w:b/>
          <w:bCs/>
          <w:color w:val="auto"/>
          <w:kern w:val="0"/>
          <w:szCs w:val="21"/>
          <w:highlight w:val="none"/>
          <w:lang w:eastAsia="zh-CN"/>
        </w:rPr>
        <w:t>；</w:t>
      </w:r>
    </w:p>
    <w:p w14:paraId="0A249DCB">
      <w:pPr>
        <w:spacing w:line="360" w:lineRule="auto"/>
        <w:ind w:left="444" w:leftChars="77" w:hanging="282" w:hangingChars="134"/>
        <w:outlineLvl w:val="9"/>
        <w:rPr>
          <w:rFonts w:hint="eastAsia" w:ascii="宋体" w:hAnsi="宋体" w:eastAsia="宋体" w:cs="宋体"/>
          <w:b w:val="0"/>
          <w:bCs w:val="0"/>
          <w:color w:val="auto"/>
          <w:kern w:val="0"/>
          <w:szCs w:val="21"/>
          <w:highlight w:val="none"/>
          <w:lang w:eastAsia="zh-CN"/>
        </w:rPr>
      </w:pP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、应急预案和重大活动保障措施</w:t>
      </w:r>
      <w:r>
        <w:rPr>
          <w:rFonts w:hint="eastAsia" w:ascii="宋体" w:hAnsi="宋体" w:eastAsia="宋体" w:cs="宋体"/>
          <w:b w:val="0"/>
          <w:bCs w:val="0"/>
          <w:color w:val="auto"/>
          <w:kern w:val="0"/>
          <w:szCs w:val="21"/>
          <w:highlight w:val="none"/>
        </w:rPr>
        <w:t>（投标人自行编写）</w:t>
      </w:r>
      <w:r>
        <w:rPr>
          <w:rFonts w:hint="eastAsia" w:ascii="宋体" w:hAnsi="宋体" w:eastAsia="宋体" w:cs="宋体"/>
          <w:b w:val="0"/>
          <w:bCs w:val="0"/>
          <w:color w:val="auto"/>
          <w:kern w:val="0"/>
          <w:szCs w:val="21"/>
          <w:highlight w:val="none"/>
          <w:lang w:eastAsia="zh-CN"/>
        </w:rPr>
        <w:t>；</w:t>
      </w:r>
    </w:p>
    <w:p w14:paraId="2C476E40">
      <w:pPr>
        <w:spacing w:line="360" w:lineRule="auto"/>
        <w:ind w:left="444" w:leftChars="77" w:hanging="282" w:hangingChars="134"/>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7、投标人认为有必要提供的其它材料（不做强制要求）</w:t>
      </w:r>
      <w:r>
        <w:rPr>
          <w:rFonts w:hint="eastAsia" w:ascii="宋体" w:hAnsi="宋体" w:eastAsia="宋体" w:cs="宋体"/>
          <w:b/>
          <w:bCs/>
          <w:color w:val="auto"/>
          <w:kern w:val="0"/>
          <w:szCs w:val="21"/>
          <w:highlight w:val="none"/>
        </w:rPr>
        <w:t>。</w:t>
      </w:r>
    </w:p>
    <w:p w14:paraId="7EBC324A">
      <w:pPr>
        <w:spacing w:line="360" w:lineRule="auto"/>
        <w:ind w:left="444" w:leftChars="77" w:hanging="282" w:hangingChars="134"/>
        <w:outlineLvl w:val="9"/>
        <w:rPr>
          <w:rFonts w:hint="eastAsia" w:ascii="宋体" w:hAnsi="宋体" w:eastAsia="宋体" w:cs="宋体"/>
          <w:b/>
          <w:bCs/>
          <w:color w:val="auto"/>
          <w:kern w:val="0"/>
          <w:szCs w:val="21"/>
          <w:highlight w:val="yellow"/>
        </w:rPr>
      </w:pPr>
    </w:p>
    <w:p w14:paraId="36096F81">
      <w:pPr>
        <w:tabs>
          <w:tab w:val="left" w:pos="567"/>
        </w:tabs>
        <w:autoSpaceDE w:val="0"/>
        <w:autoSpaceDN w:val="0"/>
        <w:adjustRightInd w:val="0"/>
        <w:spacing w:line="360" w:lineRule="auto"/>
        <w:jc w:val="left"/>
        <w:outlineLvl w:val="1"/>
        <w:rPr>
          <w:rFonts w:hint="eastAsia" w:ascii="宋体" w:hAnsi="宋体" w:eastAsia="宋体" w:cs="宋体"/>
          <w:b/>
          <w:color w:val="auto"/>
          <w:kern w:val="0"/>
          <w:sz w:val="30"/>
          <w:szCs w:val="30"/>
          <w:highlight w:val="none"/>
          <w:lang w:val="en-US" w:eastAsia="zh-CN"/>
        </w:rPr>
        <w:sectPr>
          <w:headerReference r:id="rId18" w:type="default"/>
          <w:footerReference r:id="rId19" w:type="default"/>
          <w:pgSz w:w="11910" w:h="16840"/>
          <w:pgMar w:top="961" w:right="1029" w:bottom="901" w:left="979" w:header="653" w:footer="757" w:gutter="0"/>
          <w:pgNumType w:fmt="decimal"/>
          <w:cols w:space="720" w:num="1"/>
        </w:sectPr>
      </w:pPr>
      <w:bookmarkStart w:id="984" w:name="_Toc29082"/>
      <w:bookmarkStart w:id="985" w:name="_Toc18999"/>
      <w:bookmarkStart w:id="986" w:name="_Toc27934"/>
      <w:bookmarkStart w:id="987" w:name="_Toc30448"/>
    </w:p>
    <w:p w14:paraId="20C6421C">
      <w:pPr>
        <w:tabs>
          <w:tab w:val="left" w:pos="567"/>
        </w:tabs>
        <w:autoSpaceDE w:val="0"/>
        <w:autoSpaceDN w:val="0"/>
        <w:adjustRightInd w:val="0"/>
        <w:spacing w:line="360" w:lineRule="auto"/>
        <w:jc w:val="left"/>
        <w:outlineLvl w:val="1"/>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一、</w:t>
      </w:r>
      <w:r>
        <w:rPr>
          <w:rFonts w:hint="eastAsia" w:ascii="宋体" w:hAnsi="宋体" w:eastAsia="宋体" w:cs="宋体"/>
          <w:b/>
          <w:color w:val="auto"/>
          <w:kern w:val="0"/>
          <w:sz w:val="30"/>
          <w:szCs w:val="30"/>
          <w:highlight w:val="none"/>
        </w:rPr>
        <w:t>用户需求偏离表格式</w:t>
      </w:r>
      <w:bookmarkEnd w:id="969"/>
      <w:bookmarkEnd w:id="970"/>
      <w:bookmarkEnd w:id="971"/>
      <w:bookmarkEnd w:id="972"/>
      <w:bookmarkEnd w:id="973"/>
      <w:bookmarkEnd w:id="974"/>
      <w:bookmarkEnd w:id="975"/>
      <w:bookmarkEnd w:id="976"/>
      <w:bookmarkEnd w:id="984"/>
      <w:bookmarkEnd w:id="985"/>
      <w:bookmarkEnd w:id="986"/>
      <w:bookmarkEnd w:id="987"/>
    </w:p>
    <w:p w14:paraId="053C0A95">
      <w:pPr>
        <w:spacing w:before="120" w:after="120" w:line="360" w:lineRule="auto"/>
        <w:jc w:val="center"/>
        <w:outlineLvl w:val="9"/>
        <w:rPr>
          <w:rFonts w:hint="eastAsia" w:ascii="宋体" w:hAnsi="宋体" w:eastAsia="宋体" w:cs="宋体"/>
          <w:color w:val="auto"/>
          <w:kern w:val="0"/>
          <w:szCs w:val="21"/>
          <w:highlight w:val="none"/>
        </w:rPr>
      </w:pPr>
      <w:bookmarkStart w:id="988" w:name="_Toc17449_WPSOffice_Level3"/>
      <w:r>
        <w:rPr>
          <w:rFonts w:hint="eastAsia" w:ascii="宋体" w:hAnsi="宋体" w:eastAsia="宋体" w:cs="宋体"/>
          <w:b/>
          <w:color w:val="auto"/>
          <w:kern w:val="0"/>
          <w:sz w:val="30"/>
          <w:szCs w:val="30"/>
          <w:highlight w:val="none"/>
          <w:lang w:val="zh-CN"/>
        </w:rPr>
        <w:t>用户需求偏离表</w:t>
      </w:r>
      <w:bookmarkEnd w:id="988"/>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921"/>
        <w:gridCol w:w="6263"/>
        <w:gridCol w:w="703"/>
        <w:gridCol w:w="848"/>
        <w:gridCol w:w="811"/>
      </w:tblGrid>
      <w:tr w14:paraId="1363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2" w:type="pct"/>
            <w:vMerge w:val="restart"/>
            <w:vAlign w:val="center"/>
          </w:tcPr>
          <w:p w14:paraId="09A8F796">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0" w:type="pct"/>
            <w:gridSpan w:val="2"/>
            <w:vAlign w:val="center"/>
          </w:tcPr>
          <w:p w14:paraId="298C3378">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167" w:type="pct"/>
            <w:gridSpan w:val="3"/>
            <w:vAlign w:val="center"/>
          </w:tcPr>
          <w:p w14:paraId="1BD6DBE4">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072B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2" w:type="pct"/>
            <w:vMerge w:val="continue"/>
            <w:vAlign w:val="center"/>
          </w:tcPr>
          <w:p w14:paraId="67CC5A57">
            <w:pPr>
              <w:keepNext/>
              <w:keepLines/>
              <w:spacing w:line="400" w:lineRule="exact"/>
              <w:jc w:val="center"/>
              <w:outlineLvl w:val="9"/>
              <w:rPr>
                <w:rFonts w:hint="eastAsia" w:ascii="宋体" w:hAnsi="宋体" w:eastAsia="宋体" w:cs="宋体"/>
                <w:color w:val="auto"/>
                <w:kern w:val="0"/>
                <w:sz w:val="21"/>
                <w:szCs w:val="21"/>
                <w:highlight w:val="none"/>
              </w:rPr>
            </w:pPr>
          </w:p>
        </w:tc>
        <w:tc>
          <w:tcPr>
            <w:tcW w:w="455" w:type="pct"/>
            <w:vAlign w:val="center"/>
          </w:tcPr>
          <w:p w14:paraId="2671D019">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4" w:type="pct"/>
            <w:vAlign w:val="center"/>
          </w:tcPr>
          <w:p w14:paraId="25AC3093">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7" w:type="pct"/>
            <w:vAlign w:val="center"/>
          </w:tcPr>
          <w:p w14:paraId="05C82B06">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9" w:type="pct"/>
            <w:vAlign w:val="center"/>
          </w:tcPr>
          <w:p w14:paraId="26EDC347">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400" w:type="pct"/>
            <w:vAlign w:val="center"/>
          </w:tcPr>
          <w:p w14:paraId="05ADF16B">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32FF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2" w:type="pct"/>
            <w:vAlign w:val="center"/>
          </w:tcPr>
          <w:p w14:paraId="198EB884">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55" w:type="pct"/>
            <w:vAlign w:val="center"/>
          </w:tcPr>
          <w:p w14:paraId="2913D45F">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w:t>
            </w:r>
          </w:p>
        </w:tc>
        <w:tc>
          <w:tcPr>
            <w:tcW w:w="3094" w:type="pct"/>
            <w:vAlign w:val="center"/>
          </w:tcPr>
          <w:p w14:paraId="0AF81E6B">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采购服务内容</w:t>
            </w:r>
          </w:p>
        </w:tc>
        <w:tc>
          <w:tcPr>
            <w:tcW w:w="347" w:type="pct"/>
            <w:vAlign w:val="center"/>
          </w:tcPr>
          <w:p w14:paraId="5212FC49">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7057A63A">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0" w:type="pct"/>
            <w:vAlign w:val="center"/>
          </w:tcPr>
          <w:p w14:paraId="11B9D09D">
            <w:pPr>
              <w:keepNext/>
              <w:keepLines/>
              <w:spacing w:line="400" w:lineRule="exact"/>
              <w:jc w:val="center"/>
              <w:outlineLvl w:val="9"/>
              <w:rPr>
                <w:rFonts w:hint="eastAsia" w:ascii="宋体" w:hAnsi="宋体" w:eastAsia="宋体" w:cs="宋体"/>
                <w:color w:val="auto"/>
                <w:kern w:val="0"/>
                <w:sz w:val="21"/>
                <w:szCs w:val="21"/>
                <w:highlight w:val="none"/>
              </w:rPr>
            </w:pPr>
          </w:p>
        </w:tc>
      </w:tr>
      <w:tr w14:paraId="0367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2" w:type="pct"/>
            <w:vAlign w:val="center"/>
          </w:tcPr>
          <w:p w14:paraId="2B5F9C64">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55" w:type="pct"/>
            <w:shd w:val="clear" w:color="auto" w:fill="auto"/>
            <w:vAlign w:val="center"/>
          </w:tcPr>
          <w:p w14:paraId="0A427352">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三</w:t>
            </w:r>
          </w:p>
        </w:tc>
        <w:tc>
          <w:tcPr>
            <w:tcW w:w="3094" w:type="pct"/>
            <w:shd w:val="clear" w:color="auto" w:fill="auto"/>
            <w:vAlign w:val="center"/>
          </w:tcPr>
          <w:p w14:paraId="489C7F84">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服务期限</w:t>
            </w:r>
          </w:p>
        </w:tc>
        <w:tc>
          <w:tcPr>
            <w:tcW w:w="347" w:type="pct"/>
            <w:vAlign w:val="center"/>
          </w:tcPr>
          <w:p w14:paraId="4FF28BA1">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560A5B40">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0" w:type="pct"/>
            <w:vAlign w:val="center"/>
          </w:tcPr>
          <w:p w14:paraId="7DBB7455">
            <w:pPr>
              <w:keepNext/>
              <w:keepLines/>
              <w:spacing w:line="400" w:lineRule="exact"/>
              <w:jc w:val="center"/>
              <w:outlineLvl w:val="9"/>
              <w:rPr>
                <w:rFonts w:hint="eastAsia" w:ascii="宋体" w:hAnsi="宋体" w:eastAsia="宋体" w:cs="宋体"/>
                <w:color w:val="auto"/>
                <w:kern w:val="0"/>
                <w:sz w:val="21"/>
                <w:szCs w:val="21"/>
                <w:highlight w:val="none"/>
              </w:rPr>
            </w:pPr>
          </w:p>
        </w:tc>
      </w:tr>
      <w:tr w14:paraId="4B16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2" w:type="pct"/>
            <w:vAlign w:val="center"/>
          </w:tcPr>
          <w:p w14:paraId="52DD557F">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5" w:type="pct"/>
            <w:shd w:val="clear" w:color="auto" w:fill="auto"/>
            <w:vAlign w:val="center"/>
          </w:tcPr>
          <w:p w14:paraId="6E38F65A">
            <w:pPr>
              <w:spacing w:line="400" w:lineRule="exact"/>
              <w:jc w:val="center"/>
              <w:outlineLvl w:val="9"/>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en-US" w:eastAsia="zh-CN"/>
              </w:rPr>
              <w:t>四</w:t>
            </w:r>
          </w:p>
        </w:tc>
        <w:tc>
          <w:tcPr>
            <w:tcW w:w="3094" w:type="pct"/>
            <w:shd w:val="clear" w:color="auto" w:fill="auto"/>
            <w:vAlign w:val="center"/>
          </w:tcPr>
          <w:p w14:paraId="7DD46913">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物业服务人员要求</w:t>
            </w:r>
          </w:p>
        </w:tc>
        <w:tc>
          <w:tcPr>
            <w:tcW w:w="347" w:type="pct"/>
            <w:vAlign w:val="center"/>
          </w:tcPr>
          <w:p w14:paraId="67F21480">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6EA115E6">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0" w:type="pct"/>
            <w:vAlign w:val="center"/>
          </w:tcPr>
          <w:p w14:paraId="7CD70680">
            <w:pPr>
              <w:keepNext/>
              <w:keepLines/>
              <w:spacing w:line="400" w:lineRule="exact"/>
              <w:jc w:val="center"/>
              <w:outlineLvl w:val="9"/>
              <w:rPr>
                <w:rFonts w:hint="eastAsia" w:ascii="宋体" w:hAnsi="宋体" w:eastAsia="宋体" w:cs="宋体"/>
                <w:color w:val="auto"/>
                <w:kern w:val="0"/>
                <w:sz w:val="21"/>
                <w:szCs w:val="21"/>
                <w:highlight w:val="none"/>
              </w:rPr>
            </w:pPr>
          </w:p>
        </w:tc>
      </w:tr>
      <w:tr w14:paraId="3FDF6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2" w:type="pct"/>
            <w:vAlign w:val="center"/>
          </w:tcPr>
          <w:p w14:paraId="042479EC">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455" w:type="pct"/>
            <w:shd w:val="clear" w:color="auto" w:fill="auto"/>
            <w:vAlign w:val="center"/>
          </w:tcPr>
          <w:p w14:paraId="0224C09C">
            <w:pPr>
              <w:spacing w:line="400" w:lineRule="exact"/>
              <w:jc w:val="center"/>
              <w:outlineLvl w:val="9"/>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en-US" w:eastAsia="zh-CN"/>
              </w:rPr>
              <w:t>五</w:t>
            </w:r>
          </w:p>
        </w:tc>
        <w:tc>
          <w:tcPr>
            <w:tcW w:w="3094" w:type="pct"/>
            <w:shd w:val="clear" w:color="auto" w:fill="auto"/>
            <w:vAlign w:val="center"/>
          </w:tcPr>
          <w:p w14:paraId="5BF1BBB5">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考核评价</w:t>
            </w:r>
          </w:p>
        </w:tc>
        <w:tc>
          <w:tcPr>
            <w:tcW w:w="347" w:type="pct"/>
            <w:vAlign w:val="center"/>
          </w:tcPr>
          <w:p w14:paraId="15407B8F">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33680C0E">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0" w:type="pct"/>
            <w:vAlign w:val="center"/>
          </w:tcPr>
          <w:p w14:paraId="4B42B840">
            <w:pPr>
              <w:keepNext/>
              <w:keepLines/>
              <w:spacing w:line="400" w:lineRule="exact"/>
              <w:jc w:val="center"/>
              <w:outlineLvl w:val="9"/>
              <w:rPr>
                <w:rFonts w:hint="eastAsia" w:ascii="宋体" w:hAnsi="宋体" w:eastAsia="宋体" w:cs="宋体"/>
                <w:color w:val="auto"/>
                <w:kern w:val="0"/>
                <w:sz w:val="21"/>
                <w:szCs w:val="21"/>
                <w:highlight w:val="none"/>
              </w:rPr>
            </w:pPr>
          </w:p>
        </w:tc>
      </w:tr>
      <w:tr w14:paraId="48FF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2" w:type="pct"/>
            <w:vAlign w:val="center"/>
          </w:tcPr>
          <w:p w14:paraId="5934874E">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455" w:type="pct"/>
            <w:shd w:val="clear" w:color="auto" w:fill="auto"/>
            <w:vAlign w:val="center"/>
          </w:tcPr>
          <w:p w14:paraId="3CCCBA81">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六</w:t>
            </w:r>
          </w:p>
        </w:tc>
        <w:tc>
          <w:tcPr>
            <w:tcW w:w="3094" w:type="pct"/>
            <w:shd w:val="clear" w:color="auto" w:fill="auto"/>
            <w:vAlign w:val="center"/>
          </w:tcPr>
          <w:p w14:paraId="2362AEAE">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重要提醒</w:t>
            </w:r>
          </w:p>
        </w:tc>
        <w:tc>
          <w:tcPr>
            <w:tcW w:w="347" w:type="pct"/>
            <w:vAlign w:val="center"/>
          </w:tcPr>
          <w:p w14:paraId="0EA68810">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3448590B">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0" w:type="pct"/>
            <w:vAlign w:val="center"/>
          </w:tcPr>
          <w:p w14:paraId="241A9D7C">
            <w:pPr>
              <w:keepNext/>
              <w:keepLines/>
              <w:spacing w:line="400" w:lineRule="exact"/>
              <w:jc w:val="center"/>
              <w:outlineLvl w:val="9"/>
              <w:rPr>
                <w:rFonts w:hint="eastAsia" w:ascii="宋体" w:hAnsi="宋体" w:eastAsia="宋体" w:cs="宋体"/>
                <w:color w:val="auto"/>
                <w:kern w:val="0"/>
                <w:sz w:val="21"/>
                <w:szCs w:val="21"/>
                <w:highlight w:val="none"/>
              </w:rPr>
            </w:pPr>
          </w:p>
        </w:tc>
      </w:tr>
    </w:tbl>
    <w:p w14:paraId="5B99328D">
      <w:pPr>
        <w:spacing w:line="360" w:lineRule="auto"/>
        <w:outlineLvl w:val="9"/>
        <w:rPr>
          <w:rFonts w:hint="eastAsia" w:ascii="宋体" w:hAnsi="宋体" w:eastAsia="宋体" w:cs="宋体"/>
          <w:color w:val="auto"/>
          <w:szCs w:val="21"/>
          <w:highlight w:val="none"/>
        </w:rPr>
      </w:pPr>
    </w:p>
    <w:p w14:paraId="099FC661">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374A7E6C">
      <w:pPr>
        <w:spacing w:line="360" w:lineRule="auto"/>
        <w:ind w:left="605" w:leftChars="18" w:hanging="567" w:hangingChars="270"/>
        <w:outlineLvl w:val="9"/>
        <w:rPr>
          <w:rFonts w:hint="eastAsia"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u w:val="single"/>
        </w:rPr>
        <w:t>（其中“一、项目概况”除外）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2ED6EE33">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510D5687">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宋体"/>
          <w:b/>
          <w:color w:val="auto"/>
          <w:kern w:val="0"/>
          <w:szCs w:val="21"/>
          <w:highlight w:val="none"/>
          <w:u w:val="single"/>
          <w:lang w:val="en-US" w:eastAsia="zh-CN"/>
        </w:rPr>
        <w:t>服务能力</w:t>
      </w:r>
      <w:r>
        <w:rPr>
          <w:rFonts w:hint="eastAsia" w:ascii="宋体" w:hAnsi="宋体" w:eastAsia="宋体" w:cs="宋体"/>
          <w:b/>
          <w:color w:val="auto"/>
          <w:kern w:val="0"/>
          <w:szCs w:val="21"/>
          <w:highlight w:val="none"/>
          <w:u w:val="single"/>
        </w:rPr>
        <w:t>的技术支持资料作为本表的附件，并在本偏离表“对应证明材料页码”项内注明其在投标文件中的具体页码。</w:t>
      </w:r>
    </w:p>
    <w:p w14:paraId="1A98ED73">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w:t>
      </w:r>
      <w:r>
        <w:rPr>
          <w:rFonts w:hint="eastAsia" w:ascii="宋体" w:hAnsi="宋体" w:eastAsia="宋体" w:cs="宋体"/>
          <w:b/>
          <w:bCs w:val="0"/>
          <w:color w:val="auto"/>
          <w:kern w:val="0"/>
          <w:szCs w:val="21"/>
          <w:highlight w:val="none"/>
          <w:u w:val="single"/>
        </w:rPr>
        <w:t>理</w:t>
      </w:r>
      <w:r>
        <w:rPr>
          <w:rFonts w:hint="eastAsia" w:ascii="宋体" w:hAnsi="宋体" w:eastAsia="宋体" w:cs="宋体"/>
          <w:b/>
          <w:bCs w:val="0"/>
          <w:color w:val="auto"/>
          <w:kern w:val="0"/>
          <w:sz w:val="24"/>
          <w:szCs w:val="21"/>
          <w:highlight w:val="none"/>
          <w:u w:val="single"/>
          <w:lang w:val="zh-CN"/>
        </w:rPr>
        <w:t>。</w:t>
      </w:r>
    </w:p>
    <w:p w14:paraId="10CE63EF">
      <w:pPr>
        <w:spacing w:line="360" w:lineRule="auto"/>
        <w:outlineLvl w:val="9"/>
        <w:rPr>
          <w:rFonts w:hint="eastAsia" w:ascii="宋体" w:hAnsi="宋体" w:eastAsia="宋体" w:cs="宋体"/>
          <w:color w:val="auto"/>
          <w:szCs w:val="21"/>
          <w:highlight w:val="none"/>
        </w:rPr>
      </w:pPr>
    </w:p>
    <w:p w14:paraId="1E203147">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3A5B3C6">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7C0EF7B9">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4822D292">
      <w:pPr>
        <w:widowControl/>
        <w:autoSpaceDE w:val="0"/>
        <w:autoSpaceDN w:val="0"/>
        <w:adjustRightInd w:val="0"/>
        <w:spacing w:line="360" w:lineRule="auto"/>
        <w:jc w:val="center"/>
        <w:rPr>
          <w:rFonts w:hint="eastAsia" w:ascii="宋体" w:hAnsi="宋体" w:eastAsia="宋体" w:cs="宋体"/>
          <w:b/>
          <w:color w:val="auto"/>
          <w:kern w:val="0"/>
          <w:sz w:val="30"/>
          <w:szCs w:val="30"/>
          <w:highlight w:val="none"/>
          <w:lang w:eastAsia="zh-CN"/>
        </w:rPr>
      </w:pPr>
      <w:r>
        <w:rPr>
          <w:rFonts w:hint="eastAsia" w:ascii="宋体" w:hAnsi="宋体" w:eastAsia="宋体" w:cs="宋体"/>
          <w:b/>
          <w:bCs/>
          <w:color w:val="auto"/>
          <w:szCs w:val="24"/>
          <w:highlight w:val="none"/>
          <w:lang w:val="zh-CN"/>
        </w:rPr>
        <w:t>说明：由投标人使用投标人的企业数字证书电子签名。</w:t>
      </w:r>
      <w:r>
        <w:rPr>
          <w:rFonts w:hint="eastAsia" w:ascii="宋体" w:hAnsi="宋体" w:eastAsia="宋体" w:cs="宋体"/>
          <w:b/>
          <w:color w:val="auto"/>
          <w:kern w:val="0"/>
          <w:sz w:val="30"/>
          <w:szCs w:val="30"/>
          <w:highlight w:val="none"/>
        </w:rPr>
        <w:br w:type="page"/>
      </w:r>
    </w:p>
    <w:p w14:paraId="3C330FDA">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outlineLvl w:val="1"/>
        <w:rPr>
          <w:rFonts w:hint="eastAsia" w:ascii="宋体" w:hAnsi="宋体" w:eastAsia="宋体" w:cs="宋体"/>
          <w:b/>
          <w:color w:val="auto"/>
          <w:kern w:val="0"/>
          <w:sz w:val="30"/>
          <w:szCs w:val="30"/>
          <w:highlight w:val="none"/>
          <w:lang w:eastAsia="zh-CN"/>
        </w:rPr>
      </w:pPr>
      <w:bookmarkStart w:id="989" w:name="_Toc20565"/>
      <w:r>
        <w:rPr>
          <w:rFonts w:hint="eastAsia" w:ascii="宋体" w:hAnsi="宋体" w:eastAsia="宋体" w:cs="宋体"/>
          <w:b/>
          <w:bCs w:val="0"/>
          <w:color w:val="auto"/>
          <w:kern w:val="0"/>
          <w:sz w:val="30"/>
          <w:szCs w:val="30"/>
          <w:highlight w:val="none"/>
          <w:lang w:val="en-US" w:eastAsia="zh-CN"/>
        </w:rPr>
        <w:t>二、</w:t>
      </w:r>
      <w:bookmarkEnd w:id="989"/>
      <w:r>
        <w:rPr>
          <w:rFonts w:hint="eastAsia" w:ascii="宋体" w:hAnsi="宋体" w:eastAsia="宋体" w:cs="宋体"/>
          <w:b/>
          <w:bCs w:val="0"/>
          <w:color w:val="auto"/>
          <w:kern w:val="0"/>
          <w:sz w:val="30"/>
          <w:szCs w:val="30"/>
          <w:highlight w:val="none"/>
          <w:lang w:val="en-US" w:eastAsia="zh-CN"/>
        </w:rPr>
        <w:t>物业管理带教服务方案</w:t>
      </w:r>
      <w:r>
        <w:rPr>
          <w:rFonts w:hint="eastAsia" w:ascii="宋体" w:hAnsi="宋体" w:eastAsia="宋体" w:cs="宋体"/>
          <w:b/>
          <w:color w:val="auto"/>
          <w:kern w:val="0"/>
          <w:sz w:val="30"/>
          <w:szCs w:val="30"/>
          <w:highlight w:val="none"/>
          <w:lang w:val="en-US" w:eastAsia="zh-CN"/>
        </w:rPr>
        <w:t>（投标人自行编写）</w:t>
      </w:r>
    </w:p>
    <w:p w14:paraId="1BF0BB01">
      <w:pPr>
        <w:pStyle w:val="52"/>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说明：</w:t>
      </w:r>
      <w:r>
        <w:rPr>
          <w:rFonts w:hint="eastAsia" w:ascii="宋体" w:hAnsi="宋体" w:eastAsia="宋体" w:cs="Times New Roman"/>
          <w:color w:val="auto"/>
          <w:szCs w:val="21"/>
        </w:rPr>
        <w:t>投标人自行编制，格式不限。内容包括但不限于导师团队组建、带教实施计划、带教培训资源情况、带教质量保障措施等内容</w:t>
      </w:r>
      <w:r>
        <w:rPr>
          <w:rFonts w:hint="eastAsia" w:ascii="宋体" w:hAnsi="宋体" w:eastAsia="宋体" w:cs="宋体"/>
          <w:color w:val="auto"/>
          <w:highlight w:val="none"/>
        </w:rPr>
        <w:t>。</w:t>
      </w:r>
    </w:p>
    <w:p w14:paraId="1493ED89">
      <w:pPr>
        <w:keepNext w:val="0"/>
        <w:keepLines w:val="0"/>
        <w:pageBreakBefore/>
        <w:widowControl w:val="0"/>
        <w:numPr>
          <w:ilvl w:val="0"/>
          <w:numId w:val="40"/>
        </w:numPr>
        <w:kinsoku/>
        <w:wordWrap/>
        <w:overflowPunct/>
        <w:topLinePunct w:val="0"/>
        <w:autoSpaceDE/>
        <w:autoSpaceDN/>
        <w:bidi w:val="0"/>
        <w:adjustRightInd/>
        <w:snapToGrid/>
        <w:spacing w:after="0" w:line="360" w:lineRule="auto"/>
        <w:textAlignment w:val="auto"/>
        <w:outlineLvl w:val="1"/>
        <w:rPr>
          <w:rFonts w:hint="eastAsia" w:ascii="宋体" w:hAnsi="宋体" w:eastAsia="宋体" w:cs="宋体"/>
          <w:b/>
          <w:color w:val="auto"/>
          <w:kern w:val="0"/>
          <w:sz w:val="30"/>
          <w:szCs w:val="30"/>
          <w:highlight w:val="none"/>
          <w:lang w:val="en-US" w:eastAsia="zh-CN"/>
        </w:rPr>
      </w:pPr>
      <w:bookmarkStart w:id="990" w:name="_Toc12341"/>
      <w:bookmarkStart w:id="991" w:name="_Toc142508389"/>
      <w:bookmarkStart w:id="992" w:name="_Toc140596949"/>
      <w:bookmarkStart w:id="993" w:name="_Toc102860094"/>
      <w:bookmarkStart w:id="994" w:name="_Toc104991896"/>
      <w:bookmarkStart w:id="995" w:name="_Toc102860438"/>
      <w:bookmarkStart w:id="996" w:name="_Toc533708139"/>
      <w:r>
        <w:rPr>
          <w:rFonts w:hint="eastAsia" w:ascii="宋体" w:hAnsi="宋体" w:eastAsia="宋体" w:cs="宋体"/>
          <w:b/>
          <w:color w:val="auto"/>
          <w:kern w:val="0"/>
          <w:sz w:val="30"/>
          <w:szCs w:val="30"/>
          <w:highlight w:val="none"/>
          <w:lang w:val="en-US" w:eastAsia="zh-CN"/>
        </w:rPr>
        <w:t>物业管理运营服务方案（投标人自行编写）</w:t>
      </w:r>
      <w:bookmarkEnd w:id="990"/>
    </w:p>
    <w:p w14:paraId="718A6EE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b w:val="0"/>
          <w:bCs/>
          <w:color w:val="auto"/>
          <w:kern w:val="0"/>
          <w:sz w:val="21"/>
          <w:szCs w:val="21"/>
          <w:highlight w:val="none"/>
          <w:lang w:val="en-US" w:eastAsia="zh-CN"/>
        </w:rPr>
        <w:t>说明：</w:t>
      </w:r>
      <w:r>
        <w:rPr>
          <w:rFonts w:hint="eastAsia" w:ascii="宋体" w:hAnsi="宋体" w:eastAsia="宋体" w:cs="Times New Roman"/>
          <w:color w:val="auto"/>
          <w:szCs w:val="21"/>
        </w:rPr>
        <w:t>投标人自行编制，格式不限。内容包括但不限于前期准备及交接工作安排、物业管理团队组建方案、针对本项目服务内容（客户服务管理、安全保卫管理、清洁卫生管理、园林绿化养护和管理、空调系统维护保养管理、消防系统维护保养管理、供配电系统维护保养管理、给排水系统维护保养管理、智能化系统维护与保养管理、电梯系统维护与保养管理、突发应急管理、楼宇主体及其附属设施和公共配套设施维护与保养、日常物业维修及物业使用人装修管理）的组织实施方案、工作计划、响应速度及服务质量保障措施、针对本项目提出的增值服务及措施等内容</w:t>
      </w:r>
      <w:r>
        <w:rPr>
          <w:rFonts w:hint="eastAsia" w:ascii="宋体" w:hAnsi="宋体" w:eastAsia="宋体" w:cs="宋体"/>
          <w:b w:val="0"/>
          <w:bCs/>
          <w:color w:val="auto"/>
          <w:kern w:val="0"/>
          <w:sz w:val="21"/>
          <w:szCs w:val="21"/>
          <w:highlight w:val="none"/>
          <w:lang w:val="en-US" w:eastAsia="zh-CN"/>
        </w:rPr>
        <w:t>。</w:t>
      </w:r>
      <w:r>
        <w:rPr>
          <w:rFonts w:hint="eastAsia" w:ascii="宋体" w:hAnsi="宋体" w:eastAsia="宋体" w:cs="宋体"/>
          <w:b/>
          <w:color w:val="auto"/>
          <w:kern w:val="0"/>
          <w:sz w:val="30"/>
          <w:szCs w:val="30"/>
          <w:highlight w:val="none"/>
          <w:lang w:val="en-US" w:eastAsia="zh-CN"/>
        </w:rPr>
        <w:br w:type="page"/>
      </w:r>
    </w:p>
    <w:p w14:paraId="44F0D146">
      <w:pPr>
        <w:pageBreakBefore/>
        <w:outlineLvl w:val="1"/>
        <w:rPr>
          <w:rFonts w:hint="eastAsia" w:ascii="宋体" w:hAnsi="宋体" w:eastAsia="宋体" w:cs="宋体"/>
          <w:b/>
          <w:color w:val="auto"/>
          <w:kern w:val="0"/>
          <w:sz w:val="30"/>
          <w:szCs w:val="30"/>
          <w:highlight w:val="none"/>
          <w:lang w:val="en-US" w:eastAsia="zh-CN"/>
        </w:rPr>
      </w:pPr>
      <w:bookmarkStart w:id="997" w:name="_Toc13755"/>
      <w:r>
        <w:rPr>
          <w:rFonts w:hint="eastAsia" w:ascii="宋体" w:hAnsi="宋体" w:eastAsia="宋体" w:cs="宋体"/>
          <w:b/>
          <w:color w:val="auto"/>
          <w:kern w:val="0"/>
          <w:sz w:val="30"/>
          <w:szCs w:val="30"/>
          <w:highlight w:val="none"/>
          <w:lang w:val="en-US" w:eastAsia="zh-CN"/>
        </w:rPr>
        <w:t>四、拟投入本项目的服务人员情况</w:t>
      </w:r>
      <w:bookmarkEnd w:id="997"/>
    </w:p>
    <w:p w14:paraId="5162811D">
      <w:pPr>
        <w:spacing w:before="240" w:line="219" w:lineRule="auto"/>
        <w:ind w:left="3004"/>
        <w:rPr>
          <w:rFonts w:ascii="宋体" w:hAnsi="宋体" w:eastAsia="宋体" w:cs="宋体"/>
          <w:color w:val="auto"/>
          <w:sz w:val="32"/>
          <w:szCs w:val="32"/>
        </w:rPr>
      </w:pPr>
      <w:r>
        <w:rPr>
          <w:rFonts w:ascii="宋体" w:hAnsi="宋体" w:eastAsia="宋体" w:cs="宋体"/>
          <w:b/>
          <w:bCs/>
          <w:color w:val="auto"/>
          <w:spacing w:val="-2"/>
          <w:sz w:val="32"/>
          <w:szCs w:val="32"/>
        </w:rPr>
        <w:t>拟投入本项目的服务人员清单表</w:t>
      </w:r>
    </w:p>
    <w:p w14:paraId="71F9CF23">
      <w:pPr>
        <w:spacing w:line="198" w:lineRule="exact"/>
        <w:rPr>
          <w:color w:val="auto"/>
        </w:rPr>
      </w:pPr>
    </w:p>
    <w:tbl>
      <w:tblPr>
        <w:tblStyle w:val="213"/>
        <w:tblW w:w="9550"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1239"/>
        <w:gridCol w:w="729"/>
        <w:gridCol w:w="859"/>
        <w:gridCol w:w="859"/>
        <w:gridCol w:w="1678"/>
        <w:gridCol w:w="1189"/>
        <w:gridCol w:w="1245"/>
        <w:gridCol w:w="928"/>
      </w:tblGrid>
      <w:tr w14:paraId="4A2DA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824" w:type="dxa"/>
            <w:vAlign w:val="top"/>
          </w:tcPr>
          <w:p w14:paraId="342F2926">
            <w:pPr>
              <w:pStyle w:val="212"/>
              <w:spacing w:before="304" w:line="221" w:lineRule="auto"/>
              <w:ind w:left="154"/>
              <w:jc w:val="both"/>
              <w:rPr>
                <w:color w:val="auto"/>
                <w:sz w:val="21"/>
                <w:szCs w:val="21"/>
              </w:rPr>
            </w:pPr>
            <w:r>
              <w:rPr>
                <w:color w:val="auto"/>
                <w:spacing w:val="6"/>
                <w:sz w:val="21"/>
                <w:szCs w:val="21"/>
              </w:rPr>
              <w:t>序号</w:t>
            </w:r>
          </w:p>
        </w:tc>
        <w:tc>
          <w:tcPr>
            <w:tcW w:w="1239" w:type="dxa"/>
            <w:vAlign w:val="top"/>
          </w:tcPr>
          <w:p w14:paraId="246D4619">
            <w:pPr>
              <w:pStyle w:val="212"/>
              <w:spacing w:before="303" w:line="219" w:lineRule="auto"/>
              <w:ind w:left="380"/>
              <w:jc w:val="both"/>
              <w:rPr>
                <w:color w:val="auto"/>
                <w:sz w:val="21"/>
                <w:szCs w:val="21"/>
              </w:rPr>
            </w:pPr>
            <w:r>
              <w:rPr>
                <w:color w:val="auto"/>
                <w:spacing w:val="13"/>
                <w:sz w:val="21"/>
                <w:szCs w:val="21"/>
              </w:rPr>
              <w:t>姓名</w:t>
            </w:r>
          </w:p>
        </w:tc>
        <w:tc>
          <w:tcPr>
            <w:tcW w:w="729" w:type="dxa"/>
            <w:vAlign w:val="top"/>
          </w:tcPr>
          <w:p w14:paraId="0580B04C">
            <w:pPr>
              <w:pStyle w:val="212"/>
              <w:spacing w:before="304" w:line="220" w:lineRule="auto"/>
              <w:ind w:left="132"/>
              <w:jc w:val="both"/>
              <w:rPr>
                <w:color w:val="auto"/>
                <w:sz w:val="21"/>
                <w:szCs w:val="21"/>
              </w:rPr>
            </w:pPr>
            <w:r>
              <w:rPr>
                <w:color w:val="auto"/>
                <w:spacing w:val="8"/>
                <w:sz w:val="21"/>
                <w:szCs w:val="21"/>
              </w:rPr>
              <w:t>性别</w:t>
            </w:r>
          </w:p>
        </w:tc>
        <w:tc>
          <w:tcPr>
            <w:tcW w:w="859" w:type="dxa"/>
            <w:vAlign w:val="top"/>
          </w:tcPr>
          <w:p w14:paraId="7358DBFE">
            <w:pPr>
              <w:pStyle w:val="212"/>
              <w:spacing w:before="303" w:line="219" w:lineRule="auto"/>
              <w:ind w:left="203"/>
              <w:jc w:val="both"/>
              <w:rPr>
                <w:color w:val="auto"/>
                <w:sz w:val="21"/>
                <w:szCs w:val="21"/>
              </w:rPr>
            </w:pPr>
            <w:r>
              <w:rPr>
                <w:color w:val="auto"/>
                <w:spacing w:val="-3"/>
                <w:sz w:val="21"/>
                <w:szCs w:val="21"/>
              </w:rPr>
              <w:t>年龄</w:t>
            </w:r>
          </w:p>
        </w:tc>
        <w:tc>
          <w:tcPr>
            <w:tcW w:w="859" w:type="dxa"/>
            <w:vAlign w:val="top"/>
          </w:tcPr>
          <w:p w14:paraId="14FE917F">
            <w:pPr>
              <w:pStyle w:val="212"/>
              <w:spacing w:before="304" w:line="221" w:lineRule="auto"/>
              <w:ind w:left="194"/>
              <w:jc w:val="both"/>
              <w:rPr>
                <w:color w:val="auto"/>
                <w:sz w:val="21"/>
                <w:szCs w:val="21"/>
              </w:rPr>
            </w:pPr>
            <w:r>
              <w:rPr>
                <w:color w:val="auto"/>
                <w:spacing w:val="6"/>
                <w:sz w:val="21"/>
                <w:szCs w:val="21"/>
              </w:rPr>
              <w:t>学历</w:t>
            </w:r>
          </w:p>
        </w:tc>
        <w:tc>
          <w:tcPr>
            <w:tcW w:w="1678" w:type="dxa"/>
            <w:vAlign w:val="top"/>
          </w:tcPr>
          <w:p w14:paraId="64A15FB3">
            <w:pPr>
              <w:pStyle w:val="212"/>
              <w:spacing w:before="302" w:line="219" w:lineRule="auto"/>
              <w:ind w:left="155"/>
              <w:jc w:val="both"/>
              <w:rPr>
                <w:color w:val="auto"/>
                <w:sz w:val="21"/>
                <w:szCs w:val="21"/>
              </w:rPr>
            </w:pPr>
            <w:r>
              <w:rPr>
                <w:color w:val="auto"/>
                <w:spacing w:val="1"/>
                <w:sz w:val="21"/>
                <w:szCs w:val="21"/>
              </w:rPr>
              <w:t>资格/职称证书</w:t>
            </w:r>
          </w:p>
        </w:tc>
        <w:tc>
          <w:tcPr>
            <w:tcW w:w="1189" w:type="dxa"/>
            <w:vAlign w:val="top"/>
          </w:tcPr>
          <w:p w14:paraId="5427BA3F">
            <w:pPr>
              <w:pStyle w:val="212"/>
              <w:spacing w:before="302" w:line="219" w:lineRule="auto"/>
              <w:ind w:left="146"/>
              <w:jc w:val="both"/>
              <w:rPr>
                <w:color w:val="auto"/>
                <w:sz w:val="21"/>
                <w:szCs w:val="21"/>
              </w:rPr>
            </w:pPr>
            <w:r>
              <w:rPr>
                <w:color w:val="auto"/>
                <w:spacing w:val="-2"/>
                <w:sz w:val="21"/>
                <w:szCs w:val="21"/>
              </w:rPr>
              <w:t>拟任职务</w:t>
            </w:r>
          </w:p>
        </w:tc>
        <w:tc>
          <w:tcPr>
            <w:tcW w:w="1245" w:type="dxa"/>
            <w:vAlign w:val="top"/>
          </w:tcPr>
          <w:p w14:paraId="6B64CD99">
            <w:pPr>
              <w:pStyle w:val="212"/>
              <w:spacing w:before="13" w:line="347" w:lineRule="auto"/>
              <w:ind w:right="110"/>
              <w:jc w:val="center"/>
              <w:rPr>
                <w:color w:val="auto"/>
                <w:sz w:val="21"/>
                <w:szCs w:val="21"/>
              </w:rPr>
            </w:pPr>
            <w:r>
              <w:rPr>
                <w:color w:val="auto"/>
                <w:spacing w:val="2"/>
                <w:sz w:val="21"/>
                <w:szCs w:val="21"/>
              </w:rPr>
              <w:t>从事本行</w:t>
            </w:r>
            <w:r>
              <w:rPr>
                <w:color w:val="auto"/>
                <w:spacing w:val="-2"/>
                <w:sz w:val="21"/>
                <w:szCs w:val="21"/>
              </w:rPr>
              <w:t>业年限</w:t>
            </w:r>
          </w:p>
        </w:tc>
        <w:tc>
          <w:tcPr>
            <w:tcW w:w="928" w:type="dxa"/>
            <w:vAlign w:val="top"/>
          </w:tcPr>
          <w:p w14:paraId="17EF9957">
            <w:pPr>
              <w:pStyle w:val="212"/>
              <w:spacing w:before="304" w:line="221" w:lineRule="auto"/>
              <w:jc w:val="center"/>
              <w:rPr>
                <w:color w:val="auto"/>
                <w:sz w:val="21"/>
                <w:szCs w:val="21"/>
              </w:rPr>
            </w:pPr>
            <w:r>
              <w:rPr>
                <w:color w:val="auto"/>
                <w:spacing w:val="5"/>
                <w:sz w:val="21"/>
                <w:szCs w:val="21"/>
              </w:rPr>
              <w:t>备注</w:t>
            </w:r>
          </w:p>
        </w:tc>
      </w:tr>
      <w:tr w14:paraId="0EA38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824" w:type="dxa"/>
            <w:vAlign w:val="top"/>
          </w:tcPr>
          <w:p w14:paraId="4081DC17">
            <w:pPr>
              <w:rPr>
                <w:rFonts w:ascii="Arial"/>
                <w:color w:val="auto"/>
                <w:sz w:val="21"/>
              </w:rPr>
            </w:pPr>
          </w:p>
        </w:tc>
        <w:tc>
          <w:tcPr>
            <w:tcW w:w="1239" w:type="dxa"/>
            <w:vAlign w:val="top"/>
          </w:tcPr>
          <w:p w14:paraId="2B281035">
            <w:pPr>
              <w:rPr>
                <w:rFonts w:ascii="Arial"/>
                <w:color w:val="auto"/>
                <w:sz w:val="21"/>
              </w:rPr>
            </w:pPr>
          </w:p>
        </w:tc>
        <w:tc>
          <w:tcPr>
            <w:tcW w:w="729" w:type="dxa"/>
            <w:vAlign w:val="top"/>
          </w:tcPr>
          <w:p w14:paraId="5099A314">
            <w:pPr>
              <w:rPr>
                <w:rFonts w:ascii="Arial"/>
                <w:color w:val="auto"/>
                <w:sz w:val="21"/>
              </w:rPr>
            </w:pPr>
          </w:p>
        </w:tc>
        <w:tc>
          <w:tcPr>
            <w:tcW w:w="859" w:type="dxa"/>
            <w:vAlign w:val="top"/>
          </w:tcPr>
          <w:p w14:paraId="10EAFAFC">
            <w:pPr>
              <w:rPr>
                <w:rFonts w:ascii="Arial"/>
                <w:color w:val="auto"/>
                <w:sz w:val="21"/>
              </w:rPr>
            </w:pPr>
          </w:p>
        </w:tc>
        <w:tc>
          <w:tcPr>
            <w:tcW w:w="859" w:type="dxa"/>
            <w:vAlign w:val="top"/>
          </w:tcPr>
          <w:p w14:paraId="782699B7">
            <w:pPr>
              <w:rPr>
                <w:rFonts w:ascii="Arial"/>
                <w:color w:val="auto"/>
                <w:sz w:val="21"/>
              </w:rPr>
            </w:pPr>
          </w:p>
        </w:tc>
        <w:tc>
          <w:tcPr>
            <w:tcW w:w="1678" w:type="dxa"/>
            <w:vAlign w:val="top"/>
          </w:tcPr>
          <w:p w14:paraId="164C322B">
            <w:pPr>
              <w:rPr>
                <w:rFonts w:ascii="Arial"/>
                <w:color w:val="auto"/>
                <w:sz w:val="21"/>
              </w:rPr>
            </w:pPr>
          </w:p>
        </w:tc>
        <w:tc>
          <w:tcPr>
            <w:tcW w:w="1189" w:type="dxa"/>
            <w:vAlign w:val="top"/>
          </w:tcPr>
          <w:p w14:paraId="65EEB987">
            <w:pPr>
              <w:rPr>
                <w:rFonts w:ascii="Arial"/>
                <w:color w:val="auto"/>
                <w:sz w:val="21"/>
              </w:rPr>
            </w:pPr>
          </w:p>
        </w:tc>
        <w:tc>
          <w:tcPr>
            <w:tcW w:w="1245" w:type="dxa"/>
            <w:vAlign w:val="top"/>
          </w:tcPr>
          <w:p w14:paraId="0920FB6E">
            <w:pPr>
              <w:jc w:val="center"/>
              <w:rPr>
                <w:rFonts w:ascii="Arial"/>
                <w:color w:val="auto"/>
                <w:sz w:val="21"/>
              </w:rPr>
            </w:pPr>
          </w:p>
        </w:tc>
        <w:tc>
          <w:tcPr>
            <w:tcW w:w="928" w:type="dxa"/>
            <w:vAlign w:val="top"/>
          </w:tcPr>
          <w:p w14:paraId="59B2E24D">
            <w:pPr>
              <w:rPr>
                <w:rFonts w:ascii="Arial"/>
                <w:color w:val="auto"/>
                <w:sz w:val="21"/>
              </w:rPr>
            </w:pPr>
          </w:p>
        </w:tc>
      </w:tr>
      <w:tr w14:paraId="00D8E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24" w:type="dxa"/>
            <w:vAlign w:val="top"/>
          </w:tcPr>
          <w:p w14:paraId="6C1C0628">
            <w:pPr>
              <w:rPr>
                <w:rFonts w:ascii="Arial"/>
                <w:color w:val="auto"/>
                <w:sz w:val="21"/>
              </w:rPr>
            </w:pPr>
          </w:p>
        </w:tc>
        <w:tc>
          <w:tcPr>
            <w:tcW w:w="1239" w:type="dxa"/>
            <w:vAlign w:val="top"/>
          </w:tcPr>
          <w:p w14:paraId="54ECC08E">
            <w:pPr>
              <w:rPr>
                <w:rFonts w:ascii="Arial"/>
                <w:color w:val="auto"/>
                <w:sz w:val="21"/>
              </w:rPr>
            </w:pPr>
          </w:p>
        </w:tc>
        <w:tc>
          <w:tcPr>
            <w:tcW w:w="729" w:type="dxa"/>
            <w:vAlign w:val="top"/>
          </w:tcPr>
          <w:p w14:paraId="1ECBF607">
            <w:pPr>
              <w:rPr>
                <w:rFonts w:ascii="Arial"/>
                <w:color w:val="auto"/>
                <w:sz w:val="21"/>
              </w:rPr>
            </w:pPr>
          </w:p>
        </w:tc>
        <w:tc>
          <w:tcPr>
            <w:tcW w:w="859" w:type="dxa"/>
            <w:vAlign w:val="top"/>
          </w:tcPr>
          <w:p w14:paraId="288BFAD8">
            <w:pPr>
              <w:rPr>
                <w:rFonts w:ascii="Arial"/>
                <w:color w:val="auto"/>
                <w:sz w:val="21"/>
              </w:rPr>
            </w:pPr>
          </w:p>
        </w:tc>
        <w:tc>
          <w:tcPr>
            <w:tcW w:w="859" w:type="dxa"/>
            <w:vAlign w:val="top"/>
          </w:tcPr>
          <w:p w14:paraId="395006C5">
            <w:pPr>
              <w:rPr>
                <w:rFonts w:ascii="Arial"/>
                <w:color w:val="auto"/>
                <w:sz w:val="21"/>
              </w:rPr>
            </w:pPr>
          </w:p>
        </w:tc>
        <w:tc>
          <w:tcPr>
            <w:tcW w:w="1678" w:type="dxa"/>
            <w:vAlign w:val="top"/>
          </w:tcPr>
          <w:p w14:paraId="59D3037E">
            <w:pPr>
              <w:rPr>
                <w:rFonts w:ascii="Arial"/>
                <w:color w:val="auto"/>
                <w:sz w:val="21"/>
              </w:rPr>
            </w:pPr>
          </w:p>
        </w:tc>
        <w:tc>
          <w:tcPr>
            <w:tcW w:w="1189" w:type="dxa"/>
            <w:vAlign w:val="top"/>
          </w:tcPr>
          <w:p w14:paraId="3D8793F5">
            <w:pPr>
              <w:rPr>
                <w:rFonts w:ascii="Arial"/>
                <w:color w:val="auto"/>
                <w:sz w:val="21"/>
              </w:rPr>
            </w:pPr>
          </w:p>
        </w:tc>
        <w:tc>
          <w:tcPr>
            <w:tcW w:w="1245" w:type="dxa"/>
            <w:vAlign w:val="top"/>
          </w:tcPr>
          <w:p w14:paraId="6CB3D949">
            <w:pPr>
              <w:jc w:val="center"/>
              <w:rPr>
                <w:rFonts w:ascii="Arial"/>
                <w:color w:val="auto"/>
                <w:sz w:val="21"/>
              </w:rPr>
            </w:pPr>
          </w:p>
        </w:tc>
        <w:tc>
          <w:tcPr>
            <w:tcW w:w="928" w:type="dxa"/>
            <w:vAlign w:val="top"/>
          </w:tcPr>
          <w:p w14:paraId="7ED8C4CC">
            <w:pPr>
              <w:rPr>
                <w:rFonts w:ascii="Arial"/>
                <w:color w:val="auto"/>
                <w:sz w:val="21"/>
              </w:rPr>
            </w:pPr>
          </w:p>
        </w:tc>
      </w:tr>
      <w:tr w14:paraId="379B7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24" w:type="dxa"/>
            <w:vAlign w:val="top"/>
          </w:tcPr>
          <w:p w14:paraId="061F8A4E">
            <w:pPr>
              <w:rPr>
                <w:rFonts w:ascii="Arial"/>
                <w:color w:val="auto"/>
                <w:sz w:val="21"/>
              </w:rPr>
            </w:pPr>
          </w:p>
        </w:tc>
        <w:tc>
          <w:tcPr>
            <w:tcW w:w="1239" w:type="dxa"/>
            <w:vAlign w:val="top"/>
          </w:tcPr>
          <w:p w14:paraId="496012AC">
            <w:pPr>
              <w:rPr>
                <w:rFonts w:ascii="Arial"/>
                <w:color w:val="auto"/>
                <w:sz w:val="21"/>
              </w:rPr>
            </w:pPr>
          </w:p>
        </w:tc>
        <w:tc>
          <w:tcPr>
            <w:tcW w:w="729" w:type="dxa"/>
            <w:vAlign w:val="top"/>
          </w:tcPr>
          <w:p w14:paraId="2268E834">
            <w:pPr>
              <w:rPr>
                <w:rFonts w:ascii="Arial"/>
                <w:color w:val="auto"/>
                <w:sz w:val="21"/>
              </w:rPr>
            </w:pPr>
          </w:p>
        </w:tc>
        <w:tc>
          <w:tcPr>
            <w:tcW w:w="859" w:type="dxa"/>
            <w:vAlign w:val="top"/>
          </w:tcPr>
          <w:p w14:paraId="0956D783">
            <w:pPr>
              <w:rPr>
                <w:rFonts w:ascii="Arial"/>
                <w:color w:val="auto"/>
                <w:sz w:val="21"/>
              </w:rPr>
            </w:pPr>
          </w:p>
        </w:tc>
        <w:tc>
          <w:tcPr>
            <w:tcW w:w="859" w:type="dxa"/>
            <w:vAlign w:val="top"/>
          </w:tcPr>
          <w:p w14:paraId="10B1DDEC">
            <w:pPr>
              <w:rPr>
                <w:rFonts w:ascii="Arial"/>
                <w:color w:val="auto"/>
                <w:sz w:val="21"/>
              </w:rPr>
            </w:pPr>
          </w:p>
        </w:tc>
        <w:tc>
          <w:tcPr>
            <w:tcW w:w="1678" w:type="dxa"/>
            <w:vAlign w:val="top"/>
          </w:tcPr>
          <w:p w14:paraId="38580A5E">
            <w:pPr>
              <w:rPr>
                <w:rFonts w:ascii="Arial"/>
                <w:color w:val="auto"/>
                <w:sz w:val="21"/>
              </w:rPr>
            </w:pPr>
          </w:p>
        </w:tc>
        <w:tc>
          <w:tcPr>
            <w:tcW w:w="1189" w:type="dxa"/>
            <w:vAlign w:val="top"/>
          </w:tcPr>
          <w:p w14:paraId="78417104">
            <w:pPr>
              <w:rPr>
                <w:rFonts w:ascii="Arial"/>
                <w:color w:val="auto"/>
                <w:sz w:val="21"/>
              </w:rPr>
            </w:pPr>
          </w:p>
        </w:tc>
        <w:tc>
          <w:tcPr>
            <w:tcW w:w="1245" w:type="dxa"/>
            <w:vAlign w:val="top"/>
          </w:tcPr>
          <w:p w14:paraId="5D5BF85B">
            <w:pPr>
              <w:rPr>
                <w:rFonts w:ascii="Arial"/>
                <w:color w:val="auto"/>
                <w:sz w:val="21"/>
              </w:rPr>
            </w:pPr>
          </w:p>
        </w:tc>
        <w:tc>
          <w:tcPr>
            <w:tcW w:w="928" w:type="dxa"/>
            <w:vAlign w:val="top"/>
          </w:tcPr>
          <w:p w14:paraId="70568230">
            <w:pPr>
              <w:rPr>
                <w:rFonts w:ascii="Arial"/>
                <w:color w:val="auto"/>
                <w:sz w:val="21"/>
              </w:rPr>
            </w:pPr>
          </w:p>
        </w:tc>
      </w:tr>
      <w:tr w14:paraId="550C5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24" w:type="dxa"/>
            <w:vAlign w:val="top"/>
          </w:tcPr>
          <w:p w14:paraId="711D342A">
            <w:pPr>
              <w:rPr>
                <w:rFonts w:ascii="Arial"/>
                <w:color w:val="auto"/>
                <w:sz w:val="21"/>
              </w:rPr>
            </w:pPr>
          </w:p>
        </w:tc>
        <w:tc>
          <w:tcPr>
            <w:tcW w:w="1239" w:type="dxa"/>
            <w:vAlign w:val="top"/>
          </w:tcPr>
          <w:p w14:paraId="73D2EAA9">
            <w:pPr>
              <w:rPr>
                <w:rFonts w:ascii="Arial"/>
                <w:color w:val="auto"/>
                <w:sz w:val="21"/>
              </w:rPr>
            </w:pPr>
          </w:p>
        </w:tc>
        <w:tc>
          <w:tcPr>
            <w:tcW w:w="729" w:type="dxa"/>
            <w:vAlign w:val="top"/>
          </w:tcPr>
          <w:p w14:paraId="555322C7">
            <w:pPr>
              <w:rPr>
                <w:rFonts w:ascii="Arial"/>
                <w:color w:val="auto"/>
                <w:sz w:val="21"/>
              </w:rPr>
            </w:pPr>
          </w:p>
        </w:tc>
        <w:tc>
          <w:tcPr>
            <w:tcW w:w="859" w:type="dxa"/>
            <w:vAlign w:val="top"/>
          </w:tcPr>
          <w:p w14:paraId="56803381">
            <w:pPr>
              <w:rPr>
                <w:rFonts w:ascii="Arial"/>
                <w:color w:val="auto"/>
                <w:sz w:val="21"/>
              </w:rPr>
            </w:pPr>
          </w:p>
        </w:tc>
        <w:tc>
          <w:tcPr>
            <w:tcW w:w="859" w:type="dxa"/>
            <w:vAlign w:val="top"/>
          </w:tcPr>
          <w:p w14:paraId="471F3139">
            <w:pPr>
              <w:rPr>
                <w:rFonts w:ascii="Arial"/>
                <w:color w:val="auto"/>
                <w:sz w:val="21"/>
              </w:rPr>
            </w:pPr>
          </w:p>
        </w:tc>
        <w:tc>
          <w:tcPr>
            <w:tcW w:w="1678" w:type="dxa"/>
            <w:vAlign w:val="top"/>
          </w:tcPr>
          <w:p w14:paraId="408A41CC">
            <w:pPr>
              <w:rPr>
                <w:rFonts w:ascii="Arial"/>
                <w:color w:val="auto"/>
                <w:sz w:val="21"/>
              </w:rPr>
            </w:pPr>
          </w:p>
        </w:tc>
        <w:tc>
          <w:tcPr>
            <w:tcW w:w="1189" w:type="dxa"/>
            <w:vAlign w:val="top"/>
          </w:tcPr>
          <w:p w14:paraId="104C3C80">
            <w:pPr>
              <w:rPr>
                <w:rFonts w:ascii="Arial"/>
                <w:color w:val="auto"/>
                <w:sz w:val="21"/>
              </w:rPr>
            </w:pPr>
          </w:p>
        </w:tc>
        <w:tc>
          <w:tcPr>
            <w:tcW w:w="1245" w:type="dxa"/>
            <w:vAlign w:val="top"/>
          </w:tcPr>
          <w:p w14:paraId="1E8814D8">
            <w:pPr>
              <w:rPr>
                <w:rFonts w:ascii="Arial"/>
                <w:color w:val="auto"/>
                <w:sz w:val="21"/>
              </w:rPr>
            </w:pPr>
          </w:p>
        </w:tc>
        <w:tc>
          <w:tcPr>
            <w:tcW w:w="928" w:type="dxa"/>
            <w:vAlign w:val="top"/>
          </w:tcPr>
          <w:p w14:paraId="7B71E5D3">
            <w:pPr>
              <w:rPr>
                <w:rFonts w:ascii="Arial"/>
                <w:color w:val="auto"/>
                <w:sz w:val="21"/>
              </w:rPr>
            </w:pPr>
          </w:p>
        </w:tc>
      </w:tr>
      <w:tr w14:paraId="0F737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24" w:type="dxa"/>
            <w:vAlign w:val="top"/>
          </w:tcPr>
          <w:p w14:paraId="4744A147">
            <w:pPr>
              <w:rPr>
                <w:rFonts w:ascii="Arial"/>
                <w:color w:val="auto"/>
                <w:sz w:val="21"/>
              </w:rPr>
            </w:pPr>
          </w:p>
        </w:tc>
        <w:tc>
          <w:tcPr>
            <w:tcW w:w="1239" w:type="dxa"/>
            <w:vAlign w:val="top"/>
          </w:tcPr>
          <w:p w14:paraId="1F88CB69">
            <w:pPr>
              <w:rPr>
                <w:rFonts w:ascii="Arial"/>
                <w:color w:val="auto"/>
                <w:sz w:val="21"/>
              </w:rPr>
            </w:pPr>
          </w:p>
        </w:tc>
        <w:tc>
          <w:tcPr>
            <w:tcW w:w="729" w:type="dxa"/>
            <w:vAlign w:val="top"/>
          </w:tcPr>
          <w:p w14:paraId="60E08AD1">
            <w:pPr>
              <w:rPr>
                <w:rFonts w:ascii="Arial"/>
                <w:color w:val="auto"/>
                <w:sz w:val="21"/>
              </w:rPr>
            </w:pPr>
          </w:p>
        </w:tc>
        <w:tc>
          <w:tcPr>
            <w:tcW w:w="859" w:type="dxa"/>
            <w:vAlign w:val="top"/>
          </w:tcPr>
          <w:p w14:paraId="10E016F9">
            <w:pPr>
              <w:rPr>
                <w:rFonts w:ascii="Arial"/>
                <w:color w:val="auto"/>
                <w:sz w:val="21"/>
              </w:rPr>
            </w:pPr>
          </w:p>
        </w:tc>
        <w:tc>
          <w:tcPr>
            <w:tcW w:w="859" w:type="dxa"/>
            <w:vAlign w:val="top"/>
          </w:tcPr>
          <w:p w14:paraId="26F8325C">
            <w:pPr>
              <w:rPr>
                <w:rFonts w:ascii="Arial"/>
                <w:color w:val="auto"/>
                <w:sz w:val="21"/>
              </w:rPr>
            </w:pPr>
          </w:p>
        </w:tc>
        <w:tc>
          <w:tcPr>
            <w:tcW w:w="1678" w:type="dxa"/>
            <w:vAlign w:val="top"/>
          </w:tcPr>
          <w:p w14:paraId="10CEA07E">
            <w:pPr>
              <w:rPr>
                <w:rFonts w:ascii="Arial"/>
                <w:color w:val="auto"/>
                <w:sz w:val="21"/>
              </w:rPr>
            </w:pPr>
          </w:p>
        </w:tc>
        <w:tc>
          <w:tcPr>
            <w:tcW w:w="1189" w:type="dxa"/>
            <w:vAlign w:val="top"/>
          </w:tcPr>
          <w:p w14:paraId="68F9E732">
            <w:pPr>
              <w:rPr>
                <w:rFonts w:ascii="Arial"/>
                <w:color w:val="auto"/>
                <w:sz w:val="21"/>
              </w:rPr>
            </w:pPr>
          </w:p>
        </w:tc>
        <w:tc>
          <w:tcPr>
            <w:tcW w:w="1245" w:type="dxa"/>
            <w:vAlign w:val="top"/>
          </w:tcPr>
          <w:p w14:paraId="02015228">
            <w:pPr>
              <w:rPr>
                <w:rFonts w:ascii="Arial"/>
                <w:color w:val="auto"/>
                <w:sz w:val="21"/>
              </w:rPr>
            </w:pPr>
          </w:p>
        </w:tc>
        <w:tc>
          <w:tcPr>
            <w:tcW w:w="928" w:type="dxa"/>
            <w:vAlign w:val="top"/>
          </w:tcPr>
          <w:p w14:paraId="70E1FAEE">
            <w:pPr>
              <w:rPr>
                <w:rFonts w:ascii="Arial"/>
                <w:color w:val="auto"/>
                <w:sz w:val="21"/>
              </w:rPr>
            </w:pPr>
          </w:p>
        </w:tc>
      </w:tr>
      <w:tr w14:paraId="385F7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24" w:type="dxa"/>
            <w:vAlign w:val="top"/>
          </w:tcPr>
          <w:p w14:paraId="4404E58F">
            <w:pPr>
              <w:rPr>
                <w:rFonts w:ascii="Arial"/>
                <w:color w:val="auto"/>
                <w:sz w:val="21"/>
              </w:rPr>
            </w:pPr>
          </w:p>
        </w:tc>
        <w:tc>
          <w:tcPr>
            <w:tcW w:w="1239" w:type="dxa"/>
            <w:vAlign w:val="top"/>
          </w:tcPr>
          <w:p w14:paraId="7833A94E">
            <w:pPr>
              <w:rPr>
                <w:rFonts w:ascii="Arial"/>
                <w:color w:val="auto"/>
                <w:sz w:val="21"/>
              </w:rPr>
            </w:pPr>
          </w:p>
        </w:tc>
        <w:tc>
          <w:tcPr>
            <w:tcW w:w="729" w:type="dxa"/>
            <w:vAlign w:val="top"/>
          </w:tcPr>
          <w:p w14:paraId="5682B092">
            <w:pPr>
              <w:rPr>
                <w:rFonts w:ascii="Arial"/>
                <w:color w:val="auto"/>
                <w:sz w:val="21"/>
              </w:rPr>
            </w:pPr>
          </w:p>
        </w:tc>
        <w:tc>
          <w:tcPr>
            <w:tcW w:w="859" w:type="dxa"/>
            <w:vAlign w:val="top"/>
          </w:tcPr>
          <w:p w14:paraId="16AF978B">
            <w:pPr>
              <w:rPr>
                <w:rFonts w:ascii="Arial"/>
                <w:color w:val="auto"/>
                <w:sz w:val="21"/>
              </w:rPr>
            </w:pPr>
          </w:p>
        </w:tc>
        <w:tc>
          <w:tcPr>
            <w:tcW w:w="859" w:type="dxa"/>
            <w:vAlign w:val="top"/>
          </w:tcPr>
          <w:p w14:paraId="4F1C270C">
            <w:pPr>
              <w:rPr>
                <w:rFonts w:ascii="Arial"/>
                <w:color w:val="auto"/>
                <w:sz w:val="21"/>
              </w:rPr>
            </w:pPr>
          </w:p>
        </w:tc>
        <w:tc>
          <w:tcPr>
            <w:tcW w:w="1678" w:type="dxa"/>
            <w:vAlign w:val="top"/>
          </w:tcPr>
          <w:p w14:paraId="3FB09593">
            <w:pPr>
              <w:rPr>
                <w:rFonts w:ascii="Arial"/>
                <w:color w:val="auto"/>
                <w:sz w:val="21"/>
              </w:rPr>
            </w:pPr>
          </w:p>
        </w:tc>
        <w:tc>
          <w:tcPr>
            <w:tcW w:w="1189" w:type="dxa"/>
            <w:vAlign w:val="top"/>
          </w:tcPr>
          <w:p w14:paraId="5C683C40">
            <w:pPr>
              <w:rPr>
                <w:rFonts w:ascii="Arial"/>
                <w:color w:val="auto"/>
                <w:sz w:val="21"/>
              </w:rPr>
            </w:pPr>
          </w:p>
        </w:tc>
        <w:tc>
          <w:tcPr>
            <w:tcW w:w="1245" w:type="dxa"/>
            <w:vAlign w:val="top"/>
          </w:tcPr>
          <w:p w14:paraId="59E296C0">
            <w:pPr>
              <w:rPr>
                <w:rFonts w:ascii="Arial"/>
                <w:color w:val="auto"/>
                <w:sz w:val="21"/>
              </w:rPr>
            </w:pPr>
          </w:p>
        </w:tc>
        <w:tc>
          <w:tcPr>
            <w:tcW w:w="928" w:type="dxa"/>
            <w:vAlign w:val="top"/>
          </w:tcPr>
          <w:p w14:paraId="5785000B">
            <w:pPr>
              <w:rPr>
                <w:rFonts w:ascii="Arial"/>
                <w:color w:val="auto"/>
                <w:sz w:val="21"/>
              </w:rPr>
            </w:pPr>
          </w:p>
        </w:tc>
      </w:tr>
      <w:tr w14:paraId="45C0B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24" w:type="dxa"/>
            <w:vAlign w:val="top"/>
          </w:tcPr>
          <w:p w14:paraId="0344197F">
            <w:pPr>
              <w:rPr>
                <w:rFonts w:ascii="Arial"/>
                <w:color w:val="auto"/>
                <w:sz w:val="21"/>
              </w:rPr>
            </w:pPr>
          </w:p>
        </w:tc>
        <w:tc>
          <w:tcPr>
            <w:tcW w:w="1239" w:type="dxa"/>
            <w:vAlign w:val="top"/>
          </w:tcPr>
          <w:p w14:paraId="65B66254">
            <w:pPr>
              <w:rPr>
                <w:rFonts w:ascii="Arial"/>
                <w:color w:val="auto"/>
                <w:sz w:val="21"/>
              </w:rPr>
            </w:pPr>
          </w:p>
        </w:tc>
        <w:tc>
          <w:tcPr>
            <w:tcW w:w="729" w:type="dxa"/>
            <w:vAlign w:val="top"/>
          </w:tcPr>
          <w:p w14:paraId="3A59EAD3">
            <w:pPr>
              <w:rPr>
                <w:rFonts w:ascii="Arial"/>
                <w:color w:val="auto"/>
                <w:sz w:val="21"/>
              </w:rPr>
            </w:pPr>
          </w:p>
        </w:tc>
        <w:tc>
          <w:tcPr>
            <w:tcW w:w="859" w:type="dxa"/>
            <w:vAlign w:val="top"/>
          </w:tcPr>
          <w:p w14:paraId="725CB6A5">
            <w:pPr>
              <w:rPr>
                <w:rFonts w:ascii="Arial"/>
                <w:color w:val="auto"/>
                <w:sz w:val="21"/>
              </w:rPr>
            </w:pPr>
          </w:p>
        </w:tc>
        <w:tc>
          <w:tcPr>
            <w:tcW w:w="859" w:type="dxa"/>
            <w:vAlign w:val="top"/>
          </w:tcPr>
          <w:p w14:paraId="01B951D5">
            <w:pPr>
              <w:rPr>
                <w:rFonts w:ascii="Arial"/>
                <w:color w:val="auto"/>
                <w:sz w:val="21"/>
              </w:rPr>
            </w:pPr>
          </w:p>
        </w:tc>
        <w:tc>
          <w:tcPr>
            <w:tcW w:w="1678" w:type="dxa"/>
            <w:vAlign w:val="top"/>
          </w:tcPr>
          <w:p w14:paraId="770A961C">
            <w:pPr>
              <w:rPr>
                <w:rFonts w:ascii="Arial"/>
                <w:color w:val="auto"/>
                <w:sz w:val="21"/>
              </w:rPr>
            </w:pPr>
          </w:p>
        </w:tc>
        <w:tc>
          <w:tcPr>
            <w:tcW w:w="1189" w:type="dxa"/>
            <w:vAlign w:val="top"/>
          </w:tcPr>
          <w:p w14:paraId="495A2690">
            <w:pPr>
              <w:rPr>
                <w:rFonts w:ascii="Arial"/>
                <w:color w:val="auto"/>
                <w:sz w:val="21"/>
              </w:rPr>
            </w:pPr>
          </w:p>
        </w:tc>
        <w:tc>
          <w:tcPr>
            <w:tcW w:w="1245" w:type="dxa"/>
            <w:vAlign w:val="top"/>
          </w:tcPr>
          <w:p w14:paraId="02D55C14">
            <w:pPr>
              <w:rPr>
                <w:rFonts w:ascii="Arial"/>
                <w:color w:val="auto"/>
                <w:sz w:val="21"/>
              </w:rPr>
            </w:pPr>
          </w:p>
        </w:tc>
        <w:tc>
          <w:tcPr>
            <w:tcW w:w="928" w:type="dxa"/>
            <w:vAlign w:val="top"/>
          </w:tcPr>
          <w:p w14:paraId="77319ED4">
            <w:pPr>
              <w:rPr>
                <w:rFonts w:ascii="Arial"/>
                <w:color w:val="auto"/>
                <w:sz w:val="21"/>
              </w:rPr>
            </w:pPr>
          </w:p>
        </w:tc>
      </w:tr>
    </w:tbl>
    <w:p w14:paraId="5EBF59F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1"/>
          <w:szCs w:val="21"/>
        </w:rPr>
      </w:pPr>
      <w:r>
        <w:rPr>
          <w:rFonts w:ascii="宋体" w:hAnsi="宋体" w:eastAsia="宋体" w:cs="宋体"/>
          <w:color w:val="auto"/>
          <w:spacing w:val="-2"/>
          <w:sz w:val="21"/>
          <w:szCs w:val="21"/>
        </w:rPr>
        <w:t>备注：</w:t>
      </w:r>
    </w:p>
    <w:p w14:paraId="2A833B65">
      <w:pPr>
        <w:keepNext w:val="0"/>
        <w:keepLines w:val="0"/>
        <w:pageBreakBefore w:val="0"/>
        <w:widowControl w:val="0"/>
        <w:kinsoku/>
        <w:wordWrap/>
        <w:overflowPunct/>
        <w:topLinePunct w:val="0"/>
        <w:autoSpaceDE/>
        <w:autoSpaceDN/>
        <w:bidi w:val="0"/>
        <w:adjustRightInd/>
        <w:snapToGrid/>
        <w:spacing w:line="360" w:lineRule="auto"/>
        <w:ind w:left="410"/>
        <w:textAlignment w:val="auto"/>
        <w:rPr>
          <w:rFonts w:ascii="宋体" w:hAnsi="宋体" w:eastAsia="宋体" w:cs="宋体"/>
          <w:color w:val="auto"/>
          <w:spacing w:val="-2"/>
          <w:sz w:val="21"/>
          <w:szCs w:val="21"/>
        </w:rPr>
      </w:pPr>
      <w:r>
        <w:rPr>
          <w:rFonts w:ascii="宋体" w:hAnsi="宋体" w:eastAsia="宋体" w:cs="宋体"/>
          <w:color w:val="auto"/>
          <w:spacing w:val="-2"/>
          <w:sz w:val="21"/>
          <w:szCs w:val="21"/>
        </w:rPr>
        <w:t>(1)此表格式供参照，供应商可以根据本表格式内容自行划表填写。</w:t>
      </w:r>
    </w:p>
    <w:p w14:paraId="0FF90C98">
      <w:pPr>
        <w:keepNext w:val="0"/>
        <w:keepLines w:val="0"/>
        <w:pageBreakBefore w:val="0"/>
        <w:widowControl w:val="0"/>
        <w:kinsoku/>
        <w:wordWrap/>
        <w:overflowPunct/>
        <w:topLinePunct w:val="0"/>
        <w:autoSpaceDE/>
        <w:autoSpaceDN/>
        <w:bidi w:val="0"/>
        <w:adjustRightInd/>
        <w:snapToGrid/>
        <w:spacing w:line="360" w:lineRule="auto"/>
        <w:ind w:left="410"/>
        <w:textAlignment w:val="auto"/>
        <w:rPr>
          <w:rFonts w:ascii="宋体" w:hAnsi="宋体" w:eastAsia="宋体" w:cs="宋体"/>
          <w:color w:val="auto"/>
          <w:spacing w:val="-2"/>
          <w:sz w:val="21"/>
          <w:szCs w:val="21"/>
        </w:rPr>
      </w:pPr>
      <w:r>
        <w:rPr>
          <w:rFonts w:ascii="宋体" w:hAnsi="宋体" w:eastAsia="宋体" w:cs="宋体"/>
          <w:color w:val="auto"/>
          <w:spacing w:val="-2"/>
          <w:sz w:val="21"/>
          <w:szCs w:val="21"/>
        </w:rPr>
        <w:t>(2)须附有身份证、劳动合同的</w:t>
      </w:r>
      <w:r>
        <w:rPr>
          <w:rFonts w:hint="eastAsia" w:ascii="宋体" w:hAnsi="宋体" w:eastAsia="宋体" w:cs="宋体"/>
          <w:color w:val="auto"/>
          <w:spacing w:val="-2"/>
          <w:sz w:val="21"/>
          <w:szCs w:val="21"/>
          <w:lang w:eastAsia="zh-CN"/>
        </w:rPr>
        <w:t>扫描件</w:t>
      </w:r>
      <w:r>
        <w:rPr>
          <w:rFonts w:ascii="宋体" w:hAnsi="宋体" w:eastAsia="宋体" w:cs="宋体"/>
          <w:color w:val="auto"/>
          <w:spacing w:val="-2"/>
          <w:sz w:val="21"/>
          <w:szCs w:val="21"/>
        </w:rPr>
        <w:t>、资格证书[学历证书/职称证/执业/职业资格证/退伍(退役军人)证]以及人力资源和社会保障部门(或税务部门)出具的</w:t>
      </w:r>
      <w:r>
        <w:rPr>
          <w:rFonts w:hint="eastAsia" w:ascii="宋体" w:hAnsi="宋体" w:eastAsia="宋体" w:cs="宋体"/>
          <w:color w:val="auto"/>
          <w:spacing w:val="-2"/>
          <w:sz w:val="21"/>
          <w:szCs w:val="21"/>
        </w:rPr>
        <w:t>投标人（2025年</w:t>
      </w:r>
      <w:r>
        <w:rPr>
          <w:rFonts w:hint="eastAsia" w:ascii="宋体" w:hAnsi="宋体" w:eastAsia="宋体" w:cs="宋体"/>
          <w:color w:val="auto"/>
          <w:spacing w:val="-2"/>
          <w:sz w:val="21"/>
          <w:szCs w:val="21"/>
          <w:lang w:val="en-US" w:eastAsia="zh-CN"/>
        </w:rPr>
        <w:t>5</w:t>
      </w:r>
      <w:r>
        <w:rPr>
          <w:rFonts w:hint="eastAsia" w:ascii="宋体" w:hAnsi="宋体" w:eastAsia="宋体" w:cs="宋体"/>
          <w:color w:val="auto"/>
          <w:spacing w:val="-2"/>
          <w:sz w:val="21"/>
          <w:szCs w:val="21"/>
        </w:rPr>
        <w:t>月、2025年</w:t>
      </w:r>
      <w:r>
        <w:rPr>
          <w:rFonts w:hint="eastAsia" w:ascii="宋体" w:hAnsi="宋体" w:eastAsia="宋体" w:cs="宋体"/>
          <w:color w:val="auto"/>
          <w:spacing w:val="-2"/>
          <w:sz w:val="21"/>
          <w:szCs w:val="21"/>
          <w:lang w:val="en-US" w:eastAsia="zh-CN"/>
        </w:rPr>
        <w:t>6</w:t>
      </w:r>
      <w:r>
        <w:rPr>
          <w:rFonts w:hint="eastAsia" w:ascii="宋体" w:hAnsi="宋体" w:eastAsia="宋体" w:cs="宋体"/>
          <w:color w:val="auto"/>
          <w:spacing w:val="-2"/>
          <w:sz w:val="21"/>
          <w:szCs w:val="21"/>
        </w:rPr>
        <w:t>月、2025年</w:t>
      </w:r>
      <w:r>
        <w:rPr>
          <w:rFonts w:hint="eastAsia" w:ascii="宋体" w:hAnsi="宋体" w:eastAsia="宋体" w:cs="宋体"/>
          <w:color w:val="auto"/>
          <w:spacing w:val="-2"/>
          <w:sz w:val="21"/>
          <w:szCs w:val="21"/>
          <w:lang w:val="en-US" w:eastAsia="zh-CN"/>
        </w:rPr>
        <w:t>7</w:t>
      </w:r>
      <w:r>
        <w:rPr>
          <w:rFonts w:hint="eastAsia" w:ascii="宋体" w:hAnsi="宋体" w:eastAsia="宋体" w:cs="宋体"/>
          <w:color w:val="auto"/>
          <w:spacing w:val="-2"/>
          <w:sz w:val="21"/>
          <w:szCs w:val="21"/>
        </w:rPr>
        <w:t>月、2025年</w:t>
      </w:r>
      <w:r>
        <w:rPr>
          <w:rFonts w:hint="eastAsia" w:ascii="宋体" w:hAnsi="宋体" w:eastAsia="宋体" w:cs="宋体"/>
          <w:color w:val="auto"/>
          <w:spacing w:val="-2"/>
          <w:sz w:val="21"/>
          <w:szCs w:val="21"/>
          <w:lang w:val="en-US" w:eastAsia="zh-CN"/>
        </w:rPr>
        <w:t>8</w:t>
      </w:r>
      <w:r>
        <w:rPr>
          <w:rFonts w:hint="eastAsia" w:ascii="宋体" w:hAnsi="宋体" w:eastAsia="宋体" w:cs="宋体"/>
          <w:color w:val="auto"/>
          <w:spacing w:val="-2"/>
          <w:sz w:val="21"/>
          <w:szCs w:val="21"/>
        </w:rPr>
        <w:t>月、2025年</w:t>
      </w:r>
      <w:r>
        <w:rPr>
          <w:rFonts w:hint="eastAsia" w:ascii="宋体" w:hAnsi="宋体" w:eastAsia="宋体" w:cs="宋体"/>
          <w:color w:val="auto"/>
          <w:spacing w:val="-2"/>
          <w:sz w:val="21"/>
          <w:szCs w:val="21"/>
          <w:lang w:val="en-US" w:eastAsia="zh-CN"/>
        </w:rPr>
        <w:t>9</w:t>
      </w:r>
      <w:r>
        <w:rPr>
          <w:rFonts w:hint="eastAsia" w:ascii="宋体" w:hAnsi="宋体" w:eastAsia="宋体" w:cs="宋体"/>
          <w:color w:val="auto"/>
          <w:spacing w:val="-2"/>
          <w:sz w:val="21"/>
          <w:szCs w:val="21"/>
        </w:rPr>
        <w:t>月、2025年</w:t>
      </w:r>
      <w:r>
        <w:rPr>
          <w:rFonts w:hint="eastAsia" w:ascii="宋体" w:hAnsi="宋体" w:eastAsia="宋体" w:cs="宋体"/>
          <w:color w:val="auto"/>
          <w:spacing w:val="-2"/>
          <w:sz w:val="21"/>
          <w:szCs w:val="21"/>
          <w:lang w:val="en-US" w:eastAsia="zh-CN"/>
        </w:rPr>
        <w:t>10</w:t>
      </w:r>
      <w:r>
        <w:rPr>
          <w:rFonts w:hint="eastAsia" w:ascii="宋体" w:hAnsi="宋体" w:eastAsia="宋体" w:cs="宋体"/>
          <w:color w:val="auto"/>
          <w:spacing w:val="-2"/>
          <w:sz w:val="21"/>
          <w:szCs w:val="21"/>
        </w:rPr>
        <w:t>月）连续6个月</w:t>
      </w:r>
      <w:r>
        <w:rPr>
          <w:rFonts w:ascii="宋体" w:hAnsi="宋体" w:eastAsia="宋体" w:cs="宋体"/>
          <w:color w:val="auto"/>
          <w:spacing w:val="-2"/>
          <w:sz w:val="21"/>
          <w:szCs w:val="21"/>
        </w:rPr>
        <w:t>为其缴纳的社保证明</w:t>
      </w:r>
      <w:r>
        <w:rPr>
          <w:rFonts w:hint="eastAsia" w:ascii="宋体" w:hAnsi="宋体" w:eastAsia="宋体" w:cs="宋体"/>
          <w:color w:val="auto"/>
          <w:spacing w:val="-2"/>
          <w:sz w:val="21"/>
          <w:szCs w:val="21"/>
          <w:lang w:eastAsia="zh-CN"/>
        </w:rPr>
        <w:t>扫描件</w:t>
      </w:r>
      <w:r>
        <w:rPr>
          <w:rFonts w:ascii="宋体" w:hAnsi="宋体" w:eastAsia="宋体" w:cs="宋体"/>
          <w:color w:val="auto"/>
          <w:spacing w:val="-2"/>
          <w:sz w:val="21"/>
          <w:szCs w:val="21"/>
        </w:rPr>
        <w:t>。</w:t>
      </w:r>
    </w:p>
    <w:p w14:paraId="433A784D">
      <w:pPr>
        <w:keepNext w:val="0"/>
        <w:keepLines w:val="0"/>
        <w:pageBreakBefore w:val="0"/>
        <w:widowControl w:val="0"/>
        <w:kinsoku/>
        <w:wordWrap/>
        <w:overflowPunct/>
        <w:topLinePunct w:val="0"/>
        <w:autoSpaceDE/>
        <w:autoSpaceDN/>
        <w:bidi w:val="0"/>
        <w:adjustRightInd/>
        <w:snapToGrid/>
        <w:spacing w:line="360" w:lineRule="auto"/>
        <w:ind w:left="410"/>
        <w:textAlignment w:val="auto"/>
        <w:rPr>
          <w:rFonts w:ascii="宋体" w:hAnsi="宋体" w:eastAsia="宋体" w:cs="宋体"/>
          <w:color w:val="auto"/>
          <w:spacing w:val="-2"/>
          <w:sz w:val="21"/>
          <w:szCs w:val="21"/>
        </w:rPr>
      </w:pPr>
      <w:r>
        <w:rPr>
          <w:rFonts w:ascii="宋体" w:hAnsi="宋体" w:eastAsia="宋体" w:cs="宋体"/>
          <w:color w:val="auto"/>
          <w:spacing w:val="-2"/>
          <w:sz w:val="21"/>
          <w:szCs w:val="21"/>
        </w:rPr>
        <w:t>(3)拟投入本项目的项目负责人需提供简历表。</w:t>
      </w:r>
    </w:p>
    <w:p w14:paraId="7EBFE982">
      <w:pPr>
        <w:keepNext w:val="0"/>
        <w:keepLines w:val="0"/>
        <w:pageBreakBefore w:val="0"/>
        <w:widowControl w:val="0"/>
        <w:kinsoku/>
        <w:wordWrap/>
        <w:overflowPunct/>
        <w:topLinePunct w:val="0"/>
        <w:autoSpaceDE/>
        <w:autoSpaceDN/>
        <w:bidi w:val="0"/>
        <w:adjustRightInd/>
        <w:snapToGrid/>
        <w:spacing w:line="360" w:lineRule="auto"/>
        <w:ind w:left="500"/>
        <w:textAlignment w:val="auto"/>
        <w:rPr>
          <w:rFonts w:ascii="宋体" w:hAnsi="宋体" w:eastAsia="宋体" w:cs="宋体"/>
          <w:color w:val="auto"/>
          <w:spacing w:val="3"/>
          <w:sz w:val="21"/>
          <w:szCs w:val="21"/>
        </w:rPr>
        <w:sectPr>
          <w:footerReference r:id="rId20" w:type="default"/>
          <w:pgSz w:w="11910" w:h="16840"/>
          <w:pgMar w:top="961" w:right="1029" w:bottom="901" w:left="979" w:header="653" w:footer="757" w:gutter="0"/>
          <w:pgNumType w:fmt="decimal"/>
          <w:cols w:space="720" w:num="1"/>
        </w:sectPr>
      </w:pPr>
    </w:p>
    <w:p w14:paraId="1B9B2292">
      <w:pPr>
        <w:spacing w:before="174" w:line="219" w:lineRule="auto"/>
        <w:ind w:left="2534"/>
        <w:rPr>
          <w:rFonts w:ascii="宋体" w:hAnsi="宋体" w:eastAsia="宋体" w:cs="宋体"/>
          <w:color w:val="auto"/>
          <w:sz w:val="29"/>
          <w:szCs w:val="29"/>
        </w:rPr>
      </w:pPr>
      <w:r>
        <w:rPr>
          <w:rFonts w:ascii="宋体" w:hAnsi="宋体" w:eastAsia="宋体" w:cs="宋体"/>
          <w:b/>
          <w:bCs/>
          <w:color w:val="auto"/>
          <w:spacing w:val="-8"/>
          <w:sz w:val="29"/>
          <w:szCs w:val="29"/>
        </w:rPr>
        <w:t>拟担任本项</w:t>
      </w:r>
      <w:r>
        <w:rPr>
          <w:rFonts w:ascii="宋体" w:hAnsi="宋体" w:eastAsia="宋体" w:cs="宋体"/>
          <w:color w:val="auto"/>
          <w:spacing w:val="-50"/>
          <w:sz w:val="29"/>
          <w:szCs w:val="29"/>
        </w:rPr>
        <w:t xml:space="preserve"> </w:t>
      </w:r>
      <w:r>
        <w:rPr>
          <w:rFonts w:ascii="宋体" w:hAnsi="宋体" w:eastAsia="宋体" w:cs="宋体"/>
          <w:b/>
          <w:bCs/>
          <w:color w:val="auto"/>
          <w:spacing w:val="-8"/>
          <w:sz w:val="29"/>
          <w:szCs w:val="29"/>
        </w:rPr>
        <w:t>目</w:t>
      </w:r>
      <w:r>
        <w:rPr>
          <w:rFonts w:ascii="宋体" w:hAnsi="宋体" w:eastAsia="宋体" w:cs="宋体"/>
          <w:b/>
          <w:bCs/>
          <w:color w:val="auto"/>
          <w:spacing w:val="-8"/>
          <w:sz w:val="29"/>
          <w:szCs w:val="29"/>
          <w:u w:val="single" w:color="auto"/>
        </w:rPr>
        <w:t>(</w:t>
      </w:r>
      <w:r>
        <w:rPr>
          <w:rFonts w:ascii="宋体" w:hAnsi="宋体" w:eastAsia="宋体" w:cs="宋体"/>
          <w:color w:val="auto"/>
          <w:spacing w:val="-40"/>
          <w:sz w:val="29"/>
          <w:szCs w:val="29"/>
          <w:u w:val="single" w:color="auto"/>
        </w:rPr>
        <w:t xml:space="preserve"> </w:t>
      </w:r>
      <w:r>
        <w:rPr>
          <w:rFonts w:ascii="宋体" w:hAnsi="宋体" w:eastAsia="宋体" w:cs="宋体"/>
          <w:b/>
          <w:bCs/>
          <w:color w:val="auto"/>
          <w:spacing w:val="-8"/>
          <w:sz w:val="29"/>
          <w:szCs w:val="29"/>
          <w:u w:val="single" w:color="auto"/>
        </w:rPr>
        <w:t>职</w:t>
      </w:r>
      <w:r>
        <w:rPr>
          <w:rFonts w:ascii="宋体" w:hAnsi="宋体" w:eastAsia="宋体" w:cs="宋体"/>
          <w:color w:val="auto"/>
          <w:spacing w:val="-40"/>
          <w:sz w:val="29"/>
          <w:szCs w:val="29"/>
          <w:u w:val="single" w:color="auto"/>
        </w:rPr>
        <w:t xml:space="preserve"> </w:t>
      </w:r>
      <w:r>
        <w:rPr>
          <w:rFonts w:ascii="宋体" w:hAnsi="宋体" w:eastAsia="宋体" w:cs="宋体"/>
          <w:b/>
          <w:bCs/>
          <w:color w:val="auto"/>
          <w:spacing w:val="-8"/>
          <w:sz w:val="29"/>
          <w:szCs w:val="29"/>
          <w:u w:val="single" w:color="auto"/>
        </w:rPr>
        <w:t>位</w:t>
      </w:r>
      <w:r>
        <w:rPr>
          <w:rFonts w:ascii="宋体" w:hAnsi="宋体" w:eastAsia="宋体" w:cs="宋体"/>
          <w:color w:val="auto"/>
          <w:spacing w:val="-36"/>
          <w:sz w:val="29"/>
          <w:szCs w:val="29"/>
          <w:u w:val="single" w:color="auto"/>
        </w:rPr>
        <w:t xml:space="preserve"> </w:t>
      </w:r>
      <w:r>
        <w:rPr>
          <w:rFonts w:ascii="宋体" w:hAnsi="宋体" w:eastAsia="宋体" w:cs="宋体"/>
          <w:b/>
          <w:bCs/>
          <w:color w:val="auto"/>
          <w:spacing w:val="-8"/>
          <w:sz w:val="29"/>
          <w:szCs w:val="29"/>
          <w:u w:val="single" w:color="auto"/>
        </w:rPr>
        <w:t>名</w:t>
      </w:r>
      <w:r>
        <w:rPr>
          <w:rFonts w:ascii="宋体" w:hAnsi="宋体" w:eastAsia="宋体" w:cs="宋体"/>
          <w:color w:val="auto"/>
          <w:spacing w:val="-42"/>
          <w:sz w:val="29"/>
          <w:szCs w:val="29"/>
          <w:u w:val="single" w:color="auto"/>
        </w:rPr>
        <w:t xml:space="preserve"> </w:t>
      </w:r>
      <w:r>
        <w:rPr>
          <w:rFonts w:ascii="宋体" w:hAnsi="宋体" w:eastAsia="宋体" w:cs="宋体"/>
          <w:b/>
          <w:bCs/>
          <w:color w:val="auto"/>
          <w:spacing w:val="-8"/>
          <w:sz w:val="29"/>
          <w:szCs w:val="29"/>
          <w:u w:val="single" w:color="auto"/>
        </w:rPr>
        <w:t>称</w:t>
      </w:r>
      <w:r>
        <w:rPr>
          <w:rFonts w:ascii="宋体" w:hAnsi="宋体" w:eastAsia="宋体" w:cs="宋体"/>
          <w:color w:val="auto"/>
          <w:spacing w:val="-39"/>
          <w:sz w:val="29"/>
          <w:szCs w:val="29"/>
          <w:u w:val="single" w:color="auto"/>
        </w:rPr>
        <w:t xml:space="preserve"> </w:t>
      </w:r>
      <w:r>
        <w:rPr>
          <w:rFonts w:ascii="宋体" w:hAnsi="宋体" w:eastAsia="宋体" w:cs="宋体"/>
          <w:b/>
          <w:bCs/>
          <w:color w:val="auto"/>
          <w:spacing w:val="-8"/>
          <w:sz w:val="29"/>
          <w:szCs w:val="29"/>
          <w:u w:val="single" w:color="auto"/>
        </w:rPr>
        <w:t>)</w:t>
      </w:r>
      <w:r>
        <w:rPr>
          <w:rFonts w:ascii="宋体" w:hAnsi="宋体" w:eastAsia="宋体" w:cs="宋体"/>
          <w:color w:val="auto"/>
          <w:spacing w:val="120"/>
          <w:sz w:val="29"/>
          <w:szCs w:val="29"/>
        </w:rPr>
        <w:t xml:space="preserve"> </w:t>
      </w:r>
      <w:r>
        <w:rPr>
          <w:rFonts w:ascii="宋体" w:hAnsi="宋体" w:eastAsia="宋体" w:cs="宋体"/>
          <w:b/>
          <w:bCs/>
          <w:color w:val="auto"/>
          <w:spacing w:val="-8"/>
          <w:sz w:val="29"/>
          <w:szCs w:val="29"/>
        </w:rPr>
        <w:t>人员简历表</w:t>
      </w:r>
    </w:p>
    <w:p w14:paraId="67607C96">
      <w:pPr>
        <w:spacing w:line="174" w:lineRule="exact"/>
        <w:rPr>
          <w:color w:val="auto"/>
        </w:rPr>
      </w:pPr>
    </w:p>
    <w:tbl>
      <w:tblPr>
        <w:tblStyle w:val="213"/>
        <w:tblW w:w="9279"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2078"/>
        <w:gridCol w:w="1548"/>
        <w:gridCol w:w="1069"/>
        <w:gridCol w:w="559"/>
        <w:gridCol w:w="369"/>
        <w:gridCol w:w="899"/>
        <w:gridCol w:w="1793"/>
      </w:tblGrid>
      <w:tr w14:paraId="12BE8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964" w:type="dxa"/>
            <w:vAlign w:val="top"/>
          </w:tcPr>
          <w:p w14:paraId="7EDE88C1">
            <w:pPr>
              <w:pStyle w:val="212"/>
              <w:spacing w:before="214" w:line="219" w:lineRule="auto"/>
              <w:ind w:left="254"/>
              <w:rPr>
                <w:color w:val="auto"/>
              </w:rPr>
            </w:pPr>
            <w:r>
              <w:rPr>
                <w:color w:val="auto"/>
                <w:spacing w:val="14"/>
              </w:rPr>
              <w:t>姓名</w:t>
            </w:r>
          </w:p>
        </w:tc>
        <w:tc>
          <w:tcPr>
            <w:tcW w:w="2078" w:type="dxa"/>
            <w:vAlign w:val="top"/>
          </w:tcPr>
          <w:p w14:paraId="358FCAD8">
            <w:pPr>
              <w:rPr>
                <w:rFonts w:ascii="Arial"/>
                <w:color w:val="auto"/>
                <w:sz w:val="21"/>
              </w:rPr>
            </w:pPr>
          </w:p>
        </w:tc>
        <w:tc>
          <w:tcPr>
            <w:tcW w:w="2617" w:type="dxa"/>
            <w:gridSpan w:val="2"/>
            <w:vAlign w:val="top"/>
          </w:tcPr>
          <w:p w14:paraId="27EF9DB1">
            <w:pPr>
              <w:pStyle w:val="212"/>
              <w:spacing w:before="214" w:line="220" w:lineRule="auto"/>
              <w:ind w:left="1082"/>
              <w:rPr>
                <w:color w:val="auto"/>
              </w:rPr>
            </w:pPr>
            <w:r>
              <w:rPr>
                <w:color w:val="auto"/>
                <w:spacing w:val="9"/>
              </w:rPr>
              <w:t>性别</w:t>
            </w:r>
          </w:p>
        </w:tc>
        <w:tc>
          <w:tcPr>
            <w:tcW w:w="559" w:type="dxa"/>
            <w:vAlign w:val="top"/>
          </w:tcPr>
          <w:p w14:paraId="0D0C7717">
            <w:pPr>
              <w:rPr>
                <w:rFonts w:ascii="Arial"/>
                <w:color w:val="auto"/>
                <w:sz w:val="21"/>
              </w:rPr>
            </w:pPr>
          </w:p>
        </w:tc>
        <w:tc>
          <w:tcPr>
            <w:tcW w:w="1268" w:type="dxa"/>
            <w:gridSpan w:val="2"/>
            <w:vAlign w:val="top"/>
          </w:tcPr>
          <w:p w14:paraId="1264D622">
            <w:pPr>
              <w:pStyle w:val="212"/>
              <w:spacing w:before="214" w:line="219" w:lineRule="auto"/>
              <w:ind w:left="406"/>
              <w:rPr>
                <w:color w:val="auto"/>
              </w:rPr>
            </w:pPr>
            <w:r>
              <w:rPr>
                <w:color w:val="auto"/>
                <w:spacing w:val="-3"/>
              </w:rPr>
              <w:t>年龄</w:t>
            </w:r>
          </w:p>
        </w:tc>
        <w:tc>
          <w:tcPr>
            <w:tcW w:w="1793" w:type="dxa"/>
            <w:vAlign w:val="top"/>
          </w:tcPr>
          <w:p w14:paraId="65BFE754">
            <w:pPr>
              <w:rPr>
                <w:rFonts w:ascii="Arial"/>
                <w:color w:val="auto"/>
                <w:sz w:val="21"/>
              </w:rPr>
            </w:pPr>
          </w:p>
        </w:tc>
      </w:tr>
      <w:tr w14:paraId="59ACC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64" w:type="dxa"/>
            <w:vAlign w:val="top"/>
          </w:tcPr>
          <w:p w14:paraId="0B94BEE9">
            <w:pPr>
              <w:pStyle w:val="212"/>
              <w:spacing w:before="200" w:line="219" w:lineRule="auto"/>
              <w:ind w:left="254"/>
              <w:rPr>
                <w:color w:val="auto"/>
              </w:rPr>
            </w:pPr>
            <w:r>
              <w:rPr>
                <w:color w:val="auto"/>
                <w:spacing w:val="-3"/>
              </w:rPr>
              <w:t>职务</w:t>
            </w:r>
          </w:p>
        </w:tc>
        <w:tc>
          <w:tcPr>
            <w:tcW w:w="2078" w:type="dxa"/>
            <w:vAlign w:val="top"/>
          </w:tcPr>
          <w:p w14:paraId="076B1863">
            <w:pPr>
              <w:rPr>
                <w:rFonts w:ascii="Arial"/>
                <w:color w:val="auto"/>
                <w:sz w:val="21"/>
              </w:rPr>
            </w:pPr>
          </w:p>
        </w:tc>
        <w:tc>
          <w:tcPr>
            <w:tcW w:w="2617" w:type="dxa"/>
            <w:gridSpan w:val="2"/>
            <w:vAlign w:val="top"/>
          </w:tcPr>
          <w:p w14:paraId="19EAA24A">
            <w:pPr>
              <w:pStyle w:val="212"/>
              <w:spacing w:before="200" w:line="219" w:lineRule="auto"/>
              <w:ind w:left="753"/>
              <w:rPr>
                <w:color w:val="auto"/>
              </w:rPr>
            </w:pPr>
            <w:r>
              <w:rPr>
                <w:color w:val="auto"/>
                <w:spacing w:val="2"/>
              </w:rPr>
              <w:t>资格或职称</w:t>
            </w:r>
          </w:p>
        </w:tc>
        <w:tc>
          <w:tcPr>
            <w:tcW w:w="559" w:type="dxa"/>
            <w:vAlign w:val="top"/>
          </w:tcPr>
          <w:p w14:paraId="5C528FFD">
            <w:pPr>
              <w:rPr>
                <w:rFonts w:ascii="Arial"/>
                <w:color w:val="auto"/>
                <w:sz w:val="21"/>
              </w:rPr>
            </w:pPr>
          </w:p>
        </w:tc>
        <w:tc>
          <w:tcPr>
            <w:tcW w:w="1268" w:type="dxa"/>
            <w:gridSpan w:val="2"/>
            <w:vAlign w:val="top"/>
          </w:tcPr>
          <w:p w14:paraId="321A06FC">
            <w:pPr>
              <w:pStyle w:val="212"/>
              <w:spacing w:before="201" w:line="221" w:lineRule="auto"/>
              <w:ind w:left="406"/>
              <w:rPr>
                <w:color w:val="auto"/>
              </w:rPr>
            </w:pPr>
            <w:r>
              <w:rPr>
                <w:color w:val="auto"/>
                <w:spacing w:val="7"/>
              </w:rPr>
              <w:t>学历</w:t>
            </w:r>
          </w:p>
        </w:tc>
        <w:tc>
          <w:tcPr>
            <w:tcW w:w="1793" w:type="dxa"/>
            <w:vAlign w:val="top"/>
          </w:tcPr>
          <w:p w14:paraId="6F14D3DA">
            <w:pPr>
              <w:rPr>
                <w:rFonts w:ascii="Arial"/>
                <w:color w:val="auto"/>
                <w:sz w:val="21"/>
              </w:rPr>
            </w:pPr>
          </w:p>
        </w:tc>
      </w:tr>
      <w:tr w14:paraId="1F24A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3042" w:type="dxa"/>
            <w:gridSpan w:val="2"/>
            <w:vAlign w:val="top"/>
          </w:tcPr>
          <w:p w14:paraId="714DC8D7">
            <w:pPr>
              <w:pStyle w:val="212"/>
              <w:spacing w:before="301" w:line="220" w:lineRule="auto"/>
              <w:ind w:left="854"/>
              <w:rPr>
                <w:color w:val="auto"/>
              </w:rPr>
            </w:pPr>
            <w:r>
              <w:rPr>
                <w:color w:val="auto"/>
                <w:spacing w:val="3"/>
              </w:rPr>
              <w:t>参加工作时间</w:t>
            </w:r>
          </w:p>
        </w:tc>
        <w:tc>
          <w:tcPr>
            <w:tcW w:w="2617" w:type="dxa"/>
            <w:gridSpan w:val="2"/>
            <w:vAlign w:val="top"/>
          </w:tcPr>
          <w:p w14:paraId="745CD1B0">
            <w:pPr>
              <w:rPr>
                <w:rFonts w:ascii="Arial"/>
                <w:color w:val="auto"/>
                <w:sz w:val="21"/>
              </w:rPr>
            </w:pPr>
          </w:p>
        </w:tc>
        <w:tc>
          <w:tcPr>
            <w:tcW w:w="1827" w:type="dxa"/>
            <w:gridSpan w:val="3"/>
            <w:vAlign w:val="top"/>
          </w:tcPr>
          <w:p w14:paraId="769F6EB7">
            <w:pPr>
              <w:pStyle w:val="212"/>
              <w:spacing w:before="41" w:line="322" w:lineRule="auto"/>
              <w:ind w:left="265" w:right="11" w:hanging="170"/>
              <w:rPr>
                <w:color w:val="auto"/>
              </w:rPr>
            </w:pPr>
            <w:r>
              <w:rPr>
                <w:color w:val="auto"/>
                <w:spacing w:val="-16"/>
              </w:rPr>
              <w:t>担任</w:t>
            </w:r>
            <w:r>
              <w:rPr>
                <w:color w:val="auto"/>
                <w:spacing w:val="-100"/>
              </w:rPr>
              <w:t xml:space="preserve"> </w:t>
            </w:r>
            <w:r>
              <w:rPr>
                <w:color w:val="auto"/>
                <w:spacing w:val="8"/>
                <w:u w:val="single" w:color="auto"/>
              </w:rPr>
              <w:t xml:space="preserve">       </w:t>
            </w:r>
            <w:r>
              <w:rPr>
                <w:color w:val="auto"/>
                <w:spacing w:val="-16"/>
                <w:u w:val="single" w:color="auto"/>
              </w:rPr>
              <w:t>(</w:t>
            </w:r>
            <w:r>
              <w:rPr>
                <w:color w:val="auto"/>
                <w:spacing w:val="-37"/>
                <w:u w:val="single" w:color="auto"/>
              </w:rPr>
              <w:t xml:space="preserve"> </w:t>
            </w:r>
            <w:r>
              <w:rPr>
                <w:color w:val="auto"/>
                <w:spacing w:val="-16"/>
                <w:u w:val="single" w:color="auto"/>
              </w:rPr>
              <w:t xml:space="preserve">职 </w:t>
            </w:r>
            <w:r>
              <w:rPr>
                <w:color w:val="auto"/>
              </w:rPr>
              <w:t xml:space="preserve"> </w:t>
            </w:r>
            <w:r>
              <w:rPr>
                <w:color w:val="auto"/>
                <w:spacing w:val="2"/>
                <w:u w:val="single" w:color="auto"/>
              </w:rPr>
              <w:t>位名称)</w:t>
            </w:r>
            <w:r>
              <w:rPr>
                <w:color w:val="auto"/>
                <w:spacing w:val="2"/>
              </w:rPr>
              <w:t>年限</w:t>
            </w:r>
          </w:p>
        </w:tc>
        <w:tc>
          <w:tcPr>
            <w:tcW w:w="1793" w:type="dxa"/>
            <w:vAlign w:val="top"/>
          </w:tcPr>
          <w:p w14:paraId="11619DA3">
            <w:pPr>
              <w:rPr>
                <w:rFonts w:ascii="Arial"/>
                <w:color w:val="auto"/>
                <w:sz w:val="21"/>
              </w:rPr>
            </w:pPr>
          </w:p>
        </w:tc>
      </w:tr>
      <w:tr w14:paraId="6232B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3042" w:type="dxa"/>
            <w:gridSpan w:val="2"/>
            <w:vAlign w:val="top"/>
          </w:tcPr>
          <w:p w14:paraId="7F9C4794">
            <w:pPr>
              <w:pStyle w:val="212"/>
              <w:spacing w:before="210" w:line="219" w:lineRule="auto"/>
              <w:ind w:left="854"/>
              <w:rPr>
                <w:color w:val="auto"/>
              </w:rPr>
            </w:pPr>
            <w:r>
              <w:rPr>
                <w:color w:val="auto"/>
                <w:spacing w:val="2"/>
              </w:rPr>
              <w:t>资格证书编号</w:t>
            </w:r>
          </w:p>
        </w:tc>
        <w:tc>
          <w:tcPr>
            <w:tcW w:w="3176" w:type="dxa"/>
            <w:gridSpan w:val="3"/>
            <w:vAlign w:val="top"/>
          </w:tcPr>
          <w:p w14:paraId="2C873F7A">
            <w:pPr>
              <w:rPr>
                <w:rFonts w:ascii="Arial"/>
                <w:color w:val="auto"/>
                <w:sz w:val="21"/>
              </w:rPr>
            </w:pPr>
          </w:p>
        </w:tc>
        <w:tc>
          <w:tcPr>
            <w:tcW w:w="1268" w:type="dxa"/>
            <w:gridSpan w:val="2"/>
            <w:vAlign w:val="top"/>
          </w:tcPr>
          <w:p w14:paraId="4626F079">
            <w:pPr>
              <w:pStyle w:val="212"/>
              <w:spacing w:before="215" w:line="221" w:lineRule="auto"/>
              <w:ind w:left="186"/>
              <w:rPr>
                <w:color w:val="auto"/>
              </w:rPr>
            </w:pPr>
            <w:r>
              <w:rPr>
                <w:color w:val="auto"/>
                <w:spacing w:val="-2"/>
              </w:rPr>
              <w:t>联系电话</w:t>
            </w:r>
          </w:p>
        </w:tc>
        <w:tc>
          <w:tcPr>
            <w:tcW w:w="1793" w:type="dxa"/>
            <w:vAlign w:val="top"/>
          </w:tcPr>
          <w:p w14:paraId="7D57D983">
            <w:pPr>
              <w:rPr>
                <w:rFonts w:ascii="Arial"/>
                <w:color w:val="auto"/>
                <w:sz w:val="21"/>
              </w:rPr>
            </w:pPr>
          </w:p>
        </w:tc>
      </w:tr>
      <w:tr w14:paraId="1AAAA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279" w:type="dxa"/>
            <w:gridSpan w:val="8"/>
            <w:vAlign w:val="top"/>
          </w:tcPr>
          <w:p w14:paraId="43BCCBEE">
            <w:pPr>
              <w:pStyle w:val="212"/>
              <w:spacing w:before="203" w:line="219" w:lineRule="auto"/>
              <w:ind w:left="3304"/>
              <w:rPr>
                <w:color w:val="auto"/>
              </w:rPr>
            </w:pPr>
            <w:r>
              <w:rPr>
                <w:color w:val="auto"/>
              </w:rPr>
              <w:t>目前在任及以往服务项目情况</w:t>
            </w:r>
          </w:p>
        </w:tc>
      </w:tr>
      <w:tr w14:paraId="3F0B7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3042" w:type="dxa"/>
            <w:gridSpan w:val="2"/>
            <w:vAlign w:val="top"/>
          </w:tcPr>
          <w:p w14:paraId="7B47A9BE">
            <w:pPr>
              <w:pStyle w:val="212"/>
              <w:spacing w:before="43" w:line="321" w:lineRule="auto"/>
              <w:ind w:left="84" w:right="95" w:firstLine="110"/>
              <w:rPr>
                <w:color w:val="auto"/>
              </w:rPr>
            </w:pPr>
            <w:r>
              <w:rPr>
                <w:color w:val="auto"/>
              </w:rPr>
              <w:t>负责过商务办公楼或写字楼</w:t>
            </w:r>
            <w:r>
              <w:rPr>
                <w:color w:val="auto"/>
                <w:spacing w:val="4"/>
              </w:rPr>
              <w:t xml:space="preserve">  </w:t>
            </w:r>
            <w:r>
              <w:rPr>
                <w:color w:val="auto"/>
                <w:spacing w:val="-1"/>
              </w:rPr>
              <w:t>物业管理服务项目的项目名称</w:t>
            </w:r>
          </w:p>
        </w:tc>
        <w:tc>
          <w:tcPr>
            <w:tcW w:w="1548" w:type="dxa"/>
            <w:vAlign w:val="top"/>
          </w:tcPr>
          <w:p w14:paraId="153E3A7C">
            <w:pPr>
              <w:pStyle w:val="212"/>
              <w:spacing w:before="304" w:line="219" w:lineRule="auto"/>
              <w:ind w:left="142"/>
              <w:rPr>
                <w:color w:val="auto"/>
              </w:rPr>
            </w:pPr>
            <w:r>
              <w:rPr>
                <w:color w:val="auto"/>
                <w:spacing w:val="2"/>
              </w:rPr>
              <w:t>项目物业类型</w:t>
            </w:r>
          </w:p>
        </w:tc>
        <w:tc>
          <w:tcPr>
            <w:tcW w:w="1069" w:type="dxa"/>
            <w:vAlign w:val="top"/>
          </w:tcPr>
          <w:p w14:paraId="698C6D4C">
            <w:pPr>
              <w:pStyle w:val="212"/>
              <w:spacing w:before="304" w:line="219" w:lineRule="auto"/>
              <w:ind w:left="104"/>
              <w:rPr>
                <w:color w:val="auto"/>
              </w:rPr>
            </w:pPr>
            <w:r>
              <w:rPr>
                <w:color w:val="auto"/>
                <w:spacing w:val="-2"/>
              </w:rPr>
              <w:t>服务内容</w:t>
            </w:r>
          </w:p>
        </w:tc>
        <w:tc>
          <w:tcPr>
            <w:tcW w:w="928" w:type="dxa"/>
            <w:gridSpan w:val="2"/>
            <w:vAlign w:val="top"/>
          </w:tcPr>
          <w:p w14:paraId="13D34547">
            <w:pPr>
              <w:pStyle w:val="212"/>
              <w:spacing w:before="24" w:line="220" w:lineRule="auto"/>
              <w:ind w:left="125"/>
              <w:rPr>
                <w:color w:val="auto"/>
              </w:rPr>
            </w:pPr>
            <w:r>
              <w:rPr>
                <w:color w:val="auto"/>
                <w:spacing w:val="3"/>
              </w:rPr>
              <w:t>项目建</w:t>
            </w:r>
          </w:p>
          <w:p w14:paraId="2A4A25BB">
            <w:pPr>
              <w:pStyle w:val="212"/>
              <w:spacing w:before="157" w:line="220" w:lineRule="auto"/>
              <w:ind w:left="125"/>
              <w:rPr>
                <w:color w:val="auto"/>
              </w:rPr>
            </w:pPr>
            <w:r>
              <w:rPr>
                <w:color w:val="auto"/>
                <w:spacing w:val="4"/>
              </w:rPr>
              <w:t>筑面积</w:t>
            </w:r>
          </w:p>
        </w:tc>
        <w:tc>
          <w:tcPr>
            <w:tcW w:w="899" w:type="dxa"/>
            <w:vAlign w:val="top"/>
          </w:tcPr>
          <w:p w14:paraId="3577BF95">
            <w:pPr>
              <w:pStyle w:val="212"/>
              <w:spacing w:before="34" w:line="220" w:lineRule="auto"/>
              <w:ind w:left="117"/>
              <w:rPr>
                <w:color w:val="auto"/>
              </w:rPr>
            </w:pPr>
            <w:r>
              <w:rPr>
                <w:color w:val="auto"/>
                <w:spacing w:val="3"/>
              </w:rPr>
              <w:t>项目建</w:t>
            </w:r>
          </w:p>
          <w:p w14:paraId="62FE3241">
            <w:pPr>
              <w:pStyle w:val="212"/>
              <w:spacing w:before="147" w:line="219" w:lineRule="auto"/>
              <w:ind w:left="117"/>
              <w:rPr>
                <w:color w:val="auto"/>
              </w:rPr>
            </w:pPr>
            <w:r>
              <w:rPr>
                <w:color w:val="auto"/>
                <w:spacing w:val="-3"/>
              </w:rPr>
              <w:t>筑层数</w:t>
            </w:r>
          </w:p>
        </w:tc>
        <w:tc>
          <w:tcPr>
            <w:tcW w:w="1793" w:type="dxa"/>
            <w:vAlign w:val="top"/>
          </w:tcPr>
          <w:p w14:paraId="03006A51">
            <w:pPr>
              <w:pStyle w:val="212"/>
              <w:spacing w:before="34" w:line="325" w:lineRule="auto"/>
              <w:ind w:left="119" w:right="102"/>
              <w:rPr>
                <w:color w:val="auto"/>
              </w:rPr>
            </w:pPr>
            <w:r>
              <w:rPr>
                <w:color w:val="auto"/>
                <w:spacing w:val="-2"/>
              </w:rPr>
              <w:t>在该项目中任职</w:t>
            </w:r>
            <w:r>
              <w:rPr>
                <w:color w:val="auto"/>
                <w:spacing w:val="5"/>
              </w:rPr>
              <w:t xml:space="preserve"> </w:t>
            </w:r>
            <w:r>
              <w:rPr>
                <w:color w:val="auto"/>
                <w:spacing w:val="3"/>
              </w:rPr>
              <w:t>职务及履职时间</w:t>
            </w:r>
          </w:p>
        </w:tc>
      </w:tr>
      <w:tr w14:paraId="794FD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3042" w:type="dxa"/>
            <w:gridSpan w:val="2"/>
            <w:vAlign w:val="top"/>
          </w:tcPr>
          <w:p w14:paraId="7991C540">
            <w:pPr>
              <w:rPr>
                <w:rFonts w:ascii="Arial"/>
                <w:color w:val="auto"/>
                <w:sz w:val="21"/>
              </w:rPr>
            </w:pPr>
          </w:p>
        </w:tc>
        <w:tc>
          <w:tcPr>
            <w:tcW w:w="1548" w:type="dxa"/>
            <w:vAlign w:val="top"/>
          </w:tcPr>
          <w:p w14:paraId="08AAC763">
            <w:pPr>
              <w:rPr>
                <w:rFonts w:ascii="Arial"/>
                <w:color w:val="auto"/>
                <w:sz w:val="21"/>
              </w:rPr>
            </w:pPr>
          </w:p>
        </w:tc>
        <w:tc>
          <w:tcPr>
            <w:tcW w:w="1069" w:type="dxa"/>
            <w:vAlign w:val="top"/>
          </w:tcPr>
          <w:p w14:paraId="6B446C31">
            <w:pPr>
              <w:rPr>
                <w:rFonts w:ascii="Arial"/>
                <w:color w:val="auto"/>
                <w:sz w:val="21"/>
              </w:rPr>
            </w:pPr>
          </w:p>
        </w:tc>
        <w:tc>
          <w:tcPr>
            <w:tcW w:w="928" w:type="dxa"/>
            <w:gridSpan w:val="2"/>
            <w:vAlign w:val="top"/>
          </w:tcPr>
          <w:p w14:paraId="5611F1DC">
            <w:pPr>
              <w:rPr>
                <w:rFonts w:ascii="Arial"/>
                <w:color w:val="auto"/>
                <w:sz w:val="21"/>
              </w:rPr>
            </w:pPr>
          </w:p>
        </w:tc>
        <w:tc>
          <w:tcPr>
            <w:tcW w:w="899" w:type="dxa"/>
            <w:vAlign w:val="top"/>
          </w:tcPr>
          <w:p w14:paraId="2FE00F30">
            <w:pPr>
              <w:rPr>
                <w:rFonts w:ascii="Arial"/>
                <w:color w:val="auto"/>
                <w:sz w:val="21"/>
              </w:rPr>
            </w:pPr>
          </w:p>
        </w:tc>
        <w:tc>
          <w:tcPr>
            <w:tcW w:w="1793" w:type="dxa"/>
            <w:vAlign w:val="top"/>
          </w:tcPr>
          <w:p w14:paraId="5B754132">
            <w:pPr>
              <w:rPr>
                <w:rFonts w:ascii="Arial"/>
                <w:color w:val="auto"/>
                <w:sz w:val="21"/>
              </w:rPr>
            </w:pPr>
          </w:p>
        </w:tc>
      </w:tr>
      <w:tr w14:paraId="52087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042" w:type="dxa"/>
            <w:gridSpan w:val="2"/>
            <w:vAlign w:val="top"/>
          </w:tcPr>
          <w:p w14:paraId="1C143071">
            <w:pPr>
              <w:rPr>
                <w:rFonts w:ascii="Arial"/>
                <w:color w:val="auto"/>
                <w:sz w:val="21"/>
              </w:rPr>
            </w:pPr>
          </w:p>
        </w:tc>
        <w:tc>
          <w:tcPr>
            <w:tcW w:w="1548" w:type="dxa"/>
            <w:vAlign w:val="top"/>
          </w:tcPr>
          <w:p w14:paraId="5BF2571A">
            <w:pPr>
              <w:rPr>
                <w:rFonts w:ascii="Arial"/>
                <w:color w:val="auto"/>
                <w:sz w:val="21"/>
              </w:rPr>
            </w:pPr>
          </w:p>
        </w:tc>
        <w:tc>
          <w:tcPr>
            <w:tcW w:w="1069" w:type="dxa"/>
            <w:vAlign w:val="top"/>
          </w:tcPr>
          <w:p w14:paraId="0B07DC57">
            <w:pPr>
              <w:rPr>
                <w:rFonts w:ascii="Arial"/>
                <w:color w:val="auto"/>
                <w:sz w:val="21"/>
              </w:rPr>
            </w:pPr>
          </w:p>
        </w:tc>
        <w:tc>
          <w:tcPr>
            <w:tcW w:w="928" w:type="dxa"/>
            <w:gridSpan w:val="2"/>
            <w:vAlign w:val="top"/>
          </w:tcPr>
          <w:p w14:paraId="77C825D8">
            <w:pPr>
              <w:rPr>
                <w:rFonts w:ascii="Arial"/>
                <w:color w:val="auto"/>
                <w:sz w:val="21"/>
              </w:rPr>
            </w:pPr>
          </w:p>
        </w:tc>
        <w:tc>
          <w:tcPr>
            <w:tcW w:w="899" w:type="dxa"/>
            <w:vAlign w:val="top"/>
          </w:tcPr>
          <w:p w14:paraId="2D7029BA">
            <w:pPr>
              <w:rPr>
                <w:rFonts w:ascii="Arial"/>
                <w:color w:val="auto"/>
                <w:sz w:val="21"/>
              </w:rPr>
            </w:pPr>
          </w:p>
        </w:tc>
        <w:tc>
          <w:tcPr>
            <w:tcW w:w="1793" w:type="dxa"/>
            <w:vAlign w:val="top"/>
          </w:tcPr>
          <w:p w14:paraId="35279AC3">
            <w:pPr>
              <w:rPr>
                <w:rFonts w:ascii="Arial"/>
                <w:color w:val="auto"/>
                <w:sz w:val="21"/>
              </w:rPr>
            </w:pPr>
          </w:p>
        </w:tc>
      </w:tr>
    </w:tbl>
    <w:p w14:paraId="56CB9FAE">
      <w:pPr>
        <w:rPr>
          <w:color w:val="auto"/>
        </w:rPr>
      </w:pPr>
    </w:p>
    <w:p w14:paraId="7ECDF813">
      <w:pPr>
        <w:keepNext w:val="0"/>
        <w:keepLines w:val="0"/>
        <w:pageBreakBefore w:val="0"/>
        <w:widowControl w:val="0"/>
        <w:kinsoku/>
        <w:wordWrap/>
        <w:overflowPunct/>
        <w:topLinePunct w:val="0"/>
        <w:autoSpaceDE/>
        <w:autoSpaceDN/>
        <w:bidi w:val="0"/>
        <w:adjustRightInd/>
        <w:snapToGrid/>
        <w:spacing w:line="360" w:lineRule="auto"/>
        <w:ind w:left="410"/>
        <w:textAlignment w:val="auto"/>
        <w:rPr>
          <w:rFonts w:ascii="宋体" w:hAnsi="宋体" w:eastAsia="宋体" w:cs="宋体"/>
          <w:color w:val="auto"/>
          <w:spacing w:val="-2"/>
          <w:sz w:val="21"/>
          <w:szCs w:val="21"/>
        </w:rPr>
      </w:pPr>
      <w:r>
        <w:rPr>
          <w:rFonts w:ascii="宋体" w:hAnsi="宋体" w:eastAsia="宋体" w:cs="宋体"/>
          <w:color w:val="auto"/>
          <w:spacing w:val="-2"/>
          <w:sz w:val="21"/>
          <w:szCs w:val="21"/>
        </w:rPr>
        <w:t>备注：</w:t>
      </w:r>
    </w:p>
    <w:p w14:paraId="7DE344FE">
      <w:pPr>
        <w:keepNext w:val="0"/>
        <w:keepLines w:val="0"/>
        <w:pageBreakBefore w:val="0"/>
        <w:widowControl w:val="0"/>
        <w:kinsoku/>
        <w:wordWrap/>
        <w:overflowPunct/>
        <w:topLinePunct w:val="0"/>
        <w:autoSpaceDE/>
        <w:autoSpaceDN/>
        <w:bidi w:val="0"/>
        <w:adjustRightInd/>
        <w:snapToGrid/>
        <w:spacing w:line="360" w:lineRule="auto"/>
        <w:ind w:left="410"/>
        <w:textAlignment w:val="auto"/>
        <w:rPr>
          <w:rFonts w:ascii="宋体" w:hAnsi="宋体" w:eastAsia="宋体" w:cs="宋体"/>
          <w:color w:val="auto"/>
          <w:spacing w:val="-2"/>
          <w:sz w:val="21"/>
          <w:szCs w:val="21"/>
        </w:rPr>
      </w:pPr>
      <w:r>
        <w:rPr>
          <w:rFonts w:ascii="宋体" w:hAnsi="宋体" w:eastAsia="宋体" w:cs="宋体"/>
          <w:color w:val="auto"/>
          <w:spacing w:val="-2"/>
          <w:sz w:val="21"/>
          <w:szCs w:val="21"/>
        </w:rPr>
        <w:t>(1)拟投入本项目的项目负责人需提供简历表。</w:t>
      </w:r>
    </w:p>
    <w:p w14:paraId="61298CA6">
      <w:pPr>
        <w:keepNext w:val="0"/>
        <w:keepLines w:val="0"/>
        <w:pageBreakBefore w:val="0"/>
        <w:widowControl w:val="0"/>
        <w:kinsoku/>
        <w:wordWrap/>
        <w:overflowPunct/>
        <w:topLinePunct w:val="0"/>
        <w:autoSpaceDE/>
        <w:autoSpaceDN/>
        <w:bidi w:val="0"/>
        <w:adjustRightInd/>
        <w:snapToGrid/>
        <w:spacing w:line="360" w:lineRule="auto"/>
        <w:ind w:left="410"/>
        <w:textAlignment w:val="auto"/>
        <w:rPr>
          <w:rFonts w:ascii="宋体" w:hAnsi="宋体" w:eastAsia="宋体" w:cs="宋体"/>
          <w:color w:val="auto"/>
          <w:spacing w:val="-2"/>
          <w:sz w:val="21"/>
          <w:szCs w:val="21"/>
        </w:rPr>
      </w:pPr>
      <w:r>
        <w:rPr>
          <w:rFonts w:ascii="宋体" w:hAnsi="宋体" w:eastAsia="宋体" w:cs="宋体"/>
          <w:color w:val="auto"/>
          <w:spacing w:val="-2"/>
          <w:sz w:val="21"/>
          <w:szCs w:val="21"/>
        </w:rPr>
        <w:t>(2)须附有身份证、劳动合同的</w:t>
      </w:r>
      <w:r>
        <w:rPr>
          <w:rFonts w:hint="eastAsia" w:ascii="宋体" w:hAnsi="宋体" w:eastAsia="宋体" w:cs="宋体"/>
          <w:color w:val="auto"/>
          <w:spacing w:val="-2"/>
          <w:sz w:val="21"/>
          <w:szCs w:val="21"/>
          <w:lang w:eastAsia="zh-CN"/>
        </w:rPr>
        <w:t>扫描件</w:t>
      </w:r>
      <w:r>
        <w:rPr>
          <w:rFonts w:ascii="宋体" w:hAnsi="宋体" w:eastAsia="宋体" w:cs="宋体"/>
          <w:color w:val="auto"/>
          <w:spacing w:val="-2"/>
          <w:sz w:val="21"/>
          <w:szCs w:val="21"/>
        </w:rPr>
        <w:t>、资格证书[学历证书/职称证/执业/职业资格证]以及人力资源 和社会保障部门(或税务部门)出具的</w:t>
      </w:r>
      <w:r>
        <w:rPr>
          <w:rFonts w:hint="eastAsia" w:ascii="宋体" w:hAnsi="宋体" w:eastAsia="宋体" w:cs="宋体"/>
          <w:color w:val="auto"/>
          <w:spacing w:val="-2"/>
          <w:sz w:val="21"/>
          <w:szCs w:val="21"/>
        </w:rPr>
        <w:t>投标人（2025年</w:t>
      </w:r>
      <w:r>
        <w:rPr>
          <w:rFonts w:hint="eastAsia" w:ascii="宋体" w:hAnsi="宋体" w:eastAsia="宋体" w:cs="宋体"/>
          <w:color w:val="auto"/>
          <w:spacing w:val="-2"/>
          <w:sz w:val="21"/>
          <w:szCs w:val="21"/>
          <w:lang w:val="en-US" w:eastAsia="zh-CN"/>
        </w:rPr>
        <w:t>5</w:t>
      </w:r>
      <w:r>
        <w:rPr>
          <w:rFonts w:hint="eastAsia" w:ascii="宋体" w:hAnsi="宋体" w:eastAsia="宋体" w:cs="宋体"/>
          <w:color w:val="auto"/>
          <w:spacing w:val="-2"/>
          <w:sz w:val="21"/>
          <w:szCs w:val="21"/>
        </w:rPr>
        <w:t>月、2025年</w:t>
      </w:r>
      <w:r>
        <w:rPr>
          <w:rFonts w:hint="eastAsia" w:ascii="宋体" w:hAnsi="宋体" w:eastAsia="宋体" w:cs="宋体"/>
          <w:color w:val="auto"/>
          <w:spacing w:val="-2"/>
          <w:sz w:val="21"/>
          <w:szCs w:val="21"/>
          <w:lang w:val="en-US" w:eastAsia="zh-CN"/>
        </w:rPr>
        <w:t>6</w:t>
      </w:r>
      <w:r>
        <w:rPr>
          <w:rFonts w:hint="eastAsia" w:ascii="宋体" w:hAnsi="宋体" w:eastAsia="宋体" w:cs="宋体"/>
          <w:color w:val="auto"/>
          <w:spacing w:val="-2"/>
          <w:sz w:val="21"/>
          <w:szCs w:val="21"/>
        </w:rPr>
        <w:t>月、2025年</w:t>
      </w:r>
      <w:r>
        <w:rPr>
          <w:rFonts w:hint="eastAsia" w:ascii="宋体" w:hAnsi="宋体" w:eastAsia="宋体" w:cs="宋体"/>
          <w:color w:val="auto"/>
          <w:spacing w:val="-2"/>
          <w:sz w:val="21"/>
          <w:szCs w:val="21"/>
          <w:lang w:val="en-US" w:eastAsia="zh-CN"/>
        </w:rPr>
        <w:t>7</w:t>
      </w:r>
      <w:r>
        <w:rPr>
          <w:rFonts w:hint="eastAsia" w:ascii="宋体" w:hAnsi="宋体" w:eastAsia="宋体" w:cs="宋体"/>
          <w:color w:val="auto"/>
          <w:spacing w:val="-2"/>
          <w:sz w:val="21"/>
          <w:szCs w:val="21"/>
        </w:rPr>
        <w:t>月、2025年</w:t>
      </w:r>
      <w:r>
        <w:rPr>
          <w:rFonts w:hint="eastAsia" w:ascii="宋体" w:hAnsi="宋体" w:eastAsia="宋体" w:cs="宋体"/>
          <w:color w:val="auto"/>
          <w:spacing w:val="-2"/>
          <w:sz w:val="21"/>
          <w:szCs w:val="21"/>
          <w:lang w:val="en-US" w:eastAsia="zh-CN"/>
        </w:rPr>
        <w:t>8</w:t>
      </w:r>
      <w:r>
        <w:rPr>
          <w:rFonts w:hint="eastAsia" w:ascii="宋体" w:hAnsi="宋体" w:eastAsia="宋体" w:cs="宋体"/>
          <w:color w:val="auto"/>
          <w:spacing w:val="-2"/>
          <w:sz w:val="21"/>
          <w:szCs w:val="21"/>
        </w:rPr>
        <w:t>月、2025年</w:t>
      </w:r>
      <w:r>
        <w:rPr>
          <w:rFonts w:hint="eastAsia" w:ascii="宋体" w:hAnsi="宋体" w:eastAsia="宋体" w:cs="宋体"/>
          <w:color w:val="auto"/>
          <w:spacing w:val="-2"/>
          <w:sz w:val="21"/>
          <w:szCs w:val="21"/>
          <w:lang w:val="en-US" w:eastAsia="zh-CN"/>
        </w:rPr>
        <w:t>9</w:t>
      </w:r>
      <w:r>
        <w:rPr>
          <w:rFonts w:hint="eastAsia" w:ascii="宋体" w:hAnsi="宋体" w:eastAsia="宋体" w:cs="宋体"/>
          <w:color w:val="auto"/>
          <w:spacing w:val="-2"/>
          <w:sz w:val="21"/>
          <w:szCs w:val="21"/>
        </w:rPr>
        <w:t>月、2025年</w:t>
      </w:r>
      <w:r>
        <w:rPr>
          <w:rFonts w:hint="eastAsia" w:ascii="宋体" w:hAnsi="宋体" w:eastAsia="宋体" w:cs="宋体"/>
          <w:color w:val="auto"/>
          <w:spacing w:val="-2"/>
          <w:sz w:val="21"/>
          <w:szCs w:val="21"/>
          <w:lang w:val="en-US" w:eastAsia="zh-CN"/>
        </w:rPr>
        <w:t>10</w:t>
      </w:r>
      <w:r>
        <w:rPr>
          <w:rFonts w:hint="eastAsia" w:ascii="宋体" w:hAnsi="宋体" w:eastAsia="宋体" w:cs="宋体"/>
          <w:color w:val="auto"/>
          <w:spacing w:val="-2"/>
          <w:sz w:val="21"/>
          <w:szCs w:val="21"/>
        </w:rPr>
        <w:t>月）连续6个月</w:t>
      </w:r>
      <w:r>
        <w:rPr>
          <w:rFonts w:ascii="宋体" w:hAnsi="宋体" w:eastAsia="宋体" w:cs="宋体"/>
          <w:color w:val="auto"/>
          <w:spacing w:val="-2"/>
          <w:sz w:val="21"/>
          <w:szCs w:val="21"/>
        </w:rPr>
        <w:t>为其缴纳的社保证明</w:t>
      </w:r>
      <w:r>
        <w:rPr>
          <w:rFonts w:hint="eastAsia" w:ascii="宋体" w:hAnsi="宋体" w:eastAsia="宋体" w:cs="宋体"/>
          <w:color w:val="auto"/>
          <w:spacing w:val="-2"/>
          <w:sz w:val="21"/>
          <w:szCs w:val="21"/>
          <w:lang w:eastAsia="zh-CN"/>
        </w:rPr>
        <w:t>扫描件</w:t>
      </w:r>
      <w:r>
        <w:rPr>
          <w:rFonts w:ascii="宋体" w:hAnsi="宋体" w:eastAsia="宋体" w:cs="宋体"/>
          <w:color w:val="auto"/>
          <w:spacing w:val="-2"/>
          <w:sz w:val="21"/>
          <w:szCs w:val="21"/>
        </w:rPr>
        <w:t>。</w:t>
      </w:r>
    </w:p>
    <w:p w14:paraId="6F0FC151">
      <w:pPr>
        <w:keepNext w:val="0"/>
        <w:keepLines w:val="0"/>
        <w:pageBreakBefore w:val="0"/>
        <w:widowControl w:val="0"/>
        <w:kinsoku/>
        <w:wordWrap/>
        <w:overflowPunct/>
        <w:topLinePunct w:val="0"/>
        <w:autoSpaceDE/>
        <w:autoSpaceDN/>
        <w:bidi w:val="0"/>
        <w:adjustRightInd/>
        <w:snapToGrid/>
        <w:spacing w:line="360" w:lineRule="auto"/>
        <w:ind w:left="410"/>
        <w:textAlignment w:val="auto"/>
        <w:rPr>
          <w:rFonts w:ascii="宋体" w:hAnsi="宋体" w:eastAsia="宋体" w:cs="宋体"/>
          <w:color w:val="auto"/>
          <w:spacing w:val="-2"/>
          <w:sz w:val="21"/>
          <w:szCs w:val="21"/>
        </w:rPr>
      </w:pPr>
      <w:r>
        <w:rPr>
          <w:rFonts w:ascii="宋体" w:hAnsi="宋体" w:eastAsia="宋体" w:cs="宋体"/>
          <w:color w:val="auto"/>
          <w:spacing w:val="-2"/>
          <w:sz w:val="21"/>
          <w:szCs w:val="21"/>
        </w:rPr>
        <w:t>(3)对应本项目评分标准，</w:t>
      </w:r>
      <w:r>
        <w:rPr>
          <w:rFonts w:hint="eastAsia" w:ascii="宋体" w:hAnsi="宋体" w:eastAsia="宋体" w:cs="宋体"/>
          <w:color w:val="auto"/>
          <w:spacing w:val="-2"/>
          <w:sz w:val="21"/>
          <w:szCs w:val="21"/>
        </w:rPr>
        <w:t>项目负责人业绩证明材料需提供合同扫描件，单项合同服务期限要求大于或等于一年，小于一年的业绩合同在评标时将不予考虑；合同中应体现项目相关评审信息（合同签订日期、合同期限、物业类型、建筑面积平方数、建筑层数）和项目负责人，合同服务内容必须为物业管理服务且同时包含保洁（或清洁或环境卫生）及保安（或安保或秩序维护）服务，若不能体现还应提供发包人（业主）出具的书面文件扫描件（需加盖服务发包人公章，即扫描件能显示服务发包人公章）或发包人（业主）加盖公章反映条件的招标文件扫描件或政府部门出具的相关证明材料</w:t>
      </w:r>
      <w:r>
        <w:rPr>
          <w:rFonts w:ascii="宋体" w:hAnsi="宋体" w:eastAsia="宋体" w:cs="宋体"/>
          <w:color w:val="auto"/>
          <w:spacing w:val="-2"/>
          <w:sz w:val="21"/>
          <w:szCs w:val="21"/>
        </w:rPr>
        <w:t>。</w:t>
      </w:r>
    </w:p>
    <w:p w14:paraId="6A49AE9C">
      <w:pPr>
        <w:keepNext w:val="0"/>
        <w:keepLines w:val="0"/>
        <w:pageBreakBefore w:val="0"/>
        <w:widowControl w:val="0"/>
        <w:kinsoku/>
        <w:wordWrap/>
        <w:overflowPunct/>
        <w:topLinePunct w:val="0"/>
        <w:autoSpaceDE/>
        <w:autoSpaceDN/>
        <w:bidi w:val="0"/>
        <w:adjustRightInd/>
        <w:snapToGrid/>
        <w:spacing w:line="360" w:lineRule="auto"/>
        <w:ind w:left="410"/>
        <w:textAlignment w:val="auto"/>
        <w:rPr>
          <w:rFonts w:ascii="宋体" w:hAnsi="宋体" w:eastAsia="宋体" w:cs="宋体"/>
          <w:color w:val="auto"/>
          <w:spacing w:val="-2"/>
          <w:sz w:val="21"/>
          <w:szCs w:val="21"/>
        </w:rPr>
      </w:pPr>
      <w:r>
        <w:rPr>
          <w:rFonts w:ascii="宋体" w:hAnsi="宋体" w:eastAsia="宋体" w:cs="宋体"/>
          <w:color w:val="auto"/>
          <w:spacing w:val="-2"/>
          <w:sz w:val="21"/>
          <w:szCs w:val="21"/>
        </w:rPr>
        <w:t>(4)对应本项目评分标准，项目负责人业绩的物业类型须为商务办公楼或写字楼，不包括住宅小区、公寓、公园、工业园区、车站、机场、学校、医院项目，否则不得分。</w:t>
      </w:r>
    </w:p>
    <w:p w14:paraId="2CCCAACC">
      <w:pPr>
        <w:rPr>
          <w:color w:val="auto"/>
        </w:rPr>
      </w:pPr>
    </w:p>
    <w:p w14:paraId="51173F8F">
      <w:pPr>
        <w:spacing w:before="66" w:line="219" w:lineRule="auto"/>
        <w:jc w:val="right"/>
        <w:rPr>
          <w:rFonts w:ascii="宋体" w:hAnsi="宋体" w:eastAsia="宋体" w:cs="宋体"/>
          <w:color w:val="auto"/>
          <w:sz w:val="20"/>
          <w:szCs w:val="20"/>
        </w:rPr>
      </w:pPr>
      <w:r>
        <w:rPr>
          <w:rFonts w:ascii="宋体" w:hAnsi="宋体" w:eastAsia="宋体" w:cs="宋体"/>
          <w:color w:val="auto"/>
          <w:spacing w:val="20"/>
          <w:sz w:val="20"/>
          <w:szCs w:val="20"/>
        </w:rPr>
        <w:t>投标人：(</w:t>
      </w:r>
      <w:r>
        <w:rPr>
          <w:rFonts w:hint="eastAsia" w:ascii="宋体" w:hAnsi="宋体" w:eastAsia="宋体" w:cs="宋体"/>
          <w:color w:val="auto"/>
          <w:spacing w:val="20"/>
          <w:sz w:val="20"/>
          <w:szCs w:val="20"/>
          <w:lang w:eastAsia="zh-CN"/>
        </w:rPr>
        <w:t>企业数字证书电子签名</w:t>
      </w:r>
      <w:r>
        <w:rPr>
          <w:rFonts w:ascii="宋体" w:hAnsi="宋体" w:eastAsia="宋体" w:cs="宋体"/>
          <w:color w:val="auto"/>
          <w:spacing w:val="20"/>
          <w:sz w:val="20"/>
          <w:szCs w:val="20"/>
        </w:rPr>
        <w:t>)</w:t>
      </w:r>
    </w:p>
    <w:p w14:paraId="3FE9CE2F">
      <w:pPr>
        <w:jc w:val="right"/>
        <w:rPr>
          <w:rFonts w:hint="eastAsia"/>
          <w:color w:val="auto"/>
          <w:lang w:val="en-US" w:eastAsia="zh-CN"/>
        </w:rPr>
      </w:pPr>
      <w:r>
        <w:rPr>
          <w:rFonts w:ascii="宋体" w:hAnsi="宋体" w:eastAsia="宋体" w:cs="宋体"/>
          <w:color w:val="auto"/>
          <w:spacing w:val="-13"/>
          <w:sz w:val="20"/>
          <w:szCs w:val="20"/>
        </w:rPr>
        <w:t>日</w:t>
      </w:r>
      <w:r>
        <w:rPr>
          <w:rFonts w:ascii="宋体" w:hAnsi="宋体" w:eastAsia="宋体" w:cs="宋体"/>
          <w:color w:val="auto"/>
          <w:spacing w:val="15"/>
          <w:sz w:val="20"/>
          <w:szCs w:val="20"/>
        </w:rPr>
        <w:t xml:space="preserve">  </w:t>
      </w:r>
      <w:r>
        <w:rPr>
          <w:rFonts w:ascii="宋体" w:hAnsi="宋体" w:eastAsia="宋体" w:cs="宋体"/>
          <w:color w:val="auto"/>
          <w:spacing w:val="-13"/>
          <w:sz w:val="20"/>
          <w:szCs w:val="20"/>
        </w:rPr>
        <w:t>期</w:t>
      </w:r>
      <w:r>
        <w:rPr>
          <w:rFonts w:ascii="宋体" w:hAnsi="宋体" w:eastAsia="宋体" w:cs="宋体"/>
          <w:color w:val="auto"/>
          <w:spacing w:val="-18"/>
          <w:sz w:val="20"/>
          <w:szCs w:val="20"/>
        </w:rPr>
        <w:t xml:space="preserve"> </w:t>
      </w:r>
      <w:r>
        <w:rPr>
          <w:rFonts w:ascii="宋体" w:hAnsi="宋体" w:eastAsia="宋体" w:cs="宋体"/>
          <w:color w:val="auto"/>
          <w:spacing w:val="-13"/>
          <w:sz w:val="20"/>
          <w:szCs w:val="20"/>
        </w:rPr>
        <w:t>：</w:t>
      </w:r>
      <w:r>
        <w:rPr>
          <w:rFonts w:ascii="宋体" w:hAnsi="宋体" w:eastAsia="宋体" w:cs="宋体"/>
          <w:color w:val="auto"/>
          <w:spacing w:val="47"/>
          <w:sz w:val="20"/>
          <w:szCs w:val="20"/>
        </w:rPr>
        <w:t xml:space="preserve">  </w:t>
      </w:r>
      <w:r>
        <w:rPr>
          <w:rFonts w:ascii="宋体" w:hAnsi="宋体" w:eastAsia="宋体" w:cs="宋体"/>
          <w:color w:val="auto"/>
          <w:spacing w:val="-13"/>
          <w:sz w:val="20"/>
          <w:szCs w:val="20"/>
        </w:rPr>
        <w:t>年</w:t>
      </w:r>
      <w:r>
        <w:rPr>
          <w:rFonts w:ascii="宋体" w:hAnsi="宋体" w:eastAsia="宋体" w:cs="宋体"/>
          <w:color w:val="auto"/>
          <w:spacing w:val="14"/>
          <w:sz w:val="20"/>
          <w:szCs w:val="20"/>
        </w:rPr>
        <w:t xml:space="preserve">    </w:t>
      </w:r>
      <w:r>
        <w:rPr>
          <w:rFonts w:ascii="宋体" w:hAnsi="宋体" w:eastAsia="宋体" w:cs="宋体"/>
          <w:color w:val="auto"/>
          <w:spacing w:val="-13"/>
          <w:sz w:val="20"/>
          <w:szCs w:val="20"/>
        </w:rPr>
        <w:t>月      日</w:t>
      </w:r>
    </w:p>
    <w:p w14:paraId="1F7B2F97">
      <w:pPr>
        <w:numPr>
          <w:ilvl w:val="0"/>
          <w:numId w:val="0"/>
        </w:numPr>
        <w:outlineLvl w:val="1"/>
        <w:rPr>
          <w:rFonts w:hint="eastAsia" w:ascii="宋体" w:hAnsi="宋体" w:eastAsia="宋体" w:cs="宋体"/>
          <w:b/>
          <w:color w:val="auto"/>
          <w:kern w:val="0"/>
          <w:sz w:val="30"/>
          <w:szCs w:val="30"/>
          <w:lang w:val="en-US" w:eastAsia="zh-CN" w:bidi="ar-SA"/>
        </w:rPr>
        <w:sectPr>
          <w:pgSz w:w="12240" w:h="15840"/>
          <w:pgMar w:top="1191" w:right="1737" w:bottom="1191" w:left="1043" w:header="720" w:footer="720" w:gutter="0"/>
          <w:pgNumType w:fmt="decimal"/>
          <w:cols w:space="720" w:num="1"/>
          <w:docGrid w:linePitch="326" w:charSpace="0"/>
        </w:sectPr>
      </w:pPr>
      <w:bookmarkStart w:id="998" w:name="_Toc10071"/>
    </w:p>
    <w:p w14:paraId="327A3395">
      <w:pPr>
        <w:numPr>
          <w:ilvl w:val="0"/>
          <w:numId w:val="0"/>
        </w:numPr>
        <w:spacing w:line="360" w:lineRule="auto"/>
        <w:outlineLvl w:val="1"/>
        <w:rPr>
          <w:rFonts w:hint="eastAsia" w:ascii="宋体" w:hAnsi="宋体" w:eastAsia="宋体" w:cs="宋体"/>
          <w:b/>
          <w:color w:val="auto"/>
          <w:kern w:val="0"/>
          <w:sz w:val="30"/>
          <w:szCs w:val="30"/>
          <w:lang w:val="en-US" w:eastAsia="zh-CN" w:bidi="ar-SA"/>
        </w:rPr>
      </w:pPr>
      <w:r>
        <w:rPr>
          <w:rFonts w:hint="eastAsia" w:ascii="宋体" w:hAnsi="宋体" w:eastAsia="宋体" w:cs="宋体"/>
          <w:b/>
          <w:color w:val="auto"/>
          <w:kern w:val="0"/>
          <w:sz w:val="30"/>
          <w:szCs w:val="30"/>
          <w:lang w:val="en-US" w:eastAsia="zh-CN" w:bidi="ar-SA"/>
        </w:rPr>
        <w:t>五、</w:t>
      </w:r>
      <w:bookmarkEnd w:id="998"/>
      <w:r>
        <w:rPr>
          <w:rFonts w:hint="eastAsia" w:ascii="宋体" w:hAnsi="宋体" w:eastAsia="宋体" w:cs="宋体"/>
          <w:b/>
          <w:color w:val="auto"/>
          <w:kern w:val="0"/>
          <w:sz w:val="30"/>
          <w:szCs w:val="30"/>
          <w:lang w:val="en-US" w:eastAsia="zh-CN" w:bidi="ar-SA"/>
        </w:rPr>
        <w:t>拟投入的设备及软件系统情况</w:t>
      </w:r>
    </w:p>
    <w:p w14:paraId="2CEB89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ascii="宋体" w:hAnsi="宋体" w:eastAsia="宋体" w:cs="宋体"/>
          <w:color w:val="auto"/>
          <w:sz w:val="32"/>
          <w:szCs w:val="32"/>
        </w:rPr>
      </w:pPr>
      <w:r>
        <w:rPr>
          <w:rFonts w:ascii="宋体" w:hAnsi="宋体" w:eastAsia="宋体" w:cs="宋体"/>
          <w:b/>
          <w:bCs/>
          <w:color w:val="auto"/>
          <w:spacing w:val="29"/>
          <w:sz w:val="32"/>
          <w:szCs w:val="32"/>
        </w:rPr>
        <w:t>拟投入本项目设备及软件系统情况</w:t>
      </w:r>
    </w:p>
    <w:p w14:paraId="47E05E6C">
      <w:pPr>
        <w:spacing w:line="171" w:lineRule="exact"/>
        <w:rPr>
          <w:color w:val="auto"/>
        </w:rPr>
      </w:pPr>
    </w:p>
    <w:tbl>
      <w:tblPr>
        <w:tblStyle w:val="213"/>
        <w:tblW w:w="9339" w:type="dxa"/>
        <w:tblInd w:w="2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2108"/>
        <w:gridCol w:w="1368"/>
        <w:gridCol w:w="989"/>
        <w:gridCol w:w="1418"/>
        <w:gridCol w:w="1788"/>
        <w:gridCol w:w="954"/>
      </w:tblGrid>
      <w:tr w14:paraId="282BB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714" w:type="dxa"/>
            <w:vAlign w:val="center"/>
          </w:tcPr>
          <w:p w14:paraId="6F19A755">
            <w:pPr>
              <w:jc w:val="center"/>
              <w:rPr>
                <w:rFonts w:hint="eastAsia" w:ascii="宋体" w:hAnsi="宋体" w:eastAsia="宋体" w:cs="宋体"/>
                <w:color w:val="auto"/>
                <w:sz w:val="21"/>
              </w:rPr>
            </w:pPr>
            <w:r>
              <w:rPr>
                <w:rFonts w:hint="eastAsia" w:ascii="宋体" w:hAnsi="宋体" w:eastAsia="宋体" w:cs="宋体"/>
                <w:color w:val="auto"/>
                <w:sz w:val="21"/>
              </w:rPr>
              <w:t>序号</w:t>
            </w:r>
          </w:p>
        </w:tc>
        <w:tc>
          <w:tcPr>
            <w:tcW w:w="2108" w:type="dxa"/>
            <w:vAlign w:val="center"/>
          </w:tcPr>
          <w:p w14:paraId="41089D0C">
            <w:pPr>
              <w:jc w:val="center"/>
              <w:rPr>
                <w:rFonts w:hint="eastAsia" w:ascii="宋体" w:hAnsi="宋体" w:eastAsia="宋体" w:cs="宋体"/>
                <w:color w:val="auto"/>
                <w:sz w:val="21"/>
              </w:rPr>
            </w:pPr>
            <w:r>
              <w:rPr>
                <w:rFonts w:hint="eastAsia" w:ascii="宋体" w:hAnsi="宋体" w:eastAsia="宋体" w:cs="宋体"/>
                <w:color w:val="auto"/>
                <w:sz w:val="21"/>
              </w:rPr>
              <w:t>名称</w:t>
            </w:r>
          </w:p>
        </w:tc>
        <w:tc>
          <w:tcPr>
            <w:tcW w:w="1368" w:type="dxa"/>
            <w:vAlign w:val="center"/>
          </w:tcPr>
          <w:p w14:paraId="57937991">
            <w:pPr>
              <w:jc w:val="center"/>
              <w:rPr>
                <w:rFonts w:hint="eastAsia" w:ascii="宋体" w:hAnsi="宋体" w:eastAsia="宋体" w:cs="宋体"/>
                <w:color w:val="auto"/>
                <w:sz w:val="21"/>
              </w:rPr>
            </w:pPr>
            <w:r>
              <w:rPr>
                <w:rFonts w:hint="eastAsia" w:ascii="宋体" w:hAnsi="宋体" w:eastAsia="宋体" w:cs="宋体"/>
                <w:color w:val="auto"/>
                <w:sz w:val="21"/>
              </w:rPr>
              <w:t>规格型号</w:t>
            </w:r>
          </w:p>
        </w:tc>
        <w:tc>
          <w:tcPr>
            <w:tcW w:w="989" w:type="dxa"/>
            <w:vAlign w:val="center"/>
          </w:tcPr>
          <w:p w14:paraId="0E2E6E7D">
            <w:pPr>
              <w:jc w:val="center"/>
              <w:rPr>
                <w:rFonts w:hint="eastAsia" w:ascii="宋体" w:hAnsi="宋体" w:eastAsia="宋体" w:cs="宋体"/>
                <w:color w:val="auto"/>
                <w:sz w:val="21"/>
              </w:rPr>
            </w:pPr>
            <w:r>
              <w:rPr>
                <w:rFonts w:hint="eastAsia" w:ascii="宋体" w:hAnsi="宋体" w:eastAsia="宋体" w:cs="宋体"/>
                <w:color w:val="auto"/>
                <w:sz w:val="21"/>
              </w:rPr>
              <w:t>数量</w:t>
            </w:r>
          </w:p>
        </w:tc>
        <w:tc>
          <w:tcPr>
            <w:tcW w:w="1418" w:type="dxa"/>
            <w:vAlign w:val="center"/>
          </w:tcPr>
          <w:p w14:paraId="38B93ED2">
            <w:pPr>
              <w:jc w:val="center"/>
              <w:rPr>
                <w:rFonts w:hint="eastAsia" w:ascii="宋体" w:hAnsi="宋体" w:eastAsia="宋体" w:cs="宋体"/>
                <w:color w:val="auto"/>
                <w:sz w:val="21"/>
              </w:rPr>
            </w:pPr>
            <w:r>
              <w:rPr>
                <w:rFonts w:hint="eastAsia" w:ascii="宋体" w:hAnsi="宋体" w:eastAsia="宋体" w:cs="宋体"/>
                <w:color w:val="auto"/>
                <w:sz w:val="21"/>
              </w:rPr>
              <w:t>金额</w:t>
            </w:r>
          </w:p>
        </w:tc>
        <w:tc>
          <w:tcPr>
            <w:tcW w:w="1788" w:type="dxa"/>
            <w:vAlign w:val="center"/>
          </w:tcPr>
          <w:p w14:paraId="2A017FCC">
            <w:pPr>
              <w:jc w:val="center"/>
              <w:rPr>
                <w:rFonts w:hint="eastAsia" w:ascii="宋体" w:hAnsi="宋体" w:eastAsia="宋体" w:cs="宋体"/>
                <w:color w:val="auto"/>
                <w:sz w:val="21"/>
              </w:rPr>
            </w:pPr>
            <w:r>
              <w:rPr>
                <w:rFonts w:hint="eastAsia" w:ascii="宋体" w:hAnsi="宋体" w:eastAsia="宋体" w:cs="宋体"/>
                <w:color w:val="auto"/>
                <w:sz w:val="21"/>
              </w:rPr>
              <w:t>用途</w:t>
            </w:r>
          </w:p>
        </w:tc>
        <w:tc>
          <w:tcPr>
            <w:tcW w:w="954" w:type="dxa"/>
            <w:vAlign w:val="center"/>
          </w:tcPr>
          <w:p w14:paraId="7A18A98B">
            <w:pPr>
              <w:jc w:val="center"/>
              <w:rPr>
                <w:rFonts w:hint="eastAsia" w:ascii="宋体" w:hAnsi="宋体" w:eastAsia="宋体" w:cs="宋体"/>
                <w:color w:val="auto"/>
                <w:sz w:val="21"/>
              </w:rPr>
            </w:pPr>
            <w:r>
              <w:rPr>
                <w:rFonts w:hint="eastAsia" w:ascii="宋体" w:hAnsi="宋体" w:eastAsia="宋体" w:cs="宋体"/>
                <w:color w:val="auto"/>
                <w:sz w:val="21"/>
              </w:rPr>
              <w:t>备注</w:t>
            </w:r>
          </w:p>
        </w:tc>
      </w:tr>
      <w:tr w14:paraId="5887F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14" w:type="dxa"/>
            <w:vAlign w:val="top"/>
          </w:tcPr>
          <w:p w14:paraId="7AEDF1C3">
            <w:pPr>
              <w:rPr>
                <w:rFonts w:ascii="Arial"/>
                <w:color w:val="auto"/>
                <w:sz w:val="21"/>
              </w:rPr>
            </w:pPr>
          </w:p>
        </w:tc>
        <w:tc>
          <w:tcPr>
            <w:tcW w:w="2108" w:type="dxa"/>
            <w:vAlign w:val="top"/>
          </w:tcPr>
          <w:p w14:paraId="2275418A">
            <w:pPr>
              <w:rPr>
                <w:rFonts w:ascii="Arial"/>
                <w:color w:val="auto"/>
                <w:sz w:val="21"/>
              </w:rPr>
            </w:pPr>
          </w:p>
        </w:tc>
        <w:tc>
          <w:tcPr>
            <w:tcW w:w="1368" w:type="dxa"/>
            <w:vAlign w:val="top"/>
          </w:tcPr>
          <w:p w14:paraId="5C9ABC77">
            <w:pPr>
              <w:rPr>
                <w:rFonts w:ascii="Arial"/>
                <w:color w:val="auto"/>
                <w:sz w:val="21"/>
              </w:rPr>
            </w:pPr>
          </w:p>
        </w:tc>
        <w:tc>
          <w:tcPr>
            <w:tcW w:w="989" w:type="dxa"/>
            <w:vAlign w:val="top"/>
          </w:tcPr>
          <w:p w14:paraId="44F2A7B1">
            <w:pPr>
              <w:rPr>
                <w:rFonts w:ascii="Arial"/>
                <w:color w:val="auto"/>
                <w:sz w:val="21"/>
              </w:rPr>
            </w:pPr>
          </w:p>
        </w:tc>
        <w:tc>
          <w:tcPr>
            <w:tcW w:w="1418" w:type="dxa"/>
            <w:vAlign w:val="top"/>
          </w:tcPr>
          <w:p w14:paraId="7BE126C0">
            <w:pPr>
              <w:rPr>
                <w:rFonts w:ascii="Arial"/>
                <w:color w:val="auto"/>
                <w:sz w:val="21"/>
              </w:rPr>
            </w:pPr>
          </w:p>
        </w:tc>
        <w:tc>
          <w:tcPr>
            <w:tcW w:w="1788" w:type="dxa"/>
            <w:vAlign w:val="top"/>
          </w:tcPr>
          <w:p w14:paraId="644F724F">
            <w:pPr>
              <w:rPr>
                <w:rFonts w:ascii="Arial"/>
                <w:color w:val="auto"/>
                <w:sz w:val="21"/>
              </w:rPr>
            </w:pPr>
          </w:p>
        </w:tc>
        <w:tc>
          <w:tcPr>
            <w:tcW w:w="954" w:type="dxa"/>
            <w:vAlign w:val="top"/>
          </w:tcPr>
          <w:p w14:paraId="0802B2EE">
            <w:pPr>
              <w:rPr>
                <w:rFonts w:ascii="Arial"/>
                <w:color w:val="auto"/>
                <w:sz w:val="21"/>
              </w:rPr>
            </w:pPr>
          </w:p>
        </w:tc>
      </w:tr>
      <w:tr w14:paraId="24AE6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14" w:type="dxa"/>
            <w:vAlign w:val="top"/>
          </w:tcPr>
          <w:p w14:paraId="72612D06">
            <w:pPr>
              <w:rPr>
                <w:rFonts w:ascii="Arial"/>
                <w:color w:val="auto"/>
                <w:sz w:val="21"/>
              </w:rPr>
            </w:pPr>
          </w:p>
        </w:tc>
        <w:tc>
          <w:tcPr>
            <w:tcW w:w="2108" w:type="dxa"/>
            <w:vAlign w:val="top"/>
          </w:tcPr>
          <w:p w14:paraId="0DBF85E3">
            <w:pPr>
              <w:rPr>
                <w:rFonts w:ascii="Arial"/>
                <w:color w:val="auto"/>
                <w:sz w:val="21"/>
              </w:rPr>
            </w:pPr>
          </w:p>
        </w:tc>
        <w:tc>
          <w:tcPr>
            <w:tcW w:w="1368" w:type="dxa"/>
            <w:vAlign w:val="top"/>
          </w:tcPr>
          <w:p w14:paraId="4C72C2F4">
            <w:pPr>
              <w:rPr>
                <w:rFonts w:ascii="Arial"/>
                <w:color w:val="auto"/>
                <w:sz w:val="21"/>
              </w:rPr>
            </w:pPr>
          </w:p>
        </w:tc>
        <w:tc>
          <w:tcPr>
            <w:tcW w:w="989" w:type="dxa"/>
            <w:vAlign w:val="top"/>
          </w:tcPr>
          <w:p w14:paraId="2CB31A5A">
            <w:pPr>
              <w:rPr>
                <w:rFonts w:ascii="Arial"/>
                <w:color w:val="auto"/>
                <w:sz w:val="21"/>
              </w:rPr>
            </w:pPr>
          </w:p>
        </w:tc>
        <w:tc>
          <w:tcPr>
            <w:tcW w:w="1418" w:type="dxa"/>
            <w:vAlign w:val="top"/>
          </w:tcPr>
          <w:p w14:paraId="186B18E8">
            <w:pPr>
              <w:rPr>
                <w:rFonts w:ascii="Arial"/>
                <w:color w:val="auto"/>
                <w:sz w:val="21"/>
              </w:rPr>
            </w:pPr>
          </w:p>
        </w:tc>
        <w:tc>
          <w:tcPr>
            <w:tcW w:w="1788" w:type="dxa"/>
            <w:vAlign w:val="top"/>
          </w:tcPr>
          <w:p w14:paraId="3D01AC6F">
            <w:pPr>
              <w:rPr>
                <w:rFonts w:ascii="Arial"/>
                <w:color w:val="auto"/>
                <w:sz w:val="21"/>
              </w:rPr>
            </w:pPr>
          </w:p>
        </w:tc>
        <w:tc>
          <w:tcPr>
            <w:tcW w:w="954" w:type="dxa"/>
            <w:vAlign w:val="top"/>
          </w:tcPr>
          <w:p w14:paraId="6B8EEC1E">
            <w:pPr>
              <w:rPr>
                <w:rFonts w:ascii="Arial"/>
                <w:color w:val="auto"/>
                <w:sz w:val="21"/>
              </w:rPr>
            </w:pPr>
          </w:p>
        </w:tc>
      </w:tr>
      <w:tr w14:paraId="7B869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14" w:type="dxa"/>
            <w:vAlign w:val="top"/>
          </w:tcPr>
          <w:p w14:paraId="6BC8EBEE">
            <w:pPr>
              <w:rPr>
                <w:rFonts w:ascii="Arial"/>
                <w:color w:val="auto"/>
                <w:sz w:val="21"/>
              </w:rPr>
            </w:pPr>
          </w:p>
        </w:tc>
        <w:tc>
          <w:tcPr>
            <w:tcW w:w="2108" w:type="dxa"/>
            <w:vAlign w:val="top"/>
          </w:tcPr>
          <w:p w14:paraId="255F2628">
            <w:pPr>
              <w:rPr>
                <w:rFonts w:ascii="Arial"/>
                <w:color w:val="auto"/>
                <w:sz w:val="21"/>
              </w:rPr>
            </w:pPr>
          </w:p>
        </w:tc>
        <w:tc>
          <w:tcPr>
            <w:tcW w:w="1368" w:type="dxa"/>
            <w:vAlign w:val="top"/>
          </w:tcPr>
          <w:p w14:paraId="5BAD68A7">
            <w:pPr>
              <w:rPr>
                <w:rFonts w:ascii="Arial"/>
                <w:color w:val="auto"/>
                <w:sz w:val="21"/>
              </w:rPr>
            </w:pPr>
          </w:p>
        </w:tc>
        <w:tc>
          <w:tcPr>
            <w:tcW w:w="989" w:type="dxa"/>
            <w:vAlign w:val="top"/>
          </w:tcPr>
          <w:p w14:paraId="267EDB69">
            <w:pPr>
              <w:rPr>
                <w:rFonts w:ascii="Arial"/>
                <w:color w:val="auto"/>
                <w:sz w:val="21"/>
              </w:rPr>
            </w:pPr>
          </w:p>
        </w:tc>
        <w:tc>
          <w:tcPr>
            <w:tcW w:w="1418" w:type="dxa"/>
            <w:vAlign w:val="top"/>
          </w:tcPr>
          <w:p w14:paraId="3C0617FF">
            <w:pPr>
              <w:rPr>
                <w:rFonts w:ascii="Arial"/>
                <w:color w:val="auto"/>
                <w:sz w:val="21"/>
              </w:rPr>
            </w:pPr>
          </w:p>
        </w:tc>
        <w:tc>
          <w:tcPr>
            <w:tcW w:w="1788" w:type="dxa"/>
            <w:vAlign w:val="top"/>
          </w:tcPr>
          <w:p w14:paraId="4DD5AA22">
            <w:pPr>
              <w:rPr>
                <w:rFonts w:ascii="Arial"/>
                <w:color w:val="auto"/>
                <w:sz w:val="21"/>
              </w:rPr>
            </w:pPr>
          </w:p>
        </w:tc>
        <w:tc>
          <w:tcPr>
            <w:tcW w:w="954" w:type="dxa"/>
            <w:vAlign w:val="top"/>
          </w:tcPr>
          <w:p w14:paraId="7F59B233">
            <w:pPr>
              <w:rPr>
                <w:rFonts w:ascii="Arial"/>
                <w:color w:val="auto"/>
                <w:sz w:val="21"/>
              </w:rPr>
            </w:pPr>
          </w:p>
        </w:tc>
      </w:tr>
      <w:tr w14:paraId="226B4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14" w:type="dxa"/>
            <w:vAlign w:val="top"/>
          </w:tcPr>
          <w:p w14:paraId="09117401">
            <w:pPr>
              <w:rPr>
                <w:rFonts w:ascii="Arial"/>
                <w:color w:val="auto"/>
                <w:sz w:val="21"/>
              </w:rPr>
            </w:pPr>
          </w:p>
        </w:tc>
        <w:tc>
          <w:tcPr>
            <w:tcW w:w="2108" w:type="dxa"/>
            <w:vAlign w:val="top"/>
          </w:tcPr>
          <w:p w14:paraId="3B6D4934">
            <w:pPr>
              <w:rPr>
                <w:rFonts w:ascii="Arial"/>
                <w:color w:val="auto"/>
                <w:sz w:val="21"/>
              </w:rPr>
            </w:pPr>
          </w:p>
        </w:tc>
        <w:tc>
          <w:tcPr>
            <w:tcW w:w="1368" w:type="dxa"/>
            <w:vAlign w:val="top"/>
          </w:tcPr>
          <w:p w14:paraId="248B42FD">
            <w:pPr>
              <w:rPr>
                <w:rFonts w:ascii="Arial"/>
                <w:color w:val="auto"/>
                <w:sz w:val="21"/>
              </w:rPr>
            </w:pPr>
          </w:p>
        </w:tc>
        <w:tc>
          <w:tcPr>
            <w:tcW w:w="989" w:type="dxa"/>
            <w:vAlign w:val="top"/>
          </w:tcPr>
          <w:p w14:paraId="375CBD66">
            <w:pPr>
              <w:rPr>
                <w:rFonts w:ascii="Arial"/>
                <w:color w:val="auto"/>
                <w:sz w:val="21"/>
              </w:rPr>
            </w:pPr>
          </w:p>
        </w:tc>
        <w:tc>
          <w:tcPr>
            <w:tcW w:w="1418" w:type="dxa"/>
            <w:vAlign w:val="top"/>
          </w:tcPr>
          <w:p w14:paraId="199DB29E">
            <w:pPr>
              <w:rPr>
                <w:rFonts w:ascii="Arial"/>
                <w:color w:val="auto"/>
                <w:sz w:val="21"/>
              </w:rPr>
            </w:pPr>
          </w:p>
        </w:tc>
        <w:tc>
          <w:tcPr>
            <w:tcW w:w="1788" w:type="dxa"/>
            <w:vAlign w:val="top"/>
          </w:tcPr>
          <w:p w14:paraId="70B9CD64">
            <w:pPr>
              <w:rPr>
                <w:rFonts w:ascii="Arial"/>
                <w:color w:val="auto"/>
                <w:sz w:val="21"/>
              </w:rPr>
            </w:pPr>
          </w:p>
        </w:tc>
        <w:tc>
          <w:tcPr>
            <w:tcW w:w="954" w:type="dxa"/>
            <w:vAlign w:val="top"/>
          </w:tcPr>
          <w:p w14:paraId="44F1DEA2">
            <w:pPr>
              <w:rPr>
                <w:rFonts w:ascii="Arial"/>
                <w:color w:val="auto"/>
                <w:sz w:val="21"/>
              </w:rPr>
            </w:pPr>
          </w:p>
        </w:tc>
      </w:tr>
      <w:tr w14:paraId="0F8C3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14" w:type="dxa"/>
            <w:vAlign w:val="top"/>
          </w:tcPr>
          <w:p w14:paraId="7555C704">
            <w:pPr>
              <w:rPr>
                <w:rFonts w:ascii="Arial"/>
                <w:color w:val="auto"/>
                <w:sz w:val="21"/>
              </w:rPr>
            </w:pPr>
          </w:p>
        </w:tc>
        <w:tc>
          <w:tcPr>
            <w:tcW w:w="2108" w:type="dxa"/>
            <w:vAlign w:val="top"/>
          </w:tcPr>
          <w:p w14:paraId="3BDC3DC7">
            <w:pPr>
              <w:rPr>
                <w:rFonts w:ascii="Arial"/>
                <w:color w:val="auto"/>
                <w:sz w:val="21"/>
              </w:rPr>
            </w:pPr>
          </w:p>
        </w:tc>
        <w:tc>
          <w:tcPr>
            <w:tcW w:w="1368" w:type="dxa"/>
            <w:vAlign w:val="top"/>
          </w:tcPr>
          <w:p w14:paraId="74B4470A">
            <w:pPr>
              <w:rPr>
                <w:rFonts w:ascii="Arial"/>
                <w:color w:val="auto"/>
                <w:sz w:val="21"/>
              </w:rPr>
            </w:pPr>
          </w:p>
        </w:tc>
        <w:tc>
          <w:tcPr>
            <w:tcW w:w="989" w:type="dxa"/>
            <w:vAlign w:val="top"/>
          </w:tcPr>
          <w:p w14:paraId="1F57EC6D">
            <w:pPr>
              <w:rPr>
                <w:rFonts w:ascii="Arial"/>
                <w:color w:val="auto"/>
                <w:sz w:val="21"/>
              </w:rPr>
            </w:pPr>
          </w:p>
        </w:tc>
        <w:tc>
          <w:tcPr>
            <w:tcW w:w="1418" w:type="dxa"/>
            <w:vAlign w:val="top"/>
          </w:tcPr>
          <w:p w14:paraId="29A6F810">
            <w:pPr>
              <w:rPr>
                <w:rFonts w:ascii="Arial"/>
                <w:color w:val="auto"/>
                <w:sz w:val="21"/>
              </w:rPr>
            </w:pPr>
          </w:p>
        </w:tc>
        <w:tc>
          <w:tcPr>
            <w:tcW w:w="1788" w:type="dxa"/>
            <w:vAlign w:val="top"/>
          </w:tcPr>
          <w:p w14:paraId="3B3F310B">
            <w:pPr>
              <w:rPr>
                <w:rFonts w:ascii="Arial"/>
                <w:color w:val="auto"/>
                <w:sz w:val="21"/>
              </w:rPr>
            </w:pPr>
          </w:p>
        </w:tc>
        <w:tc>
          <w:tcPr>
            <w:tcW w:w="954" w:type="dxa"/>
            <w:vAlign w:val="top"/>
          </w:tcPr>
          <w:p w14:paraId="3FE20835">
            <w:pPr>
              <w:rPr>
                <w:rFonts w:ascii="Arial"/>
                <w:color w:val="auto"/>
                <w:sz w:val="21"/>
              </w:rPr>
            </w:pPr>
          </w:p>
        </w:tc>
      </w:tr>
    </w:tbl>
    <w:p w14:paraId="195C72E6">
      <w:pPr>
        <w:keepNext w:val="0"/>
        <w:keepLines w:val="0"/>
        <w:pageBreakBefore w:val="0"/>
        <w:widowControl w:val="0"/>
        <w:kinsoku/>
        <w:wordWrap/>
        <w:overflowPunct/>
        <w:topLinePunct w:val="0"/>
        <w:autoSpaceDE/>
        <w:autoSpaceDN/>
        <w:bidi w:val="0"/>
        <w:adjustRightInd/>
        <w:snapToGrid/>
        <w:spacing w:line="360" w:lineRule="auto"/>
        <w:ind w:left="410"/>
        <w:textAlignment w:val="auto"/>
        <w:rPr>
          <w:rFonts w:ascii="宋体" w:hAnsi="宋体" w:eastAsia="宋体" w:cs="宋体"/>
          <w:color w:val="auto"/>
          <w:spacing w:val="-2"/>
          <w:sz w:val="21"/>
          <w:szCs w:val="21"/>
        </w:rPr>
      </w:pPr>
      <w:r>
        <w:rPr>
          <w:rFonts w:ascii="宋体" w:hAnsi="宋体" w:eastAsia="宋体" w:cs="宋体"/>
          <w:color w:val="auto"/>
          <w:spacing w:val="-2"/>
          <w:sz w:val="21"/>
          <w:szCs w:val="21"/>
        </w:rPr>
        <w:t>备注：</w:t>
      </w:r>
    </w:p>
    <w:p w14:paraId="0494E767">
      <w:pPr>
        <w:keepNext w:val="0"/>
        <w:keepLines w:val="0"/>
        <w:pageBreakBefore w:val="0"/>
        <w:widowControl w:val="0"/>
        <w:kinsoku/>
        <w:wordWrap/>
        <w:overflowPunct/>
        <w:topLinePunct w:val="0"/>
        <w:autoSpaceDE/>
        <w:autoSpaceDN/>
        <w:bidi w:val="0"/>
        <w:adjustRightInd/>
        <w:snapToGrid/>
        <w:spacing w:line="360" w:lineRule="auto"/>
        <w:ind w:left="410"/>
        <w:textAlignment w:val="auto"/>
        <w:rPr>
          <w:rFonts w:ascii="宋体" w:hAnsi="宋体" w:eastAsia="宋体" w:cs="宋体"/>
          <w:color w:val="auto"/>
          <w:spacing w:val="-2"/>
          <w:sz w:val="21"/>
          <w:szCs w:val="21"/>
        </w:rPr>
      </w:pPr>
      <w:r>
        <w:rPr>
          <w:rFonts w:ascii="宋体" w:hAnsi="宋体" w:eastAsia="宋体" w:cs="宋体"/>
          <w:color w:val="auto"/>
          <w:spacing w:val="-2"/>
          <w:sz w:val="21"/>
          <w:szCs w:val="21"/>
        </w:rPr>
        <w:t>(1)此表格式供参照，投标人可以根据本表格式内容自行填写。</w:t>
      </w:r>
    </w:p>
    <w:p w14:paraId="20F805D7">
      <w:pPr>
        <w:keepNext w:val="0"/>
        <w:keepLines w:val="0"/>
        <w:pageBreakBefore w:val="0"/>
        <w:widowControl w:val="0"/>
        <w:kinsoku/>
        <w:wordWrap/>
        <w:overflowPunct/>
        <w:topLinePunct w:val="0"/>
        <w:autoSpaceDE/>
        <w:autoSpaceDN/>
        <w:bidi w:val="0"/>
        <w:adjustRightInd/>
        <w:snapToGrid/>
        <w:spacing w:line="360" w:lineRule="auto"/>
        <w:ind w:left="410"/>
        <w:textAlignment w:val="auto"/>
        <w:rPr>
          <w:rFonts w:ascii="宋体" w:hAnsi="宋体" w:eastAsia="宋体" w:cs="宋体"/>
          <w:color w:val="auto"/>
          <w:spacing w:val="-2"/>
          <w:sz w:val="21"/>
          <w:szCs w:val="21"/>
        </w:rPr>
      </w:pPr>
      <w:r>
        <w:rPr>
          <w:rFonts w:ascii="宋体" w:hAnsi="宋体" w:eastAsia="宋体" w:cs="宋体"/>
          <w:color w:val="auto"/>
          <w:spacing w:val="-2"/>
          <w:sz w:val="21"/>
          <w:szCs w:val="21"/>
        </w:rPr>
        <w:t>(2)自有设备的须提供：①购买发票</w:t>
      </w:r>
      <w:r>
        <w:rPr>
          <w:rFonts w:hint="eastAsia" w:ascii="宋体" w:hAnsi="宋体" w:eastAsia="宋体" w:cs="宋体"/>
          <w:color w:val="auto"/>
          <w:spacing w:val="-2"/>
          <w:sz w:val="21"/>
          <w:szCs w:val="21"/>
          <w:lang w:eastAsia="zh-CN"/>
        </w:rPr>
        <w:t>扫描件</w:t>
      </w:r>
      <w:r>
        <w:rPr>
          <w:rFonts w:ascii="宋体" w:hAnsi="宋体" w:eastAsia="宋体" w:cs="宋体"/>
          <w:color w:val="auto"/>
          <w:spacing w:val="-2"/>
          <w:sz w:val="21"/>
          <w:szCs w:val="21"/>
        </w:rPr>
        <w:t>；②</w:t>
      </w:r>
      <w:r>
        <w:rPr>
          <w:rFonts w:hint="eastAsia" w:ascii="宋体" w:hAnsi="宋体" w:eastAsia="宋体" w:cs="宋体"/>
          <w:color w:val="auto"/>
          <w:spacing w:val="-2"/>
          <w:sz w:val="21"/>
          <w:szCs w:val="21"/>
        </w:rPr>
        <w:t>设备照片/图片扫描件（照片/图片须清晰显示拍摄时间为2025年6月1日或以后）</w:t>
      </w:r>
      <w:r>
        <w:rPr>
          <w:rFonts w:ascii="宋体" w:hAnsi="宋体" w:eastAsia="宋体" w:cs="宋体"/>
          <w:color w:val="auto"/>
          <w:spacing w:val="-2"/>
          <w:sz w:val="21"/>
          <w:szCs w:val="21"/>
        </w:rPr>
        <w:t>。</w:t>
      </w:r>
    </w:p>
    <w:p w14:paraId="21387766">
      <w:pPr>
        <w:keepNext w:val="0"/>
        <w:keepLines w:val="0"/>
        <w:pageBreakBefore w:val="0"/>
        <w:widowControl w:val="0"/>
        <w:kinsoku/>
        <w:wordWrap/>
        <w:overflowPunct/>
        <w:topLinePunct w:val="0"/>
        <w:autoSpaceDE/>
        <w:autoSpaceDN/>
        <w:bidi w:val="0"/>
        <w:adjustRightInd/>
        <w:snapToGrid/>
        <w:spacing w:line="360" w:lineRule="auto"/>
        <w:ind w:left="410"/>
        <w:textAlignment w:val="auto"/>
        <w:rPr>
          <w:rFonts w:ascii="宋体" w:hAnsi="宋体" w:eastAsia="宋体" w:cs="宋体"/>
          <w:color w:val="auto"/>
          <w:spacing w:val="-2"/>
          <w:sz w:val="21"/>
          <w:szCs w:val="21"/>
        </w:rPr>
      </w:pPr>
      <w:r>
        <w:rPr>
          <w:rFonts w:ascii="宋体" w:hAnsi="宋体" w:eastAsia="宋体" w:cs="宋体"/>
          <w:color w:val="auto"/>
          <w:spacing w:val="-2"/>
          <w:sz w:val="21"/>
          <w:szCs w:val="21"/>
        </w:rPr>
        <w:t>(3)租赁设备的须提供：①租赁合同</w:t>
      </w:r>
      <w:r>
        <w:rPr>
          <w:rFonts w:hint="eastAsia" w:ascii="宋体" w:hAnsi="宋体" w:eastAsia="宋体" w:cs="宋体"/>
          <w:color w:val="auto"/>
          <w:spacing w:val="-2"/>
          <w:sz w:val="21"/>
          <w:szCs w:val="21"/>
          <w:lang w:eastAsia="zh-CN"/>
        </w:rPr>
        <w:t>扫描件</w:t>
      </w:r>
      <w:r>
        <w:rPr>
          <w:rFonts w:ascii="宋体" w:hAnsi="宋体" w:eastAsia="宋体" w:cs="宋体"/>
          <w:color w:val="auto"/>
          <w:spacing w:val="-2"/>
          <w:sz w:val="21"/>
          <w:szCs w:val="21"/>
        </w:rPr>
        <w:t>(租赁期限需涵盖本项目服务期);②</w:t>
      </w:r>
      <w:r>
        <w:rPr>
          <w:rFonts w:hint="eastAsia" w:ascii="宋体" w:hAnsi="宋体" w:eastAsia="宋体" w:cs="宋体"/>
          <w:color w:val="auto"/>
          <w:spacing w:val="-2"/>
          <w:sz w:val="21"/>
          <w:szCs w:val="21"/>
        </w:rPr>
        <w:t>设备照片/图片扫描件（照片/图片须清晰显示拍摄时间为2025年6月1日或以后）</w:t>
      </w:r>
      <w:r>
        <w:rPr>
          <w:rFonts w:ascii="宋体" w:hAnsi="宋体" w:eastAsia="宋体" w:cs="宋体"/>
          <w:color w:val="auto"/>
          <w:spacing w:val="-2"/>
          <w:sz w:val="21"/>
          <w:szCs w:val="21"/>
        </w:rPr>
        <w:t>。</w:t>
      </w:r>
    </w:p>
    <w:p w14:paraId="1517431E">
      <w:pPr>
        <w:keepNext w:val="0"/>
        <w:keepLines w:val="0"/>
        <w:pageBreakBefore w:val="0"/>
        <w:widowControl w:val="0"/>
        <w:kinsoku/>
        <w:wordWrap/>
        <w:overflowPunct/>
        <w:topLinePunct w:val="0"/>
        <w:autoSpaceDE/>
        <w:autoSpaceDN/>
        <w:bidi w:val="0"/>
        <w:adjustRightInd/>
        <w:snapToGrid/>
        <w:spacing w:line="360" w:lineRule="auto"/>
        <w:ind w:left="410"/>
        <w:textAlignment w:val="auto"/>
        <w:rPr>
          <w:rFonts w:ascii="宋体" w:hAnsi="宋体" w:eastAsia="宋体" w:cs="宋体"/>
          <w:color w:val="auto"/>
          <w:spacing w:val="-2"/>
          <w:sz w:val="21"/>
          <w:szCs w:val="21"/>
        </w:rPr>
      </w:pPr>
      <w:r>
        <w:rPr>
          <w:rFonts w:ascii="宋体" w:hAnsi="宋体" w:eastAsia="宋体" w:cs="宋体"/>
          <w:color w:val="auto"/>
          <w:spacing w:val="-2"/>
          <w:sz w:val="21"/>
          <w:szCs w:val="21"/>
        </w:rPr>
        <w:t>(4)</w:t>
      </w:r>
      <w:r>
        <w:rPr>
          <w:rFonts w:hint="eastAsia" w:ascii="宋体" w:hAnsi="宋体" w:eastAsia="宋体" w:cs="宋体"/>
          <w:color w:val="auto"/>
          <w:spacing w:val="-2"/>
          <w:sz w:val="21"/>
          <w:szCs w:val="21"/>
        </w:rPr>
        <w:t>软件系统为投标人或其关联公司（本处软件系统开发人所指的“投标人或其关联公司”包括投标人，以及其母公司、控股股东公司、全资子公司、控股子公司、同一集团下属公司）开发的须提供：①计算机软件著作权证书或专利证；②软件系统照片/图片扫描件（照片/图片须清晰显示拍摄时间为2025年6月1日或以后）。③软件系统属于前述投标人关联公司的，必须同时提供反映关联关系的证明材料，否则不予认定。</w:t>
      </w:r>
    </w:p>
    <w:p w14:paraId="100D230F">
      <w:pPr>
        <w:keepNext w:val="0"/>
        <w:keepLines w:val="0"/>
        <w:pageBreakBefore w:val="0"/>
        <w:widowControl w:val="0"/>
        <w:kinsoku/>
        <w:wordWrap/>
        <w:overflowPunct/>
        <w:topLinePunct w:val="0"/>
        <w:autoSpaceDE/>
        <w:autoSpaceDN/>
        <w:bidi w:val="0"/>
        <w:adjustRightInd/>
        <w:snapToGrid/>
        <w:spacing w:line="360" w:lineRule="auto"/>
        <w:ind w:left="410"/>
        <w:textAlignment w:val="auto"/>
        <w:rPr>
          <w:rFonts w:ascii="宋体" w:hAnsi="宋体" w:eastAsia="宋体" w:cs="宋体"/>
          <w:color w:val="auto"/>
          <w:spacing w:val="-2"/>
          <w:sz w:val="21"/>
          <w:szCs w:val="21"/>
        </w:rPr>
      </w:pPr>
      <w:r>
        <w:rPr>
          <w:rFonts w:ascii="宋体" w:hAnsi="宋体" w:eastAsia="宋体" w:cs="宋体"/>
          <w:color w:val="auto"/>
          <w:spacing w:val="-2"/>
          <w:sz w:val="21"/>
          <w:szCs w:val="21"/>
        </w:rPr>
        <w:t>(5)</w:t>
      </w:r>
      <w:r>
        <w:rPr>
          <w:rFonts w:hint="eastAsia" w:ascii="宋体" w:hAnsi="宋体" w:eastAsia="宋体" w:cs="宋体"/>
          <w:color w:val="auto"/>
          <w:spacing w:val="-2"/>
          <w:sz w:val="21"/>
          <w:szCs w:val="21"/>
        </w:rPr>
        <w:t>软件系统为投标人购买的须提供：①软件系统购买发票扫描件；②软件系统照片/图片扫描件（照片/图片须清晰显示拍摄时间为2025年6月1日或以后）</w:t>
      </w:r>
      <w:r>
        <w:rPr>
          <w:rFonts w:ascii="宋体" w:hAnsi="宋体" w:eastAsia="宋体" w:cs="宋体"/>
          <w:color w:val="auto"/>
          <w:spacing w:val="-2"/>
          <w:sz w:val="21"/>
          <w:szCs w:val="21"/>
        </w:rPr>
        <w:t>。</w:t>
      </w:r>
    </w:p>
    <w:p w14:paraId="1CB19E0D">
      <w:pPr>
        <w:keepNext w:val="0"/>
        <w:keepLines w:val="0"/>
        <w:pageBreakBefore w:val="0"/>
        <w:widowControl w:val="0"/>
        <w:kinsoku/>
        <w:wordWrap/>
        <w:overflowPunct/>
        <w:topLinePunct w:val="0"/>
        <w:autoSpaceDE/>
        <w:autoSpaceDN/>
        <w:bidi w:val="0"/>
        <w:adjustRightInd/>
        <w:snapToGrid/>
        <w:spacing w:line="360" w:lineRule="auto"/>
        <w:ind w:left="410"/>
        <w:textAlignment w:val="auto"/>
        <w:rPr>
          <w:rFonts w:ascii="宋体" w:hAnsi="宋体" w:eastAsia="宋体" w:cs="宋体"/>
          <w:color w:val="auto"/>
          <w:spacing w:val="-2"/>
          <w:sz w:val="21"/>
          <w:szCs w:val="21"/>
        </w:rPr>
      </w:pPr>
      <w:r>
        <w:rPr>
          <w:rFonts w:ascii="宋体" w:hAnsi="宋体" w:eastAsia="宋体" w:cs="宋体"/>
          <w:color w:val="auto"/>
          <w:spacing w:val="-2"/>
          <w:sz w:val="21"/>
          <w:szCs w:val="21"/>
        </w:rPr>
        <w:t>(6)投标人承诺此表填写的上述设备及软件系统为投标人自愿免费投入本项目使用，不进行额外收费。</w:t>
      </w:r>
    </w:p>
    <w:p w14:paraId="3C13594B">
      <w:pPr>
        <w:rPr>
          <w:color w:val="auto"/>
        </w:rPr>
      </w:pPr>
    </w:p>
    <w:p w14:paraId="55549E2D">
      <w:pPr>
        <w:pStyle w:val="18"/>
        <w:spacing w:line="250" w:lineRule="auto"/>
        <w:rPr>
          <w:color w:val="auto"/>
        </w:rPr>
      </w:pPr>
    </w:p>
    <w:p w14:paraId="38109ECC">
      <w:pPr>
        <w:spacing w:before="69" w:line="219" w:lineRule="auto"/>
        <w:ind w:left="5640"/>
        <w:rPr>
          <w:rFonts w:ascii="宋体" w:hAnsi="宋体" w:eastAsia="宋体" w:cs="宋体"/>
          <w:color w:val="auto"/>
          <w:sz w:val="21"/>
          <w:szCs w:val="21"/>
        </w:rPr>
      </w:pPr>
      <w:r>
        <w:rPr>
          <w:rFonts w:ascii="宋体" w:hAnsi="宋体" w:eastAsia="宋体" w:cs="宋体"/>
          <w:color w:val="auto"/>
          <w:spacing w:val="9"/>
          <w:sz w:val="21"/>
          <w:szCs w:val="21"/>
        </w:rPr>
        <w:t>投标人：(</w:t>
      </w:r>
      <w:r>
        <w:rPr>
          <w:rFonts w:hint="eastAsia" w:ascii="宋体" w:hAnsi="宋体" w:eastAsia="宋体" w:cs="宋体"/>
          <w:color w:val="auto"/>
          <w:spacing w:val="9"/>
          <w:sz w:val="21"/>
          <w:szCs w:val="21"/>
          <w:lang w:eastAsia="zh-CN"/>
        </w:rPr>
        <w:t>企业数字证书电子签名</w:t>
      </w:r>
      <w:r>
        <w:rPr>
          <w:rFonts w:ascii="宋体" w:hAnsi="宋体" w:eastAsia="宋体" w:cs="宋体"/>
          <w:color w:val="auto"/>
          <w:spacing w:val="9"/>
          <w:sz w:val="21"/>
          <w:szCs w:val="21"/>
        </w:rPr>
        <w:t>)</w:t>
      </w:r>
    </w:p>
    <w:p w14:paraId="2C55D878">
      <w:pPr>
        <w:spacing w:before="142" w:line="220" w:lineRule="auto"/>
        <w:ind w:left="5670"/>
        <w:rPr>
          <w:rFonts w:ascii="宋体" w:hAnsi="宋体" w:eastAsia="宋体" w:cs="宋体"/>
          <w:color w:val="auto"/>
          <w:sz w:val="21"/>
          <w:szCs w:val="21"/>
        </w:rPr>
      </w:pPr>
      <w:r>
        <w:rPr>
          <w:rFonts w:ascii="宋体" w:hAnsi="宋体" w:eastAsia="宋体" w:cs="宋体"/>
          <w:color w:val="auto"/>
          <w:spacing w:val="-12"/>
          <w:sz w:val="21"/>
          <w:szCs w:val="21"/>
        </w:rPr>
        <w:t>日</w:t>
      </w:r>
      <w:r>
        <w:rPr>
          <w:rFonts w:ascii="宋体" w:hAnsi="宋体" w:eastAsia="宋体" w:cs="宋体"/>
          <w:color w:val="auto"/>
          <w:spacing w:val="4"/>
          <w:sz w:val="21"/>
          <w:szCs w:val="21"/>
        </w:rPr>
        <w:t xml:space="preserve">  </w:t>
      </w:r>
      <w:r>
        <w:rPr>
          <w:rFonts w:ascii="宋体" w:hAnsi="宋体" w:eastAsia="宋体" w:cs="宋体"/>
          <w:color w:val="auto"/>
          <w:spacing w:val="-12"/>
          <w:sz w:val="21"/>
          <w:szCs w:val="21"/>
        </w:rPr>
        <w:t>期：</w:t>
      </w:r>
      <w:r>
        <w:rPr>
          <w:rFonts w:ascii="宋体" w:hAnsi="宋体" w:eastAsia="宋体" w:cs="宋体"/>
          <w:color w:val="auto"/>
          <w:spacing w:val="1"/>
          <w:sz w:val="21"/>
          <w:szCs w:val="21"/>
        </w:rPr>
        <w:t xml:space="preserve">   </w:t>
      </w:r>
      <w:r>
        <w:rPr>
          <w:rFonts w:ascii="宋体" w:hAnsi="宋体" w:eastAsia="宋体" w:cs="宋体"/>
          <w:color w:val="auto"/>
          <w:spacing w:val="-12"/>
          <w:sz w:val="21"/>
          <w:szCs w:val="21"/>
        </w:rPr>
        <w:t>年</w:t>
      </w:r>
      <w:r>
        <w:rPr>
          <w:rFonts w:ascii="宋体" w:hAnsi="宋体" w:eastAsia="宋体" w:cs="宋体"/>
          <w:color w:val="auto"/>
          <w:spacing w:val="5"/>
          <w:sz w:val="21"/>
          <w:szCs w:val="21"/>
        </w:rPr>
        <w:t xml:space="preserve">    </w:t>
      </w:r>
      <w:r>
        <w:rPr>
          <w:rFonts w:ascii="宋体" w:hAnsi="宋体" w:eastAsia="宋体" w:cs="宋体"/>
          <w:color w:val="auto"/>
          <w:spacing w:val="-12"/>
          <w:sz w:val="21"/>
          <w:szCs w:val="21"/>
        </w:rPr>
        <w:t>月</w:t>
      </w:r>
      <w:r>
        <w:rPr>
          <w:rFonts w:ascii="宋体" w:hAnsi="宋体" w:eastAsia="宋体" w:cs="宋体"/>
          <w:color w:val="auto"/>
          <w:spacing w:val="7"/>
          <w:sz w:val="21"/>
          <w:szCs w:val="21"/>
        </w:rPr>
        <w:t xml:space="preserve">     </w:t>
      </w:r>
      <w:r>
        <w:rPr>
          <w:rFonts w:ascii="宋体" w:hAnsi="宋体" w:eastAsia="宋体" w:cs="宋体"/>
          <w:color w:val="auto"/>
          <w:spacing w:val="-12"/>
          <w:sz w:val="21"/>
          <w:szCs w:val="21"/>
        </w:rPr>
        <w:t>日</w:t>
      </w:r>
    </w:p>
    <w:p w14:paraId="2CC48BE0">
      <w:pPr>
        <w:numPr>
          <w:ilvl w:val="0"/>
          <w:numId w:val="0"/>
        </w:numPr>
        <w:outlineLvl w:val="9"/>
        <w:rPr>
          <w:rFonts w:hint="eastAsia" w:ascii="宋体" w:hAnsi="宋体" w:eastAsia="宋体" w:cs="宋体"/>
          <w:b/>
          <w:color w:val="auto"/>
          <w:kern w:val="0"/>
          <w:sz w:val="30"/>
          <w:szCs w:val="30"/>
          <w:highlight w:val="none"/>
          <w:lang w:val="en-US" w:eastAsia="zh-CN"/>
        </w:rPr>
      </w:pPr>
    </w:p>
    <w:p w14:paraId="7E8A1A41">
      <w:pPr>
        <w:rPr>
          <w:rFonts w:hint="eastAsia" w:hAnsi="宋体" w:eastAsia="宋体" w:cs="宋体"/>
          <w:b/>
          <w:color w:val="auto"/>
          <w:kern w:val="0"/>
          <w:sz w:val="30"/>
          <w:szCs w:val="30"/>
          <w:highlight w:val="none"/>
          <w:lang w:val="en-US" w:eastAsia="zh-CN"/>
        </w:rPr>
      </w:pPr>
      <w:bookmarkStart w:id="999" w:name="_Toc30545"/>
      <w:bookmarkStart w:id="1000" w:name="_Toc18180"/>
      <w:bookmarkStart w:id="1001" w:name="_Toc1004"/>
      <w:bookmarkStart w:id="1002" w:name="_Toc3750"/>
      <w:r>
        <w:rPr>
          <w:rFonts w:hint="eastAsia" w:hAnsi="宋体" w:eastAsia="宋体" w:cs="宋体"/>
          <w:b/>
          <w:color w:val="auto"/>
          <w:kern w:val="0"/>
          <w:sz w:val="30"/>
          <w:szCs w:val="30"/>
          <w:highlight w:val="none"/>
          <w:lang w:val="en-US" w:eastAsia="zh-CN"/>
        </w:rPr>
        <w:br w:type="page"/>
      </w:r>
    </w:p>
    <w:p w14:paraId="13EB16DD">
      <w:pPr>
        <w:keepNext w:val="0"/>
        <w:keepLines w:val="0"/>
        <w:pageBreakBefore/>
        <w:widowControl w:val="0"/>
        <w:numPr>
          <w:ilvl w:val="0"/>
          <w:numId w:val="0"/>
        </w:numPr>
        <w:kinsoku/>
        <w:wordWrap/>
        <w:overflowPunct/>
        <w:topLinePunct w:val="0"/>
        <w:autoSpaceDE/>
        <w:autoSpaceDN/>
        <w:bidi w:val="0"/>
        <w:adjustRightInd/>
        <w:snapToGrid/>
        <w:spacing w:after="0" w:line="360" w:lineRule="auto"/>
        <w:textAlignment w:val="auto"/>
        <w:outlineLvl w:val="1"/>
        <w:rPr>
          <w:rFonts w:hint="eastAsia" w:ascii="宋体" w:hAnsi="宋体" w:eastAsia="宋体" w:cs="宋体"/>
          <w:b/>
          <w:color w:val="auto"/>
          <w:kern w:val="0"/>
          <w:sz w:val="30"/>
          <w:szCs w:val="30"/>
          <w:highlight w:val="none"/>
          <w:lang w:val="en-US" w:eastAsia="zh-CN"/>
        </w:rPr>
      </w:pPr>
      <w:r>
        <w:rPr>
          <w:rFonts w:hint="eastAsia" w:hAnsi="宋体" w:eastAsia="宋体" w:cs="宋体"/>
          <w:b/>
          <w:color w:val="auto"/>
          <w:kern w:val="0"/>
          <w:sz w:val="30"/>
          <w:szCs w:val="30"/>
          <w:highlight w:val="none"/>
          <w:lang w:val="en-US" w:eastAsia="zh-CN"/>
        </w:rPr>
        <w:t>六</w:t>
      </w:r>
      <w:r>
        <w:rPr>
          <w:rFonts w:hint="eastAsia" w:ascii="宋体" w:hAnsi="宋体" w:eastAsia="宋体" w:cs="宋体"/>
          <w:b/>
          <w:color w:val="auto"/>
          <w:kern w:val="0"/>
          <w:sz w:val="30"/>
          <w:szCs w:val="30"/>
          <w:highlight w:val="none"/>
          <w:lang w:val="en-US" w:eastAsia="zh-CN"/>
        </w:rPr>
        <w:t>、应急预案和重大活动保障措施（投标人自行编写）</w:t>
      </w:r>
    </w:p>
    <w:p w14:paraId="3F431AAD">
      <w:pPr>
        <w:bidi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说明：</w:t>
      </w:r>
      <w:r>
        <w:rPr>
          <w:rFonts w:hint="eastAsia" w:ascii="宋体" w:hAnsi="宋体" w:eastAsia="宋体" w:cs="宋体"/>
          <w:color w:val="auto"/>
          <w:sz w:val="21"/>
          <w:szCs w:val="21"/>
        </w:rPr>
        <w:t>投标人自行编制，格式不限。内容包括但不限于项目实施过程可能发生的各类突发紧急情况（如：特殊天气、火灾、设备故障、突发治安事件、公共卫生事件、重大活动等内容）、各类突发紧急情况相应的保障措施（包括事件处理原则、流程、方法、紧急情况报告机制等内容）</w:t>
      </w:r>
      <w:r>
        <w:rPr>
          <w:rFonts w:hint="eastAsia" w:ascii="宋体" w:hAnsi="宋体" w:eastAsia="宋体" w:cs="宋体"/>
          <w:color w:val="auto"/>
          <w:sz w:val="21"/>
          <w:szCs w:val="21"/>
          <w:lang w:val="en-US" w:eastAsia="zh-CN"/>
        </w:rPr>
        <w:t>。</w:t>
      </w:r>
    </w:p>
    <w:p w14:paraId="0872FBF5">
      <w:pPr>
        <w:rPr>
          <w:rFonts w:hint="eastAsia" w:hAnsi="宋体" w:eastAsia="宋体" w:cs="宋体"/>
          <w:b/>
          <w:color w:val="auto"/>
          <w:kern w:val="0"/>
          <w:sz w:val="30"/>
          <w:szCs w:val="30"/>
          <w:highlight w:val="none"/>
          <w:lang w:val="en-US" w:eastAsia="zh-CN"/>
        </w:rPr>
      </w:pPr>
      <w:r>
        <w:rPr>
          <w:rFonts w:hint="eastAsia" w:hAnsi="宋体" w:eastAsia="宋体" w:cs="宋体"/>
          <w:b/>
          <w:color w:val="auto"/>
          <w:kern w:val="0"/>
          <w:sz w:val="30"/>
          <w:szCs w:val="30"/>
          <w:highlight w:val="none"/>
          <w:lang w:val="en-US" w:eastAsia="zh-CN"/>
        </w:rPr>
        <w:br w:type="page"/>
      </w:r>
    </w:p>
    <w:p w14:paraId="2ACB3ABB">
      <w:pPr>
        <w:pStyle w:val="52"/>
        <w:autoSpaceDE/>
        <w:autoSpaceDN/>
        <w:adjustRightInd/>
        <w:spacing w:line="360" w:lineRule="auto"/>
        <w:ind w:right="420"/>
        <w:jc w:val="left"/>
        <w:outlineLvl w:val="1"/>
        <w:rPr>
          <w:rFonts w:hint="eastAsia" w:ascii="宋体" w:hAnsi="宋体" w:eastAsia="宋体" w:cs="宋体"/>
          <w:b/>
          <w:color w:val="auto"/>
          <w:kern w:val="0"/>
          <w:sz w:val="30"/>
          <w:szCs w:val="30"/>
          <w:highlight w:val="none"/>
        </w:rPr>
      </w:pPr>
      <w:r>
        <w:rPr>
          <w:rFonts w:hint="eastAsia" w:hAnsi="宋体" w:eastAsia="宋体" w:cs="宋体"/>
          <w:b/>
          <w:color w:val="auto"/>
          <w:kern w:val="0"/>
          <w:sz w:val="30"/>
          <w:szCs w:val="30"/>
          <w:highlight w:val="none"/>
          <w:lang w:val="en-US" w:eastAsia="zh-CN"/>
        </w:rPr>
        <w:t>七、</w:t>
      </w:r>
      <w:r>
        <w:rPr>
          <w:rFonts w:hint="eastAsia" w:ascii="宋体" w:hAnsi="宋体" w:eastAsia="宋体" w:cs="宋体"/>
          <w:b/>
          <w:color w:val="auto"/>
          <w:kern w:val="0"/>
          <w:sz w:val="30"/>
          <w:szCs w:val="30"/>
          <w:highlight w:val="none"/>
        </w:rPr>
        <w:t>投标人认为有必要提供的其它材料（不做强制要求）</w:t>
      </w:r>
      <w:bookmarkEnd w:id="991"/>
      <w:bookmarkEnd w:id="992"/>
      <w:bookmarkEnd w:id="993"/>
      <w:bookmarkEnd w:id="994"/>
      <w:bookmarkEnd w:id="995"/>
      <w:bookmarkEnd w:id="999"/>
      <w:bookmarkEnd w:id="1000"/>
      <w:bookmarkEnd w:id="1001"/>
      <w:bookmarkEnd w:id="1002"/>
    </w:p>
    <w:p w14:paraId="1B83843A">
      <w:pPr>
        <w:widowControl/>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25F37DA8">
      <w:pPr>
        <w:jc w:val="center"/>
        <w:outlineLvl w:val="1"/>
        <w:rPr>
          <w:rFonts w:hint="eastAsia" w:ascii="宋体" w:hAnsi="宋体" w:eastAsia="宋体" w:cs="宋体"/>
          <w:b/>
          <w:color w:val="auto"/>
          <w:kern w:val="0"/>
          <w:sz w:val="32"/>
          <w:szCs w:val="32"/>
          <w:highlight w:val="none"/>
        </w:rPr>
      </w:pPr>
      <w:bookmarkStart w:id="1003" w:name="_Toc13980"/>
      <w:bookmarkStart w:id="1004" w:name="_Toc29220"/>
      <w:bookmarkStart w:id="1005" w:name="_Toc13597"/>
      <w:bookmarkStart w:id="1006" w:name="_Toc18687"/>
      <w:bookmarkStart w:id="1007" w:name="_Toc22748"/>
      <w:bookmarkStart w:id="1008" w:name="_Toc29896"/>
      <w:bookmarkStart w:id="1009" w:name="_Toc195714410"/>
      <w:r>
        <w:rPr>
          <w:rFonts w:hint="eastAsia" w:ascii="宋体" w:hAnsi="宋体" w:eastAsia="宋体" w:cs="宋体"/>
          <w:b/>
          <w:color w:val="auto"/>
          <w:kern w:val="0"/>
          <w:sz w:val="32"/>
          <w:szCs w:val="32"/>
          <w:highlight w:val="none"/>
        </w:rPr>
        <w:t>三  投标文件报价信封格式</w:t>
      </w:r>
      <w:bookmarkEnd w:id="1003"/>
      <w:bookmarkEnd w:id="1004"/>
      <w:bookmarkEnd w:id="1005"/>
      <w:bookmarkEnd w:id="1006"/>
      <w:bookmarkEnd w:id="1007"/>
      <w:bookmarkEnd w:id="1008"/>
      <w:bookmarkEnd w:id="1009"/>
    </w:p>
    <w:p w14:paraId="42721057">
      <w:pPr>
        <w:jc w:val="center"/>
        <w:rPr>
          <w:rFonts w:hint="eastAsia" w:ascii="宋体" w:hAnsi="宋体" w:eastAsia="宋体" w:cs="宋体"/>
          <w:b/>
          <w:color w:val="auto"/>
          <w:kern w:val="0"/>
          <w:sz w:val="32"/>
          <w:szCs w:val="32"/>
          <w:highlight w:val="none"/>
        </w:rPr>
      </w:pPr>
    </w:p>
    <w:p w14:paraId="53EBB61B">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本部分由投标人使用电子标书制作软件编制并生成报价信封。报价信封的编制要求详见第二篇投标人须知第17.6.3项。由投标人按格式要求进行电子签名。</w:t>
      </w:r>
    </w:p>
    <w:p w14:paraId="69D96BFC">
      <w:pPr>
        <w:autoSpaceDE w:val="0"/>
        <w:autoSpaceDN w:val="0"/>
        <w:adjustRightInd w:val="0"/>
        <w:jc w:val="left"/>
        <w:rPr>
          <w:rFonts w:hint="eastAsia" w:ascii="宋体" w:hAnsi="宋体" w:eastAsia="宋体" w:cs="宋体"/>
          <w:color w:val="auto"/>
          <w:kern w:val="0"/>
          <w:sz w:val="24"/>
          <w:szCs w:val="24"/>
          <w:highlight w:val="none"/>
        </w:rPr>
      </w:pPr>
    </w:p>
    <w:p w14:paraId="3A3AAFA5">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jc w:val="left"/>
        <w:textAlignment w:val="auto"/>
        <w:outlineLvl w:val="0"/>
        <w:rPr>
          <w:rFonts w:hint="eastAsia" w:ascii="宋体" w:hAnsi="宋体" w:eastAsia="宋体" w:cs="宋体"/>
          <w:b/>
          <w:bCs/>
          <w:color w:val="auto"/>
          <w:kern w:val="44"/>
          <w:sz w:val="32"/>
          <w:szCs w:val="32"/>
          <w:highlight w:val="none"/>
          <w:lang w:val="zh-CN"/>
        </w:rPr>
      </w:pPr>
      <w:bookmarkStart w:id="1010" w:name="_Toc30367"/>
      <w:bookmarkStart w:id="1011" w:name="_Toc4870"/>
      <w:bookmarkStart w:id="1012" w:name="_Toc22667"/>
      <w:bookmarkStart w:id="1013" w:name="_Toc14977"/>
      <w:bookmarkStart w:id="1014" w:name="_Toc142508390"/>
      <w:bookmarkStart w:id="1015" w:name="_Toc21059"/>
      <w:bookmarkStart w:id="1016" w:name="_Toc522047402"/>
      <w:bookmarkStart w:id="1017" w:name="_Toc22601_WPSOffice_Level1"/>
      <w:bookmarkStart w:id="1018" w:name="_Toc521918141"/>
      <w:r>
        <w:rPr>
          <w:rFonts w:hint="eastAsia" w:ascii="宋体" w:hAnsi="宋体" w:eastAsia="宋体" w:cs="宋体"/>
          <w:b/>
          <w:bCs/>
          <w:color w:val="auto"/>
          <w:kern w:val="44"/>
          <w:sz w:val="32"/>
          <w:szCs w:val="32"/>
          <w:highlight w:val="none"/>
          <w:lang w:val="zh-CN"/>
        </w:rPr>
        <w:t>附件一：评标工作大纲</w:t>
      </w:r>
      <w:bookmarkEnd w:id="1010"/>
      <w:bookmarkEnd w:id="1011"/>
      <w:bookmarkEnd w:id="1012"/>
      <w:bookmarkEnd w:id="1013"/>
      <w:bookmarkEnd w:id="1014"/>
      <w:bookmarkEnd w:id="1015"/>
    </w:p>
    <w:p w14:paraId="7BA1CC76">
      <w:pPr>
        <w:autoSpaceDE w:val="0"/>
        <w:autoSpaceDN w:val="0"/>
        <w:adjustRightInd w:val="0"/>
        <w:spacing w:line="400" w:lineRule="atLeast"/>
        <w:jc w:val="center"/>
        <w:rPr>
          <w:rFonts w:hint="eastAsia" w:ascii="宋体" w:hAnsi="宋体" w:eastAsia="宋体" w:cs="宋体"/>
          <w:b/>
          <w:bCs/>
          <w:color w:val="auto"/>
          <w:szCs w:val="21"/>
          <w:highlight w:val="none"/>
        </w:rPr>
      </w:pPr>
    </w:p>
    <w:p w14:paraId="2D7D02A3">
      <w:pPr>
        <w:autoSpaceDE w:val="0"/>
        <w:autoSpaceDN w:val="0"/>
        <w:adjustRightInd w:val="0"/>
        <w:spacing w:line="400" w:lineRule="atLeast"/>
        <w:jc w:val="center"/>
        <w:rPr>
          <w:rFonts w:hint="eastAsia" w:ascii="宋体" w:hAnsi="宋体" w:eastAsia="宋体" w:cs="宋体"/>
          <w:b/>
          <w:bCs/>
          <w:color w:val="auto"/>
          <w:szCs w:val="21"/>
          <w:highlight w:val="none"/>
        </w:rPr>
      </w:pPr>
    </w:p>
    <w:p w14:paraId="5BE329A9">
      <w:pPr>
        <w:autoSpaceDE w:val="0"/>
        <w:autoSpaceDN w:val="0"/>
        <w:adjustRightInd w:val="0"/>
        <w:spacing w:line="400" w:lineRule="atLeast"/>
        <w:jc w:val="center"/>
        <w:rPr>
          <w:rFonts w:hint="eastAsia" w:ascii="宋体" w:hAnsi="宋体" w:eastAsia="宋体" w:cs="宋体"/>
          <w:b/>
          <w:bCs/>
          <w:color w:val="auto"/>
          <w:szCs w:val="21"/>
          <w:highlight w:val="none"/>
        </w:rPr>
      </w:pPr>
    </w:p>
    <w:p w14:paraId="5CFBD2E8">
      <w:pPr>
        <w:autoSpaceDE w:val="0"/>
        <w:autoSpaceDN w:val="0"/>
        <w:adjustRightInd w:val="0"/>
        <w:spacing w:line="400" w:lineRule="atLeast"/>
        <w:jc w:val="center"/>
        <w:rPr>
          <w:rFonts w:hint="eastAsia" w:ascii="宋体" w:hAnsi="宋体" w:eastAsia="宋体" w:cs="宋体"/>
          <w:b/>
          <w:bCs/>
          <w:color w:val="auto"/>
          <w:szCs w:val="21"/>
          <w:highlight w:val="none"/>
        </w:rPr>
      </w:pPr>
    </w:p>
    <w:p w14:paraId="1AF129DF">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36"/>
          <w:szCs w:val="44"/>
          <w:highlight w:val="none"/>
          <w:lang w:eastAsia="zh-CN"/>
        </w:rPr>
        <w:t>东莞市置拓投资有限公司水业大厦2026-2027年度物业管理服务采购项目</w:t>
      </w:r>
    </w:p>
    <w:p w14:paraId="31279907">
      <w:pPr>
        <w:autoSpaceDE w:val="0"/>
        <w:autoSpaceDN w:val="0"/>
        <w:adjustRightInd w:val="0"/>
        <w:spacing w:line="360" w:lineRule="auto"/>
        <w:jc w:val="center"/>
        <w:rPr>
          <w:rFonts w:hint="eastAsia" w:ascii="宋体" w:hAnsi="宋体" w:eastAsia="宋体" w:cs="宋体"/>
          <w:b/>
          <w:bCs/>
          <w:color w:val="auto"/>
          <w:sz w:val="36"/>
          <w:szCs w:val="36"/>
          <w:highlight w:val="none"/>
        </w:rPr>
      </w:pPr>
      <w:bookmarkStart w:id="1019" w:name="_Toc14752_WPSOffice_Level1"/>
      <w:r>
        <w:rPr>
          <w:rFonts w:hint="eastAsia" w:ascii="宋体" w:hAnsi="宋体" w:eastAsia="宋体" w:cs="宋体"/>
          <w:b/>
          <w:bCs/>
          <w:color w:val="auto"/>
          <w:sz w:val="36"/>
          <w:szCs w:val="36"/>
          <w:highlight w:val="none"/>
          <w:lang w:val="zh-CN"/>
        </w:rPr>
        <w:t>（招标编号：                  ）</w:t>
      </w:r>
      <w:bookmarkEnd w:id="1019"/>
    </w:p>
    <w:p w14:paraId="16773C23">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53B8C257">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129F34F">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67439D9">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1EA6EFC5">
      <w:pPr>
        <w:autoSpaceDE w:val="0"/>
        <w:autoSpaceDN w:val="0"/>
        <w:adjustRightInd w:val="0"/>
        <w:spacing w:line="400" w:lineRule="atLeast"/>
        <w:jc w:val="center"/>
        <w:rPr>
          <w:rFonts w:hint="eastAsia" w:ascii="宋体" w:hAnsi="宋体" w:eastAsia="宋体" w:cs="宋体"/>
          <w:b/>
          <w:bCs/>
          <w:color w:val="auto"/>
          <w:sz w:val="72"/>
          <w:szCs w:val="72"/>
          <w:highlight w:val="none"/>
          <w:lang w:val="zh-CN"/>
        </w:rPr>
      </w:pPr>
      <w:bookmarkStart w:id="1020" w:name="_Toc18947_WPSOffice_Level2"/>
      <w:r>
        <w:rPr>
          <w:rFonts w:hint="eastAsia" w:ascii="宋体" w:hAnsi="宋体" w:eastAsia="宋体" w:cs="宋体"/>
          <w:b/>
          <w:bCs/>
          <w:color w:val="auto"/>
          <w:sz w:val="72"/>
          <w:szCs w:val="72"/>
          <w:highlight w:val="none"/>
          <w:lang w:val="zh-CN"/>
        </w:rPr>
        <w:t>评标工作大纲</w:t>
      </w:r>
      <w:bookmarkEnd w:id="1020"/>
    </w:p>
    <w:p w14:paraId="4909C8BE">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81DE184">
      <w:pPr>
        <w:autoSpaceDE w:val="0"/>
        <w:autoSpaceDN w:val="0"/>
        <w:adjustRightInd w:val="0"/>
        <w:spacing w:line="400" w:lineRule="atLeast"/>
        <w:rPr>
          <w:rFonts w:hint="eastAsia" w:ascii="宋体" w:hAnsi="宋体" w:eastAsia="宋体" w:cs="宋体"/>
          <w:b/>
          <w:bCs/>
          <w:color w:val="auto"/>
          <w:sz w:val="36"/>
          <w:szCs w:val="36"/>
          <w:highlight w:val="none"/>
        </w:rPr>
      </w:pPr>
    </w:p>
    <w:p w14:paraId="32805783">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67750A12">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241202CF">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608D491C">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三方诚信招标有限公司</w:t>
      </w:r>
    </w:p>
    <w:p w14:paraId="4B195933">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12DDB424">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1021" w:name="_Toc32395_WPSOffice_Level1"/>
      <w:r>
        <w:rPr>
          <w:rFonts w:hint="eastAsia" w:ascii="宋体" w:hAnsi="宋体" w:eastAsia="宋体" w:cs="宋体"/>
          <w:b/>
          <w:bCs/>
          <w:color w:val="auto"/>
          <w:sz w:val="36"/>
          <w:szCs w:val="36"/>
          <w:highlight w:val="none"/>
          <w:lang w:val="zh-CN"/>
        </w:rPr>
        <w:t>目录</w:t>
      </w:r>
      <w:bookmarkEnd w:id="1021"/>
    </w:p>
    <w:p w14:paraId="7FF66C0A">
      <w:pPr>
        <w:autoSpaceDE w:val="0"/>
        <w:autoSpaceDN w:val="0"/>
        <w:adjustRightInd w:val="0"/>
        <w:spacing w:line="400" w:lineRule="atLeast"/>
        <w:jc w:val="center"/>
        <w:rPr>
          <w:rFonts w:hint="eastAsia" w:ascii="宋体" w:hAnsi="宋体" w:eastAsia="宋体" w:cs="宋体"/>
          <w:color w:val="auto"/>
          <w:sz w:val="44"/>
          <w:szCs w:val="44"/>
          <w:highlight w:val="none"/>
        </w:rPr>
      </w:pPr>
    </w:p>
    <w:p w14:paraId="120FC53B">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1022"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1022"/>
    </w:p>
    <w:p w14:paraId="602C6F6A">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1023"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1023"/>
    </w:p>
    <w:p w14:paraId="6A4AC270">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1024"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1024"/>
    </w:p>
    <w:p w14:paraId="23DD5E48">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1025" w:name="_Toc1206_WPSOffice_Level1"/>
      <w:r>
        <w:rPr>
          <w:rFonts w:hint="eastAsia" w:ascii="宋体" w:hAnsi="宋体" w:eastAsia="宋体" w:cs="宋体"/>
          <w:color w:val="auto"/>
          <w:szCs w:val="30"/>
          <w:highlight w:val="none"/>
        </w:rPr>
        <w:t>四、 比较和评价</w:t>
      </w:r>
      <w:bookmarkEnd w:id="1025"/>
    </w:p>
    <w:p w14:paraId="37D3538D">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1026"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1026"/>
    </w:p>
    <w:p w14:paraId="523E24D6">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1027"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1027"/>
    </w:p>
    <w:p w14:paraId="6314402A">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1028"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1028"/>
    </w:p>
    <w:p w14:paraId="64BFF551">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37059D4D">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59CF111B">
      <w:pPr>
        <w:tabs>
          <w:tab w:val="left" w:pos="1080"/>
          <w:tab w:val="right" w:pos="7320"/>
        </w:tabs>
        <w:autoSpaceDE w:val="0"/>
        <w:autoSpaceDN w:val="0"/>
        <w:adjustRightInd w:val="0"/>
        <w:spacing w:line="400" w:lineRule="atLeast"/>
        <w:ind w:left="720" w:hanging="720"/>
        <w:rPr>
          <w:rFonts w:hint="eastAsia" w:ascii="宋体" w:hAnsi="宋体" w:eastAsia="宋体" w:cs="宋体"/>
          <w:color w:val="auto"/>
          <w:szCs w:val="30"/>
          <w:highlight w:val="none"/>
        </w:rPr>
      </w:pPr>
    </w:p>
    <w:p w14:paraId="70BEEEFC">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1029"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1029"/>
    </w:p>
    <w:p w14:paraId="6A3D33D4">
      <w:pPr>
        <w:tabs>
          <w:tab w:val="left" w:pos="567"/>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53513D61">
      <w:pPr>
        <w:autoSpaceDE w:val="0"/>
        <w:autoSpaceDN w:val="0"/>
        <w:adjustRightInd w:val="0"/>
        <w:spacing w:line="360" w:lineRule="auto"/>
        <w:ind w:left="567" w:hanging="567"/>
        <w:rPr>
          <w:rFonts w:hint="eastAsia"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东莞市置拓投资有限公司水业大厦2026-2027年度物业管理服务采购项目</w:t>
      </w:r>
      <w:r>
        <w:rPr>
          <w:rFonts w:hint="eastAsia" w:ascii="宋体" w:hAnsi="宋体" w:eastAsia="宋体" w:cs="宋体"/>
          <w:color w:val="auto"/>
          <w:szCs w:val="21"/>
          <w:highlight w:val="none"/>
          <w:lang w:val="zh-CN"/>
        </w:rPr>
        <w:t xml:space="preserve">(招标编号：                  </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07D4E26F">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68E7BE91">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三方诚信招标有限公司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3FC7EE74">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41604BB6">
      <w:pPr>
        <w:numPr>
          <w:ilvl w:val="1"/>
          <w:numId w:val="41"/>
        </w:numPr>
        <w:autoSpaceDE w:val="0"/>
        <w:autoSpaceDN w:val="0"/>
        <w:adjustRightInd w:val="0"/>
        <w:spacing w:line="360" w:lineRule="auto"/>
        <w:ind w:left="565" w:hanging="564" w:hangingChars="269"/>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6ECC16C3">
      <w:pPr>
        <w:autoSpaceDE w:val="0"/>
        <w:autoSpaceDN w:val="0"/>
        <w:adjustRightInd w:val="0"/>
        <w:spacing w:line="360" w:lineRule="auto"/>
        <w:rPr>
          <w:rFonts w:hint="eastAsia" w:ascii="宋体" w:hAnsi="宋体" w:eastAsia="宋体" w:cs="宋体"/>
          <w:color w:val="auto"/>
          <w:sz w:val="24"/>
          <w:szCs w:val="24"/>
          <w:highlight w:val="none"/>
          <w:lang w:val="zh-CN"/>
        </w:rPr>
      </w:pPr>
    </w:p>
    <w:p w14:paraId="707DE6D1">
      <w:pPr>
        <w:tabs>
          <w:tab w:val="left" w:pos="360"/>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5ADE34F8">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lang w:val="en-US" w:eastAsia="zh-CN"/>
        </w:rPr>
        <w:t>7</w:t>
      </w:r>
      <w:r>
        <w:rPr>
          <w:rFonts w:hint="eastAsia" w:ascii="宋体" w:hAnsi="宋体" w:eastAsia="宋体" w:cs="宋体"/>
          <w:b/>
          <w:bCs/>
          <w:color w:val="auto"/>
          <w:kern w:val="0"/>
          <w:szCs w:val="24"/>
          <w:highlight w:val="none"/>
        </w:rPr>
        <w:t>人以上（含</w:t>
      </w:r>
      <w:r>
        <w:rPr>
          <w:rFonts w:hint="eastAsia" w:ascii="宋体" w:hAnsi="宋体" w:eastAsia="宋体" w:cs="宋体"/>
          <w:b/>
          <w:bCs/>
          <w:color w:val="auto"/>
          <w:kern w:val="0"/>
          <w:szCs w:val="24"/>
          <w:highlight w:val="none"/>
          <w:lang w:val="en-US" w:eastAsia="zh-CN"/>
        </w:rPr>
        <w:t>7</w:t>
      </w:r>
      <w:r>
        <w:rPr>
          <w:rFonts w:hint="eastAsia" w:ascii="宋体" w:hAnsi="宋体" w:eastAsia="宋体" w:cs="宋体"/>
          <w:b/>
          <w:bCs/>
          <w:color w:val="auto"/>
          <w:kern w:val="0"/>
          <w:szCs w:val="24"/>
          <w:highlight w:val="none"/>
        </w:rPr>
        <w:t>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3259EA2A">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5707C380">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6F97E91A">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6C4124DE">
      <w:pPr>
        <w:autoSpaceDE w:val="0"/>
        <w:autoSpaceDN w:val="0"/>
        <w:adjustRightInd w:val="0"/>
        <w:spacing w:line="360" w:lineRule="auto"/>
        <w:rPr>
          <w:rFonts w:hint="eastAsia" w:ascii="宋体" w:hAnsi="宋体" w:eastAsia="宋体" w:cs="宋体"/>
          <w:color w:val="auto"/>
          <w:sz w:val="24"/>
          <w:szCs w:val="24"/>
          <w:highlight w:val="none"/>
          <w:lang w:val="zh-CN"/>
        </w:rPr>
      </w:pPr>
    </w:p>
    <w:p w14:paraId="57D10956">
      <w:pPr>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12E18972">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57B2D17B">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32FC2F0A">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5D62D601">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2120F6BB">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p>
    <w:p w14:paraId="520DA551">
      <w:pPr>
        <w:tabs>
          <w:tab w:val="left" w:pos="720"/>
        </w:tabs>
        <w:autoSpaceDE w:val="0"/>
        <w:autoSpaceDN w:val="0"/>
        <w:adjustRightInd w:val="0"/>
        <w:spacing w:line="360" w:lineRule="auto"/>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5907ACB2">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1D1462FC">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2BB19743">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37D5D945">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1FC41F0A">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051AEEB3">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683FA41A">
      <w:pPr>
        <w:tabs>
          <w:tab w:val="left" w:pos="720"/>
        </w:tabs>
        <w:autoSpaceDE w:val="0"/>
        <w:autoSpaceDN w:val="0"/>
        <w:adjustRightInd w:val="0"/>
        <w:spacing w:line="360" w:lineRule="auto"/>
        <w:rPr>
          <w:rFonts w:hint="eastAsia" w:ascii="宋体" w:hAnsi="宋体" w:eastAsia="宋体" w:cs="宋体"/>
          <w:color w:val="auto"/>
          <w:sz w:val="24"/>
          <w:szCs w:val="24"/>
          <w:highlight w:val="none"/>
          <w:lang w:val="zh-CN"/>
        </w:rPr>
      </w:pPr>
    </w:p>
    <w:p w14:paraId="55856C32">
      <w:pPr>
        <w:tabs>
          <w:tab w:val="left" w:pos="1547"/>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bCs/>
          <w:color w:val="auto"/>
          <w:szCs w:val="21"/>
          <w:highlight w:val="none"/>
          <w:lang w:val="zh-CN"/>
        </w:rPr>
        <w:t>5、评审程序</w:t>
      </w:r>
    </w:p>
    <w:p w14:paraId="20B20DB0">
      <w:pPr>
        <w:autoSpaceDE w:val="0"/>
        <w:autoSpaceDN w:val="0"/>
        <w:adjustRightInd w:val="0"/>
        <w:spacing w:line="360" w:lineRule="auto"/>
        <w:ind w:left="567" w:hanging="567"/>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公开招标：</w:t>
      </w:r>
    </w:p>
    <w:p w14:paraId="7813DA6B">
      <w:pPr>
        <w:autoSpaceDE w:val="0"/>
        <w:autoSpaceDN w:val="0"/>
        <w:adjustRightInd w:val="0"/>
        <w:spacing w:line="360" w:lineRule="auto"/>
        <w:ind w:left="567" w:hanging="567"/>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14:paraId="43C60ED9">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14:paraId="0C5B7199">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14:paraId="624CD46E">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p>
    <w:p w14:paraId="3DD206E7">
      <w:pPr>
        <w:autoSpaceDE w:val="0"/>
        <w:autoSpaceDN w:val="0"/>
        <w:adjustRightInd w:val="0"/>
        <w:spacing w:line="360" w:lineRule="auto"/>
        <w:ind w:left="567" w:hanging="567"/>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14:paraId="3E740A89">
      <w:pPr>
        <w:autoSpaceDE w:val="0"/>
        <w:autoSpaceDN w:val="0"/>
        <w:adjustRightInd w:val="0"/>
        <w:spacing w:line="360" w:lineRule="auto"/>
        <w:ind w:left="567" w:hanging="567"/>
        <w:rPr>
          <w:rFonts w:hint="eastAsia"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14:paraId="71735A2A">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14:paraId="22CFF6C3">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p>
    <w:p w14:paraId="48FBC867">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1030" w:name="_Toc19435_WPSOffice_Level1"/>
      <w:r>
        <w:rPr>
          <w:rFonts w:hint="eastAsia" w:ascii="宋体" w:hAnsi="宋体" w:eastAsia="宋体" w:cs="宋体"/>
          <w:b/>
          <w:bCs/>
          <w:color w:val="auto"/>
          <w:sz w:val="28"/>
          <w:szCs w:val="28"/>
          <w:highlight w:val="none"/>
          <w:lang w:val="zh-CN"/>
        </w:rPr>
        <w:t>二、投标文件的初审</w:t>
      </w:r>
      <w:bookmarkEnd w:id="1030"/>
    </w:p>
    <w:p w14:paraId="327F8ABC">
      <w:pPr>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32BFECA8">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545E7812">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2470BD2A">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4D3A92E3">
      <w:pPr>
        <w:autoSpaceDE w:val="0"/>
        <w:autoSpaceDN w:val="0"/>
        <w:adjustRightInd w:val="0"/>
        <w:spacing w:line="360" w:lineRule="auto"/>
        <w:ind w:firstLine="840" w:firstLine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7967446D">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45F22341">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648ECDA4">
      <w:pPr>
        <w:autoSpaceDE w:val="0"/>
        <w:autoSpaceDN w:val="0"/>
        <w:adjustRightInd w:val="0"/>
        <w:spacing w:line="360" w:lineRule="auto"/>
        <w:outlineLvl w:val="9"/>
        <w:rPr>
          <w:rFonts w:hint="eastAsia" w:ascii="宋体" w:hAnsi="宋体" w:eastAsia="宋体" w:cs="宋体"/>
          <w:b/>
          <w:color w:val="auto"/>
          <w:szCs w:val="21"/>
          <w:highlight w:val="none"/>
          <w:lang w:val="zh-CN"/>
        </w:rPr>
      </w:pPr>
      <w:bookmarkStart w:id="1031" w:name="_Toc26899"/>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 上传的投标文件损坏或无法读取的；</w:t>
      </w:r>
      <w:bookmarkEnd w:id="1031"/>
    </w:p>
    <w:p w14:paraId="4153C798">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.2 经招标人确认，投标人在公共资源交易企业库填报的与本项目密切相关的信息与事实不相符的；</w:t>
      </w:r>
    </w:p>
    <w:p w14:paraId="51E8B292">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.3 投标文件中使用的本项目招标文件版本，与交易系统上发布的本项目招标文件的最新版本不一致的；</w:t>
      </w:r>
    </w:p>
    <w:p w14:paraId="141EAFCE">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 xml:space="preserve"> 投标文件签名使用的数字证书与签到的投标人名称不一致的；</w:t>
      </w:r>
    </w:p>
    <w:p w14:paraId="5AEAFD7D">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投标人的投标编制MAC信息、投标编制CPU序列号、投标编制硬盘序列号均与其他投标人相同的；</w:t>
      </w:r>
    </w:p>
    <w:p w14:paraId="09F00697">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lang w:val="zh-CN"/>
        </w:rPr>
        <w:t xml:space="preserve"> 投标文件附有招标人不能接受的条件的；</w:t>
      </w:r>
    </w:p>
    <w:p w14:paraId="154A217A">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 xml:space="preserve"> 投标人资格不满足第二篇投标人须知第2</w:t>
      </w:r>
      <w:r>
        <w:rPr>
          <w:rFonts w:hint="eastAsia" w:ascii="宋体" w:hAnsi="宋体" w:eastAsia="宋体" w:cs="宋体"/>
          <w:b/>
          <w:color w:val="auto"/>
          <w:szCs w:val="21"/>
          <w:highlight w:val="none"/>
          <w:lang w:val="en-US" w:eastAsia="zh-CN"/>
        </w:rPr>
        <w:t>条</w:t>
      </w:r>
      <w:r>
        <w:rPr>
          <w:rFonts w:hint="eastAsia" w:ascii="宋体" w:hAnsi="宋体" w:eastAsia="宋体" w:cs="宋体"/>
          <w:b/>
          <w:color w:val="auto"/>
          <w:szCs w:val="21"/>
          <w:highlight w:val="none"/>
          <w:lang w:val="zh-CN"/>
        </w:rPr>
        <w:t>的要求；</w:t>
      </w:r>
    </w:p>
    <w:p w14:paraId="529F3940">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lang w:val="zh-CN"/>
        </w:rPr>
        <w:t xml:space="preserve"> 投标人未按招标文件要求交纳投标保证金的；</w:t>
      </w:r>
    </w:p>
    <w:p w14:paraId="72109E82">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lang w:val="zh-CN"/>
        </w:rPr>
        <w:t xml:space="preserve"> 投标文件报价信封中填报的投标报价高于最高投标限价的或投标报价表中投标报价超过最高投标限价的或单项报价超过单项最高投标限价的；</w:t>
      </w:r>
    </w:p>
    <w:p w14:paraId="2BF313CD">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0</w:t>
      </w:r>
      <w:r>
        <w:rPr>
          <w:rFonts w:hint="eastAsia" w:ascii="宋体" w:hAnsi="宋体" w:eastAsia="宋体" w:cs="宋体"/>
          <w:b/>
          <w:color w:val="auto"/>
          <w:szCs w:val="21"/>
          <w:highlight w:val="none"/>
          <w:lang w:val="zh-CN"/>
        </w:rPr>
        <w:t xml:space="preserve"> 投标人以低于企业成本价报价，且投标人不能合理说明或不能提供相关证明材料；</w:t>
      </w:r>
    </w:p>
    <w:p w14:paraId="025A78E4">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val="zh-CN"/>
        </w:rPr>
        <w:t xml:space="preserve"> 投标人递交两份或多份内容不同的投标文件，或在一份投标文件中报有两个或多个报价，且未书面声明哪一个有效；</w:t>
      </w:r>
    </w:p>
    <w:p w14:paraId="6DD0E8B0">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val="zh-CN"/>
        </w:rPr>
        <w:t xml:space="preserve"> 投标文件未按第二篇投标人须知第17</w:t>
      </w:r>
      <w:r>
        <w:rPr>
          <w:rFonts w:hint="eastAsia" w:ascii="宋体" w:hAnsi="宋体" w:eastAsia="宋体" w:cs="宋体"/>
          <w:b/>
          <w:color w:val="auto"/>
          <w:szCs w:val="21"/>
          <w:highlight w:val="none"/>
          <w:lang w:val="en-US" w:eastAsia="zh-CN"/>
        </w:rPr>
        <w:t>条</w:t>
      </w:r>
      <w:r>
        <w:rPr>
          <w:rFonts w:hint="eastAsia" w:ascii="宋体" w:hAnsi="宋体" w:eastAsia="宋体" w:cs="宋体"/>
          <w:b/>
          <w:color w:val="auto"/>
          <w:szCs w:val="21"/>
          <w:highlight w:val="none"/>
          <w:lang w:val="zh-CN"/>
        </w:rPr>
        <w:t xml:space="preserve">的要求编制、使用企业数字证书或个人数字证书电子签名的； </w:t>
      </w:r>
    </w:p>
    <w:p w14:paraId="655A9D15">
      <w:pPr>
        <w:autoSpaceDE w:val="0"/>
        <w:autoSpaceDN w:val="0"/>
        <w:adjustRightInd w:val="0"/>
        <w:spacing w:line="360" w:lineRule="auto"/>
        <w:outlineLvl w:val="9"/>
        <w:rPr>
          <w:rFonts w:hint="eastAsia" w:ascii="宋体" w:hAnsi="宋体" w:eastAsia="宋体" w:cs="宋体"/>
          <w:b/>
          <w:color w:val="auto"/>
          <w:szCs w:val="21"/>
          <w:highlight w:val="none"/>
          <w:lang w:val="zh-CN"/>
        </w:rPr>
      </w:pPr>
      <w:bookmarkStart w:id="1032" w:name="_Toc16046"/>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 xml:space="preserve"> 投标有效期限不符合要求；</w:t>
      </w:r>
      <w:bookmarkEnd w:id="1032"/>
    </w:p>
    <w:p w14:paraId="4B29D82D">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 xml:space="preserve"> 投标文件未对招标范围内的全部内容进行投标报价或投标方案不是唯一；</w:t>
      </w:r>
    </w:p>
    <w:p w14:paraId="79451671">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 xml:space="preserve"> 未提供或虚假填写《合同条款偏离表》，或对《合同条款偏离表》有负偏离的；</w:t>
      </w:r>
    </w:p>
    <w:p w14:paraId="22F24ED0">
      <w:pPr>
        <w:autoSpaceDE w:val="0"/>
        <w:autoSpaceDN w:val="0"/>
        <w:adjustRightInd w:val="0"/>
        <w:spacing w:line="360" w:lineRule="auto"/>
        <w:outlineLvl w:val="9"/>
        <w:rPr>
          <w:rFonts w:hint="eastAsia" w:ascii="宋体" w:hAnsi="宋体" w:eastAsia="宋体" w:cs="宋体"/>
          <w:b/>
          <w:color w:val="auto"/>
          <w:szCs w:val="21"/>
          <w:highlight w:val="none"/>
          <w:lang w:val="zh-CN"/>
        </w:rPr>
      </w:pPr>
      <w:bookmarkStart w:id="1033" w:name="_Toc18040"/>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lang w:val="zh-CN"/>
        </w:rPr>
        <w:t xml:space="preserve"> 未填写或虚假填写《用户需求偏离表》的；</w:t>
      </w:r>
      <w:bookmarkEnd w:id="1033"/>
    </w:p>
    <w:p w14:paraId="7A75AD6F">
      <w:pPr>
        <w:spacing w:line="360" w:lineRule="auto"/>
        <w:ind w:left="0" w:leftChars="0" w:firstLine="0" w:firstLineChars="0"/>
        <w:rPr>
          <w:rFonts w:hint="eastAsia" w:ascii="宋体" w:hAnsi="宋体" w:eastAsia="宋体" w:cs="宋体"/>
          <w:b/>
          <w:bCs w:val="0"/>
          <w:color w:val="auto"/>
          <w:szCs w:val="21"/>
          <w:lang w:val="en-US"/>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 xml:space="preserve"> 未响应招标文件提出的实质性要求和条件（标注★的条款）；</w:t>
      </w:r>
    </w:p>
    <w:p w14:paraId="26FD6253">
      <w:pPr>
        <w:autoSpaceDE w:val="0"/>
        <w:autoSpaceDN w:val="0"/>
        <w:adjustRightInd w:val="0"/>
        <w:spacing w:line="360" w:lineRule="auto"/>
        <w:ind w:left="315" w:hanging="316" w:hangingChars="1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18</w:t>
      </w:r>
      <w:r>
        <w:rPr>
          <w:rFonts w:hint="eastAsia" w:ascii="宋体" w:hAnsi="宋体" w:eastAsia="宋体" w:cs="宋体"/>
          <w:b/>
          <w:color w:val="auto"/>
          <w:szCs w:val="21"/>
          <w:highlight w:val="none"/>
          <w:lang w:val="zh-CN"/>
        </w:rPr>
        <w:t xml:space="preserve"> 属于招标文件中规定为无效标的；属于法律、法规、规章规定的应作无效投标文件处理的。</w:t>
      </w:r>
    </w:p>
    <w:p w14:paraId="66C681C6">
      <w:pPr>
        <w:autoSpaceDE w:val="0"/>
        <w:autoSpaceDN w:val="0"/>
        <w:adjustRightInd w:val="0"/>
        <w:spacing w:line="360" w:lineRule="auto"/>
        <w:ind w:left="315" w:hanging="315" w:hangingChars="150"/>
        <w:rPr>
          <w:rFonts w:hint="eastAsia"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22F28255">
      <w:pPr>
        <w:spacing w:line="360" w:lineRule="auto"/>
        <w:ind w:left="480"/>
        <w:rPr>
          <w:rFonts w:hint="eastAsia" w:ascii="宋体" w:hAnsi="宋体" w:eastAsia="宋体" w:cs="宋体"/>
          <w:b/>
          <w:color w:val="auto"/>
          <w:kern w:val="0"/>
          <w:szCs w:val="21"/>
          <w:highlight w:val="none"/>
        </w:rPr>
      </w:pPr>
    </w:p>
    <w:p w14:paraId="1D4F05F7">
      <w:pPr>
        <w:tabs>
          <w:tab w:val="left" w:pos="1140"/>
        </w:tabs>
        <w:autoSpaceDE w:val="0"/>
        <w:autoSpaceDN w:val="0"/>
        <w:adjustRightInd w:val="0"/>
        <w:spacing w:line="360" w:lineRule="auto"/>
        <w:ind w:firstLine="3528" w:firstLineChars="1255"/>
        <w:jc w:val="left"/>
        <w:rPr>
          <w:rFonts w:hint="eastAsia" w:ascii="宋体" w:hAnsi="宋体" w:eastAsia="宋体" w:cs="宋体"/>
          <w:b/>
          <w:bCs/>
          <w:color w:val="auto"/>
          <w:sz w:val="28"/>
          <w:szCs w:val="28"/>
          <w:highlight w:val="none"/>
        </w:rPr>
      </w:pPr>
      <w:bookmarkStart w:id="1034" w:name="_Toc4109_WPSOffice_Level1"/>
      <w:r>
        <w:rPr>
          <w:rFonts w:hint="eastAsia" w:ascii="宋体" w:hAnsi="宋体" w:eastAsia="宋体" w:cs="宋体"/>
          <w:b/>
          <w:bCs/>
          <w:color w:val="auto"/>
          <w:sz w:val="28"/>
          <w:szCs w:val="28"/>
          <w:highlight w:val="none"/>
          <w:lang w:val="zh-CN"/>
        </w:rPr>
        <w:t>三、澄清有关问题</w:t>
      </w:r>
      <w:bookmarkEnd w:id="1034"/>
    </w:p>
    <w:p w14:paraId="2D77FA76">
      <w:pPr>
        <w:autoSpaceDE w:val="0"/>
        <w:autoSpaceDN w:val="0"/>
        <w:adjustRightInd w:val="0"/>
        <w:spacing w:line="360" w:lineRule="auto"/>
        <w:ind w:left="315" w:hanging="315" w:hangingChars="15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2D1EF7A1">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47D6F0BC">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038157E5">
      <w:pPr>
        <w:autoSpaceDE w:val="0"/>
        <w:autoSpaceDN w:val="0"/>
        <w:adjustRightInd w:val="0"/>
        <w:spacing w:line="360" w:lineRule="auto"/>
        <w:ind w:left="529" w:right="18"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53E94DA6">
      <w:pPr>
        <w:spacing w:line="360" w:lineRule="auto"/>
        <w:ind w:left="424" w:hanging="424" w:hangingChars="20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083FC035">
      <w:pPr>
        <w:spacing w:line="360" w:lineRule="auto"/>
        <w:ind w:left="567" w:hanging="567" w:hangingChars="27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r>
        <w:rPr>
          <w:rFonts w:hint="eastAsia" w:ascii="宋体" w:hAnsi="宋体" w:eastAsia="宋体" w:cs="宋体"/>
          <w:color w:val="auto"/>
          <w:kern w:val="0"/>
          <w:szCs w:val="21"/>
          <w:highlight w:val="none"/>
          <w:lang w:val="en-US" w:eastAsia="zh-CN"/>
        </w:rPr>
        <w:t>①</w:t>
      </w:r>
      <w:r>
        <w:rPr>
          <w:rFonts w:hint="eastAsia" w:ascii="宋体" w:hAnsi="宋体" w:eastAsia="宋体" w:cs="宋体"/>
          <w:color w:val="auto"/>
          <w:kern w:val="0"/>
          <w:szCs w:val="21"/>
          <w:highlight w:val="none"/>
        </w:rPr>
        <w:t>投标报价表不含税总报价金额与报价信封中的投标值不一致的，以报价信封中的投标值为准；</w:t>
      </w:r>
      <w:r>
        <w:rPr>
          <w:rFonts w:hint="eastAsia" w:ascii="宋体" w:hAnsi="宋体" w:eastAsia="宋体" w:cs="宋体"/>
          <w:color w:val="auto"/>
          <w:kern w:val="0"/>
          <w:szCs w:val="21"/>
          <w:highlight w:val="none"/>
          <w:lang w:val="en-US" w:eastAsia="zh-CN"/>
        </w:rPr>
        <w:t>②</w:t>
      </w:r>
      <w:r>
        <w:rPr>
          <w:rFonts w:hint="eastAsia" w:ascii="宋体" w:hAnsi="宋体" w:eastAsia="宋体" w:cs="宋体"/>
          <w:color w:val="auto"/>
          <w:kern w:val="0"/>
          <w:szCs w:val="21"/>
          <w:highlight w:val="none"/>
        </w:rPr>
        <w:t>投标报价表内容与投标分项报价表或投标文件中相应内容不一致的，以投标报价表为准；</w:t>
      </w:r>
      <w:r>
        <w:rPr>
          <w:rFonts w:hint="eastAsia" w:ascii="宋体" w:hAnsi="宋体" w:eastAsia="宋体" w:cs="宋体"/>
          <w:color w:val="auto"/>
          <w:kern w:val="0"/>
          <w:szCs w:val="21"/>
          <w:highlight w:val="none"/>
          <w:lang w:val="en-US" w:eastAsia="zh-CN"/>
        </w:rPr>
        <w:t>③</w:t>
      </w:r>
      <w:r>
        <w:rPr>
          <w:rFonts w:hint="eastAsia" w:ascii="宋体" w:hAnsi="宋体" w:eastAsia="宋体" w:cs="宋体"/>
          <w:color w:val="auto"/>
          <w:kern w:val="0"/>
          <w:szCs w:val="21"/>
          <w:highlight w:val="none"/>
        </w:rPr>
        <w:t>当以数字表示的金额与以文字表示的金额不一致时，以文字表示的金额为准。</w:t>
      </w:r>
      <w:r>
        <w:rPr>
          <w:rFonts w:hint="eastAsia" w:ascii="宋体" w:hAnsi="宋体" w:eastAsia="宋体" w:cs="宋体"/>
          <w:color w:val="auto"/>
          <w:kern w:val="0"/>
          <w:szCs w:val="21"/>
          <w:highlight w:val="none"/>
          <w:lang w:val="en-US" w:eastAsia="zh-CN"/>
        </w:rPr>
        <w:t>④</w:t>
      </w:r>
      <w:r>
        <w:rPr>
          <w:rFonts w:hint="eastAsia" w:ascii="宋体" w:hAnsi="宋体" w:eastAsia="宋体" w:cs="宋体"/>
          <w:color w:val="auto"/>
          <w:kern w:val="0"/>
          <w:szCs w:val="21"/>
          <w:highlight w:val="none"/>
        </w:rPr>
        <w:t>单项报价的金额小数点有明显错位的，以投标报价表的总价为准，并修改单项报价；</w:t>
      </w:r>
      <w:r>
        <w:rPr>
          <w:rFonts w:hint="eastAsia" w:ascii="宋体" w:hAnsi="宋体" w:eastAsia="宋体" w:cs="宋体"/>
          <w:color w:val="auto"/>
          <w:kern w:val="0"/>
          <w:szCs w:val="21"/>
          <w:highlight w:val="none"/>
          <w:lang w:val="en-US" w:eastAsia="zh-CN"/>
        </w:rPr>
        <w:t>⑤</w:t>
      </w:r>
      <w:r>
        <w:rPr>
          <w:rFonts w:hint="eastAsia" w:ascii="宋体" w:hAnsi="宋体" w:eastAsia="宋体" w:cs="宋体"/>
          <w:color w:val="auto"/>
          <w:kern w:val="0"/>
          <w:szCs w:val="21"/>
          <w:highlight w:val="none"/>
        </w:rPr>
        <w:t>投标报价表内单项报价汇总金额与不含税总报价不一致的，以单项报价计算结果为准；</w:t>
      </w:r>
      <w:r>
        <w:rPr>
          <w:rFonts w:hint="eastAsia" w:ascii="宋体" w:hAnsi="宋体" w:eastAsia="宋体" w:cs="宋体"/>
          <w:color w:val="auto"/>
          <w:kern w:val="0"/>
          <w:szCs w:val="21"/>
          <w:highlight w:val="none"/>
          <w:lang w:val="en-US" w:eastAsia="zh-CN"/>
        </w:rPr>
        <w:t>⑥</w:t>
      </w:r>
      <w:r>
        <w:rPr>
          <w:rFonts w:hint="eastAsia" w:ascii="宋体" w:hAnsi="宋体" w:eastAsia="宋体" w:cs="宋体"/>
          <w:color w:val="auto"/>
          <w:kern w:val="0"/>
          <w:szCs w:val="21"/>
          <w:highlight w:val="none"/>
        </w:rPr>
        <w:t>投标分项报价表内单项报价汇总金额与不含税合计金额不一致的，以单项报价金额计算结果为准</w:t>
      </w:r>
      <w:r>
        <w:rPr>
          <w:rFonts w:hint="eastAsia" w:ascii="宋体" w:hAnsi="宋体" w:eastAsia="宋体" w:cs="宋体"/>
          <w:color w:val="auto"/>
          <w:kern w:val="0"/>
          <w:szCs w:val="21"/>
          <w:highlight w:val="none"/>
          <w:lang w:val="en-US" w:eastAsia="zh-CN"/>
        </w:rPr>
        <w:t>⑦</w:t>
      </w:r>
      <w:r>
        <w:rPr>
          <w:rFonts w:hint="eastAsia" w:ascii="宋体" w:hAnsi="宋体" w:eastAsia="宋体" w:cs="宋体"/>
          <w:color w:val="auto"/>
          <w:kern w:val="0"/>
          <w:szCs w:val="21"/>
          <w:highlight w:val="none"/>
        </w:rPr>
        <w:t>按前述修正原则排序依次进行修正至唯一值后的报价表经双方确认后，作为合同文件的组成部分。</w:t>
      </w:r>
    </w:p>
    <w:p w14:paraId="2025AB08">
      <w:pPr>
        <w:spacing w:line="360" w:lineRule="auto"/>
        <w:ind w:left="567" w:hanging="567" w:hangingChars="270"/>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362247B8">
      <w:pPr>
        <w:spacing w:line="360" w:lineRule="auto"/>
        <w:ind w:left="567" w:hanging="567" w:hangingChars="27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0E3D8B2F">
      <w:pPr>
        <w:spacing w:line="360" w:lineRule="auto"/>
        <w:ind w:left="567" w:hanging="567" w:hangingChars="270"/>
        <w:rPr>
          <w:rFonts w:hint="eastAsia" w:ascii="宋体" w:hAnsi="宋体" w:eastAsia="宋体" w:cs="宋体"/>
          <w:color w:val="auto"/>
          <w:kern w:val="0"/>
          <w:szCs w:val="21"/>
          <w:highlight w:val="none"/>
          <w:lang w:val="zh-CN"/>
        </w:rPr>
      </w:pPr>
    </w:p>
    <w:p w14:paraId="25F9D378">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bookmarkStart w:id="1035" w:name="_Toc8518_WPSOffice_Level1"/>
    </w:p>
    <w:p w14:paraId="3C269FFD">
      <w:pPr>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1035"/>
    </w:p>
    <w:p w14:paraId="2A2409B1">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26096475">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p>
    <w:p w14:paraId="75939641">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050CF967">
      <w:pPr>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11.1 参加评分的评委应尽力体现客观、实事求是，避免学派偏见和个人偏好。</w:t>
      </w:r>
    </w:p>
    <w:p w14:paraId="680F9950">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11.2 衡量、对比的依据，应以招标文件、投标文件、提供的正式试验数据、开标澄清中的文字为准，口头回答和收集的资料只作为参考。</w:t>
      </w:r>
    </w:p>
    <w:p w14:paraId="3138E6A6">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11.3 评分主要是为比较各投标人的商务、技术</w:t>
      </w:r>
      <w:r>
        <w:rPr>
          <w:rFonts w:hint="eastAsia" w:ascii="宋体" w:hAnsi="宋体" w:eastAsia="宋体" w:cs="宋体"/>
          <w:color w:val="auto"/>
          <w:szCs w:val="24"/>
          <w:highlight w:val="none"/>
          <w:lang w:val="en-US" w:eastAsia="zh-CN"/>
        </w:rPr>
        <w:t>和</w:t>
      </w:r>
      <w:r>
        <w:rPr>
          <w:rFonts w:hint="eastAsia" w:ascii="宋体" w:hAnsi="宋体" w:eastAsia="宋体" w:cs="宋体"/>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3BC00501">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29C142EF">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w:t>
      </w:r>
      <w:r>
        <w:rPr>
          <w:rFonts w:hint="eastAsia" w:ascii="宋体" w:hAnsi="宋体" w:eastAsia="宋体" w:cs="宋体"/>
          <w:color w:val="auto"/>
          <w:sz w:val="21"/>
          <w:szCs w:val="21"/>
          <w:highlight w:val="none"/>
          <w:lang w:val="en-US" w:eastAsia="zh-CN"/>
        </w:rPr>
        <w:t>区间</w:t>
      </w:r>
      <w:r>
        <w:rPr>
          <w:rFonts w:hint="eastAsia" w:ascii="宋体" w:hAnsi="宋体" w:eastAsia="宋体" w:cs="宋体"/>
          <w:color w:val="auto"/>
          <w:sz w:val="21"/>
          <w:szCs w:val="21"/>
          <w:highlight w:val="none"/>
        </w:rPr>
        <w:t>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695FC6BD">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26D8FBB8">
      <w:pPr>
        <w:tabs>
          <w:tab w:val="left" w:pos="600"/>
        </w:tabs>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11.4 评标委员会打分采取记名形式。</w:t>
      </w:r>
    </w:p>
    <w:p w14:paraId="45AB4F3C">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11.5 各评委根据秘书组提供的打分表严格按照评标大纲内的评分标准独立自主打分，任何人不得要求评委统一打分或统一确定等次顺序。</w:t>
      </w:r>
    </w:p>
    <w:p w14:paraId="71A27DA7">
      <w:pPr>
        <w:autoSpaceDE w:val="0"/>
        <w:autoSpaceDN w:val="0"/>
        <w:adjustRightInd w:val="0"/>
        <w:spacing w:line="360" w:lineRule="auto"/>
        <w:ind w:left="426" w:hanging="426"/>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11.6 对打分表中的每项条款，各评委应根据投标文件、澄清材料、招标文件要求，按满足的程度给投标人打分。</w:t>
      </w:r>
    </w:p>
    <w:p w14:paraId="3A977140">
      <w:pPr>
        <w:tabs>
          <w:tab w:val="left" w:pos="600"/>
        </w:tabs>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11.7 评分程序</w:t>
      </w:r>
    </w:p>
    <w:p w14:paraId="72F4F495">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（1）就投标人的投标文件对照整理出商务、技术评标因素对比表、偏差表，并在经过校核的基础上逐项打分。</w:t>
      </w:r>
    </w:p>
    <w:p w14:paraId="39930896">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（2）各评委独立完成打分后，将统计好的评分表交给招标代理机构秘书组复核。</w:t>
      </w:r>
    </w:p>
    <w:p w14:paraId="1BA5207D">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（3）评分统计表中各投标人技术得分应为最终综合得分，商务和价格得分应为评委打分的算术平均值。</w:t>
      </w:r>
    </w:p>
    <w:p w14:paraId="77800615">
      <w:pPr>
        <w:autoSpaceDE w:val="0"/>
        <w:autoSpaceDN w:val="0"/>
        <w:adjustRightInd w:val="0"/>
        <w:spacing w:line="360" w:lineRule="auto"/>
        <w:rPr>
          <w:rFonts w:hint="eastAsia" w:ascii="宋体" w:hAnsi="宋体" w:eastAsia="宋体" w:cs="宋体"/>
          <w:color w:val="auto"/>
          <w:szCs w:val="24"/>
          <w:highlight w:val="none"/>
          <w:lang w:val="zh-CN"/>
        </w:rPr>
      </w:pPr>
    </w:p>
    <w:p w14:paraId="14B3F890">
      <w:pPr>
        <w:tabs>
          <w:tab w:val="left" w:pos="1701"/>
        </w:tabs>
        <w:autoSpaceDE w:val="0"/>
        <w:autoSpaceDN w:val="0"/>
        <w:adjustRightInd w:val="0"/>
        <w:spacing w:line="360" w:lineRule="auto"/>
        <w:outlineLvl w:val="1"/>
        <w:rPr>
          <w:rFonts w:hint="eastAsia" w:ascii="宋体" w:hAnsi="宋体" w:eastAsia="宋体" w:cs="宋体"/>
          <w:b/>
          <w:color w:val="auto"/>
          <w:szCs w:val="24"/>
          <w:highlight w:val="none"/>
          <w:lang w:val="zh-CN"/>
        </w:rPr>
      </w:pPr>
      <w:bookmarkStart w:id="1036" w:name="_Toc18288"/>
      <w:r>
        <w:rPr>
          <w:rFonts w:hint="eastAsia" w:ascii="宋体" w:hAnsi="宋体" w:eastAsia="宋体" w:cs="宋体"/>
          <w:b/>
          <w:color w:val="auto"/>
          <w:szCs w:val="24"/>
          <w:highlight w:val="none"/>
          <w:lang w:val="zh-CN"/>
        </w:rPr>
        <w:t>12、评分因素及分值</w:t>
      </w:r>
      <w:bookmarkEnd w:id="1036"/>
    </w:p>
    <w:tbl>
      <w:tblPr>
        <w:tblStyle w:val="41"/>
        <w:tblW w:w="472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315"/>
        <w:gridCol w:w="4825"/>
      </w:tblGrid>
      <w:tr w14:paraId="25B65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60" w:type="pct"/>
            <w:tcBorders>
              <w:top w:val="single" w:color="auto" w:sz="4" w:space="0"/>
              <w:left w:val="single" w:color="auto" w:sz="4" w:space="0"/>
              <w:bottom w:val="single" w:color="auto" w:sz="4" w:space="0"/>
              <w:right w:val="single" w:color="auto" w:sz="4" w:space="0"/>
            </w:tcBorders>
            <w:vAlign w:val="center"/>
          </w:tcPr>
          <w:p w14:paraId="5DD3A0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评分因素</w:t>
            </w:r>
          </w:p>
        </w:tc>
        <w:tc>
          <w:tcPr>
            <w:tcW w:w="2639" w:type="pct"/>
            <w:tcBorders>
              <w:top w:val="single" w:color="auto" w:sz="4" w:space="0"/>
              <w:left w:val="single" w:color="auto" w:sz="4" w:space="0"/>
              <w:bottom w:val="single" w:color="auto" w:sz="4" w:space="0"/>
              <w:right w:val="single" w:color="auto" w:sz="4" w:space="0"/>
            </w:tcBorders>
            <w:vAlign w:val="center"/>
          </w:tcPr>
          <w:p w14:paraId="7A98E5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分值</w:t>
            </w:r>
          </w:p>
        </w:tc>
      </w:tr>
      <w:tr w14:paraId="05188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60" w:type="pct"/>
            <w:tcBorders>
              <w:top w:val="single" w:color="auto" w:sz="4" w:space="0"/>
              <w:left w:val="single" w:color="auto" w:sz="4" w:space="0"/>
              <w:bottom w:val="single" w:color="auto" w:sz="4" w:space="0"/>
              <w:right w:val="single" w:color="auto" w:sz="4" w:space="0"/>
            </w:tcBorders>
            <w:vAlign w:val="center"/>
          </w:tcPr>
          <w:p w14:paraId="213B2A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1、商务</w:t>
            </w:r>
          </w:p>
        </w:tc>
        <w:tc>
          <w:tcPr>
            <w:tcW w:w="2639" w:type="pct"/>
            <w:tcBorders>
              <w:top w:val="single" w:color="auto" w:sz="4" w:space="0"/>
              <w:left w:val="single" w:color="auto" w:sz="4" w:space="0"/>
              <w:bottom w:val="single" w:color="auto" w:sz="4" w:space="0"/>
              <w:right w:val="single" w:color="auto" w:sz="4" w:space="0"/>
            </w:tcBorders>
            <w:vAlign w:val="center"/>
          </w:tcPr>
          <w:p w14:paraId="62AC85BD">
            <w:pPr>
              <w:ind w:firstLine="0" w:firstLineChars="0"/>
              <w:jc w:val="center"/>
              <w:rPr>
                <w:rFonts w:hint="eastAsia" w:ascii="宋体" w:hAnsi="宋体" w:eastAsia="宋体" w:cs="宋体"/>
                <w:bCs/>
                <w:color w:val="auto"/>
                <w:kern w:val="0"/>
                <w:sz w:val="21"/>
                <w:szCs w:val="21"/>
                <w:highlight w:val="none"/>
                <w:lang w:val="zh-CN"/>
              </w:rPr>
            </w:pPr>
            <w:r>
              <w:rPr>
                <w:rFonts w:hint="eastAsia" w:ascii="宋体" w:hAnsi="宋体" w:eastAsia="宋体" w:cs="宋体"/>
                <w:color w:val="auto"/>
                <w:kern w:val="2"/>
                <w:szCs w:val="21"/>
                <w:lang w:val="en-US" w:eastAsia="zh-CN"/>
              </w:rPr>
              <w:t>35</w:t>
            </w:r>
            <w:r>
              <w:rPr>
                <w:rFonts w:hint="eastAsia" w:ascii="宋体" w:hAnsi="宋体" w:eastAsia="宋体" w:cs="宋体"/>
                <w:color w:val="auto"/>
                <w:kern w:val="2"/>
                <w:szCs w:val="21"/>
                <w:lang w:val="zh-CN"/>
              </w:rPr>
              <w:t>分</w:t>
            </w:r>
          </w:p>
        </w:tc>
      </w:tr>
      <w:tr w14:paraId="69D69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60" w:type="pct"/>
            <w:tcBorders>
              <w:top w:val="single" w:color="auto" w:sz="4" w:space="0"/>
              <w:left w:val="single" w:color="auto" w:sz="4" w:space="0"/>
              <w:bottom w:val="single" w:color="auto" w:sz="4" w:space="0"/>
              <w:right w:val="single" w:color="auto" w:sz="4" w:space="0"/>
            </w:tcBorders>
            <w:vAlign w:val="center"/>
          </w:tcPr>
          <w:p w14:paraId="633A02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2、技术</w:t>
            </w:r>
          </w:p>
        </w:tc>
        <w:tc>
          <w:tcPr>
            <w:tcW w:w="2639" w:type="pct"/>
            <w:tcBorders>
              <w:top w:val="single" w:color="auto" w:sz="4" w:space="0"/>
              <w:left w:val="single" w:color="auto" w:sz="4" w:space="0"/>
              <w:bottom w:val="single" w:color="auto" w:sz="4" w:space="0"/>
              <w:right w:val="single" w:color="auto" w:sz="4" w:space="0"/>
            </w:tcBorders>
            <w:vAlign w:val="center"/>
          </w:tcPr>
          <w:p w14:paraId="48FBE7C7">
            <w:pPr>
              <w:ind w:firstLine="0" w:firstLineChars="0"/>
              <w:jc w:val="center"/>
              <w:rPr>
                <w:rFonts w:hint="eastAsia" w:ascii="宋体" w:hAnsi="宋体" w:eastAsia="宋体" w:cs="宋体"/>
                <w:bCs/>
                <w:color w:val="auto"/>
                <w:kern w:val="0"/>
                <w:sz w:val="21"/>
                <w:szCs w:val="21"/>
                <w:highlight w:val="none"/>
                <w:lang w:val="zh-CN"/>
              </w:rPr>
            </w:pPr>
            <w:r>
              <w:rPr>
                <w:rFonts w:hint="eastAsia" w:ascii="宋体" w:hAnsi="宋体" w:eastAsia="宋体" w:cs="宋体"/>
                <w:color w:val="auto"/>
                <w:kern w:val="2"/>
                <w:szCs w:val="21"/>
              </w:rPr>
              <w:t>4</w:t>
            </w:r>
            <w:r>
              <w:rPr>
                <w:rFonts w:hint="eastAsia" w:ascii="宋体" w:hAnsi="宋体" w:eastAsia="宋体" w:cs="宋体"/>
                <w:color w:val="auto"/>
                <w:kern w:val="2"/>
                <w:szCs w:val="21"/>
                <w:lang w:val="en-US" w:eastAsia="zh-CN"/>
              </w:rPr>
              <w:t>5</w:t>
            </w:r>
            <w:r>
              <w:rPr>
                <w:rFonts w:hint="eastAsia" w:ascii="宋体" w:hAnsi="宋体" w:eastAsia="宋体" w:cs="宋体"/>
                <w:color w:val="auto"/>
                <w:kern w:val="2"/>
                <w:szCs w:val="21"/>
                <w:lang w:val="zh-CN"/>
              </w:rPr>
              <w:t>分</w:t>
            </w:r>
          </w:p>
        </w:tc>
      </w:tr>
      <w:tr w14:paraId="18BCA7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60" w:type="pct"/>
            <w:tcBorders>
              <w:top w:val="single" w:color="auto" w:sz="4" w:space="0"/>
              <w:left w:val="single" w:color="auto" w:sz="4" w:space="0"/>
              <w:bottom w:val="single" w:color="auto" w:sz="4" w:space="0"/>
              <w:right w:val="single" w:color="auto" w:sz="4" w:space="0"/>
            </w:tcBorders>
            <w:vAlign w:val="center"/>
          </w:tcPr>
          <w:p w14:paraId="3FB9A9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3、价格</w:t>
            </w:r>
          </w:p>
        </w:tc>
        <w:tc>
          <w:tcPr>
            <w:tcW w:w="2639" w:type="pct"/>
            <w:tcBorders>
              <w:top w:val="single" w:color="auto" w:sz="4" w:space="0"/>
              <w:left w:val="single" w:color="auto" w:sz="4" w:space="0"/>
              <w:bottom w:val="single" w:color="auto" w:sz="4" w:space="0"/>
              <w:right w:val="single" w:color="auto" w:sz="4" w:space="0"/>
            </w:tcBorders>
            <w:vAlign w:val="center"/>
          </w:tcPr>
          <w:p w14:paraId="747F945F">
            <w:pPr>
              <w:ind w:firstLine="0" w:firstLineChars="0"/>
              <w:jc w:val="center"/>
              <w:rPr>
                <w:rFonts w:hint="eastAsia" w:ascii="宋体" w:hAnsi="宋体" w:eastAsia="宋体" w:cs="宋体"/>
                <w:bCs/>
                <w:color w:val="auto"/>
                <w:kern w:val="0"/>
                <w:sz w:val="21"/>
                <w:szCs w:val="21"/>
                <w:highlight w:val="none"/>
                <w:lang w:val="zh-CN"/>
              </w:rPr>
            </w:pPr>
            <w:r>
              <w:rPr>
                <w:rFonts w:hint="eastAsia" w:ascii="宋体" w:hAnsi="宋体" w:eastAsia="宋体" w:cs="宋体"/>
                <w:color w:val="auto"/>
                <w:kern w:val="2"/>
                <w:szCs w:val="21"/>
              </w:rPr>
              <w:t>20分</w:t>
            </w:r>
          </w:p>
        </w:tc>
      </w:tr>
    </w:tbl>
    <w:p w14:paraId="0552548C">
      <w:pPr>
        <w:tabs>
          <w:tab w:val="left" w:pos="585"/>
        </w:tabs>
        <w:autoSpaceDE w:val="0"/>
        <w:autoSpaceDN w:val="0"/>
        <w:adjustRightInd w:val="0"/>
        <w:spacing w:line="360" w:lineRule="auto"/>
        <w:rPr>
          <w:rFonts w:hint="eastAsia" w:ascii="宋体" w:hAnsi="宋体" w:eastAsia="宋体" w:cs="宋体"/>
          <w:b/>
          <w:color w:val="auto"/>
          <w:szCs w:val="21"/>
          <w:highlight w:val="none"/>
        </w:rPr>
      </w:pPr>
      <w:bookmarkStart w:id="1037" w:name="_Toc18349_WPSOffice_Level2"/>
    </w:p>
    <w:p w14:paraId="6DA0A979">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35</w:t>
      </w:r>
      <w:r>
        <w:rPr>
          <w:rFonts w:hint="eastAsia" w:ascii="宋体" w:hAnsi="宋体" w:eastAsia="宋体" w:cs="宋体"/>
          <w:b/>
          <w:color w:val="auto"/>
          <w:szCs w:val="21"/>
          <w:highlight w:val="none"/>
          <w:lang w:val="zh-CN"/>
        </w:rPr>
        <w:t>分</w:t>
      </w:r>
      <w:bookmarkEnd w:id="1037"/>
    </w:p>
    <w:tbl>
      <w:tblPr>
        <w:tblStyle w:val="41"/>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280"/>
        <w:gridCol w:w="6890"/>
        <w:gridCol w:w="934"/>
      </w:tblGrid>
      <w:tr w14:paraId="5888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15" w:type="dxa"/>
            <w:noWrap w:val="0"/>
            <w:vAlign w:val="center"/>
          </w:tcPr>
          <w:p w14:paraId="1133BC13">
            <w:pPr>
              <w:ind w:firstLine="0" w:firstLineChars="0"/>
              <w:jc w:val="center"/>
              <w:rPr>
                <w:rFonts w:hint="eastAsia" w:ascii="宋体" w:hAnsi="宋体" w:eastAsia="宋体" w:cs="宋体"/>
                <w:color w:val="auto"/>
                <w:szCs w:val="21"/>
              </w:rPr>
            </w:pPr>
            <w:r>
              <w:rPr>
                <w:rFonts w:hint="eastAsia" w:ascii="宋体" w:hAnsi="宋体" w:eastAsia="宋体" w:cs="宋体"/>
                <w:b/>
                <w:bCs/>
                <w:color w:val="auto"/>
                <w:szCs w:val="21"/>
              </w:rPr>
              <w:t>序号</w:t>
            </w:r>
          </w:p>
        </w:tc>
        <w:tc>
          <w:tcPr>
            <w:tcW w:w="1280" w:type="dxa"/>
            <w:noWrap w:val="0"/>
            <w:vAlign w:val="center"/>
          </w:tcPr>
          <w:p w14:paraId="4B5366D2">
            <w:pPr>
              <w:ind w:firstLine="0" w:firstLineChars="0"/>
              <w:jc w:val="center"/>
              <w:rPr>
                <w:rFonts w:hint="eastAsia" w:ascii="宋体" w:hAnsi="宋体" w:eastAsia="宋体" w:cs="宋体"/>
                <w:color w:val="auto"/>
                <w:szCs w:val="21"/>
              </w:rPr>
            </w:pPr>
            <w:r>
              <w:rPr>
                <w:rFonts w:hint="eastAsia" w:ascii="宋体" w:hAnsi="宋体" w:eastAsia="宋体" w:cs="宋体"/>
                <w:b/>
                <w:bCs/>
                <w:color w:val="auto"/>
                <w:szCs w:val="21"/>
              </w:rPr>
              <w:t>评标项目</w:t>
            </w:r>
          </w:p>
        </w:tc>
        <w:tc>
          <w:tcPr>
            <w:tcW w:w="6890" w:type="dxa"/>
            <w:noWrap w:val="0"/>
            <w:vAlign w:val="center"/>
          </w:tcPr>
          <w:p w14:paraId="03794970">
            <w:pPr>
              <w:ind w:firstLine="0" w:firstLineChars="0"/>
              <w:jc w:val="center"/>
              <w:rPr>
                <w:rFonts w:hint="eastAsia" w:ascii="宋体" w:hAnsi="宋体" w:eastAsia="宋体" w:cs="宋体"/>
                <w:b/>
                <w:bCs/>
                <w:color w:val="auto"/>
                <w:szCs w:val="21"/>
              </w:rPr>
            </w:pPr>
            <w:r>
              <w:rPr>
                <w:rFonts w:hint="eastAsia" w:ascii="宋体" w:hAnsi="宋体" w:eastAsia="宋体" w:cs="宋体"/>
                <w:b/>
                <w:bCs/>
                <w:color w:val="auto"/>
                <w:szCs w:val="21"/>
              </w:rPr>
              <w:t>评分标准</w:t>
            </w:r>
          </w:p>
        </w:tc>
        <w:tc>
          <w:tcPr>
            <w:tcW w:w="934" w:type="dxa"/>
            <w:noWrap w:val="0"/>
            <w:vAlign w:val="center"/>
          </w:tcPr>
          <w:p w14:paraId="70636976">
            <w:pPr>
              <w:ind w:firstLine="0" w:firstLineChars="0"/>
              <w:jc w:val="center"/>
              <w:rPr>
                <w:rFonts w:hint="eastAsia" w:ascii="宋体" w:hAnsi="宋体" w:eastAsia="宋体" w:cs="宋体"/>
                <w:b/>
                <w:bCs/>
                <w:color w:val="auto"/>
                <w:szCs w:val="21"/>
              </w:rPr>
            </w:pPr>
            <w:r>
              <w:rPr>
                <w:rFonts w:hint="eastAsia" w:ascii="宋体" w:hAnsi="宋体" w:eastAsia="宋体" w:cs="宋体"/>
                <w:b/>
                <w:bCs/>
                <w:color w:val="auto"/>
                <w:szCs w:val="21"/>
              </w:rPr>
              <w:t>满分值</w:t>
            </w:r>
          </w:p>
        </w:tc>
      </w:tr>
      <w:tr w14:paraId="2311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14:paraId="29810FB2">
            <w:pPr>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280" w:type="dxa"/>
            <w:noWrap w:val="0"/>
            <w:vAlign w:val="center"/>
          </w:tcPr>
          <w:p w14:paraId="07AC31F2">
            <w:pPr>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财务状况</w:t>
            </w:r>
          </w:p>
        </w:tc>
        <w:tc>
          <w:tcPr>
            <w:tcW w:w="6890" w:type="dxa"/>
            <w:noWrap w:val="0"/>
            <w:vAlign w:val="center"/>
          </w:tcPr>
          <w:p w14:paraId="0E846502">
            <w:pPr>
              <w:adjustRightInd/>
              <w:spacing w:line="360" w:lineRule="auto"/>
              <w:ind w:firstLine="0" w:firstLineChars="0"/>
              <w:jc w:val="both"/>
              <w:rPr>
                <w:rFonts w:hint="eastAsia" w:ascii="宋体" w:hAnsi="宋体" w:eastAsia="宋体" w:cs="宋体"/>
                <w:color w:val="auto"/>
                <w:szCs w:val="21"/>
              </w:rPr>
            </w:pPr>
            <w:r>
              <w:rPr>
                <w:rFonts w:hint="eastAsia" w:ascii="宋体" w:hAnsi="宋体" w:eastAsia="宋体" w:cs="宋体"/>
                <w:color w:val="auto"/>
                <w:szCs w:val="21"/>
              </w:rPr>
              <w:t>投标人202</w:t>
            </w:r>
            <w:r>
              <w:rPr>
                <w:rFonts w:hint="eastAsia" w:ascii="宋体" w:hAnsi="宋体" w:eastAsia="宋体" w:cs="宋体"/>
                <w:color w:val="auto"/>
                <w:szCs w:val="21"/>
                <w:lang w:val="en-US" w:eastAsia="zh-CN"/>
              </w:rPr>
              <w:t>2</w:t>
            </w:r>
            <w:r>
              <w:rPr>
                <w:rFonts w:hint="eastAsia" w:ascii="宋体" w:hAnsi="宋体" w:eastAsia="宋体" w:cs="宋体"/>
                <w:color w:val="auto"/>
                <w:szCs w:val="21"/>
              </w:rPr>
              <w:t>年-202</w:t>
            </w:r>
            <w:r>
              <w:rPr>
                <w:rFonts w:hint="eastAsia" w:ascii="宋体" w:hAnsi="宋体" w:eastAsia="宋体" w:cs="宋体"/>
                <w:color w:val="auto"/>
                <w:szCs w:val="21"/>
                <w:lang w:val="en-US" w:eastAsia="zh-CN"/>
              </w:rPr>
              <w:t>4</w:t>
            </w:r>
            <w:r>
              <w:rPr>
                <w:rFonts w:hint="eastAsia" w:ascii="宋体" w:hAnsi="宋体" w:eastAsia="宋体" w:cs="宋体"/>
                <w:color w:val="auto"/>
                <w:szCs w:val="21"/>
              </w:rPr>
              <w:t>年三个年度，每具有1个年度为盈利的得1分，满分3分。</w:t>
            </w:r>
          </w:p>
          <w:p w14:paraId="66954417">
            <w:pPr>
              <w:spacing w:line="360" w:lineRule="auto"/>
              <w:ind w:firstLine="0" w:firstLineChars="0"/>
              <w:rPr>
                <w:rFonts w:hint="eastAsia" w:ascii="宋体" w:hAnsi="宋体" w:eastAsia="宋体" w:cs="宋体"/>
                <w:b/>
                <w:color w:val="auto"/>
                <w:szCs w:val="21"/>
              </w:rPr>
            </w:pPr>
            <w:r>
              <w:rPr>
                <w:rFonts w:hint="eastAsia" w:ascii="宋体" w:hAnsi="宋体" w:eastAsia="宋体" w:cs="宋体"/>
                <w:b/>
                <w:color w:val="auto"/>
                <w:szCs w:val="21"/>
              </w:rPr>
              <w:t>备注：</w:t>
            </w:r>
          </w:p>
          <w:p w14:paraId="07CB2C31">
            <w:pPr>
              <w:spacing w:line="360" w:lineRule="auto"/>
              <w:ind w:firstLine="0" w:firstLineChars="0"/>
              <w:rPr>
                <w:rFonts w:hint="eastAsia" w:ascii="宋体" w:hAnsi="宋体" w:eastAsia="宋体" w:cs="宋体"/>
                <w:b/>
                <w:color w:val="auto"/>
                <w:szCs w:val="21"/>
              </w:rPr>
            </w:pPr>
            <w:r>
              <w:rPr>
                <w:rFonts w:hint="eastAsia" w:ascii="宋体" w:hAnsi="宋体" w:eastAsia="宋体" w:cs="宋体"/>
                <w:bCs/>
                <w:color w:val="auto"/>
                <w:szCs w:val="21"/>
              </w:rPr>
              <w:t>盈利指净利润为正数（非零、非负数），</w:t>
            </w:r>
            <w:r>
              <w:rPr>
                <w:rFonts w:hint="eastAsia" w:ascii="宋体" w:hAnsi="宋体" w:eastAsia="宋体" w:cs="宋体"/>
                <w:bCs/>
                <w:color w:val="auto"/>
                <w:szCs w:val="21"/>
                <w:lang w:val="en-US" w:eastAsia="zh-CN"/>
              </w:rPr>
              <w:t>投标人应提供2022年、2023年、2024年三个年度的财务报表，净利润</w:t>
            </w:r>
            <w:r>
              <w:rPr>
                <w:rFonts w:hint="eastAsia" w:ascii="宋体" w:hAnsi="宋体" w:eastAsia="宋体" w:cs="宋体"/>
                <w:bCs/>
                <w:color w:val="auto"/>
                <w:szCs w:val="21"/>
              </w:rPr>
              <w:t>以经审计的财务报表为准，</w:t>
            </w:r>
            <w:r>
              <w:rPr>
                <w:rFonts w:hint="eastAsia" w:ascii="宋体" w:hAnsi="宋体" w:eastAsia="宋体" w:cs="宋体"/>
                <w:bCs/>
                <w:color w:val="auto"/>
                <w:szCs w:val="21"/>
                <w:lang w:val="en-US" w:eastAsia="zh-CN"/>
              </w:rPr>
              <w:t>应</w:t>
            </w:r>
            <w:r>
              <w:rPr>
                <w:rFonts w:hint="eastAsia" w:ascii="宋体" w:hAnsi="宋体" w:eastAsia="宋体" w:cs="宋体"/>
                <w:bCs/>
                <w:color w:val="auto"/>
                <w:szCs w:val="21"/>
              </w:rPr>
              <w:t>提供经独立会计师事务所审计过的有效财务报表</w:t>
            </w:r>
            <w:r>
              <w:rPr>
                <w:rFonts w:hint="eastAsia" w:ascii="宋体" w:hAnsi="宋体" w:eastAsia="宋体" w:cs="宋体"/>
                <w:bCs/>
                <w:color w:val="auto"/>
                <w:szCs w:val="21"/>
                <w:lang w:val="en-US" w:eastAsia="zh-CN"/>
              </w:rPr>
              <w:t>原件扫描</w:t>
            </w:r>
            <w:r>
              <w:rPr>
                <w:rFonts w:hint="eastAsia" w:ascii="宋体" w:hAnsi="宋体" w:eastAsia="宋体" w:cs="宋体"/>
                <w:bCs/>
                <w:color w:val="auto"/>
                <w:szCs w:val="21"/>
              </w:rPr>
              <w:t>件，未提供前述财务报表或财务报表未能反映净利润的，不得分。</w:t>
            </w:r>
          </w:p>
        </w:tc>
        <w:tc>
          <w:tcPr>
            <w:tcW w:w="934" w:type="dxa"/>
            <w:noWrap w:val="0"/>
            <w:vAlign w:val="center"/>
          </w:tcPr>
          <w:p w14:paraId="1F1DA5D8">
            <w:pPr>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3分</w:t>
            </w:r>
          </w:p>
        </w:tc>
      </w:tr>
      <w:tr w14:paraId="7F0E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14:paraId="4C688129">
            <w:pPr>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280" w:type="dxa"/>
            <w:noWrap w:val="0"/>
            <w:vAlign w:val="center"/>
          </w:tcPr>
          <w:p w14:paraId="743106D0">
            <w:pPr>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标准化程度</w:t>
            </w:r>
          </w:p>
          <w:p w14:paraId="07123AEF">
            <w:pPr>
              <w:ind w:firstLine="0" w:firstLineChars="0"/>
              <w:jc w:val="center"/>
              <w:rPr>
                <w:rFonts w:hint="eastAsia" w:ascii="宋体" w:hAnsi="宋体" w:eastAsia="宋体" w:cs="宋体"/>
                <w:color w:val="auto"/>
                <w:szCs w:val="21"/>
              </w:rPr>
            </w:pPr>
          </w:p>
        </w:tc>
        <w:tc>
          <w:tcPr>
            <w:tcW w:w="6890" w:type="dxa"/>
            <w:noWrap w:val="0"/>
            <w:vAlign w:val="center"/>
          </w:tcPr>
          <w:p w14:paraId="6AD92050">
            <w:pPr>
              <w:adjustRightInd/>
              <w:spacing w:line="360" w:lineRule="auto"/>
              <w:ind w:firstLine="0" w:firstLineChars="0"/>
              <w:jc w:val="both"/>
              <w:rPr>
                <w:rFonts w:hint="eastAsia" w:ascii="宋体" w:hAnsi="宋体" w:eastAsia="宋体" w:cs="宋体"/>
                <w:color w:val="auto"/>
                <w:kern w:val="2"/>
                <w:szCs w:val="21"/>
              </w:rPr>
            </w:pPr>
            <w:r>
              <w:rPr>
                <w:rFonts w:hint="eastAsia" w:ascii="宋体" w:hAnsi="宋体" w:eastAsia="宋体" w:cs="宋体"/>
                <w:color w:val="auto"/>
                <w:kern w:val="2"/>
                <w:szCs w:val="21"/>
              </w:rPr>
              <w:t>（1）投标人具有有效期内的ISO9001质量管理体系认证证书得1分；</w:t>
            </w:r>
          </w:p>
          <w:p w14:paraId="502509B3">
            <w:pPr>
              <w:adjustRightInd/>
              <w:spacing w:line="360" w:lineRule="auto"/>
              <w:ind w:firstLine="0" w:firstLineChars="0"/>
              <w:jc w:val="both"/>
              <w:rPr>
                <w:rFonts w:hint="eastAsia" w:ascii="宋体" w:hAnsi="宋体" w:eastAsia="宋体" w:cs="宋体"/>
                <w:color w:val="auto"/>
                <w:kern w:val="2"/>
                <w:szCs w:val="21"/>
              </w:rPr>
            </w:pPr>
            <w:r>
              <w:rPr>
                <w:rFonts w:hint="eastAsia" w:ascii="宋体" w:hAnsi="宋体" w:eastAsia="宋体" w:cs="宋体"/>
                <w:bCs/>
                <w:color w:val="auto"/>
                <w:kern w:val="2"/>
                <w:szCs w:val="21"/>
              </w:rPr>
              <w:t>（2）投标人具有有效期内的ISO14001环境管理体系认证证书得</w:t>
            </w:r>
            <w:r>
              <w:rPr>
                <w:rFonts w:hint="eastAsia" w:ascii="宋体" w:hAnsi="宋体" w:eastAsia="宋体" w:cs="宋体"/>
                <w:color w:val="auto"/>
                <w:kern w:val="2"/>
                <w:szCs w:val="21"/>
              </w:rPr>
              <w:t>1分；</w:t>
            </w:r>
          </w:p>
          <w:p w14:paraId="5D154533">
            <w:pPr>
              <w:adjustRightInd/>
              <w:spacing w:line="360" w:lineRule="auto"/>
              <w:ind w:firstLine="0" w:firstLineChars="0"/>
              <w:jc w:val="both"/>
              <w:rPr>
                <w:rFonts w:hint="eastAsia" w:ascii="宋体" w:hAnsi="宋体" w:eastAsia="宋体" w:cs="宋体"/>
                <w:color w:val="auto"/>
                <w:kern w:val="2"/>
                <w:szCs w:val="21"/>
              </w:rPr>
            </w:pPr>
            <w:r>
              <w:rPr>
                <w:rFonts w:hint="eastAsia" w:ascii="宋体" w:hAnsi="宋体" w:eastAsia="宋体" w:cs="宋体"/>
                <w:color w:val="auto"/>
                <w:kern w:val="2"/>
                <w:szCs w:val="21"/>
              </w:rPr>
              <w:t>（3）投标人具有有效期内的OHSAS18001（或GB/T45001-2020，或ISO45001）职业健康安全管理体系认证证书得1分。</w:t>
            </w:r>
          </w:p>
          <w:p w14:paraId="00E93612">
            <w:pPr>
              <w:snapToGrid w:val="0"/>
              <w:spacing w:line="360" w:lineRule="auto"/>
              <w:ind w:firstLine="0" w:firstLineChars="0"/>
              <w:rPr>
                <w:rFonts w:hint="eastAsia" w:ascii="宋体" w:hAnsi="宋体" w:eastAsia="宋体" w:cs="宋体"/>
                <w:b/>
                <w:bCs/>
                <w:color w:val="auto"/>
                <w:szCs w:val="21"/>
              </w:rPr>
            </w:pPr>
            <w:r>
              <w:rPr>
                <w:rFonts w:hint="eastAsia" w:ascii="宋体" w:hAnsi="宋体" w:eastAsia="宋体" w:cs="宋体"/>
                <w:b/>
                <w:bCs/>
                <w:color w:val="auto"/>
                <w:szCs w:val="21"/>
              </w:rPr>
              <w:t>备注：</w:t>
            </w:r>
          </w:p>
          <w:p w14:paraId="2DF6883E">
            <w:pPr>
              <w:snapToGrid w:val="0"/>
              <w:spacing w:line="360"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投标人应提供上述证书</w:t>
            </w:r>
            <w:r>
              <w:rPr>
                <w:rFonts w:hint="eastAsia" w:ascii="宋体" w:hAnsi="宋体" w:eastAsia="宋体" w:cs="宋体"/>
                <w:color w:val="auto"/>
                <w:szCs w:val="21"/>
                <w:lang w:val="en-US" w:eastAsia="zh-CN"/>
              </w:rPr>
              <w:t>原件扫描</w:t>
            </w:r>
            <w:r>
              <w:rPr>
                <w:rFonts w:hint="eastAsia" w:ascii="宋体" w:hAnsi="宋体" w:eastAsia="宋体" w:cs="宋体"/>
                <w:color w:val="auto"/>
                <w:szCs w:val="21"/>
              </w:rPr>
              <w:t>件及</w:t>
            </w:r>
            <w:r>
              <w:rPr>
                <w:rFonts w:hint="eastAsia" w:ascii="宋体" w:hAnsi="宋体" w:eastAsia="宋体" w:cs="宋体"/>
                <w:color w:val="auto"/>
                <w:szCs w:val="21"/>
                <w:lang w:val="en-US" w:eastAsia="zh-CN"/>
              </w:rPr>
              <w:t>能显示证书有效状态的</w:t>
            </w:r>
            <w:r>
              <w:rPr>
                <w:rFonts w:hint="eastAsia" w:ascii="宋体" w:hAnsi="宋体" w:eastAsia="宋体" w:cs="宋体"/>
                <w:color w:val="auto"/>
                <w:szCs w:val="21"/>
              </w:rPr>
              <w:t>全国认证认可信息公共服务平台（http://cx.cnca.cn/)查询</w:t>
            </w:r>
            <w:r>
              <w:rPr>
                <w:rFonts w:hint="eastAsia" w:ascii="宋体" w:hAnsi="宋体" w:eastAsia="宋体" w:cs="宋体"/>
                <w:color w:val="auto"/>
                <w:szCs w:val="21"/>
                <w:lang w:val="en-US" w:eastAsia="zh-CN"/>
              </w:rPr>
              <w:t>结果凭证{凭证界面需显示有“全国认证认可信息公共服务平台”或“认证证书（需显示网址</w:t>
            </w:r>
            <w:r>
              <w:rPr>
                <w:rFonts w:hint="eastAsia" w:ascii="宋体" w:hAnsi="宋体" w:eastAsia="宋体" w:cs="宋体"/>
                <w:color w:val="auto"/>
                <w:szCs w:val="21"/>
              </w:rPr>
              <w:t>cx.cnca.cn</w:t>
            </w:r>
            <w:r>
              <w:rPr>
                <w:rFonts w:hint="eastAsia" w:ascii="宋体" w:hAnsi="宋体" w:eastAsia="宋体" w:cs="宋体"/>
                <w:color w:val="auto"/>
                <w:szCs w:val="21"/>
                <w:lang w:val="en-US" w:eastAsia="zh-CN"/>
              </w:rPr>
              <w:t>）”}，</w:t>
            </w:r>
            <w:r>
              <w:rPr>
                <w:rFonts w:hint="eastAsia" w:ascii="宋体" w:hAnsi="宋体" w:eastAsia="宋体" w:cs="宋体"/>
                <w:color w:val="auto"/>
                <w:szCs w:val="21"/>
              </w:rPr>
              <w:t>否则不得分。</w:t>
            </w:r>
          </w:p>
        </w:tc>
        <w:tc>
          <w:tcPr>
            <w:tcW w:w="934" w:type="dxa"/>
            <w:noWrap w:val="0"/>
            <w:vAlign w:val="center"/>
          </w:tcPr>
          <w:p w14:paraId="4855A266">
            <w:pPr>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3分</w:t>
            </w:r>
          </w:p>
        </w:tc>
      </w:tr>
      <w:tr w14:paraId="0224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14:paraId="124A5989">
            <w:pPr>
              <w:ind w:firstLine="0" w:firstLineChars="0"/>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280" w:type="dxa"/>
            <w:noWrap w:val="0"/>
            <w:vAlign w:val="center"/>
          </w:tcPr>
          <w:p w14:paraId="764E700B">
            <w:pPr>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业绩</w:t>
            </w:r>
          </w:p>
        </w:tc>
        <w:tc>
          <w:tcPr>
            <w:tcW w:w="6890" w:type="dxa"/>
            <w:noWrap w:val="0"/>
            <w:vAlign w:val="center"/>
          </w:tcPr>
          <w:p w14:paraId="5BE54208">
            <w:pPr>
              <w:spacing w:line="360"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（1）投标人202</w:t>
            </w:r>
            <w:r>
              <w:rPr>
                <w:rFonts w:hint="eastAsia" w:ascii="宋体" w:hAnsi="宋体" w:eastAsia="宋体" w:cs="宋体"/>
                <w:color w:val="auto"/>
                <w:szCs w:val="21"/>
                <w:lang w:val="en-US" w:eastAsia="zh-CN"/>
              </w:rPr>
              <w:t>2</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以来</w:t>
            </w:r>
            <w:r>
              <w:rPr>
                <w:rFonts w:hint="eastAsia" w:ascii="宋体" w:hAnsi="宋体" w:eastAsia="宋体" w:cs="宋体"/>
                <w:color w:val="auto"/>
                <w:szCs w:val="21"/>
              </w:rPr>
              <w:t>（签订合同的时间</w:t>
            </w:r>
            <w:r>
              <w:rPr>
                <w:rFonts w:hint="eastAsia" w:ascii="宋体" w:hAnsi="宋体" w:eastAsia="宋体" w:cs="宋体"/>
                <w:color w:val="auto"/>
                <w:szCs w:val="21"/>
                <w:lang w:val="en-US" w:eastAsia="zh-CN"/>
              </w:rPr>
              <w:t>要求为2022年</w:t>
            </w:r>
            <w:r>
              <w:rPr>
                <w:rFonts w:hint="eastAsia" w:ascii="宋体" w:hAnsi="宋体" w:eastAsia="宋体" w:cs="宋体"/>
                <w:color w:val="auto"/>
                <w:szCs w:val="21"/>
              </w:rPr>
              <w:t>1月1日或以后）承接的物业管理服务项目业绩进行评审，</w:t>
            </w:r>
            <w:r>
              <w:rPr>
                <w:rFonts w:hint="eastAsia" w:ascii="宋体" w:hAnsi="宋体" w:eastAsia="宋体" w:cs="宋体"/>
                <w:color w:val="auto"/>
                <w:szCs w:val="21"/>
                <w:lang w:val="en-US" w:eastAsia="zh-CN"/>
              </w:rPr>
              <w:t>本小项</w:t>
            </w:r>
            <w:r>
              <w:rPr>
                <w:rFonts w:hint="eastAsia" w:ascii="宋体" w:hAnsi="宋体" w:eastAsia="宋体" w:cs="宋体"/>
                <w:color w:val="auto"/>
                <w:szCs w:val="21"/>
              </w:rPr>
              <w:t>满分1</w:t>
            </w:r>
            <w:r>
              <w:rPr>
                <w:rFonts w:hint="eastAsia" w:ascii="宋体" w:hAnsi="宋体" w:eastAsia="宋体" w:cs="宋体"/>
                <w:color w:val="auto"/>
                <w:szCs w:val="21"/>
                <w:lang w:val="en-US" w:eastAsia="zh-CN"/>
              </w:rPr>
              <w:t>0</w:t>
            </w:r>
            <w:r>
              <w:rPr>
                <w:rFonts w:hint="eastAsia" w:ascii="宋体" w:hAnsi="宋体" w:eastAsia="宋体" w:cs="宋体"/>
                <w:color w:val="auto"/>
                <w:szCs w:val="21"/>
              </w:rPr>
              <w:t>分：</w:t>
            </w:r>
          </w:p>
          <w:p w14:paraId="7CA2AEBB">
            <w:pPr>
              <w:spacing w:line="360" w:lineRule="auto"/>
              <w:ind w:firstLine="0" w:firstLineChars="0"/>
              <w:rPr>
                <w:rFonts w:hint="eastAsia" w:ascii="宋体" w:hAnsi="宋体" w:eastAsia="宋体" w:cs="宋体"/>
                <w:color w:val="auto"/>
                <w:szCs w:val="21"/>
              </w:rPr>
            </w:pPr>
            <w:r>
              <w:rPr>
                <w:rFonts w:hint="eastAsia" w:ascii="宋体" w:hAnsi="宋体" w:eastAsia="宋体" w:cs="宋体"/>
                <w:color w:val="auto"/>
                <w:kern w:val="2"/>
                <w:szCs w:val="21"/>
                <w:lang w:val="zh-CN"/>
              </w:rPr>
              <w:t>①每提供一个【</w:t>
            </w:r>
            <w:r>
              <w:rPr>
                <w:rFonts w:hint="eastAsia" w:ascii="宋体" w:hAnsi="宋体" w:eastAsia="宋体" w:cs="宋体"/>
                <w:color w:val="auto"/>
                <w:kern w:val="2"/>
                <w:szCs w:val="21"/>
                <w:lang w:val="en-US" w:eastAsia="zh-CN"/>
              </w:rPr>
              <w:t>8</w:t>
            </w:r>
            <w:r>
              <w:rPr>
                <w:rFonts w:hint="eastAsia" w:ascii="宋体" w:hAnsi="宋体" w:eastAsia="宋体" w:cs="宋体"/>
                <w:color w:val="auto"/>
                <w:kern w:val="2"/>
                <w:szCs w:val="21"/>
              </w:rPr>
              <w:t>00</w:t>
            </w:r>
            <w:r>
              <w:rPr>
                <w:rFonts w:hint="eastAsia" w:ascii="宋体" w:hAnsi="宋体" w:eastAsia="宋体" w:cs="宋体"/>
                <w:color w:val="auto"/>
                <w:kern w:val="2"/>
                <w:szCs w:val="21"/>
                <w:lang w:val="zh-CN"/>
              </w:rPr>
              <w:t>万元≤</w:t>
            </w:r>
            <w:r>
              <w:rPr>
                <w:rFonts w:hint="eastAsia" w:ascii="宋体" w:hAnsi="宋体" w:eastAsia="宋体" w:cs="宋体"/>
                <w:color w:val="auto"/>
                <w:kern w:val="2"/>
                <w:szCs w:val="21"/>
              </w:rPr>
              <w:t>物业服务项目年度金额</w:t>
            </w:r>
            <w:r>
              <w:rPr>
                <w:rFonts w:hint="eastAsia" w:ascii="宋体" w:hAnsi="宋体" w:eastAsia="宋体" w:cs="宋体"/>
                <w:color w:val="auto"/>
                <w:kern w:val="2"/>
                <w:szCs w:val="21"/>
                <w:lang w:val="zh-CN"/>
              </w:rPr>
              <w:t>】</w:t>
            </w:r>
            <w:r>
              <w:rPr>
                <w:rFonts w:hint="eastAsia" w:ascii="宋体" w:hAnsi="宋体" w:eastAsia="宋体" w:cs="宋体"/>
                <w:color w:val="auto"/>
                <w:szCs w:val="21"/>
              </w:rPr>
              <w:t>的业绩，得</w:t>
            </w:r>
            <w:r>
              <w:rPr>
                <w:rFonts w:hint="eastAsia" w:ascii="宋体" w:hAnsi="宋体" w:eastAsia="宋体" w:cs="宋体"/>
                <w:color w:val="auto"/>
                <w:szCs w:val="21"/>
                <w:lang w:val="en-US" w:eastAsia="zh-CN"/>
              </w:rPr>
              <w:t>2</w:t>
            </w:r>
            <w:r>
              <w:rPr>
                <w:rFonts w:hint="eastAsia" w:ascii="宋体" w:hAnsi="宋体" w:eastAsia="宋体" w:cs="宋体"/>
                <w:color w:val="auto"/>
                <w:szCs w:val="21"/>
              </w:rPr>
              <w:t>分；</w:t>
            </w:r>
          </w:p>
          <w:p w14:paraId="567792BC">
            <w:pPr>
              <w:spacing w:line="360" w:lineRule="auto"/>
              <w:ind w:firstLine="0" w:firstLineChars="0"/>
              <w:rPr>
                <w:rFonts w:hint="eastAsia" w:ascii="宋体" w:hAnsi="宋体" w:eastAsia="宋体" w:cs="宋体"/>
                <w:color w:val="auto"/>
                <w:szCs w:val="21"/>
              </w:rPr>
            </w:pPr>
            <w:r>
              <w:rPr>
                <w:rFonts w:hint="eastAsia" w:ascii="宋体" w:hAnsi="宋体" w:eastAsia="宋体" w:cs="宋体"/>
                <w:color w:val="auto"/>
                <w:kern w:val="2"/>
                <w:szCs w:val="21"/>
                <w:lang w:val="zh-CN"/>
              </w:rPr>
              <w:t>②每提供一个【</w:t>
            </w:r>
            <w:r>
              <w:rPr>
                <w:rFonts w:hint="eastAsia" w:ascii="宋体" w:hAnsi="宋体" w:eastAsia="宋体" w:cs="宋体"/>
                <w:color w:val="auto"/>
                <w:kern w:val="2"/>
                <w:szCs w:val="21"/>
                <w:lang w:val="en-US" w:eastAsia="zh-CN"/>
              </w:rPr>
              <w:t>5</w:t>
            </w:r>
            <w:r>
              <w:rPr>
                <w:rFonts w:hint="eastAsia" w:ascii="宋体" w:hAnsi="宋体" w:eastAsia="宋体" w:cs="宋体"/>
                <w:color w:val="auto"/>
                <w:kern w:val="2"/>
                <w:szCs w:val="21"/>
              </w:rPr>
              <w:t>00</w:t>
            </w:r>
            <w:r>
              <w:rPr>
                <w:rFonts w:hint="eastAsia" w:ascii="宋体" w:hAnsi="宋体" w:eastAsia="宋体" w:cs="宋体"/>
                <w:color w:val="auto"/>
                <w:kern w:val="2"/>
                <w:szCs w:val="21"/>
                <w:lang w:val="zh-CN"/>
              </w:rPr>
              <w:t>万元≤</w:t>
            </w:r>
            <w:r>
              <w:rPr>
                <w:rFonts w:hint="eastAsia" w:ascii="宋体" w:hAnsi="宋体" w:eastAsia="宋体" w:cs="宋体"/>
                <w:color w:val="auto"/>
                <w:kern w:val="2"/>
                <w:szCs w:val="21"/>
              </w:rPr>
              <w:t>物业服务项目年度金额</w:t>
            </w:r>
            <w:r>
              <w:rPr>
                <w:rFonts w:hint="eastAsia" w:ascii="宋体" w:hAnsi="宋体" w:eastAsia="宋体" w:cs="宋体"/>
                <w:color w:val="auto"/>
                <w:kern w:val="2"/>
                <w:szCs w:val="21"/>
                <w:lang w:val="zh-CN"/>
              </w:rPr>
              <w:t>＜</w:t>
            </w:r>
            <w:r>
              <w:rPr>
                <w:rFonts w:hint="eastAsia" w:ascii="宋体" w:hAnsi="宋体" w:eastAsia="宋体" w:cs="宋体"/>
                <w:color w:val="auto"/>
                <w:kern w:val="2"/>
                <w:szCs w:val="21"/>
                <w:lang w:val="en-US" w:eastAsia="zh-CN"/>
              </w:rPr>
              <w:t>8</w:t>
            </w:r>
            <w:r>
              <w:rPr>
                <w:rFonts w:hint="eastAsia" w:ascii="宋体" w:hAnsi="宋体" w:eastAsia="宋体" w:cs="宋体"/>
                <w:color w:val="auto"/>
                <w:kern w:val="2"/>
                <w:szCs w:val="21"/>
              </w:rPr>
              <w:t>00</w:t>
            </w:r>
            <w:r>
              <w:rPr>
                <w:rFonts w:hint="eastAsia" w:ascii="宋体" w:hAnsi="宋体" w:eastAsia="宋体" w:cs="宋体"/>
                <w:color w:val="auto"/>
                <w:kern w:val="2"/>
                <w:szCs w:val="21"/>
                <w:lang w:val="zh-CN"/>
              </w:rPr>
              <w:t>万元】</w:t>
            </w:r>
            <w:r>
              <w:rPr>
                <w:rFonts w:hint="eastAsia" w:ascii="宋体" w:hAnsi="宋体" w:eastAsia="宋体" w:cs="宋体"/>
                <w:color w:val="auto"/>
                <w:szCs w:val="21"/>
              </w:rPr>
              <w:t>的业绩，得</w:t>
            </w:r>
            <w:r>
              <w:rPr>
                <w:rFonts w:hint="eastAsia" w:ascii="宋体" w:hAnsi="宋体" w:eastAsia="宋体" w:cs="宋体"/>
                <w:color w:val="auto"/>
                <w:szCs w:val="21"/>
                <w:lang w:val="en-US" w:eastAsia="zh-CN"/>
              </w:rPr>
              <w:t>1</w:t>
            </w:r>
            <w:r>
              <w:rPr>
                <w:rFonts w:hint="eastAsia" w:ascii="宋体" w:hAnsi="宋体" w:eastAsia="宋体" w:cs="宋体"/>
                <w:color w:val="auto"/>
                <w:szCs w:val="21"/>
              </w:rPr>
              <w:t>分；</w:t>
            </w:r>
          </w:p>
          <w:p w14:paraId="76B058F2">
            <w:pPr>
              <w:spacing w:line="360" w:lineRule="auto"/>
              <w:ind w:firstLine="0" w:firstLineChars="0"/>
              <w:rPr>
                <w:rFonts w:hint="eastAsia" w:ascii="宋体" w:hAnsi="宋体" w:eastAsia="宋体" w:cs="宋体"/>
                <w:color w:val="auto"/>
                <w:szCs w:val="21"/>
              </w:rPr>
            </w:pPr>
            <w:r>
              <w:rPr>
                <w:rFonts w:hint="eastAsia" w:ascii="宋体" w:hAnsi="宋体" w:eastAsia="宋体" w:cs="宋体"/>
                <w:color w:val="auto"/>
                <w:kern w:val="2"/>
                <w:szCs w:val="21"/>
                <w:lang w:val="zh-CN"/>
              </w:rPr>
              <w:t>③每提供一个【</w:t>
            </w:r>
            <w:r>
              <w:rPr>
                <w:rFonts w:hint="eastAsia" w:ascii="宋体" w:hAnsi="宋体" w:eastAsia="宋体" w:cs="宋体"/>
                <w:color w:val="auto"/>
                <w:kern w:val="2"/>
                <w:szCs w:val="21"/>
                <w:lang w:val="en-US" w:eastAsia="zh-CN"/>
              </w:rPr>
              <w:t>3</w:t>
            </w:r>
            <w:r>
              <w:rPr>
                <w:rFonts w:hint="eastAsia" w:ascii="宋体" w:hAnsi="宋体" w:eastAsia="宋体" w:cs="宋体"/>
                <w:color w:val="auto"/>
                <w:kern w:val="2"/>
                <w:szCs w:val="21"/>
              </w:rPr>
              <w:t>00</w:t>
            </w:r>
            <w:r>
              <w:rPr>
                <w:rFonts w:hint="eastAsia" w:ascii="宋体" w:hAnsi="宋体" w:eastAsia="宋体" w:cs="宋体"/>
                <w:color w:val="auto"/>
                <w:kern w:val="2"/>
                <w:szCs w:val="21"/>
                <w:lang w:val="zh-CN"/>
              </w:rPr>
              <w:t>万元≤</w:t>
            </w:r>
            <w:r>
              <w:rPr>
                <w:rFonts w:hint="eastAsia" w:ascii="宋体" w:hAnsi="宋体" w:eastAsia="宋体" w:cs="宋体"/>
                <w:color w:val="auto"/>
                <w:kern w:val="2"/>
                <w:szCs w:val="21"/>
              </w:rPr>
              <w:t>物业服务项目年度金额</w:t>
            </w:r>
            <w:r>
              <w:rPr>
                <w:rFonts w:hint="eastAsia" w:ascii="宋体" w:hAnsi="宋体" w:eastAsia="宋体" w:cs="宋体"/>
                <w:color w:val="auto"/>
                <w:kern w:val="2"/>
                <w:szCs w:val="21"/>
                <w:lang w:val="zh-CN"/>
              </w:rPr>
              <w:t>＜</w:t>
            </w:r>
            <w:r>
              <w:rPr>
                <w:rFonts w:hint="eastAsia" w:ascii="宋体" w:hAnsi="宋体" w:eastAsia="宋体" w:cs="宋体"/>
                <w:color w:val="auto"/>
                <w:kern w:val="2"/>
                <w:szCs w:val="21"/>
                <w:lang w:val="en-US" w:eastAsia="zh-CN"/>
              </w:rPr>
              <w:t>5</w:t>
            </w:r>
            <w:r>
              <w:rPr>
                <w:rFonts w:hint="eastAsia" w:ascii="宋体" w:hAnsi="宋体" w:eastAsia="宋体" w:cs="宋体"/>
                <w:color w:val="auto"/>
                <w:kern w:val="2"/>
                <w:szCs w:val="21"/>
              </w:rPr>
              <w:t>00</w:t>
            </w:r>
            <w:r>
              <w:rPr>
                <w:rFonts w:hint="eastAsia" w:ascii="宋体" w:hAnsi="宋体" w:eastAsia="宋体" w:cs="宋体"/>
                <w:color w:val="auto"/>
                <w:kern w:val="2"/>
                <w:szCs w:val="21"/>
                <w:lang w:val="zh-CN"/>
              </w:rPr>
              <w:t>万元】</w:t>
            </w:r>
            <w:r>
              <w:rPr>
                <w:rFonts w:hint="eastAsia" w:ascii="宋体" w:hAnsi="宋体" w:eastAsia="宋体" w:cs="宋体"/>
                <w:color w:val="auto"/>
                <w:szCs w:val="21"/>
              </w:rPr>
              <w:t>的业绩，得</w:t>
            </w:r>
            <w:r>
              <w:rPr>
                <w:rFonts w:hint="eastAsia" w:ascii="宋体" w:hAnsi="宋体" w:eastAsia="宋体" w:cs="宋体"/>
                <w:color w:val="auto"/>
                <w:szCs w:val="21"/>
                <w:lang w:val="en-US" w:eastAsia="zh-CN"/>
              </w:rPr>
              <w:t>0.5</w:t>
            </w:r>
            <w:r>
              <w:rPr>
                <w:rFonts w:hint="eastAsia" w:ascii="宋体" w:hAnsi="宋体" w:eastAsia="宋体" w:cs="宋体"/>
                <w:color w:val="auto"/>
                <w:szCs w:val="21"/>
              </w:rPr>
              <w:t>分。</w:t>
            </w:r>
          </w:p>
          <w:p w14:paraId="0D9FC2D0">
            <w:pPr>
              <w:spacing w:line="360"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（2）投标人提供的上述第</w:t>
            </w:r>
            <w:r>
              <w:rPr>
                <w:rFonts w:hint="eastAsia" w:ascii="宋体" w:hAnsi="宋体" w:eastAsia="宋体" w:cs="宋体"/>
                <w:color w:val="auto"/>
                <w:szCs w:val="21"/>
                <w:lang w:eastAsia="zh-CN"/>
              </w:rPr>
              <w:t>（</w:t>
            </w:r>
            <w:r>
              <w:rPr>
                <w:rFonts w:hint="eastAsia" w:ascii="宋体" w:hAnsi="宋体" w:eastAsia="宋体" w:cs="宋体"/>
                <w:color w:val="auto"/>
                <w:szCs w:val="21"/>
              </w:rPr>
              <w:t>1</w:t>
            </w:r>
            <w:r>
              <w:rPr>
                <w:rFonts w:hint="eastAsia" w:ascii="宋体" w:hAnsi="宋体" w:eastAsia="宋体" w:cs="宋体"/>
                <w:color w:val="auto"/>
                <w:szCs w:val="21"/>
                <w:lang w:eastAsia="zh-CN"/>
              </w:rPr>
              <w:t>）</w:t>
            </w:r>
            <w:r>
              <w:rPr>
                <w:rFonts w:hint="eastAsia" w:ascii="宋体" w:hAnsi="宋体" w:eastAsia="宋体" w:cs="宋体"/>
                <w:color w:val="auto"/>
                <w:szCs w:val="21"/>
              </w:rPr>
              <w:t>项业绩为商务办公楼或写字楼[建筑面积</w:t>
            </w:r>
            <w:r>
              <w:rPr>
                <w:rFonts w:hint="eastAsia" w:ascii="宋体" w:hAnsi="宋体" w:eastAsia="宋体" w:cs="宋体"/>
                <w:color w:val="auto"/>
                <w:szCs w:val="21"/>
                <w:lang w:val="en-US" w:eastAsia="zh-CN"/>
              </w:rPr>
              <w:t>9</w:t>
            </w:r>
            <w:r>
              <w:rPr>
                <w:rFonts w:hint="eastAsia" w:ascii="宋体" w:hAnsi="宋体" w:eastAsia="宋体" w:cs="宋体"/>
                <w:color w:val="auto"/>
                <w:szCs w:val="21"/>
              </w:rPr>
              <w:t>万（含）平方米以上且建筑楼层不低于22层]物业管理服务项目业绩的，在上述得分基础上进行加分，本小项满分</w:t>
            </w:r>
            <w:r>
              <w:rPr>
                <w:rFonts w:hint="eastAsia" w:ascii="宋体" w:hAnsi="宋体" w:eastAsia="宋体" w:cs="宋体"/>
                <w:color w:val="auto"/>
                <w:szCs w:val="21"/>
                <w:lang w:val="en-US" w:eastAsia="zh-CN"/>
              </w:rPr>
              <w:t>15</w:t>
            </w:r>
            <w:r>
              <w:rPr>
                <w:rFonts w:hint="eastAsia" w:ascii="宋体" w:hAnsi="宋体" w:eastAsia="宋体" w:cs="宋体"/>
                <w:color w:val="auto"/>
                <w:szCs w:val="21"/>
              </w:rPr>
              <w:t>分：</w:t>
            </w:r>
          </w:p>
          <w:p w14:paraId="1BEDCE83">
            <w:pPr>
              <w:spacing w:line="360" w:lineRule="auto"/>
              <w:ind w:firstLine="0" w:firstLineChars="0"/>
              <w:rPr>
                <w:rFonts w:hint="eastAsia" w:ascii="宋体" w:hAnsi="宋体" w:eastAsia="宋体" w:cs="宋体"/>
                <w:color w:val="auto"/>
                <w:szCs w:val="21"/>
              </w:rPr>
            </w:pPr>
            <w:r>
              <w:rPr>
                <w:rFonts w:hint="eastAsia" w:ascii="宋体" w:hAnsi="宋体" w:eastAsia="宋体" w:cs="宋体"/>
                <w:color w:val="auto"/>
                <w:kern w:val="2"/>
                <w:szCs w:val="21"/>
                <w:lang w:val="zh-CN"/>
              </w:rPr>
              <w:t>①</w:t>
            </w:r>
            <w:r>
              <w:rPr>
                <w:rFonts w:hint="eastAsia" w:ascii="宋体" w:hAnsi="宋体" w:eastAsia="宋体" w:cs="宋体"/>
                <w:color w:val="auto"/>
                <w:szCs w:val="21"/>
              </w:rPr>
              <w:t>每项</w:t>
            </w:r>
            <w:r>
              <w:rPr>
                <w:rFonts w:hint="eastAsia" w:ascii="宋体" w:hAnsi="宋体" w:eastAsia="宋体" w:cs="宋体"/>
                <w:color w:val="auto"/>
                <w:kern w:val="2"/>
                <w:szCs w:val="21"/>
                <w:lang w:val="zh-CN"/>
              </w:rPr>
              <w:t>【</w:t>
            </w:r>
            <w:r>
              <w:rPr>
                <w:rFonts w:hint="eastAsia" w:ascii="宋体" w:hAnsi="宋体" w:eastAsia="宋体" w:cs="宋体"/>
                <w:color w:val="auto"/>
                <w:kern w:val="2"/>
                <w:szCs w:val="21"/>
                <w:lang w:val="en-US" w:eastAsia="zh-CN"/>
              </w:rPr>
              <w:t>8</w:t>
            </w:r>
            <w:r>
              <w:rPr>
                <w:rFonts w:hint="eastAsia" w:ascii="宋体" w:hAnsi="宋体" w:eastAsia="宋体" w:cs="宋体"/>
                <w:color w:val="auto"/>
                <w:kern w:val="2"/>
                <w:szCs w:val="21"/>
              </w:rPr>
              <w:t>00</w:t>
            </w:r>
            <w:r>
              <w:rPr>
                <w:rFonts w:hint="eastAsia" w:ascii="宋体" w:hAnsi="宋体" w:eastAsia="宋体" w:cs="宋体"/>
                <w:color w:val="auto"/>
                <w:kern w:val="2"/>
                <w:szCs w:val="21"/>
                <w:lang w:val="zh-CN"/>
              </w:rPr>
              <w:t>万元≤</w:t>
            </w:r>
            <w:r>
              <w:rPr>
                <w:rFonts w:hint="eastAsia" w:ascii="宋体" w:hAnsi="宋体" w:eastAsia="宋体" w:cs="宋体"/>
                <w:color w:val="auto"/>
                <w:kern w:val="2"/>
                <w:szCs w:val="21"/>
              </w:rPr>
              <w:t>物业服务项目年度金额</w:t>
            </w:r>
            <w:r>
              <w:rPr>
                <w:rFonts w:hint="eastAsia" w:ascii="宋体" w:hAnsi="宋体" w:eastAsia="宋体" w:cs="宋体"/>
                <w:color w:val="auto"/>
                <w:kern w:val="2"/>
                <w:szCs w:val="21"/>
                <w:lang w:val="zh-CN"/>
              </w:rPr>
              <w:t>】</w:t>
            </w:r>
            <w:r>
              <w:rPr>
                <w:rFonts w:hint="eastAsia" w:ascii="宋体" w:hAnsi="宋体" w:eastAsia="宋体" w:cs="宋体"/>
                <w:color w:val="auto"/>
                <w:szCs w:val="21"/>
              </w:rPr>
              <w:t>的业绩，加</w:t>
            </w:r>
            <w:r>
              <w:rPr>
                <w:rFonts w:hint="eastAsia" w:ascii="宋体" w:hAnsi="宋体" w:eastAsia="宋体" w:cs="宋体"/>
                <w:color w:val="auto"/>
                <w:szCs w:val="21"/>
                <w:lang w:val="en-US" w:eastAsia="zh-CN"/>
              </w:rPr>
              <w:t>3</w:t>
            </w:r>
            <w:r>
              <w:rPr>
                <w:rFonts w:hint="eastAsia" w:ascii="宋体" w:hAnsi="宋体" w:eastAsia="宋体" w:cs="宋体"/>
                <w:color w:val="auto"/>
                <w:szCs w:val="21"/>
              </w:rPr>
              <w:t>分；</w:t>
            </w:r>
          </w:p>
          <w:p w14:paraId="210C9595">
            <w:pPr>
              <w:spacing w:line="360" w:lineRule="auto"/>
              <w:ind w:firstLine="0" w:firstLineChars="0"/>
              <w:rPr>
                <w:rFonts w:hint="eastAsia" w:ascii="宋体" w:hAnsi="宋体" w:eastAsia="宋体" w:cs="宋体"/>
                <w:color w:val="auto"/>
                <w:szCs w:val="21"/>
              </w:rPr>
            </w:pPr>
            <w:r>
              <w:rPr>
                <w:rFonts w:hint="eastAsia" w:ascii="宋体" w:hAnsi="宋体" w:eastAsia="宋体" w:cs="宋体"/>
                <w:color w:val="auto"/>
                <w:kern w:val="2"/>
                <w:szCs w:val="21"/>
                <w:lang w:val="zh-CN"/>
              </w:rPr>
              <w:t>②</w:t>
            </w:r>
            <w:r>
              <w:rPr>
                <w:rFonts w:hint="eastAsia" w:ascii="宋体" w:hAnsi="宋体" w:eastAsia="宋体" w:cs="宋体"/>
                <w:color w:val="auto"/>
                <w:szCs w:val="21"/>
              </w:rPr>
              <w:t>每项</w:t>
            </w:r>
            <w:r>
              <w:rPr>
                <w:rFonts w:hint="eastAsia" w:ascii="宋体" w:hAnsi="宋体" w:eastAsia="宋体" w:cs="宋体"/>
                <w:color w:val="auto"/>
                <w:kern w:val="2"/>
                <w:szCs w:val="21"/>
                <w:lang w:val="zh-CN"/>
              </w:rPr>
              <w:t>【</w:t>
            </w:r>
            <w:r>
              <w:rPr>
                <w:rFonts w:hint="eastAsia" w:ascii="宋体" w:hAnsi="宋体" w:eastAsia="宋体" w:cs="宋体"/>
                <w:color w:val="auto"/>
                <w:kern w:val="2"/>
                <w:szCs w:val="21"/>
                <w:lang w:val="en-US" w:eastAsia="zh-CN"/>
              </w:rPr>
              <w:t>5</w:t>
            </w:r>
            <w:r>
              <w:rPr>
                <w:rFonts w:hint="eastAsia" w:ascii="宋体" w:hAnsi="宋体" w:eastAsia="宋体" w:cs="宋体"/>
                <w:color w:val="auto"/>
                <w:kern w:val="2"/>
                <w:szCs w:val="21"/>
              </w:rPr>
              <w:t>00</w:t>
            </w:r>
            <w:r>
              <w:rPr>
                <w:rFonts w:hint="eastAsia" w:ascii="宋体" w:hAnsi="宋体" w:eastAsia="宋体" w:cs="宋体"/>
                <w:color w:val="auto"/>
                <w:kern w:val="2"/>
                <w:szCs w:val="21"/>
                <w:lang w:val="zh-CN"/>
              </w:rPr>
              <w:t>万元≤</w:t>
            </w:r>
            <w:r>
              <w:rPr>
                <w:rFonts w:hint="eastAsia" w:ascii="宋体" w:hAnsi="宋体" w:eastAsia="宋体" w:cs="宋体"/>
                <w:color w:val="auto"/>
                <w:kern w:val="2"/>
                <w:szCs w:val="21"/>
              </w:rPr>
              <w:t>物业服务项目年度金额</w:t>
            </w:r>
            <w:r>
              <w:rPr>
                <w:rFonts w:hint="eastAsia" w:ascii="宋体" w:hAnsi="宋体" w:eastAsia="宋体" w:cs="宋体"/>
                <w:color w:val="auto"/>
                <w:kern w:val="2"/>
                <w:szCs w:val="21"/>
                <w:lang w:val="zh-CN"/>
              </w:rPr>
              <w:t>＜</w:t>
            </w:r>
            <w:r>
              <w:rPr>
                <w:rFonts w:hint="eastAsia" w:ascii="宋体" w:hAnsi="宋体" w:eastAsia="宋体" w:cs="宋体"/>
                <w:color w:val="auto"/>
                <w:kern w:val="2"/>
                <w:szCs w:val="21"/>
                <w:lang w:val="en-US" w:eastAsia="zh-CN"/>
              </w:rPr>
              <w:t>8</w:t>
            </w:r>
            <w:r>
              <w:rPr>
                <w:rFonts w:hint="eastAsia" w:ascii="宋体" w:hAnsi="宋体" w:eastAsia="宋体" w:cs="宋体"/>
                <w:color w:val="auto"/>
                <w:kern w:val="2"/>
                <w:szCs w:val="21"/>
              </w:rPr>
              <w:t>00</w:t>
            </w:r>
            <w:r>
              <w:rPr>
                <w:rFonts w:hint="eastAsia" w:ascii="宋体" w:hAnsi="宋体" w:eastAsia="宋体" w:cs="宋体"/>
                <w:color w:val="auto"/>
                <w:kern w:val="2"/>
                <w:szCs w:val="21"/>
                <w:lang w:val="zh-CN"/>
              </w:rPr>
              <w:t>万元】</w:t>
            </w:r>
            <w:r>
              <w:rPr>
                <w:rFonts w:hint="eastAsia" w:ascii="宋体" w:hAnsi="宋体" w:eastAsia="宋体" w:cs="宋体"/>
                <w:color w:val="auto"/>
                <w:szCs w:val="21"/>
              </w:rPr>
              <w:t>的业绩，加</w:t>
            </w:r>
            <w:r>
              <w:rPr>
                <w:rFonts w:hint="eastAsia" w:ascii="宋体" w:hAnsi="宋体" w:eastAsia="宋体" w:cs="宋体"/>
                <w:color w:val="auto"/>
                <w:szCs w:val="21"/>
                <w:lang w:val="en-US" w:eastAsia="zh-CN"/>
              </w:rPr>
              <w:t>2</w:t>
            </w:r>
            <w:r>
              <w:rPr>
                <w:rFonts w:hint="eastAsia" w:ascii="宋体" w:hAnsi="宋体" w:eastAsia="宋体" w:cs="宋体"/>
                <w:color w:val="auto"/>
                <w:szCs w:val="21"/>
              </w:rPr>
              <w:t>分；</w:t>
            </w:r>
          </w:p>
          <w:p w14:paraId="6ECC66B7">
            <w:pPr>
              <w:spacing w:line="360" w:lineRule="auto"/>
              <w:ind w:firstLine="0" w:firstLineChars="0"/>
              <w:rPr>
                <w:rFonts w:hint="eastAsia" w:ascii="宋体" w:hAnsi="宋体" w:eastAsia="宋体" w:cs="宋体"/>
                <w:color w:val="auto"/>
                <w:szCs w:val="21"/>
              </w:rPr>
            </w:pPr>
            <w:r>
              <w:rPr>
                <w:rFonts w:hint="eastAsia" w:ascii="宋体" w:hAnsi="宋体" w:eastAsia="宋体" w:cs="宋体"/>
                <w:color w:val="auto"/>
                <w:kern w:val="2"/>
                <w:szCs w:val="21"/>
                <w:lang w:val="zh-CN"/>
              </w:rPr>
              <w:t>③</w:t>
            </w:r>
            <w:r>
              <w:rPr>
                <w:rFonts w:hint="eastAsia" w:ascii="宋体" w:hAnsi="宋体" w:eastAsia="宋体" w:cs="宋体"/>
                <w:color w:val="auto"/>
                <w:szCs w:val="21"/>
              </w:rPr>
              <w:t>每项</w:t>
            </w:r>
            <w:r>
              <w:rPr>
                <w:rFonts w:hint="eastAsia" w:ascii="宋体" w:hAnsi="宋体" w:eastAsia="宋体" w:cs="宋体"/>
                <w:color w:val="auto"/>
                <w:kern w:val="2"/>
                <w:szCs w:val="21"/>
                <w:lang w:val="zh-CN"/>
              </w:rPr>
              <w:t>【</w:t>
            </w:r>
            <w:r>
              <w:rPr>
                <w:rFonts w:hint="eastAsia" w:ascii="宋体" w:hAnsi="宋体" w:eastAsia="宋体" w:cs="宋体"/>
                <w:color w:val="auto"/>
                <w:kern w:val="2"/>
                <w:szCs w:val="21"/>
                <w:lang w:val="en-US" w:eastAsia="zh-CN"/>
              </w:rPr>
              <w:t>3</w:t>
            </w:r>
            <w:r>
              <w:rPr>
                <w:rFonts w:hint="eastAsia" w:ascii="宋体" w:hAnsi="宋体" w:eastAsia="宋体" w:cs="宋体"/>
                <w:color w:val="auto"/>
                <w:kern w:val="2"/>
                <w:szCs w:val="21"/>
              </w:rPr>
              <w:t>00</w:t>
            </w:r>
            <w:r>
              <w:rPr>
                <w:rFonts w:hint="eastAsia" w:ascii="宋体" w:hAnsi="宋体" w:eastAsia="宋体" w:cs="宋体"/>
                <w:color w:val="auto"/>
                <w:kern w:val="2"/>
                <w:szCs w:val="21"/>
                <w:lang w:val="zh-CN"/>
              </w:rPr>
              <w:t>万元≤</w:t>
            </w:r>
            <w:r>
              <w:rPr>
                <w:rFonts w:hint="eastAsia" w:ascii="宋体" w:hAnsi="宋体" w:eastAsia="宋体" w:cs="宋体"/>
                <w:color w:val="auto"/>
                <w:kern w:val="2"/>
                <w:szCs w:val="21"/>
              </w:rPr>
              <w:t>物业服务项目年度金额</w:t>
            </w:r>
            <w:r>
              <w:rPr>
                <w:rFonts w:hint="eastAsia" w:ascii="宋体" w:hAnsi="宋体" w:eastAsia="宋体" w:cs="宋体"/>
                <w:color w:val="auto"/>
                <w:kern w:val="2"/>
                <w:szCs w:val="21"/>
                <w:lang w:val="zh-CN"/>
              </w:rPr>
              <w:t>＜</w:t>
            </w:r>
            <w:r>
              <w:rPr>
                <w:rFonts w:hint="eastAsia" w:ascii="宋体" w:hAnsi="宋体" w:eastAsia="宋体" w:cs="宋体"/>
                <w:color w:val="auto"/>
                <w:kern w:val="2"/>
                <w:szCs w:val="21"/>
                <w:lang w:val="en-US" w:eastAsia="zh-CN"/>
              </w:rPr>
              <w:t>5</w:t>
            </w:r>
            <w:r>
              <w:rPr>
                <w:rFonts w:hint="eastAsia" w:ascii="宋体" w:hAnsi="宋体" w:eastAsia="宋体" w:cs="宋体"/>
                <w:color w:val="auto"/>
                <w:kern w:val="2"/>
                <w:szCs w:val="21"/>
              </w:rPr>
              <w:t>00</w:t>
            </w:r>
            <w:r>
              <w:rPr>
                <w:rFonts w:hint="eastAsia" w:ascii="宋体" w:hAnsi="宋体" w:eastAsia="宋体" w:cs="宋体"/>
                <w:color w:val="auto"/>
                <w:kern w:val="2"/>
                <w:szCs w:val="21"/>
                <w:lang w:val="zh-CN"/>
              </w:rPr>
              <w:t>万元】</w:t>
            </w:r>
            <w:r>
              <w:rPr>
                <w:rFonts w:hint="eastAsia" w:ascii="宋体" w:hAnsi="宋体" w:eastAsia="宋体" w:cs="宋体"/>
                <w:color w:val="auto"/>
                <w:szCs w:val="21"/>
              </w:rPr>
              <w:t>的业绩，加</w:t>
            </w:r>
            <w:r>
              <w:rPr>
                <w:rFonts w:hint="eastAsia" w:ascii="宋体" w:hAnsi="宋体" w:eastAsia="宋体" w:cs="宋体"/>
                <w:color w:val="auto"/>
                <w:szCs w:val="21"/>
                <w:lang w:val="en-US" w:eastAsia="zh-CN"/>
              </w:rPr>
              <w:t>1</w:t>
            </w:r>
            <w:r>
              <w:rPr>
                <w:rFonts w:hint="eastAsia" w:ascii="宋体" w:hAnsi="宋体" w:eastAsia="宋体" w:cs="宋体"/>
                <w:color w:val="auto"/>
                <w:szCs w:val="21"/>
              </w:rPr>
              <w:t>分。</w:t>
            </w:r>
          </w:p>
          <w:p w14:paraId="0DED79B0">
            <w:pPr>
              <w:pStyle w:val="53"/>
              <w:spacing w:line="360" w:lineRule="auto"/>
              <w:ind w:left="0" w:firstLine="0" w:firstLineChars="0"/>
              <w:rPr>
                <w:rFonts w:hint="eastAsia" w:ascii="宋体" w:hAnsi="宋体" w:eastAsia="宋体" w:cs="宋体"/>
                <w:b/>
                <w:bCs/>
                <w:color w:val="auto"/>
                <w:szCs w:val="21"/>
              </w:rPr>
            </w:pPr>
            <w:r>
              <w:rPr>
                <w:rFonts w:hint="eastAsia" w:ascii="宋体" w:hAnsi="宋体" w:eastAsia="宋体" w:cs="宋体"/>
                <w:b/>
                <w:bCs/>
                <w:color w:val="auto"/>
                <w:szCs w:val="21"/>
              </w:rPr>
              <w:t>备注：</w:t>
            </w:r>
          </w:p>
          <w:p w14:paraId="1A61E77C">
            <w:pPr>
              <w:pStyle w:val="53"/>
              <w:spacing w:line="360" w:lineRule="auto"/>
              <w:ind w:left="0" w:firstLine="0" w:firstLineChars="0"/>
              <w:rPr>
                <w:rFonts w:hint="eastAsia" w:ascii="宋体" w:hAnsi="宋体" w:eastAsia="宋体" w:cs="宋体"/>
                <w:color w:val="auto"/>
                <w:szCs w:val="21"/>
                <w:lang w:val="en-US"/>
              </w:rPr>
            </w:pPr>
            <w:r>
              <w:rPr>
                <w:rFonts w:hint="eastAsia" w:ascii="宋体" w:hAnsi="宋体" w:eastAsia="宋体" w:cs="宋体"/>
                <w:color w:val="auto"/>
                <w:szCs w:val="21"/>
              </w:rPr>
              <w:t>（</w:t>
            </w:r>
            <w:r>
              <w:rPr>
                <w:rFonts w:hint="eastAsia" w:ascii="宋体" w:hAnsi="宋体" w:eastAsia="宋体" w:cs="宋体"/>
                <w:color w:val="auto"/>
                <w:szCs w:val="21"/>
                <w:lang w:val="en-US"/>
              </w:rPr>
              <w:t>1</w:t>
            </w:r>
            <w:r>
              <w:rPr>
                <w:rFonts w:hint="eastAsia" w:ascii="宋体" w:hAnsi="宋体" w:eastAsia="宋体" w:cs="宋体"/>
                <w:color w:val="auto"/>
                <w:szCs w:val="21"/>
              </w:rPr>
              <w:t>）</w:t>
            </w:r>
            <w:r>
              <w:rPr>
                <w:rFonts w:hint="eastAsia" w:ascii="宋体" w:hAnsi="宋体" w:eastAsia="宋体" w:cs="宋体"/>
                <w:color w:val="auto"/>
                <w:szCs w:val="21"/>
                <w:lang w:val="en-US"/>
              </w:rPr>
              <w:t>业绩须附合同</w:t>
            </w:r>
            <w:r>
              <w:rPr>
                <w:rFonts w:hint="eastAsia" w:ascii="宋体" w:hAnsi="宋体" w:eastAsia="宋体" w:cs="宋体"/>
                <w:color w:val="auto"/>
                <w:szCs w:val="21"/>
                <w:lang w:val="en-US" w:eastAsia="zh-CN"/>
              </w:rPr>
              <w:t>扫描</w:t>
            </w:r>
            <w:r>
              <w:rPr>
                <w:rFonts w:hint="eastAsia" w:ascii="宋体" w:hAnsi="宋体" w:eastAsia="宋体" w:cs="宋体"/>
                <w:color w:val="auto"/>
                <w:szCs w:val="21"/>
                <w:lang w:val="en-US"/>
              </w:rPr>
              <w:t>件（合同服务提供方为投标人），和</w:t>
            </w:r>
            <w:r>
              <w:rPr>
                <w:rFonts w:hint="eastAsia" w:ascii="宋体" w:hAnsi="宋体" w:eastAsia="宋体" w:cs="宋体"/>
                <w:color w:val="auto"/>
                <w:szCs w:val="21"/>
                <w:lang w:val="en-US" w:eastAsia="zh-CN"/>
              </w:rPr>
              <w:t>已服务的任意一张发票扫描件（发票开具日期须在本项目招标公告发布之日前）</w:t>
            </w:r>
            <w:r>
              <w:rPr>
                <w:rFonts w:hint="eastAsia" w:ascii="宋体" w:hAnsi="宋体" w:eastAsia="宋体" w:cs="宋体"/>
                <w:color w:val="auto"/>
                <w:szCs w:val="21"/>
                <w:lang w:val="en-US"/>
              </w:rPr>
              <w:t>，否则不得分。</w:t>
            </w:r>
          </w:p>
          <w:p w14:paraId="6B048655">
            <w:pPr>
              <w:pStyle w:val="53"/>
              <w:spacing w:line="360" w:lineRule="auto"/>
              <w:ind w:left="0" w:firstLine="0" w:firstLineChars="0"/>
              <w:rPr>
                <w:rFonts w:hint="eastAsia" w:ascii="宋体" w:hAnsi="宋体" w:eastAsia="宋体" w:cs="宋体"/>
                <w:color w:val="auto"/>
                <w:szCs w:val="21"/>
                <w:lang w:val="en-US"/>
              </w:rPr>
            </w:pPr>
            <w:r>
              <w:rPr>
                <w:rFonts w:hint="eastAsia" w:ascii="宋体" w:hAnsi="宋体" w:eastAsia="宋体" w:cs="宋体"/>
                <w:color w:val="auto"/>
                <w:szCs w:val="21"/>
              </w:rPr>
              <w:t>（</w:t>
            </w:r>
            <w:r>
              <w:rPr>
                <w:rFonts w:hint="eastAsia" w:ascii="宋体" w:hAnsi="宋体" w:eastAsia="宋体" w:cs="宋体"/>
                <w:color w:val="auto"/>
                <w:szCs w:val="21"/>
                <w:lang w:val="en-US"/>
              </w:rPr>
              <w:t>2</w:t>
            </w:r>
            <w:r>
              <w:rPr>
                <w:rFonts w:hint="eastAsia" w:ascii="宋体" w:hAnsi="宋体" w:eastAsia="宋体" w:cs="宋体"/>
                <w:color w:val="auto"/>
                <w:szCs w:val="21"/>
              </w:rPr>
              <w:t>）</w:t>
            </w:r>
            <w:r>
              <w:rPr>
                <w:rFonts w:hint="eastAsia" w:ascii="宋体" w:hAnsi="宋体" w:eastAsia="宋体" w:cs="宋体"/>
                <w:color w:val="auto"/>
                <w:szCs w:val="21"/>
                <w:lang w:val="en-US"/>
              </w:rPr>
              <w:t>合同必须能反映评分条件（合同签订日期、合同期限、合同金额、物业类型、</w:t>
            </w:r>
            <w:r>
              <w:rPr>
                <w:rFonts w:hint="eastAsia" w:ascii="宋体" w:hAnsi="宋体" w:eastAsia="宋体" w:cs="宋体"/>
                <w:bCs/>
                <w:color w:val="auto"/>
                <w:kern w:val="2"/>
              </w:rPr>
              <w:t>建筑面积平方数、</w:t>
            </w:r>
            <w:r>
              <w:rPr>
                <w:rFonts w:hint="eastAsia" w:ascii="宋体" w:hAnsi="宋体" w:eastAsia="宋体" w:cs="宋体"/>
                <w:bCs/>
                <w:color w:val="auto"/>
                <w:kern w:val="2"/>
                <w:lang w:val="en-US"/>
              </w:rPr>
              <w:t>建筑层数），</w:t>
            </w:r>
            <w:r>
              <w:rPr>
                <w:rFonts w:hint="eastAsia" w:ascii="宋体" w:hAnsi="宋体" w:eastAsia="宋体" w:cs="宋体"/>
                <w:color w:val="auto"/>
                <w:szCs w:val="21"/>
                <w:lang w:val="en-US"/>
              </w:rPr>
              <w:t>合同服务内容必须为物业管理服务且同时包含</w:t>
            </w:r>
            <w:r>
              <w:rPr>
                <w:rFonts w:hint="eastAsia" w:ascii="宋体" w:hAnsi="宋体" w:eastAsia="宋体" w:cs="宋体"/>
                <w:color w:val="auto"/>
                <w:szCs w:val="21"/>
              </w:rPr>
              <w:t>保洁</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或清洁或环境卫生</w:t>
            </w:r>
            <w:r>
              <w:rPr>
                <w:rFonts w:hint="eastAsia" w:ascii="宋体" w:hAnsi="宋体" w:eastAsia="宋体" w:cs="宋体"/>
                <w:color w:val="auto"/>
                <w:szCs w:val="21"/>
                <w:lang w:eastAsia="zh-CN"/>
              </w:rPr>
              <w:t>）</w:t>
            </w:r>
            <w:r>
              <w:rPr>
                <w:rFonts w:hint="eastAsia" w:ascii="宋体" w:hAnsi="宋体" w:eastAsia="宋体" w:cs="宋体"/>
                <w:color w:val="auto"/>
                <w:szCs w:val="21"/>
              </w:rPr>
              <w:t>及保安</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或安保或秩序维护</w:t>
            </w:r>
            <w:r>
              <w:rPr>
                <w:rFonts w:hint="eastAsia" w:ascii="宋体" w:hAnsi="宋体" w:eastAsia="宋体" w:cs="宋体"/>
                <w:color w:val="auto"/>
                <w:szCs w:val="21"/>
                <w:lang w:eastAsia="zh-CN"/>
              </w:rPr>
              <w:t>）</w:t>
            </w:r>
            <w:r>
              <w:rPr>
                <w:rFonts w:hint="eastAsia" w:ascii="宋体" w:hAnsi="宋体" w:eastAsia="宋体" w:cs="宋体"/>
                <w:color w:val="auto"/>
                <w:szCs w:val="21"/>
              </w:rPr>
              <w:t>服务</w:t>
            </w:r>
            <w:r>
              <w:rPr>
                <w:rFonts w:hint="eastAsia" w:ascii="宋体" w:hAnsi="宋体" w:eastAsia="宋体" w:cs="宋体"/>
                <w:color w:val="auto"/>
                <w:szCs w:val="21"/>
                <w:lang w:val="en-US"/>
              </w:rPr>
              <w:t>，否则，需同时提供服务发包人</w:t>
            </w:r>
            <w:r>
              <w:rPr>
                <w:rFonts w:hint="eastAsia" w:ascii="宋体" w:hAnsi="宋体" w:eastAsia="宋体" w:cs="宋体"/>
                <w:color w:val="auto"/>
                <w:szCs w:val="21"/>
                <w:lang w:val="en-US" w:eastAsia="zh-CN"/>
              </w:rPr>
              <w:t>（业主）出具的书面文件扫描件</w:t>
            </w:r>
            <w:r>
              <w:rPr>
                <w:rFonts w:hint="eastAsia" w:ascii="宋体" w:hAnsi="宋体" w:eastAsia="宋体" w:cs="宋体"/>
                <w:color w:val="auto"/>
                <w:szCs w:val="21"/>
                <w:lang w:val="en-US"/>
              </w:rPr>
              <w:t>（需加盖服务发包人公章，即</w:t>
            </w:r>
            <w:r>
              <w:rPr>
                <w:rFonts w:hint="eastAsia" w:ascii="宋体" w:hAnsi="宋体" w:eastAsia="宋体" w:cs="宋体"/>
                <w:color w:val="auto"/>
                <w:szCs w:val="21"/>
                <w:lang w:val="en-US" w:eastAsia="zh-CN"/>
              </w:rPr>
              <w:t>扫描</w:t>
            </w:r>
            <w:r>
              <w:rPr>
                <w:rFonts w:hint="eastAsia" w:ascii="宋体" w:hAnsi="宋体" w:eastAsia="宋体" w:cs="宋体"/>
                <w:color w:val="auto"/>
                <w:szCs w:val="21"/>
                <w:lang w:val="en-US"/>
              </w:rPr>
              <w:t>件能显示服务发包人公章）</w:t>
            </w:r>
            <w:r>
              <w:rPr>
                <w:rFonts w:hint="eastAsia" w:ascii="宋体" w:hAnsi="宋体" w:eastAsia="宋体" w:cs="宋体"/>
                <w:color w:val="auto"/>
                <w:szCs w:val="21"/>
                <w:lang w:val="en-US" w:eastAsia="zh-CN"/>
              </w:rPr>
              <w:t>或</w:t>
            </w:r>
            <w:r>
              <w:rPr>
                <w:rFonts w:hint="eastAsia" w:ascii="宋体" w:hAnsi="宋体" w:eastAsia="宋体" w:cs="宋体"/>
                <w:color w:val="auto"/>
                <w:szCs w:val="21"/>
                <w:lang w:val="en-US"/>
              </w:rPr>
              <w:t>发包人</w:t>
            </w:r>
            <w:r>
              <w:rPr>
                <w:rFonts w:hint="eastAsia" w:ascii="宋体" w:hAnsi="宋体" w:eastAsia="宋体" w:cs="宋体"/>
                <w:color w:val="auto"/>
                <w:szCs w:val="21"/>
                <w:lang w:val="en-US" w:eastAsia="zh-CN"/>
              </w:rPr>
              <w:t>（业主）加盖公章反映条件的招标文件扫描件或政府部门</w:t>
            </w:r>
            <w:r>
              <w:rPr>
                <w:rFonts w:hint="eastAsia" w:ascii="宋体" w:hAnsi="宋体" w:eastAsia="宋体" w:cs="宋体"/>
                <w:color w:val="auto"/>
                <w:szCs w:val="21"/>
              </w:rPr>
              <w:t>出具的相关证明材料</w:t>
            </w:r>
            <w:r>
              <w:rPr>
                <w:rFonts w:hint="eastAsia" w:ascii="宋体" w:hAnsi="宋体" w:eastAsia="宋体" w:cs="宋体"/>
                <w:color w:val="auto"/>
                <w:szCs w:val="21"/>
                <w:lang w:val="en-US" w:eastAsia="zh-CN"/>
              </w:rPr>
              <w:t>扫描</w:t>
            </w:r>
            <w:r>
              <w:rPr>
                <w:rFonts w:hint="eastAsia" w:ascii="宋体" w:hAnsi="宋体" w:eastAsia="宋体" w:cs="宋体"/>
                <w:color w:val="auto"/>
                <w:szCs w:val="21"/>
                <w:lang w:val="en-US"/>
              </w:rPr>
              <w:t>件作为辅助证明，否则不得分。</w:t>
            </w:r>
          </w:p>
          <w:p w14:paraId="6F0B7C00">
            <w:pPr>
              <w:pStyle w:val="53"/>
              <w:spacing w:line="360" w:lineRule="auto"/>
              <w:ind w:left="0" w:firstLine="0" w:firstLineChars="0"/>
              <w:rPr>
                <w:rFonts w:hint="eastAsia" w:ascii="宋体" w:hAnsi="宋体" w:eastAsia="宋体" w:cs="宋体"/>
                <w:color w:val="auto"/>
                <w:szCs w:val="21"/>
                <w:lang w:val="en-US"/>
              </w:rPr>
            </w:pPr>
            <w:r>
              <w:rPr>
                <w:rFonts w:hint="eastAsia" w:ascii="宋体" w:hAnsi="宋体" w:eastAsia="宋体" w:cs="宋体"/>
                <w:color w:val="auto"/>
                <w:szCs w:val="21"/>
                <w:lang w:val="en-US"/>
              </w:rPr>
              <w:t>（3）</w:t>
            </w:r>
            <w:r>
              <w:rPr>
                <w:rFonts w:hint="eastAsia" w:ascii="宋体" w:hAnsi="宋体" w:eastAsia="宋体" w:cs="宋体"/>
                <w:color w:val="auto"/>
                <w:szCs w:val="21"/>
                <w:lang w:val="en-US" w:eastAsia="zh-CN"/>
              </w:rPr>
              <w:t>第（2）项评审项</w:t>
            </w:r>
            <w:r>
              <w:rPr>
                <w:rFonts w:hint="eastAsia" w:ascii="宋体" w:hAnsi="宋体" w:eastAsia="宋体" w:cs="宋体"/>
                <w:color w:val="auto"/>
                <w:szCs w:val="21"/>
                <w:lang w:val="en-US"/>
              </w:rPr>
              <w:t>业绩的物业类型须为商务办公楼或写字楼，不包括住宅小区、公寓、公园、工业园区、车站、机场、学校、医院项目，否则不得分。</w:t>
            </w:r>
          </w:p>
          <w:p w14:paraId="2AF45672">
            <w:pPr>
              <w:pStyle w:val="53"/>
              <w:spacing w:line="360" w:lineRule="auto"/>
              <w:ind w:left="0" w:firstLine="0" w:firstLineChars="0"/>
              <w:rPr>
                <w:rFonts w:hint="eastAsia" w:ascii="宋体" w:hAnsi="宋体" w:eastAsia="宋体" w:cs="宋体"/>
                <w:color w:val="auto"/>
                <w:szCs w:val="21"/>
                <w:lang w:val="en-US"/>
              </w:rPr>
            </w:pPr>
            <w:r>
              <w:rPr>
                <w:rFonts w:hint="eastAsia" w:ascii="宋体" w:hAnsi="宋体" w:eastAsia="宋体" w:cs="宋体"/>
                <w:color w:val="auto"/>
                <w:szCs w:val="21"/>
              </w:rPr>
              <w:t>（</w:t>
            </w:r>
            <w:r>
              <w:rPr>
                <w:rFonts w:hint="eastAsia" w:ascii="宋体" w:hAnsi="宋体" w:eastAsia="宋体" w:cs="宋体"/>
                <w:color w:val="auto"/>
                <w:szCs w:val="21"/>
                <w:lang w:val="en-US"/>
              </w:rPr>
              <w:t>4</w:t>
            </w:r>
            <w:r>
              <w:rPr>
                <w:rFonts w:hint="eastAsia" w:ascii="宋体" w:hAnsi="宋体" w:eastAsia="宋体" w:cs="宋体"/>
                <w:color w:val="auto"/>
                <w:szCs w:val="21"/>
              </w:rPr>
              <w:t>）</w:t>
            </w:r>
            <w:r>
              <w:rPr>
                <w:rFonts w:hint="eastAsia" w:ascii="宋体" w:hAnsi="宋体" w:eastAsia="宋体" w:cs="宋体"/>
                <w:color w:val="auto"/>
                <w:szCs w:val="21"/>
                <w:lang w:val="en-US"/>
              </w:rPr>
              <w:t>若业绩为框架式协议或资格入围无明确金额的合同，必须同时提供合同期限内已服务发票金额统计表和发票</w:t>
            </w:r>
            <w:r>
              <w:rPr>
                <w:rFonts w:hint="eastAsia" w:ascii="宋体" w:hAnsi="宋体" w:eastAsia="宋体" w:cs="宋体"/>
                <w:color w:val="auto"/>
                <w:szCs w:val="21"/>
                <w:lang w:val="en-US" w:eastAsia="zh-CN"/>
              </w:rPr>
              <w:t>扫描</w:t>
            </w:r>
            <w:r>
              <w:rPr>
                <w:rFonts w:hint="eastAsia" w:ascii="宋体" w:hAnsi="宋体" w:eastAsia="宋体" w:cs="宋体"/>
                <w:color w:val="auto"/>
                <w:szCs w:val="21"/>
                <w:lang w:val="en-US"/>
              </w:rPr>
              <w:t>件。发票合计金额视为投标人所提供该单项物业服务项目实际总金额，评审时按物业服务项目年度金额进行评审。</w:t>
            </w:r>
          </w:p>
          <w:p w14:paraId="6E0FE701">
            <w:pPr>
              <w:pStyle w:val="53"/>
              <w:spacing w:line="360" w:lineRule="auto"/>
              <w:ind w:left="0" w:firstLine="0" w:firstLineChars="0"/>
              <w:rPr>
                <w:rFonts w:hint="eastAsia" w:ascii="宋体" w:hAnsi="宋体" w:eastAsia="宋体" w:cs="宋体"/>
                <w:color w:val="auto"/>
                <w:kern w:val="2"/>
              </w:rPr>
            </w:pPr>
            <w:r>
              <w:rPr>
                <w:rFonts w:hint="eastAsia" w:ascii="宋体" w:hAnsi="宋体" w:eastAsia="宋体" w:cs="宋体"/>
                <w:color w:val="auto"/>
                <w:szCs w:val="21"/>
              </w:rPr>
              <w:t>（</w:t>
            </w:r>
            <w:r>
              <w:rPr>
                <w:rFonts w:hint="eastAsia" w:ascii="宋体" w:hAnsi="宋体" w:eastAsia="宋体" w:cs="宋体"/>
                <w:color w:val="auto"/>
                <w:szCs w:val="21"/>
                <w:lang w:val="en-US"/>
              </w:rPr>
              <w:t>5</w:t>
            </w:r>
            <w:r>
              <w:rPr>
                <w:rFonts w:hint="eastAsia" w:ascii="宋体" w:hAnsi="宋体" w:eastAsia="宋体" w:cs="宋体"/>
                <w:color w:val="auto"/>
                <w:szCs w:val="21"/>
              </w:rPr>
              <w:t>）单项合同服务期限要求大于</w:t>
            </w:r>
            <w:r>
              <w:rPr>
                <w:rFonts w:hint="eastAsia" w:ascii="宋体" w:hAnsi="宋体" w:eastAsia="宋体" w:cs="宋体"/>
                <w:color w:val="auto"/>
                <w:szCs w:val="21"/>
                <w:lang w:val="en-US" w:eastAsia="zh-CN"/>
              </w:rPr>
              <w:t>或等于一年</w:t>
            </w:r>
            <w:r>
              <w:rPr>
                <w:rFonts w:hint="eastAsia" w:ascii="宋体" w:hAnsi="宋体" w:eastAsia="宋体" w:cs="宋体"/>
                <w:color w:val="auto"/>
                <w:szCs w:val="21"/>
              </w:rPr>
              <w:t>，小于</w:t>
            </w:r>
            <w:r>
              <w:rPr>
                <w:rFonts w:hint="eastAsia" w:ascii="宋体" w:hAnsi="宋体" w:eastAsia="宋体" w:cs="宋体"/>
                <w:color w:val="auto"/>
                <w:szCs w:val="21"/>
                <w:lang w:val="en-US" w:eastAsia="zh-CN"/>
              </w:rPr>
              <w:t>一年</w:t>
            </w:r>
            <w:r>
              <w:rPr>
                <w:rFonts w:hint="eastAsia" w:ascii="宋体" w:hAnsi="宋体" w:eastAsia="宋体" w:cs="宋体"/>
                <w:color w:val="auto"/>
                <w:szCs w:val="21"/>
              </w:rPr>
              <w:t>的业绩合同在评标时将不予考虑；</w:t>
            </w:r>
            <w:r>
              <w:rPr>
                <w:rFonts w:hint="eastAsia" w:ascii="宋体" w:hAnsi="宋体" w:eastAsia="宋体" w:cs="宋体"/>
                <w:color w:val="auto"/>
                <w:kern w:val="2"/>
                <w:lang w:val="en-US"/>
              </w:rPr>
              <w:t>若单项合同服务期限</w:t>
            </w:r>
            <w:r>
              <w:rPr>
                <w:rFonts w:hint="eastAsia" w:ascii="宋体" w:hAnsi="宋体" w:eastAsia="宋体" w:cs="宋体"/>
                <w:color w:val="auto"/>
                <w:kern w:val="2"/>
                <w:lang w:val="en-US" w:eastAsia="zh-CN"/>
              </w:rPr>
              <w:t>为</w:t>
            </w:r>
            <w:r>
              <w:rPr>
                <w:rFonts w:hint="eastAsia" w:ascii="宋体" w:hAnsi="宋体" w:eastAsia="宋体" w:cs="宋体"/>
                <w:color w:val="auto"/>
                <w:kern w:val="2"/>
                <w:lang w:val="en-US"/>
              </w:rPr>
              <w:t>一年的，“物业服务项目年度金额”为单项合同服务期内总金额；若单项合同服务期限超过一年的，“物业服务项目年度金额”为单项合同总金额按照合同期限折算成平均每年度的金额，</w:t>
            </w:r>
            <w:r>
              <w:rPr>
                <w:rFonts w:hint="eastAsia" w:ascii="宋体" w:hAnsi="宋体" w:eastAsia="宋体" w:cs="宋体"/>
                <w:color w:val="auto"/>
                <w:kern w:val="2"/>
              </w:rPr>
              <w:t>即（单项合同总金额/</w:t>
            </w:r>
            <w:r>
              <w:rPr>
                <w:rFonts w:hint="eastAsia" w:ascii="宋体" w:hAnsi="宋体" w:eastAsia="宋体" w:cs="宋体"/>
                <w:color w:val="auto"/>
                <w:kern w:val="2"/>
                <w:lang w:val="en-US"/>
              </w:rPr>
              <w:t>合同服务期</w:t>
            </w:r>
            <w:r>
              <w:rPr>
                <w:rFonts w:hint="eastAsia" w:ascii="宋体" w:hAnsi="宋体" w:eastAsia="宋体" w:cs="宋体"/>
                <w:color w:val="auto"/>
                <w:kern w:val="2"/>
              </w:rPr>
              <w:t>月数）</w:t>
            </w:r>
            <w:r>
              <w:rPr>
                <w:rFonts w:hint="eastAsia" w:ascii="宋体" w:hAnsi="宋体" w:eastAsia="宋体" w:cs="宋体"/>
                <w:color w:val="auto"/>
                <w:kern w:val="2"/>
                <w:lang w:val="en-US"/>
              </w:rPr>
              <w:t>×</w:t>
            </w:r>
            <w:r>
              <w:rPr>
                <w:rFonts w:hint="eastAsia" w:ascii="宋体" w:hAnsi="宋体" w:eastAsia="宋体" w:cs="宋体"/>
                <w:color w:val="auto"/>
                <w:kern w:val="2"/>
              </w:rPr>
              <w:t>12。</w:t>
            </w:r>
          </w:p>
          <w:p w14:paraId="12C78546">
            <w:pPr>
              <w:pStyle w:val="53"/>
              <w:spacing w:line="360" w:lineRule="auto"/>
              <w:ind w:left="0" w:firstLine="0" w:firstLineChars="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rPr>
              <w:t>6</w:t>
            </w:r>
            <w:r>
              <w:rPr>
                <w:rFonts w:hint="eastAsia" w:ascii="宋体" w:hAnsi="宋体" w:eastAsia="宋体" w:cs="宋体"/>
                <w:color w:val="auto"/>
                <w:szCs w:val="21"/>
              </w:rPr>
              <w:t>）未按</w:t>
            </w:r>
            <w:r>
              <w:rPr>
                <w:rFonts w:hint="eastAsia" w:ascii="宋体" w:hAnsi="宋体" w:eastAsia="宋体" w:cs="宋体"/>
                <w:color w:val="auto"/>
                <w:szCs w:val="21"/>
                <w:lang w:val="en-US"/>
              </w:rPr>
              <w:t>上述</w:t>
            </w:r>
            <w:r>
              <w:rPr>
                <w:rFonts w:hint="eastAsia" w:ascii="宋体" w:hAnsi="宋体" w:eastAsia="宋体" w:cs="宋体"/>
                <w:color w:val="auto"/>
                <w:szCs w:val="21"/>
              </w:rPr>
              <w:t>要求提供相关证明</w:t>
            </w:r>
            <w:r>
              <w:rPr>
                <w:rFonts w:hint="eastAsia" w:ascii="宋体" w:hAnsi="宋体" w:eastAsia="宋体" w:cs="宋体"/>
                <w:color w:val="auto"/>
                <w:szCs w:val="21"/>
                <w:lang w:val="en-US"/>
              </w:rPr>
              <w:t>材料</w:t>
            </w:r>
            <w:r>
              <w:rPr>
                <w:rFonts w:hint="eastAsia" w:ascii="宋体" w:hAnsi="宋体" w:eastAsia="宋体" w:cs="宋体"/>
                <w:color w:val="auto"/>
                <w:szCs w:val="21"/>
              </w:rPr>
              <w:t>的</w:t>
            </w:r>
            <w:r>
              <w:rPr>
                <w:rFonts w:hint="eastAsia" w:ascii="宋体" w:hAnsi="宋体" w:eastAsia="宋体" w:cs="宋体"/>
                <w:color w:val="auto"/>
                <w:szCs w:val="21"/>
                <w:lang w:val="en-US"/>
              </w:rPr>
              <w:t>业绩</w:t>
            </w:r>
            <w:r>
              <w:rPr>
                <w:rFonts w:hint="eastAsia" w:ascii="宋体" w:hAnsi="宋体" w:eastAsia="宋体" w:cs="宋体"/>
                <w:color w:val="auto"/>
                <w:szCs w:val="21"/>
              </w:rPr>
              <w:t>，</w:t>
            </w:r>
            <w:r>
              <w:rPr>
                <w:rFonts w:hint="eastAsia" w:ascii="宋体" w:hAnsi="宋体" w:eastAsia="宋体" w:cs="宋体"/>
                <w:color w:val="auto"/>
                <w:szCs w:val="21"/>
                <w:lang w:val="en-US"/>
              </w:rPr>
              <w:t>或所附材料无法证明填报项目属投标人完成的或符合本项评分要求的业绩，</w:t>
            </w:r>
            <w:r>
              <w:rPr>
                <w:rFonts w:hint="eastAsia" w:ascii="宋体" w:hAnsi="宋体" w:eastAsia="宋体" w:cs="宋体"/>
                <w:color w:val="auto"/>
                <w:szCs w:val="21"/>
              </w:rPr>
              <w:t>在评标时将不予考虑。</w:t>
            </w:r>
          </w:p>
        </w:tc>
        <w:tc>
          <w:tcPr>
            <w:tcW w:w="934" w:type="dxa"/>
            <w:noWrap w:val="0"/>
            <w:vAlign w:val="center"/>
          </w:tcPr>
          <w:p w14:paraId="4BBC73F9">
            <w:pPr>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25</w:t>
            </w:r>
            <w:r>
              <w:rPr>
                <w:rFonts w:hint="eastAsia" w:ascii="宋体" w:hAnsi="宋体" w:eastAsia="宋体" w:cs="宋体"/>
                <w:color w:val="auto"/>
                <w:szCs w:val="21"/>
              </w:rPr>
              <w:t>分</w:t>
            </w:r>
          </w:p>
        </w:tc>
      </w:tr>
      <w:tr w14:paraId="5530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noWrap w:val="0"/>
            <w:vAlign w:val="center"/>
          </w:tcPr>
          <w:p w14:paraId="759A9E01">
            <w:pPr>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280" w:type="dxa"/>
            <w:noWrap w:val="0"/>
            <w:vAlign w:val="center"/>
          </w:tcPr>
          <w:p w14:paraId="19E9C890">
            <w:pPr>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服务便利性</w:t>
            </w:r>
          </w:p>
        </w:tc>
        <w:tc>
          <w:tcPr>
            <w:tcW w:w="6890" w:type="dxa"/>
            <w:noWrap w:val="0"/>
            <w:vAlign w:val="center"/>
          </w:tcPr>
          <w:p w14:paraId="5D5F6CF1">
            <w:pPr>
              <w:spacing w:line="360" w:lineRule="auto"/>
              <w:ind w:firstLine="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根据投标人提供的服务便利性时间资料进行评审：</w:t>
            </w:r>
          </w:p>
          <w:p w14:paraId="56764D64">
            <w:pPr>
              <w:spacing w:line="360"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（1）投标人</w:t>
            </w:r>
            <w:r>
              <w:rPr>
                <w:rFonts w:hint="eastAsia" w:ascii="宋体" w:hAnsi="宋体" w:eastAsia="宋体" w:cs="宋体"/>
                <w:color w:val="auto"/>
                <w:szCs w:val="21"/>
                <w:lang w:val="en-US" w:eastAsia="zh-CN"/>
              </w:rPr>
              <w:t>提供从投标人注册地或其分支机构到达水业大厦（地址：广东省东莞市南城街道宏北路16号）的时间资料，到达时间≤60分钟的，得4分；</w:t>
            </w:r>
          </w:p>
          <w:p w14:paraId="20A3CBE7">
            <w:pPr>
              <w:spacing w:line="360"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（2）投标人</w:t>
            </w:r>
            <w:r>
              <w:rPr>
                <w:rFonts w:hint="eastAsia" w:ascii="宋体" w:hAnsi="宋体" w:eastAsia="宋体" w:cs="宋体"/>
                <w:color w:val="auto"/>
                <w:szCs w:val="21"/>
                <w:lang w:val="en-US" w:eastAsia="zh-CN"/>
              </w:rPr>
              <w:t>提供从投标人注册地或其分支机构到达水业大厦（地址：广东省东莞市南城街道宏北路16号）的时间资料，60分钟＜到达时间≤120分钟的，得2分</w:t>
            </w:r>
            <w:r>
              <w:rPr>
                <w:rFonts w:hint="eastAsia" w:ascii="宋体" w:hAnsi="宋体" w:eastAsia="宋体" w:cs="宋体"/>
                <w:color w:val="auto"/>
                <w:szCs w:val="21"/>
              </w:rPr>
              <w:t>；</w:t>
            </w:r>
          </w:p>
          <w:p w14:paraId="73458A8B">
            <w:pPr>
              <w:spacing w:line="360"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（3）投标人</w:t>
            </w:r>
            <w:r>
              <w:rPr>
                <w:rFonts w:hint="eastAsia" w:ascii="宋体" w:hAnsi="宋体" w:eastAsia="宋体" w:cs="宋体"/>
                <w:color w:val="auto"/>
                <w:szCs w:val="21"/>
                <w:lang w:val="en-US" w:eastAsia="zh-CN"/>
              </w:rPr>
              <w:t>提供从投标人注册地或其分支机构到达水业大厦（地址：广东省东莞市南城街道宏北路16号）的时间资料，120分钟＜到达时间≤240分钟的，得1分</w:t>
            </w:r>
            <w:r>
              <w:rPr>
                <w:rFonts w:hint="eastAsia" w:ascii="宋体" w:hAnsi="宋体" w:eastAsia="宋体" w:cs="宋体"/>
                <w:color w:val="auto"/>
                <w:szCs w:val="21"/>
              </w:rPr>
              <w:t>；</w:t>
            </w:r>
          </w:p>
          <w:p w14:paraId="46346FC8">
            <w:pPr>
              <w:spacing w:line="360" w:lineRule="auto"/>
              <w:ind w:firstLine="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其他情况不得分。</w:t>
            </w:r>
          </w:p>
          <w:p w14:paraId="54C67619">
            <w:pPr>
              <w:spacing w:line="360" w:lineRule="auto"/>
              <w:ind w:firstLine="0" w:firstLineChars="0"/>
              <w:rPr>
                <w:rFonts w:hint="eastAsia" w:ascii="宋体" w:hAnsi="宋体" w:eastAsia="宋体" w:cs="宋体"/>
                <w:b/>
                <w:bCs/>
                <w:color w:val="auto"/>
                <w:szCs w:val="21"/>
              </w:rPr>
            </w:pPr>
            <w:r>
              <w:rPr>
                <w:rFonts w:hint="eastAsia" w:ascii="宋体" w:hAnsi="宋体" w:eastAsia="宋体" w:cs="宋体"/>
                <w:b/>
                <w:bCs/>
                <w:color w:val="auto"/>
                <w:szCs w:val="21"/>
              </w:rPr>
              <w:t>备注：</w:t>
            </w:r>
          </w:p>
          <w:p w14:paraId="7F364358">
            <w:pPr>
              <w:spacing w:line="360" w:lineRule="auto"/>
              <w:ind w:firstLine="0" w:firstLineChars="0"/>
              <w:rPr>
                <w:rFonts w:hint="eastAsia" w:ascii="宋体" w:hAnsi="宋体" w:eastAsia="宋体" w:cs="宋体"/>
                <w:color w:val="auto"/>
                <w:szCs w:val="21"/>
                <w:lang w:val="en-US"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投标人注册地或其分支机构地址以提供的营业执照或办公场所租赁合同或产权证明的地址为准，需提供前述证明扫描件，否则评审时将不予考虑。</w:t>
            </w:r>
          </w:p>
          <w:p w14:paraId="1B6A24F7">
            <w:pPr>
              <w:spacing w:line="360" w:lineRule="auto"/>
              <w:ind w:firstLine="0" w:firstLineChars="0"/>
              <w:rPr>
                <w:rFonts w:hint="eastAsia" w:ascii="宋体" w:hAnsi="宋体" w:eastAsia="宋体" w:cs="宋体"/>
                <w:color w:val="auto"/>
                <w:szCs w:val="21"/>
              </w:rPr>
            </w:pPr>
            <w:r>
              <w:rPr>
                <w:rFonts w:hint="eastAsia" w:ascii="宋体" w:hAnsi="宋体" w:eastAsia="宋体" w:cs="宋体"/>
                <w:color w:val="auto"/>
                <w:szCs w:val="21"/>
                <w:lang w:val="en-US" w:eastAsia="zh-CN"/>
              </w:rPr>
              <w:t>（2）本项评审，投标人需提供从投标人注册地或其分支机构地址到达指定地点的路线图导航截屏（需体现投标人注册地或其分支机构地址至指定地点的名称、距离以及用时等关系因素），未提供相关证明资料或不符合本项评分要求的，在评审时将不予考虑</w:t>
            </w:r>
            <w:r>
              <w:rPr>
                <w:rFonts w:hint="eastAsia" w:ascii="宋体" w:hAnsi="宋体" w:eastAsia="宋体" w:cs="宋体"/>
                <w:color w:val="auto"/>
                <w:szCs w:val="21"/>
              </w:rPr>
              <w:t>。</w:t>
            </w:r>
          </w:p>
          <w:p w14:paraId="586A9A8E">
            <w:pPr>
              <w:spacing w:line="360"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rPr>
              <w:t>）</w:t>
            </w:r>
            <w:r>
              <w:rPr>
                <w:rFonts w:hint="eastAsia" w:ascii="宋体" w:hAnsi="宋体" w:eastAsia="宋体" w:cs="宋体"/>
                <w:color w:val="auto"/>
                <w:szCs w:val="21"/>
                <w:lang w:val="en-US" w:eastAsia="zh-CN"/>
              </w:rPr>
              <w:t>投标人如提供多个路线图时间资料，</w:t>
            </w:r>
            <w:r>
              <w:rPr>
                <w:rFonts w:hint="eastAsia" w:ascii="宋体" w:hAnsi="宋体" w:eastAsia="宋体" w:cs="宋体"/>
                <w:color w:val="auto"/>
                <w:szCs w:val="21"/>
              </w:rPr>
              <w:t>不重复或叠加得分，按该投标人符合本评审项目的较高标准项计分。</w:t>
            </w:r>
          </w:p>
        </w:tc>
        <w:tc>
          <w:tcPr>
            <w:tcW w:w="934" w:type="dxa"/>
            <w:noWrap w:val="0"/>
            <w:vAlign w:val="center"/>
          </w:tcPr>
          <w:p w14:paraId="034B4411">
            <w:pPr>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分</w:t>
            </w:r>
          </w:p>
        </w:tc>
      </w:tr>
    </w:tbl>
    <w:p w14:paraId="64224FA5">
      <w:pPr>
        <w:autoSpaceDE w:val="0"/>
        <w:autoSpaceDN w:val="0"/>
        <w:adjustRightInd w:val="0"/>
        <w:ind w:right="-26" w:firstLine="480"/>
        <w:jc w:val="center"/>
        <w:rPr>
          <w:rFonts w:hint="eastAsia" w:ascii="宋体" w:hAnsi="宋体" w:eastAsia="宋体" w:cs="宋体"/>
          <w:b/>
          <w:bCs/>
          <w:color w:val="auto"/>
          <w:kern w:val="0"/>
          <w:sz w:val="24"/>
          <w:szCs w:val="24"/>
          <w:highlight w:val="none"/>
        </w:rPr>
      </w:pPr>
      <w:bookmarkStart w:id="1038" w:name="_Toc11639_WPSOffice_Level2"/>
    </w:p>
    <w:p w14:paraId="24174A5D">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45</w:t>
      </w:r>
      <w:r>
        <w:rPr>
          <w:rFonts w:hint="eastAsia" w:ascii="宋体" w:hAnsi="宋体" w:eastAsia="宋体" w:cs="宋体"/>
          <w:b/>
          <w:color w:val="auto"/>
          <w:szCs w:val="21"/>
          <w:highlight w:val="none"/>
          <w:lang w:val="zh-CN"/>
        </w:rPr>
        <w:t>分</w:t>
      </w:r>
      <w:bookmarkEnd w:id="1038"/>
    </w:p>
    <w:tbl>
      <w:tblPr>
        <w:tblStyle w:val="41"/>
        <w:tblW w:w="52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1495"/>
        <w:gridCol w:w="6903"/>
        <w:gridCol w:w="1075"/>
      </w:tblGrid>
      <w:tr w14:paraId="50B4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tcBorders>
              <w:top w:val="single" w:color="auto" w:sz="4" w:space="0"/>
              <w:left w:val="single" w:color="auto" w:sz="4" w:space="0"/>
              <w:bottom w:val="single" w:color="auto" w:sz="4" w:space="0"/>
              <w:right w:val="single" w:color="auto" w:sz="4" w:space="0"/>
            </w:tcBorders>
            <w:noWrap w:val="0"/>
            <w:vAlign w:val="center"/>
          </w:tcPr>
          <w:p w14:paraId="301EF253">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5FCFC101">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kern w:val="2"/>
                <w:sz w:val="21"/>
                <w:szCs w:val="21"/>
                <w:lang w:val="zh-CN"/>
              </w:rPr>
              <w:t>评审内容</w:t>
            </w:r>
          </w:p>
        </w:tc>
        <w:tc>
          <w:tcPr>
            <w:tcW w:w="3422" w:type="pct"/>
            <w:tcBorders>
              <w:top w:val="single" w:color="auto" w:sz="4" w:space="0"/>
              <w:left w:val="single" w:color="auto" w:sz="4" w:space="0"/>
              <w:bottom w:val="single" w:color="auto" w:sz="4" w:space="0"/>
              <w:right w:val="single" w:color="auto" w:sz="4" w:space="0"/>
            </w:tcBorders>
            <w:noWrap w:val="0"/>
            <w:vAlign w:val="center"/>
          </w:tcPr>
          <w:p w14:paraId="6FCD2500">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评审细则</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433CD88B">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满分值</w:t>
            </w:r>
          </w:p>
        </w:tc>
      </w:tr>
      <w:tr w14:paraId="6033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tcBorders>
              <w:top w:val="single" w:color="auto" w:sz="4" w:space="0"/>
              <w:left w:val="single" w:color="auto" w:sz="4" w:space="0"/>
              <w:bottom w:val="single" w:color="auto" w:sz="4" w:space="0"/>
              <w:right w:val="single" w:color="auto" w:sz="4" w:space="0"/>
            </w:tcBorders>
            <w:noWrap w:val="0"/>
            <w:vAlign w:val="center"/>
          </w:tcPr>
          <w:p w14:paraId="48AEF15E">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1</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29948EBD">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b/>
                <w:color w:val="auto"/>
                <w:kern w:val="2"/>
                <w:sz w:val="21"/>
                <w:szCs w:val="21"/>
                <w:lang w:val="zh-CN"/>
              </w:rPr>
            </w:pPr>
            <w:r>
              <w:rPr>
                <w:rFonts w:hint="eastAsia" w:ascii="宋体" w:hAnsi="宋体" w:eastAsia="宋体" w:cs="宋体"/>
                <w:color w:val="auto"/>
                <w:kern w:val="2"/>
                <w:sz w:val="21"/>
                <w:szCs w:val="21"/>
                <w:lang w:val="zh-CN"/>
              </w:rPr>
              <w:t>用户需求</w:t>
            </w:r>
            <w:r>
              <w:rPr>
                <w:rFonts w:hint="eastAsia" w:ascii="宋体" w:hAnsi="宋体" w:eastAsia="宋体" w:cs="宋体"/>
                <w:color w:val="auto"/>
                <w:kern w:val="2"/>
                <w:sz w:val="21"/>
                <w:szCs w:val="21"/>
              </w:rPr>
              <w:t>书</w:t>
            </w:r>
            <w:r>
              <w:rPr>
                <w:rFonts w:hint="eastAsia" w:ascii="宋体" w:hAnsi="宋体" w:eastAsia="宋体" w:cs="宋体"/>
                <w:color w:val="auto"/>
                <w:kern w:val="2"/>
                <w:sz w:val="21"/>
                <w:szCs w:val="21"/>
                <w:lang w:val="zh-CN"/>
              </w:rPr>
              <w:t>的响应</w:t>
            </w:r>
            <w:r>
              <w:rPr>
                <w:rFonts w:hint="eastAsia" w:ascii="宋体" w:hAnsi="宋体" w:eastAsia="宋体" w:cs="宋体"/>
                <w:color w:val="auto"/>
                <w:kern w:val="2"/>
                <w:sz w:val="21"/>
                <w:szCs w:val="21"/>
              </w:rPr>
              <w:t>情况</w:t>
            </w:r>
          </w:p>
        </w:tc>
        <w:tc>
          <w:tcPr>
            <w:tcW w:w="3422" w:type="pct"/>
            <w:tcBorders>
              <w:top w:val="single" w:color="auto" w:sz="4" w:space="0"/>
              <w:left w:val="single" w:color="auto" w:sz="4" w:space="0"/>
              <w:bottom w:val="single" w:color="auto" w:sz="4" w:space="0"/>
              <w:right w:val="single" w:color="auto" w:sz="4" w:space="0"/>
            </w:tcBorders>
            <w:noWrap w:val="0"/>
            <w:vAlign w:val="center"/>
          </w:tcPr>
          <w:p w14:paraId="798BF4CB">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根据用户需求偏离表的偏离情况进行评审计分，完全满足用户需求的要求得满分，每一处负偏离，扣2分，同时参照其投标文件中其部分的内容进行对比，每发现一处投标人填写为无偏离或正偏离，但评标委员会评审认定其为负偏离的，每处扣5分；本项最低分为0分。</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7436EB6B">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5分</w:t>
            </w:r>
          </w:p>
        </w:tc>
      </w:tr>
      <w:tr w14:paraId="33461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tcBorders>
              <w:top w:val="single" w:color="auto" w:sz="4" w:space="0"/>
              <w:left w:val="single" w:color="auto" w:sz="4" w:space="0"/>
              <w:bottom w:val="single" w:color="auto" w:sz="4" w:space="0"/>
              <w:right w:val="single" w:color="auto" w:sz="4" w:space="0"/>
            </w:tcBorders>
            <w:noWrap w:val="0"/>
            <w:vAlign w:val="center"/>
          </w:tcPr>
          <w:p w14:paraId="2D7A70DC">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492A280F">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物业管理</w:t>
            </w:r>
            <w:r>
              <w:rPr>
                <w:rFonts w:hint="eastAsia" w:ascii="宋体" w:hAnsi="宋体" w:eastAsia="宋体" w:cs="宋体"/>
                <w:color w:val="auto"/>
                <w:sz w:val="21"/>
                <w:szCs w:val="21"/>
                <w:lang w:val="en-US" w:eastAsia="zh-CN"/>
              </w:rPr>
              <w:t>带教服务</w:t>
            </w:r>
            <w:r>
              <w:rPr>
                <w:rFonts w:hint="eastAsia" w:ascii="宋体" w:hAnsi="宋体" w:eastAsia="宋体" w:cs="宋体"/>
                <w:color w:val="auto"/>
                <w:sz w:val="21"/>
                <w:szCs w:val="21"/>
              </w:rPr>
              <w:t>方案</w:t>
            </w:r>
          </w:p>
        </w:tc>
        <w:tc>
          <w:tcPr>
            <w:tcW w:w="3422" w:type="pct"/>
            <w:tcBorders>
              <w:top w:val="single" w:color="auto" w:sz="4" w:space="0"/>
              <w:left w:val="single" w:color="auto" w:sz="4" w:space="0"/>
              <w:bottom w:val="single" w:color="auto" w:sz="4" w:space="0"/>
              <w:right w:val="single" w:color="auto" w:sz="4" w:space="0"/>
            </w:tcBorders>
            <w:noWrap w:val="0"/>
            <w:vAlign w:val="top"/>
          </w:tcPr>
          <w:p w14:paraId="4AC837DD">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根据投标人</w:t>
            </w:r>
            <w:r>
              <w:rPr>
                <w:rFonts w:hint="eastAsia" w:ascii="宋体" w:hAnsi="宋体" w:eastAsia="宋体" w:cs="宋体"/>
                <w:color w:val="auto"/>
                <w:sz w:val="21"/>
                <w:szCs w:val="21"/>
                <w:lang w:val="en-US" w:eastAsia="zh-CN"/>
              </w:rPr>
              <w:t>针对本项目提供的物业管理带教服务方案（包括但不限于导师团队组建、带教实施计划、带教培训资源情况、带教质量保障措施等内容）</w:t>
            </w:r>
            <w:r>
              <w:rPr>
                <w:rFonts w:hint="eastAsia" w:ascii="宋体" w:hAnsi="宋体" w:eastAsia="宋体" w:cs="宋体"/>
                <w:color w:val="auto"/>
                <w:sz w:val="21"/>
                <w:szCs w:val="21"/>
              </w:rPr>
              <w:t>进行评审。</w:t>
            </w:r>
          </w:p>
          <w:p w14:paraId="06604286">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优：方案内容详细完整，导师团队配置强，实施计划科学、合理，培训资源丰富，培训内容针对性强，保障措施切实可行，与项目需求匹配度高，得[7-5分]。</w:t>
            </w:r>
          </w:p>
          <w:p w14:paraId="3F81909F">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良：方案内容较完整，导师团队配置较强，实施计划较科学、较合理，培训资源较丰富，培训内容针对性较强，保障措施可行性较强，与项目需求匹配度比较高，得（5-3分]。</w:t>
            </w:r>
          </w:p>
          <w:p w14:paraId="25A40C9E">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中：方案内容一般，导师团队配置一般，实施计划一般，培训资源一般，培训内容针对性一般，保障措施可行性一般，与项目需求匹配度一般，得（3-1分]。</w:t>
            </w:r>
          </w:p>
          <w:p w14:paraId="11F664C7">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差：培训方案内容简单，导师团队配置差，实施计划差，培训资源差，培训内容针对性差，与项目需求匹配度差，得（1-0分]。</w:t>
            </w:r>
          </w:p>
          <w:p w14:paraId="2069CE68">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备注:</w:t>
            </w:r>
          </w:p>
          <w:p w14:paraId="6318DADD">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（1）未提供方案或方案内容缺少的不得分。</w:t>
            </w:r>
          </w:p>
          <w:p w14:paraId="4FE662AD">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投标人方案的不同内容分别符合评审内容中不同档次得分要求的，评审时优先按较低的档次计分（即若投标人方案内容符合“优”的得分要求，另一部分内容符合“中”的得分要求时，应按“中”的档次考虑计分）。</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16841F14">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分</w:t>
            </w:r>
          </w:p>
        </w:tc>
      </w:tr>
      <w:tr w14:paraId="39F2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tcBorders>
              <w:top w:val="single" w:color="auto" w:sz="4" w:space="0"/>
              <w:left w:val="single" w:color="auto" w:sz="4" w:space="0"/>
              <w:bottom w:val="single" w:color="auto" w:sz="4" w:space="0"/>
              <w:right w:val="single" w:color="auto" w:sz="4" w:space="0"/>
            </w:tcBorders>
            <w:noWrap w:val="0"/>
            <w:vAlign w:val="center"/>
          </w:tcPr>
          <w:p w14:paraId="7657FA9B">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67138578">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物业管理</w:t>
            </w:r>
            <w:r>
              <w:rPr>
                <w:rFonts w:hint="eastAsia" w:ascii="宋体" w:hAnsi="宋体" w:eastAsia="宋体" w:cs="宋体"/>
                <w:color w:val="auto"/>
                <w:sz w:val="21"/>
                <w:szCs w:val="21"/>
                <w:lang w:val="en-US" w:eastAsia="zh-CN"/>
              </w:rPr>
              <w:t>运营服务</w:t>
            </w:r>
            <w:r>
              <w:rPr>
                <w:rFonts w:hint="eastAsia" w:ascii="宋体" w:hAnsi="宋体" w:eastAsia="宋体" w:cs="宋体"/>
                <w:color w:val="auto"/>
                <w:sz w:val="21"/>
                <w:szCs w:val="21"/>
              </w:rPr>
              <w:t>方案</w:t>
            </w:r>
          </w:p>
        </w:tc>
        <w:tc>
          <w:tcPr>
            <w:tcW w:w="3422" w:type="pct"/>
            <w:tcBorders>
              <w:top w:val="single" w:color="auto" w:sz="4" w:space="0"/>
              <w:left w:val="single" w:color="auto" w:sz="4" w:space="0"/>
              <w:bottom w:val="single" w:color="auto" w:sz="4" w:space="0"/>
              <w:right w:val="single" w:color="auto" w:sz="4" w:space="0"/>
            </w:tcBorders>
            <w:noWrap w:val="0"/>
            <w:vAlign w:val="top"/>
          </w:tcPr>
          <w:p w14:paraId="039A6439">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根据投标人</w:t>
            </w:r>
            <w:r>
              <w:rPr>
                <w:rFonts w:hint="eastAsia" w:ascii="宋体" w:hAnsi="宋体" w:eastAsia="宋体" w:cs="宋体"/>
                <w:color w:val="auto"/>
                <w:sz w:val="21"/>
                <w:szCs w:val="21"/>
                <w:lang w:val="en-US" w:eastAsia="zh-CN"/>
              </w:rPr>
              <w:t>针对本项目提供的物业管理运营服务方案【包括但不限于前期准备及交接工作安排、物业管理团队组建方案、针对本项目服务内容（客户服务管理、安全保卫管理、清洁卫生管理、园林绿化养护和管理、空调系统维护保养管理、消防系统维护保养管理、供配电系统维护保养管理、给排水系统维护保养管理、智能化系统维护与保养管理、电梯系统维护与保养管理、突发应急管理、楼宇主体及其附属设施和公共配套设施维护与保养、日常物业维修及物业使用人装修管理）的组织实施方案、工作计划、响应速度及服务质量保障措施、针对本项目提出的增值服务及措施等内容】</w:t>
            </w:r>
            <w:r>
              <w:rPr>
                <w:rFonts w:hint="eastAsia" w:ascii="宋体" w:hAnsi="宋体" w:eastAsia="宋体" w:cs="宋体"/>
                <w:color w:val="auto"/>
                <w:sz w:val="21"/>
                <w:szCs w:val="21"/>
              </w:rPr>
              <w:t>进行评审。</w:t>
            </w:r>
          </w:p>
          <w:p w14:paraId="0828A4A9">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优：方案内容详细、全面、针对性强，物业管理人员组建完善，保障措施切实可行，服务流程和组织配合清晰合理，响应速度快，增值服务种类繁多、完全贴合实际情况、可实施性强，完全能满足采购需求，得[10-8分]。</w:t>
            </w:r>
          </w:p>
          <w:p w14:paraId="4C2C7D45">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良：方案内容比较详细、比较全面、针对性较强，物业管理人员组建较为完善，保障措施比较可行，服务流程和组织配合较清晰合理，响应速度较快，增值服务种类较多、比较贴合实际情况、可实施性较强，能满足采购需求，得（8-5分]。</w:t>
            </w:r>
          </w:p>
          <w:p w14:paraId="58B462ED">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方案内容简单、针对性一般，物业管理人员组建一般，保障措施基本可行，服务流程和组织配合基本清晰合理，响应速度一般，增值服务种类一般、内容基本贴合实际情况、可实施性一般，基本能满足采购需求，得（5-2分]。</w:t>
            </w:r>
          </w:p>
          <w:p w14:paraId="0BA8DF4A">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差：方案内容不全、针对性不强，物业管理人员组建差，保障措施可行性差，服务流程和组织配合不清晰合理，响应速度差，增值服务种类较少、内容不贴合实际情况、可实施性差，不能满足采购需求，得（2-0分]。</w:t>
            </w:r>
          </w:p>
          <w:p w14:paraId="15A07826">
            <w:pPr>
              <w:keepNext w:val="0"/>
              <w:keepLines w:val="0"/>
              <w:pageBreakBefore w:val="0"/>
              <w:widowControl w:val="0"/>
              <w:kinsoku/>
              <w:wordWrap/>
              <w:overflowPunct/>
              <w:topLinePunct w:val="0"/>
              <w:bidi w:val="0"/>
              <w:snapToGrid/>
              <w:spacing w:line="360" w:lineRule="auto"/>
              <w:ind w:left="0" w:leftChars="0" w:firstLine="0" w:firstLine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05CEF4E3">
            <w:pPr>
              <w:keepNext w:val="0"/>
              <w:keepLines w:val="0"/>
              <w:pageBreakBefore w:val="0"/>
              <w:widowControl w:val="0"/>
              <w:kinsoku/>
              <w:wordWrap/>
              <w:overflowPunct/>
              <w:topLinePunct w:val="0"/>
              <w:bidi w:val="0"/>
              <w:snapToGrid/>
              <w:spacing w:line="360" w:lineRule="auto"/>
              <w:ind w:left="0" w:leftChars="0" w:firstLine="0" w:firstLineChars="0"/>
              <w:textAlignment w:val="auto"/>
              <w:outlineLvl w:val="9"/>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（1）</w:t>
            </w:r>
            <w:r>
              <w:rPr>
                <w:rFonts w:hint="eastAsia" w:ascii="宋体" w:hAnsi="宋体" w:eastAsia="宋体" w:cs="宋体"/>
                <w:color w:val="auto"/>
                <w:sz w:val="21"/>
                <w:szCs w:val="21"/>
                <w:lang w:val="en-US" w:eastAsia="zh-CN"/>
              </w:rPr>
              <w:t>未提供方案或方案内容缺少的不得分</w:t>
            </w:r>
            <w:r>
              <w:rPr>
                <w:rFonts w:hint="eastAsia" w:ascii="宋体" w:hAnsi="宋体" w:eastAsia="宋体" w:cs="宋体"/>
                <w:b w:val="0"/>
                <w:bCs/>
                <w:color w:val="auto"/>
                <w:kern w:val="2"/>
                <w:sz w:val="21"/>
                <w:szCs w:val="21"/>
                <w:highlight w:val="none"/>
                <w:lang w:val="en-US" w:eastAsia="zh-CN"/>
              </w:rPr>
              <w:t>。</w:t>
            </w:r>
          </w:p>
          <w:p w14:paraId="49172F62">
            <w:pPr>
              <w:keepNext w:val="0"/>
              <w:keepLines w:val="0"/>
              <w:pageBreakBefore w:val="0"/>
              <w:widowControl w:val="0"/>
              <w:kinsoku/>
              <w:wordWrap/>
              <w:overflowPunct/>
              <w:topLinePunct w:val="0"/>
              <w:bidi w:val="0"/>
              <w:snapToGrid/>
              <w:spacing w:line="360" w:lineRule="auto"/>
              <w:ind w:left="0" w:leftChars="0" w:firstLine="0" w:firstLineChars="0"/>
              <w:textAlignment w:val="auto"/>
              <w:outlineLvl w:val="9"/>
              <w:rPr>
                <w:rFonts w:hint="eastAsia" w:ascii="宋体" w:hAnsi="宋体" w:eastAsia="宋体" w:cs="宋体"/>
                <w:color w:val="auto"/>
                <w:sz w:val="21"/>
                <w:szCs w:val="21"/>
                <w:lang w:val="en-US"/>
              </w:rPr>
            </w:pPr>
            <w:r>
              <w:rPr>
                <w:rFonts w:hint="eastAsia" w:ascii="宋体" w:hAnsi="宋体" w:eastAsia="宋体" w:cs="宋体"/>
                <w:b w:val="0"/>
                <w:bCs/>
                <w:color w:val="auto"/>
                <w:kern w:val="2"/>
                <w:sz w:val="21"/>
                <w:szCs w:val="21"/>
                <w:highlight w:val="none"/>
                <w:lang w:val="en-US" w:eastAsia="zh-CN"/>
              </w:rPr>
              <w:t>（2）投标人方案的不同内容分别符合评审内容中不同档次得分要求的，评审时优先按较低的档次计分（即若投标人方案内容符合“优”的得分要求，另一部分内容符合“中”的得分要求时，应按“中”的档次考虑计分）。</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4A4B2F01">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p>
        </w:tc>
      </w:tr>
      <w:tr w14:paraId="1872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tcBorders>
              <w:top w:val="single" w:color="auto" w:sz="4" w:space="0"/>
              <w:left w:val="single" w:color="auto" w:sz="4" w:space="0"/>
              <w:bottom w:val="single" w:color="auto" w:sz="4" w:space="0"/>
              <w:right w:val="single" w:color="auto" w:sz="4" w:space="0"/>
            </w:tcBorders>
            <w:noWrap w:val="0"/>
            <w:vAlign w:val="center"/>
          </w:tcPr>
          <w:p w14:paraId="48950634">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6019CDE3">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拟投入本项目的服务人员情况</w:t>
            </w:r>
          </w:p>
        </w:tc>
        <w:tc>
          <w:tcPr>
            <w:tcW w:w="3422" w:type="pct"/>
            <w:tcBorders>
              <w:top w:val="single" w:color="auto" w:sz="4" w:space="0"/>
              <w:left w:val="single" w:color="auto" w:sz="4" w:space="0"/>
              <w:bottom w:val="single" w:color="auto" w:sz="4" w:space="0"/>
              <w:right w:val="single" w:color="auto" w:sz="4" w:space="0"/>
            </w:tcBorders>
            <w:noWrap w:val="0"/>
            <w:vAlign w:val="top"/>
          </w:tcPr>
          <w:p w14:paraId="4ADC50F6">
            <w:pPr>
              <w:pStyle w:val="18"/>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（1）拟投入本项目的项目</w:t>
            </w:r>
            <w:r>
              <w:rPr>
                <w:rFonts w:hint="eastAsia" w:ascii="宋体" w:hAnsi="宋体" w:eastAsia="宋体" w:cs="宋体"/>
                <w:b w:val="0"/>
                <w:bCs w:val="0"/>
                <w:color w:val="auto"/>
                <w:sz w:val="21"/>
                <w:szCs w:val="21"/>
                <w:lang w:val="en-US" w:eastAsia="zh-CN"/>
              </w:rPr>
              <w:t>经理</w:t>
            </w:r>
            <w:r>
              <w:rPr>
                <w:rFonts w:hint="eastAsia" w:ascii="宋体" w:hAnsi="宋体" w:eastAsia="宋体" w:cs="宋体"/>
                <w:b w:val="0"/>
                <w:bCs w:val="0"/>
                <w:color w:val="auto"/>
                <w:sz w:val="21"/>
                <w:szCs w:val="21"/>
              </w:rPr>
              <w:t>（仅一人）</w:t>
            </w:r>
          </w:p>
          <w:p w14:paraId="3D116B34">
            <w:pPr>
              <w:pStyle w:val="18"/>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①拟投入本项目的项目</w:t>
            </w:r>
            <w:r>
              <w:rPr>
                <w:rFonts w:hint="eastAsia" w:ascii="宋体" w:hAnsi="宋体" w:eastAsia="宋体" w:cs="宋体"/>
                <w:b w:val="0"/>
                <w:bCs w:val="0"/>
                <w:color w:val="auto"/>
                <w:sz w:val="21"/>
                <w:szCs w:val="21"/>
                <w:lang w:val="en-US" w:eastAsia="zh-CN"/>
              </w:rPr>
              <w:t>经理</w:t>
            </w:r>
            <w:r>
              <w:rPr>
                <w:rFonts w:hint="eastAsia" w:ascii="宋体" w:hAnsi="宋体" w:eastAsia="宋体" w:cs="宋体"/>
                <w:b w:val="0"/>
                <w:bCs w:val="0"/>
                <w:color w:val="auto"/>
                <w:sz w:val="21"/>
                <w:szCs w:val="21"/>
              </w:rPr>
              <w:t>自202</w:t>
            </w: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年1月1日起担任项目</w:t>
            </w:r>
            <w:r>
              <w:rPr>
                <w:rFonts w:hint="eastAsia" w:ascii="宋体" w:hAnsi="宋体" w:eastAsia="宋体" w:cs="宋体"/>
                <w:b w:val="0"/>
                <w:bCs w:val="0"/>
                <w:color w:val="auto"/>
                <w:sz w:val="21"/>
                <w:szCs w:val="21"/>
                <w:lang w:val="en-US" w:eastAsia="zh-CN"/>
              </w:rPr>
              <w:t>经理（或负责人）</w:t>
            </w:r>
            <w:r>
              <w:rPr>
                <w:rFonts w:hint="eastAsia" w:ascii="宋体" w:hAnsi="宋体" w:eastAsia="宋体" w:cs="宋体"/>
                <w:b w:val="0"/>
                <w:bCs w:val="0"/>
                <w:color w:val="auto"/>
                <w:sz w:val="21"/>
                <w:szCs w:val="21"/>
              </w:rPr>
              <w:t>负责过商务办公楼或写字楼 [建筑面积</w:t>
            </w: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rPr>
              <w:t>万（含）平方米以上且建筑楼层不低于22层]物业管理服务项目业绩的，每提供一个业绩得</w:t>
            </w:r>
            <w:r>
              <w:rPr>
                <w:rFonts w:hint="eastAsia" w:ascii="宋体" w:hAnsi="宋体" w:eastAsia="宋体" w:cs="宋体"/>
                <w:b w:val="0"/>
                <w:bCs w:val="0"/>
                <w:color w:val="auto"/>
                <w:sz w:val="21"/>
                <w:szCs w:val="21"/>
                <w:lang w:val="en-US" w:eastAsia="zh-CN"/>
              </w:rPr>
              <w:t>0.5</w:t>
            </w:r>
            <w:r>
              <w:rPr>
                <w:rFonts w:hint="eastAsia" w:ascii="宋体" w:hAnsi="宋体" w:eastAsia="宋体" w:cs="宋体"/>
                <w:b w:val="0"/>
                <w:bCs w:val="0"/>
                <w:color w:val="auto"/>
                <w:sz w:val="21"/>
                <w:szCs w:val="21"/>
              </w:rPr>
              <w:t>分，本小项最高得</w:t>
            </w: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分。</w:t>
            </w:r>
          </w:p>
          <w:p w14:paraId="62355C04">
            <w:pPr>
              <w:pStyle w:val="18"/>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（2）投标人服务团队人员（不含项目</w:t>
            </w:r>
            <w:r>
              <w:rPr>
                <w:rFonts w:hint="eastAsia" w:ascii="宋体" w:hAnsi="宋体" w:eastAsia="宋体" w:cs="宋体"/>
                <w:b w:val="0"/>
                <w:bCs w:val="0"/>
                <w:color w:val="auto"/>
                <w:sz w:val="21"/>
                <w:szCs w:val="21"/>
                <w:lang w:val="en-US" w:eastAsia="zh-CN"/>
              </w:rPr>
              <w:t>经理</w:t>
            </w:r>
            <w:r>
              <w:rPr>
                <w:rFonts w:hint="eastAsia" w:ascii="宋体" w:hAnsi="宋体" w:eastAsia="宋体" w:cs="宋体"/>
                <w:b w:val="0"/>
                <w:bCs w:val="0"/>
                <w:color w:val="auto"/>
                <w:sz w:val="21"/>
                <w:szCs w:val="21"/>
              </w:rPr>
              <w:t>）</w:t>
            </w:r>
          </w:p>
          <w:p w14:paraId="1AAD82AA">
            <w:pPr>
              <w:pStyle w:val="18"/>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①投标人拟投入本项目的环境负责人，具有本科或以上学历，且持有人力资源和社会保障部门（或原劳动部门）颁发的园林或</w:t>
            </w:r>
            <w:r>
              <w:rPr>
                <w:rFonts w:hint="eastAsia" w:ascii="宋体" w:hAnsi="宋体" w:eastAsia="宋体" w:cs="宋体"/>
                <w:b w:val="0"/>
                <w:bCs w:val="0"/>
                <w:color w:val="auto"/>
                <w:sz w:val="21"/>
                <w:szCs w:val="21"/>
                <w:lang w:val="en-US" w:eastAsia="zh-CN"/>
              </w:rPr>
              <w:t>园林</w:t>
            </w:r>
            <w:r>
              <w:rPr>
                <w:rFonts w:hint="eastAsia" w:ascii="宋体" w:hAnsi="宋体" w:eastAsia="宋体" w:cs="宋体"/>
                <w:b w:val="0"/>
                <w:bCs w:val="0"/>
                <w:color w:val="auto"/>
                <w:sz w:val="21"/>
                <w:szCs w:val="21"/>
              </w:rPr>
              <w:t>绿化类专业中级或以上职称证书的，得1分；</w:t>
            </w:r>
          </w:p>
          <w:p w14:paraId="28F6E42C">
            <w:pPr>
              <w:pStyle w:val="18"/>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②投标人拟投入本项目工程负责人，具有本科或以上学历，且持有人力资源和社会保障部门（或原劳动部门）颁发的机电工程相关专业中级或以上职称证书的，得1分；</w:t>
            </w:r>
          </w:p>
          <w:p w14:paraId="647A460F">
            <w:pPr>
              <w:pStyle w:val="18"/>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③投标人拟投入本项目的技术人员持有特种作业操作证的，每人得0.5分，本小项最高得2分；</w:t>
            </w:r>
          </w:p>
          <w:p w14:paraId="5E24BF05">
            <w:pPr>
              <w:pStyle w:val="18"/>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④投标人拟投入本项目其他的专业技术人员（不含环境负责人和工程负责人）持有人力资源和社会保障部门（或原劳动部门）颁发的中级或以上职称的，每人得0.5分，本小项最高得2分；</w:t>
            </w:r>
          </w:p>
          <w:p w14:paraId="329354AE">
            <w:pPr>
              <w:pStyle w:val="18"/>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⑤投标人拟投入本项目消防控制室的保安人员或管理人员，持有应急管理部消防救援局（或公安部消防局）颁发的消防设施操作员[或原建（构）筑物消防员]职业资格证书的不少于4人，得1分，每增加1人加0.5分，本小项最高得2分；</w:t>
            </w:r>
          </w:p>
          <w:p w14:paraId="3A8DFA91">
            <w:pPr>
              <w:pStyle w:val="18"/>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⑥投标人拟投入本项目保安人员中具有退伍（退役军人）证书的，每人得0.5分，本小项最高得</w:t>
            </w:r>
            <w:r>
              <w:rPr>
                <w:rFonts w:hint="eastAsia" w:ascii="宋体" w:hAnsi="宋体" w:eastAsia="宋体" w:cs="宋体"/>
                <w:b w:val="0"/>
                <w:bCs w:val="0"/>
                <w:color w:val="auto"/>
                <w:sz w:val="21"/>
                <w:szCs w:val="21"/>
                <w:lang w:val="en-US"/>
              </w:rPr>
              <w:t>2</w:t>
            </w:r>
            <w:r>
              <w:rPr>
                <w:rFonts w:hint="eastAsia" w:ascii="宋体" w:hAnsi="宋体" w:eastAsia="宋体" w:cs="宋体"/>
                <w:b w:val="0"/>
                <w:bCs w:val="0"/>
                <w:color w:val="auto"/>
                <w:sz w:val="21"/>
                <w:szCs w:val="21"/>
              </w:rPr>
              <w:t>分。</w:t>
            </w:r>
          </w:p>
          <w:p w14:paraId="4F213F35">
            <w:pPr>
              <w:pStyle w:val="18"/>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w:t>
            </w:r>
          </w:p>
          <w:p w14:paraId="74AE22AB">
            <w:pPr>
              <w:pStyle w:val="18"/>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rPr>
              <w:t>1</w:t>
            </w:r>
            <w:r>
              <w:rPr>
                <w:rFonts w:hint="eastAsia" w:ascii="宋体" w:hAnsi="宋体" w:eastAsia="宋体" w:cs="宋体"/>
                <w:b w:val="0"/>
                <w:bCs w:val="0"/>
                <w:color w:val="auto"/>
                <w:sz w:val="21"/>
                <w:szCs w:val="21"/>
              </w:rPr>
              <w:t>）需提供上述人员的身份证、劳动合同、资格证书[学历证书/职称证/执业/职业资格证/退伍（退役军人）证]以及人力资源和社会保障部门（或税务部门）出具的</w:t>
            </w:r>
            <w:r>
              <w:rPr>
                <w:rFonts w:hint="eastAsia" w:ascii="宋体" w:hAnsi="宋体" w:eastAsia="宋体" w:cs="宋体"/>
                <w:b w:val="0"/>
                <w:bCs w:val="0"/>
                <w:color w:val="auto"/>
                <w:sz w:val="21"/>
                <w:szCs w:val="21"/>
                <w:lang w:val="en-US" w:eastAsia="zh-CN"/>
              </w:rPr>
              <w:t>投标人</w:t>
            </w:r>
            <w:r>
              <w:rPr>
                <w:rFonts w:hint="eastAsia" w:ascii="宋体" w:hAnsi="宋体" w:eastAsia="宋体" w:cs="宋体"/>
                <w:b w:val="0"/>
                <w:bCs w:val="0"/>
                <w:color w:val="auto"/>
                <w:sz w:val="21"/>
                <w:szCs w:val="21"/>
              </w:rPr>
              <w:t>（202</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年</w:t>
            </w:r>
            <w:r>
              <w:rPr>
                <w:rFonts w:hint="eastAsia" w:hAnsi="宋体" w:cs="宋体"/>
                <w:b w:val="0"/>
                <w:bCs w:val="0"/>
                <w:color w:val="auto"/>
                <w:sz w:val="21"/>
                <w:szCs w:val="21"/>
                <w:lang w:val="en-US" w:eastAsia="zh-CN"/>
              </w:rPr>
              <w:t>5</w:t>
            </w:r>
            <w:r>
              <w:rPr>
                <w:rFonts w:hint="eastAsia" w:ascii="宋体" w:hAnsi="宋体" w:eastAsia="宋体" w:cs="宋体"/>
                <w:b w:val="0"/>
                <w:bCs w:val="0"/>
                <w:color w:val="auto"/>
                <w:sz w:val="21"/>
                <w:szCs w:val="21"/>
              </w:rPr>
              <w:t>月、202</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年</w:t>
            </w:r>
            <w:r>
              <w:rPr>
                <w:rFonts w:hint="eastAsia" w:hAnsi="宋体" w:cs="宋体"/>
                <w:b w:val="0"/>
                <w:bCs w:val="0"/>
                <w:color w:val="auto"/>
                <w:sz w:val="21"/>
                <w:szCs w:val="21"/>
                <w:lang w:val="en-US" w:eastAsia="zh-CN"/>
              </w:rPr>
              <w:t>6</w:t>
            </w:r>
            <w:r>
              <w:rPr>
                <w:rFonts w:hint="eastAsia" w:ascii="宋体" w:hAnsi="宋体" w:eastAsia="宋体" w:cs="宋体"/>
                <w:b w:val="0"/>
                <w:bCs w:val="0"/>
                <w:color w:val="auto"/>
                <w:sz w:val="21"/>
                <w:szCs w:val="21"/>
              </w:rPr>
              <w:t>月、202</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年</w:t>
            </w:r>
            <w:r>
              <w:rPr>
                <w:rFonts w:hint="eastAsia" w:hAnsi="宋体" w:cs="宋体"/>
                <w:b w:val="0"/>
                <w:bCs w:val="0"/>
                <w:color w:val="auto"/>
                <w:sz w:val="21"/>
                <w:szCs w:val="21"/>
                <w:lang w:val="en-US" w:eastAsia="zh-CN"/>
              </w:rPr>
              <w:t>7</w:t>
            </w:r>
            <w:r>
              <w:rPr>
                <w:rFonts w:hint="eastAsia" w:ascii="宋体" w:hAnsi="宋体" w:eastAsia="宋体" w:cs="宋体"/>
                <w:b w:val="0"/>
                <w:bCs w:val="0"/>
                <w:color w:val="auto"/>
                <w:sz w:val="21"/>
                <w:szCs w:val="21"/>
              </w:rPr>
              <w:t>月</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2025年</w:t>
            </w:r>
            <w:r>
              <w:rPr>
                <w:rFonts w:hint="eastAsia" w:hAnsi="宋体" w:cs="宋体"/>
                <w:b w:val="0"/>
                <w:bCs w:val="0"/>
                <w:color w:val="auto"/>
                <w:sz w:val="21"/>
                <w:szCs w:val="21"/>
                <w:lang w:val="en-US" w:eastAsia="zh-CN"/>
              </w:rPr>
              <w:t>8</w:t>
            </w:r>
            <w:r>
              <w:rPr>
                <w:rFonts w:hint="eastAsia" w:ascii="宋体" w:hAnsi="宋体" w:eastAsia="宋体" w:cs="宋体"/>
                <w:b w:val="0"/>
                <w:bCs w:val="0"/>
                <w:color w:val="auto"/>
                <w:sz w:val="21"/>
                <w:szCs w:val="21"/>
                <w:lang w:val="en-US" w:eastAsia="zh-CN"/>
              </w:rPr>
              <w:t>月、2025年</w:t>
            </w:r>
            <w:r>
              <w:rPr>
                <w:rFonts w:hint="eastAsia" w:hAnsi="宋体" w:cs="宋体"/>
                <w:b w:val="0"/>
                <w:bCs w:val="0"/>
                <w:color w:val="auto"/>
                <w:sz w:val="21"/>
                <w:szCs w:val="21"/>
                <w:lang w:val="en-US" w:eastAsia="zh-CN"/>
              </w:rPr>
              <w:t>9</w:t>
            </w:r>
            <w:r>
              <w:rPr>
                <w:rFonts w:hint="eastAsia" w:ascii="宋体" w:hAnsi="宋体" w:eastAsia="宋体" w:cs="宋体"/>
                <w:b w:val="0"/>
                <w:bCs w:val="0"/>
                <w:color w:val="auto"/>
                <w:sz w:val="21"/>
                <w:szCs w:val="21"/>
                <w:lang w:val="en-US" w:eastAsia="zh-CN"/>
              </w:rPr>
              <w:t>月、2025年</w:t>
            </w:r>
            <w:r>
              <w:rPr>
                <w:rFonts w:hint="eastAsia" w:hAnsi="宋体" w:cs="宋体"/>
                <w:b w:val="0"/>
                <w:bCs w:val="0"/>
                <w:color w:val="auto"/>
                <w:sz w:val="21"/>
                <w:szCs w:val="21"/>
                <w:lang w:val="en-US" w:eastAsia="zh-CN"/>
              </w:rPr>
              <w:t>10</w:t>
            </w:r>
            <w:r>
              <w:rPr>
                <w:rFonts w:hint="eastAsia" w:ascii="宋体" w:hAnsi="宋体" w:eastAsia="宋体" w:cs="宋体"/>
                <w:b w:val="0"/>
                <w:bCs w:val="0"/>
                <w:color w:val="auto"/>
                <w:sz w:val="21"/>
                <w:szCs w:val="21"/>
                <w:lang w:val="en-US" w:eastAsia="zh-CN"/>
              </w:rPr>
              <w:t>月</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连续6个</w:t>
            </w:r>
            <w:r>
              <w:rPr>
                <w:rFonts w:hint="eastAsia" w:ascii="宋体" w:hAnsi="宋体" w:eastAsia="宋体" w:cs="宋体"/>
                <w:b w:val="0"/>
                <w:bCs w:val="0"/>
                <w:color w:val="auto"/>
                <w:sz w:val="21"/>
                <w:szCs w:val="21"/>
              </w:rPr>
              <w:t>月为其缴纳的社保证明</w:t>
            </w:r>
            <w:r>
              <w:rPr>
                <w:rFonts w:hint="eastAsia" w:ascii="宋体" w:hAnsi="宋体" w:eastAsia="宋体" w:cs="宋体"/>
                <w:b w:val="0"/>
                <w:bCs w:val="0"/>
                <w:color w:val="auto"/>
                <w:sz w:val="21"/>
                <w:szCs w:val="21"/>
                <w:lang w:val="en-US" w:eastAsia="zh-CN"/>
              </w:rPr>
              <w:t>扫描</w:t>
            </w:r>
            <w:r>
              <w:rPr>
                <w:rFonts w:hint="eastAsia" w:ascii="宋体" w:hAnsi="宋体" w:eastAsia="宋体" w:cs="宋体"/>
                <w:b w:val="0"/>
                <w:bCs w:val="0"/>
                <w:color w:val="auto"/>
                <w:sz w:val="21"/>
                <w:szCs w:val="21"/>
              </w:rPr>
              <w:t>件，身份证、劳动合同、资格证书[学历证书/职称证/执业/职业资格证/退伍（退役军人）证/保安员证]、社保证明的人员名称需一致时才统计得分，不提供或人员名称不一致不得分。</w:t>
            </w:r>
          </w:p>
          <w:p w14:paraId="2EFCF5C6">
            <w:pPr>
              <w:pStyle w:val="18"/>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rPr>
              <w:t>2</w:t>
            </w:r>
            <w:r>
              <w:rPr>
                <w:rFonts w:hint="eastAsia" w:ascii="宋体" w:hAnsi="宋体" w:eastAsia="宋体" w:cs="宋体"/>
                <w:b w:val="0"/>
                <w:bCs w:val="0"/>
                <w:color w:val="auto"/>
                <w:sz w:val="21"/>
                <w:szCs w:val="21"/>
              </w:rPr>
              <w:t>）项目负责人业绩和企业业绩可重复计分。项目负责人业绩证明材料需提供合同</w:t>
            </w:r>
            <w:r>
              <w:rPr>
                <w:rFonts w:hint="eastAsia" w:ascii="宋体" w:hAnsi="宋体" w:eastAsia="宋体" w:cs="宋体"/>
                <w:b w:val="0"/>
                <w:bCs w:val="0"/>
                <w:color w:val="auto"/>
                <w:sz w:val="21"/>
                <w:szCs w:val="21"/>
                <w:lang w:val="en-US" w:eastAsia="zh-CN"/>
              </w:rPr>
              <w:t>扫描</w:t>
            </w:r>
            <w:r>
              <w:rPr>
                <w:rFonts w:hint="eastAsia" w:ascii="宋体" w:hAnsi="宋体" w:eastAsia="宋体" w:cs="宋体"/>
                <w:b w:val="0"/>
                <w:bCs w:val="0"/>
                <w:color w:val="auto"/>
                <w:sz w:val="21"/>
                <w:szCs w:val="21"/>
              </w:rPr>
              <w:t>件，单项合同服务期限要求大于</w:t>
            </w:r>
            <w:r>
              <w:rPr>
                <w:rFonts w:hint="eastAsia" w:ascii="宋体" w:hAnsi="宋体" w:eastAsia="宋体" w:cs="宋体"/>
                <w:b w:val="0"/>
                <w:bCs w:val="0"/>
                <w:color w:val="auto"/>
                <w:sz w:val="21"/>
                <w:szCs w:val="21"/>
                <w:lang w:val="en-US" w:eastAsia="zh-CN"/>
              </w:rPr>
              <w:t>或等于一年</w:t>
            </w:r>
            <w:r>
              <w:rPr>
                <w:rFonts w:hint="eastAsia" w:ascii="宋体" w:hAnsi="宋体" w:eastAsia="宋体" w:cs="宋体"/>
                <w:b w:val="0"/>
                <w:bCs w:val="0"/>
                <w:color w:val="auto"/>
                <w:sz w:val="21"/>
                <w:szCs w:val="21"/>
              </w:rPr>
              <w:t>，小于</w:t>
            </w:r>
            <w:r>
              <w:rPr>
                <w:rFonts w:hint="eastAsia" w:ascii="宋体" w:hAnsi="宋体" w:eastAsia="宋体" w:cs="宋体"/>
                <w:b w:val="0"/>
                <w:bCs w:val="0"/>
                <w:color w:val="auto"/>
                <w:sz w:val="21"/>
                <w:szCs w:val="21"/>
                <w:lang w:val="en-US" w:eastAsia="zh-CN"/>
              </w:rPr>
              <w:t>一年</w:t>
            </w:r>
            <w:r>
              <w:rPr>
                <w:rFonts w:hint="eastAsia" w:ascii="宋体" w:hAnsi="宋体" w:eastAsia="宋体" w:cs="宋体"/>
                <w:b w:val="0"/>
                <w:bCs w:val="0"/>
                <w:color w:val="auto"/>
                <w:sz w:val="21"/>
                <w:szCs w:val="21"/>
              </w:rPr>
              <w:t>的业绩合同在评标时将不予考虑；合同中应体现项目相关评审信息（合同签订日期、合同期限、物业类型、建筑面积平方数、建筑层数）和项目负责人，合同服务内容必须为物业管理服务且同时包含保洁</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或清洁或环境卫生</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及保安</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或安保或秩序维护</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服务，若不能体现还应提供发包人（业主）</w:t>
            </w:r>
            <w:r>
              <w:rPr>
                <w:rFonts w:hint="eastAsia" w:ascii="宋体" w:hAnsi="宋体" w:eastAsia="宋体" w:cs="宋体"/>
                <w:b w:val="0"/>
                <w:bCs w:val="0"/>
                <w:color w:val="auto"/>
                <w:sz w:val="21"/>
                <w:szCs w:val="21"/>
                <w:lang w:val="en-US" w:eastAsia="zh-CN"/>
              </w:rPr>
              <w:t>出具的书面文件扫描件</w:t>
            </w:r>
            <w:r>
              <w:rPr>
                <w:rFonts w:hint="eastAsia" w:ascii="宋体" w:hAnsi="宋体" w:eastAsia="宋体" w:cs="宋体"/>
                <w:b w:val="0"/>
                <w:bCs w:val="0"/>
                <w:color w:val="auto"/>
                <w:sz w:val="21"/>
                <w:szCs w:val="21"/>
                <w:lang w:val="en-US"/>
              </w:rPr>
              <w:t>（需加盖服务发包人公章，即</w:t>
            </w:r>
            <w:r>
              <w:rPr>
                <w:rFonts w:hint="eastAsia" w:ascii="宋体" w:hAnsi="宋体" w:eastAsia="宋体" w:cs="宋体"/>
                <w:b w:val="0"/>
                <w:bCs w:val="0"/>
                <w:color w:val="auto"/>
                <w:sz w:val="21"/>
                <w:szCs w:val="21"/>
                <w:lang w:val="en-US" w:eastAsia="zh-CN"/>
              </w:rPr>
              <w:t>扫描</w:t>
            </w:r>
            <w:r>
              <w:rPr>
                <w:rFonts w:hint="eastAsia" w:ascii="宋体" w:hAnsi="宋体" w:eastAsia="宋体" w:cs="宋体"/>
                <w:b w:val="0"/>
                <w:bCs w:val="0"/>
                <w:color w:val="auto"/>
                <w:sz w:val="21"/>
                <w:szCs w:val="21"/>
                <w:lang w:val="en-US"/>
              </w:rPr>
              <w:t>件能显示服务发包人公章）</w:t>
            </w:r>
            <w:r>
              <w:rPr>
                <w:rFonts w:hint="eastAsia" w:ascii="宋体" w:hAnsi="宋体" w:eastAsia="宋体" w:cs="宋体"/>
                <w:b w:val="0"/>
                <w:bCs w:val="0"/>
                <w:color w:val="auto"/>
                <w:sz w:val="21"/>
                <w:szCs w:val="21"/>
                <w:lang w:val="en-US" w:eastAsia="zh-CN"/>
              </w:rPr>
              <w:t>或</w:t>
            </w:r>
            <w:r>
              <w:rPr>
                <w:rFonts w:hint="eastAsia" w:ascii="宋体" w:hAnsi="宋体" w:eastAsia="宋体" w:cs="宋体"/>
                <w:b w:val="0"/>
                <w:bCs w:val="0"/>
                <w:color w:val="auto"/>
                <w:sz w:val="21"/>
                <w:szCs w:val="21"/>
                <w:lang w:val="en-US"/>
              </w:rPr>
              <w:t>发包人</w:t>
            </w:r>
            <w:r>
              <w:rPr>
                <w:rFonts w:hint="eastAsia" w:ascii="宋体" w:hAnsi="宋体" w:eastAsia="宋体" w:cs="宋体"/>
                <w:b w:val="0"/>
                <w:bCs w:val="0"/>
                <w:color w:val="auto"/>
                <w:sz w:val="21"/>
                <w:szCs w:val="21"/>
                <w:lang w:val="en-US" w:eastAsia="zh-CN"/>
              </w:rPr>
              <w:t>（业主）加盖公章反映条件的招标文件扫描件或政府部门</w:t>
            </w:r>
            <w:r>
              <w:rPr>
                <w:rFonts w:hint="eastAsia" w:ascii="宋体" w:hAnsi="宋体" w:eastAsia="宋体" w:cs="宋体"/>
                <w:b w:val="0"/>
                <w:bCs w:val="0"/>
                <w:color w:val="auto"/>
                <w:sz w:val="21"/>
                <w:szCs w:val="21"/>
              </w:rPr>
              <w:t>出具的相关证明材料。</w:t>
            </w:r>
          </w:p>
          <w:p w14:paraId="6DCA3F4B">
            <w:pPr>
              <w:pStyle w:val="18"/>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rPr>
              <w:t>3</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rPr>
              <w:t>项目负责人业绩的物业类型须为商务办公楼或写字楼，不包括住宅小区、公寓、公园、工业园区、车站、机场、学校、医院项目，否则不得分。</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5FA8D173">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分</w:t>
            </w:r>
          </w:p>
        </w:tc>
      </w:tr>
      <w:tr w14:paraId="3FE7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tcBorders>
              <w:top w:val="single" w:color="auto" w:sz="4" w:space="0"/>
              <w:left w:val="single" w:color="auto" w:sz="4" w:space="0"/>
              <w:right w:val="single" w:color="auto" w:sz="4" w:space="0"/>
            </w:tcBorders>
            <w:noWrap w:val="0"/>
            <w:vAlign w:val="center"/>
          </w:tcPr>
          <w:p w14:paraId="4E75B14B">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741" w:type="pct"/>
            <w:tcBorders>
              <w:top w:val="single" w:color="auto" w:sz="4" w:space="0"/>
              <w:left w:val="single" w:color="auto" w:sz="4" w:space="0"/>
              <w:right w:val="single" w:color="auto" w:sz="4" w:space="0"/>
            </w:tcBorders>
            <w:noWrap w:val="0"/>
            <w:vAlign w:val="center"/>
          </w:tcPr>
          <w:p w14:paraId="0F25435D">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拟投入的设备及软件</w:t>
            </w:r>
            <w:r>
              <w:rPr>
                <w:rFonts w:hint="eastAsia" w:ascii="宋体" w:hAnsi="宋体" w:eastAsia="宋体" w:cs="宋体"/>
                <w:color w:val="auto"/>
                <w:sz w:val="21"/>
                <w:szCs w:val="21"/>
                <w:lang w:val="en-US" w:eastAsia="zh-CN"/>
              </w:rPr>
              <w:t>系统</w:t>
            </w:r>
            <w:r>
              <w:rPr>
                <w:rFonts w:hint="eastAsia" w:ascii="宋体" w:hAnsi="宋体" w:eastAsia="宋体" w:cs="宋体"/>
                <w:color w:val="auto"/>
                <w:sz w:val="21"/>
                <w:szCs w:val="21"/>
              </w:rPr>
              <w:t>情况</w:t>
            </w:r>
          </w:p>
        </w:tc>
        <w:tc>
          <w:tcPr>
            <w:tcW w:w="3422" w:type="pct"/>
            <w:tcBorders>
              <w:top w:val="single" w:color="auto" w:sz="4" w:space="0"/>
              <w:left w:val="single" w:color="auto" w:sz="4" w:space="0"/>
              <w:right w:val="single" w:color="auto" w:sz="4" w:space="0"/>
            </w:tcBorders>
            <w:noWrap w:val="0"/>
            <w:vAlign w:val="center"/>
          </w:tcPr>
          <w:p w14:paraId="1ABDD9E6">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设备</w:t>
            </w:r>
            <w:r>
              <w:rPr>
                <w:rFonts w:hint="eastAsia" w:ascii="宋体" w:hAnsi="宋体" w:eastAsia="宋体" w:cs="宋体"/>
                <w:color w:val="auto"/>
                <w:sz w:val="21"/>
                <w:szCs w:val="21"/>
                <w:lang w:val="en-US" w:eastAsia="zh-CN"/>
              </w:rPr>
              <w:t>配置情况。</w:t>
            </w:r>
            <w:r>
              <w:rPr>
                <w:rFonts w:hint="eastAsia" w:ascii="宋体" w:hAnsi="宋体" w:eastAsia="宋体" w:cs="宋体"/>
                <w:color w:val="auto"/>
                <w:sz w:val="21"/>
                <w:szCs w:val="21"/>
              </w:rPr>
              <w:t>投标人为保证本项目物业管理服务工作正常开展配备的设备</w:t>
            </w:r>
            <w:r>
              <w:rPr>
                <w:rFonts w:hint="eastAsia" w:ascii="宋体" w:hAnsi="宋体" w:eastAsia="宋体" w:cs="宋体"/>
                <w:color w:val="auto"/>
                <w:sz w:val="21"/>
                <w:szCs w:val="21"/>
                <w:lang w:val="en-US" w:eastAsia="zh-CN"/>
              </w:rPr>
              <w:t>包括</w:t>
            </w:r>
            <w:r>
              <w:rPr>
                <w:rFonts w:hint="eastAsia" w:ascii="宋体" w:hAnsi="宋体" w:eastAsia="宋体" w:cs="宋体"/>
                <w:color w:val="auto"/>
                <w:sz w:val="21"/>
                <w:szCs w:val="21"/>
              </w:rPr>
              <w:t>光纤熔接机、低压电缆故障测试仪、智能蓄电池内阻测试仪、升降平台、光泽度仪、加重晶面机、加重翻新机（石材护理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的，得3分，前述设备每少一类，扣1分，扣完为止，本子项最低得0分；</w:t>
            </w:r>
          </w:p>
          <w:p w14:paraId="08C0E45A">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软件系统</w:t>
            </w:r>
            <w:r>
              <w:rPr>
                <w:rFonts w:hint="eastAsia" w:ascii="宋体" w:hAnsi="宋体" w:eastAsia="宋体" w:cs="宋体"/>
                <w:color w:val="auto"/>
                <w:sz w:val="21"/>
                <w:szCs w:val="21"/>
                <w:lang w:val="en-US" w:eastAsia="zh-CN"/>
              </w:rPr>
              <w:t>配置情况。</w:t>
            </w:r>
            <w:r>
              <w:rPr>
                <w:rFonts w:hint="eastAsia" w:ascii="宋体" w:hAnsi="宋体" w:eastAsia="宋体" w:cs="宋体"/>
                <w:color w:val="auto"/>
                <w:sz w:val="21"/>
                <w:szCs w:val="21"/>
              </w:rPr>
              <w:t>投标人为保证本项目物业管理服务工作正常开展配备的</w:t>
            </w:r>
            <w:r>
              <w:rPr>
                <w:rFonts w:hint="eastAsia" w:ascii="宋体" w:hAnsi="宋体" w:eastAsia="宋体" w:cs="宋体"/>
                <w:color w:val="auto"/>
                <w:sz w:val="21"/>
                <w:szCs w:val="21"/>
                <w:lang w:val="en-US" w:eastAsia="zh-CN"/>
              </w:rPr>
              <w:t>软件系统包括</w:t>
            </w:r>
            <w:r>
              <w:rPr>
                <w:rFonts w:hint="eastAsia" w:ascii="宋体" w:hAnsi="宋体" w:eastAsia="宋体" w:cs="宋体"/>
                <w:color w:val="auto"/>
                <w:sz w:val="21"/>
                <w:szCs w:val="21"/>
              </w:rPr>
              <w:t>物业信息管理平台、保洁定位系统、保安签到系统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如保安签到系统、合伙人签到系统或其他签到系统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、客户关系管理系统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突发事件管理系统的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得2分，前述系统每少一类，扣1分，扣完为止，本子项最低得0分；</w:t>
            </w:r>
          </w:p>
          <w:p w14:paraId="03B7A5D0">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w:t>
            </w:r>
          </w:p>
          <w:p w14:paraId="504B878A">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（1）必须提供设备及软件</w:t>
            </w:r>
            <w:r>
              <w:rPr>
                <w:rFonts w:hint="eastAsia" w:ascii="宋体" w:hAnsi="宋体" w:eastAsia="宋体" w:cs="宋体"/>
                <w:color w:val="auto"/>
                <w:sz w:val="21"/>
                <w:szCs w:val="21"/>
                <w:lang w:val="en-US" w:eastAsia="zh-CN"/>
              </w:rPr>
              <w:t>系统</w:t>
            </w:r>
            <w:r>
              <w:rPr>
                <w:rFonts w:hint="eastAsia" w:ascii="宋体" w:hAnsi="宋体" w:eastAsia="宋体" w:cs="宋体"/>
                <w:color w:val="auto"/>
                <w:sz w:val="21"/>
                <w:szCs w:val="21"/>
              </w:rPr>
              <w:t>清单。</w:t>
            </w:r>
          </w:p>
          <w:p w14:paraId="75DFDDC3">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（2）自有设备的须提供：</w:t>
            </w:r>
            <w:r>
              <w:rPr>
                <w:rFonts w:hint="eastAsia" w:ascii="宋体" w:hAnsi="宋体" w:eastAsia="宋体" w:cs="宋体"/>
                <w:color w:val="auto"/>
                <w:sz w:val="21"/>
                <w:szCs w:val="21"/>
                <w:lang w:val="zh-CN"/>
              </w:rPr>
              <w:t>①</w:t>
            </w:r>
            <w:r>
              <w:rPr>
                <w:rFonts w:hint="eastAsia" w:ascii="宋体" w:hAnsi="宋体" w:eastAsia="宋体" w:cs="宋体"/>
                <w:color w:val="auto"/>
                <w:sz w:val="21"/>
                <w:szCs w:val="21"/>
              </w:rPr>
              <w:t>购买发票</w:t>
            </w:r>
            <w:r>
              <w:rPr>
                <w:rFonts w:hint="eastAsia" w:ascii="宋体" w:hAnsi="宋体" w:eastAsia="宋体" w:cs="宋体"/>
                <w:color w:val="auto"/>
                <w:sz w:val="21"/>
                <w:szCs w:val="21"/>
                <w:lang w:val="en-US" w:eastAsia="zh-CN"/>
              </w:rPr>
              <w:t>扫描</w:t>
            </w:r>
            <w:r>
              <w:rPr>
                <w:rFonts w:hint="eastAsia" w:ascii="宋体" w:hAnsi="宋体" w:eastAsia="宋体" w:cs="宋体"/>
                <w:color w:val="auto"/>
                <w:sz w:val="21"/>
                <w:szCs w:val="21"/>
              </w:rPr>
              <w:t>件；</w:t>
            </w:r>
            <w:r>
              <w:rPr>
                <w:rFonts w:hint="eastAsia" w:ascii="宋体" w:hAnsi="宋体" w:eastAsia="宋体" w:cs="宋体"/>
                <w:color w:val="auto"/>
                <w:sz w:val="21"/>
                <w:szCs w:val="21"/>
                <w:lang w:val="zh-CN"/>
              </w:rPr>
              <w:t>②</w:t>
            </w:r>
            <w:r>
              <w:rPr>
                <w:rFonts w:hint="eastAsia" w:ascii="宋体" w:hAnsi="宋体" w:eastAsia="宋体" w:cs="宋体"/>
                <w:color w:val="auto"/>
                <w:sz w:val="21"/>
                <w:szCs w:val="21"/>
              </w:rPr>
              <w:t>设备照片/图片</w:t>
            </w:r>
            <w:r>
              <w:rPr>
                <w:rFonts w:hint="eastAsia" w:ascii="宋体" w:hAnsi="宋体" w:eastAsia="宋体" w:cs="宋体"/>
                <w:color w:val="auto"/>
                <w:sz w:val="21"/>
                <w:szCs w:val="21"/>
                <w:lang w:val="en-US" w:eastAsia="zh-CN"/>
              </w:rPr>
              <w:t>扫描</w:t>
            </w:r>
            <w:r>
              <w:rPr>
                <w:rFonts w:hint="eastAsia" w:ascii="宋体" w:hAnsi="宋体" w:eastAsia="宋体" w:cs="宋体"/>
                <w:color w:val="auto"/>
                <w:sz w:val="21"/>
                <w:szCs w:val="21"/>
              </w:rPr>
              <w:t>件（照片/图片须清晰显示拍摄时间为202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月1日或以后）。</w:t>
            </w:r>
          </w:p>
          <w:p w14:paraId="0ABF3014">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（3）租赁设备的须提供：</w:t>
            </w:r>
            <w:r>
              <w:rPr>
                <w:rFonts w:hint="eastAsia" w:ascii="宋体" w:hAnsi="宋体" w:eastAsia="宋体" w:cs="宋体"/>
                <w:color w:val="auto"/>
                <w:sz w:val="21"/>
                <w:szCs w:val="21"/>
                <w:lang w:val="zh-CN"/>
              </w:rPr>
              <w:t>①</w:t>
            </w:r>
            <w:r>
              <w:rPr>
                <w:rFonts w:hint="eastAsia" w:ascii="宋体" w:hAnsi="宋体" w:eastAsia="宋体" w:cs="宋体"/>
                <w:color w:val="auto"/>
                <w:sz w:val="21"/>
                <w:szCs w:val="21"/>
              </w:rPr>
              <w:t>租赁合同</w:t>
            </w:r>
            <w:r>
              <w:rPr>
                <w:rFonts w:hint="eastAsia" w:ascii="宋体" w:hAnsi="宋体" w:eastAsia="宋体" w:cs="宋体"/>
                <w:color w:val="auto"/>
                <w:sz w:val="21"/>
                <w:szCs w:val="21"/>
                <w:lang w:val="en-US" w:eastAsia="zh-CN"/>
              </w:rPr>
              <w:t>扫描</w:t>
            </w:r>
            <w:r>
              <w:rPr>
                <w:rFonts w:hint="eastAsia" w:ascii="宋体" w:hAnsi="宋体" w:eastAsia="宋体" w:cs="宋体"/>
                <w:color w:val="auto"/>
                <w:sz w:val="21"/>
                <w:szCs w:val="21"/>
              </w:rPr>
              <w:t>件（租赁期限需涵盖本项目服务期）；</w:t>
            </w:r>
            <w:r>
              <w:rPr>
                <w:rFonts w:hint="eastAsia" w:ascii="宋体" w:hAnsi="宋体" w:eastAsia="宋体" w:cs="宋体"/>
                <w:color w:val="auto"/>
                <w:sz w:val="21"/>
                <w:szCs w:val="21"/>
                <w:lang w:val="zh-CN"/>
              </w:rPr>
              <w:t>②</w:t>
            </w:r>
            <w:r>
              <w:rPr>
                <w:rFonts w:hint="eastAsia" w:ascii="宋体" w:hAnsi="宋体" w:eastAsia="宋体" w:cs="宋体"/>
                <w:color w:val="auto"/>
                <w:sz w:val="21"/>
                <w:szCs w:val="21"/>
              </w:rPr>
              <w:t>设备照片/图片</w:t>
            </w:r>
            <w:r>
              <w:rPr>
                <w:rFonts w:hint="eastAsia" w:ascii="宋体" w:hAnsi="宋体" w:eastAsia="宋体" w:cs="宋体"/>
                <w:color w:val="auto"/>
                <w:sz w:val="21"/>
                <w:szCs w:val="21"/>
                <w:lang w:val="en-US" w:eastAsia="zh-CN"/>
              </w:rPr>
              <w:t>扫描</w:t>
            </w:r>
            <w:r>
              <w:rPr>
                <w:rFonts w:hint="eastAsia" w:ascii="宋体" w:hAnsi="宋体" w:eastAsia="宋体" w:cs="宋体"/>
                <w:color w:val="auto"/>
                <w:sz w:val="21"/>
                <w:szCs w:val="21"/>
              </w:rPr>
              <w:t>件（照片/图片须清晰显示拍摄时间为202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月1日或以后）。</w:t>
            </w:r>
          </w:p>
          <w:p w14:paraId="76FF0D1E">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（4）软件系统为投标人</w:t>
            </w:r>
            <w:r>
              <w:rPr>
                <w:rFonts w:hint="eastAsia" w:ascii="宋体" w:hAnsi="宋体" w:eastAsia="宋体" w:cs="宋体"/>
                <w:color w:val="auto"/>
                <w:sz w:val="21"/>
                <w:szCs w:val="21"/>
                <w:lang w:val="en-US" w:eastAsia="zh-CN"/>
              </w:rPr>
              <w:t>或其关联公司</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本</w:t>
            </w:r>
            <w:r>
              <w:rPr>
                <w:rFonts w:hint="eastAsia" w:ascii="宋体" w:hAnsi="宋体" w:eastAsia="宋体" w:cs="宋体"/>
                <w:color w:val="auto"/>
                <w:sz w:val="21"/>
                <w:szCs w:val="21"/>
                <w:lang w:val="en-US" w:eastAsia="zh-CN"/>
              </w:rPr>
              <w:t>处软件系统开发人</w:t>
            </w:r>
            <w:r>
              <w:rPr>
                <w:rFonts w:hint="eastAsia" w:ascii="宋体" w:hAnsi="宋体" w:eastAsia="宋体" w:cs="宋体"/>
                <w:color w:val="auto"/>
                <w:sz w:val="21"/>
                <w:szCs w:val="21"/>
              </w:rPr>
              <w:t>所指的“投标人</w:t>
            </w:r>
            <w:r>
              <w:rPr>
                <w:rFonts w:hint="eastAsia" w:ascii="宋体" w:hAnsi="宋体" w:eastAsia="宋体" w:cs="宋体"/>
                <w:color w:val="auto"/>
                <w:sz w:val="21"/>
                <w:szCs w:val="21"/>
                <w:lang w:val="en-US" w:eastAsia="zh-CN"/>
              </w:rPr>
              <w:t>或其关联公司</w:t>
            </w:r>
            <w:r>
              <w:rPr>
                <w:rFonts w:hint="eastAsia" w:ascii="宋体" w:hAnsi="宋体" w:eastAsia="宋体" w:cs="宋体"/>
                <w:color w:val="auto"/>
                <w:sz w:val="21"/>
                <w:szCs w:val="21"/>
              </w:rPr>
              <w:t>”包括投标人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以及其母公司、控股股东公司、全资子公司、控股子公司、同一集团下属公司</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开发的须提供：</w:t>
            </w:r>
            <w:r>
              <w:rPr>
                <w:rFonts w:hint="eastAsia" w:ascii="宋体" w:hAnsi="宋体" w:eastAsia="宋体" w:cs="宋体"/>
                <w:color w:val="auto"/>
                <w:sz w:val="21"/>
                <w:szCs w:val="21"/>
                <w:lang w:val="zh-CN"/>
              </w:rPr>
              <w:t>①</w:t>
            </w:r>
            <w:r>
              <w:rPr>
                <w:rFonts w:hint="eastAsia" w:ascii="宋体" w:hAnsi="宋体" w:eastAsia="宋体" w:cs="宋体"/>
                <w:color w:val="auto"/>
                <w:sz w:val="21"/>
                <w:szCs w:val="21"/>
              </w:rPr>
              <w:t>计算机软件著作权证书或专利证；</w:t>
            </w:r>
            <w:r>
              <w:rPr>
                <w:rFonts w:hint="eastAsia" w:ascii="宋体" w:hAnsi="宋体" w:eastAsia="宋体" w:cs="宋体"/>
                <w:color w:val="auto"/>
                <w:sz w:val="21"/>
                <w:szCs w:val="21"/>
                <w:lang w:val="zh-CN"/>
              </w:rPr>
              <w:t>②</w:t>
            </w:r>
            <w:r>
              <w:rPr>
                <w:rFonts w:hint="eastAsia" w:ascii="宋体" w:hAnsi="宋体" w:eastAsia="宋体" w:cs="宋体"/>
                <w:color w:val="auto"/>
                <w:sz w:val="21"/>
                <w:szCs w:val="21"/>
              </w:rPr>
              <w:t>软件系统照片/图片</w:t>
            </w:r>
            <w:r>
              <w:rPr>
                <w:rFonts w:hint="eastAsia" w:ascii="宋体" w:hAnsi="宋体" w:eastAsia="宋体" w:cs="宋体"/>
                <w:color w:val="auto"/>
                <w:sz w:val="21"/>
                <w:szCs w:val="21"/>
                <w:lang w:val="en-US" w:eastAsia="zh-CN"/>
              </w:rPr>
              <w:t>扫描</w:t>
            </w:r>
            <w:r>
              <w:rPr>
                <w:rFonts w:hint="eastAsia" w:ascii="宋体" w:hAnsi="宋体" w:eastAsia="宋体" w:cs="宋体"/>
                <w:color w:val="auto"/>
                <w:sz w:val="21"/>
                <w:szCs w:val="21"/>
              </w:rPr>
              <w:t>件（照片/图片须清晰显示拍摄时间为202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月1日或以后）。③</w:t>
            </w:r>
            <w:r>
              <w:rPr>
                <w:rFonts w:hint="eastAsia" w:ascii="宋体" w:hAnsi="宋体" w:eastAsia="宋体" w:cs="宋体"/>
                <w:color w:val="auto"/>
                <w:sz w:val="21"/>
                <w:szCs w:val="21"/>
                <w:lang w:val="en-US" w:eastAsia="zh-CN"/>
              </w:rPr>
              <w:t>软件系统</w:t>
            </w:r>
            <w:r>
              <w:rPr>
                <w:rFonts w:hint="eastAsia" w:ascii="宋体" w:hAnsi="宋体" w:eastAsia="宋体" w:cs="宋体"/>
                <w:color w:val="auto"/>
                <w:sz w:val="21"/>
                <w:szCs w:val="21"/>
              </w:rPr>
              <w:t>属于前述</w:t>
            </w:r>
            <w:r>
              <w:rPr>
                <w:rFonts w:hint="eastAsia" w:ascii="宋体" w:hAnsi="宋体" w:eastAsia="宋体" w:cs="宋体"/>
                <w:color w:val="auto"/>
                <w:sz w:val="21"/>
                <w:szCs w:val="21"/>
                <w:lang w:val="en-US" w:eastAsia="zh-CN"/>
              </w:rPr>
              <w:t>投标人</w:t>
            </w:r>
            <w:r>
              <w:rPr>
                <w:rFonts w:hint="eastAsia" w:ascii="宋体" w:hAnsi="宋体" w:eastAsia="宋体" w:cs="宋体"/>
                <w:color w:val="auto"/>
                <w:sz w:val="21"/>
                <w:szCs w:val="21"/>
              </w:rPr>
              <w:t>关联公司的，必须同时提供反映关联关系的证明材料，否则不予认定</w:t>
            </w:r>
            <w:r>
              <w:rPr>
                <w:rFonts w:hint="eastAsia" w:ascii="宋体" w:hAnsi="宋体" w:eastAsia="宋体" w:cs="宋体"/>
                <w:color w:val="auto"/>
                <w:sz w:val="21"/>
                <w:szCs w:val="21"/>
                <w:lang w:eastAsia="zh-CN"/>
              </w:rPr>
              <w:t>。</w:t>
            </w:r>
          </w:p>
          <w:p w14:paraId="35E24F1D">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（5）软件系统为投标人购买的须提供：</w:t>
            </w:r>
            <w:r>
              <w:rPr>
                <w:rFonts w:hint="eastAsia" w:ascii="宋体" w:hAnsi="宋体" w:eastAsia="宋体" w:cs="宋体"/>
                <w:color w:val="auto"/>
                <w:sz w:val="21"/>
                <w:szCs w:val="21"/>
                <w:lang w:val="zh-CN"/>
              </w:rPr>
              <w:t>①</w:t>
            </w:r>
            <w:r>
              <w:rPr>
                <w:rFonts w:hint="eastAsia" w:ascii="宋体" w:hAnsi="宋体" w:eastAsia="宋体" w:cs="宋体"/>
                <w:color w:val="auto"/>
                <w:sz w:val="21"/>
                <w:szCs w:val="21"/>
              </w:rPr>
              <w:t>软件系统购买发票</w:t>
            </w:r>
            <w:r>
              <w:rPr>
                <w:rFonts w:hint="eastAsia" w:ascii="宋体" w:hAnsi="宋体" w:eastAsia="宋体" w:cs="宋体"/>
                <w:color w:val="auto"/>
                <w:sz w:val="21"/>
                <w:szCs w:val="21"/>
                <w:lang w:val="en-US" w:eastAsia="zh-CN"/>
              </w:rPr>
              <w:t>扫描</w:t>
            </w:r>
            <w:r>
              <w:rPr>
                <w:rFonts w:hint="eastAsia" w:ascii="宋体" w:hAnsi="宋体" w:eastAsia="宋体" w:cs="宋体"/>
                <w:color w:val="auto"/>
                <w:sz w:val="21"/>
                <w:szCs w:val="21"/>
              </w:rPr>
              <w:t>件；</w:t>
            </w:r>
            <w:r>
              <w:rPr>
                <w:rFonts w:hint="eastAsia" w:ascii="宋体" w:hAnsi="宋体" w:eastAsia="宋体" w:cs="宋体"/>
                <w:color w:val="auto"/>
                <w:sz w:val="21"/>
                <w:szCs w:val="21"/>
                <w:lang w:val="zh-CN"/>
              </w:rPr>
              <w:t>②</w:t>
            </w:r>
            <w:r>
              <w:rPr>
                <w:rFonts w:hint="eastAsia" w:ascii="宋体" w:hAnsi="宋体" w:eastAsia="宋体" w:cs="宋体"/>
                <w:color w:val="auto"/>
                <w:sz w:val="21"/>
                <w:szCs w:val="21"/>
              </w:rPr>
              <w:t>软件系统照片/图片</w:t>
            </w:r>
            <w:r>
              <w:rPr>
                <w:rFonts w:hint="eastAsia" w:ascii="宋体" w:hAnsi="宋体" w:eastAsia="宋体" w:cs="宋体"/>
                <w:color w:val="auto"/>
                <w:sz w:val="21"/>
                <w:szCs w:val="21"/>
                <w:lang w:val="en-US" w:eastAsia="zh-CN"/>
              </w:rPr>
              <w:t>扫描</w:t>
            </w:r>
            <w:r>
              <w:rPr>
                <w:rFonts w:hint="eastAsia" w:ascii="宋体" w:hAnsi="宋体" w:eastAsia="宋体" w:cs="宋体"/>
                <w:color w:val="auto"/>
                <w:sz w:val="21"/>
                <w:szCs w:val="21"/>
              </w:rPr>
              <w:t>件（照片/图片须清晰显示拍摄时间为202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月1日或以后）。</w:t>
            </w:r>
          </w:p>
          <w:p w14:paraId="59663E35">
            <w:pPr>
              <w:pStyle w:val="136"/>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（6）</w:t>
            </w:r>
            <w:r>
              <w:rPr>
                <w:rFonts w:hint="eastAsia" w:ascii="宋体" w:hAnsi="宋体" w:eastAsia="宋体" w:cs="宋体"/>
                <w:color w:val="auto"/>
                <w:sz w:val="21"/>
                <w:szCs w:val="21"/>
              </w:rPr>
              <w:t>未按上述</w:t>
            </w:r>
            <w:r>
              <w:rPr>
                <w:rFonts w:hint="eastAsia" w:ascii="宋体" w:hAnsi="宋体" w:eastAsia="宋体" w:cs="宋体"/>
                <w:color w:val="auto"/>
                <w:sz w:val="21"/>
                <w:szCs w:val="21"/>
                <w:lang w:val="en-US" w:eastAsia="zh-CN"/>
              </w:rPr>
              <w:t>对应项的</w:t>
            </w:r>
            <w:r>
              <w:rPr>
                <w:rFonts w:hint="eastAsia" w:ascii="宋体" w:hAnsi="宋体" w:eastAsia="宋体" w:cs="宋体"/>
                <w:color w:val="auto"/>
                <w:sz w:val="21"/>
                <w:szCs w:val="21"/>
              </w:rPr>
              <w:t>要求提供证明材料的不得分。</w:t>
            </w:r>
          </w:p>
          <w:p w14:paraId="11A5FC6F">
            <w:pPr>
              <w:pStyle w:val="136"/>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上述</w:t>
            </w:r>
            <w:r>
              <w:rPr>
                <w:rFonts w:hint="eastAsia" w:ascii="宋体" w:hAnsi="宋体" w:eastAsia="宋体" w:cs="宋体"/>
                <w:color w:val="auto"/>
                <w:sz w:val="21"/>
                <w:szCs w:val="21"/>
                <w:lang w:val="en-US" w:bidi="en-US"/>
              </w:rPr>
              <w:t>投标人承诺自愿免费投入本项目使用的设备</w:t>
            </w:r>
            <w:r>
              <w:rPr>
                <w:rFonts w:hint="eastAsia" w:ascii="宋体" w:hAnsi="宋体" w:eastAsia="宋体" w:cs="宋体"/>
                <w:color w:val="auto"/>
                <w:sz w:val="21"/>
                <w:szCs w:val="21"/>
                <w:lang w:val="en-US" w:eastAsia="zh-CN" w:bidi="en-US"/>
              </w:rPr>
              <w:t>及</w:t>
            </w:r>
            <w:r>
              <w:rPr>
                <w:rFonts w:hint="eastAsia" w:ascii="宋体" w:hAnsi="宋体" w:eastAsia="宋体" w:cs="宋体"/>
                <w:color w:val="auto"/>
                <w:sz w:val="21"/>
                <w:szCs w:val="21"/>
                <w:lang w:val="en-US" w:bidi="en-US"/>
              </w:rPr>
              <w:t>软件</w:t>
            </w:r>
            <w:r>
              <w:rPr>
                <w:rFonts w:hint="eastAsia" w:ascii="宋体" w:hAnsi="宋体" w:eastAsia="宋体" w:cs="宋体"/>
                <w:color w:val="auto"/>
                <w:sz w:val="21"/>
                <w:szCs w:val="21"/>
                <w:lang w:val="en-US" w:eastAsia="zh-CN" w:bidi="en-US"/>
              </w:rPr>
              <w:t>系统</w:t>
            </w:r>
            <w:r>
              <w:rPr>
                <w:rFonts w:hint="eastAsia" w:ascii="宋体" w:hAnsi="宋体" w:eastAsia="宋体" w:cs="宋体"/>
                <w:color w:val="auto"/>
                <w:sz w:val="21"/>
                <w:szCs w:val="21"/>
                <w:lang w:val="en-US" w:bidi="en-US"/>
              </w:rPr>
              <w:t>不得以任何理由向招标人申请额外支付任何费用</w:t>
            </w:r>
            <w:r>
              <w:rPr>
                <w:rFonts w:hint="eastAsia" w:ascii="宋体" w:hAnsi="宋体" w:eastAsia="宋体" w:cs="宋体"/>
                <w:color w:val="auto"/>
                <w:sz w:val="21"/>
                <w:szCs w:val="21"/>
                <w:lang w:val="en-US" w:eastAsia="zh-CN" w:bidi="en-US"/>
              </w:rPr>
              <w:t>。</w:t>
            </w:r>
          </w:p>
        </w:tc>
        <w:tc>
          <w:tcPr>
            <w:tcW w:w="533" w:type="pct"/>
            <w:tcBorders>
              <w:top w:val="single" w:color="auto" w:sz="4" w:space="0"/>
              <w:left w:val="single" w:color="auto" w:sz="4" w:space="0"/>
              <w:right w:val="single" w:color="auto" w:sz="4" w:space="0"/>
            </w:tcBorders>
            <w:noWrap w:val="0"/>
            <w:vAlign w:val="center"/>
          </w:tcPr>
          <w:p w14:paraId="23486969">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tc>
      </w:tr>
      <w:tr w14:paraId="1DFA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tcBorders>
              <w:left w:val="single" w:color="auto" w:sz="4" w:space="0"/>
              <w:right w:val="single" w:color="auto" w:sz="4" w:space="0"/>
            </w:tcBorders>
            <w:noWrap w:val="0"/>
            <w:vAlign w:val="center"/>
          </w:tcPr>
          <w:p w14:paraId="656F49BC">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6</w:t>
            </w:r>
          </w:p>
        </w:tc>
        <w:tc>
          <w:tcPr>
            <w:tcW w:w="741" w:type="pct"/>
            <w:tcBorders>
              <w:left w:val="single" w:color="auto" w:sz="4" w:space="0"/>
              <w:right w:val="single" w:color="auto" w:sz="4" w:space="0"/>
            </w:tcBorders>
            <w:noWrap w:val="0"/>
            <w:vAlign w:val="center"/>
          </w:tcPr>
          <w:p w14:paraId="06C3E99B">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应急预案和重大活动保障措施</w:t>
            </w:r>
          </w:p>
        </w:tc>
        <w:tc>
          <w:tcPr>
            <w:tcW w:w="3422" w:type="pct"/>
            <w:tcBorders>
              <w:top w:val="single" w:color="auto" w:sz="4" w:space="0"/>
              <w:left w:val="single" w:color="auto" w:sz="4" w:space="0"/>
              <w:bottom w:val="single" w:color="auto" w:sz="4" w:space="0"/>
              <w:right w:val="single" w:color="auto" w:sz="4" w:space="0"/>
            </w:tcBorders>
            <w:noWrap w:val="0"/>
            <w:vAlign w:val="center"/>
          </w:tcPr>
          <w:p w14:paraId="78B9D7B5">
            <w:pPr>
              <w:keepNext w:val="0"/>
              <w:keepLines w:val="0"/>
              <w:pageBreakBefore w:val="0"/>
              <w:widowControl w:val="0"/>
              <w:kinsoku/>
              <w:wordWrap/>
              <w:overflowPunct/>
              <w:topLinePunct w:val="0"/>
              <w:bidi w:val="0"/>
              <w:snapToGrid/>
              <w:spacing w:line="360" w:lineRule="auto"/>
              <w:ind w:left="0" w:leftChars="0" w:firstLine="0" w:firstLine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根据</w:t>
            </w:r>
            <w:r>
              <w:rPr>
                <w:rFonts w:hint="eastAsia" w:ascii="宋体" w:hAnsi="宋体" w:eastAsia="宋体" w:cs="宋体"/>
                <w:b w:val="0"/>
                <w:bCs/>
                <w:color w:val="auto"/>
                <w:kern w:val="2"/>
                <w:sz w:val="21"/>
                <w:szCs w:val="21"/>
                <w:highlight w:val="none"/>
                <w:lang w:val="en-US" w:eastAsia="zh-CN"/>
              </w:rPr>
              <w:t>投标人</w:t>
            </w:r>
            <w:r>
              <w:rPr>
                <w:rFonts w:hint="eastAsia" w:ascii="宋体" w:hAnsi="宋体" w:eastAsia="宋体" w:cs="宋体"/>
                <w:color w:val="auto"/>
                <w:sz w:val="21"/>
                <w:szCs w:val="21"/>
                <w:highlight w:val="none"/>
                <w:lang w:val="en-US" w:eastAsia="zh-CN"/>
              </w:rPr>
              <w:t>针对本项目提供的</w:t>
            </w:r>
            <w:r>
              <w:rPr>
                <w:rFonts w:hint="eastAsia" w:ascii="宋体" w:hAnsi="宋体" w:eastAsia="宋体" w:cs="宋体"/>
                <w:color w:val="auto"/>
                <w:sz w:val="21"/>
                <w:szCs w:val="21"/>
              </w:rPr>
              <w:t>应急预案和重大活动保障措施</w:t>
            </w:r>
            <w:r>
              <w:rPr>
                <w:rFonts w:hint="eastAsia" w:ascii="宋体" w:hAnsi="宋体" w:eastAsia="宋体" w:cs="宋体"/>
                <w:color w:val="auto"/>
                <w:sz w:val="21"/>
                <w:szCs w:val="21"/>
                <w:highlight w:val="none"/>
                <w:lang w:val="en-US" w:eastAsia="zh-CN"/>
              </w:rPr>
              <w:t>，包括但不限于项目实施过程可能发生的各类突发紧急情况（如：</w:t>
            </w:r>
            <w:r>
              <w:rPr>
                <w:rFonts w:hint="eastAsia" w:ascii="宋体" w:hAnsi="宋体" w:eastAsia="宋体" w:cs="宋体"/>
                <w:color w:val="auto"/>
                <w:sz w:val="21"/>
                <w:szCs w:val="21"/>
              </w:rPr>
              <w:t>特殊天气、火灾、设备故障、突发治安事件、公共卫生事件、重大活动</w:t>
            </w:r>
            <w:r>
              <w:rPr>
                <w:rFonts w:hint="eastAsia" w:ascii="宋体" w:hAnsi="宋体" w:eastAsia="宋体" w:cs="宋体"/>
                <w:color w:val="auto"/>
                <w:sz w:val="21"/>
                <w:szCs w:val="21"/>
                <w:highlight w:val="none"/>
                <w:lang w:val="en-US" w:eastAsia="zh-CN"/>
              </w:rPr>
              <w:t>等内容）、各类突发紧急情况相应的保障措施（包括事件处理原则、流程、方法、紧急情况报告机制等内容）的情况进行综合评审</w:t>
            </w:r>
            <w:r>
              <w:rPr>
                <w:rFonts w:hint="eastAsia" w:ascii="宋体" w:hAnsi="宋体" w:eastAsia="宋体" w:cs="宋体"/>
                <w:color w:val="auto"/>
                <w:sz w:val="21"/>
                <w:szCs w:val="21"/>
                <w:highlight w:val="none"/>
                <w:lang w:eastAsia="zh-CN"/>
              </w:rPr>
              <w:t>：</w:t>
            </w:r>
          </w:p>
          <w:p w14:paraId="72FD97DF">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eastAsia="zh-CN"/>
              </w:rPr>
              <w:t>优：</w:t>
            </w:r>
            <w:r>
              <w:rPr>
                <w:rFonts w:hint="eastAsia" w:ascii="宋体" w:hAnsi="宋体" w:eastAsia="宋体" w:cs="宋体"/>
                <w:color w:val="auto"/>
                <w:sz w:val="21"/>
                <w:szCs w:val="21"/>
                <w:highlight w:val="none"/>
                <w:lang w:val="zh-CN" w:eastAsia="zh-CN"/>
              </w:rPr>
              <w:t>应急处理方案详实且完整，能够全面覆盖所有可能发生的应急情况，并对每一类应急情况制定了详尽且具有操作性的保障措施，并给出了详细可行的解决方案，能有效指导现场处置行动，确保</w:t>
            </w:r>
            <w:r>
              <w:rPr>
                <w:rFonts w:hint="eastAsia" w:ascii="宋体" w:hAnsi="宋体" w:eastAsia="宋体" w:cs="宋体"/>
                <w:color w:val="auto"/>
                <w:sz w:val="21"/>
                <w:szCs w:val="21"/>
                <w:highlight w:val="none"/>
                <w:lang w:val="en-US" w:eastAsia="zh-CN"/>
              </w:rPr>
              <w:t>应急事件</w:t>
            </w:r>
            <w:r>
              <w:rPr>
                <w:rFonts w:hint="eastAsia" w:ascii="宋体" w:hAnsi="宋体" w:eastAsia="宋体" w:cs="宋体"/>
                <w:color w:val="auto"/>
                <w:sz w:val="21"/>
                <w:szCs w:val="21"/>
                <w:highlight w:val="none"/>
                <w:lang w:val="zh-CN" w:eastAsia="zh-CN"/>
              </w:rPr>
              <w:t>得到有效控制，</w:t>
            </w:r>
            <w:r>
              <w:rPr>
                <w:rFonts w:hint="eastAsia" w:ascii="宋体" w:hAnsi="宋体" w:eastAsia="宋体" w:cs="宋体"/>
                <w:color w:val="auto"/>
                <w:sz w:val="21"/>
                <w:szCs w:val="21"/>
                <w:highlight w:val="none"/>
                <w:lang w:val="en-US" w:eastAsia="zh-CN"/>
              </w:rPr>
              <w:t>得[6-5分]</w:t>
            </w:r>
            <w:r>
              <w:rPr>
                <w:rFonts w:hint="eastAsia" w:ascii="宋体" w:hAnsi="宋体" w:eastAsia="宋体" w:cs="宋体"/>
                <w:color w:val="auto"/>
                <w:sz w:val="21"/>
                <w:szCs w:val="21"/>
                <w:highlight w:val="none"/>
                <w:lang w:val="zh-CN" w:eastAsia="zh-CN"/>
              </w:rPr>
              <w:t>。</w:t>
            </w:r>
          </w:p>
          <w:p w14:paraId="6BC2A22F">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rPr>
              <w:t>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zh-CN" w:eastAsia="zh-CN"/>
              </w:rPr>
              <w:t>应急预案较为完整，对各类应急情况制定了具体的保障措施，并给出了相应的解决方案，能够考虑到了大部分情况下可能发生的问题，在少数特殊情况下可能存在一定的不确定性或存在一些细节上的不足，但总体上仍能较好地指导现场处置行动，有效控制</w:t>
            </w:r>
            <w:r>
              <w:rPr>
                <w:rFonts w:hint="eastAsia" w:ascii="宋体" w:hAnsi="宋体" w:eastAsia="宋体" w:cs="宋体"/>
                <w:color w:val="auto"/>
                <w:sz w:val="21"/>
                <w:szCs w:val="21"/>
                <w:highlight w:val="none"/>
                <w:lang w:val="en-US" w:eastAsia="zh-CN"/>
              </w:rPr>
              <w:t>应急事件</w:t>
            </w:r>
            <w:r>
              <w:rPr>
                <w:rFonts w:hint="eastAsia" w:ascii="宋体" w:hAnsi="宋体" w:eastAsia="宋体" w:cs="宋体"/>
                <w:color w:val="auto"/>
                <w:sz w:val="21"/>
                <w:szCs w:val="21"/>
                <w:highlight w:val="none"/>
                <w:lang w:val="zh-CN" w:eastAsia="zh-CN"/>
              </w:rPr>
              <w:t>的发展，</w:t>
            </w:r>
            <w:r>
              <w:rPr>
                <w:rFonts w:hint="eastAsia" w:ascii="宋体" w:hAnsi="宋体" w:eastAsia="宋体" w:cs="宋体"/>
                <w:color w:val="auto"/>
                <w:sz w:val="21"/>
                <w:szCs w:val="21"/>
                <w:highlight w:val="none"/>
                <w:lang w:val="en-US" w:eastAsia="zh-CN"/>
              </w:rPr>
              <w:t>得（5-3分]</w:t>
            </w:r>
            <w:r>
              <w:rPr>
                <w:rFonts w:hint="eastAsia" w:ascii="宋体" w:hAnsi="宋体" w:eastAsia="宋体" w:cs="宋体"/>
                <w:color w:val="auto"/>
                <w:sz w:val="21"/>
                <w:szCs w:val="21"/>
                <w:highlight w:val="none"/>
                <w:lang w:val="zh-CN" w:eastAsia="zh-CN"/>
              </w:rPr>
              <w:t>。</w:t>
            </w:r>
          </w:p>
          <w:p w14:paraId="5C603052">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中：应急预案基本完整，对一般应急情况制定了相应的保障措施，并给出了相应的解决方案，但解决方案需要进一步完善以提高其指导性，</w:t>
            </w:r>
            <w:r>
              <w:rPr>
                <w:rFonts w:hint="eastAsia" w:ascii="宋体" w:hAnsi="宋体" w:eastAsia="宋体" w:cs="宋体"/>
                <w:color w:val="auto"/>
                <w:sz w:val="21"/>
                <w:szCs w:val="21"/>
                <w:highlight w:val="none"/>
                <w:lang w:val="en-US" w:eastAsia="zh-CN"/>
              </w:rPr>
              <w:t>得（3-1分]</w:t>
            </w:r>
            <w:r>
              <w:rPr>
                <w:rFonts w:hint="eastAsia" w:ascii="宋体" w:hAnsi="宋体" w:eastAsia="宋体" w:cs="宋体"/>
                <w:color w:val="auto"/>
                <w:sz w:val="21"/>
                <w:szCs w:val="21"/>
                <w:highlight w:val="none"/>
                <w:lang w:val="zh-CN" w:eastAsia="zh-CN"/>
              </w:rPr>
              <w:t>。</w:t>
            </w:r>
          </w:p>
          <w:p w14:paraId="173AE1C5">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差：应急预案不完整或缺少合理性，对各类应急情况的保障措施不够具体，无对应的解决方案，可预判服务期间发生应急情况时会出现频繁的负面问题，得（1-0分]。</w:t>
            </w:r>
          </w:p>
          <w:p w14:paraId="0085E0C8">
            <w:pPr>
              <w:keepNext w:val="0"/>
              <w:keepLines w:val="0"/>
              <w:pageBreakBefore w:val="0"/>
              <w:widowControl w:val="0"/>
              <w:kinsoku/>
              <w:wordWrap/>
              <w:overflowPunct/>
              <w:topLinePunct w:val="0"/>
              <w:bidi w:val="0"/>
              <w:snapToGrid/>
              <w:spacing w:line="360" w:lineRule="auto"/>
              <w:ind w:left="0" w:leftChars="0" w:firstLine="0" w:firstLineChars="0"/>
              <w:textAlignment w:val="auto"/>
              <w:outlineLvl w:val="9"/>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备注：</w:t>
            </w:r>
          </w:p>
          <w:p w14:paraId="400E2768">
            <w:pPr>
              <w:keepNext w:val="0"/>
              <w:keepLines w:val="0"/>
              <w:pageBreakBefore w:val="0"/>
              <w:widowControl w:val="0"/>
              <w:kinsoku/>
              <w:wordWrap/>
              <w:overflowPunct/>
              <w:topLinePunct w:val="0"/>
              <w:bidi w:val="0"/>
              <w:snapToGrid/>
              <w:spacing w:line="360" w:lineRule="auto"/>
              <w:ind w:left="0" w:leftChars="0" w:firstLine="0" w:firstLineChars="0"/>
              <w:textAlignment w:val="auto"/>
              <w:outlineLvl w:val="9"/>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（1）未提供预案或应急预案内容不全面，应对措施操作性差的不得分。</w:t>
            </w:r>
          </w:p>
          <w:p w14:paraId="7AADB824">
            <w:pPr>
              <w:keepNext w:val="0"/>
              <w:keepLines w:val="0"/>
              <w:pageBreakBefore w:val="0"/>
              <w:widowControl w:val="0"/>
              <w:kinsoku/>
              <w:wordWrap/>
              <w:overflowPunct/>
              <w:topLinePunct w:val="0"/>
              <w:bidi w:val="0"/>
              <w:snapToGrid/>
              <w:spacing w:line="360" w:lineRule="auto"/>
              <w:ind w:left="0" w:leftChars="0" w:firstLine="0" w:firstLineChars="0"/>
              <w:textAlignment w:val="auto"/>
              <w:outlineLvl w:val="9"/>
              <w:rPr>
                <w:rFonts w:hint="eastAsia" w:ascii="宋体" w:hAnsi="宋体" w:eastAsia="宋体" w:cs="宋体"/>
                <w:color w:val="auto"/>
                <w:sz w:val="21"/>
                <w:szCs w:val="21"/>
              </w:rPr>
            </w:pPr>
            <w:r>
              <w:rPr>
                <w:rFonts w:hint="eastAsia" w:ascii="宋体" w:hAnsi="宋体" w:eastAsia="宋体" w:cs="宋体"/>
                <w:b w:val="0"/>
                <w:bCs/>
                <w:color w:val="auto"/>
                <w:kern w:val="2"/>
                <w:sz w:val="21"/>
                <w:szCs w:val="21"/>
                <w:highlight w:val="none"/>
                <w:lang w:val="en-US" w:eastAsia="zh-CN"/>
              </w:rPr>
              <w:t>（2）投标人预案的不同内容分别符合评审内容中不同档次得分要求的，评审时优先按较低的档次计分（即若投标人方案内容符合“优”的得分要求，另一部分内容符合“中”的得分要求时，应按“中”的档次考虑计分）。</w:t>
            </w:r>
          </w:p>
        </w:tc>
        <w:tc>
          <w:tcPr>
            <w:tcW w:w="533" w:type="pct"/>
            <w:tcBorders>
              <w:top w:val="single" w:color="auto" w:sz="4" w:space="0"/>
              <w:left w:val="single" w:color="auto" w:sz="4" w:space="0"/>
              <w:right w:val="single" w:color="auto" w:sz="4" w:space="0"/>
            </w:tcBorders>
            <w:noWrap w:val="0"/>
            <w:vAlign w:val="center"/>
          </w:tcPr>
          <w:p w14:paraId="401A17B6">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p>
        </w:tc>
      </w:tr>
    </w:tbl>
    <w:p w14:paraId="38710ACF">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26A6B4B2">
      <w:pPr>
        <w:autoSpaceDE w:val="0"/>
        <w:autoSpaceDN w:val="0"/>
        <w:adjustRightInd w:val="0"/>
        <w:spacing w:line="360" w:lineRule="auto"/>
        <w:ind w:left="420" w:leftChars="200" w:firstLine="420" w:firstLineChars="200"/>
        <w:rPr>
          <w:rFonts w:hint="eastAsia" w:ascii="宋体" w:hAnsi="宋体" w:eastAsia="宋体" w:cs="宋体"/>
          <w:b w:val="0"/>
          <w:bCs/>
          <w:color w:val="auto"/>
          <w:szCs w:val="24"/>
          <w:highlight w:val="none"/>
          <w:lang w:val="en-US" w:eastAsia="zh-CN"/>
        </w:rPr>
      </w:pPr>
      <w:r>
        <w:rPr>
          <w:rFonts w:hint="eastAsia" w:ascii="宋体" w:hAnsi="宋体" w:eastAsia="宋体" w:cs="宋体"/>
          <w:b w:val="0"/>
          <w:bCs/>
          <w:color w:val="auto"/>
          <w:szCs w:val="24"/>
          <w:highlight w:val="none"/>
          <w:lang w:val="en-US" w:eastAsia="zh-CN"/>
        </w:rPr>
        <w:t>①表中“[”代表闭区间，“]”代表闭区间，如[0，1]代表该分数段范围为大于等于0且小于等于1。表中“（”代表开区间，“]”代表闭区间，如（1，2]代表该分数段范围为大于1且小于等于2。</w:t>
      </w:r>
    </w:p>
    <w:p w14:paraId="5B48C821">
      <w:pPr>
        <w:autoSpaceDE w:val="0"/>
        <w:autoSpaceDN w:val="0"/>
        <w:adjustRightInd w:val="0"/>
        <w:spacing w:line="360" w:lineRule="auto"/>
        <w:ind w:left="420" w:leftChars="200" w:firstLine="420" w:firstLineChars="200"/>
        <w:rPr>
          <w:rFonts w:hint="eastAsia" w:ascii="宋体" w:hAnsi="宋体" w:eastAsia="宋体" w:cs="宋体"/>
          <w:b w:val="0"/>
          <w:bCs/>
          <w:color w:val="auto"/>
          <w:szCs w:val="24"/>
          <w:highlight w:val="none"/>
          <w:lang w:val="en-US" w:eastAsia="zh-CN"/>
        </w:rPr>
      </w:pPr>
      <w:r>
        <w:rPr>
          <w:rFonts w:hint="eastAsia" w:ascii="宋体" w:hAnsi="宋体" w:eastAsia="宋体" w:cs="宋体"/>
          <w:b w:val="0"/>
          <w:bCs/>
          <w:color w:val="auto"/>
          <w:szCs w:val="24"/>
          <w:highlight w:val="none"/>
          <w:lang w:val="en-US" w:eastAsia="zh-CN"/>
        </w:rPr>
        <w:t>②分数出现小数点，保留小数点后2位，从小数点后第3位四舍五入。</w:t>
      </w:r>
    </w:p>
    <w:p w14:paraId="4E50A8F1">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bCs/>
          <w:color w:val="auto"/>
          <w:sz w:val="21"/>
          <w:szCs w:val="21"/>
          <w:highlight w:val="none"/>
          <w:lang w:val="en-US" w:eastAsia="zh-CN"/>
        </w:rPr>
        <w:t>③</w:t>
      </w:r>
      <w:r>
        <w:rPr>
          <w:rFonts w:hint="eastAsia" w:ascii="宋体" w:hAnsi="宋体" w:eastAsia="宋体" w:cs="宋体"/>
          <w:b/>
          <w:color w:val="auto"/>
          <w:szCs w:val="24"/>
          <w:highlight w:val="none"/>
          <w:lang w:val="zh-CN"/>
        </w:rPr>
        <w:t>上述“评分项目”中按“优、</w:t>
      </w:r>
      <w:r>
        <w:rPr>
          <w:rFonts w:hint="eastAsia" w:ascii="宋体" w:hAnsi="宋体" w:eastAsia="宋体" w:cs="宋体"/>
          <w:b/>
          <w:color w:val="auto"/>
          <w:szCs w:val="24"/>
          <w:highlight w:val="none"/>
          <w:lang w:val="en-US" w:eastAsia="zh-CN"/>
        </w:rPr>
        <w:t>良、中</w:t>
      </w:r>
      <w:r>
        <w:rPr>
          <w:rFonts w:hint="eastAsia" w:ascii="宋体" w:hAnsi="宋体" w:eastAsia="宋体" w:cs="宋体"/>
          <w:b/>
          <w:color w:val="auto"/>
          <w:szCs w:val="24"/>
          <w:highlight w:val="none"/>
          <w:lang w:val="zh-CN"/>
        </w:rPr>
        <w:t>、差”</w:t>
      </w:r>
      <w:r>
        <w:rPr>
          <w:rFonts w:hint="eastAsia" w:ascii="宋体" w:hAnsi="宋体" w:eastAsia="宋体" w:cs="宋体"/>
          <w:b/>
          <w:color w:val="auto"/>
          <w:szCs w:val="24"/>
          <w:highlight w:val="none"/>
          <w:lang w:val="en-US" w:eastAsia="zh-CN"/>
        </w:rPr>
        <w:t>区间</w:t>
      </w:r>
      <w:r>
        <w:rPr>
          <w:rFonts w:hint="eastAsia" w:ascii="宋体" w:hAnsi="宋体" w:eastAsia="宋体" w:cs="宋体"/>
          <w:b/>
          <w:color w:val="auto"/>
          <w:szCs w:val="24"/>
          <w:highlight w:val="none"/>
          <w:lang w:val="zh-CN"/>
        </w:rPr>
        <w:t>评审的，若低于该项满分分值60%时，评标专家需详细填写该项低分的充分理由，例如：该项目内容存在违反国家有关标准和规范或与项目实际不符等原则性问题。</w:t>
      </w:r>
    </w:p>
    <w:p w14:paraId="1A22C46C">
      <w:pPr>
        <w:autoSpaceDE w:val="0"/>
        <w:autoSpaceDN w:val="0"/>
        <w:adjustRightInd w:val="0"/>
        <w:spacing w:line="360" w:lineRule="auto"/>
        <w:ind w:left="420" w:leftChars="200"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0BE43385">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37F47B72">
      <w:pPr>
        <w:spacing w:line="360" w:lineRule="auto"/>
        <w:ind w:left="480" w:firstLine="211" w:firstLineChars="100"/>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7126DFDD">
      <w:pPr>
        <w:spacing w:line="360" w:lineRule="auto"/>
        <w:ind w:left="420" w:leftChars="200"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51748BC6">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5122C02B">
      <w:pPr>
        <w:spacing w:line="360" w:lineRule="auto"/>
        <w:ind w:left="420" w:leftChars="200" w:firstLine="422" w:firstLineChars="200"/>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6DA445E2">
      <w:pPr>
        <w:spacing w:line="360" w:lineRule="auto"/>
        <w:ind w:left="480" w:firstLine="211" w:firstLineChars="1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20</w:t>
      </w:r>
      <w:r>
        <w:rPr>
          <w:rFonts w:hint="eastAsia" w:ascii="宋体" w:hAnsi="宋体" w:eastAsia="宋体" w:cs="宋体"/>
          <w:b/>
          <w:bCs/>
          <w:color w:val="auto"/>
          <w:kern w:val="0"/>
          <w:szCs w:val="21"/>
          <w:highlight w:val="none"/>
          <w:lang w:val="zh-CN"/>
        </w:rPr>
        <w:t>分</w:t>
      </w:r>
    </w:p>
    <w:p w14:paraId="013D1B3D">
      <w:pPr>
        <w:pStyle w:val="70"/>
        <w:spacing w:line="360" w:lineRule="auto"/>
        <w:ind w:left="420" w:leftChars="200" w:firstLine="0" w:firstLineChars="0"/>
        <w:rPr>
          <w:rFonts w:hint="eastAsia" w:ascii="宋体" w:eastAsia="宋体" w:cs="宋体"/>
          <w:b/>
          <w:color w:val="auto"/>
          <w:sz w:val="21"/>
          <w:szCs w:val="21"/>
          <w:lang w:val="zh-CN"/>
        </w:rPr>
      </w:pPr>
    </w:p>
    <w:tbl>
      <w:tblPr>
        <w:tblStyle w:val="41"/>
        <w:tblW w:w="46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5064"/>
        <w:gridCol w:w="2932"/>
      </w:tblGrid>
      <w:tr w14:paraId="45CF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jc w:val="center"/>
        </w:trPr>
        <w:tc>
          <w:tcPr>
            <w:tcW w:w="510" w:type="pct"/>
            <w:noWrap w:val="0"/>
            <w:vAlign w:val="center"/>
          </w:tcPr>
          <w:p w14:paraId="432F561C">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843" w:type="pct"/>
            <w:noWrap w:val="0"/>
            <w:vAlign w:val="center"/>
          </w:tcPr>
          <w:p w14:paraId="030ADD36">
            <w:pPr>
              <w:ind w:firstLine="42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费用</w:t>
            </w:r>
            <w:r>
              <w:rPr>
                <w:rFonts w:hint="eastAsia" w:ascii="宋体" w:hAnsi="宋体" w:eastAsia="宋体" w:cs="宋体"/>
                <w:color w:val="auto"/>
                <w:sz w:val="21"/>
                <w:szCs w:val="21"/>
                <w:lang w:val="en-US" w:eastAsia="zh-CN"/>
              </w:rPr>
              <w:t>名称</w:t>
            </w:r>
          </w:p>
        </w:tc>
        <w:tc>
          <w:tcPr>
            <w:tcW w:w="1646" w:type="pct"/>
            <w:noWrap w:val="0"/>
            <w:vAlign w:val="center"/>
          </w:tcPr>
          <w:p w14:paraId="21C28B09">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价格分值</w:t>
            </w:r>
          </w:p>
        </w:tc>
      </w:tr>
      <w:tr w14:paraId="3FD0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10" w:type="pct"/>
            <w:noWrap w:val="0"/>
            <w:vAlign w:val="center"/>
          </w:tcPr>
          <w:p w14:paraId="519034C9">
            <w:pPr>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2843" w:type="pct"/>
            <w:noWrap w:val="0"/>
            <w:vAlign w:val="center"/>
          </w:tcPr>
          <w:p w14:paraId="57B18A19">
            <w:pPr>
              <w:ind w:firstLine="420"/>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物业管理带教服务费用</w:t>
            </w:r>
          </w:p>
        </w:tc>
        <w:tc>
          <w:tcPr>
            <w:tcW w:w="1646" w:type="pct"/>
            <w:noWrap w:val="0"/>
            <w:vAlign w:val="center"/>
          </w:tcPr>
          <w:p w14:paraId="66C02D98">
            <w:pPr>
              <w:ind w:firstLine="42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r>
      <w:tr w14:paraId="084B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10" w:type="pct"/>
            <w:noWrap w:val="0"/>
            <w:vAlign w:val="center"/>
          </w:tcPr>
          <w:p w14:paraId="1B279567">
            <w:pPr>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2843" w:type="pct"/>
            <w:noWrap w:val="0"/>
            <w:vAlign w:val="center"/>
          </w:tcPr>
          <w:p w14:paraId="69854837">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物业管理</w:t>
            </w:r>
            <w:r>
              <w:rPr>
                <w:rFonts w:hint="eastAsia" w:ascii="宋体" w:hAnsi="宋体" w:eastAsia="宋体" w:cs="宋体"/>
                <w:color w:val="auto"/>
                <w:sz w:val="21"/>
                <w:szCs w:val="21"/>
              </w:rPr>
              <w:t>运营</w:t>
            </w:r>
            <w:r>
              <w:rPr>
                <w:rFonts w:hint="eastAsia" w:ascii="宋体" w:hAnsi="宋体" w:eastAsia="宋体" w:cs="宋体"/>
                <w:color w:val="auto"/>
                <w:sz w:val="21"/>
                <w:szCs w:val="21"/>
                <w:lang w:val="en-US" w:eastAsia="zh-CN"/>
              </w:rPr>
              <w:t>服务</w:t>
            </w:r>
            <w:r>
              <w:rPr>
                <w:rFonts w:hint="eastAsia" w:ascii="宋体" w:hAnsi="宋体" w:eastAsia="宋体" w:cs="宋体"/>
                <w:color w:val="auto"/>
                <w:sz w:val="21"/>
                <w:szCs w:val="21"/>
              </w:rPr>
              <w:t>费用最高限额</w:t>
            </w:r>
          </w:p>
        </w:tc>
        <w:tc>
          <w:tcPr>
            <w:tcW w:w="1646" w:type="pct"/>
            <w:noWrap w:val="0"/>
            <w:vAlign w:val="center"/>
          </w:tcPr>
          <w:p w14:paraId="28A75A57">
            <w:pPr>
              <w:ind w:firstLine="42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r>
      <w:tr w14:paraId="44B3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10" w:type="pct"/>
            <w:noWrap w:val="0"/>
            <w:vAlign w:val="center"/>
          </w:tcPr>
          <w:p w14:paraId="2B196BC1">
            <w:pPr>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2843" w:type="pct"/>
            <w:noWrap w:val="0"/>
            <w:vAlign w:val="center"/>
          </w:tcPr>
          <w:p w14:paraId="51A3CFBD">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物业管理运营服务</w:t>
            </w:r>
            <w:r>
              <w:rPr>
                <w:rFonts w:hint="eastAsia" w:ascii="宋体" w:hAnsi="宋体" w:eastAsia="宋体" w:cs="宋体"/>
                <w:color w:val="auto"/>
                <w:sz w:val="21"/>
                <w:szCs w:val="21"/>
              </w:rPr>
              <w:t>人工费用最高限额</w:t>
            </w:r>
          </w:p>
        </w:tc>
        <w:tc>
          <w:tcPr>
            <w:tcW w:w="1646" w:type="pct"/>
            <w:noWrap w:val="0"/>
            <w:vAlign w:val="center"/>
          </w:tcPr>
          <w:p w14:paraId="516A29BA">
            <w:pPr>
              <w:ind w:firstLine="42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bl>
    <w:p w14:paraId="43B4CD0E">
      <w:pPr>
        <w:pStyle w:val="70"/>
        <w:spacing w:line="360" w:lineRule="auto"/>
        <w:ind w:left="0" w:leftChars="0" w:firstLine="0" w:firstLineChars="0"/>
        <w:rPr>
          <w:rFonts w:hint="eastAsia" w:ascii="宋体" w:hAnsi="宋体" w:eastAsia="宋体" w:cs="宋体"/>
          <w:b/>
          <w:color w:val="auto"/>
          <w:sz w:val="21"/>
          <w:szCs w:val="21"/>
          <w:lang w:val="zh-CN"/>
        </w:rPr>
      </w:pPr>
    </w:p>
    <w:p w14:paraId="07E5A97C">
      <w:pPr>
        <w:pStyle w:val="70"/>
        <w:spacing w:line="360" w:lineRule="auto"/>
        <w:ind w:firstLine="843" w:firstLineChars="400"/>
        <w:rPr>
          <w:rFonts w:hint="eastAsia" w:ascii="宋体" w:hAnsi="宋体" w:eastAsia="宋体" w:cs="宋体"/>
          <w:b/>
          <w:bCs/>
          <w:color w:val="auto"/>
          <w:sz w:val="21"/>
          <w:szCs w:val="21"/>
        </w:rPr>
      </w:pPr>
      <w:r>
        <w:rPr>
          <w:rFonts w:hint="eastAsia" w:ascii="宋体" w:hAnsi="宋体" w:eastAsia="宋体" w:cs="宋体"/>
          <w:b/>
          <w:bCs/>
          <w:color w:val="auto"/>
          <w:sz w:val="21"/>
          <w:szCs w:val="21"/>
          <w:lang w:val="zh-CN"/>
        </w:rPr>
        <w:t>①</w:t>
      </w:r>
      <w:r>
        <w:rPr>
          <w:rFonts w:hint="eastAsia" w:ascii="宋体" w:hAnsi="宋体" w:eastAsia="宋体" w:cs="宋体"/>
          <w:b/>
          <w:bCs/>
          <w:color w:val="auto"/>
          <w:sz w:val="21"/>
          <w:szCs w:val="21"/>
          <w:lang w:val="en-US" w:eastAsia="zh-CN"/>
        </w:rPr>
        <w:t>物业管理带教服务费用</w:t>
      </w:r>
      <w:r>
        <w:rPr>
          <w:rFonts w:hint="eastAsia" w:ascii="宋体" w:hAnsi="宋体" w:eastAsia="宋体" w:cs="宋体"/>
          <w:b/>
          <w:bCs/>
          <w:color w:val="auto"/>
          <w:sz w:val="21"/>
          <w:szCs w:val="21"/>
        </w:rPr>
        <w:t>价格得分</w:t>
      </w:r>
    </w:p>
    <w:p w14:paraId="022E3573">
      <w:pPr>
        <w:widowControl/>
        <w:spacing w:line="360" w:lineRule="auto"/>
        <w:ind w:left="420" w:leftChars="200" w:firstLine="420"/>
        <w:rPr>
          <w:rFonts w:hint="eastAsia" w:ascii="宋体" w:hAnsi="宋体" w:eastAsia="宋体" w:cs="宋体"/>
          <w:color w:val="auto"/>
          <w:sz w:val="21"/>
          <w:szCs w:val="21"/>
        </w:rPr>
      </w:pPr>
      <w:r>
        <w:rPr>
          <w:rFonts w:hint="eastAsia" w:ascii="宋体" w:hAnsi="宋体" w:eastAsia="宋体" w:cs="宋体"/>
          <w:color w:val="auto"/>
          <w:sz w:val="21"/>
          <w:szCs w:val="21"/>
        </w:rPr>
        <w:t>A、根据有效投标人的投标报价(</w:t>
      </w:r>
      <w:r>
        <w:rPr>
          <w:rFonts w:hint="eastAsia" w:ascii="宋体" w:hAnsi="宋体" w:eastAsia="宋体" w:cs="宋体"/>
          <w:color w:val="auto"/>
          <w:sz w:val="21"/>
          <w:szCs w:val="21"/>
          <w:lang w:val="en-US" w:eastAsia="zh-CN"/>
        </w:rPr>
        <w:t>物业管理带教服务费用</w:t>
      </w:r>
      <w:r>
        <w:rPr>
          <w:rFonts w:hint="eastAsia" w:ascii="宋体" w:hAnsi="宋体" w:eastAsia="宋体" w:cs="宋体"/>
          <w:color w:val="auto"/>
          <w:sz w:val="21"/>
          <w:szCs w:val="21"/>
        </w:rPr>
        <w:t>)，最低价作为基准价。投标人报价等于基准价的得满分</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分，其它投标人的价格得分统一按照下列公式计算：</w:t>
      </w:r>
    </w:p>
    <w:p w14:paraId="464D1955">
      <w:pPr>
        <w:widowControl/>
        <w:spacing w:line="360" w:lineRule="auto"/>
        <w:ind w:firstLine="840" w:firstLineChars="4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价格得分=(基准价／投标报价)×</w:t>
      </w:r>
      <w:r>
        <w:rPr>
          <w:rFonts w:hint="eastAsia" w:ascii="宋体" w:hAnsi="宋体" w:eastAsia="宋体" w:cs="宋体"/>
          <w:color w:val="auto"/>
          <w:sz w:val="21"/>
          <w:szCs w:val="21"/>
          <w:lang w:val="en-US" w:eastAsia="zh-CN"/>
        </w:rPr>
        <w:t>4</w:t>
      </w:r>
    </w:p>
    <w:p w14:paraId="65A42388">
      <w:pPr>
        <w:widowControl/>
        <w:spacing w:line="360" w:lineRule="auto"/>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rPr>
        <w:t>B、分数出现小数点，保留小数点后2位，从小数点后第3位四舍五入。</w:t>
      </w:r>
    </w:p>
    <w:p w14:paraId="695BA09C">
      <w:pPr>
        <w:pStyle w:val="70"/>
        <w:spacing w:line="360" w:lineRule="auto"/>
        <w:ind w:firstLine="843" w:firstLineChars="400"/>
        <w:rPr>
          <w:rFonts w:hint="eastAsia" w:ascii="宋体" w:hAnsi="宋体" w:eastAsia="宋体" w:cs="宋体"/>
          <w:b/>
          <w:bCs/>
          <w:color w:val="auto"/>
          <w:sz w:val="21"/>
          <w:szCs w:val="21"/>
        </w:rPr>
      </w:pPr>
      <w:r>
        <w:rPr>
          <w:rFonts w:hint="eastAsia" w:ascii="宋体" w:hAnsi="宋体" w:eastAsia="宋体" w:cs="宋体"/>
          <w:b/>
          <w:bCs/>
          <w:color w:val="auto"/>
          <w:sz w:val="21"/>
          <w:szCs w:val="21"/>
          <w:lang w:val="zh-CN"/>
        </w:rPr>
        <w:t>②</w:t>
      </w:r>
      <w:r>
        <w:rPr>
          <w:rFonts w:hint="eastAsia" w:ascii="宋体" w:hAnsi="宋体" w:eastAsia="宋体" w:cs="宋体"/>
          <w:b/>
          <w:bCs/>
          <w:color w:val="auto"/>
          <w:sz w:val="21"/>
          <w:szCs w:val="21"/>
          <w:lang w:val="en-US" w:eastAsia="zh-CN"/>
        </w:rPr>
        <w:t>物业管理</w:t>
      </w:r>
      <w:r>
        <w:rPr>
          <w:rFonts w:hint="eastAsia" w:ascii="宋体" w:hAnsi="宋体" w:eastAsia="宋体" w:cs="宋体"/>
          <w:b/>
          <w:bCs/>
          <w:color w:val="auto"/>
          <w:sz w:val="21"/>
          <w:szCs w:val="21"/>
        </w:rPr>
        <w:t>运营</w:t>
      </w:r>
      <w:r>
        <w:rPr>
          <w:rFonts w:hint="eastAsia" w:ascii="宋体" w:hAnsi="宋体" w:eastAsia="宋体" w:cs="宋体"/>
          <w:b/>
          <w:bCs/>
          <w:color w:val="auto"/>
          <w:sz w:val="21"/>
          <w:szCs w:val="21"/>
          <w:lang w:val="en-US" w:eastAsia="zh-CN"/>
        </w:rPr>
        <w:t>服务</w:t>
      </w:r>
      <w:r>
        <w:rPr>
          <w:rFonts w:hint="eastAsia" w:ascii="宋体" w:hAnsi="宋体" w:eastAsia="宋体" w:cs="宋体"/>
          <w:b/>
          <w:bCs/>
          <w:color w:val="auto"/>
          <w:sz w:val="21"/>
          <w:szCs w:val="21"/>
        </w:rPr>
        <w:t>费用最高限额价格得分</w:t>
      </w:r>
    </w:p>
    <w:p w14:paraId="3B229518">
      <w:pPr>
        <w:widowControl/>
        <w:spacing w:line="360" w:lineRule="auto"/>
        <w:ind w:left="420" w:leftChars="200" w:firstLine="420"/>
        <w:rPr>
          <w:rFonts w:hint="eastAsia" w:ascii="宋体" w:hAnsi="宋体" w:eastAsia="宋体" w:cs="宋体"/>
          <w:color w:val="auto"/>
          <w:sz w:val="21"/>
          <w:szCs w:val="21"/>
        </w:rPr>
      </w:pPr>
      <w:r>
        <w:rPr>
          <w:rFonts w:hint="eastAsia" w:ascii="宋体" w:hAnsi="宋体" w:eastAsia="宋体" w:cs="宋体"/>
          <w:color w:val="auto"/>
          <w:sz w:val="21"/>
          <w:szCs w:val="21"/>
        </w:rPr>
        <w:t>A、根据有效投标人的投标报价（</w:t>
      </w:r>
      <w:r>
        <w:rPr>
          <w:rFonts w:hint="eastAsia" w:ascii="宋体" w:hAnsi="宋体" w:eastAsia="宋体" w:cs="宋体"/>
          <w:color w:val="auto"/>
          <w:sz w:val="21"/>
          <w:szCs w:val="21"/>
          <w:lang w:val="en-US" w:eastAsia="zh-CN"/>
        </w:rPr>
        <w:t>物业管理</w:t>
      </w:r>
      <w:r>
        <w:rPr>
          <w:rFonts w:hint="eastAsia" w:ascii="宋体" w:hAnsi="宋体" w:eastAsia="宋体" w:cs="宋体"/>
          <w:color w:val="auto"/>
          <w:sz w:val="21"/>
          <w:szCs w:val="21"/>
        </w:rPr>
        <w:t>运营</w:t>
      </w:r>
      <w:r>
        <w:rPr>
          <w:rFonts w:hint="eastAsia" w:ascii="宋体" w:hAnsi="宋体" w:eastAsia="宋体" w:cs="宋体"/>
          <w:color w:val="auto"/>
          <w:sz w:val="21"/>
          <w:szCs w:val="21"/>
          <w:lang w:val="en-US" w:eastAsia="zh-CN"/>
        </w:rPr>
        <w:t>服务</w:t>
      </w:r>
      <w:r>
        <w:rPr>
          <w:rFonts w:hint="eastAsia" w:ascii="宋体" w:hAnsi="宋体" w:eastAsia="宋体" w:cs="宋体"/>
          <w:color w:val="auto"/>
          <w:sz w:val="21"/>
          <w:szCs w:val="21"/>
        </w:rPr>
        <w:t>费用最高限额），最低价作为基准价。投标人报价等于基准价的得满分</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分，其它投标人的价格得分统一按照下列公式计算：</w:t>
      </w:r>
    </w:p>
    <w:p w14:paraId="52BDE349">
      <w:pPr>
        <w:widowControl/>
        <w:spacing w:line="360" w:lineRule="auto"/>
        <w:ind w:firstLine="840" w:firstLineChars="4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价格得分=(基准价／投标报价)×</w:t>
      </w:r>
      <w:r>
        <w:rPr>
          <w:rFonts w:hint="eastAsia" w:ascii="宋体" w:hAnsi="宋体" w:eastAsia="宋体" w:cs="宋体"/>
          <w:color w:val="auto"/>
          <w:sz w:val="21"/>
          <w:szCs w:val="21"/>
          <w:lang w:val="en-US" w:eastAsia="zh-CN"/>
        </w:rPr>
        <w:t>6</w:t>
      </w:r>
    </w:p>
    <w:p w14:paraId="3777ED7A">
      <w:pPr>
        <w:widowControl/>
        <w:spacing w:line="360" w:lineRule="auto"/>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rPr>
        <w:t>B、分数出现小数点，保留小数点后2位，从小数点后第3位四舍五入。</w:t>
      </w:r>
    </w:p>
    <w:p w14:paraId="1D1D3834">
      <w:pPr>
        <w:pStyle w:val="70"/>
        <w:spacing w:line="360" w:lineRule="auto"/>
        <w:ind w:firstLine="843" w:firstLineChars="400"/>
        <w:rPr>
          <w:rFonts w:hint="eastAsia" w:ascii="宋体" w:hAnsi="宋体" w:eastAsia="宋体" w:cs="宋体"/>
          <w:b/>
          <w:bCs/>
          <w:color w:val="auto"/>
          <w:sz w:val="21"/>
          <w:szCs w:val="21"/>
        </w:rPr>
      </w:pPr>
      <w:r>
        <w:rPr>
          <w:rFonts w:hint="eastAsia" w:ascii="宋体" w:hAnsi="宋体" w:eastAsia="宋体" w:cs="宋体"/>
          <w:b/>
          <w:bCs/>
          <w:color w:val="auto"/>
          <w:sz w:val="21"/>
          <w:szCs w:val="21"/>
          <w:lang w:val="zh-CN"/>
        </w:rPr>
        <w:t>③</w:t>
      </w:r>
      <w:r>
        <w:rPr>
          <w:rFonts w:hint="eastAsia" w:ascii="宋体" w:hAnsi="宋体" w:eastAsia="宋体" w:cs="宋体"/>
          <w:b/>
          <w:bCs/>
          <w:color w:val="auto"/>
          <w:sz w:val="21"/>
          <w:szCs w:val="21"/>
          <w:lang w:val="en-US" w:eastAsia="zh-CN"/>
        </w:rPr>
        <w:t>物业管理运营服务</w:t>
      </w:r>
      <w:r>
        <w:rPr>
          <w:rFonts w:hint="eastAsia" w:ascii="宋体" w:hAnsi="宋体" w:eastAsia="宋体" w:cs="宋体"/>
          <w:b/>
          <w:bCs/>
          <w:color w:val="auto"/>
          <w:sz w:val="21"/>
          <w:szCs w:val="21"/>
        </w:rPr>
        <w:t>人工费用最高限额价格得分</w:t>
      </w:r>
    </w:p>
    <w:p w14:paraId="2BE1AD8C">
      <w:pPr>
        <w:widowControl/>
        <w:spacing w:line="360" w:lineRule="auto"/>
        <w:ind w:left="420" w:leftChars="200" w:firstLine="420"/>
        <w:rPr>
          <w:rFonts w:hint="eastAsia" w:ascii="宋体" w:hAnsi="宋体" w:eastAsia="宋体" w:cs="宋体"/>
          <w:color w:val="auto"/>
          <w:sz w:val="21"/>
          <w:szCs w:val="21"/>
        </w:rPr>
      </w:pPr>
      <w:r>
        <w:rPr>
          <w:rFonts w:hint="eastAsia" w:ascii="宋体" w:hAnsi="宋体" w:eastAsia="宋体" w:cs="宋体"/>
          <w:color w:val="auto"/>
          <w:sz w:val="21"/>
          <w:szCs w:val="21"/>
        </w:rPr>
        <w:t>A、根据有效投标人的投标报价（</w:t>
      </w:r>
      <w:r>
        <w:rPr>
          <w:rFonts w:hint="eastAsia" w:ascii="宋体" w:hAnsi="宋体" w:eastAsia="宋体" w:cs="宋体"/>
          <w:color w:val="auto"/>
          <w:sz w:val="21"/>
          <w:szCs w:val="21"/>
          <w:lang w:val="en-US" w:eastAsia="zh-CN"/>
        </w:rPr>
        <w:t>物业管理</w:t>
      </w:r>
      <w:r>
        <w:rPr>
          <w:rFonts w:hint="eastAsia" w:ascii="宋体" w:hAnsi="宋体" w:eastAsia="宋体" w:cs="宋体"/>
          <w:color w:val="auto"/>
          <w:sz w:val="21"/>
          <w:szCs w:val="21"/>
        </w:rPr>
        <w:t>运营</w:t>
      </w:r>
      <w:r>
        <w:rPr>
          <w:rFonts w:hint="eastAsia" w:ascii="宋体" w:hAnsi="宋体" w:eastAsia="宋体" w:cs="宋体"/>
          <w:color w:val="auto"/>
          <w:sz w:val="21"/>
          <w:szCs w:val="21"/>
          <w:lang w:val="en-US" w:eastAsia="zh-CN"/>
        </w:rPr>
        <w:t>服务</w:t>
      </w:r>
      <w:r>
        <w:rPr>
          <w:rFonts w:hint="eastAsia" w:ascii="宋体" w:hAnsi="宋体" w:eastAsia="宋体" w:cs="宋体"/>
          <w:color w:val="auto"/>
          <w:sz w:val="21"/>
          <w:szCs w:val="21"/>
        </w:rPr>
        <w:t>人工费用最高限额），最低价作为基准价。投标人报价等于基准价的得满分</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分，其它投标人的价格得分统一按照下列公式计算：</w:t>
      </w:r>
    </w:p>
    <w:p w14:paraId="15A6ABDC">
      <w:pPr>
        <w:widowControl/>
        <w:spacing w:line="360" w:lineRule="auto"/>
        <w:ind w:firstLine="840" w:firstLineChars="4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价格得分=(基准价／投标报价)×</w:t>
      </w:r>
      <w:r>
        <w:rPr>
          <w:rFonts w:hint="eastAsia" w:ascii="宋体" w:hAnsi="宋体" w:eastAsia="宋体" w:cs="宋体"/>
          <w:color w:val="auto"/>
          <w:sz w:val="21"/>
          <w:szCs w:val="21"/>
          <w:lang w:val="en-US" w:eastAsia="zh-CN"/>
        </w:rPr>
        <w:t>10</w:t>
      </w:r>
    </w:p>
    <w:p w14:paraId="6063BBB7">
      <w:pPr>
        <w:widowControl/>
        <w:spacing w:line="360" w:lineRule="auto"/>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rPr>
        <w:t>B、分数出现小数点，保留小数点后2位，从小数点后第3位四舍五入。</w:t>
      </w:r>
    </w:p>
    <w:p w14:paraId="12F08BEC">
      <w:pPr>
        <w:pStyle w:val="51"/>
        <w:spacing w:line="360" w:lineRule="auto"/>
        <w:ind w:left="840" w:leftChars="400" w:firstLine="422"/>
        <w:jc w:val="left"/>
        <w:rPr>
          <w:rFonts w:hint="eastAsia" w:ascii="宋体" w:hAnsi="宋体" w:cs="宋体"/>
          <w:b w:val="0"/>
          <w:color w:val="auto"/>
        </w:rPr>
      </w:pPr>
      <w:r>
        <w:rPr>
          <w:rFonts w:hint="eastAsia" w:ascii="宋体" w:hAnsi="宋体" w:eastAsia="宋体" w:cs="宋体"/>
          <w:bCs/>
          <w:color w:val="auto"/>
          <w:sz w:val="21"/>
          <w:szCs w:val="21"/>
          <w:u w:val="single"/>
        </w:rPr>
        <w:t>所有有效投标人的</w:t>
      </w:r>
      <w:r>
        <w:rPr>
          <w:rFonts w:hint="eastAsia" w:ascii="宋体" w:hAnsi="宋体" w:eastAsia="宋体" w:cs="宋体"/>
          <w:bCs/>
          <w:color w:val="auto"/>
          <w:sz w:val="21"/>
          <w:szCs w:val="21"/>
          <w:u w:val="single"/>
          <w:lang w:val="en-US" w:eastAsia="zh-CN"/>
        </w:rPr>
        <w:t>物业管理带教服务费用</w:t>
      </w:r>
      <w:r>
        <w:rPr>
          <w:rFonts w:hint="eastAsia" w:ascii="宋体" w:hAnsi="宋体" w:eastAsia="宋体" w:cs="宋体"/>
          <w:bCs/>
          <w:color w:val="auto"/>
          <w:sz w:val="21"/>
          <w:szCs w:val="21"/>
          <w:u w:val="single"/>
        </w:rPr>
        <w:t>、</w:t>
      </w:r>
      <w:r>
        <w:rPr>
          <w:rFonts w:hint="eastAsia" w:ascii="宋体" w:hAnsi="宋体" w:eastAsia="宋体" w:cs="宋体"/>
          <w:bCs/>
          <w:color w:val="auto"/>
          <w:sz w:val="21"/>
          <w:szCs w:val="21"/>
          <w:u w:val="single"/>
          <w:lang w:val="en-US" w:eastAsia="zh-CN"/>
        </w:rPr>
        <w:t>物业管理</w:t>
      </w:r>
      <w:r>
        <w:rPr>
          <w:rFonts w:hint="eastAsia" w:ascii="宋体" w:hAnsi="宋体" w:eastAsia="宋体" w:cs="宋体"/>
          <w:bCs/>
          <w:color w:val="auto"/>
          <w:sz w:val="21"/>
          <w:szCs w:val="21"/>
          <w:u w:val="single"/>
        </w:rPr>
        <w:t>运营</w:t>
      </w:r>
      <w:r>
        <w:rPr>
          <w:rFonts w:hint="eastAsia" w:ascii="宋体" w:hAnsi="宋体" w:eastAsia="宋体" w:cs="宋体"/>
          <w:bCs/>
          <w:color w:val="auto"/>
          <w:sz w:val="21"/>
          <w:szCs w:val="21"/>
          <w:u w:val="single"/>
          <w:lang w:val="en-US" w:eastAsia="zh-CN"/>
        </w:rPr>
        <w:t>服务</w:t>
      </w:r>
      <w:r>
        <w:rPr>
          <w:rFonts w:hint="eastAsia" w:ascii="宋体" w:hAnsi="宋体" w:eastAsia="宋体" w:cs="宋体"/>
          <w:bCs/>
          <w:color w:val="auto"/>
          <w:sz w:val="21"/>
          <w:szCs w:val="21"/>
          <w:u w:val="single"/>
        </w:rPr>
        <w:t>费用最高限额、</w:t>
      </w:r>
      <w:r>
        <w:rPr>
          <w:rFonts w:hint="eastAsia" w:ascii="宋体" w:hAnsi="宋体" w:eastAsia="宋体" w:cs="宋体"/>
          <w:bCs/>
          <w:color w:val="auto"/>
          <w:sz w:val="21"/>
          <w:szCs w:val="21"/>
          <w:u w:val="single"/>
          <w:lang w:val="en-US" w:eastAsia="zh-CN"/>
        </w:rPr>
        <w:t>物业管理运营服务</w:t>
      </w:r>
      <w:r>
        <w:rPr>
          <w:rFonts w:hint="eastAsia" w:ascii="宋体" w:hAnsi="宋体" w:eastAsia="宋体" w:cs="宋体"/>
          <w:bCs/>
          <w:color w:val="auto"/>
          <w:sz w:val="21"/>
          <w:szCs w:val="21"/>
          <w:u w:val="single"/>
        </w:rPr>
        <w:t>人工费用最高限额的价格得分汇总求和后，以汇总求和的分值作为投标人最终的价格得分</w:t>
      </w:r>
      <w:r>
        <w:rPr>
          <w:rFonts w:hint="eastAsia" w:ascii="宋体" w:hAnsi="宋体" w:eastAsia="宋体" w:cs="宋体"/>
          <w:b w:val="0"/>
          <w:color w:val="auto"/>
          <w:sz w:val="21"/>
          <w:szCs w:val="21"/>
        </w:rPr>
        <w:t>。</w:t>
      </w:r>
    </w:p>
    <w:p w14:paraId="6A22DB16">
      <w:pPr>
        <w:tabs>
          <w:tab w:val="left" w:pos="585"/>
        </w:tabs>
        <w:autoSpaceDE w:val="0"/>
        <w:autoSpaceDN w:val="0"/>
        <w:adjustRightInd w:val="0"/>
        <w:spacing w:line="400" w:lineRule="exac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2070C011">
      <w:pPr>
        <w:spacing w:line="400" w:lineRule="exact"/>
        <w:ind w:firstLine="848" w:firstLineChars="404"/>
        <w:rPr>
          <w:rFonts w:hint="eastAsia" w:ascii="宋体" w:hAnsi="宋体" w:eastAsia="宋体" w:cs="宋体"/>
          <w:color w:val="auto"/>
          <w:kern w:val="0"/>
          <w:szCs w:val="28"/>
          <w:highlight w:val="none"/>
          <w:lang w:val="zh-CN"/>
        </w:rPr>
      </w:pPr>
      <w:bookmarkStart w:id="1039" w:name="_Toc31624_WPSOffice_Level2"/>
      <w:r>
        <w:rPr>
          <w:rFonts w:hint="eastAsia" w:ascii="宋体" w:hAnsi="宋体" w:eastAsia="宋体" w:cs="宋体"/>
          <w:color w:val="auto"/>
          <w:kern w:val="0"/>
          <w:szCs w:val="28"/>
          <w:highlight w:val="none"/>
          <w:lang w:val="zh-CN"/>
        </w:rPr>
        <w:t>评标总得分=F1＋F2＋……+Fn</w:t>
      </w:r>
      <w:bookmarkEnd w:id="1039"/>
    </w:p>
    <w:p w14:paraId="2A2D1223">
      <w:pPr>
        <w:widowControl/>
        <w:autoSpaceDE w:val="0"/>
        <w:autoSpaceDN w:val="0"/>
        <w:adjustRightInd w:val="0"/>
        <w:spacing w:line="400" w:lineRule="exact"/>
        <w:ind w:firstLine="840" w:firstLineChars="400"/>
        <w:jc w:val="left"/>
        <w:rPr>
          <w:rFonts w:hint="eastAsia" w:ascii="宋体" w:hAnsi="宋体" w:eastAsia="宋体" w:cs="宋体"/>
          <w:color w:val="auto"/>
          <w:kern w:val="0"/>
          <w:szCs w:val="21"/>
          <w:highlight w:val="none"/>
        </w:rPr>
      </w:pPr>
      <w:bookmarkStart w:id="1040" w:name="_Toc13236_WPSOffice_Level2"/>
      <w:r>
        <w:rPr>
          <w:rFonts w:hint="eastAsia" w:ascii="宋体" w:hAnsi="宋体" w:eastAsia="宋体" w:cs="宋体"/>
          <w:color w:val="auto"/>
          <w:kern w:val="0"/>
          <w:szCs w:val="21"/>
          <w:highlight w:val="none"/>
        </w:rPr>
        <w:t>F1、F2、……Fn分别为各项评分因素的得分</w:t>
      </w:r>
      <w:bookmarkEnd w:id="1040"/>
      <w:r>
        <w:rPr>
          <w:rFonts w:hint="eastAsia" w:ascii="宋体" w:hAnsi="宋体" w:eastAsia="宋体" w:cs="宋体"/>
          <w:color w:val="auto"/>
          <w:kern w:val="0"/>
          <w:szCs w:val="21"/>
          <w:highlight w:val="none"/>
        </w:rPr>
        <w:t>。</w:t>
      </w:r>
    </w:p>
    <w:p w14:paraId="568AF5D3">
      <w:pPr>
        <w:autoSpaceDE w:val="0"/>
        <w:autoSpaceDN w:val="0"/>
        <w:adjustRightInd w:val="0"/>
        <w:spacing w:line="360" w:lineRule="auto"/>
        <w:ind w:left="564" w:leftChars="1" w:hanging="562" w:hangingChars="200"/>
        <w:rPr>
          <w:rFonts w:hint="eastAsia" w:ascii="宋体" w:hAnsi="宋体" w:eastAsia="宋体" w:cs="宋体"/>
          <w:b/>
          <w:bCs/>
          <w:color w:val="auto"/>
          <w:sz w:val="28"/>
          <w:szCs w:val="28"/>
          <w:highlight w:val="none"/>
        </w:rPr>
      </w:pPr>
    </w:p>
    <w:p w14:paraId="3A5FB04F">
      <w:pPr>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1041" w:name="_Toc518_WPSOffice_Level1"/>
      <w:r>
        <w:rPr>
          <w:rFonts w:hint="eastAsia" w:ascii="宋体" w:hAnsi="宋体" w:eastAsia="宋体" w:cs="宋体"/>
          <w:b/>
          <w:bCs/>
          <w:color w:val="auto"/>
          <w:sz w:val="28"/>
          <w:szCs w:val="28"/>
          <w:highlight w:val="none"/>
          <w:lang w:val="zh-CN"/>
        </w:rPr>
        <w:t>五、推荐中标人</w:t>
      </w:r>
      <w:bookmarkEnd w:id="1041"/>
    </w:p>
    <w:p w14:paraId="06B276BC">
      <w:pPr>
        <w:autoSpaceDE w:val="0"/>
        <w:autoSpaceDN w:val="0"/>
        <w:adjustRightInd w:val="0"/>
        <w:spacing w:line="360" w:lineRule="auto"/>
        <w:ind w:left="420" w:hanging="420" w:hanging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r>
        <w:rPr>
          <w:rFonts w:hint="eastAsia" w:ascii="宋体" w:hAnsi="宋体" w:eastAsia="宋体" w:cs="宋体"/>
          <w:color w:val="auto"/>
          <w:szCs w:val="24"/>
          <w:highlight w:val="none"/>
          <w:lang w:val="zh-CN"/>
        </w:rPr>
        <w:t>评标委员会按评审后得分由高到低顺序排列</w:t>
      </w:r>
      <w:r>
        <w:rPr>
          <w:rFonts w:hint="eastAsia" w:ascii="宋体" w:hAnsi="宋体" w:eastAsia="宋体" w:cs="宋体"/>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6501E655">
      <w:pPr>
        <w:autoSpaceDE w:val="0"/>
        <w:autoSpaceDN w:val="0"/>
        <w:adjustRightInd w:val="0"/>
        <w:spacing w:line="360" w:lineRule="auto"/>
        <w:ind w:left="420" w:leftChars="200" w:firstLine="420" w:firstLineChars="200"/>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1"/>
          <w:highlight w:val="none"/>
        </w:rPr>
        <w:t>如果有两个或以上的投标人的最后综合得分相同，则在最后综合得分相同的投标人中按投标报价</w:t>
      </w:r>
      <w:r>
        <w:rPr>
          <w:rFonts w:hint="eastAsia" w:ascii="宋体" w:hAnsi="宋体" w:eastAsia="宋体" w:cs="宋体"/>
          <w:color w:val="auto"/>
          <w:kern w:val="0"/>
          <w:szCs w:val="21"/>
          <w:highlight w:val="none"/>
          <w:lang w:val="zh-CN"/>
        </w:rPr>
        <w:t>由低到高顺序排出次序，报价低的排前，报价高的排后。</w:t>
      </w:r>
      <w:r>
        <w:rPr>
          <w:rFonts w:hint="eastAsia" w:ascii="宋体" w:hAnsi="宋体" w:eastAsia="宋体" w:cs="宋体"/>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61615120">
      <w:pPr>
        <w:widowControl/>
        <w:spacing w:line="360" w:lineRule="auto"/>
        <w:jc w:val="left"/>
        <w:rPr>
          <w:rFonts w:hint="eastAsia" w:ascii="宋体" w:hAnsi="宋体" w:eastAsia="宋体" w:cs="宋体"/>
          <w:color w:val="auto"/>
          <w:kern w:val="0"/>
          <w:szCs w:val="21"/>
          <w:highlight w:val="none"/>
        </w:rPr>
      </w:pPr>
    </w:p>
    <w:p w14:paraId="034C4FB9">
      <w:pPr>
        <w:autoSpaceDE w:val="0"/>
        <w:autoSpaceDN w:val="0"/>
        <w:adjustRightInd w:val="0"/>
        <w:spacing w:line="360" w:lineRule="auto"/>
        <w:ind w:left="185" w:leftChars="88" w:firstLine="3443" w:firstLineChars="1225"/>
        <w:rPr>
          <w:rFonts w:hint="eastAsia" w:ascii="宋体" w:hAnsi="宋体" w:eastAsia="宋体" w:cs="宋体"/>
          <w:b/>
          <w:bCs/>
          <w:color w:val="auto"/>
          <w:sz w:val="28"/>
          <w:szCs w:val="28"/>
          <w:highlight w:val="none"/>
          <w:lang w:val="zh-CN"/>
        </w:rPr>
      </w:pPr>
      <w:bookmarkStart w:id="1042" w:name="_Toc22724_WPSOffice_Level1"/>
      <w:r>
        <w:rPr>
          <w:rFonts w:hint="eastAsia" w:ascii="宋体" w:hAnsi="宋体" w:eastAsia="宋体" w:cs="宋体"/>
          <w:b/>
          <w:bCs/>
          <w:color w:val="auto"/>
          <w:sz w:val="28"/>
          <w:szCs w:val="28"/>
          <w:highlight w:val="none"/>
          <w:lang w:val="zh-CN"/>
        </w:rPr>
        <w:t>六、编写评标报告</w:t>
      </w:r>
      <w:bookmarkEnd w:id="1042"/>
    </w:p>
    <w:p w14:paraId="37345B6F">
      <w:pPr>
        <w:autoSpaceDE w:val="0"/>
        <w:autoSpaceDN w:val="0"/>
        <w:adjustRightInd w:val="0"/>
        <w:spacing w:line="360" w:lineRule="auto"/>
        <w:ind w:left="420" w:hanging="420" w:hangingChars="200"/>
        <w:jc w:val="left"/>
        <w:rPr>
          <w:rFonts w:hint="eastAsia"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14、评标委员会根据评审结果撰写评标报告。评标报告是评标委员会根据全体评标委员会成员签字的原始评审记录和评审结果编写的报告，其主要内容包括：</w:t>
      </w:r>
    </w:p>
    <w:p w14:paraId="1E63A58B">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1FEEDA4F">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3F0C620D">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02A22F58">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499760E5">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75DDA27E">
      <w:pPr>
        <w:autoSpaceDE w:val="0"/>
        <w:autoSpaceDN w:val="0"/>
        <w:adjustRightInd w:val="0"/>
        <w:spacing w:line="360" w:lineRule="auto"/>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1B14C59B">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71C559C9">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1043" w:name="_Toc23773_WPSOffice_Level1"/>
      <w:r>
        <w:rPr>
          <w:rFonts w:hint="eastAsia" w:ascii="宋体" w:hAnsi="宋体" w:eastAsia="宋体" w:cs="宋体"/>
          <w:b/>
          <w:bCs/>
          <w:color w:val="auto"/>
          <w:sz w:val="28"/>
          <w:szCs w:val="28"/>
          <w:highlight w:val="none"/>
          <w:lang w:val="zh-CN"/>
        </w:rPr>
        <w:t>七、注意事项</w:t>
      </w:r>
      <w:bookmarkEnd w:id="1043"/>
    </w:p>
    <w:p w14:paraId="61D8556E">
      <w:pPr>
        <w:autoSpaceDE w:val="0"/>
        <w:autoSpaceDN w:val="0"/>
        <w:adjustRightInd w:val="0"/>
        <w:spacing w:line="360" w:lineRule="auto"/>
        <w:ind w:left="420" w:hanging="420" w:hanging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15、为确保评审工作的顺利进行，防止因泄密或其它意外而造成的不良后果及影响，凡参加评审工作的人员都必须认真执行本规定：</w:t>
      </w:r>
    </w:p>
    <w:p w14:paraId="5D0AB107">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5B5BC8EF">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3E398B6B">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734806BB">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4557D148">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996"/>
      <w:bookmarkEnd w:id="1016"/>
      <w:bookmarkEnd w:id="1017"/>
      <w:bookmarkEnd w:id="1018"/>
    </w:p>
    <w:p w14:paraId="1EF242FA">
      <w:pPr>
        <w:rPr>
          <w:color w:val="auto"/>
        </w:rPr>
      </w:pPr>
    </w:p>
    <w:p w14:paraId="525361FD">
      <w:pPr>
        <w:rPr>
          <w:color w:val="auto"/>
        </w:rPr>
      </w:pPr>
    </w:p>
    <w:p w14:paraId="212198ED">
      <w:pPr>
        <w:rPr>
          <w:color w:val="auto"/>
        </w:rPr>
      </w:pPr>
    </w:p>
    <w:sectPr>
      <w:footerReference r:id="rId21" w:type="default"/>
      <w:pgSz w:w="12240" w:h="15840"/>
      <w:pgMar w:top="1191" w:right="1737" w:bottom="1191" w:left="1043" w:header="720" w:footer="720"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FrutigerNext LT Light">
    <w:altName w:val="宋体"/>
    <w:panose1 w:val="00000000000000000000"/>
    <w:charset w:val="86"/>
    <w:family w:val="swiss"/>
    <w:pitch w:val="default"/>
    <w:sig w:usb0="00000000" w:usb1="00000000" w:usb2="00000010" w:usb3="00000000" w:csb0="00040001" w:csb1="00000000"/>
  </w:font>
  <w:font w:name="Source Han Sans CN">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8BDB4">
    <w:pPr>
      <w:pStyle w:val="2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A1B1B">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9BA1B1B">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4550D">
    <w:pPr>
      <w:pStyle w:val="29"/>
      <w:jc w:val="cente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362F30">
                          <w:pPr>
                            <w:pStyle w:val="29"/>
                          </w:pPr>
                          <w:r>
                            <w:t xml:space="preserve">第 </w:t>
                          </w:r>
                          <w:r>
                            <w:fldChar w:fldCharType="begin"/>
                          </w:r>
                          <w:r>
                            <w:instrText xml:space="preserve"> PAGE  \* MERGEFORMAT </w:instrText>
                          </w:r>
                          <w:r>
                            <w:fldChar w:fldCharType="separate"/>
                          </w:r>
                          <w:r>
                            <w:t>123</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15362F30">
                    <w:pPr>
                      <w:pStyle w:val="29"/>
                    </w:pPr>
                    <w:r>
                      <w:t xml:space="preserve">第 </w:t>
                    </w:r>
                    <w:r>
                      <w:fldChar w:fldCharType="begin"/>
                    </w:r>
                    <w:r>
                      <w:instrText xml:space="preserve"> PAGE  \* MERGEFORMAT </w:instrText>
                    </w:r>
                    <w:r>
                      <w:fldChar w:fldCharType="separate"/>
                    </w:r>
                    <w:r>
                      <w:t>123</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v:textbox>
            </v:shape>
          </w:pict>
        </mc:Fallback>
      </mc:AlternateContent>
    </w:r>
  </w:p>
  <w:p w14:paraId="427FE320">
    <w:pPr>
      <w:pStyle w:val="2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48E41">
    <w:pPr>
      <w:spacing w:line="175" w:lineRule="auto"/>
      <w:ind w:left="444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4A9F9">
                          <w:pPr>
                            <w:pStyle w:val="29"/>
                          </w:pPr>
                          <w:r>
                            <w:t xml:space="preserve">第 </w:t>
                          </w:r>
                          <w:r>
                            <w:fldChar w:fldCharType="begin"/>
                          </w:r>
                          <w:r>
                            <w:instrText xml:space="preserve"> PAGE  \* MERGEFORMAT </w:instrText>
                          </w:r>
                          <w:r>
                            <w:fldChar w:fldCharType="separate"/>
                          </w:r>
                          <w:r>
                            <w:t>127</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0B4A9F9">
                    <w:pPr>
                      <w:pStyle w:val="29"/>
                    </w:pPr>
                    <w:r>
                      <w:t xml:space="preserve">第 </w:t>
                    </w:r>
                    <w:r>
                      <w:fldChar w:fldCharType="begin"/>
                    </w:r>
                    <w:r>
                      <w:instrText xml:space="preserve"> PAGE  \* MERGEFORMAT </w:instrText>
                    </w:r>
                    <w:r>
                      <w:fldChar w:fldCharType="separate"/>
                    </w:r>
                    <w:r>
                      <w:t>127</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20628">
    <w:pPr>
      <w:tabs>
        <w:tab w:val="left" w:pos="6469"/>
      </w:tabs>
      <w:spacing w:line="175" w:lineRule="auto"/>
      <w:ind w:left="4700"/>
      <w:rPr>
        <w:rFonts w:hint="eastAsia" w:ascii="Times New Roman" w:hAnsi="Times New Roman" w:eastAsia="宋体" w:cs="Times New Roman"/>
        <w:sz w:val="16"/>
        <w:szCs w:val="16"/>
        <w:lang w:eastAsia="zh-CN"/>
      </w:rPr>
    </w:pPr>
    <w:r>
      <w:rPr>
        <w:sz w:val="16"/>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17A0D">
                          <w:pPr>
                            <w:pStyle w:val="29"/>
                          </w:pPr>
                          <w:r>
                            <w:t xml:space="preserve">第 </w:t>
                          </w:r>
                          <w:r>
                            <w:fldChar w:fldCharType="begin"/>
                          </w:r>
                          <w:r>
                            <w:instrText xml:space="preserve"> PAGE  \* MERGEFORMAT </w:instrText>
                          </w:r>
                          <w:r>
                            <w:fldChar w:fldCharType="separate"/>
                          </w:r>
                          <w:r>
                            <w:t>134</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0C17A0D">
                    <w:pPr>
                      <w:pStyle w:val="29"/>
                    </w:pPr>
                    <w:r>
                      <w:t xml:space="preserve">第 </w:t>
                    </w:r>
                    <w:r>
                      <w:fldChar w:fldCharType="begin"/>
                    </w:r>
                    <w:r>
                      <w:instrText xml:space="preserve"> PAGE  \* MERGEFORMAT </w:instrText>
                    </w:r>
                    <w:r>
                      <w:fldChar w:fldCharType="separate"/>
                    </w:r>
                    <w:r>
                      <w:t>134</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v:textbox>
            </v:shape>
          </w:pict>
        </mc:Fallback>
      </mc:AlternateContent>
    </w:r>
    <w:r>
      <w:rPr>
        <w:rFonts w:hint="eastAsia" w:ascii="Times New Roman" w:hAnsi="Times New Roman" w:eastAsia="宋体" w:cs="Times New Roman"/>
        <w:spacing w:val="-5"/>
        <w:sz w:val="16"/>
        <w:szCs w:val="16"/>
        <w:lang w:eastAsia="zh-CN"/>
      </w:rP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F68BF">
    <w:pPr>
      <w:tabs>
        <w:tab w:val="left" w:pos="6469"/>
      </w:tabs>
      <w:spacing w:line="175" w:lineRule="auto"/>
      <w:ind w:left="4700"/>
      <w:rPr>
        <w:rFonts w:hint="eastAsia" w:ascii="Times New Roman" w:hAnsi="Times New Roman" w:eastAsia="宋体" w:cs="Times New Roman"/>
        <w:sz w:val="16"/>
        <w:szCs w:val="16"/>
        <w:lang w:eastAsia="zh-CN"/>
      </w:rPr>
    </w:pPr>
    <w:r>
      <w:rPr>
        <w:sz w:val="16"/>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54903">
                          <w:pPr>
                            <w:pStyle w:val="29"/>
                          </w:pPr>
                          <w:r>
                            <w:t xml:space="preserve">第 </w:t>
                          </w:r>
                          <w:r>
                            <w:fldChar w:fldCharType="begin"/>
                          </w:r>
                          <w:r>
                            <w:instrText xml:space="preserve"> PAGE  \* MERGEFORMAT </w:instrText>
                          </w:r>
                          <w:r>
                            <w:fldChar w:fldCharType="separate"/>
                          </w:r>
                          <w:r>
                            <w:t>137</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1854903">
                    <w:pPr>
                      <w:pStyle w:val="29"/>
                    </w:pPr>
                    <w:r>
                      <w:t xml:space="preserve">第 </w:t>
                    </w:r>
                    <w:r>
                      <w:fldChar w:fldCharType="begin"/>
                    </w:r>
                    <w:r>
                      <w:instrText xml:space="preserve"> PAGE  \* MERGEFORMAT </w:instrText>
                    </w:r>
                    <w:r>
                      <w:fldChar w:fldCharType="separate"/>
                    </w:r>
                    <w:r>
                      <w:t>137</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E460E">
    <w:pPr>
      <w:spacing w:line="175" w:lineRule="auto"/>
      <w:ind w:left="4700"/>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CB7CE">
                          <w:pPr>
                            <w:pStyle w:val="29"/>
                          </w:pPr>
                          <w:r>
                            <w:t xml:space="preserve">第 </w:t>
                          </w:r>
                          <w:r>
                            <w:fldChar w:fldCharType="begin"/>
                          </w:r>
                          <w:r>
                            <w:instrText xml:space="preserve"> PAGE  \* MERGEFORMAT </w:instrText>
                          </w:r>
                          <w:r>
                            <w:fldChar w:fldCharType="separate"/>
                          </w:r>
                          <w:r>
                            <w:t>142</w:t>
                          </w:r>
                          <w:r>
                            <w:fldChar w:fldCharType="end"/>
                          </w:r>
                          <w:r>
                            <w:t xml:space="preserve"> 页 </w:t>
                          </w:r>
                          <w:r>
                            <w:fldChar w:fldCharType="begin"/>
                          </w:r>
                          <w:r>
                            <w:instrText xml:space="preserve"> NUMPAGES  \* MERGEFORMAT </w:instrText>
                          </w:r>
                          <w:r>
                            <w:fldChar w:fldCharType="separate"/>
                          </w:r>
                          <w:r>
                            <w:t>160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31ECB7CE">
                    <w:pPr>
                      <w:pStyle w:val="29"/>
                    </w:pPr>
                    <w:r>
                      <w:t xml:space="preserve">第 </w:t>
                    </w:r>
                    <w:r>
                      <w:fldChar w:fldCharType="begin"/>
                    </w:r>
                    <w:r>
                      <w:instrText xml:space="preserve"> PAGE  \* MERGEFORMAT </w:instrText>
                    </w:r>
                    <w:r>
                      <w:fldChar w:fldCharType="separate"/>
                    </w:r>
                    <w:r>
                      <w:t>142</w:t>
                    </w:r>
                    <w:r>
                      <w:fldChar w:fldCharType="end"/>
                    </w:r>
                    <w:r>
                      <w:t xml:space="preserve"> 页 </w:t>
                    </w:r>
                    <w:r>
                      <w:fldChar w:fldCharType="begin"/>
                    </w:r>
                    <w:r>
                      <w:instrText xml:space="preserve"> NUMPAGES  \* MERGEFORMAT </w:instrText>
                    </w:r>
                    <w:r>
                      <w:fldChar w:fldCharType="separate"/>
                    </w:r>
                    <w:r>
                      <w:t>160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5395D">
    <w:pPr>
      <w:pStyle w:val="29"/>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B679E">
    <w:pPr>
      <w:pStyle w:val="2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CD81CA">
                          <w:pPr>
                            <w:pStyle w:val="29"/>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ACD81CA">
                    <w:pPr>
                      <w:pStyle w:val="29"/>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C5FF8">
    <w:pPr>
      <w:pStyle w:val="2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963124">
                          <w:pPr>
                            <w:pStyle w:val="29"/>
                          </w:pPr>
                          <w:r>
                            <w:t xml:space="preserve">第 </w:t>
                          </w:r>
                          <w:r>
                            <w:fldChar w:fldCharType="begin"/>
                          </w:r>
                          <w:r>
                            <w:instrText xml:space="preserve"> PAGE  \* MERGEFORMAT </w:instrText>
                          </w:r>
                          <w:r>
                            <w:fldChar w:fldCharType="separate"/>
                          </w:r>
                          <w:r>
                            <w:t>102</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2963124">
                    <w:pPr>
                      <w:pStyle w:val="29"/>
                    </w:pPr>
                    <w:r>
                      <w:t xml:space="preserve">第 </w:t>
                    </w:r>
                    <w:r>
                      <w:fldChar w:fldCharType="begin"/>
                    </w:r>
                    <w:r>
                      <w:instrText xml:space="preserve"> PAGE  \* MERGEFORMAT </w:instrText>
                    </w:r>
                    <w:r>
                      <w:fldChar w:fldCharType="separate"/>
                    </w:r>
                    <w:r>
                      <w:t>102</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12265">
    <w:pPr>
      <w:pStyle w:val="29"/>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28306">
    <w:pPr>
      <w:pStyle w:val="2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92A266">
                          <w:pPr>
                            <w:pStyle w:val="29"/>
                          </w:pPr>
                          <w:r>
                            <w:t xml:space="preserve">第 </w:t>
                          </w:r>
                          <w:r>
                            <w:fldChar w:fldCharType="begin"/>
                          </w:r>
                          <w:r>
                            <w:instrText xml:space="preserve"> PAGE  \* MERGEFORMAT </w:instrText>
                          </w:r>
                          <w:r>
                            <w:fldChar w:fldCharType="separate"/>
                          </w:r>
                          <w:r>
                            <w:t>104</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692A266">
                    <w:pPr>
                      <w:pStyle w:val="29"/>
                    </w:pPr>
                    <w:r>
                      <w:t xml:space="preserve">第 </w:t>
                    </w:r>
                    <w:r>
                      <w:fldChar w:fldCharType="begin"/>
                    </w:r>
                    <w:r>
                      <w:instrText xml:space="preserve"> PAGE  \* MERGEFORMAT </w:instrText>
                    </w:r>
                    <w:r>
                      <w:fldChar w:fldCharType="separate"/>
                    </w:r>
                    <w:r>
                      <w:t>104</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3F83B">
    <w:pPr>
      <w:pStyle w:val="29"/>
      <w:jc w:val="cen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BDEAD">
                          <w:pPr>
                            <w:pStyle w:val="29"/>
                          </w:pPr>
                          <w:r>
                            <w:t xml:space="preserve">第 </w:t>
                          </w:r>
                          <w:r>
                            <w:fldChar w:fldCharType="begin"/>
                          </w:r>
                          <w:r>
                            <w:instrText xml:space="preserve"> PAGE  \* MERGEFORMAT </w:instrText>
                          </w:r>
                          <w:r>
                            <w:fldChar w:fldCharType="separate"/>
                          </w:r>
                          <w:r>
                            <w:t>105</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CBBDEAD">
                    <w:pPr>
                      <w:pStyle w:val="29"/>
                    </w:pPr>
                    <w:r>
                      <w:t xml:space="preserve">第 </w:t>
                    </w:r>
                    <w:r>
                      <w:fldChar w:fldCharType="begin"/>
                    </w:r>
                    <w:r>
                      <w:instrText xml:space="preserve"> PAGE  \* MERGEFORMAT </w:instrText>
                    </w:r>
                    <w:r>
                      <w:fldChar w:fldCharType="separate"/>
                    </w:r>
                    <w:r>
                      <w:t>105</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0BDF7">
    <w:pPr>
      <w:pStyle w:val="29"/>
      <w:jc w:val="cente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9335B">
                          <w:pPr>
                            <w:pStyle w:val="29"/>
                          </w:pPr>
                          <w:r>
                            <w:t xml:space="preserve">第 </w:t>
                          </w:r>
                          <w:r>
                            <w:fldChar w:fldCharType="begin"/>
                          </w:r>
                          <w:r>
                            <w:instrText xml:space="preserve"> PAGE  \* MERGEFORMAT </w:instrText>
                          </w:r>
                          <w:r>
                            <w:fldChar w:fldCharType="separate"/>
                          </w:r>
                          <w:r>
                            <w:t>119</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BB9335B">
                    <w:pPr>
                      <w:pStyle w:val="29"/>
                    </w:pPr>
                    <w:r>
                      <w:t xml:space="preserve">第 </w:t>
                    </w:r>
                    <w:r>
                      <w:fldChar w:fldCharType="begin"/>
                    </w:r>
                    <w:r>
                      <w:instrText xml:space="preserve"> PAGE  \* MERGEFORMAT </w:instrText>
                    </w:r>
                    <w:r>
                      <w:fldChar w:fldCharType="separate"/>
                    </w:r>
                    <w:r>
                      <w:t>119</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142CD">
    <w:pPr>
      <w:pStyle w:val="29"/>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B807D">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D70D8">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FF39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33E16">
    <w:pPr>
      <w:spacing w:before="45" w:line="219" w:lineRule="auto"/>
      <w:ind w:left="977"/>
      <w:rPr>
        <w:rFonts w:ascii="宋体" w:hAnsi="宋体" w:eastAsia="宋体" w:cs="宋体"/>
        <w:sz w:val="17"/>
        <w:szCs w:val="17"/>
      </w:rPr>
    </w:pPr>
    <w:r>
      <w:drawing>
        <wp:anchor distT="0" distB="0" distL="0" distR="0" simplePos="0" relativeHeight="251666432" behindDoc="0" locked="0" layoutInCell="1" allowOverlap="1">
          <wp:simplePos x="0" y="0"/>
          <wp:positionH relativeFrom="column">
            <wp:posOffset>6350</wp:posOffset>
          </wp:positionH>
          <wp:positionV relativeFrom="paragraph">
            <wp:posOffset>165100</wp:posOffset>
          </wp:positionV>
          <wp:extent cx="5803900" cy="6350"/>
          <wp:effectExtent l="0" t="0" r="0" b="0"/>
          <wp:wrapNone/>
          <wp:docPr id="250" name="IM 250"/>
          <wp:cNvGraphicFramePr/>
          <a:graphic xmlns:a="http://schemas.openxmlformats.org/drawingml/2006/main">
            <a:graphicData uri="http://schemas.openxmlformats.org/drawingml/2006/picture">
              <pic:pic xmlns:pic="http://schemas.openxmlformats.org/drawingml/2006/picture">
                <pic:nvPicPr>
                  <pic:cNvPr id="250" name="IM 250"/>
                  <pic:cNvPicPr/>
                </pic:nvPicPr>
                <pic:blipFill>
                  <a:blip r:embed="rId1"/>
                  <a:stretch>
                    <a:fillRect/>
                  </a:stretch>
                </pic:blipFill>
                <pic:spPr>
                  <a:xfrm>
                    <a:off x="0" y="0"/>
                    <a:ext cx="5803958" cy="6350"/>
                  </a:xfrm>
                  <a:prstGeom prst="rect">
                    <a:avLst/>
                  </a:prstGeom>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00391">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54A75"/>
    <w:multiLevelType w:val="singleLevel"/>
    <w:tmpl w:val="80B54A75"/>
    <w:lvl w:ilvl="0" w:tentative="0">
      <w:start w:val="1"/>
      <w:numFmt w:val="decimal"/>
      <w:suff w:val="nothing"/>
      <w:lvlText w:val="%1)"/>
      <w:lvlJc w:val="left"/>
      <w:pPr>
        <w:ind w:left="425" w:hanging="425"/>
      </w:pPr>
      <w:rPr>
        <w:rFonts w:hint="default"/>
      </w:rPr>
    </w:lvl>
  </w:abstractNum>
  <w:abstractNum w:abstractNumId="1">
    <w:nsid w:val="ADBA924C"/>
    <w:multiLevelType w:val="singleLevel"/>
    <w:tmpl w:val="ADBA924C"/>
    <w:lvl w:ilvl="0" w:tentative="0">
      <w:start w:val="1"/>
      <w:numFmt w:val="decimal"/>
      <w:suff w:val="nothing"/>
      <w:lvlText w:val="%1)"/>
      <w:lvlJc w:val="left"/>
      <w:pPr>
        <w:ind w:left="425" w:hanging="425"/>
      </w:pPr>
      <w:rPr>
        <w:rFonts w:hint="default"/>
      </w:rPr>
    </w:lvl>
  </w:abstractNum>
  <w:abstractNum w:abstractNumId="2">
    <w:nsid w:val="B36F6073"/>
    <w:multiLevelType w:val="singleLevel"/>
    <w:tmpl w:val="B36F6073"/>
    <w:lvl w:ilvl="0" w:tentative="0">
      <w:start w:val="1"/>
      <w:numFmt w:val="decimal"/>
      <w:suff w:val="nothing"/>
      <w:lvlText w:val="%1)"/>
      <w:lvlJc w:val="left"/>
      <w:pPr>
        <w:ind w:left="425" w:hanging="425"/>
      </w:pPr>
      <w:rPr>
        <w:rFonts w:hint="default"/>
      </w:rPr>
    </w:lvl>
  </w:abstractNum>
  <w:abstractNum w:abstractNumId="3">
    <w:nsid w:val="BAFA0C03"/>
    <w:multiLevelType w:val="singleLevel"/>
    <w:tmpl w:val="BAFA0C03"/>
    <w:lvl w:ilvl="0" w:tentative="0">
      <w:start w:val="1"/>
      <w:numFmt w:val="decimal"/>
      <w:suff w:val="nothing"/>
      <w:lvlText w:val="(%1)"/>
      <w:lvlJc w:val="left"/>
      <w:pPr>
        <w:ind w:left="425" w:hanging="425"/>
      </w:pPr>
      <w:rPr>
        <w:rFonts w:hint="default"/>
      </w:rPr>
    </w:lvl>
  </w:abstractNum>
  <w:abstractNum w:abstractNumId="4">
    <w:nsid w:val="BBF33E44"/>
    <w:multiLevelType w:val="singleLevel"/>
    <w:tmpl w:val="BBF33E44"/>
    <w:lvl w:ilvl="0" w:tentative="0">
      <w:start w:val="1"/>
      <w:numFmt w:val="decimal"/>
      <w:suff w:val="nothing"/>
      <w:lvlText w:val="(%1)"/>
      <w:lvlJc w:val="left"/>
      <w:pPr>
        <w:ind w:left="425" w:hanging="425"/>
      </w:pPr>
      <w:rPr>
        <w:rFonts w:hint="default"/>
      </w:rPr>
    </w:lvl>
  </w:abstractNum>
  <w:abstractNum w:abstractNumId="5">
    <w:nsid w:val="C060F2F1"/>
    <w:multiLevelType w:val="singleLevel"/>
    <w:tmpl w:val="C060F2F1"/>
    <w:lvl w:ilvl="0" w:tentative="0">
      <w:start w:val="1"/>
      <w:numFmt w:val="decimal"/>
      <w:suff w:val="nothing"/>
      <w:lvlText w:val="%1)"/>
      <w:lvlJc w:val="left"/>
      <w:pPr>
        <w:ind w:left="425" w:hanging="425"/>
      </w:pPr>
      <w:rPr>
        <w:rFonts w:hint="default"/>
      </w:rPr>
    </w:lvl>
  </w:abstractNum>
  <w:abstractNum w:abstractNumId="6">
    <w:nsid w:val="C31AD552"/>
    <w:multiLevelType w:val="singleLevel"/>
    <w:tmpl w:val="C31AD552"/>
    <w:lvl w:ilvl="0" w:tentative="0">
      <w:start w:val="1"/>
      <w:numFmt w:val="decimal"/>
      <w:suff w:val="nothing"/>
      <w:lvlText w:val="%1、"/>
      <w:lvlJc w:val="left"/>
    </w:lvl>
  </w:abstractNum>
  <w:abstractNum w:abstractNumId="7">
    <w:nsid w:val="CC3DB06B"/>
    <w:multiLevelType w:val="singleLevel"/>
    <w:tmpl w:val="CC3DB06B"/>
    <w:lvl w:ilvl="0" w:tentative="0">
      <w:start w:val="1"/>
      <w:numFmt w:val="decimal"/>
      <w:suff w:val="nothing"/>
      <w:lvlText w:val="(%1)"/>
      <w:lvlJc w:val="left"/>
      <w:pPr>
        <w:ind w:left="425" w:hanging="425"/>
      </w:pPr>
      <w:rPr>
        <w:rFonts w:hint="default"/>
      </w:rPr>
    </w:lvl>
  </w:abstractNum>
  <w:abstractNum w:abstractNumId="8">
    <w:nsid w:val="D4D4BE2F"/>
    <w:multiLevelType w:val="singleLevel"/>
    <w:tmpl w:val="D4D4BE2F"/>
    <w:lvl w:ilvl="0" w:tentative="0">
      <w:start w:val="1"/>
      <w:numFmt w:val="decimal"/>
      <w:suff w:val="nothing"/>
      <w:lvlText w:val="(%1)"/>
      <w:lvlJc w:val="left"/>
      <w:pPr>
        <w:ind w:left="425" w:hanging="425"/>
      </w:pPr>
      <w:rPr>
        <w:rFonts w:hint="default"/>
      </w:rPr>
    </w:lvl>
  </w:abstractNum>
  <w:abstractNum w:abstractNumId="9">
    <w:nsid w:val="E167BED5"/>
    <w:multiLevelType w:val="singleLevel"/>
    <w:tmpl w:val="E167BED5"/>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0">
    <w:nsid w:val="F602F23A"/>
    <w:multiLevelType w:val="singleLevel"/>
    <w:tmpl w:val="F602F23A"/>
    <w:lvl w:ilvl="0" w:tentative="0">
      <w:start w:val="1"/>
      <w:numFmt w:val="decimal"/>
      <w:suff w:val="nothing"/>
      <w:lvlText w:val="(%1)"/>
      <w:lvlJc w:val="left"/>
      <w:pPr>
        <w:ind w:left="425" w:hanging="425"/>
      </w:pPr>
      <w:rPr>
        <w:rFonts w:hint="default"/>
      </w:rPr>
    </w:lvl>
  </w:abstractNum>
  <w:abstractNum w:abstractNumId="11">
    <w:nsid w:val="F628569C"/>
    <w:multiLevelType w:val="singleLevel"/>
    <w:tmpl w:val="F628569C"/>
    <w:lvl w:ilvl="0" w:tentative="0">
      <w:start w:val="4"/>
      <w:numFmt w:val="decimal"/>
      <w:suff w:val="nothing"/>
      <w:lvlText w:val="（%1）"/>
      <w:lvlJc w:val="left"/>
    </w:lvl>
  </w:abstractNum>
  <w:abstractNum w:abstractNumId="12">
    <w:nsid w:val="FECF2916"/>
    <w:multiLevelType w:val="singleLevel"/>
    <w:tmpl w:val="FECF2916"/>
    <w:lvl w:ilvl="0" w:tentative="0">
      <w:start w:val="1"/>
      <w:numFmt w:val="chineseCounting"/>
      <w:suff w:val="space"/>
      <w:lvlText w:val="第%1条"/>
      <w:lvlJc w:val="left"/>
      <w:rPr>
        <w:rFonts w:hint="eastAsia"/>
      </w:rPr>
    </w:lvl>
  </w:abstractNum>
  <w:abstractNum w:abstractNumId="13">
    <w:nsid w:val="00000001"/>
    <w:multiLevelType w:val="singleLevel"/>
    <w:tmpl w:val="00000001"/>
    <w:lvl w:ilvl="0" w:tentative="0">
      <w:start w:val="1"/>
      <w:numFmt w:val="decimal"/>
      <w:suff w:val="nothing"/>
      <w:lvlText w:val="%1）"/>
      <w:lvlJc w:val="left"/>
    </w:lvl>
  </w:abstractNum>
  <w:abstractNum w:abstractNumId="14">
    <w:nsid w:val="00000002"/>
    <w:multiLevelType w:val="singleLevel"/>
    <w:tmpl w:val="00000002"/>
    <w:lvl w:ilvl="0" w:tentative="0">
      <w:start w:val="1"/>
      <w:numFmt w:val="decimal"/>
      <w:suff w:val="nothing"/>
      <w:lvlText w:val="%1）"/>
      <w:lvlJc w:val="left"/>
    </w:lvl>
  </w:abstractNum>
  <w:abstractNum w:abstractNumId="15">
    <w:nsid w:val="00000003"/>
    <w:multiLevelType w:val="singleLevel"/>
    <w:tmpl w:val="00000003"/>
    <w:lvl w:ilvl="0" w:tentative="0">
      <w:start w:val="1"/>
      <w:numFmt w:val="decimal"/>
      <w:suff w:val="nothing"/>
      <w:lvlText w:val="%1）"/>
      <w:lvlJc w:val="left"/>
    </w:lvl>
  </w:abstractNum>
  <w:abstractNum w:abstractNumId="16">
    <w:nsid w:val="00000004"/>
    <w:multiLevelType w:val="singleLevel"/>
    <w:tmpl w:val="00000004"/>
    <w:lvl w:ilvl="0" w:tentative="0">
      <w:start w:val="1"/>
      <w:numFmt w:val="decimal"/>
      <w:suff w:val="nothing"/>
      <w:lvlText w:val="%1）"/>
      <w:lvlJc w:val="left"/>
    </w:lvl>
  </w:abstractNum>
  <w:abstractNum w:abstractNumId="17">
    <w:nsid w:val="00000005"/>
    <w:multiLevelType w:val="singleLevel"/>
    <w:tmpl w:val="00000005"/>
    <w:lvl w:ilvl="0" w:tentative="0">
      <w:start w:val="1"/>
      <w:numFmt w:val="decimal"/>
      <w:suff w:val="nothing"/>
      <w:lvlText w:val="%1）"/>
      <w:lvlJc w:val="left"/>
    </w:lvl>
  </w:abstractNum>
  <w:abstractNum w:abstractNumId="18">
    <w:nsid w:val="00000006"/>
    <w:multiLevelType w:val="singleLevel"/>
    <w:tmpl w:val="00000006"/>
    <w:lvl w:ilvl="0" w:tentative="0">
      <w:start w:val="1"/>
      <w:numFmt w:val="decimal"/>
      <w:suff w:val="nothing"/>
      <w:lvlText w:val="（%1）"/>
      <w:lvlJc w:val="left"/>
    </w:lvl>
  </w:abstractNum>
  <w:abstractNum w:abstractNumId="19">
    <w:nsid w:val="00000007"/>
    <w:multiLevelType w:val="singleLevel"/>
    <w:tmpl w:val="00000007"/>
    <w:lvl w:ilvl="0" w:tentative="0">
      <w:start w:val="1"/>
      <w:numFmt w:val="decimal"/>
      <w:suff w:val="nothing"/>
      <w:lvlText w:val="%1）"/>
      <w:lvlJc w:val="left"/>
    </w:lvl>
  </w:abstractNum>
  <w:abstractNum w:abstractNumId="20">
    <w:nsid w:val="00000009"/>
    <w:multiLevelType w:val="singleLevel"/>
    <w:tmpl w:val="00000009"/>
    <w:lvl w:ilvl="0" w:tentative="0">
      <w:start w:val="1"/>
      <w:numFmt w:val="decimal"/>
      <w:suff w:val="nothing"/>
      <w:lvlText w:val="%1）"/>
      <w:lvlJc w:val="left"/>
    </w:lvl>
  </w:abstractNum>
  <w:abstractNum w:abstractNumId="21">
    <w:nsid w:val="0000000A"/>
    <w:multiLevelType w:val="singleLevel"/>
    <w:tmpl w:val="0000000A"/>
    <w:lvl w:ilvl="0" w:tentative="0">
      <w:start w:val="1"/>
      <w:numFmt w:val="decimal"/>
      <w:lvlText w:val="%1."/>
      <w:lvlJc w:val="left"/>
      <w:pPr>
        <w:tabs>
          <w:tab w:val="left" w:pos="312"/>
        </w:tabs>
      </w:pPr>
    </w:lvl>
  </w:abstractNum>
  <w:abstractNum w:abstractNumId="22">
    <w:nsid w:val="0000000B"/>
    <w:multiLevelType w:val="singleLevel"/>
    <w:tmpl w:val="0000000B"/>
    <w:lvl w:ilvl="0" w:tentative="0">
      <w:start w:val="1"/>
      <w:numFmt w:val="decimal"/>
      <w:suff w:val="nothing"/>
      <w:lvlText w:val="%1）"/>
      <w:lvlJc w:val="left"/>
    </w:lvl>
  </w:abstractNum>
  <w:abstractNum w:abstractNumId="23">
    <w:nsid w:val="0000000D"/>
    <w:multiLevelType w:val="singleLevel"/>
    <w:tmpl w:val="0000000D"/>
    <w:lvl w:ilvl="0" w:tentative="0">
      <w:start w:val="1"/>
      <w:numFmt w:val="decimal"/>
      <w:suff w:val="nothing"/>
      <w:lvlText w:val="%1）"/>
      <w:lvlJc w:val="left"/>
    </w:lvl>
  </w:abstractNum>
  <w:abstractNum w:abstractNumId="24">
    <w:nsid w:val="0000000F"/>
    <w:multiLevelType w:val="singleLevel"/>
    <w:tmpl w:val="0000000F"/>
    <w:lvl w:ilvl="0" w:tentative="0">
      <w:start w:val="1"/>
      <w:numFmt w:val="decimal"/>
      <w:suff w:val="nothing"/>
      <w:lvlText w:val="%1）"/>
      <w:lvlJc w:val="left"/>
    </w:lvl>
  </w:abstractNum>
  <w:abstractNum w:abstractNumId="25">
    <w:nsid w:val="00000010"/>
    <w:multiLevelType w:val="singleLevel"/>
    <w:tmpl w:val="00000010"/>
    <w:lvl w:ilvl="0" w:tentative="0">
      <w:start w:val="1"/>
      <w:numFmt w:val="decimal"/>
      <w:suff w:val="nothing"/>
      <w:lvlText w:val="%1）"/>
      <w:lvlJc w:val="left"/>
    </w:lvl>
  </w:abstractNum>
  <w:abstractNum w:abstractNumId="26">
    <w:nsid w:val="00000011"/>
    <w:multiLevelType w:val="singleLevel"/>
    <w:tmpl w:val="00000011"/>
    <w:lvl w:ilvl="0" w:tentative="0">
      <w:start w:val="1"/>
      <w:numFmt w:val="decimal"/>
      <w:suff w:val="nothing"/>
      <w:lvlText w:val="%1）"/>
      <w:lvlJc w:val="left"/>
    </w:lvl>
  </w:abstractNum>
  <w:abstractNum w:abstractNumId="27">
    <w:nsid w:val="00000012"/>
    <w:multiLevelType w:val="singleLevel"/>
    <w:tmpl w:val="00000012"/>
    <w:lvl w:ilvl="0" w:tentative="0">
      <w:start w:val="1"/>
      <w:numFmt w:val="decimal"/>
      <w:suff w:val="nothing"/>
      <w:lvlText w:val="%1）"/>
      <w:lvlJc w:val="left"/>
    </w:lvl>
  </w:abstractNum>
  <w:abstractNum w:abstractNumId="28">
    <w:nsid w:val="0053208E"/>
    <w:multiLevelType w:val="singleLevel"/>
    <w:tmpl w:val="0053208E"/>
    <w:lvl w:ilvl="0" w:tentative="0">
      <w:start w:val="1"/>
      <w:numFmt w:val="decimal"/>
      <w:suff w:val="nothing"/>
      <w:lvlText w:val="%1）"/>
      <w:lvlJc w:val="left"/>
    </w:lvl>
  </w:abstractNum>
  <w:abstractNum w:abstractNumId="29">
    <w:nsid w:val="18B3BF17"/>
    <w:multiLevelType w:val="singleLevel"/>
    <w:tmpl w:val="18B3BF17"/>
    <w:lvl w:ilvl="0" w:tentative="0">
      <w:start w:val="1"/>
      <w:numFmt w:val="decimal"/>
      <w:suff w:val="nothing"/>
      <w:lvlText w:val="(%1)"/>
      <w:lvlJc w:val="left"/>
      <w:pPr>
        <w:ind w:left="425" w:hanging="425"/>
      </w:pPr>
      <w:rPr>
        <w:rFonts w:hint="default"/>
      </w:rPr>
    </w:lvl>
  </w:abstractNum>
  <w:abstractNum w:abstractNumId="30">
    <w:nsid w:val="1F67E2BA"/>
    <w:multiLevelType w:val="singleLevel"/>
    <w:tmpl w:val="1F67E2BA"/>
    <w:lvl w:ilvl="0" w:tentative="0">
      <w:start w:val="1"/>
      <w:numFmt w:val="decimal"/>
      <w:suff w:val="nothing"/>
      <w:lvlText w:val="(%1)"/>
      <w:lvlJc w:val="left"/>
      <w:pPr>
        <w:ind w:left="425" w:hanging="425"/>
      </w:pPr>
      <w:rPr>
        <w:rFonts w:hint="default"/>
      </w:rPr>
    </w:lvl>
  </w:abstractNum>
  <w:abstractNum w:abstractNumId="31">
    <w:nsid w:val="2D89CA0E"/>
    <w:multiLevelType w:val="singleLevel"/>
    <w:tmpl w:val="2D89CA0E"/>
    <w:lvl w:ilvl="0" w:tentative="0">
      <w:start w:val="1"/>
      <w:numFmt w:val="decimal"/>
      <w:suff w:val="nothing"/>
      <w:lvlText w:val="(%1)"/>
      <w:lvlJc w:val="left"/>
      <w:pPr>
        <w:ind w:left="425" w:hanging="425"/>
      </w:pPr>
      <w:rPr>
        <w:rFonts w:hint="default"/>
      </w:rPr>
    </w:lvl>
  </w:abstractNum>
  <w:abstractNum w:abstractNumId="3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3">
    <w:nsid w:val="35D5175C"/>
    <w:multiLevelType w:val="singleLevel"/>
    <w:tmpl w:val="35D5175C"/>
    <w:lvl w:ilvl="0" w:tentative="0">
      <w:start w:val="1"/>
      <w:numFmt w:val="decimal"/>
      <w:suff w:val="nothing"/>
      <w:lvlText w:val="(%1)"/>
      <w:lvlJc w:val="left"/>
      <w:pPr>
        <w:ind w:left="425" w:hanging="425"/>
      </w:pPr>
      <w:rPr>
        <w:rFonts w:hint="default"/>
      </w:rPr>
    </w:lvl>
  </w:abstractNum>
  <w:abstractNum w:abstractNumId="34">
    <w:nsid w:val="3BDA0D3F"/>
    <w:multiLevelType w:val="singleLevel"/>
    <w:tmpl w:val="3BDA0D3F"/>
    <w:lvl w:ilvl="0" w:tentative="0">
      <w:start w:val="1"/>
      <w:numFmt w:val="decimal"/>
      <w:suff w:val="nothing"/>
      <w:lvlText w:val="%1)"/>
      <w:lvlJc w:val="left"/>
      <w:pPr>
        <w:ind w:left="425" w:hanging="425"/>
      </w:pPr>
      <w:rPr>
        <w:rFonts w:hint="default"/>
      </w:rPr>
    </w:lvl>
  </w:abstractNum>
  <w:abstractNum w:abstractNumId="35">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51D65FF1"/>
    <w:multiLevelType w:val="singleLevel"/>
    <w:tmpl w:val="51D65FF1"/>
    <w:lvl w:ilvl="0" w:tentative="0">
      <w:start w:val="1"/>
      <w:numFmt w:val="decimal"/>
      <w:suff w:val="nothing"/>
      <w:lvlText w:val="%1)"/>
      <w:lvlJc w:val="left"/>
      <w:pPr>
        <w:ind w:left="425" w:hanging="425"/>
      </w:pPr>
      <w:rPr>
        <w:rFonts w:hint="default"/>
      </w:rPr>
    </w:lvl>
  </w:abstractNum>
  <w:abstractNum w:abstractNumId="37">
    <w:nsid w:val="5617671E"/>
    <w:multiLevelType w:val="singleLevel"/>
    <w:tmpl w:val="5617671E"/>
    <w:lvl w:ilvl="0" w:tentative="0">
      <w:start w:val="1"/>
      <w:numFmt w:val="decimal"/>
      <w:suff w:val="nothing"/>
      <w:lvlText w:val="(%1)"/>
      <w:lvlJc w:val="left"/>
      <w:pPr>
        <w:ind w:left="425" w:hanging="425"/>
      </w:pPr>
      <w:rPr>
        <w:rFonts w:hint="default"/>
      </w:rPr>
    </w:lvl>
  </w:abstractNum>
  <w:abstractNum w:abstractNumId="38">
    <w:nsid w:val="613B39A1"/>
    <w:multiLevelType w:val="singleLevel"/>
    <w:tmpl w:val="613B39A1"/>
    <w:lvl w:ilvl="0" w:tentative="0">
      <w:start w:val="3"/>
      <w:numFmt w:val="chineseCounting"/>
      <w:suff w:val="nothing"/>
      <w:lvlText w:val="%1、"/>
      <w:lvlJc w:val="left"/>
      <w:rPr>
        <w:rFonts w:hint="eastAsia"/>
      </w:rPr>
    </w:lvl>
  </w:abstractNum>
  <w:abstractNum w:abstractNumId="39">
    <w:nsid w:val="6B4DC260"/>
    <w:multiLevelType w:val="singleLevel"/>
    <w:tmpl w:val="6B4DC260"/>
    <w:lvl w:ilvl="0" w:tentative="0">
      <w:start w:val="1"/>
      <w:numFmt w:val="decimal"/>
      <w:suff w:val="nothing"/>
      <w:lvlText w:val="(%1)"/>
      <w:lvlJc w:val="left"/>
      <w:pPr>
        <w:ind w:left="425" w:hanging="425"/>
      </w:pPr>
      <w:rPr>
        <w:rFonts w:hint="default"/>
      </w:rPr>
    </w:lvl>
  </w:abstractNum>
  <w:abstractNum w:abstractNumId="40">
    <w:nsid w:val="725D1A62"/>
    <w:multiLevelType w:val="singleLevel"/>
    <w:tmpl w:val="725D1A62"/>
    <w:lvl w:ilvl="0" w:tentative="0">
      <w:start w:val="1"/>
      <w:numFmt w:val="decimal"/>
      <w:suff w:val="nothing"/>
      <w:lvlText w:val="%1)"/>
      <w:lvlJc w:val="left"/>
      <w:pPr>
        <w:ind w:left="425" w:hanging="425"/>
      </w:pPr>
      <w:rPr>
        <w:rFonts w:hint="default"/>
      </w:rPr>
    </w:lvl>
  </w:abstractNum>
  <w:num w:numId="1">
    <w:abstractNumId w:val="9"/>
  </w:num>
  <w:num w:numId="2">
    <w:abstractNumId w:val="35"/>
  </w:num>
  <w:num w:numId="3">
    <w:abstractNumId w:val="4"/>
  </w:num>
  <w:num w:numId="4">
    <w:abstractNumId w:val="0"/>
  </w:num>
  <w:num w:numId="5">
    <w:abstractNumId w:val="1"/>
  </w:num>
  <w:num w:numId="6">
    <w:abstractNumId w:val="33"/>
  </w:num>
  <w:num w:numId="7">
    <w:abstractNumId w:val="31"/>
  </w:num>
  <w:num w:numId="8">
    <w:abstractNumId w:val="5"/>
  </w:num>
  <w:num w:numId="9">
    <w:abstractNumId w:val="29"/>
  </w:num>
  <w:num w:numId="10">
    <w:abstractNumId w:val="21"/>
  </w:num>
  <w:num w:numId="11">
    <w:abstractNumId w:val="37"/>
  </w:num>
  <w:num w:numId="12">
    <w:abstractNumId w:val="3"/>
  </w:num>
  <w:num w:numId="13">
    <w:abstractNumId w:val="10"/>
  </w:num>
  <w:num w:numId="14">
    <w:abstractNumId w:val="30"/>
  </w:num>
  <w:num w:numId="15">
    <w:abstractNumId w:val="34"/>
  </w:num>
  <w:num w:numId="16">
    <w:abstractNumId w:val="2"/>
  </w:num>
  <w:num w:numId="17">
    <w:abstractNumId w:val="8"/>
  </w:num>
  <w:num w:numId="18">
    <w:abstractNumId w:val="39"/>
  </w:num>
  <w:num w:numId="19">
    <w:abstractNumId w:val="7"/>
  </w:num>
  <w:num w:numId="20">
    <w:abstractNumId w:val="40"/>
  </w:num>
  <w:num w:numId="21">
    <w:abstractNumId w:val="36"/>
  </w:num>
  <w:num w:numId="22">
    <w:abstractNumId w:val="11"/>
  </w:num>
  <w:num w:numId="23">
    <w:abstractNumId w:val="6"/>
  </w:num>
  <w:num w:numId="24">
    <w:abstractNumId w:val="16"/>
  </w:num>
  <w:num w:numId="25">
    <w:abstractNumId w:val="28"/>
  </w:num>
  <w:num w:numId="26">
    <w:abstractNumId w:val="26"/>
  </w:num>
  <w:num w:numId="27">
    <w:abstractNumId w:val="24"/>
  </w:num>
  <w:num w:numId="28">
    <w:abstractNumId w:val="25"/>
  </w:num>
  <w:num w:numId="29">
    <w:abstractNumId w:val="17"/>
  </w:num>
  <w:num w:numId="30">
    <w:abstractNumId w:val="22"/>
  </w:num>
  <w:num w:numId="31">
    <w:abstractNumId w:val="15"/>
  </w:num>
  <w:num w:numId="32">
    <w:abstractNumId w:val="23"/>
  </w:num>
  <w:num w:numId="33">
    <w:abstractNumId w:val="19"/>
  </w:num>
  <w:num w:numId="34">
    <w:abstractNumId w:val="14"/>
  </w:num>
  <w:num w:numId="35">
    <w:abstractNumId w:val="27"/>
  </w:num>
  <w:num w:numId="36">
    <w:abstractNumId w:val="20"/>
  </w:num>
  <w:num w:numId="37">
    <w:abstractNumId w:val="13"/>
  </w:num>
  <w:num w:numId="38">
    <w:abstractNumId w:val="18"/>
  </w:num>
  <w:num w:numId="39">
    <w:abstractNumId w:val="12"/>
  </w:num>
  <w:num w:numId="40">
    <w:abstractNumId w:val="38"/>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zZDFmYWE3YTY0ZjdjODg3NWJlYzQ1MzZmOTgxY2EifQ=="/>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0AC"/>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0B79"/>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5F481F"/>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02C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C14DC"/>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D60D6"/>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0351AA"/>
    <w:rsid w:val="01F03CB3"/>
    <w:rsid w:val="02624152"/>
    <w:rsid w:val="028F407C"/>
    <w:rsid w:val="02A0745C"/>
    <w:rsid w:val="02AE55E9"/>
    <w:rsid w:val="02B63EF1"/>
    <w:rsid w:val="02C80459"/>
    <w:rsid w:val="03015719"/>
    <w:rsid w:val="030A119C"/>
    <w:rsid w:val="035B37A3"/>
    <w:rsid w:val="037D42D2"/>
    <w:rsid w:val="03C03826"/>
    <w:rsid w:val="03D03FA0"/>
    <w:rsid w:val="04041910"/>
    <w:rsid w:val="040E4592"/>
    <w:rsid w:val="04620439"/>
    <w:rsid w:val="04734368"/>
    <w:rsid w:val="051554AC"/>
    <w:rsid w:val="05162DCF"/>
    <w:rsid w:val="054D733B"/>
    <w:rsid w:val="058F7720"/>
    <w:rsid w:val="05A52CD4"/>
    <w:rsid w:val="05FE4192"/>
    <w:rsid w:val="06231E4A"/>
    <w:rsid w:val="06472C04"/>
    <w:rsid w:val="06840B3B"/>
    <w:rsid w:val="068723D9"/>
    <w:rsid w:val="06A75D00"/>
    <w:rsid w:val="0708176C"/>
    <w:rsid w:val="070B3431"/>
    <w:rsid w:val="077E17DF"/>
    <w:rsid w:val="08053EFD"/>
    <w:rsid w:val="08144141"/>
    <w:rsid w:val="08465591"/>
    <w:rsid w:val="08591B53"/>
    <w:rsid w:val="08B21E29"/>
    <w:rsid w:val="08D4742C"/>
    <w:rsid w:val="08E478CA"/>
    <w:rsid w:val="08F157D6"/>
    <w:rsid w:val="09075A53"/>
    <w:rsid w:val="09C3197A"/>
    <w:rsid w:val="09D647DF"/>
    <w:rsid w:val="0A281EEF"/>
    <w:rsid w:val="0A2B78A0"/>
    <w:rsid w:val="0A801366"/>
    <w:rsid w:val="0A917CCA"/>
    <w:rsid w:val="0A96708F"/>
    <w:rsid w:val="0AA417AC"/>
    <w:rsid w:val="0AFB05A7"/>
    <w:rsid w:val="0B224DC6"/>
    <w:rsid w:val="0B3F3E57"/>
    <w:rsid w:val="0B7B7935"/>
    <w:rsid w:val="0BC038D2"/>
    <w:rsid w:val="0BD96106"/>
    <w:rsid w:val="0BE5207C"/>
    <w:rsid w:val="0BFB3583"/>
    <w:rsid w:val="0BFE4EEC"/>
    <w:rsid w:val="0C0544CC"/>
    <w:rsid w:val="0C28554E"/>
    <w:rsid w:val="0C5C1C12"/>
    <w:rsid w:val="0C9C64B3"/>
    <w:rsid w:val="0CA77331"/>
    <w:rsid w:val="0CAB702B"/>
    <w:rsid w:val="0CC55B89"/>
    <w:rsid w:val="0D350DE1"/>
    <w:rsid w:val="0D501777"/>
    <w:rsid w:val="0D58687D"/>
    <w:rsid w:val="0D611BD6"/>
    <w:rsid w:val="0D735465"/>
    <w:rsid w:val="0DED346A"/>
    <w:rsid w:val="0E3914FE"/>
    <w:rsid w:val="0E8F4521"/>
    <w:rsid w:val="0EB20B01"/>
    <w:rsid w:val="0EE54141"/>
    <w:rsid w:val="0EF10D38"/>
    <w:rsid w:val="0F241091"/>
    <w:rsid w:val="0F8120BC"/>
    <w:rsid w:val="0F8B4658"/>
    <w:rsid w:val="0F985657"/>
    <w:rsid w:val="0FAC2EB1"/>
    <w:rsid w:val="100808F1"/>
    <w:rsid w:val="102869DB"/>
    <w:rsid w:val="107F3085"/>
    <w:rsid w:val="108A1177"/>
    <w:rsid w:val="10BC03C7"/>
    <w:rsid w:val="10D03F34"/>
    <w:rsid w:val="10EA0DB6"/>
    <w:rsid w:val="10FE773C"/>
    <w:rsid w:val="11032FA4"/>
    <w:rsid w:val="11294683"/>
    <w:rsid w:val="117401CE"/>
    <w:rsid w:val="118041DE"/>
    <w:rsid w:val="118E0AC0"/>
    <w:rsid w:val="11D96D2F"/>
    <w:rsid w:val="11F82C2A"/>
    <w:rsid w:val="125E784D"/>
    <w:rsid w:val="127557DC"/>
    <w:rsid w:val="12B9601D"/>
    <w:rsid w:val="12C0114D"/>
    <w:rsid w:val="12C02EFB"/>
    <w:rsid w:val="130F4A87"/>
    <w:rsid w:val="13743CE5"/>
    <w:rsid w:val="137E0921"/>
    <w:rsid w:val="13960B11"/>
    <w:rsid w:val="13E24D18"/>
    <w:rsid w:val="14180A15"/>
    <w:rsid w:val="14237C67"/>
    <w:rsid w:val="143D057B"/>
    <w:rsid w:val="144731A8"/>
    <w:rsid w:val="14693EF4"/>
    <w:rsid w:val="14B545B5"/>
    <w:rsid w:val="14D24E71"/>
    <w:rsid w:val="14E804E7"/>
    <w:rsid w:val="1502022A"/>
    <w:rsid w:val="151A3879"/>
    <w:rsid w:val="15674B2D"/>
    <w:rsid w:val="156C1118"/>
    <w:rsid w:val="15A13C38"/>
    <w:rsid w:val="15AE34DE"/>
    <w:rsid w:val="163C4F8E"/>
    <w:rsid w:val="166E2C6E"/>
    <w:rsid w:val="16917C74"/>
    <w:rsid w:val="16B60189"/>
    <w:rsid w:val="16B73A83"/>
    <w:rsid w:val="16CB3E87"/>
    <w:rsid w:val="16F07B27"/>
    <w:rsid w:val="16F969DB"/>
    <w:rsid w:val="1700420E"/>
    <w:rsid w:val="17146A2E"/>
    <w:rsid w:val="17606A5A"/>
    <w:rsid w:val="17AA72A2"/>
    <w:rsid w:val="17C3523B"/>
    <w:rsid w:val="17C60E60"/>
    <w:rsid w:val="17D554A5"/>
    <w:rsid w:val="18221F62"/>
    <w:rsid w:val="18595ED3"/>
    <w:rsid w:val="18C15C1F"/>
    <w:rsid w:val="18E72462"/>
    <w:rsid w:val="190B43C9"/>
    <w:rsid w:val="195E6FCA"/>
    <w:rsid w:val="19754EE1"/>
    <w:rsid w:val="198343FB"/>
    <w:rsid w:val="198D4854"/>
    <w:rsid w:val="19981E2F"/>
    <w:rsid w:val="199D3F96"/>
    <w:rsid w:val="19A67A20"/>
    <w:rsid w:val="1AE14356"/>
    <w:rsid w:val="1AE54A0E"/>
    <w:rsid w:val="1AE833AF"/>
    <w:rsid w:val="1B0940FF"/>
    <w:rsid w:val="1B285340"/>
    <w:rsid w:val="1B3270D1"/>
    <w:rsid w:val="1B5B3CD7"/>
    <w:rsid w:val="1B723200"/>
    <w:rsid w:val="1BBE036A"/>
    <w:rsid w:val="1BBF288F"/>
    <w:rsid w:val="1BCC09CC"/>
    <w:rsid w:val="1C27223D"/>
    <w:rsid w:val="1C41681F"/>
    <w:rsid w:val="1C72434F"/>
    <w:rsid w:val="1CAE64BA"/>
    <w:rsid w:val="1CD57C7B"/>
    <w:rsid w:val="1CD622FA"/>
    <w:rsid w:val="1CE36717"/>
    <w:rsid w:val="1CF66653"/>
    <w:rsid w:val="1D0E26E9"/>
    <w:rsid w:val="1D2642A2"/>
    <w:rsid w:val="1D41732E"/>
    <w:rsid w:val="1D583653"/>
    <w:rsid w:val="1D671D5C"/>
    <w:rsid w:val="1D8F11D2"/>
    <w:rsid w:val="1DE2466D"/>
    <w:rsid w:val="1E0A7E55"/>
    <w:rsid w:val="1E320A25"/>
    <w:rsid w:val="1E430E84"/>
    <w:rsid w:val="1E7B6870"/>
    <w:rsid w:val="1EA43628"/>
    <w:rsid w:val="1EE4052A"/>
    <w:rsid w:val="1F114ADE"/>
    <w:rsid w:val="1F4875E2"/>
    <w:rsid w:val="1F501AAA"/>
    <w:rsid w:val="1FBB33C8"/>
    <w:rsid w:val="1FF0173A"/>
    <w:rsid w:val="200E2DA3"/>
    <w:rsid w:val="203D2BA3"/>
    <w:rsid w:val="205051AD"/>
    <w:rsid w:val="205B0707"/>
    <w:rsid w:val="207A1985"/>
    <w:rsid w:val="20915ED7"/>
    <w:rsid w:val="20A0611A"/>
    <w:rsid w:val="20B16579"/>
    <w:rsid w:val="20C52024"/>
    <w:rsid w:val="20E27B73"/>
    <w:rsid w:val="20FE3FB2"/>
    <w:rsid w:val="211762CF"/>
    <w:rsid w:val="216B497A"/>
    <w:rsid w:val="21826735"/>
    <w:rsid w:val="218C669E"/>
    <w:rsid w:val="21F4671D"/>
    <w:rsid w:val="21F678A6"/>
    <w:rsid w:val="22351B45"/>
    <w:rsid w:val="22456B87"/>
    <w:rsid w:val="22C5455D"/>
    <w:rsid w:val="22C62CF4"/>
    <w:rsid w:val="233D3630"/>
    <w:rsid w:val="23451001"/>
    <w:rsid w:val="23535CD5"/>
    <w:rsid w:val="23593B7F"/>
    <w:rsid w:val="238B32BE"/>
    <w:rsid w:val="23A06120"/>
    <w:rsid w:val="24455956"/>
    <w:rsid w:val="24667E33"/>
    <w:rsid w:val="247104F9"/>
    <w:rsid w:val="24782AD4"/>
    <w:rsid w:val="247B4A27"/>
    <w:rsid w:val="24DE1906"/>
    <w:rsid w:val="24F353B2"/>
    <w:rsid w:val="251315B0"/>
    <w:rsid w:val="252A0186"/>
    <w:rsid w:val="2559758D"/>
    <w:rsid w:val="256173B3"/>
    <w:rsid w:val="259D70CC"/>
    <w:rsid w:val="25EE6D40"/>
    <w:rsid w:val="260E093B"/>
    <w:rsid w:val="26192BF6"/>
    <w:rsid w:val="261B4EF4"/>
    <w:rsid w:val="261E020C"/>
    <w:rsid w:val="2664162A"/>
    <w:rsid w:val="26A44EFA"/>
    <w:rsid w:val="26E256DE"/>
    <w:rsid w:val="26F14FA0"/>
    <w:rsid w:val="26F21627"/>
    <w:rsid w:val="26F62E26"/>
    <w:rsid w:val="26F94E57"/>
    <w:rsid w:val="27027B2E"/>
    <w:rsid w:val="27027FD4"/>
    <w:rsid w:val="27082C6B"/>
    <w:rsid w:val="277D71B5"/>
    <w:rsid w:val="27952750"/>
    <w:rsid w:val="27CB3585"/>
    <w:rsid w:val="280E0D54"/>
    <w:rsid w:val="28207F86"/>
    <w:rsid w:val="28397580"/>
    <w:rsid w:val="283A6E54"/>
    <w:rsid w:val="286E02B3"/>
    <w:rsid w:val="28905114"/>
    <w:rsid w:val="28AC24C6"/>
    <w:rsid w:val="28B27332"/>
    <w:rsid w:val="28C8735A"/>
    <w:rsid w:val="28CD7B64"/>
    <w:rsid w:val="28DA73F5"/>
    <w:rsid w:val="292329C4"/>
    <w:rsid w:val="29932000"/>
    <w:rsid w:val="2996039A"/>
    <w:rsid w:val="29A712B9"/>
    <w:rsid w:val="29AE6B2F"/>
    <w:rsid w:val="29B449E4"/>
    <w:rsid w:val="29CD7F41"/>
    <w:rsid w:val="29F55728"/>
    <w:rsid w:val="2A141CA3"/>
    <w:rsid w:val="2A286500"/>
    <w:rsid w:val="2A2A1BA1"/>
    <w:rsid w:val="2A30050E"/>
    <w:rsid w:val="2A6B1E5B"/>
    <w:rsid w:val="2A8E3487"/>
    <w:rsid w:val="2A9E4307"/>
    <w:rsid w:val="2AAE58D7"/>
    <w:rsid w:val="2ACD3FAF"/>
    <w:rsid w:val="2AF43C32"/>
    <w:rsid w:val="2AFE1A2C"/>
    <w:rsid w:val="2B015ADF"/>
    <w:rsid w:val="2B163BA8"/>
    <w:rsid w:val="2B175C1A"/>
    <w:rsid w:val="2B2273BF"/>
    <w:rsid w:val="2B2C0E08"/>
    <w:rsid w:val="2B7A0AA7"/>
    <w:rsid w:val="2BC74EA2"/>
    <w:rsid w:val="2C025EDA"/>
    <w:rsid w:val="2C0942F2"/>
    <w:rsid w:val="2C1D2D14"/>
    <w:rsid w:val="2C2B4BF7"/>
    <w:rsid w:val="2CFC2BFE"/>
    <w:rsid w:val="2D0B2C28"/>
    <w:rsid w:val="2D412A32"/>
    <w:rsid w:val="2D7357AD"/>
    <w:rsid w:val="2D742E08"/>
    <w:rsid w:val="2D855015"/>
    <w:rsid w:val="2DA90D03"/>
    <w:rsid w:val="2DC63FCA"/>
    <w:rsid w:val="2DDC7F49"/>
    <w:rsid w:val="2DF13843"/>
    <w:rsid w:val="2DF225C7"/>
    <w:rsid w:val="2E12514F"/>
    <w:rsid w:val="2E3D31FA"/>
    <w:rsid w:val="2E421B72"/>
    <w:rsid w:val="2F0B32F8"/>
    <w:rsid w:val="2F195A15"/>
    <w:rsid w:val="2F560A17"/>
    <w:rsid w:val="2F642A08"/>
    <w:rsid w:val="2FC35462"/>
    <w:rsid w:val="2FF975F4"/>
    <w:rsid w:val="306C6018"/>
    <w:rsid w:val="30B17ECF"/>
    <w:rsid w:val="30CD2F5B"/>
    <w:rsid w:val="30F46294"/>
    <w:rsid w:val="312955B3"/>
    <w:rsid w:val="314D028A"/>
    <w:rsid w:val="31895052"/>
    <w:rsid w:val="321E77E6"/>
    <w:rsid w:val="32483FAD"/>
    <w:rsid w:val="32780CA4"/>
    <w:rsid w:val="327E4B63"/>
    <w:rsid w:val="32BC3287"/>
    <w:rsid w:val="32DD31FD"/>
    <w:rsid w:val="32F8457A"/>
    <w:rsid w:val="33095B3D"/>
    <w:rsid w:val="33233306"/>
    <w:rsid w:val="338B0EAB"/>
    <w:rsid w:val="339A2E9C"/>
    <w:rsid w:val="33BA151A"/>
    <w:rsid w:val="33EF143A"/>
    <w:rsid w:val="345F7433"/>
    <w:rsid w:val="34AF7003"/>
    <w:rsid w:val="34E42621"/>
    <w:rsid w:val="3505165F"/>
    <w:rsid w:val="355530AA"/>
    <w:rsid w:val="357E2A76"/>
    <w:rsid w:val="358E07DF"/>
    <w:rsid w:val="36383696"/>
    <w:rsid w:val="364631D7"/>
    <w:rsid w:val="36694646"/>
    <w:rsid w:val="36806379"/>
    <w:rsid w:val="368928C2"/>
    <w:rsid w:val="36E52680"/>
    <w:rsid w:val="371638DF"/>
    <w:rsid w:val="376A1FCD"/>
    <w:rsid w:val="3776777C"/>
    <w:rsid w:val="377E4FAF"/>
    <w:rsid w:val="37850378"/>
    <w:rsid w:val="37BD420F"/>
    <w:rsid w:val="38F00B77"/>
    <w:rsid w:val="39E8551F"/>
    <w:rsid w:val="39ED01CA"/>
    <w:rsid w:val="39FF1B87"/>
    <w:rsid w:val="3A2D43ED"/>
    <w:rsid w:val="3A571AE7"/>
    <w:rsid w:val="3A5D7BD1"/>
    <w:rsid w:val="3A79380C"/>
    <w:rsid w:val="3AAF722D"/>
    <w:rsid w:val="3ACA6678"/>
    <w:rsid w:val="3AFC5113"/>
    <w:rsid w:val="3B1F29B6"/>
    <w:rsid w:val="3B585916"/>
    <w:rsid w:val="3B8D45DF"/>
    <w:rsid w:val="3B940D0C"/>
    <w:rsid w:val="3BCA5C37"/>
    <w:rsid w:val="3C5C711F"/>
    <w:rsid w:val="3C6C6757"/>
    <w:rsid w:val="3C8A61A4"/>
    <w:rsid w:val="3C964B49"/>
    <w:rsid w:val="3C9943D8"/>
    <w:rsid w:val="3CAD798A"/>
    <w:rsid w:val="3D1D2A82"/>
    <w:rsid w:val="3D734E8A"/>
    <w:rsid w:val="3DD53747"/>
    <w:rsid w:val="3DF67891"/>
    <w:rsid w:val="3E015FF2"/>
    <w:rsid w:val="3E0C3B6F"/>
    <w:rsid w:val="3E18158D"/>
    <w:rsid w:val="3E1D38C4"/>
    <w:rsid w:val="3E471418"/>
    <w:rsid w:val="3E4F5F4D"/>
    <w:rsid w:val="3ECB49F2"/>
    <w:rsid w:val="3ED14C7B"/>
    <w:rsid w:val="3EDE6333"/>
    <w:rsid w:val="3F5B255F"/>
    <w:rsid w:val="3F6B1EDC"/>
    <w:rsid w:val="3FA94B93"/>
    <w:rsid w:val="3FC217B1"/>
    <w:rsid w:val="3FCE45FA"/>
    <w:rsid w:val="3FF05FBA"/>
    <w:rsid w:val="40275AB8"/>
    <w:rsid w:val="402F5BFF"/>
    <w:rsid w:val="40844CB8"/>
    <w:rsid w:val="408B24EB"/>
    <w:rsid w:val="40A36A84"/>
    <w:rsid w:val="40B01F51"/>
    <w:rsid w:val="40DC5A18"/>
    <w:rsid w:val="40F24318"/>
    <w:rsid w:val="41D5429B"/>
    <w:rsid w:val="420B186A"/>
    <w:rsid w:val="422B5D33"/>
    <w:rsid w:val="423050F8"/>
    <w:rsid w:val="42385C98"/>
    <w:rsid w:val="428042FE"/>
    <w:rsid w:val="42893285"/>
    <w:rsid w:val="42C7371B"/>
    <w:rsid w:val="42D02437"/>
    <w:rsid w:val="42DA32B5"/>
    <w:rsid w:val="42F94AE0"/>
    <w:rsid w:val="434846C3"/>
    <w:rsid w:val="437377FC"/>
    <w:rsid w:val="4377703C"/>
    <w:rsid w:val="439A6EE9"/>
    <w:rsid w:val="439B2A45"/>
    <w:rsid w:val="43B50E83"/>
    <w:rsid w:val="44202F4A"/>
    <w:rsid w:val="444B446B"/>
    <w:rsid w:val="44755AC2"/>
    <w:rsid w:val="44797882"/>
    <w:rsid w:val="448B19F6"/>
    <w:rsid w:val="448C36C1"/>
    <w:rsid w:val="44A50CAA"/>
    <w:rsid w:val="44D75CFE"/>
    <w:rsid w:val="45154A79"/>
    <w:rsid w:val="45231B23"/>
    <w:rsid w:val="45365B82"/>
    <w:rsid w:val="453B0CD9"/>
    <w:rsid w:val="45461087"/>
    <w:rsid w:val="454F6D22"/>
    <w:rsid w:val="458A2D71"/>
    <w:rsid w:val="458E697F"/>
    <w:rsid w:val="45921C25"/>
    <w:rsid w:val="459534C4"/>
    <w:rsid w:val="45A100BA"/>
    <w:rsid w:val="45C67B5B"/>
    <w:rsid w:val="4644644F"/>
    <w:rsid w:val="468C0D6B"/>
    <w:rsid w:val="46A010F9"/>
    <w:rsid w:val="46A80F77"/>
    <w:rsid w:val="46B67B95"/>
    <w:rsid w:val="46B73255"/>
    <w:rsid w:val="46BC4F77"/>
    <w:rsid w:val="47280A93"/>
    <w:rsid w:val="47337020"/>
    <w:rsid w:val="474200F3"/>
    <w:rsid w:val="474D4056"/>
    <w:rsid w:val="476D6EF5"/>
    <w:rsid w:val="479C322F"/>
    <w:rsid w:val="47ED3A8B"/>
    <w:rsid w:val="482B7A7B"/>
    <w:rsid w:val="48586940"/>
    <w:rsid w:val="48C630BB"/>
    <w:rsid w:val="48EB621C"/>
    <w:rsid w:val="493A5F00"/>
    <w:rsid w:val="49873024"/>
    <w:rsid w:val="498D2E30"/>
    <w:rsid w:val="498E6BA8"/>
    <w:rsid w:val="49A11F60"/>
    <w:rsid w:val="49CC7DFC"/>
    <w:rsid w:val="49D55251"/>
    <w:rsid w:val="49E512C7"/>
    <w:rsid w:val="4A0155CC"/>
    <w:rsid w:val="4A335BCE"/>
    <w:rsid w:val="4AB27C89"/>
    <w:rsid w:val="4AD11442"/>
    <w:rsid w:val="4B596751"/>
    <w:rsid w:val="4B5968F5"/>
    <w:rsid w:val="4B773D97"/>
    <w:rsid w:val="4BAC4FAF"/>
    <w:rsid w:val="4BC8467F"/>
    <w:rsid w:val="4BEA27BB"/>
    <w:rsid w:val="4CF431C6"/>
    <w:rsid w:val="4CFE53E3"/>
    <w:rsid w:val="4D5B7C28"/>
    <w:rsid w:val="4D654C9D"/>
    <w:rsid w:val="4D6C37E5"/>
    <w:rsid w:val="4DA46B80"/>
    <w:rsid w:val="4DB3043D"/>
    <w:rsid w:val="4DD70B1D"/>
    <w:rsid w:val="4E0D453F"/>
    <w:rsid w:val="4E1B4533"/>
    <w:rsid w:val="4E58792B"/>
    <w:rsid w:val="4E8F31A6"/>
    <w:rsid w:val="4EB946C7"/>
    <w:rsid w:val="4ED96B17"/>
    <w:rsid w:val="4EE26052"/>
    <w:rsid w:val="4F04178B"/>
    <w:rsid w:val="4F0A4599"/>
    <w:rsid w:val="4F2556E4"/>
    <w:rsid w:val="4F563CC4"/>
    <w:rsid w:val="4F6C2FB2"/>
    <w:rsid w:val="4F92270E"/>
    <w:rsid w:val="4F934F18"/>
    <w:rsid w:val="4F9E636D"/>
    <w:rsid w:val="4FE63648"/>
    <w:rsid w:val="50160853"/>
    <w:rsid w:val="505F4453"/>
    <w:rsid w:val="509B22D6"/>
    <w:rsid w:val="50D30FD6"/>
    <w:rsid w:val="50D852D8"/>
    <w:rsid w:val="513466B6"/>
    <w:rsid w:val="51905BB3"/>
    <w:rsid w:val="51EF5042"/>
    <w:rsid w:val="51F14D21"/>
    <w:rsid w:val="51FC49CB"/>
    <w:rsid w:val="52075749"/>
    <w:rsid w:val="521C44FF"/>
    <w:rsid w:val="522A0590"/>
    <w:rsid w:val="525A1D1D"/>
    <w:rsid w:val="52654869"/>
    <w:rsid w:val="52725D78"/>
    <w:rsid w:val="52A1794C"/>
    <w:rsid w:val="5303051B"/>
    <w:rsid w:val="5314011E"/>
    <w:rsid w:val="531E2D4A"/>
    <w:rsid w:val="53746BFD"/>
    <w:rsid w:val="53773B5B"/>
    <w:rsid w:val="53A16DA2"/>
    <w:rsid w:val="53EC64A0"/>
    <w:rsid w:val="53F06773"/>
    <w:rsid w:val="54096788"/>
    <w:rsid w:val="545A4256"/>
    <w:rsid w:val="545D78A2"/>
    <w:rsid w:val="54AF1D7E"/>
    <w:rsid w:val="54C53DC5"/>
    <w:rsid w:val="54CA2B18"/>
    <w:rsid w:val="54EA7388"/>
    <w:rsid w:val="54F06565"/>
    <w:rsid w:val="554F0427"/>
    <w:rsid w:val="55BF6A67"/>
    <w:rsid w:val="55E707C8"/>
    <w:rsid w:val="564203BE"/>
    <w:rsid w:val="566B274A"/>
    <w:rsid w:val="56951575"/>
    <w:rsid w:val="56B37004"/>
    <w:rsid w:val="56B91708"/>
    <w:rsid w:val="56C854A7"/>
    <w:rsid w:val="570D3802"/>
    <w:rsid w:val="572F5526"/>
    <w:rsid w:val="57573E4D"/>
    <w:rsid w:val="576D6809"/>
    <w:rsid w:val="57E24C8E"/>
    <w:rsid w:val="580544D9"/>
    <w:rsid w:val="58104D51"/>
    <w:rsid w:val="581A4BFA"/>
    <w:rsid w:val="58246AC3"/>
    <w:rsid w:val="585E3173"/>
    <w:rsid w:val="588C0756"/>
    <w:rsid w:val="58BA6D2D"/>
    <w:rsid w:val="59017667"/>
    <w:rsid w:val="59185336"/>
    <w:rsid w:val="592409DF"/>
    <w:rsid w:val="5955323E"/>
    <w:rsid w:val="59633BAD"/>
    <w:rsid w:val="599975CF"/>
    <w:rsid w:val="59FB128F"/>
    <w:rsid w:val="59FE7432"/>
    <w:rsid w:val="5A0228E9"/>
    <w:rsid w:val="5A04713E"/>
    <w:rsid w:val="5A19111B"/>
    <w:rsid w:val="5A2920D7"/>
    <w:rsid w:val="5A5F4810"/>
    <w:rsid w:val="5A654B04"/>
    <w:rsid w:val="5A6F20DD"/>
    <w:rsid w:val="5A755946"/>
    <w:rsid w:val="5A814619"/>
    <w:rsid w:val="5AB81CD6"/>
    <w:rsid w:val="5AD00DCE"/>
    <w:rsid w:val="5B0E04AE"/>
    <w:rsid w:val="5B0E436F"/>
    <w:rsid w:val="5B0F11F3"/>
    <w:rsid w:val="5B286E5C"/>
    <w:rsid w:val="5B310151"/>
    <w:rsid w:val="5B3572FB"/>
    <w:rsid w:val="5B3B6561"/>
    <w:rsid w:val="5B3C46B5"/>
    <w:rsid w:val="5B4A50BF"/>
    <w:rsid w:val="5B9A03B8"/>
    <w:rsid w:val="5BB029AE"/>
    <w:rsid w:val="5BE014E5"/>
    <w:rsid w:val="5BE12FA3"/>
    <w:rsid w:val="5C2018E1"/>
    <w:rsid w:val="5C205D85"/>
    <w:rsid w:val="5C4D6613"/>
    <w:rsid w:val="5C7659A5"/>
    <w:rsid w:val="5CD10E2D"/>
    <w:rsid w:val="5CE2303B"/>
    <w:rsid w:val="5CE45BC7"/>
    <w:rsid w:val="5CFF3BED"/>
    <w:rsid w:val="5D384590"/>
    <w:rsid w:val="5D8866EC"/>
    <w:rsid w:val="5D8B5480"/>
    <w:rsid w:val="5DC20FDB"/>
    <w:rsid w:val="5DED0FAF"/>
    <w:rsid w:val="5E191473"/>
    <w:rsid w:val="5E221EA4"/>
    <w:rsid w:val="5E286051"/>
    <w:rsid w:val="5E5A7849"/>
    <w:rsid w:val="5E70651B"/>
    <w:rsid w:val="5E8C14B0"/>
    <w:rsid w:val="5EBF421E"/>
    <w:rsid w:val="5EC35B8A"/>
    <w:rsid w:val="5ED910CD"/>
    <w:rsid w:val="5EED2465"/>
    <w:rsid w:val="5F013C4C"/>
    <w:rsid w:val="5F096FA4"/>
    <w:rsid w:val="5F4C0C3F"/>
    <w:rsid w:val="5F6146EB"/>
    <w:rsid w:val="5FC03B07"/>
    <w:rsid w:val="5FCD3F3D"/>
    <w:rsid w:val="60115E2E"/>
    <w:rsid w:val="603A7008"/>
    <w:rsid w:val="60B22ECB"/>
    <w:rsid w:val="60F46CF8"/>
    <w:rsid w:val="611D2700"/>
    <w:rsid w:val="61347A04"/>
    <w:rsid w:val="61504A17"/>
    <w:rsid w:val="618D2305"/>
    <w:rsid w:val="61A42FB4"/>
    <w:rsid w:val="621E2D67"/>
    <w:rsid w:val="62373E29"/>
    <w:rsid w:val="62586279"/>
    <w:rsid w:val="629848C7"/>
    <w:rsid w:val="62B13874"/>
    <w:rsid w:val="62C01E93"/>
    <w:rsid w:val="630C0E11"/>
    <w:rsid w:val="632E6FDA"/>
    <w:rsid w:val="63672753"/>
    <w:rsid w:val="63972DD1"/>
    <w:rsid w:val="63F2026A"/>
    <w:rsid w:val="63FA5FE0"/>
    <w:rsid w:val="6441108B"/>
    <w:rsid w:val="6452360C"/>
    <w:rsid w:val="646937B4"/>
    <w:rsid w:val="64771C4A"/>
    <w:rsid w:val="648275DD"/>
    <w:rsid w:val="649317EA"/>
    <w:rsid w:val="64A532CB"/>
    <w:rsid w:val="64A87BFB"/>
    <w:rsid w:val="64CE1249"/>
    <w:rsid w:val="64D90A5D"/>
    <w:rsid w:val="64FC354F"/>
    <w:rsid w:val="652274FC"/>
    <w:rsid w:val="65367115"/>
    <w:rsid w:val="6554084E"/>
    <w:rsid w:val="659A0B93"/>
    <w:rsid w:val="65C52E43"/>
    <w:rsid w:val="65C57872"/>
    <w:rsid w:val="65E62E7A"/>
    <w:rsid w:val="66124991"/>
    <w:rsid w:val="66190A55"/>
    <w:rsid w:val="663327C8"/>
    <w:rsid w:val="66486604"/>
    <w:rsid w:val="66743F27"/>
    <w:rsid w:val="66C51D7C"/>
    <w:rsid w:val="66C739CD"/>
    <w:rsid w:val="66DB09CF"/>
    <w:rsid w:val="66EC7F6C"/>
    <w:rsid w:val="66FD119D"/>
    <w:rsid w:val="67287B59"/>
    <w:rsid w:val="6761038C"/>
    <w:rsid w:val="6762507E"/>
    <w:rsid w:val="678278F4"/>
    <w:rsid w:val="679A1526"/>
    <w:rsid w:val="67B57CC9"/>
    <w:rsid w:val="67BB5990"/>
    <w:rsid w:val="67C63C85"/>
    <w:rsid w:val="685667C9"/>
    <w:rsid w:val="688357CB"/>
    <w:rsid w:val="68B27D65"/>
    <w:rsid w:val="690A194F"/>
    <w:rsid w:val="69156FF4"/>
    <w:rsid w:val="69180510"/>
    <w:rsid w:val="691A2862"/>
    <w:rsid w:val="691B765B"/>
    <w:rsid w:val="69531548"/>
    <w:rsid w:val="696061FE"/>
    <w:rsid w:val="698F52B0"/>
    <w:rsid w:val="69B87AB0"/>
    <w:rsid w:val="69F452BC"/>
    <w:rsid w:val="6A37733C"/>
    <w:rsid w:val="6A55256E"/>
    <w:rsid w:val="6A6B466F"/>
    <w:rsid w:val="6A72289F"/>
    <w:rsid w:val="6AAD178D"/>
    <w:rsid w:val="6AB921AE"/>
    <w:rsid w:val="6ABE7E43"/>
    <w:rsid w:val="6AD246EE"/>
    <w:rsid w:val="6B1D24EB"/>
    <w:rsid w:val="6B2A62D8"/>
    <w:rsid w:val="6B4F71B4"/>
    <w:rsid w:val="6BB40298"/>
    <w:rsid w:val="6BE627E7"/>
    <w:rsid w:val="6BF43F27"/>
    <w:rsid w:val="6C2766C6"/>
    <w:rsid w:val="6C6963BD"/>
    <w:rsid w:val="6C6A466A"/>
    <w:rsid w:val="6C7D4B2E"/>
    <w:rsid w:val="6C7D68DC"/>
    <w:rsid w:val="6C946C78"/>
    <w:rsid w:val="6CAD5413"/>
    <w:rsid w:val="6CBA6C4E"/>
    <w:rsid w:val="6CC649E7"/>
    <w:rsid w:val="6CCB5899"/>
    <w:rsid w:val="6CE626D3"/>
    <w:rsid w:val="6D06067F"/>
    <w:rsid w:val="6D5E495F"/>
    <w:rsid w:val="6DA305C4"/>
    <w:rsid w:val="6DB96F6C"/>
    <w:rsid w:val="6DDA5CDD"/>
    <w:rsid w:val="6E105C5A"/>
    <w:rsid w:val="6E124509"/>
    <w:rsid w:val="6E1F5E9D"/>
    <w:rsid w:val="6E612D84"/>
    <w:rsid w:val="6E6F412F"/>
    <w:rsid w:val="6E963C85"/>
    <w:rsid w:val="6EC801D0"/>
    <w:rsid w:val="6ED1025D"/>
    <w:rsid w:val="6F5F71DE"/>
    <w:rsid w:val="6F8F3F16"/>
    <w:rsid w:val="6FBC4288"/>
    <w:rsid w:val="70BC3E77"/>
    <w:rsid w:val="70D535C3"/>
    <w:rsid w:val="70DD61B2"/>
    <w:rsid w:val="70F34B3D"/>
    <w:rsid w:val="712716DB"/>
    <w:rsid w:val="7151758B"/>
    <w:rsid w:val="71624317"/>
    <w:rsid w:val="72005FE5"/>
    <w:rsid w:val="72587BCF"/>
    <w:rsid w:val="729C445C"/>
    <w:rsid w:val="730E64E0"/>
    <w:rsid w:val="7318171D"/>
    <w:rsid w:val="736507F6"/>
    <w:rsid w:val="738F5872"/>
    <w:rsid w:val="73A47784"/>
    <w:rsid w:val="73CB37B9"/>
    <w:rsid w:val="7420488D"/>
    <w:rsid w:val="74637B17"/>
    <w:rsid w:val="74721671"/>
    <w:rsid w:val="74866930"/>
    <w:rsid w:val="74DD63C6"/>
    <w:rsid w:val="74EC7140"/>
    <w:rsid w:val="74EE481B"/>
    <w:rsid w:val="74F732F4"/>
    <w:rsid w:val="74FD02DE"/>
    <w:rsid w:val="751D3132"/>
    <w:rsid w:val="75470E99"/>
    <w:rsid w:val="755C04BF"/>
    <w:rsid w:val="75906C53"/>
    <w:rsid w:val="75D755E0"/>
    <w:rsid w:val="763767F1"/>
    <w:rsid w:val="764716AA"/>
    <w:rsid w:val="764861AD"/>
    <w:rsid w:val="766E2F60"/>
    <w:rsid w:val="76766876"/>
    <w:rsid w:val="76AA4771"/>
    <w:rsid w:val="76AA50A4"/>
    <w:rsid w:val="77281627"/>
    <w:rsid w:val="772938E8"/>
    <w:rsid w:val="772A5792"/>
    <w:rsid w:val="77306D03"/>
    <w:rsid w:val="77472B3C"/>
    <w:rsid w:val="776E1C43"/>
    <w:rsid w:val="77C95B64"/>
    <w:rsid w:val="77DC2305"/>
    <w:rsid w:val="77F312B7"/>
    <w:rsid w:val="78174088"/>
    <w:rsid w:val="781B45E8"/>
    <w:rsid w:val="785B3F75"/>
    <w:rsid w:val="787B1017"/>
    <w:rsid w:val="78BE0AD8"/>
    <w:rsid w:val="78CD2873"/>
    <w:rsid w:val="78D930EC"/>
    <w:rsid w:val="790D22C6"/>
    <w:rsid w:val="792C51C7"/>
    <w:rsid w:val="79346574"/>
    <w:rsid w:val="793F73F3"/>
    <w:rsid w:val="79A731EA"/>
    <w:rsid w:val="79BC3831"/>
    <w:rsid w:val="79D32ACA"/>
    <w:rsid w:val="79E166FC"/>
    <w:rsid w:val="7A146AD1"/>
    <w:rsid w:val="7A1545F8"/>
    <w:rsid w:val="7A227CBF"/>
    <w:rsid w:val="7A4B0B98"/>
    <w:rsid w:val="7A6171B2"/>
    <w:rsid w:val="7A637111"/>
    <w:rsid w:val="7AAB2DE0"/>
    <w:rsid w:val="7AB76BC1"/>
    <w:rsid w:val="7AC73B44"/>
    <w:rsid w:val="7ADE0E8D"/>
    <w:rsid w:val="7AEE420A"/>
    <w:rsid w:val="7B1149A6"/>
    <w:rsid w:val="7B226FCC"/>
    <w:rsid w:val="7B4B6523"/>
    <w:rsid w:val="7C0431C8"/>
    <w:rsid w:val="7C5A2EEC"/>
    <w:rsid w:val="7C855A65"/>
    <w:rsid w:val="7C9C2DAE"/>
    <w:rsid w:val="7CA917A9"/>
    <w:rsid w:val="7CAA5BD6"/>
    <w:rsid w:val="7CD67231"/>
    <w:rsid w:val="7CF32EBB"/>
    <w:rsid w:val="7D083FA0"/>
    <w:rsid w:val="7D20753B"/>
    <w:rsid w:val="7D360B0D"/>
    <w:rsid w:val="7D630A43"/>
    <w:rsid w:val="7D637428"/>
    <w:rsid w:val="7D6457E7"/>
    <w:rsid w:val="7DBB7264"/>
    <w:rsid w:val="7DDC2D4D"/>
    <w:rsid w:val="7E8547F2"/>
    <w:rsid w:val="7E8848F2"/>
    <w:rsid w:val="7E9E2E0E"/>
    <w:rsid w:val="7EA14BE5"/>
    <w:rsid w:val="7EA52C7F"/>
    <w:rsid w:val="7ED14F91"/>
    <w:rsid w:val="7EE6351F"/>
    <w:rsid w:val="7EF46ED2"/>
    <w:rsid w:val="7F2826D7"/>
    <w:rsid w:val="7F455247"/>
    <w:rsid w:val="7F857B2A"/>
    <w:rsid w:val="7FAB38E6"/>
    <w:rsid w:val="7FC5075B"/>
    <w:rsid w:val="7FC62727"/>
    <w:rsid w:val="7FE1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7"/>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55"/>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51"/>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7"/>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9"/>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9"/>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60"/>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61"/>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62"/>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101"/>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90"/>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23"/>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70"/>
    <w:unhideWhenUsed/>
    <w:qFormat/>
    <w:uiPriority w:val="99"/>
    <w:pPr>
      <w:jc w:val="left"/>
    </w:pPr>
  </w:style>
  <w:style w:type="paragraph" w:styleId="17">
    <w:name w:val="Body Text 3"/>
    <w:basedOn w:val="1"/>
    <w:link w:val="163"/>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link w:val="125"/>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9"/>
    <w:qFormat/>
    <w:uiPriority w:val="0"/>
    <w:pPr>
      <w:ind w:left="567" w:leftChars="270"/>
    </w:pPr>
    <w:rPr>
      <w:rFonts w:ascii="Times New Roman" w:hAnsi="Times New Roman" w:eastAsia="宋体" w:cs="Times New Roman"/>
      <w:szCs w:val="20"/>
    </w:rPr>
  </w:style>
  <w:style w:type="paragraph" w:styleId="20">
    <w:name w:val="List Bullet 2"/>
    <w:basedOn w:val="1"/>
    <w:next w:val="21"/>
    <w:semiHidden/>
    <w:unhideWhenUsed/>
    <w:qFormat/>
    <w:uiPriority w:val="99"/>
    <w:pPr>
      <w:numPr>
        <w:ilvl w:val="0"/>
        <w:numId w:val="1"/>
      </w:numPr>
    </w:pPr>
  </w:style>
  <w:style w:type="paragraph" w:customStyle="1" w:styleId="21">
    <w:name w:val="xl70"/>
    <w:basedOn w:val="1"/>
    <w:next w:val="22"/>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723" w:firstLineChars="200"/>
      <w:jc w:val="center"/>
      <w:textAlignment w:val="center"/>
    </w:pPr>
    <w:rPr>
      <w:kern w:val="0"/>
      <w:sz w:val="24"/>
    </w:rPr>
  </w:style>
  <w:style w:type="paragraph" w:customStyle="1" w:styleId="22">
    <w:name w:val="正文缩进1"/>
    <w:basedOn w:val="1"/>
    <w:next w:val="23"/>
    <w:qFormat/>
    <w:uiPriority w:val="0"/>
    <w:pPr>
      <w:adjustRightInd w:val="0"/>
      <w:ind w:firstLine="420" w:firstLineChars="200"/>
      <w:textAlignment w:val="baseline"/>
    </w:pPr>
    <w:rPr>
      <w:kern w:val="0"/>
      <w:sz w:val="24"/>
    </w:rPr>
  </w:style>
  <w:style w:type="paragraph" w:customStyle="1" w:styleId="23">
    <w:name w:val="td1"/>
    <w:basedOn w:val="1"/>
    <w:next w:val="1"/>
    <w:qFormat/>
    <w:uiPriority w:val="0"/>
    <w:pPr>
      <w:widowControl/>
      <w:spacing w:before="100" w:beforeAutospacing="1" w:after="100" w:afterAutospacing="1"/>
      <w:jc w:val="center"/>
    </w:pPr>
    <w:rPr>
      <w:rFonts w:ascii="宋体" w:hAnsi="宋体"/>
      <w:b/>
      <w:bCs/>
      <w:color w:val="0000FF"/>
      <w:kern w:val="0"/>
      <w:sz w:val="28"/>
      <w:szCs w:val="28"/>
      <w:u w:val="single"/>
    </w:rPr>
  </w:style>
  <w:style w:type="paragraph" w:styleId="24">
    <w:name w:val="toc 3"/>
    <w:basedOn w:val="1"/>
    <w:next w:val="1"/>
    <w:unhideWhenUsed/>
    <w:qFormat/>
    <w:uiPriority w:val="39"/>
    <w:pPr>
      <w:tabs>
        <w:tab w:val="right" w:leader="dot" w:pos="10144"/>
      </w:tabs>
      <w:ind w:left="840" w:leftChars="400"/>
    </w:pPr>
  </w:style>
  <w:style w:type="paragraph" w:styleId="25">
    <w:name w:val="Plain Text"/>
    <w:basedOn w:val="1"/>
    <w:link w:val="107"/>
    <w:qFormat/>
    <w:uiPriority w:val="0"/>
    <w:rPr>
      <w:rFonts w:ascii="宋体" w:hAnsi="Courier New" w:eastAsia="宋体"/>
    </w:rPr>
  </w:style>
  <w:style w:type="paragraph" w:styleId="26">
    <w:name w:val="Date"/>
    <w:basedOn w:val="1"/>
    <w:next w:val="1"/>
    <w:link w:val="115"/>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7">
    <w:name w:val="Body Text Indent 2"/>
    <w:basedOn w:val="1"/>
    <w:link w:val="108"/>
    <w:qFormat/>
    <w:uiPriority w:val="0"/>
    <w:pPr>
      <w:tabs>
        <w:tab w:val="left" w:pos="8640"/>
      </w:tabs>
      <w:ind w:left="1260"/>
    </w:pPr>
    <w:rPr>
      <w:rFonts w:ascii="宋体" w:hAnsi="Times New Roman" w:eastAsia="宋体" w:cs="Times New Roman"/>
      <w:szCs w:val="20"/>
    </w:rPr>
  </w:style>
  <w:style w:type="paragraph" w:styleId="28">
    <w:name w:val="Balloon Text"/>
    <w:basedOn w:val="1"/>
    <w:link w:val="81"/>
    <w:qFormat/>
    <w:uiPriority w:val="0"/>
    <w:rPr>
      <w:rFonts w:ascii="Times New Roman" w:hAnsi="Times New Roman" w:eastAsia="宋体" w:cs="Times New Roman"/>
      <w:sz w:val="18"/>
      <w:szCs w:val="18"/>
    </w:rPr>
  </w:style>
  <w:style w:type="paragraph" w:styleId="29">
    <w:name w:val="footer"/>
    <w:basedOn w:val="1"/>
    <w:link w:val="85"/>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30">
    <w:name w:val="header"/>
    <w:basedOn w:val="1"/>
    <w:link w:val="127"/>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1">
    <w:name w:val="toc 1"/>
    <w:basedOn w:val="1"/>
    <w:next w:val="1"/>
    <w:unhideWhenUsed/>
    <w:qFormat/>
    <w:uiPriority w:val="39"/>
  </w:style>
  <w:style w:type="paragraph" w:styleId="32">
    <w:name w:val="List"/>
    <w:basedOn w:val="1"/>
    <w:next w:val="20"/>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3">
    <w:name w:val="Body Text Indent 3"/>
    <w:basedOn w:val="1"/>
    <w:link w:val="161"/>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4">
    <w:name w:val="toc 2"/>
    <w:basedOn w:val="1"/>
    <w:next w:val="1"/>
    <w:semiHidden/>
    <w:unhideWhenUsed/>
    <w:qFormat/>
    <w:uiPriority w:val="39"/>
    <w:pPr>
      <w:ind w:left="420" w:leftChars="200"/>
    </w:pPr>
  </w:style>
  <w:style w:type="paragraph" w:styleId="35">
    <w:name w:val="Body Text 2"/>
    <w:basedOn w:val="1"/>
    <w:link w:val="150"/>
    <w:qFormat/>
    <w:uiPriority w:val="0"/>
    <w:pPr>
      <w:tabs>
        <w:tab w:val="left" w:pos="0"/>
      </w:tabs>
      <w:spacing w:line="400" w:lineRule="atLeast"/>
    </w:pPr>
    <w:rPr>
      <w:rFonts w:ascii="Arial" w:hAnsi="Arial" w:eastAsia="宋体" w:cs="Times New Roman"/>
      <w:color w:val="000000"/>
      <w:szCs w:val="24"/>
    </w:rPr>
  </w:style>
  <w:style w:type="paragraph" w:styleId="36">
    <w:name w:val="HTML Preformatted"/>
    <w:basedOn w:val="1"/>
    <w:link w:val="9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7">
    <w:name w:val="Normal (Web)"/>
    <w:basedOn w:val="1"/>
    <w:link w:val="100"/>
    <w:qFormat/>
    <w:uiPriority w:val="0"/>
    <w:pPr>
      <w:widowControl/>
      <w:spacing w:before="100" w:beforeAutospacing="1" w:after="100" w:afterAutospacing="1"/>
      <w:jc w:val="left"/>
    </w:pPr>
    <w:rPr>
      <w:rFonts w:ascii="宋体" w:hAnsi="宋体"/>
      <w:sz w:val="15"/>
      <w:szCs w:val="15"/>
    </w:rPr>
  </w:style>
  <w:style w:type="paragraph" w:styleId="38">
    <w:name w:val="Title"/>
    <w:basedOn w:val="1"/>
    <w:next w:val="1"/>
    <w:link w:val="65"/>
    <w:qFormat/>
    <w:uiPriority w:val="10"/>
    <w:pPr>
      <w:spacing w:before="120" w:after="60" w:line="300" w:lineRule="auto"/>
      <w:jc w:val="left"/>
      <w:outlineLvl w:val="0"/>
    </w:pPr>
    <w:rPr>
      <w:rFonts w:ascii="等线 Light" w:hAnsi="等线 Light" w:eastAsia="仿宋"/>
      <w:b/>
      <w:bCs/>
      <w:sz w:val="28"/>
      <w:szCs w:val="32"/>
    </w:rPr>
  </w:style>
  <w:style w:type="paragraph" w:styleId="39">
    <w:name w:val="annotation subject"/>
    <w:basedOn w:val="16"/>
    <w:next w:val="16"/>
    <w:link w:val="117"/>
    <w:qFormat/>
    <w:uiPriority w:val="99"/>
    <w:pPr>
      <w:autoSpaceDE w:val="0"/>
      <w:autoSpaceDN w:val="0"/>
      <w:adjustRightInd w:val="0"/>
    </w:pPr>
    <w:rPr>
      <w:rFonts w:ascii="宋体" w:hAnsi="Times New Roman" w:eastAsia="宋体" w:cs="Times New Roman"/>
      <w:b/>
      <w:bCs/>
      <w:kern w:val="0"/>
      <w:sz w:val="24"/>
      <w:szCs w:val="24"/>
    </w:rPr>
  </w:style>
  <w:style w:type="paragraph" w:styleId="40">
    <w:name w:val="Body Text First Indent"/>
    <w:basedOn w:val="18"/>
    <w:link w:val="209"/>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42">
    <w:name w:val="Table Grid"/>
    <w:basedOn w:val="41"/>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qFormat/>
    <w:uiPriority w:val="0"/>
    <w:rPr>
      <w:b/>
      <w:bCs/>
    </w:rPr>
  </w:style>
  <w:style w:type="character" w:styleId="45">
    <w:name w:val="page number"/>
    <w:qFormat/>
    <w:uiPriority w:val="0"/>
  </w:style>
  <w:style w:type="character" w:styleId="46">
    <w:name w:val="FollowedHyperlink"/>
    <w:unhideWhenUsed/>
    <w:qFormat/>
    <w:uiPriority w:val="99"/>
    <w:rPr>
      <w:color w:val="954F72"/>
      <w:u w:val="single"/>
    </w:rPr>
  </w:style>
  <w:style w:type="character" w:styleId="47">
    <w:name w:val="Emphasis"/>
    <w:qFormat/>
    <w:uiPriority w:val="0"/>
    <w:rPr>
      <w:i/>
      <w:iCs/>
    </w:rPr>
  </w:style>
  <w:style w:type="character" w:styleId="48">
    <w:name w:val="Hyperlink"/>
    <w:qFormat/>
    <w:uiPriority w:val="99"/>
    <w:rPr>
      <w:rFonts w:hint="default" w:ascii="Arial" w:hAnsi="Arial" w:cs="Arial"/>
      <w:color w:val="000000"/>
      <w:sz w:val="20"/>
      <w:szCs w:val="20"/>
      <w:u w:val="none"/>
    </w:rPr>
  </w:style>
  <w:style w:type="character" w:styleId="49">
    <w:name w:val="HTML Code"/>
    <w:basedOn w:val="43"/>
    <w:semiHidden/>
    <w:unhideWhenUsed/>
    <w:qFormat/>
    <w:uiPriority w:val="99"/>
    <w:rPr>
      <w:rFonts w:ascii="Courier New" w:hAnsi="Courier New"/>
      <w:sz w:val="20"/>
    </w:rPr>
  </w:style>
  <w:style w:type="character" w:styleId="50">
    <w:name w:val="annotation reference"/>
    <w:basedOn w:val="43"/>
    <w:qFormat/>
    <w:uiPriority w:val="99"/>
    <w:rPr>
      <w:sz w:val="21"/>
      <w:szCs w:val="21"/>
    </w:rPr>
  </w:style>
  <w:style w:type="paragraph" w:customStyle="1" w:styleId="51">
    <w:name w:val="样式 宋体 行距: 1.5 倍行距"/>
    <w:basedOn w:val="1"/>
    <w:qFormat/>
    <w:uiPriority w:val="0"/>
    <w:pPr>
      <w:autoSpaceDE w:val="0"/>
      <w:autoSpaceDN w:val="0"/>
      <w:adjustRightInd w:val="0"/>
      <w:jc w:val="center"/>
    </w:pPr>
    <w:rPr>
      <w:rFonts w:ascii="Times New Roman" w:hAnsi="Times New Roman" w:eastAsia="宋体" w:cs="Times New Roman"/>
      <w:b/>
      <w:kern w:val="0"/>
      <w:sz w:val="24"/>
      <w:szCs w:val="24"/>
    </w:rPr>
  </w:style>
  <w:style w:type="paragraph" w:customStyle="1" w:styleId="52">
    <w:name w:val="文档正文"/>
    <w:basedOn w:val="1"/>
    <w:qFormat/>
    <w:uiPriority w:val="0"/>
    <w:pPr>
      <w:spacing w:line="360" w:lineRule="auto"/>
    </w:pPr>
    <w:rPr>
      <w:rFonts w:ascii="宋体" w:cs="Arial"/>
      <w:bCs/>
    </w:rPr>
  </w:style>
  <w:style w:type="paragraph" w:customStyle="1" w:styleId="53">
    <w:name w:val="首行缩进"/>
    <w:basedOn w:val="1"/>
    <w:qFormat/>
    <w:uiPriority w:val="0"/>
    <w:pPr>
      <w:ind w:firstLine="480" w:firstLineChars="200"/>
    </w:pPr>
    <w:rPr>
      <w:lang w:val="zh-CN"/>
    </w:rPr>
  </w:style>
  <w:style w:type="character" w:customStyle="1" w:styleId="54">
    <w:name w:val="标题 1 字符"/>
    <w:basedOn w:val="43"/>
    <w:qFormat/>
    <w:uiPriority w:val="0"/>
    <w:rPr>
      <w:b/>
      <w:bCs/>
      <w:kern w:val="44"/>
      <w:sz w:val="44"/>
      <w:szCs w:val="44"/>
    </w:rPr>
  </w:style>
  <w:style w:type="character" w:customStyle="1" w:styleId="55">
    <w:name w:val="标题 2 Char"/>
    <w:basedOn w:val="43"/>
    <w:link w:val="3"/>
    <w:qFormat/>
    <w:uiPriority w:val="0"/>
    <w:rPr>
      <w:rFonts w:ascii="宋体" w:hAnsi="Calibri" w:eastAsia="宋体" w:cs="Times New Roman"/>
      <w:kern w:val="0"/>
      <w:sz w:val="24"/>
      <w:szCs w:val="24"/>
    </w:rPr>
  </w:style>
  <w:style w:type="character" w:customStyle="1" w:styleId="56">
    <w:name w:val="标题 3 字符"/>
    <w:basedOn w:val="43"/>
    <w:qFormat/>
    <w:uiPriority w:val="0"/>
    <w:rPr>
      <w:b/>
      <w:bCs/>
      <w:sz w:val="32"/>
      <w:szCs w:val="32"/>
    </w:rPr>
  </w:style>
  <w:style w:type="character" w:customStyle="1" w:styleId="57">
    <w:name w:val="标题 4 Char1"/>
    <w:basedOn w:val="43"/>
    <w:link w:val="5"/>
    <w:qFormat/>
    <w:uiPriority w:val="9"/>
    <w:rPr>
      <w:rFonts w:ascii="Arial" w:hAnsi="Arial" w:eastAsia="黑体" w:cs="Times New Roman"/>
      <w:b/>
      <w:bCs/>
      <w:kern w:val="0"/>
      <w:sz w:val="28"/>
      <w:szCs w:val="28"/>
    </w:rPr>
  </w:style>
  <w:style w:type="character" w:customStyle="1" w:styleId="58">
    <w:name w:val="标题 5 字符"/>
    <w:basedOn w:val="43"/>
    <w:qFormat/>
    <w:uiPriority w:val="9"/>
    <w:rPr>
      <w:b/>
      <w:bCs/>
      <w:sz w:val="28"/>
      <w:szCs w:val="28"/>
    </w:rPr>
  </w:style>
  <w:style w:type="character" w:customStyle="1" w:styleId="59">
    <w:name w:val="标题 6 字符"/>
    <w:basedOn w:val="43"/>
    <w:qFormat/>
    <w:uiPriority w:val="0"/>
    <w:rPr>
      <w:rFonts w:asciiTheme="majorHAnsi" w:hAnsiTheme="majorHAnsi" w:eastAsiaTheme="majorEastAsia" w:cstheme="majorBidi"/>
      <w:b/>
      <w:bCs/>
      <w:sz w:val="24"/>
      <w:szCs w:val="24"/>
    </w:rPr>
  </w:style>
  <w:style w:type="character" w:customStyle="1" w:styleId="60">
    <w:name w:val="标题 7 Char"/>
    <w:basedOn w:val="43"/>
    <w:link w:val="9"/>
    <w:qFormat/>
    <w:uiPriority w:val="9"/>
    <w:rPr>
      <w:rFonts w:ascii="Times New Roman" w:hAnsi="Calibri" w:eastAsia="黑体" w:cs="Times New Roman"/>
      <w:b/>
      <w:bCs/>
      <w:kern w:val="0"/>
      <w:sz w:val="28"/>
      <w:szCs w:val="24"/>
    </w:rPr>
  </w:style>
  <w:style w:type="character" w:customStyle="1" w:styleId="61">
    <w:name w:val="标题 8 Char"/>
    <w:basedOn w:val="43"/>
    <w:link w:val="10"/>
    <w:qFormat/>
    <w:uiPriority w:val="9"/>
    <w:rPr>
      <w:rFonts w:ascii="Times New Roman" w:hAnsi="Calibri" w:eastAsia="黑体" w:cs="Times New Roman"/>
      <w:b/>
      <w:kern w:val="0"/>
      <w:sz w:val="28"/>
      <w:szCs w:val="24"/>
    </w:rPr>
  </w:style>
  <w:style w:type="character" w:customStyle="1" w:styleId="62">
    <w:name w:val="标题 9 Char"/>
    <w:basedOn w:val="43"/>
    <w:link w:val="11"/>
    <w:qFormat/>
    <w:uiPriority w:val="9"/>
    <w:rPr>
      <w:rFonts w:ascii="Times New Roman" w:hAnsi="Calibri" w:eastAsia="黑体" w:cs="Times New Roman"/>
      <w:b/>
      <w:kern w:val="0"/>
      <w:sz w:val="28"/>
      <w:szCs w:val="24"/>
    </w:rPr>
  </w:style>
  <w:style w:type="character" w:customStyle="1" w:styleId="63">
    <w:name w:val="正文文本缩进 字符"/>
    <w:qFormat/>
    <w:uiPriority w:val="0"/>
    <w:rPr>
      <w:rFonts w:ascii="Times New Roman" w:hAnsi="Times New Roman" w:eastAsia="宋体" w:cs="Times New Roman"/>
      <w:szCs w:val="20"/>
    </w:rPr>
  </w:style>
  <w:style w:type="character" w:customStyle="1" w:styleId="64">
    <w:name w:val="普通(网站) Char"/>
    <w:qFormat/>
    <w:locked/>
    <w:uiPriority w:val="0"/>
    <w:rPr>
      <w:rFonts w:ascii="宋体" w:hAnsi="宋体"/>
      <w:sz w:val="15"/>
      <w:szCs w:val="15"/>
    </w:rPr>
  </w:style>
  <w:style w:type="character" w:customStyle="1" w:styleId="65">
    <w:name w:val="标题 Char"/>
    <w:link w:val="38"/>
    <w:qFormat/>
    <w:uiPriority w:val="10"/>
    <w:rPr>
      <w:rFonts w:ascii="等线 Light" w:hAnsi="等线 Light" w:eastAsia="仿宋"/>
      <w:b/>
      <w:bCs/>
      <w:sz w:val="28"/>
      <w:szCs w:val="32"/>
    </w:rPr>
  </w:style>
  <w:style w:type="character" w:customStyle="1" w:styleId="66">
    <w:name w:val="日期 Char"/>
    <w:semiHidden/>
    <w:qFormat/>
    <w:uiPriority w:val="99"/>
    <w:rPr>
      <w:kern w:val="2"/>
      <w:sz w:val="21"/>
    </w:rPr>
  </w:style>
  <w:style w:type="character" w:customStyle="1" w:styleId="67">
    <w:name w:val="文档结构图 字符1"/>
    <w:semiHidden/>
    <w:qFormat/>
    <w:uiPriority w:val="99"/>
    <w:rPr>
      <w:rFonts w:ascii="Microsoft YaHei UI" w:hAnsi="Calibri" w:eastAsia="Microsoft YaHei UI" w:cs="Times New Roman"/>
      <w:kern w:val="0"/>
      <w:sz w:val="18"/>
      <w:szCs w:val="18"/>
    </w:rPr>
  </w:style>
  <w:style w:type="character" w:customStyle="1" w:styleId="68">
    <w:name w:val="批注文字 Char"/>
    <w:semiHidden/>
    <w:qFormat/>
    <w:uiPriority w:val="99"/>
    <w:rPr>
      <w:kern w:val="2"/>
      <w:sz w:val="21"/>
    </w:rPr>
  </w:style>
  <w:style w:type="character" w:customStyle="1" w:styleId="69">
    <w:name w:val="正文缩进2格 Char"/>
    <w:link w:val="70"/>
    <w:qFormat/>
    <w:uiPriority w:val="0"/>
    <w:rPr>
      <w:rFonts w:ascii="仿宋_GB2312" w:hAnsi="宋体" w:eastAsia="仿宋_GB2312"/>
      <w:sz w:val="31"/>
      <w:szCs w:val="28"/>
    </w:rPr>
  </w:style>
  <w:style w:type="paragraph" w:customStyle="1" w:styleId="70">
    <w:name w:val="正文缩进2格"/>
    <w:basedOn w:val="1"/>
    <w:link w:val="69"/>
    <w:qFormat/>
    <w:uiPriority w:val="0"/>
    <w:pPr>
      <w:spacing w:line="600" w:lineRule="exact"/>
      <w:ind w:firstLine="639" w:firstLineChars="206"/>
    </w:pPr>
    <w:rPr>
      <w:rFonts w:ascii="仿宋_GB2312" w:hAnsi="宋体" w:eastAsia="仿宋_GB2312"/>
      <w:sz w:val="31"/>
      <w:szCs w:val="28"/>
    </w:rPr>
  </w:style>
  <w:style w:type="character" w:customStyle="1" w:styleId="71">
    <w:name w:val="批注文字 字符"/>
    <w:semiHidden/>
    <w:qFormat/>
    <w:uiPriority w:val="99"/>
    <w:rPr>
      <w:rFonts w:ascii="Times New Roman" w:hAnsi="Times New Roman"/>
      <w:kern w:val="2"/>
      <w:sz w:val="24"/>
      <w:szCs w:val="24"/>
    </w:rPr>
  </w:style>
  <w:style w:type="character" w:customStyle="1" w:styleId="72">
    <w:name w:val="正文文本缩进 Char"/>
    <w:qFormat/>
    <w:uiPriority w:val="0"/>
    <w:rPr>
      <w:rFonts w:ascii="Times New Roman" w:hAnsi="Times New Roman" w:eastAsia="宋体" w:cs="Times New Roman"/>
      <w:szCs w:val="20"/>
      <w:lang w:val="en-US" w:eastAsia="zh-CN"/>
    </w:rPr>
  </w:style>
  <w:style w:type="character" w:customStyle="1" w:styleId="73">
    <w:name w:val="批注框文本 字符1"/>
    <w:semiHidden/>
    <w:qFormat/>
    <w:uiPriority w:val="99"/>
    <w:rPr>
      <w:rFonts w:ascii="宋体" w:hAnsi="Calibri" w:eastAsia="宋体" w:cs="Times New Roman"/>
      <w:kern w:val="0"/>
      <w:sz w:val="18"/>
      <w:szCs w:val="18"/>
    </w:rPr>
  </w:style>
  <w:style w:type="character" w:customStyle="1" w:styleId="74">
    <w:name w:val="List Paragraph Char"/>
    <w:link w:val="75"/>
    <w:qFormat/>
    <w:uiPriority w:val="34"/>
    <w:rPr>
      <w:rFonts w:ascii="Calibri" w:hAnsi="Calibri"/>
    </w:rPr>
  </w:style>
  <w:style w:type="paragraph" w:customStyle="1" w:styleId="75">
    <w:name w:val="列出段落1"/>
    <w:basedOn w:val="1"/>
    <w:link w:val="74"/>
    <w:qFormat/>
    <w:uiPriority w:val="34"/>
    <w:pPr>
      <w:ind w:firstLine="420" w:firstLineChars="200"/>
    </w:pPr>
    <w:rPr>
      <w:rFonts w:ascii="Calibri" w:hAnsi="Calibri"/>
    </w:rPr>
  </w:style>
  <w:style w:type="character" w:customStyle="1" w:styleId="76">
    <w:name w:val="标书正文 字符"/>
    <w:link w:val="77"/>
    <w:qFormat/>
    <w:uiPriority w:val="0"/>
    <w:rPr>
      <w:rFonts w:ascii="Calibri" w:hAnsi="Calibri" w:eastAsia="仿宋"/>
      <w:sz w:val="24"/>
      <w:szCs w:val="21"/>
    </w:rPr>
  </w:style>
  <w:style w:type="paragraph" w:customStyle="1" w:styleId="77">
    <w:name w:val="标书正文"/>
    <w:basedOn w:val="1"/>
    <w:link w:val="76"/>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8">
    <w:name w:val="正文文本 字符"/>
    <w:semiHidden/>
    <w:qFormat/>
    <w:uiPriority w:val="99"/>
    <w:rPr>
      <w:rFonts w:ascii="Times New Roman" w:hAnsi="Times New Roman"/>
      <w:kern w:val="2"/>
      <w:sz w:val="24"/>
      <w:szCs w:val="24"/>
    </w:rPr>
  </w:style>
  <w:style w:type="character" w:customStyle="1" w:styleId="79">
    <w:name w:val="页脚 Char"/>
    <w:qFormat/>
    <w:uiPriority w:val="0"/>
    <w:rPr>
      <w:kern w:val="2"/>
      <w:sz w:val="18"/>
      <w:szCs w:val="18"/>
    </w:rPr>
  </w:style>
  <w:style w:type="character" w:customStyle="1" w:styleId="80">
    <w:name w:val="neir1"/>
    <w:qFormat/>
    <w:uiPriority w:val="0"/>
    <w:rPr>
      <w:rFonts w:hint="default" w:ascii="ˎ̥" w:hAnsi="ˎ̥"/>
      <w:color w:val="333333"/>
      <w:sz w:val="21"/>
      <w:szCs w:val="21"/>
      <w:u w:val="none"/>
    </w:rPr>
  </w:style>
  <w:style w:type="character" w:customStyle="1" w:styleId="81">
    <w:name w:val="批注框文本 Char1"/>
    <w:link w:val="28"/>
    <w:qFormat/>
    <w:uiPriority w:val="0"/>
    <w:rPr>
      <w:rFonts w:ascii="Times New Roman" w:hAnsi="Times New Roman" w:eastAsia="宋体" w:cs="Times New Roman"/>
      <w:sz w:val="18"/>
      <w:szCs w:val="18"/>
    </w:rPr>
  </w:style>
  <w:style w:type="character" w:customStyle="1" w:styleId="82">
    <w:name w:val="正文文本 3 字符1"/>
    <w:semiHidden/>
    <w:qFormat/>
    <w:uiPriority w:val="99"/>
    <w:rPr>
      <w:rFonts w:ascii="宋体" w:hAnsi="Calibri" w:eastAsia="宋体" w:cs="Times New Roman"/>
      <w:kern w:val="0"/>
      <w:sz w:val="16"/>
      <w:szCs w:val="16"/>
    </w:rPr>
  </w:style>
  <w:style w:type="character" w:customStyle="1" w:styleId="83">
    <w:name w:val="正文文本 字符3"/>
    <w:semiHidden/>
    <w:qFormat/>
    <w:uiPriority w:val="99"/>
    <w:rPr>
      <w:rFonts w:ascii="宋体" w:hAnsi="Calibri" w:eastAsia="宋体" w:cs="Times New Roman"/>
      <w:kern w:val="0"/>
      <w:sz w:val="24"/>
      <w:szCs w:val="24"/>
    </w:rPr>
  </w:style>
  <w:style w:type="character" w:customStyle="1" w:styleId="84">
    <w:name w:val="日期 字符1"/>
    <w:semiHidden/>
    <w:qFormat/>
    <w:uiPriority w:val="99"/>
    <w:rPr>
      <w:rFonts w:ascii="宋体" w:hAnsi="Calibri" w:eastAsia="宋体" w:cs="Times New Roman"/>
      <w:kern w:val="0"/>
      <w:sz w:val="24"/>
      <w:szCs w:val="24"/>
    </w:rPr>
  </w:style>
  <w:style w:type="character" w:customStyle="1" w:styleId="85">
    <w:name w:val="页脚 Char2"/>
    <w:link w:val="29"/>
    <w:qFormat/>
    <w:uiPriority w:val="99"/>
    <w:rPr>
      <w:rFonts w:ascii="宋体" w:eastAsia="宋体"/>
      <w:sz w:val="18"/>
      <w:szCs w:val="18"/>
    </w:rPr>
  </w:style>
  <w:style w:type="character" w:customStyle="1" w:styleId="86">
    <w:name w:val="吉奥正文 Char"/>
    <w:link w:val="87"/>
    <w:qFormat/>
    <w:locked/>
    <w:uiPriority w:val="0"/>
    <w:rPr>
      <w:rFonts w:eastAsia="仿宋_GB2312"/>
      <w:sz w:val="28"/>
    </w:rPr>
  </w:style>
  <w:style w:type="paragraph" w:customStyle="1" w:styleId="87">
    <w:name w:val="吉奥正文"/>
    <w:basedOn w:val="1"/>
    <w:link w:val="86"/>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8">
    <w:name w:val="页脚 Char1"/>
    <w:qFormat/>
    <w:uiPriority w:val="99"/>
    <w:rPr>
      <w:rFonts w:ascii="宋体" w:hAnsi="Times New Roman" w:eastAsia="宋体" w:cs="Times New Roman"/>
      <w:kern w:val="0"/>
      <w:sz w:val="18"/>
      <w:szCs w:val="18"/>
    </w:rPr>
  </w:style>
  <w:style w:type="character" w:customStyle="1" w:styleId="89">
    <w:name w:val="标题 字符"/>
    <w:qFormat/>
    <w:uiPriority w:val="10"/>
    <w:rPr>
      <w:rFonts w:ascii="Cambria" w:hAnsi="Cambria" w:eastAsia="宋体" w:cs="Times New Roman"/>
      <w:b/>
      <w:bCs/>
      <w:kern w:val="0"/>
      <w:sz w:val="32"/>
      <w:szCs w:val="32"/>
      <w:lang w:val="en-US" w:eastAsia="zh-CN"/>
    </w:rPr>
  </w:style>
  <w:style w:type="character" w:customStyle="1" w:styleId="90">
    <w:name w:val="题注 Char"/>
    <w:link w:val="13"/>
    <w:qFormat/>
    <w:uiPriority w:val="0"/>
    <w:rPr>
      <w:rFonts w:ascii="Arial" w:hAnsi="Arial" w:eastAsia="黑体" w:cs="Arial"/>
    </w:rPr>
  </w:style>
  <w:style w:type="character" w:customStyle="1" w:styleId="91">
    <w:name w:val="批注文字 字符2"/>
    <w:qFormat/>
    <w:uiPriority w:val="99"/>
    <w:rPr>
      <w:rFonts w:ascii="宋体" w:hAnsi="Times New Roman" w:eastAsia="宋体" w:cs="Times New Roman"/>
      <w:kern w:val="0"/>
      <w:sz w:val="24"/>
      <w:szCs w:val="24"/>
    </w:rPr>
  </w:style>
  <w:style w:type="character" w:customStyle="1" w:styleId="92">
    <w:name w:val="批注主题 字符1"/>
    <w:semiHidden/>
    <w:qFormat/>
    <w:uiPriority w:val="99"/>
    <w:rPr>
      <w:rFonts w:ascii="宋体" w:hAnsi="Calibri" w:eastAsia="宋体" w:cs="Times New Roman"/>
      <w:b/>
      <w:bCs/>
      <w:kern w:val="0"/>
      <w:sz w:val="24"/>
      <w:szCs w:val="24"/>
    </w:rPr>
  </w:style>
  <w:style w:type="character" w:customStyle="1" w:styleId="93">
    <w:name w:val="HTML 预设格式 Char"/>
    <w:link w:val="36"/>
    <w:qFormat/>
    <w:uiPriority w:val="99"/>
    <w:rPr>
      <w:rFonts w:ascii="Arial" w:hAnsi="Arial" w:eastAsia="宋体" w:cs="Arial"/>
      <w:szCs w:val="21"/>
    </w:rPr>
  </w:style>
  <w:style w:type="character" w:customStyle="1" w:styleId="94">
    <w:name w:val="标题 3.1 Char"/>
    <w:link w:val="95"/>
    <w:qFormat/>
    <w:uiPriority w:val="0"/>
    <w:rPr>
      <w:rFonts w:ascii="宋体" w:hAnsi="宋体"/>
      <w:b/>
      <w:bCs/>
      <w:sz w:val="32"/>
      <w:szCs w:val="32"/>
    </w:rPr>
  </w:style>
  <w:style w:type="paragraph" w:customStyle="1" w:styleId="95">
    <w:name w:val="标题 3.1"/>
    <w:basedOn w:val="4"/>
    <w:link w:val="94"/>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6">
    <w:name w:val="HTML 预设格式 Char1"/>
    <w:semiHidden/>
    <w:qFormat/>
    <w:uiPriority w:val="99"/>
    <w:rPr>
      <w:rFonts w:ascii="Courier New" w:hAnsi="Courier New" w:eastAsia="宋体" w:cs="Courier New"/>
      <w:kern w:val="0"/>
      <w:sz w:val="20"/>
      <w:szCs w:val="20"/>
    </w:rPr>
  </w:style>
  <w:style w:type="character" w:customStyle="1" w:styleId="97">
    <w:name w:val="批注文字 字符1"/>
    <w:qFormat/>
    <w:uiPriority w:val="0"/>
    <w:rPr>
      <w:rFonts w:eastAsia="宋体"/>
      <w:kern w:val="2"/>
      <w:sz w:val="24"/>
      <w:szCs w:val="24"/>
      <w:lang w:val="en-US" w:eastAsia="zh-CN" w:bidi="ar-SA"/>
    </w:rPr>
  </w:style>
  <w:style w:type="character" w:customStyle="1" w:styleId="98">
    <w:name w:val="正文文本缩进 字符2"/>
    <w:semiHidden/>
    <w:qFormat/>
    <w:uiPriority w:val="99"/>
    <w:rPr>
      <w:rFonts w:ascii="宋体" w:hAnsi="Calibri" w:eastAsia="宋体" w:cs="Times New Roman"/>
      <w:kern w:val="0"/>
      <w:sz w:val="24"/>
      <w:szCs w:val="24"/>
    </w:rPr>
  </w:style>
  <w:style w:type="character" w:customStyle="1" w:styleId="99">
    <w:name w:val="正文文本缩进 Char1"/>
    <w:link w:val="19"/>
    <w:qFormat/>
    <w:uiPriority w:val="0"/>
    <w:rPr>
      <w:rFonts w:ascii="Times New Roman" w:hAnsi="Times New Roman" w:eastAsia="宋体" w:cs="Times New Roman"/>
      <w:szCs w:val="20"/>
    </w:rPr>
  </w:style>
  <w:style w:type="character" w:customStyle="1" w:styleId="100">
    <w:name w:val="普通(网站) Char1"/>
    <w:link w:val="37"/>
    <w:qFormat/>
    <w:locked/>
    <w:uiPriority w:val="0"/>
    <w:rPr>
      <w:rFonts w:ascii="宋体" w:hAnsi="宋体"/>
      <w:sz w:val="15"/>
      <w:szCs w:val="15"/>
    </w:rPr>
  </w:style>
  <w:style w:type="character" w:customStyle="1" w:styleId="101">
    <w:name w:val="模板正文 Char"/>
    <w:link w:val="8"/>
    <w:qFormat/>
    <w:uiPriority w:val="0"/>
    <w:rPr>
      <w:rFonts w:ascii="宋体" w:eastAsia="仿宋"/>
      <w:sz w:val="24"/>
      <w:szCs w:val="21"/>
    </w:rPr>
  </w:style>
  <w:style w:type="character" w:customStyle="1" w:styleId="102">
    <w:name w:val="批注主题 Char"/>
    <w:semiHidden/>
    <w:qFormat/>
    <w:uiPriority w:val="99"/>
    <w:rPr>
      <w:b/>
      <w:bCs/>
      <w:kern w:val="2"/>
      <w:sz w:val="21"/>
    </w:rPr>
  </w:style>
  <w:style w:type="character" w:customStyle="1" w:styleId="103">
    <w:name w:val="正文文本 Char1"/>
    <w:qFormat/>
    <w:uiPriority w:val="0"/>
    <w:rPr>
      <w:rFonts w:ascii="宋体" w:hAnsi="Times New Roman" w:eastAsia="宋体" w:cs="Times New Roman"/>
      <w:kern w:val="0"/>
      <w:sz w:val="24"/>
      <w:szCs w:val="24"/>
    </w:rPr>
  </w:style>
  <w:style w:type="character" w:customStyle="1" w:styleId="104">
    <w:name w:val="正文文本 字符1"/>
    <w:qFormat/>
    <w:uiPriority w:val="99"/>
    <w:rPr>
      <w:rFonts w:ascii="宋体" w:eastAsia="宋体"/>
      <w:b/>
      <w:bCs/>
      <w:sz w:val="84"/>
      <w:szCs w:val="84"/>
      <w:lang w:val="zh-CN"/>
    </w:rPr>
  </w:style>
  <w:style w:type="character" w:customStyle="1" w:styleId="105">
    <w:name w:val="标题 1 Char"/>
    <w:qFormat/>
    <w:uiPriority w:val="9"/>
    <w:rPr>
      <w:rFonts w:ascii="宋体" w:hAnsi="Times New Roman" w:eastAsia="宋体" w:cs="Times New Roman"/>
      <w:kern w:val="0"/>
      <w:sz w:val="24"/>
      <w:szCs w:val="24"/>
    </w:rPr>
  </w:style>
  <w:style w:type="character" w:customStyle="1" w:styleId="106">
    <w:name w:val="正文文本 Char2"/>
    <w:qFormat/>
    <w:uiPriority w:val="99"/>
    <w:rPr>
      <w:rFonts w:ascii="宋体" w:eastAsia="宋体"/>
      <w:b/>
      <w:bCs/>
      <w:sz w:val="84"/>
      <w:szCs w:val="84"/>
      <w:lang w:val="zh-CN"/>
    </w:rPr>
  </w:style>
  <w:style w:type="character" w:customStyle="1" w:styleId="107">
    <w:name w:val="纯文本 Char2"/>
    <w:link w:val="25"/>
    <w:qFormat/>
    <w:uiPriority w:val="0"/>
    <w:rPr>
      <w:rFonts w:ascii="宋体" w:hAnsi="Courier New" w:eastAsia="宋体"/>
    </w:rPr>
  </w:style>
  <w:style w:type="character" w:customStyle="1" w:styleId="108">
    <w:name w:val="正文文本缩进 2 Char"/>
    <w:link w:val="27"/>
    <w:qFormat/>
    <w:uiPriority w:val="0"/>
    <w:rPr>
      <w:rFonts w:ascii="宋体" w:hAnsi="Times New Roman" w:eastAsia="宋体" w:cs="Times New Roman"/>
      <w:szCs w:val="20"/>
    </w:rPr>
  </w:style>
  <w:style w:type="character" w:customStyle="1" w:styleId="109">
    <w:name w:val="HTML Markup"/>
    <w:qFormat/>
    <w:uiPriority w:val="0"/>
    <w:rPr>
      <w:vanish/>
      <w:color w:val="FF0000"/>
    </w:rPr>
  </w:style>
  <w:style w:type="character" w:customStyle="1" w:styleId="110">
    <w:name w:val="页眉 Char1"/>
    <w:qFormat/>
    <w:uiPriority w:val="0"/>
    <w:rPr>
      <w:rFonts w:ascii="宋体" w:hAnsi="Times New Roman" w:eastAsia="宋体" w:cs="Times New Roman"/>
      <w:kern w:val="0"/>
      <w:sz w:val="18"/>
      <w:szCs w:val="18"/>
    </w:rPr>
  </w:style>
  <w:style w:type="character" w:customStyle="1" w:styleId="111">
    <w:name w:val="font11"/>
    <w:basedOn w:val="43"/>
    <w:qFormat/>
    <w:uiPriority w:val="0"/>
    <w:rPr>
      <w:rFonts w:hint="eastAsia" w:ascii="宋体" w:hAnsi="宋体" w:eastAsia="宋体" w:cs="宋体"/>
      <w:color w:val="FF0000"/>
      <w:sz w:val="22"/>
      <w:szCs w:val="22"/>
      <w:u w:val="none"/>
    </w:rPr>
  </w:style>
  <w:style w:type="character" w:customStyle="1" w:styleId="112">
    <w:name w:val="style61"/>
    <w:qFormat/>
    <w:uiPriority w:val="0"/>
    <w:rPr>
      <w:b/>
      <w:bCs/>
    </w:rPr>
  </w:style>
  <w:style w:type="character" w:customStyle="1" w:styleId="113">
    <w:name w:val="表头文字 Char"/>
    <w:link w:val="114"/>
    <w:qFormat/>
    <w:uiPriority w:val="0"/>
    <w:rPr>
      <w:rFonts w:eastAsia="仿宋_GB2312"/>
      <w:b/>
      <w:sz w:val="28"/>
      <w:szCs w:val="21"/>
    </w:rPr>
  </w:style>
  <w:style w:type="paragraph" w:customStyle="1" w:styleId="114">
    <w:name w:val="表头文字"/>
    <w:basedOn w:val="1"/>
    <w:link w:val="113"/>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15">
    <w:name w:val="日期 Char1"/>
    <w:link w:val="26"/>
    <w:qFormat/>
    <w:uiPriority w:val="99"/>
    <w:rPr>
      <w:rFonts w:ascii="宋体" w:hAnsi="Times New Roman" w:eastAsia="宋体" w:cs="Times New Roman"/>
      <w:b/>
      <w:bCs/>
      <w:szCs w:val="21"/>
      <w:lang w:val="zh-CN"/>
    </w:rPr>
  </w:style>
  <w:style w:type="character" w:customStyle="1" w:styleId="116">
    <w:name w:val="纯文本 Char1"/>
    <w:qFormat/>
    <w:uiPriority w:val="0"/>
    <w:rPr>
      <w:rFonts w:ascii="宋体" w:hAnsi="Courier New" w:eastAsia="宋体" w:cs="Courier New"/>
      <w:kern w:val="0"/>
      <w:szCs w:val="21"/>
    </w:rPr>
  </w:style>
  <w:style w:type="character" w:customStyle="1" w:styleId="117">
    <w:name w:val="批注主题 Char1"/>
    <w:link w:val="39"/>
    <w:qFormat/>
    <w:uiPriority w:val="99"/>
    <w:rPr>
      <w:rFonts w:ascii="宋体" w:hAnsi="Times New Roman" w:eastAsia="宋体" w:cs="Times New Roman"/>
      <w:b/>
      <w:bCs/>
      <w:kern w:val="0"/>
      <w:sz w:val="24"/>
      <w:szCs w:val="24"/>
    </w:rPr>
  </w:style>
  <w:style w:type="character" w:customStyle="1" w:styleId="118">
    <w:name w:val="纯文本 字符"/>
    <w:qFormat/>
    <w:uiPriority w:val="99"/>
    <w:rPr>
      <w:rFonts w:ascii="宋体" w:hAnsi="Courier New" w:eastAsia="宋体" w:cs="Times New Roman"/>
      <w:szCs w:val="20"/>
      <w:lang w:val="en-US" w:eastAsia="zh-CN"/>
    </w:rPr>
  </w:style>
  <w:style w:type="character" w:customStyle="1" w:styleId="119">
    <w:name w:val="font71"/>
    <w:qFormat/>
    <w:uiPriority w:val="0"/>
    <w:rPr>
      <w:rFonts w:hint="eastAsia" w:ascii="宋体" w:hAnsi="宋体" w:eastAsia="宋体" w:cs="宋体"/>
      <w:color w:val="FF0000"/>
      <w:sz w:val="18"/>
      <w:szCs w:val="18"/>
      <w:u w:val="none"/>
    </w:rPr>
  </w:style>
  <w:style w:type="character" w:customStyle="1" w:styleId="120">
    <w:name w:val="font21"/>
    <w:basedOn w:val="43"/>
    <w:qFormat/>
    <w:uiPriority w:val="0"/>
    <w:rPr>
      <w:rFonts w:hint="eastAsia" w:ascii="宋体" w:hAnsi="宋体" w:eastAsia="宋体" w:cs="宋体"/>
      <w:b/>
      <w:color w:val="000000"/>
      <w:sz w:val="21"/>
      <w:szCs w:val="21"/>
      <w:u w:val="none"/>
    </w:rPr>
  </w:style>
  <w:style w:type="character" w:customStyle="1" w:styleId="121">
    <w:name w:val="纯文本 字符3"/>
    <w:semiHidden/>
    <w:qFormat/>
    <w:uiPriority w:val="99"/>
    <w:rPr>
      <w:rFonts w:ascii="等线" w:hAnsi="Courier New" w:cs="Courier New"/>
      <w:kern w:val="0"/>
      <w:sz w:val="24"/>
      <w:szCs w:val="24"/>
    </w:rPr>
  </w:style>
  <w:style w:type="character" w:customStyle="1" w:styleId="122">
    <w:name w:val="font31"/>
    <w:qFormat/>
    <w:uiPriority w:val="0"/>
    <w:rPr>
      <w:rFonts w:hint="eastAsia" w:ascii="宋体" w:hAnsi="宋体" w:eastAsia="宋体" w:cs="宋体"/>
      <w:color w:val="000000"/>
      <w:sz w:val="18"/>
      <w:szCs w:val="18"/>
      <w:u w:val="none"/>
    </w:rPr>
  </w:style>
  <w:style w:type="character" w:customStyle="1" w:styleId="123">
    <w:name w:val="文档结构图 Char"/>
    <w:link w:val="14"/>
    <w:semiHidden/>
    <w:qFormat/>
    <w:uiPriority w:val="99"/>
    <w:rPr>
      <w:rFonts w:ascii="宋体" w:hAnsi="Times New Roman" w:eastAsia="宋体" w:cs="Times New Roman"/>
      <w:kern w:val="0"/>
      <w:sz w:val="24"/>
      <w:szCs w:val="24"/>
      <w:shd w:val="clear" w:color="auto" w:fill="000080"/>
    </w:rPr>
  </w:style>
  <w:style w:type="character" w:customStyle="1" w:styleId="124">
    <w:name w:val="普通(网站) 字符1"/>
    <w:qFormat/>
    <w:locked/>
    <w:uiPriority w:val="0"/>
    <w:rPr>
      <w:rFonts w:ascii="宋体" w:hAnsi="宋体"/>
      <w:sz w:val="15"/>
      <w:szCs w:val="15"/>
    </w:rPr>
  </w:style>
  <w:style w:type="character" w:customStyle="1" w:styleId="125">
    <w:name w:val="正文文本 Char3"/>
    <w:link w:val="18"/>
    <w:qFormat/>
    <w:uiPriority w:val="99"/>
    <w:rPr>
      <w:rFonts w:ascii="宋体" w:eastAsia="宋体"/>
      <w:b/>
      <w:bCs/>
      <w:sz w:val="84"/>
      <w:szCs w:val="84"/>
      <w:lang w:val="zh-CN"/>
    </w:rPr>
  </w:style>
  <w:style w:type="character" w:customStyle="1" w:styleId="126">
    <w:name w:val="标题 5 Char"/>
    <w:semiHidden/>
    <w:qFormat/>
    <w:uiPriority w:val="9"/>
    <w:rPr>
      <w:b/>
      <w:bCs/>
      <w:kern w:val="2"/>
      <w:sz w:val="28"/>
      <w:szCs w:val="28"/>
    </w:rPr>
  </w:style>
  <w:style w:type="character" w:customStyle="1" w:styleId="127">
    <w:name w:val="页眉 Char2"/>
    <w:link w:val="30"/>
    <w:qFormat/>
    <w:uiPriority w:val="99"/>
    <w:rPr>
      <w:rFonts w:ascii="宋体" w:eastAsia="宋体"/>
      <w:sz w:val="18"/>
      <w:szCs w:val="18"/>
    </w:rPr>
  </w:style>
  <w:style w:type="character" w:customStyle="1" w:styleId="128">
    <w:name w:val="表格文字 Char"/>
    <w:link w:val="129"/>
    <w:qFormat/>
    <w:uiPriority w:val="0"/>
    <w:rPr>
      <w:rFonts w:eastAsia="仿宋_GB2312"/>
      <w:sz w:val="28"/>
      <w:szCs w:val="24"/>
    </w:rPr>
  </w:style>
  <w:style w:type="paragraph" w:customStyle="1" w:styleId="129">
    <w:name w:val="表格文字"/>
    <w:basedOn w:val="1"/>
    <w:link w:val="128"/>
    <w:qFormat/>
    <w:uiPriority w:val="0"/>
    <w:rPr>
      <w:rFonts w:eastAsia="仿宋_GB2312"/>
      <w:sz w:val="28"/>
      <w:szCs w:val="24"/>
    </w:rPr>
  </w:style>
  <w:style w:type="character" w:customStyle="1" w:styleId="130">
    <w:name w:val="标题 字符2"/>
    <w:qFormat/>
    <w:uiPriority w:val="10"/>
    <w:rPr>
      <w:rFonts w:ascii="等线 Light" w:hAnsi="等线 Light" w:eastAsia="等线 Light" w:cs="Times New Roman"/>
      <w:b/>
      <w:bCs/>
      <w:kern w:val="0"/>
      <w:sz w:val="32"/>
      <w:szCs w:val="32"/>
    </w:rPr>
  </w:style>
  <w:style w:type="character" w:customStyle="1" w:styleId="131">
    <w:name w:val="正文缩进2格 Char Char"/>
    <w:qFormat/>
    <w:uiPriority w:val="0"/>
    <w:rPr>
      <w:rFonts w:ascii="仿宋_GB2312" w:hAnsi="宋体" w:eastAsia="仿宋_GB2312"/>
      <w:kern w:val="2"/>
      <w:sz w:val="31"/>
      <w:szCs w:val="28"/>
      <w:lang w:val="en-US" w:eastAsia="zh-CN" w:bidi="ar-SA"/>
    </w:rPr>
  </w:style>
  <w:style w:type="character" w:customStyle="1" w:styleId="132">
    <w:name w:val="小 Char"/>
    <w:qFormat/>
    <w:uiPriority w:val="0"/>
    <w:rPr>
      <w:rFonts w:ascii="宋体" w:hAnsi="Courier New" w:eastAsia="宋体"/>
      <w:kern w:val="2"/>
      <w:sz w:val="21"/>
      <w:lang w:val="en-US" w:eastAsia="zh-CN" w:bidi="ar-SA"/>
    </w:rPr>
  </w:style>
  <w:style w:type="character" w:customStyle="1" w:styleId="133">
    <w:name w:val="themebody1"/>
    <w:qFormat/>
    <w:uiPriority w:val="0"/>
    <w:rPr>
      <w:color w:val="FFFFFF"/>
    </w:rPr>
  </w:style>
  <w:style w:type="character" w:customStyle="1" w:styleId="134">
    <w:name w:val="页脚 字符1"/>
    <w:semiHidden/>
    <w:qFormat/>
    <w:uiPriority w:val="99"/>
    <w:rPr>
      <w:rFonts w:ascii="宋体" w:hAnsi="Calibri" w:eastAsia="宋体" w:cs="Times New Roman"/>
      <w:kern w:val="0"/>
      <w:sz w:val="18"/>
      <w:szCs w:val="18"/>
    </w:rPr>
  </w:style>
  <w:style w:type="character" w:customStyle="1" w:styleId="135">
    <w:name w:val="列出段落 Char"/>
    <w:link w:val="136"/>
    <w:qFormat/>
    <w:uiPriority w:val="34"/>
    <w:rPr>
      <w:kern w:val="2"/>
      <w:sz w:val="21"/>
      <w:szCs w:val="22"/>
    </w:rPr>
  </w:style>
  <w:style w:type="paragraph" w:styleId="136">
    <w:name w:val="List Paragraph"/>
    <w:basedOn w:val="1"/>
    <w:link w:val="135"/>
    <w:qFormat/>
    <w:uiPriority w:val="34"/>
    <w:pPr>
      <w:ind w:firstLine="420" w:firstLineChars="200"/>
    </w:pPr>
  </w:style>
  <w:style w:type="character" w:customStyle="1" w:styleId="137">
    <w:name w:val="正文文本 Char"/>
    <w:qFormat/>
    <w:uiPriority w:val="99"/>
    <w:rPr>
      <w:rFonts w:ascii="宋体" w:eastAsia="宋体"/>
      <w:b/>
      <w:bCs/>
      <w:sz w:val="84"/>
      <w:szCs w:val="84"/>
      <w:lang w:val="zh-CN"/>
    </w:rPr>
  </w:style>
  <w:style w:type="character" w:customStyle="1" w:styleId="138">
    <w:name w:val="页眉 字符1"/>
    <w:semiHidden/>
    <w:qFormat/>
    <w:uiPriority w:val="99"/>
    <w:rPr>
      <w:rFonts w:ascii="宋体" w:hAnsi="Calibri" w:eastAsia="宋体" w:cs="Times New Roman"/>
      <w:kern w:val="0"/>
      <w:sz w:val="18"/>
      <w:szCs w:val="18"/>
    </w:rPr>
  </w:style>
  <w:style w:type="character" w:customStyle="1" w:styleId="139">
    <w:name w:val="标题 5 Char1"/>
    <w:link w:val="6"/>
    <w:qFormat/>
    <w:uiPriority w:val="9"/>
    <w:rPr>
      <w:rFonts w:ascii="宋体" w:hAnsi="Calibri" w:eastAsia="宋体" w:cs="Times New Roman"/>
      <w:b/>
      <w:bCs/>
      <w:kern w:val="0"/>
      <w:sz w:val="28"/>
      <w:szCs w:val="28"/>
    </w:rPr>
  </w:style>
  <w:style w:type="character" w:customStyle="1" w:styleId="140">
    <w:name w:val="keyfeatures1"/>
    <w:qFormat/>
    <w:uiPriority w:val="0"/>
    <w:rPr>
      <w:rFonts w:hint="default" w:ascii="Arial" w:hAnsi="Arial" w:cs="Arial"/>
      <w:color w:val="003366"/>
      <w:sz w:val="17"/>
      <w:szCs w:val="17"/>
      <w:u w:val="none"/>
    </w:rPr>
  </w:style>
  <w:style w:type="character" w:customStyle="1" w:styleId="141">
    <w:name w:val="题注 字符"/>
    <w:qFormat/>
    <w:uiPriority w:val="0"/>
    <w:rPr>
      <w:rFonts w:ascii="宋体" w:hAnsi="宋体" w:eastAsia="黑体" w:cs="Times New Roman"/>
      <w:b/>
      <w:szCs w:val="21"/>
    </w:rPr>
  </w:style>
  <w:style w:type="character" w:customStyle="1" w:styleId="142">
    <w:name w:val="标题 4 Char"/>
    <w:qFormat/>
    <w:uiPriority w:val="0"/>
    <w:rPr>
      <w:rFonts w:ascii="宋体" w:hAnsi="宋体" w:eastAsia="宋体"/>
      <w:b/>
      <w:kern w:val="2"/>
      <w:sz w:val="21"/>
      <w:szCs w:val="24"/>
      <w:lang w:val="en-US" w:eastAsia="zh-CN" w:bidi="ar-SA"/>
    </w:rPr>
  </w:style>
  <w:style w:type="character" w:customStyle="1" w:styleId="143">
    <w:name w:val="批注文字 字符3"/>
    <w:semiHidden/>
    <w:qFormat/>
    <w:uiPriority w:val="99"/>
    <w:rPr>
      <w:rFonts w:ascii="宋体" w:hAnsi="Calibri" w:eastAsia="宋体" w:cs="Times New Roman"/>
      <w:kern w:val="0"/>
      <w:sz w:val="24"/>
      <w:szCs w:val="24"/>
    </w:rPr>
  </w:style>
  <w:style w:type="character" w:customStyle="1" w:styleId="144">
    <w:name w:val="纯文本 字符1"/>
    <w:qFormat/>
    <w:uiPriority w:val="0"/>
    <w:rPr>
      <w:rFonts w:ascii="宋体" w:hAnsi="Courier New" w:eastAsia="宋体"/>
      <w:kern w:val="2"/>
      <w:sz w:val="21"/>
      <w:szCs w:val="24"/>
      <w:lang w:val="en-US" w:eastAsia="zh-CN" w:bidi="ar-SA"/>
    </w:rPr>
  </w:style>
  <w:style w:type="character" w:customStyle="1" w:styleId="145">
    <w:name w:val="列出段落 Char1"/>
    <w:qFormat/>
    <w:uiPriority w:val="34"/>
    <w:rPr>
      <w:rFonts w:ascii="宋体"/>
      <w:sz w:val="24"/>
      <w:szCs w:val="24"/>
    </w:rPr>
  </w:style>
  <w:style w:type="character" w:customStyle="1" w:styleId="146">
    <w:name w:val="彩色列表 - 着色 1 字符"/>
    <w:link w:val="147"/>
    <w:qFormat/>
    <w:uiPriority w:val="0"/>
    <w:rPr>
      <w:rFonts w:ascii="Calibri" w:hAnsi="Calibri"/>
    </w:rPr>
  </w:style>
  <w:style w:type="paragraph" w:customStyle="1" w:styleId="147">
    <w:name w:val="彩色列表 - 着色 11"/>
    <w:basedOn w:val="1"/>
    <w:link w:val="146"/>
    <w:qFormat/>
    <w:uiPriority w:val="0"/>
    <w:pPr>
      <w:ind w:firstLine="420" w:firstLineChars="200"/>
    </w:pPr>
    <w:rPr>
      <w:rFonts w:ascii="Calibri" w:hAnsi="Calibri"/>
    </w:rPr>
  </w:style>
  <w:style w:type="character" w:customStyle="1" w:styleId="148">
    <w:name w:val="纯文本 Char"/>
    <w:qFormat/>
    <w:uiPriority w:val="0"/>
    <w:rPr>
      <w:rFonts w:ascii="宋体" w:hAnsi="Courier New" w:eastAsia="宋体" w:cs="Times New Roman"/>
      <w:szCs w:val="20"/>
    </w:rPr>
  </w:style>
  <w:style w:type="character" w:customStyle="1" w:styleId="149">
    <w:name w:val="标题 6 Char"/>
    <w:link w:val="7"/>
    <w:qFormat/>
    <w:uiPriority w:val="9"/>
    <w:rPr>
      <w:rFonts w:ascii="Times New Roman" w:hAnsi="Calibri" w:eastAsia="黑体" w:cs="Times New Roman"/>
      <w:b/>
      <w:bCs/>
      <w:kern w:val="0"/>
      <w:sz w:val="28"/>
      <w:szCs w:val="24"/>
    </w:rPr>
  </w:style>
  <w:style w:type="character" w:customStyle="1" w:styleId="150">
    <w:name w:val="正文文本 2 Char"/>
    <w:link w:val="35"/>
    <w:qFormat/>
    <w:uiPriority w:val="0"/>
    <w:rPr>
      <w:rFonts w:ascii="Arial" w:hAnsi="Arial" w:eastAsia="宋体" w:cs="Times New Roman"/>
      <w:color w:val="000000"/>
      <w:szCs w:val="24"/>
    </w:rPr>
  </w:style>
  <w:style w:type="character" w:customStyle="1" w:styleId="151">
    <w:name w:val="标题 3 Char"/>
    <w:link w:val="4"/>
    <w:qFormat/>
    <w:uiPriority w:val="0"/>
    <w:rPr>
      <w:rFonts w:ascii="宋体" w:hAnsi="Calibri" w:eastAsia="宋体" w:cs="Times New Roman"/>
      <w:kern w:val="0"/>
      <w:sz w:val="24"/>
      <w:szCs w:val="24"/>
    </w:rPr>
  </w:style>
  <w:style w:type="character" w:customStyle="1" w:styleId="152">
    <w:name w:val="正文文本缩进 2 字符1"/>
    <w:semiHidden/>
    <w:qFormat/>
    <w:uiPriority w:val="99"/>
    <w:rPr>
      <w:rFonts w:ascii="宋体" w:hAnsi="Calibri" w:eastAsia="宋体" w:cs="Times New Roman"/>
      <w:kern w:val="0"/>
      <w:sz w:val="24"/>
      <w:szCs w:val="24"/>
    </w:rPr>
  </w:style>
  <w:style w:type="character" w:customStyle="1" w:styleId="153">
    <w:name w:val="正文文本缩进 3 字符1"/>
    <w:semiHidden/>
    <w:qFormat/>
    <w:uiPriority w:val="99"/>
    <w:rPr>
      <w:rFonts w:ascii="宋体" w:hAnsi="Calibri" w:eastAsia="宋体" w:cs="Times New Roman"/>
      <w:kern w:val="0"/>
      <w:sz w:val="16"/>
      <w:szCs w:val="16"/>
    </w:rPr>
  </w:style>
  <w:style w:type="character" w:customStyle="1" w:styleId="154">
    <w:name w:val="正文文本 2 字符1"/>
    <w:semiHidden/>
    <w:qFormat/>
    <w:uiPriority w:val="99"/>
    <w:rPr>
      <w:rFonts w:ascii="宋体" w:hAnsi="Calibri" w:eastAsia="宋体" w:cs="Times New Roman"/>
      <w:kern w:val="0"/>
      <w:sz w:val="24"/>
      <w:szCs w:val="24"/>
    </w:rPr>
  </w:style>
  <w:style w:type="character" w:customStyle="1" w:styleId="155">
    <w:name w:val="eschoolnr"/>
    <w:qFormat/>
    <w:uiPriority w:val="0"/>
    <w:rPr>
      <w:sz w:val="23"/>
      <w:szCs w:val="23"/>
    </w:rPr>
  </w:style>
  <w:style w:type="character" w:customStyle="1" w:styleId="156">
    <w:name w:val="访问过的超链接1"/>
    <w:qFormat/>
    <w:uiPriority w:val="0"/>
    <w:rPr>
      <w:rFonts w:ascii="Arial" w:hAnsi="Arial" w:cs="Arial"/>
      <w:color w:val="000000"/>
      <w:sz w:val="20"/>
      <w:szCs w:val="20"/>
      <w:u w:val="none"/>
    </w:rPr>
  </w:style>
  <w:style w:type="character" w:customStyle="1" w:styleId="157">
    <w:name w:val="标题 1 Char1"/>
    <w:link w:val="2"/>
    <w:qFormat/>
    <w:uiPriority w:val="0"/>
    <w:rPr>
      <w:rFonts w:ascii="宋体" w:hAnsi="Calibri" w:eastAsia="宋体" w:cs="Times New Roman"/>
      <w:kern w:val="0"/>
      <w:sz w:val="24"/>
      <w:szCs w:val="24"/>
    </w:rPr>
  </w:style>
  <w:style w:type="character" w:customStyle="1" w:styleId="158">
    <w:name w:val="批注文字 Char1"/>
    <w:qFormat/>
    <w:uiPriority w:val="0"/>
    <w:rPr>
      <w:kern w:val="2"/>
      <w:sz w:val="21"/>
      <w:szCs w:val="24"/>
    </w:rPr>
  </w:style>
  <w:style w:type="character" w:customStyle="1" w:styleId="159">
    <w:name w:val="批注框文本 Char"/>
    <w:semiHidden/>
    <w:qFormat/>
    <w:uiPriority w:val="99"/>
    <w:rPr>
      <w:kern w:val="2"/>
      <w:sz w:val="18"/>
      <w:szCs w:val="18"/>
    </w:rPr>
  </w:style>
  <w:style w:type="character" w:customStyle="1" w:styleId="160">
    <w:name w:val="DAS正文 Char"/>
    <w:qFormat/>
    <w:uiPriority w:val="0"/>
    <w:rPr>
      <w:rFonts w:ascii="Verdana" w:hAnsi="Verdana" w:eastAsia="宋体"/>
      <w:kern w:val="2"/>
      <w:sz w:val="21"/>
      <w:szCs w:val="21"/>
      <w:lang w:val="en-US" w:eastAsia="zh-CN" w:bidi="ar-SA"/>
    </w:rPr>
  </w:style>
  <w:style w:type="character" w:customStyle="1" w:styleId="161">
    <w:name w:val="正文文本缩进 3 Char"/>
    <w:link w:val="33"/>
    <w:qFormat/>
    <w:uiPriority w:val="0"/>
    <w:rPr>
      <w:rFonts w:ascii="宋体" w:hAnsi="Times New Roman" w:eastAsia="宋体" w:cs="Times New Roman"/>
      <w:kern w:val="0"/>
      <w:sz w:val="24"/>
      <w:szCs w:val="24"/>
    </w:rPr>
  </w:style>
  <w:style w:type="character" w:customStyle="1" w:styleId="162">
    <w:name w:val="页眉 Char"/>
    <w:qFormat/>
    <w:uiPriority w:val="99"/>
    <w:rPr>
      <w:kern w:val="2"/>
      <w:sz w:val="18"/>
      <w:szCs w:val="18"/>
    </w:rPr>
  </w:style>
  <w:style w:type="character" w:customStyle="1" w:styleId="163">
    <w:name w:val="正文文本 3 Char"/>
    <w:link w:val="17"/>
    <w:qFormat/>
    <w:uiPriority w:val="0"/>
    <w:rPr>
      <w:rFonts w:ascii="宋体" w:hAnsi="Times New Roman" w:eastAsia="宋体" w:cs="Times New Roman"/>
      <w:b/>
      <w:bCs/>
      <w:color w:val="3366FF"/>
      <w:sz w:val="52"/>
      <w:szCs w:val="52"/>
      <w:lang w:val="zh-CN"/>
    </w:rPr>
  </w:style>
  <w:style w:type="character" w:customStyle="1" w:styleId="164">
    <w:name w:val="HTML 预设格式 字符1"/>
    <w:semiHidden/>
    <w:qFormat/>
    <w:uiPriority w:val="99"/>
    <w:rPr>
      <w:rFonts w:ascii="Courier New" w:hAnsi="Courier New" w:eastAsia="宋体" w:cs="Courier New"/>
      <w:kern w:val="0"/>
      <w:sz w:val="20"/>
      <w:szCs w:val="20"/>
    </w:rPr>
  </w:style>
  <w:style w:type="character" w:customStyle="1" w:styleId="165">
    <w:name w:val="彩色列表 - 强调文字颜色 1 Char"/>
    <w:link w:val="166"/>
    <w:qFormat/>
    <w:uiPriority w:val="0"/>
    <w:rPr>
      <w:rFonts w:ascii="宋体"/>
      <w:sz w:val="24"/>
      <w:szCs w:val="24"/>
    </w:rPr>
  </w:style>
  <w:style w:type="paragraph" w:customStyle="1" w:styleId="166">
    <w:name w:val="彩色列表 - 强调文字颜色 11"/>
    <w:basedOn w:val="1"/>
    <w:link w:val="165"/>
    <w:qFormat/>
    <w:uiPriority w:val="0"/>
    <w:pPr>
      <w:autoSpaceDE w:val="0"/>
      <w:autoSpaceDN w:val="0"/>
      <w:adjustRightInd w:val="0"/>
      <w:ind w:firstLine="420" w:firstLineChars="200"/>
      <w:jc w:val="left"/>
    </w:pPr>
    <w:rPr>
      <w:rFonts w:ascii="宋体"/>
      <w:sz w:val="24"/>
      <w:szCs w:val="24"/>
    </w:rPr>
  </w:style>
  <w:style w:type="character" w:customStyle="1" w:styleId="167">
    <w:name w:val="普通(网站) 字符"/>
    <w:qFormat/>
    <w:locked/>
    <w:uiPriority w:val="99"/>
    <w:rPr>
      <w:rFonts w:ascii="宋体" w:hAnsi="宋体" w:eastAsia="宋体" w:cs="Times New Roman"/>
      <w:kern w:val="0"/>
      <w:sz w:val="15"/>
      <w:szCs w:val="15"/>
      <w:lang w:val="en-US" w:eastAsia="zh-CN"/>
    </w:rPr>
  </w:style>
  <w:style w:type="paragraph" w:customStyle="1" w:styleId="168">
    <w:name w:val="_Style 123"/>
    <w:basedOn w:val="1"/>
    <w:next w:val="136"/>
    <w:qFormat/>
    <w:uiPriority w:val="34"/>
    <w:pPr>
      <w:spacing w:line="360" w:lineRule="auto"/>
      <w:ind w:firstLine="420" w:firstLineChars="200"/>
    </w:pPr>
    <w:rPr>
      <w:rFonts w:ascii="Calibri" w:hAnsi="Calibri" w:eastAsia="宋体" w:cs="Times New Roman"/>
    </w:rPr>
  </w:style>
  <w:style w:type="character" w:customStyle="1" w:styleId="169">
    <w:name w:val="纯文本 字符4"/>
    <w:basedOn w:val="43"/>
    <w:semiHidden/>
    <w:qFormat/>
    <w:uiPriority w:val="99"/>
    <w:rPr>
      <w:rFonts w:hAnsi="Courier New" w:cs="Courier New" w:asciiTheme="minorEastAsia"/>
    </w:rPr>
  </w:style>
  <w:style w:type="character" w:customStyle="1" w:styleId="170">
    <w:name w:val="批注文字 Char2"/>
    <w:basedOn w:val="43"/>
    <w:link w:val="16"/>
    <w:semiHidden/>
    <w:qFormat/>
    <w:uiPriority w:val="99"/>
  </w:style>
  <w:style w:type="character" w:customStyle="1" w:styleId="171">
    <w:name w:val="批注主题 字符2"/>
    <w:basedOn w:val="170"/>
    <w:semiHidden/>
    <w:qFormat/>
    <w:uiPriority w:val="99"/>
    <w:rPr>
      <w:b/>
      <w:bCs/>
    </w:rPr>
  </w:style>
  <w:style w:type="character" w:customStyle="1" w:styleId="172">
    <w:name w:val="标题 字符3"/>
    <w:basedOn w:val="43"/>
    <w:qFormat/>
    <w:uiPriority w:val="10"/>
    <w:rPr>
      <w:rFonts w:asciiTheme="majorHAnsi" w:hAnsiTheme="majorHAnsi" w:eastAsiaTheme="majorEastAsia" w:cstheme="majorBidi"/>
      <w:b/>
      <w:bCs/>
      <w:sz w:val="32"/>
      <w:szCs w:val="32"/>
    </w:rPr>
  </w:style>
  <w:style w:type="character" w:customStyle="1" w:styleId="173">
    <w:name w:val="正文文本缩进 字符3"/>
    <w:basedOn w:val="43"/>
    <w:semiHidden/>
    <w:qFormat/>
    <w:uiPriority w:val="99"/>
  </w:style>
  <w:style w:type="character" w:customStyle="1" w:styleId="174">
    <w:name w:val="正文文本 字符4"/>
    <w:basedOn w:val="43"/>
    <w:semiHidden/>
    <w:qFormat/>
    <w:uiPriority w:val="99"/>
  </w:style>
  <w:style w:type="character" w:customStyle="1" w:styleId="175">
    <w:name w:val="正文文本缩进 3 字符2"/>
    <w:basedOn w:val="43"/>
    <w:semiHidden/>
    <w:qFormat/>
    <w:uiPriority w:val="99"/>
    <w:rPr>
      <w:sz w:val="16"/>
      <w:szCs w:val="16"/>
    </w:rPr>
  </w:style>
  <w:style w:type="character" w:customStyle="1" w:styleId="176">
    <w:name w:val="页眉 字符2"/>
    <w:basedOn w:val="43"/>
    <w:semiHidden/>
    <w:qFormat/>
    <w:uiPriority w:val="99"/>
    <w:rPr>
      <w:sz w:val="18"/>
      <w:szCs w:val="18"/>
    </w:rPr>
  </w:style>
  <w:style w:type="character" w:customStyle="1" w:styleId="177">
    <w:name w:val="批注框文本 字符2"/>
    <w:basedOn w:val="43"/>
    <w:semiHidden/>
    <w:qFormat/>
    <w:uiPriority w:val="99"/>
    <w:rPr>
      <w:sz w:val="18"/>
      <w:szCs w:val="18"/>
    </w:rPr>
  </w:style>
  <w:style w:type="character" w:customStyle="1" w:styleId="178">
    <w:name w:val="HTML 预设格式 字符2"/>
    <w:basedOn w:val="43"/>
    <w:semiHidden/>
    <w:qFormat/>
    <w:uiPriority w:val="99"/>
    <w:rPr>
      <w:rFonts w:ascii="Courier New" w:hAnsi="Courier New" w:cs="Courier New"/>
      <w:sz w:val="20"/>
      <w:szCs w:val="20"/>
    </w:rPr>
  </w:style>
  <w:style w:type="character" w:customStyle="1" w:styleId="179">
    <w:name w:val="页脚 字符2"/>
    <w:basedOn w:val="43"/>
    <w:semiHidden/>
    <w:qFormat/>
    <w:uiPriority w:val="99"/>
    <w:rPr>
      <w:sz w:val="18"/>
      <w:szCs w:val="18"/>
    </w:rPr>
  </w:style>
  <w:style w:type="character" w:customStyle="1" w:styleId="180">
    <w:name w:val="正文文本缩进 2 字符2"/>
    <w:basedOn w:val="43"/>
    <w:semiHidden/>
    <w:qFormat/>
    <w:uiPriority w:val="99"/>
  </w:style>
  <w:style w:type="character" w:customStyle="1" w:styleId="181">
    <w:name w:val="正文文本 3 字符2"/>
    <w:basedOn w:val="43"/>
    <w:semiHidden/>
    <w:qFormat/>
    <w:uiPriority w:val="99"/>
    <w:rPr>
      <w:sz w:val="16"/>
      <w:szCs w:val="16"/>
    </w:rPr>
  </w:style>
  <w:style w:type="character" w:customStyle="1" w:styleId="182">
    <w:name w:val="正文文本 2 字符2"/>
    <w:basedOn w:val="43"/>
    <w:semiHidden/>
    <w:qFormat/>
    <w:uiPriority w:val="99"/>
  </w:style>
  <w:style w:type="paragraph" w:customStyle="1" w:styleId="183">
    <w:name w:val="WPSOffice手动目录 3"/>
    <w:qFormat/>
    <w:uiPriority w:val="0"/>
    <w:pPr>
      <w:ind w:left="400" w:leftChars="400"/>
    </w:pPr>
    <w:rPr>
      <w:rFonts w:ascii="Calibri" w:hAnsi="Calibri" w:eastAsia="宋体" w:cs="Times New Roman"/>
      <w:lang w:val="en-US" w:eastAsia="zh-CN" w:bidi="ar-SA"/>
    </w:rPr>
  </w:style>
  <w:style w:type="paragraph" w:customStyle="1" w:styleId="184">
    <w:name w:val="列表段落1"/>
    <w:basedOn w:val="1"/>
    <w:qFormat/>
    <w:uiPriority w:val="0"/>
    <w:pPr>
      <w:ind w:firstLine="420" w:firstLineChars="200"/>
    </w:pPr>
    <w:rPr>
      <w:rFonts w:ascii="Times New Roman" w:hAnsi="Times New Roman" w:eastAsia="宋体" w:cs="Times New Roman"/>
      <w:szCs w:val="20"/>
    </w:rPr>
  </w:style>
  <w:style w:type="character" w:customStyle="1" w:styleId="185">
    <w:name w:val="文档结构图 字符2"/>
    <w:basedOn w:val="43"/>
    <w:semiHidden/>
    <w:qFormat/>
    <w:uiPriority w:val="99"/>
    <w:rPr>
      <w:rFonts w:ascii="Microsoft YaHei UI" w:eastAsia="Microsoft YaHei UI"/>
      <w:sz w:val="18"/>
      <w:szCs w:val="18"/>
    </w:rPr>
  </w:style>
  <w:style w:type="character" w:customStyle="1" w:styleId="186">
    <w:name w:val="日期 字符2"/>
    <w:basedOn w:val="43"/>
    <w:semiHidden/>
    <w:qFormat/>
    <w:uiPriority w:val="99"/>
  </w:style>
  <w:style w:type="paragraph" w:customStyle="1" w:styleId="187">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8">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9">
    <w:name w:val="修订1"/>
    <w:semiHidden/>
    <w:qFormat/>
    <w:uiPriority w:val="99"/>
    <w:rPr>
      <w:rFonts w:ascii="宋体" w:hAnsi="Calibri" w:eastAsia="宋体" w:cs="Times New Roman"/>
      <w:sz w:val="24"/>
      <w:szCs w:val="24"/>
      <w:lang w:val="en-US" w:eastAsia="zh-CN" w:bidi="ar-SA"/>
    </w:rPr>
  </w:style>
  <w:style w:type="paragraph" w:customStyle="1" w:styleId="190">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91">
    <w:name w:val="Default"/>
    <w:basedOn w:val="192"/>
    <w:next w:val="32"/>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92">
    <w:name w:val="纯文本1"/>
    <w:basedOn w:val="1"/>
    <w:next w:val="1"/>
    <w:qFormat/>
    <w:uiPriority w:val="0"/>
    <w:pPr>
      <w:adjustRightInd w:val="0"/>
      <w:textAlignment w:val="baseline"/>
    </w:pPr>
    <w:rPr>
      <w:rFonts w:ascii="宋体" w:hAnsi="Courier New" w:eastAsia="楷体_GB2312"/>
      <w:sz w:val="26"/>
      <w:szCs w:val="20"/>
    </w:rPr>
  </w:style>
  <w:style w:type="paragraph" w:customStyle="1" w:styleId="193">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9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95">
    <w:name w:val="p0"/>
    <w:basedOn w:val="1"/>
    <w:qFormat/>
    <w:uiPriority w:val="0"/>
    <w:pPr>
      <w:widowControl/>
    </w:pPr>
    <w:rPr>
      <w:rFonts w:ascii="Times New Roman" w:hAnsi="Calibri" w:eastAsia="宋体" w:cs="Times New Roman"/>
      <w:kern w:val="0"/>
      <w:szCs w:val="20"/>
    </w:rPr>
  </w:style>
  <w:style w:type="paragraph" w:customStyle="1" w:styleId="19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7">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8">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9">
    <w:name w:val="WPSOffice手动目录 1"/>
    <w:qFormat/>
    <w:uiPriority w:val="0"/>
    <w:rPr>
      <w:rFonts w:ascii="Calibri" w:hAnsi="Calibri" w:eastAsia="宋体" w:cs="Times New Roman"/>
      <w:lang w:val="en-US" w:eastAsia="zh-CN" w:bidi="ar-SA"/>
    </w:rPr>
  </w:style>
  <w:style w:type="paragraph" w:customStyle="1" w:styleId="200">
    <w:name w:val="_Style 69"/>
    <w:basedOn w:val="1"/>
    <w:next w:val="136"/>
    <w:qFormat/>
    <w:uiPriority w:val="34"/>
    <w:pPr>
      <w:spacing w:line="360" w:lineRule="auto"/>
      <w:ind w:firstLine="420" w:firstLineChars="200"/>
    </w:pPr>
    <w:rPr>
      <w:rFonts w:ascii="Calibri" w:hAnsi="Calibri" w:eastAsia="宋体" w:cs="Times New Roman"/>
    </w:rPr>
  </w:style>
  <w:style w:type="paragraph" w:customStyle="1" w:styleId="20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2">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203">
    <w:name w:val="彩色底纹 - 着色 11"/>
    <w:semiHidden/>
    <w:qFormat/>
    <w:uiPriority w:val="99"/>
    <w:rPr>
      <w:rFonts w:ascii="宋体" w:hAnsi="Calibri" w:eastAsia="宋体" w:cs="Times New Roman"/>
      <w:sz w:val="24"/>
      <w:szCs w:val="24"/>
      <w:lang w:val="en-US" w:eastAsia="zh-CN" w:bidi="ar-SA"/>
    </w:rPr>
  </w:style>
  <w:style w:type="paragraph" w:customStyle="1" w:styleId="204">
    <w:name w:val="WPSOffice手动目录 2"/>
    <w:qFormat/>
    <w:uiPriority w:val="0"/>
    <w:pPr>
      <w:ind w:left="200" w:leftChars="200"/>
    </w:pPr>
    <w:rPr>
      <w:rFonts w:ascii="Calibri" w:hAnsi="Calibri" w:eastAsia="宋体" w:cs="Times New Roman"/>
      <w:lang w:val="en-US" w:eastAsia="zh-CN" w:bidi="ar-SA"/>
    </w:rPr>
  </w:style>
  <w:style w:type="paragraph" w:customStyle="1" w:styleId="205">
    <w:name w:val="网格表 31"/>
    <w:basedOn w:val="2"/>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6">
    <w:name w:val="表格文字居中"/>
    <w:basedOn w:val="129"/>
    <w:qFormat/>
    <w:uiPriority w:val="0"/>
    <w:pPr>
      <w:jc w:val="center"/>
    </w:pPr>
    <w:rPr>
      <w:rFonts w:cs="宋体"/>
      <w:szCs w:val="20"/>
    </w:rPr>
  </w:style>
  <w:style w:type="paragraph" w:customStyle="1" w:styleId="207">
    <w:name w:val="正文缩进4格"/>
    <w:basedOn w:val="70"/>
    <w:qFormat/>
    <w:uiPriority w:val="0"/>
    <w:pPr>
      <w:spacing w:line="360" w:lineRule="auto"/>
      <w:ind w:left="964" w:leftChars="314" w:hanging="210" w:hangingChars="100"/>
    </w:pPr>
    <w:rPr>
      <w:rFonts w:ascii="宋体" w:eastAsia="宋体"/>
      <w:sz w:val="21"/>
      <w:szCs w:val="21"/>
      <w:lang w:val="zh-CN"/>
    </w:rPr>
  </w:style>
  <w:style w:type="paragraph" w:customStyle="1" w:styleId="20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9">
    <w:name w:val="正文首行缩进 Char"/>
    <w:basedOn w:val="125"/>
    <w:link w:val="40"/>
    <w:semiHidden/>
    <w:qFormat/>
    <w:uiPriority w:val="99"/>
    <w:rPr>
      <w:rFonts w:ascii="宋体" w:eastAsia="宋体"/>
      <w:b w:val="0"/>
      <w:bCs w:val="0"/>
      <w:sz w:val="84"/>
      <w:szCs w:val="84"/>
      <w:lang w:val="zh-CN"/>
    </w:rPr>
  </w:style>
  <w:style w:type="paragraph" w:customStyle="1" w:styleId="210">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1">
    <w:name w:val="Other|1"/>
    <w:basedOn w:val="1"/>
    <w:autoRedefine/>
    <w:qFormat/>
    <w:uiPriority w:val="0"/>
    <w:pPr>
      <w:spacing w:after="100"/>
      <w:jc w:val="center"/>
    </w:pPr>
    <w:rPr>
      <w:rFonts w:ascii="宋体" w:hAnsi="宋体" w:cs="宋体"/>
      <w:sz w:val="22"/>
      <w:szCs w:val="22"/>
      <w:lang w:val="zh-TW" w:eastAsia="zh-TW" w:bidi="zh-TW"/>
    </w:rPr>
  </w:style>
  <w:style w:type="paragraph" w:customStyle="1" w:styleId="212">
    <w:name w:val="Table Text"/>
    <w:basedOn w:val="1"/>
    <w:semiHidden/>
    <w:qFormat/>
    <w:uiPriority w:val="0"/>
    <w:rPr>
      <w:rFonts w:ascii="宋体" w:hAnsi="宋体" w:eastAsia="宋体" w:cs="宋体"/>
      <w:sz w:val="22"/>
      <w:szCs w:val="22"/>
      <w:lang w:val="en-US" w:eastAsia="en-US" w:bidi="ar-SA"/>
    </w:rPr>
  </w:style>
  <w:style w:type="table" w:customStyle="1" w:styleId="213">
    <w:name w:val="Table Normal"/>
    <w:semiHidden/>
    <w:unhideWhenUsed/>
    <w:qFormat/>
    <w:uiPriority w:val="0"/>
    <w:tblPr>
      <w:tblCellMar>
        <w:top w:w="0" w:type="dxa"/>
        <w:left w:w="0" w:type="dxa"/>
        <w:bottom w:w="0" w:type="dxa"/>
        <w:right w:w="0" w:type="dxa"/>
      </w:tblCellMar>
    </w:tblPr>
  </w:style>
  <w:style w:type="character" w:customStyle="1" w:styleId="214">
    <w:name w:val="font41"/>
    <w:basedOn w:val="43"/>
    <w:qFormat/>
    <w:uiPriority w:val="0"/>
    <w:rPr>
      <w:rFonts w:ascii="Arial" w:hAnsi="Arial" w:cs="Arial"/>
      <w:b/>
      <w:bCs/>
      <w:color w:val="000000"/>
      <w:sz w:val="28"/>
      <w:szCs w:val="28"/>
      <w:u w:val="none"/>
    </w:rPr>
  </w:style>
  <w:style w:type="character" w:customStyle="1" w:styleId="215">
    <w:name w:val="font51"/>
    <w:basedOn w:val="43"/>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166</Pages>
  <Words>35911</Words>
  <Characters>37971</Characters>
  <Lines>314</Lines>
  <Paragraphs>88</Paragraphs>
  <TotalTime>12</TotalTime>
  <ScaleCrop>false</ScaleCrop>
  <LinksUpToDate>false</LinksUpToDate>
  <CharactersWithSpaces>38564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王工</cp:lastModifiedBy>
  <cp:lastPrinted>2025-11-28T08:55:00Z</cp:lastPrinted>
  <dcterms:modified xsi:type="dcterms:W3CDTF">2025-12-03T01:16:12Z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B3E53D4794AF47609B43053D3EF38A7A_13</vt:lpwstr>
  </property>
  <property fmtid="{D5CDD505-2E9C-101B-9397-08002B2CF9AE}" pid="4" name="KSOTemplateDocerSaveRecord">
    <vt:lpwstr>eyJoZGlkIjoiNjBkZGMxMDkyNjQ5NTkzOTgyYjBmMjI5NGM0NGU3ZjciLCJ1c2VySWQiOiIzMjkxMDE4MjgifQ==</vt:lpwstr>
  </property>
</Properties>
</file>