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8E153">
      <w:pPr>
        <w:rPr>
          <w:rFonts w:hint="eastAsia" w:ascii="宋体" w:hAnsi="宋体" w:eastAsia="宋体" w:cs="宋体"/>
          <w:color w:val="auto"/>
          <w:highlight w:val="none"/>
          <w:lang w:val="zh-CN"/>
        </w:rPr>
      </w:pPr>
    </w:p>
    <w:p w14:paraId="7FEFF683">
      <w:pPr>
        <w:rPr>
          <w:rFonts w:hint="eastAsia" w:ascii="宋体" w:hAnsi="宋体" w:eastAsia="宋体" w:cs="宋体"/>
          <w:color w:val="auto"/>
          <w:highlight w:val="none"/>
          <w:lang w:val="zh-CN"/>
        </w:rPr>
      </w:pPr>
    </w:p>
    <w:p w14:paraId="7C571381">
      <w:pPr>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东莞市碧水信息科技有限公司2025年度球墨铸铁阀门采购项目</w:t>
      </w:r>
    </w:p>
    <w:p w14:paraId="697CCF0D">
      <w:pPr>
        <w:rPr>
          <w:rFonts w:hint="eastAsia" w:ascii="宋体" w:hAnsi="宋体" w:eastAsia="宋体" w:cs="宋体"/>
          <w:color w:val="auto"/>
          <w:highlight w:val="none"/>
          <w:lang w:val="zh-CN"/>
        </w:rPr>
      </w:pPr>
    </w:p>
    <w:p w14:paraId="790C49A1">
      <w:pPr>
        <w:rPr>
          <w:rFonts w:hint="eastAsia" w:ascii="宋体" w:hAnsi="宋体" w:eastAsia="宋体" w:cs="宋体"/>
          <w:color w:val="auto"/>
          <w:highlight w:val="none"/>
          <w:lang w:val="zh-CN"/>
        </w:rPr>
      </w:pPr>
    </w:p>
    <w:p w14:paraId="739229FD">
      <w:pPr>
        <w:rPr>
          <w:rFonts w:hint="eastAsia" w:ascii="宋体" w:hAnsi="宋体" w:eastAsia="宋体" w:cs="宋体"/>
          <w:color w:val="auto"/>
          <w:highlight w:val="none"/>
        </w:rPr>
      </w:pPr>
    </w:p>
    <w:p w14:paraId="6596CB5A">
      <w:pPr>
        <w:rPr>
          <w:rFonts w:hint="eastAsia" w:ascii="宋体" w:hAnsi="宋体" w:eastAsia="宋体" w:cs="宋体"/>
          <w:color w:val="auto"/>
          <w:highlight w:val="none"/>
        </w:rPr>
      </w:pPr>
    </w:p>
    <w:p w14:paraId="3003FFCC">
      <w:pPr>
        <w:rPr>
          <w:rFonts w:hint="eastAsia" w:ascii="宋体" w:hAnsi="宋体" w:eastAsia="宋体" w:cs="宋体"/>
          <w:color w:val="auto"/>
          <w:highlight w:val="none"/>
        </w:rPr>
      </w:pPr>
    </w:p>
    <w:p w14:paraId="4C658254">
      <w:pPr>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5027C430">
      <w:pPr>
        <w:rPr>
          <w:rFonts w:hint="eastAsia" w:ascii="宋体" w:hAnsi="宋体" w:eastAsia="宋体" w:cs="宋体"/>
          <w:color w:val="auto"/>
          <w:highlight w:val="none"/>
          <w:lang w:val="zh-CN"/>
        </w:rPr>
      </w:pPr>
    </w:p>
    <w:p w14:paraId="21CE5954">
      <w:pPr>
        <w:rPr>
          <w:rFonts w:hint="eastAsia" w:ascii="宋体" w:hAnsi="宋体" w:eastAsia="宋体" w:cs="宋体"/>
          <w:color w:val="auto"/>
          <w:highlight w:val="none"/>
          <w:lang w:val="zh-CN"/>
        </w:rPr>
      </w:pPr>
    </w:p>
    <w:p w14:paraId="6B621361">
      <w:pPr>
        <w:rPr>
          <w:rFonts w:hint="eastAsia" w:ascii="宋体" w:hAnsi="宋体" w:eastAsia="宋体" w:cs="宋体"/>
          <w:color w:val="auto"/>
          <w:highlight w:val="none"/>
          <w:lang w:val="zh-CN"/>
        </w:rPr>
      </w:pPr>
    </w:p>
    <w:p w14:paraId="4BD5597D">
      <w:pPr>
        <w:rPr>
          <w:rFonts w:hint="eastAsia" w:ascii="宋体" w:hAnsi="宋体" w:eastAsia="宋体" w:cs="宋体"/>
          <w:color w:val="auto"/>
          <w:highlight w:val="none"/>
          <w:lang w:val="zh-CN"/>
        </w:rPr>
      </w:pPr>
    </w:p>
    <w:p w14:paraId="13C87EB7">
      <w:pPr>
        <w:spacing w:line="480" w:lineRule="auto"/>
        <w:ind w:left="1680" w:leftChars="800"/>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t>
      </w:r>
      <w:r>
        <w:rPr>
          <w:rFonts w:hint="eastAsia" w:ascii="宋体" w:hAnsi="宋体" w:eastAsia="宋体" w:cs="宋体"/>
          <w:b/>
          <w:bCs/>
          <w:color w:val="auto"/>
          <w:sz w:val="32"/>
          <w:szCs w:val="32"/>
          <w:highlight w:val="none"/>
        </w:rPr>
        <w:t>YDZB25DGQY0149</w:t>
      </w:r>
    </w:p>
    <w:p w14:paraId="7873CE46">
      <w:pPr>
        <w:spacing w:line="480" w:lineRule="auto"/>
        <w:ind w:left="1680" w:leftChars="800"/>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w:t>
      </w:r>
      <w:r>
        <w:rPr>
          <w:rFonts w:hint="eastAsia" w:ascii="宋体" w:hAnsi="宋体" w:eastAsia="宋体" w:cs="宋体"/>
          <w:b/>
          <w:bCs/>
          <w:color w:val="auto"/>
          <w:sz w:val="32"/>
          <w:szCs w:val="32"/>
          <w:highlight w:val="none"/>
          <w:lang w:eastAsia="zh-CN"/>
        </w:rPr>
        <w:t>东莞市碧水信息科技有限公司</w:t>
      </w:r>
    </w:p>
    <w:p w14:paraId="3635BC25">
      <w:pPr>
        <w:spacing w:line="480" w:lineRule="auto"/>
        <w:ind w:left="1680" w:leftChars="800"/>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5CBC14F1">
      <w:pPr>
        <w:rPr>
          <w:rFonts w:hint="eastAsia" w:ascii="宋体" w:hAnsi="宋体" w:eastAsia="宋体" w:cs="宋体"/>
          <w:color w:val="auto"/>
          <w:highlight w:val="none"/>
          <w:lang w:val="zh-CN"/>
        </w:rPr>
      </w:pPr>
    </w:p>
    <w:p w14:paraId="4D832C6C">
      <w:pPr>
        <w:rPr>
          <w:rFonts w:hint="eastAsia" w:ascii="宋体" w:hAnsi="宋体" w:eastAsia="宋体" w:cs="宋体"/>
          <w:color w:val="auto"/>
          <w:highlight w:val="none"/>
          <w:lang w:val="zh-CN"/>
        </w:rPr>
      </w:pPr>
    </w:p>
    <w:p w14:paraId="18A7B1DC">
      <w:pPr>
        <w:rPr>
          <w:rFonts w:hint="eastAsia" w:ascii="宋体" w:hAnsi="宋体" w:eastAsia="宋体" w:cs="宋体"/>
          <w:color w:val="auto"/>
          <w:highlight w:val="none"/>
          <w:lang w:val="zh-CN"/>
        </w:rPr>
      </w:pPr>
    </w:p>
    <w:p w14:paraId="480540A5">
      <w:pPr>
        <w:rPr>
          <w:rFonts w:hint="eastAsia" w:ascii="宋体" w:hAnsi="宋体" w:eastAsia="宋体" w:cs="宋体"/>
          <w:color w:val="auto"/>
          <w:highlight w:val="none"/>
          <w:lang w:val="zh-CN"/>
        </w:rPr>
      </w:pPr>
    </w:p>
    <w:p w14:paraId="10EF54CB">
      <w:pPr>
        <w:ind w:right="-23" w:rightChars="-11"/>
        <w:jc w:val="center"/>
        <w:rPr>
          <w:rFonts w:hint="eastAsia" w:ascii="宋体" w:hAnsi="宋体" w:eastAsia="宋体" w:cs="宋体"/>
          <w:b/>
          <w:bCs/>
          <w:color w:val="auto"/>
          <w:sz w:val="32"/>
          <w:szCs w:val="32"/>
          <w:highlight w:val="none"/>
          <w:lang w:val="zh-CN"/>
        </w:rPr>
      </w:pPr>
      <w:r>
        <w:rPr>
          <w:rFonts w:hint="eastAsia"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cs="宋体"/>
          <w:b/>
          <w:bCs/>
          <w:color w:val="auto"/>
          <w:sz w:val="32"/>
          <w:szCs w:val="32"/>
          <w:highlight w:val="none"/>
          <w:lang w:val="en-US" w:eastAsia="zh-CN"/>
        </w:rPr>
        <w:t>9</w:t>
      </w:r>
      <w:bookmarkStart w:id="1165" w:name="_GoBack"/>
      <w:bookmarkEnd w:id="1165"/>
      <w:r>
        <w:rPr>
          <w:rFonts w:hint="eastAsia" w:ascii="宋体" w:hAnsi="宋体" w:eastAsia="宋体" w:cs="宋体"/>
          <w:b/>
          <w:bCs/>
          <w:color w:val="auto"/>
          <w:sz w:val="32"/>
          <w:szCs w:val="32"/>
          <w:highlight w:val="none"/>
          <w:lang w:val="zh-CN"/>
        </w:rPr>
        <w:t>日</w:t>
      </w:r>
    </w:p>
    <w:p w14:paraId="5B09BEC3">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hint="eastAsia" w:ascii="宋体" w:hAnsi="宋体" w:eastAsia="宋体" w:cs="宋体"/>
          <w:b/>
          <w:bCs/>
          <w:color w:val="auto"/>
          <w:sz w:val="24"/>
          <w:szCs w:val="28"/>
          <w:highlight w:val="none"/>
        </w:rPr>
        <w:id w:val="147478449"/>
        <w15:color w:val="DBDBDB"/>
        <w:docPartObj>
          <w:docPartGallery w:val="Table of Contents"/>
          <w:docPartUnique/>
        </w:docPartObj>
      </w:sdtPr>
      <w:sdtEndPr>
        <w:rPr>
          <w:rFonts w:hint="eastAsia" w:ascii="宋体" w:hAnsi="宋体" w:eastAsia="宋体" w:cs="宋体"/>
          <w:b/>
          <w:bCs/>
          <w:color w:val="auto"/>
          <w:sz w:val="24"/>
          <w:szCs w:val="28"/>
          <w:highlight w:val="none"/>
        </w:rPr>
      </w:sdtEndPr>
      <w:sdtContent>
        <w:p w14:paraId="11D991BF">
          <w:pPr>
            <w:jc w:val="center"/>
            <w:rPr>
              <w:rFonts w:hint="eastAsia" w:ascii="宋体" w:hAnsi="宋体" w:eastAsia="宋体" w:cs="宋体"/>
              <w:b/>
              <w:bCs/>
              <w:color w:val="auto"/>
              <w:sz w:val="24"/>
              <w:szCs w:val="28"/>
              <w:highlight w:val="none"/>
            </w:rPr>
          </w:pPr>
          <w:bookmarkStart w:id="0" w:name="_Toc2723_WPSOffice_Level1"/>
          <w:bookmarkStart w:id="1" w:name="_Toc486167660"/>
          <w:bookmarkStart w:id="2" w:name="_Toc142508310"/>
          <w:bookmarkStart w:id="3" w:name="_Toc26012"/>
          <w:bookmarkStart w:id="4" w:name="_Toc11638"/>
          <w:bookmarkStart w:id="5" w:name="_Toc20259"/>
          <w:bookmarkStart w:id="6" w:name="_Toc2302"/>
          <w:bookmarkStart w:id="7" w:name="_Toc14688"/>
          <w:bookmarkStart w:id="8" w:name="_Toc176627774"/>
          <w:bookmarkStart w:id="9" w:name="_Toc29343"/>
          <w:bookmarkStart w:id="10" w:name="_Toc450662846"/>
          <w:bookmarkStart w:id="11" w:name="_Toc178076453"/>
          <w:bookmarkStart w:id="12" w:name="_Toc1960"/>
          <w:bookmarkStart w:id="13" w:name="_Toc172552140"/>
          <w:r>
            <w:rPr>
              <w:rFonts w:hint="eastAsia" w:ascii="宋体" w:hAnsi="宋体" w:eastAsia="宋体" w:cs="宋体"/>
              <w:b/>
              <w:bCs/>
              <w:color w:val="auto"/>
              <w:sz w:val="24"/>
              <w:szCs w:val="28"/>
              <w:highlight w:val="none"/>
            </w:rPr>
            <w:t>目录</w:t>
          </w:r>
        </w:p>
        <w:p w14:paraId="443E8525">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_Toc11264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649A4F">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_Toc26599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CD9524">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77894A">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75C75A">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_Toc609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5AC498">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_Toc19117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87F649">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056F4B">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_Toc12074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845B3E">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A5277A">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B778EF">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_Toc22566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_Toc22566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674E9D">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_Toc10045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D00117">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AC52BB">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_Toc31384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0BE8BB">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_Toc16024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_Toc16024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6BD9187">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95C1FB">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_Toc3675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F28D68">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_Toc7059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BD8D40">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F15FCE">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_Toc26284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57CBB0">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9F11E3">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_Toc13732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3A8258">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_Toc18685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54862C">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672912">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_Toc20210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F4BB14">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_Toc30707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_Toc30707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218FC9">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7AF21A">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_Toc22044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1FAF6B">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_Toc13997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A95E754">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_Toc9024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7D8278">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8F4A11">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_Toc23365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0A4EAF">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E28F30">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D5FAB3">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_Toc26884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8B02C2">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582C2D">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_Toc7868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30</w:t>
          </w:r>
          <w:r>
            <w:rPr>
              <w:rFonts w:hint="eastAsia" w:ascii="宋体" w:hAnsi="宋体" w:eastAsia="宋体" w:cs="宋体"/>
              <w:bCs/>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_Toc7868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F3BECF">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_Toc24174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D7A532">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604676">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243B2D">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F56CD4">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628738">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CCBA1A">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88051E">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19A5F7">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_Toc17641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_Toc17641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537A04">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_Toc8961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4ED911">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FBCDAA">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_Toc26657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_Toc26657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C6B152">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745700">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C93CD7">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ADED08">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FA81E4">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76007526">
      <w:pPr>
        <w:rPr>
          <w:rFonts w:hint="eastAsia" w:ascii="宋体" w:hAnsi="宋体" w:eastAsia="宋体" w:cs="宋体"/>
          <w:color w:val="auto"/>
          <w:highlight w:val="none"/>
        </w:rPr>
      </w:pPr>
    </w:p>
    <w:p w14:paraId="39E244C3">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4538B1E8">
      <w:pPr>
        <w:pStyle w:val="2"/>
        <w:rPr>
          <w:rFonts w:hint="eastAsia" w:ascii="宋体" w:hAnsi="宋体" w:eastAsia="宋体" w:cs="宋体"/>
          <w:color w:val="auto"/>
          <w:highlight w:val="none"/>
          <w:lang w:val="zh-CN"/>
        </w:rPr>
      </w:pPr>
      <w:bookmarkStart w:id="14" w:name="_Toc11264"/>
      <w:bookmarkStart w:id="15" w:name="_Toc17129"/>
      <w:r>
        <w:rPr>
          <w:rFonts w:hint="eastAsia" w:ascii="宋体" w:hAnsi="宋体" w:eastAsia="宋体" w:cs="宋体"/>
          <w:color w:val="auto"/>
          <w:highlight w:val="none"/>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D35C967">
      <w:pPr>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2"/>
          <w:sz w:val="21"/>
          <w:szCs w:val="21"/>
          <w:highlight w:val="none"/>
          <w:lang w:val="zh-CN" w:eastAsia="zh-CN" w:bidi="ar-SA"/>
        </w:rPr>
        <w:t>广东有德招标采购有限公司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东莞市碧水信息科技有限公司</w:t>
      </w:r>
      <w:r>
        <w:rPr>
          <w:rFonts w:hint="eastAsia" w:ascii="宋体" w:hAnsi="宋体" w:eastAsia="宋体" w:cs="宋体"/>
          <w:color w:val="auto"/>
          <w:szCs w:val="21"/>
          <w:highlight w:val="none"/>
          <w:lang w:val="zh-CN"/>
        </w:rPr>
        <w:t>（以下简称“招标人”）的委托，对</w:t>
      </w:r>
      <w:bookmarkStart w:id="16" w:name="_Hlk41903390"/>
      <w:r>
        <w:rPr>
          <w:rFonts w:hint="eastAsia" w:ascii="宋体" w:hAnsi="宋体" w:eastAsia="宋体" w:cs="宋体"/>
          <w:color w:val="auto"/>
          <w:kern w:val="2"/>
          <w:sz w:val="21"/>
          <w:szCs w:val="21"/>
          <w:highlight w:val="none"/>
          <w:lang w:val="zh-CN" w:eastAsia="zh-CN" w:bidi="ar-SA"/>
        </w:rPr>
        <w:t>东莞市碧水信息科技有限公司2025年度球墨铸铁阀门采购项目</w:t>
      </w:r>
      <w:r>
        <w:rPr>
          <w:rFonts w:hint="eastAsia" w:ascii="宋体" w:hAnsi="宋体" w:eastAsia="宋体" w:cs="宋体"/>
          <w:color w:val="auto"/>
          <w:szCs w:val="21"/>
          <w:highlight w:val="none"/>
          <w:lang w:val="zh-CN"/>
        </w:rPr>
        <w:t>（招标编号：</w:t>
      </w:r>
      <w:bookmarkEnd w:id="16"/>
      <w:r>
        <w:rPr>
          <w:rFonts w:hint="eastAsia" w:ascii="宋体" w:hAnsi="宋体" w:eastAsia="宋体" w:cs="宋体"/>
          <w:color w:val="auto"/>
          <w:kern w:val="2"/>
          <w:sz w:val="21"/>
          <w:szCs w:val="21"/>
          <w:highlight w:val="none"/>
          <w:lang w:val="en-US" w:eastAsia="zh-CN" w:bidi="ar-SA"/>
        </w:rPr>
        <w:t>YDZB25DGQY0149</w:t>
      </w:r>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084D196D">
      <w:pPr>
        <w:rPr>
          <w:rFonts w:hint="eastAsia" w:ascii="宋体" w:hAnsi="宋体" w:eastAsia="宋体" w:cs="宋体"/>
          <w:color w:val="auto"/>
          <w:highlight w:val="none"/>
          <w:lang w:val="zh-CN"/>
        </w:rPr>
      </w:pPr>
    </w:p>
    <w:p w14:paraId="749CE53A">
      <w:pPr>
        <w:numPr>
          <w:ilvl w:val="0"/>
          <w:numId w:val="1"/>
        </w:num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招标范围：</w:t>
      </w:r>
      <w:r>
        <w:rPr>
          <w:rFonts w:hint="eastAsia" w:ascii="宋体" w:hAnsi="宋体" w:eastAsia="宋体" w:cs="宋体"/>
          <w:color w:val="auto"/>
          <w:highlight w:val="none"/>
          <w:u w:val="single"/>
          <w:lang w:val="zh-CN"/>
        </w:rPr>
        <w:t>供货期内，东莞市碧水信息科技有限公司球墨铸铁阀门的采购，包供货和运输</w:t>
      </w:r>
      <w:r>
        <w:rPr>
          <w:rFonts w:hint="eastAsia" w:ascii="宋体" w:hAnsi="宋体" w:eastAsia="宋体" w:cs="宋体"/>
          <w:color w:val="auto"/>
          <w:highlight w:val="none"/>
          <w:lang w:val="zh-CN"/>
        </w:rPr>
        <w:t>。（具体内容详见：第三篇用户需求书）。</w:t>
      </w:r>
    </w:p>
    <w:p w14:paraId="0754FA53">
      <w:pPr>
        <w:ind w:firstLine="420" w:firstLineChars="200"/>
        <w:rPr>
          <w:rFonts w:hint="eastAsia" w:ascii="宋体" w:hAnsi="宋体" w:eastAsia="宋体" w:cs="宋体"/>
          <w:color w:val="auto"/>
          <w:highlight w:val="none"/>
          <w:lang w:val="zh-CN"/>
        </w:rPr>
      </w:pPr>
    </w:p>
    <w:p w14:paraId="4DD7E4F9">
      <w:pPr>
        <w:numPr>
          <w:ilvl w:val="0"/>
          <w:numId w:val="1"/>
        </w:numPr>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43D3449F">
      <w:pPr>
        <w:ind w:right="-29" w:rightChars="-14"/>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在中华人民共和国境内登记注册、合法存续、正常经营且具有独立承担民事责任能力的法人或其他组织；</w:t>
      </w:r>
    </w:p>
    <w:p w14:paraId="0E17CEA1">
      <w:pPr>
        <w:ind w:left="422" w:right="-29" w:rightChars="-14" w:hanging="422" w:hangingChars="200"/>
        <w:rPr>
          <w:rFonts w:hint="eastAsia" w:ascii="宋体" w:hAnsi="宋体" w:eastAsia="宋体" w:cs="宋体"/>
          <w:b/>
          <w:color w:val="auto"/>
          <w:szCs w:val="21"/>
          <w:highlight w:val="none"/>
          <w:lang w:val="zh-CN"/>
        </w:rPr>
      </w:pPr>
      <w:bookmarkStart w:id="17" w:name="_Toc25819"/>
      <w:r>
        <w:rPr>
          <w:rFonts w:hint="eastAsia" w:ascii="宋体" w:hAnsi="宋体" w:eastAsia="宋体" w:cs="宋体"/>
          <w:b/>
          <w:color w:val="auto"/>
          <w:szCs w:val="21"/>
          <w:highlight w:val="none"/>
        </w:rPr>
        <w:t xml:space="preserve">2.2 </w:t>
      </w:r>
      <w:r>
        <w:rPr>
          <w:rFonts w:hint="eastAsia" w:ascii="宋体" w:hAnsi="宋体" w:eastAsia="宋体" w:cs="宋体"/>
          <w:b/>
          <w:color w:val="auto"/>
          <w:szCs w:val="21"/>
          <w:highlight w:val="none"/>
          <w:lang w:val="en-US" w:eastAsia="zh-CN"/>
        </w:rPr>
        <w:t>本项目投标人须为生产制造本次投标品牌球墨铸铁阀门的制造商</w:t>
      </w:r>
      <w:r>
        <w:rPr>
          <w:rFonts w:hint="eastAsia" w:ascii="宋体" w:hAnsi="宋体" w:eastAsia="宋体" w:cs="宋体"/>
          <w:b/>
          <w:color w:val="auto"/>
          <w:szCs w:val="21"/>
          <w:highlight w:val="none"/>
          <w:lang w:val="zh-CN"/>
        </w:rPr>
        <w:t>，或为球墨铸铁阀门制造商直接就本项目独家授权销售的经销商；</w:t>
      </w:r>
    </w:p>
    <w:p w14:paraId="491549E9">
      <w:pPr>
        <w:ind w:left="422" w:right="-29" w:rightChars="-14" w:hanging="422" w:hangingChars="200"/>
        <w:rPr>
          <w:rFonts w:hint="eastAsia" w:ascii="宋体" w:hAnsi="宋体" w:eastAsia="宋体" w:cs="宋体"/>
          <w:color w:val="auto"/>
          <w:highlight w:val="none"/>
        </w:rPr>
      </w:pPr>
      <w:r>
        <w:rPr>
          <w:rFonts w:hint="eastAsia" w:ascii="宋体" w:hAnsi="宋体" w:eastAsia="宋体" w:cs="宋体"/>
          <w:b/>
          <w:color w:val="auto"/>
          <w:szCs w:val="21"/>
          <w:highlight w:val="none"/>
          <w:lang w:val="zh-CN"/>
        </w:rPr>
        <w:t>2.3 投标人2022年1月1日以来具有一份投标品牌球墨铸铁阀门在国内的销售业绩（合同签订日期为2022年1月1日或以后）</w:t>
      </w:r>
      <w:r>
        <w:rPr>
          <w:rFonts w:hint="eastAsia" w:ascii="宋体" w:hAnsi="宋体" w:eastAsia="宋体" w:cs="宋体"/>
          <w:b/>
          <w:color w:val="auto"/>
          <w:szCs w:val="21"/>
          <w:highlight w:val="none"/>
        </w:rPr>
        <w:t>；</w:t>
      </w:r>
    </w:p>
    <w:p w14:paraId="04B5ADAB">
      <w:pPr>
        <w:pStyle w:val="11"/>
        <w:ind w:left="422" w:hanging="422" w:hangingChars="200"/>
        <w:rPr>
          <w:rFonts w:hint="eastAsia" w:ascii="宋体" w:hAnsi="宋体" w:eastAsia="宋体" w:cs="宋体"/>
          <w:color w:val="auto"/>
          <w:highlight w:val="none"/>
        </w:rPr>
      </w:pPr>
      <w:r>
        <w:rPr>
          <w:rFonts w:hint="eastAsia" w:ascii="宋体" w:hAnsi="宋体" w:eastAsia="宋体" w:cs="宋体"/>
          <w:b/>
          <w:color w:val="auto"/>
          <w:szCs w:val="21"/>
          <w:highlight w:val="none"/>
          <w:lang w:val="en-US" w:eastAsia="zh-CN"/>
        </w:rPr>
        <w:t xml:space="preserve">2.4 </w:t>
      </w:r>
      <w:r>
        <w:rPr>
          <w:rFonts w:hint="eastAsia" w:ascii="宋体" w:hAnsi="宋体" w:eastAsia="宋体" w:cs="宋体"/>
          <w:b/>
          <w:color w:val="auto"/>
          <w:szCs w:val="21"/>
          <w:highlight w:val="none"/>
        </w:rPr>
        <w:t>投标人所供</w:t>
      </w:r>
      <w:r>
        <w:rPr>
          <w:rFonts w:hint="eastAsia" w:ascii="宋体" w:hAnsi="宋体" w:eastAsia="宋体" w:cs="宋体"/>
          <w:b/>
          <w:color w:val="auto"/>
          <w:szCs w:val="21"/>
          <w:highlight w:val="none"/>
          <w:lang w:val="zh-CN"/>
        </w:rPr>
        <w:t>球墨铸铁阀门</w:t>
      </w:r>
      <w:r>
        <w:rPr>
          <w:rFonts w:hint="eastAsia" w:ascii="宋体" w:hAnsi="宋体" w:eastAsia="宋体" w:cs="宋体"/>
          <w:b/>
          <w:color w:val="auto"/>
          <w:szCs w:val="21"/>
          <w:highlight w:val="none"/>
        </w:rPr>
        <w:t>具有有效的省级以上(含省级)卫生行政主管部门颁发的《涉及饮用水卫生安全产品卫生许可批件》；</w:t>
      </w:r>
    </w:p>
    <w:p w14:paraId="77CE9CB0">
      <w:pPr>
        <w:ind w:right="-29" w:rightChars="-14"/>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本项目不接受联合体投标。</w:t>
      </w:r>
    </w:p>
    <w:bookmarkEnd w:id="17"/>
    <w:p w14:paraId="684376F2">
      <w:pPr>
        <w:rPr>
          <w:rFonts w:hint="eastAsia" w:ascii="宋体" w:hAnsi="宋体" w:eastAsia="宋体" w:cs="宋体"/>
          <w:color w:val="auto"/>
          <w:highlight w:val="none"/>
          <w:lang w:val="zh-CN"/>
        </w:rPr>
      </w:pPr>
    </w:p>
    <w:p w14:paraId="41B48EEB">
      <w:pPr>
        <w:numPr>
          <w:ilvl w:val="0"/>
          <w:numId w:val="1"/>
        </w:numPr>
        <w:ind w:left="426" w:right="-34" w:hanging="426"/>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Pr>
          <w:rFonts w:hint="eastAsia" w:ascii="宋体" w:hAnsi="宋体" w:eastAsia="宋体" w:cs="宋体"/>
          <w:color w:val="auto"/>
          <w:szCs w:val="21"/>
          <w:highlight w:val="none"/>
        </w:rPr>
        <w:t>。</w:t>
      </w:r>
    </w:p>
    <w:p w14:paraId="5CB8D057">
      <w:pPr>
        <w:rPr>
          <w:rFonts w:hint="eastAsia" w:ascii="宋体" w:hAnsi="宋体" w:eastAsia="宋体" w:cs="宋体"/>
          <w:color w:val="auto"/>
          <w:highlight w:val="none"/>
          <w:lang w:val="zh-CN"/>
        </w:rPr>
      </w:pPr>
    </w:p>
    <w:p w14:paraId="52E5BB21">
      <w:pPr>
        <w:numPr>
          <w:ilvl w:val="0"/>
          <w:numId w:val="1"/>
        </w:numPr>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p>
    <w:p w14:paraId="73F150AE">
      <w:pPr>
        <w:rPr>
          <w:rFonts w:hint="eastAsia" w:ascii="宋体" w:hAnsi="宋体" w:eastAsia="宋体" w:cs="宋体"/>
          <w:color w:val="auto"/>
          <w:highlight w:val="none"/>
          <w:lang w:val="zh-CN"/>
        </w:rPr>
      </w:pPr>
    </w:p>
    <w:p w14:paraId="29A5D203">
      <w:pPr>
        <w:numPr>
          <w:ilvl w:val="0"/>
          <w:numId w:val="1"/>
        </w:numPr>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6B73A879">
      <w:pPr>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i w:val="0"/>
          <w:iCs w:val="0"/>
          <w:caps w:val="0"/>
          <w:color w:val="000000"/>
          <w:spacing w:val="0"/>
          <w:sz w:val="21"/>
          <w:szCs w:val="21"/>
          <w:u w:val="single"/>
        </w:rPr>
        <w:t>2025</w:t>
      </w:r>
      <w:r>
        <w:rPr>
          <w:rFonts w:hint="eastAsia" w:ascii="宋体" w:hAnsi="宋体" w:eastAsia="宋体" w:cs="宋体"/>
          <w:i w:val="0"/>
          <w:iCs w:val="0"/>
          <w:caps w:val="0"/>
          <w:color w:val="000000"/>
          <w:spacing w:val="0"/>
          <w:sz w:val="21"/>
          <w:szCs w:val="21"/>
        </w:rPr>
        <w:t>年</w:t>
      </w:r>
      <w:r>
        <w:rPr>
          <w:rFonts w:hint="eastAsia" w:ascii="宋体" w:hAnsi="宋体" w:eastAsia="宋体" w:cs="宋体"/>
          <w:i w:val="0"/>
          <w:iCs w:val="0"/>
          <w:caps w:val="0"/>
          <w:color w:val="000000"/>
          <w:spacing w:val="0"/>
          <w:sz w:val="21"/>
          <w:szCs w:val="21"/>
          <w:u w:val="single"/>
        </w:rPr>
        <w:t>12</w:t>
      </w:r>
      <w:r>
        <w:rPr>
          <w:rFonts w:hint="eastAsia" w:ascii="宋体" w:hAnsi="宋体" w:eastAsia="宋体" w:cs="宋体"/>
          <w:i w:val="0"/>
          <w:iCs w:val="0"/>
          <w:caps w:val="0"/>
          <w:color w:val="000000"/>
          <w:spacing w:val="0"/>
          <w:sz w:val="21"/>
          <w:szCs w:val="21"/>
        </w:rPr>
        <w:t>月</w:t>
      </w:r>
      <w:r>
        <w:rPr>
          <w:rFonts w:hint="eastAsia" w:ascii="宋体" w:hAnsi="宋体" w:eastAsia="宋体" w:cs="宋体"/>
          <w:i w:val="0"/>
          <w:iCs w:val="0"/>
          <w:caps w:val="0"/>
          <w:color w:val="000000"/>
          <w:spacing w:val="0"/>
          <w:sz w:val="21"/>
          <w:szCs w:val="21"/>
          <w:u w:val="single"/>
          <w:lang w:val="en-US" w:eastAsia="zh-CN"/>
        </w:rPr>
        <w:t>30</w:t>
      </w:r>
      <w:r>
        <w:rPr>
          <w:rFonts w:hint="eastAsia" w:ascii="宋体" w:hAnsi="宋体" w:eastAsia="宋体" w:cs="宋体"/>
          <w:i w:val="0"/>
          <w:iCs w:val="0"/>
          <w:caps w:val="0"/>
          <w:color w:val="000000"/>
          <w:spacing w:val="0"/>
          <w:sz w:val="21"/>
          <w:szCs w:val="21"/>
        </w:rPr>
        <w:t>日</w:t>
      </w:r>
      <w:r>
        <w:rPr>
          <w:rFonts w:hint="eastAsia" w:ascii="宋体" w:hAnsi="宋体" w:eastAsia="宋体" w:cs="宋体"/>
          <w:i w:val="0"/>
          <w:iCs w:val="0"/>
          <w:caps w:val="0"/>
          <w:color w:val="000000"/>
          <w:spacing w:val="0"/>
          <w:sz w:val="21"/>
          <w:szCs w:val="21"/>
          <w:u w:val="single"/>
        </w:rPr>
        <w:t>13：30</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0"/>
          <w:sz w:val="21"/>
          <w:szCs w:val="21"/>
          <w:u w:val="single"/>
        </w:rPr>
        <w:t>14：00</w:t>
      </w:r>
      <w:r>
        <w:rPr>
          <w:rFonts w:hint="eastAsia" w:ascii="宋体" w:hAnsi="宋体" w:eastAsia="宋体" w:cs="宋体"/>
          <w:bCs/>
          <w:color w:val="auto"/>
          <w:kern w:val="0"/>
          <w:szCs w:val="21"/>
          <w:highlight w:val="none"/>
        </w:rPr>
        <w:t>；</w:t>
      </w:r>
    </w:p>
    <w:p w14:paraId="636960E1">
      <w:pPr>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i w:val="0"/>
          <w:iCs w:val="0"/>
          <w:caps w:val="0"/>
          <w:color w:val="000000"/>
          <w:spacing w:val="0"/>
          <w:sz w:val="21"/>
          <w:szCs w:val="21"/>
          <w:u w:val="single"/>
        </w:rPr>
        <w:t>2025</w:t>
      </w:r>
      <w:r>
        <w:rPr>
          <w:rFonts w:hint="eastAsia" w:ascii="宋体" w:hAnsi="宋体" w:eastAsia="宋体" w:cs="宋体"/>
          <w:i w:val="0"/>
          <w:iCs w:val="0"/>
          <w:caps w:val="0"/>
          <w:color w:val="000000"/>
          <w:spacing w:val="0"/>
          <w:sz w:val="21"/>
          <w:szCs w:val="21"/>
        </w:rPr>
        <w:t>年</w:t>
      </w:r>
      <w:r>
        <w:rPr>
          <w:rFonts w:hint="eastAsia" w:ascii="宋体" w:hAnsi="宋体" w:eastAsia="宋体" w:cs="宋体"/>
          <w:i w:val="0"/>
          <w:iCs w:val="0"/>
          <w:caps w:val="0"/>
          <w:color w:val="000000"/>
          <w:spacing w:val="0"/>
          <w:sz w:val="21"/>
          <w:szCs w:val="21"/>
          <w:u w:val="single"/>
        </w:rPr>
        <w:t>12</w:t>
      </w:r>
      <w:r>
        <w:rPr>
          <w:rFonts w:hint="eastAsia" w:ascii="宋体" w:hAnsi="宋体" w:eastAsia="宋体" w:cs="宋体"/>
          <w:i w:val="0"/>
          <w:iCs w:val="0"/>
          <w:caps w:val="0"/>
          <w:color w:val="000000"/>
          <w:spacing w:val="0"/>
          <w:sz w:val="21"/>
          <w:szCs w:val="21"/>
        </w:rPr>
        <w:t>月</w:t>
      </w:r>
      <w:r>
        <w:rPr>
          <w:rFonts w:hint="eastAsia" w:ascii="宋体" w:hAnsi="宋体" w:eastAsia="宋体" w:cs="宋体"/>
          <w:i w:val="0"/>
          <w:iCs w:val="0"/>
          <w:caps w:val="0"/>
          <w:color w:val="000000"/>
          <w:spacing w:val="0"/>
          <w:sz w:val="21"/>
          <w:szCs w:val="21"/>
          <w:u w:val="single"/>
          <w:lang w:val="en-US" w:eastAsia="zh-CN"/>
        </w:rPr>
        <w:t>30</w:t>
      </w:r>
      <w:r>
        <w:rPr>
          <w:rFonts w:hint="eastAsia" w:ascii="宋体" w:hAnsi="宋体" w:eastAsia="宋体" w:cs="宋体"/>
          <w:i w:val="0"/>
          <w:iCs w:val="0"/>
          <w:caps w:val="0"/>
          <w:color w:val="000000"/>
          <w:spacing w:val="0"/>
          <w:sz w:val="21"/>
          <w:szCs w:val="21"/>
        </w:rPr>
        <w:t>日</w:t>
      </w:r>
      <w:r>
        <w:rPr>
          <w:rFonts w:hint="eastAsia" w:ascii="宋体" w:hAnsi="宋体" w:eastAsia="宋体" w:cs="宋体"/>
          <w:color w:val="auto"/>
          <w:sz w:val="21"/>
          <w:szCs w:val="21"/>
          <w:highlight w:val="none"/>
          <w:u w:val="single"/>
          <w:lang w:val="zh-CN"/>
        </w:rPr>
        <w:t>14：00</w:t>
      </w:r>
      <w:r>
        <w:rPr>
          <w:rFonts w:hint="eastAsia" w:ascii="宋体" w:hAnsi="宋体" w:eastAsia="宋体" w:cs="宋体"/>
          <w:bCs/>
          <w:color w:val="auto"/>
          <w:kern w:val="0"/>
          <w:szCs w:val="21"/>
          <w:highlight w:val="none"/>
        </w:rPr>
        <w:t>；</w:t>
      </w:r>
    </w:p>
    <w:p w14:paraId="05A19494">
      <w:pPr>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szCs w:val="21"/>
          <w:highlight w:val="none"/>
          <w:u w:val="single"/>
          <w:lang w:val="zh-CN"/>
        </w:rPr>
        <w:t>广东省东莞市东城街道新源路海德琥珀台6栋1703室</w:t>
      </w:r>
      <w:r>
        <w:rPr>
          <w:rFonts w:hint="eastAsia" w:ascii="宋体" w:hAnsi="宋体" w:eastAsia="宋体" w:cs="宋体"/>
          <w:color w:val="auto"/>
          <w:kern w:val="0"/>
          <w:szCs w:val="21"/>
          <w:highlight w:val="none"/>
        </w:rPr>
        <w:t>。</w:t>
      </w:r>
    </w:p>
    <w:p w14:paraId="3A092A4A">
      <w:pPr>
        <w:rPr>
          <w:rFonts w:hint="eastAsia" w:ascii="宋体" w:hAnsi="宋体" w:eastAsia="宋体" w:cs="宋体"/>
          <w:color w:val="auto"/>
          <w:highlight w:val="none"/>
        </w:rPr>
      </w:pPr>
    </w:p>
    <w:p w14:paraId="6DD9E109">
      <w:pPr>
        <w:numPr>
          <w:ilvl w:val="0"/>
          <w:numId w:val="1"/>
        </w:numPr>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1F985A7B">
      <w:pPr>
        <w:rPr>
          <w:rFonts w:hint="eastAsia" w:ascii="宋体" w:hAnsi="宋体" w:eastAsia="宋体" w:cs="宋体"/>
          <w:color w:val="auto"/>
          <w:highlight w:val="none"/>
          <w:lang w:val="zh-CN"/>
        </w:rPr>
      </w:pPr>
    </w:p>
    <w:p w14:paraId="1075F54C">
      <w:pPr>
        <w:numPr>
          <w:ilvl w:val="0"/>
          <w:numId w:val="1"/>
        </w:numPr>
        <w:ind w:right="-34"/>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bCs/>
          <w:color w:val="auto"/>
          <w:szCs w:val="21"/>
          <w:highlight w:val="none"/>
          <w:lang w:eastAsia="zh-CN"/>
        </w:rPr>
        <w:t>网</w:t>
      </w:r>
      <w:r>
        <w:rPr>
          <w:rFonts w:hint="eastAsia" w:ascii="宋体" w:hAnsi="宋体" w:eastAsia="宋体" w:cs="宋体"/>
          <w:bCs/>
          <w:color w:val="auto"/>
          <w:szCs w:val="21"/>
          <w:highlight w:val="none"/>
        </w:rPr>
        <w:t>（www.dgswjt.cn）、招标代理机构网站（www.youde.net）</w:t>
      </w:r>
      <w:r>
        <w:rPr>
          <w:rFonts w:hint="eastAsia" w:ascii="宋体" w:hAnsi="宋体" w:eastAsia="宋体" w:cs="宋体"/>
          <w:color w:val="auto"/>
          <w:szCs w:val="21"/>
          <w:highlight w:val="none"/>
          <w:lang w:val="zh-CN"/>
        </w:rPr>
        <w:t>。</w:t>
      </w:r>
    </w:p>
    <w:p w14:paraId="2E1BB047">
      <w:pPr>
        <w:rPr>
          <w:rFonts w:hint="eastAsia" w:ascii="宋体" w:hAnsi="宋体" w:eastAsia="宋体" w:cs="宋体"/>
          <w:color w:val="auto"/>
          <w:highlight w:val="none"/>
        </w:rPr>
      </w:pPr>
    </w:p>
    <w:p w14:paraId="1647D6F1">
      <w:pPr>
        <w:numPr>
          <w:ilvl w:val="0"/>
          <w:numId w:val="1"/>
        </w:numPr>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4AA4B4AD">
      <w:pPr>
        <w:widowControl/>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东莞市碧水信息科技有限公司</w:t>
      </w:r>
    </w:p>
    <w:p w14:paraId="3585D68D">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址：广东省东莞市南城街道滨河路100号1号楼</w:t>
      </w:r>
    </w:p>
    <w:p w14:paraId="32AD7225">
      <w:pPr>
        <w:widowControl/>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eastAsia="zh-CN"/>
        </w:rPr>
        <w:t>陈启政</w:t>
      </w:r>
    </w:p>
    <w:p w14:paraId="4233DD82">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话：0769-27289286</w:t>
      </w:r>
    </w:p>
    <w:p w14:paraId="5B653052">
      <w:pPr>
        <w:rPr>
          <w:rFonts w:hint="eastAsia" w:ascii="宋体" w:hAnsi="宋体" w:eastAsia="宋体" w:cs="宋体"/>
          <w:color w:val="auto"/>
          <w:highlight w:val="none"/>
        </w:rPr>
      </w:pPr>
    </w:p>
    <w:p w14:paraId="4AF061F2">
      <w:pPr>
        <w:numPr>
          <w:ilvl w:val="0"/>
          <w:numId w:val="1"/>
        </w:numPr>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招标代理机构及异议受理联系方式</w:t>
      </w:r>
    </w:p>
    <w:p w14:paraId="1D595155">
      <w:pPr>
        <w:widowControl/>
        <w:ind w:right="-31" w:rightChars="-15" w:firstLine="424" w:firstLineChars="202"/>
        <w:jc w:val="left"/>
        <w:textAlignment w:val="bottom"/>
        <w:rPr>
          <w:rFonts w:hint="eastAsia" w:ascii="宋体" w:hAnsi="宋体" w:eastAsia="宋体" w:cs="宋体"/>
          <w:color w:val="auto"/>
          <w:kern w:val="0"/>
          <w:szCs w:val="21"/>
          <w:highlight w:val="none"/>
        </w:rPr>
      </w:pPr>
      <w:bookmarkStart w:id="18" w:name="_Toc31764_WPSOffice_Level1"/>
      <w:bookmarkStart w:id="19" w:name="_Toc486167661"/>
      <w:bookmarkStart w:id="20" w:name="_Toc450662847"/>
      <w:r>
        <w:rPr>
          <w:rFonts w:hint="eastAsia" w:ascii="宋体" w:hAnsi="宋体" w:eastAsia="宋体" w:cs="宋体"/>
          <w:color w:val="auto"/>
          <w:kern w:val="0"/>
          <w:szCs w:val="21"/>
          <w:highlight w:val="none"/>
        </w:rPr>
        <w:t>招标代理机构：广东有德招标采购有限公司</w:t>
      </w:r>
    </w:p>
    <w:p w14:paraId="1F034E91">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w:t>
      </w:r>
      <w:r>
        <w:rPr>
          <w:rFonts w:hint="eastAsia" w:ascii="宋体" w:hAnsi="宋体" w:eastAsia="宋体" w:cs="宋体"/>
          <w:color w:val="auto"/>
          <w:szCs w:val="21"/>
          <w:highlight w:val="none"/>
        </w:rPr>
        <w:t>东莞市东城街道新源路海德琥珀台6栋1703室</w:t>
      </w:r>
    </w:p>
    <w:p w14:paraId="36A72990">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缪俊豪</w:t>
      </w:r>
    </w:p>
    <w:p w14:paraId="0F169CD1">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 w:val="21"/>
          <w:szCs w:val="21"/>
          <w:highlight w:val="none"/>
          <w:lang w:val="en-US" w:eastAsia="zh-CN" w:bidi="ar-SA"/>
        </w:rPr>
        <w:t>0769-</w:t>
      </w:r>
      <w:r>
        <w:rPr>
          <w:rFonts w:hint="eastAsia" w:ascii="宋体" w:hAnsi="宋体" w:eastAsia="宋体" w:cs="宋体"/>
          <w:color w:val="auto"/>
          <w:szCs w:val="21"/>
          <w:highlight w:val="none"/>
        </w:rPr>
        <w:t>23362836-8018</w:t>
      </w:r>
    </w:p>
    <w:p w14:paraId="5CDCF327">
      <w:pPr>
        <w:rPr>
          <w:rFonts w:hint="eastAsia" w:ascii="宋体" w:hAnsi="宋体" w:eastAsia="宋体" w:cs="宋体"/>
          <w:color w:val="auto"/>
          <w:highlight w:val="none"/>
          <w:lang w:val="zh-CN"/>
        </w:rPr>
      </w:pPr>
      <w:bookmarkStart w:id="21" w:name="_Toc29178"/>
      <w:bookmarkStart w:id="22" w:name="_Toc178076454"/>
      <w:bookmarkStart w:id="23" w:name="_Toc22922"/>
      <w:bookmarkStart w:id="24" w:name="_Toc12475"/>
      <w:bookmarkStart w:id="25" w:name="_Toc172552141"/>
      <w:bookmarkStart w:id="26" w:name="_Toc8129"/>
      <w:bookmarkStart w:id="27" w:name="_Toc14448"/>
      <w:bookmarkStart w:id="28" w:name="_Toc142508311"/>
      <w:bookmarkStart w:id="29" w:name="_Toc24621"/>
      <w:bookmarkStart w:id="30" w:name="_Toc14484"/>
      <w:bookmarkStart w:id="31" w:name="_Toc176627775"/>
    </w:p>
    <w:p w14:paraId="202BAC6F">
      <w:pPr>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br w:type="page"/>
      </w:r>
    </w:p>
    <w:p w14:paraId="7023E095">
      <w:pPr>
        <w:pStyle w:val="2"/>
        <w:rPr>
          <w:rFonts w:hint="eastAsia" w:ascii="宋体" w:hAnsi="宋体" w:eastAsia="宋体" w:cs="宋体"/>
          <w:bCs/>
          <w:color w:val="auto"/>
          <w:kern w:val="44"/>
          <w:szCs w:val="32"/>
          <w:highlight w:val="none"/>
        </w:rPr>
      </w:pPr>
      <w:bookmarkStart w:id="32" w:name="_Toc20765"/>
      <w:bookmarkStart w:id="33" w:name="_Toc26599"/>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1211F77">
      <w:pPr>
        <w:pStyle w:val="3"/>
        <w:rPr>
          <w:rFonts w:hint="eastAsia" w:ascii="宋体" w:hAnsi="宋体" w:eastAsia="宋体" w:cs="宋体"/>
          <w:color w:val="auto"/>
          <w:highlight w:val="none"/>
          <w:lang w:val="zh-CN"/>
        </w:rPr>
      </w:pPr>
      <w:bookmarkStart w:id="34" w:name="_Toc450662848"/>
      <w:bookmarkStart w:id="35" w:name="_Toc176627776"/>
      <w:bookmarkStart w:id="36" w:name="_Toc2501"/>
      <w:bookmarkStart w:id="37" w:name="_Toc142508312"/>
      <w:bookmarkStart w:id="38" w:name="_Toc1784"/>
      <w:bookmarkStart w:id="39" w:name="_Toc178076455"/>
      <w:bookmarkStart w:id="40" w:name="_Toc172552142"/>
      <w:bookmarkStart w:id="41" w:name="_Toc140596871"/>
      <w:bookmarkStart w:id="42" w:name="_Toc486167662"/>
      <w:bookmarkStart w:id="43" w:name="_Toc16098"/>
      <w:bookmarkStart w:id="44" w:name="_Toc15366_WPSOffice_Level2"/>
      <w:bookmarkStart w:id="45" w:name="_Toc8297"/>
      <w:bookmarkStart w:id="46" w:name="_Toc15773"/>
      <w:bookmarkStart w:id="47" w:name="_Toc27999"/>
      <w:bookmarkStart w:id="48" w:name="_Toc23340"/>
      <w:bookmarkStart w:id="49" w:name="_Toc7593"/>
      <w:bookmarkStart w:id="50" w:name="_Toc8521"/>
      <w:r>
        <w:rPr>
          <w:rFonts w:hint="eastAsia" w:ascii="宋体" w:hAnsi="宋体" w:eastAsia="宋体" w:cs="宋体"/>
          <w:color w:val="auto"/>
          <w:highlight w:val="none"/>
          <w:lang w:val="zh-CN"/>
        </w:rPr>
        <w:t>一、总则</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52F46C5">
      <w:pPr>
        <w:pStyle w:val="4"/>
        <w:rPr>
          <w:rFonts w:hint="eastAsia" w:ascii="宋体" w:hAnsi="宋体" w:eastAsia="宋体" w:cs="宋体"/>
          <w:color w:val="auto"/>
          <w:highlight w:val="none"/>
          <w:lang w:val="zh-CN"/>
        </w:rPr>
      </w:pPr>
      <w:bookmarkStart w:id="51" w:name="_Toc450662849"/>
      <w:bookmarkStart w:id="52" w:name="_Toc486167663"/>
      <w:bookmarkStart w:id="53" w:name="_Toc19191"/>
      <w:bookmarkStart w:id="54" w:name="_Toc176627777"/>
      <w:bookmarkStart w:id="55" w:name="_Toc17309"/>
      <w:bookmarkStart w:id="56" w:name="_Toc4234"/>
      <w:bookmarkStart w:id="57" w:name="_Toc172552143"/>
      <w:bookmarkStart w:id="58" w:name="_Toc142508313"/>
      <w:bookmarkStart w:id="59" w:name="_Toc178076456"/>
      <w:bookmarkStart w:id="60" w:name="_Toc19999"/>
      <w:bookmarkStart w:id="61" w:name="_Toc16700"/>
      <w:bookmarkStart w:id="62" w:name="_Toc21710_WPSOffice_Level3"/>
      <w:bookmarkStart w:id="63" w:name="_Toc24913"/>
      <w:r>
        <w:rPr>
          <w:rFonts w:hint="eastAsia" w:ascii="宋体" w:hAnsi="宋体" w:eastAsia="宋体" w:cs="宋体"/>
          <w:color w:val="auto"/>
          <w:highlight w:val="none"/>
          <w:lang w:val="zh-CN"/>
        </w:rPr>
        <w:t>1 资金来源：企业自筹资金。</w:t>
      </w:r>
      <w:bookmarkEnd w:id="51"/>
      <w:bookmarkEnd w:id="52"/>
      <w:bookmarkEnd w:id="53"/>
      <w:bookmarkEnd w:id="54"/>
      <w:bookmarkEnd w:id="55"/>
      <w:bookmarkEnd w:id="56"/>
      <w:bookmarkEnd w:id="57"/>
      <w:bookmarkEnd w:id="58"/>
      <w:bookmarkEnd w:id="59"/>
      <w:bookmarkEnd w:id="60"/>
      <w:bookmarkEnd w:id="61"/>
      <w:bookmarkEnd w:id="62"/>
      <w:bookmarkEnd w:id="63"/>
    </w:p>
    <w:p w14:paraId="3BEB55CB">
      <w:pPr>
        <w:rPr>
          <w:rFonts w:hint="eastAsia" w:ascii="宋体" w:hAnsi="宋体" w:eastAsia="宋体" w:cs="宋体"/>
          <w:color w:val="auto"/>
          <w:highlight w:val="none"/>
        </w:rPr>
      </w:pPr>
    </w:p>
    <w:p w14:paraId="0735063E">
      <w:pPr>
        <w:pStyle w:val="4"/>
        <w:rPr>
          <w:rFonts w:hint="eastAsia" w:ascii="宋体" w:hAnsi="宋体" w:eastAsia="宋体" w:cs="宋体"/>
          <w:b/>
          <w:bCs/>
          <w:color w:val="auto"/>
          <w:highlight w:val="none"/>
          <w:lang w:val="zh-CN"/>
        </w:rPr>
      </w:pPr>
      <w:bookmarkStart w:id="64" w:name="_Toc25522"/>
      <w:bookmarkStart w:id="65" w:name="_Toc31094"/>
      <w:bookmarkStart w:id="66" w:name="_Toc176627778"/>
      <w:bookmarkStart w:id="67" w:name="_Toc172552144"/>
      <w:bookmarkStart w:id="68" w:name="_Toc609"/>
      <w:bookmarkStart w:id="69" w:name="_Toc486167664"/>
      <w:bookmarkStart w:id="70" w:name="_Toc80_WPSOffice_Level3"/>
      <w:bookmarkStart w:id="71" w:name="_Toc28131"/>
      <w:bookmarkStart w:id="72" w:name="_Toc178076457"/>
      <w:bookmarkStart w:id="73" w:name="_Toc450662850"/>
      <w:bookmarkStart w:id="74" w:name="_Toc5550"/>
      <w:bookmarkStart w:id="75" w:name="_Toc16593"/>
      <w:bookmarkStart w:id="76" w:name="_Toc142508314"/>
      <w:r>
        <w:rPr>
          <w:rFonts w:hint="eastAsia" w:ascii="宋体" w:hAnsi="宋体" w:eastAsia="宋体" w:cs="宋体"/>
          <w:b/>
          <w:bCs/>
          <w:color w:val="auto"/>
          <w:highlight w:val="none"/>
          <w:lang w:val="zh-CN"/>
        </w:rPr>
        <w:t>2 合格的投标人</w:t>
      </w:r>
      <w:bookmarkEnd w:id="64"/>
      <w:bookmarkEnd w:id="65"/>
      <w:bookmarkEnd w:id="66"/>
      <w:bookmarkEnd w:id="67"/>
      <w:bookmarkEnd w:id="68"/>
      <w:bookmarkEnd w:id="69"/>
      <w:bookmarkEnd w:id="70"/>
      <w:bookmarkEnd w:id="71"/>
      <w:bookmarkEnd w:id="72"/>
      <w:bookmarkEnd w:id="73"/>
      <w:bookmarkEnd w:id="74"/>
      <w:bookmarkEnd w:id="75"/>
      <w:bookmarkEnd w:id="76"/>
    </w:p>
    <w:p w14:paraId="0393B103">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2.1  合格的投标人条件见第一篇《招标公告》中第2条的“合格投标人资格要求”及本条以下2.2款至</w:t>
      </w:r>
      <w:r>
        <w:rPr>
          <w:rFonts w:hint="eastAsia" w:ascii="宋体" w:hAnsi="宋体" w:eastAsia="宋体" w:cs="宋体"/>
          <w:b/>
          <w:bCs/>
          <w:color w:val="auto"/>
          <w:highlight w:val="none"/>
        </w:rPr>
        <w:t>2.5</w:t>
      </w:r>
      <w:r>
        <w:rPr>
          <w:rFonts w:hint="eastAsia" w:ascii="宋体" w:hAnsi="宋体" w:eastAsia="宋体" w:cs="宋体"/>
          <w:b/>
          <w:bCs/>
          <w:color w:val="auto"/>
          <w:highlight w:val="none"/>
          <w:lang w:val="zh-CN"/>
        </w:rPr>
        <w:t>款的通用要求。</w:t>
      </w:r>
    </w:p>
    <w:p w14:paraId="01ECBF0C">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1E87D8D0">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2.3  投标人符合《中华人民共和国招标投标法》第二十六条规定。</w:t>
      </w:r>
    </w:p>
    <w:p w14:paraId="3E820A83">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2.4  投标人（含其不具有独立法人资格的分支机构）未被列入“信用中国”网站（ www.creditchina.gov.cn）失信被执行人、重大税收违法失信主体、政府采购严重违法失信行为记录名单（处罚期限届满的除外）。</w:t>
      </w:r>
    </w:p>
    <w:p w14:paraId="594EDA0D">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bCs/>
          <w:color w:val="auto"/>
          <w:highlight w:val="none"/>
          <w:lang w:val="zh-CN"/>
        </w:rPr>
        <w:t>。</w:t>
      </w:r>
    </w:p>
    <w:p w14:paraId="5FB2231E">
      <w:pPr>
        <w:rPr>
          <w:rFonts w:hint="eastAsia" w:ascii="宋体" w:hAnsi="宋体" w:eastAsia="宋体" w:cs="宋体"/>
          <w:color w:val="auto"/>
          <w:highlight w:val="none"/>
        </w:rPr>
      </w:pPr>
    </w:p>
    <w:p w14:paraId="35299653">
      <w:pPr>
        <w:pStyle w:val="4"/>
        <w:rPr>
          <w:rFonts w:hint="eastAsia" w:ascii="宋体" w:hAnsi="宋体" w:eastAsia="宋体" w:cs="宋体"/>
          <w:b/>
          <w:bCs/>
          <w:color w:val="auto"/>
          <w:highlight w:val="none"/>
          <w:lang w:val="zh-CN"/>
        </w:rPr>
      </w:pPr>
      <w:bookmarkStart w:id="77" w:name="_Toc178076458"/>
      <w:bookmarkStart w:id="78" w:name="_Toc19117"/>
      <w:bookmarkStart w:id="79" w:name="_Toc32205"/>
      <w:bookmarkStart w:id="80" w:name="_Toc23847_WPSOffice_Level3"/>
      <w:bookmarkStart w:id="81" w:name="_Toc17489"/>
      <w:bookmarkStart w:id="82" w:name="_Toc7538"/>
      <w:bookmarkStart w:id="83" w:name="_Toc142508315"/>
      <w:bookmarkStart w:id="84" w:name="_Toc176627779"/>
      <w:bookmarkStart w:id="85" w:name="_Toc8199"/>
      <w:bookmarkStart w:id="86" w:name="_Toc172552145"/>
      <w:bookmarkStart w:id="87" w:name="_Toc15603"/>
      <w:bookmarkStart w:id="88" w:name="_Toc450662851"/>
      <w:bookmarkStart w:id="89" w:name="_Toc486167665"/>
      <w:r>
        <w:rPr>
          <w:rFonts w:hint="eastAsia" w:ascii="宋体" w:hAnsi="宋体" w:eastAsia="宋体" w:cs="宋体"/>
          <w:b/>
          <w:bCs/>
          <w:color w:val="auto"/>
          <w:highlight w:val="none"/>
          <w:lang w:val="zh-CN"/>
        </w:rPr>
        <w:t>3 合格的货物</w:t>
      </w:r>
      <w:bookmarkEnd w:id="77"/>
      <w:bookmarkEnd w:id="78"/>
      <w:bookmarkEnd w:id="79"/>
      <w:bookmarkEnd w:id="80"/>
      <w:bookmarkEnd w:id="81"/>
      <w:bookmarkEnd w:id="82"/>
      <w:bookmarkEnd w:id="83"/>
      <w:bookmarkEnd w:id="84"/>
      <w:bookmarkEnd w:id="85"/>
      <w:bookmarkEnd w:id="86"/>
      <w:bookmarkEnd w:id="87"/>
    </w:p>
    <w:p w14:paraId="54BCDD5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3.1</w:t>
      </w:r>
      <w:r>
        <w:rPr>
          <w:rFonts w:hint="eastAsia" w:ascii="宋体" w:hAnsi="宋体" w:eastAsia="宋体" w:cs="宋体"/>
          <w:color w:val="auto"/>
          <w:highlight w:val="none"/>
        </w:rPr>
        <w:t xml:space="preserve">  </w:t>
      </w:r>
      <w:bookmarkStart w:id="90" w:name="_Toc1977668"/>
      <w:bookmarkStart w:id="91" w:name="_Toc533708068"/>
      <w:r>
        <w:rPr>
          <w:rFonts w:hint="eastAsia" w:ascii="宋体" w:hAnsi="宋体" w:eastAsia="宋体" w:cs="宋体"/>
          <w:color w:val="auto"/>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1875D5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3603D5A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3.3  投标人必须保证提供的所有货物或货物的任何部分均为最新正式版本。</w:t>
      </w:r>
    </w:p>
    <w:p w14:paraId="42667ED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564F9FA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04AD9E2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0"/>
      <w:bookmarkEnd w:id="91"/>
    </w:p>
    <w:p w14:paraId="7241AFF7">
      <w:pPr>
        <w:rPr>
          <w:rFonts w:hint="eastAsia" w:ascii="宋体" w:hAnsi="宋体" w:eastAsia="宋体" w:cs="宋体"/>
          <w:color w:val="auto"/>
          <w:highlight w:val="none"/>
          <w:lang w:val="zh-CN"/>
        </w:rPr>
      </w:pPr>
    </w:p>
    <w:p w14:paraId="075EED6F">
      <w:pPr>
        <w:pStyle w:val="4"/>
        <w:rPr>
          <w:rFonts w:hint="eastAsia" w:ascii="宋体" w:hAnsi="宋体" w:eastAsia="宋体" w:cs="宋体"/>
          <w:color w:val="auto"/>
          <w:highlight w:val="none"/>
          <w:lang w:val="zh-CN"/>
        </w:rPr>
      </w:pPr>
      <w:bookmarkStart w:id="92" w:name="_Toc176627780"/>
      <w:bookmarkStart w:id="93" w:name="_Toc178076459"/>
      <w:bookmarkStart w:id="94" w:name="_Toc2623"/>
      <w:bookmarkStart w:id="95" w:name="_Toc23394"/>
      <w:bookmarkStart w:id="96" w:name="_Toc17025"/>
      <w:bookmarkStart w:id="97" w:name="_Toc142508316"/>
      <w:bookmarkStart w:id="98" w:name="_Toc9658_WPSOffice_Level3"/>
      <w:bookmarkStart w:id="99" w:name="_Toc17031"/>
      <w:bookmarkStart w:id="100" w:name="_Toc27459"/>
      <w:bookmarkStart w:id="101" w:name="_Toc23293"/>
      <w:bookmarkStart w:id="102" w:name="_Toc172552146"/>
      <w:r>
        <w:rPr>
          <w:rFonts w:hint="eastAsia" w:ascii="宋体" w:hAnsi="宋体" w:eastAsia="宋体" w:cs="宋体"/>
          <w:color w:val="auto"/>
          <w:highlight w:val="none"/>
          <w:lang w:val="zh-CN"/>
        </w:rPr>
        <w:t>4 其它说明</w:t>
      </w:r>
      <w:bookmarkEnd w:id="92"/>
      <w:bookmarkEnd w:id="93"/>
      <w:bookmarkEnd w:id="94"/>
      <w:bookmarkEnd w:id="95"/>
      <w:bookmarkEnd w:id="96"/>
      <w:bookmarkEnd w:id="97"/>
      <w:bookmarkEnd w:id="98"/>
      <w:bookmarkEnd w:id="99"/>
      <w:bookmarkEnd w:id="100"/>
      <w:bookmarkEnd w:id="101"/>
      <w:bookmarkEnd w:id="102"/>
    </w:p>
    <w:p w14:paraId="7DE25256">
      <w:pPr>
        <w:ind w:left="525" w:hanging="525" w:hangingChars="250"/>
        <w:rPr>
          <w:rFonts w:hint="eastAsia" w:ascii="宋体" w:hAnsi="宋体" w:eastAsia="宋体" w:cs="宋体"/>
          <w:color w:val="auto"/>
          <w:highlight w:val="none"/>
          <w:lang w:val="zh-CN"/>
        </w:rPr>
      </w:pPr>
      <w:bookmarkStart w:id="103" w:name="_Toc533708070"/>
      <w:bookmarkStart w:id="104" w:name="_Toc1977670"/>
      <w:r>
        <w:rPr>
          <w:rFonts w:hint="eastAsia" w:ascii="宋体" w:hAnsi="宋体" w:eastAsia="宋体" w:cs="宋体"/>
          <w:color w:val="auto"/>
          <w:highlight w:val="none"/>
          <w:lang w:val="zh-CN"/>
        </w:rPr>
        <w:t>4.1  投标费用</w:t>
      </w:r>
      <w:bookmarkEnd w:id="103"/>
      <w:bookmarkEnd w:id="104"/>
      <w:bookmarkStart w:id="105" w:name="_Toc1977672"/>
      <w:bookmarkStart w:id="106" w:name="_Toc533708072"/>
      <w:r>
        <w:rPr>
          <w:rFonts w:hint="eastAsia" w:ascii="宋体" w:hAnsi="宋体" w:eastAsia="宋体" w:cs="宋体"/>
          <w:color w:val="auto"/>
          <w:highlight w:val="none"/>
          <w:lang w:val="zh-CN"/>
        </w:rPr>
        <w:t>：无论招标过程中的做法和结果如何，投标人须承担所有与编写和递交投标文件有关的费用，招标人和招标代理机构在任何情况下不负担这些费用。</w:t>
      </w:r>
      <w:bookmarkEnd w:id="105"/>
      <w:bookmarkEnd w:id="106"/>
    </w:p>
    <w:p w14:paraId="2664CA04">
      <w:pPr>
        <w:ind w:left="525" w:hanging="525" w:hangingChars="250"/>
        <w:rPr>
          <w:rFonts w:hint="eastAsia" w:ascii="宋体" w:hAnsi="宋体" w:eastAsia="宋体" w:cs="宋体"/>
          <w:color w:val="auto"/>
          <w:highlight w:val="none"/>
          <w:lang w:val="zh-CN"/>
        </w:rPr>
      </w:pPr>
      <w:bookmarkStart w:id="107" w:name="_Toc533708073"/>
      <w:bookmarkStart w:id="108" w:name="_Toc1977673"/>
      <w:r>
        <w:rPr>
          <w:rFonts w:hint="eastAsia" w:ascii="宋体" w:hAnsi="宋体" w:eastAsia="宋体" w:cs="宋体"/>
          <w:color w:val="auto"/>
          <w:highlight w:val="none"/>
          <w:lang w:val="zh-CN"/>
        </w:rPr>
        <w:t>4.2  踏勘现场</w:t>
      </w:r>
      <w:bookmarkEnd w:id="107"/>
      <w:bookmarkEnd w:id="108"/>
    </w:p>
    <w:p w14:paraId="201869FF">
      <w:pPr>
        <w:ind w:left="525" w:hanging="525" w:hangingChars="250"/>
        <w:rPr>
          <w:rFonts w:hint="eastAsia" w:ascii="宋体" w:hAnsi="宋体" w:eastAsia="宋体" w:cs="宋体"/>
          <w:color w:val="auto"/>
          <w:highlight w:val="none"/>
        </w:rPr>
      </w:pPr>
      <w:bookmarkStart w:id="109" w:name="_Toc533708076"/>
      <w:bookmarkStart w:id="110" w:name="_Toc1977676"/>
      <w:r>
        <w:rPr>
          <w:rFonts w:hint="eastAsia" w:ascii="宋体" w:hAnsi="宋体" w:eastAsia="宋体" w:cs="宋体"/>
          <w:color w:val="auto"/>
          <w:highlight w:val="none"/>
        </w:rPr>
        <w:t>（1）本项目不组织集中踏勘现场和答疑，投标人应自行到实地踏勘考察。</w:t>
      </w:r>
    </w:p>
    <w:p w14:paraId="6F86C29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（2）潜在投标人应承担踏勘现场自身所发生的费用。</w:t>
      </w:r>
    </w:p>
    <w:p w14:paraId="62C16FD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（3）招标人和招标代理机构在踏勘现场中介绍的有关现场和相关的周边环境情况，供投标人在编制投标文件时参考，招标人不对投标人据此作出的判断和决策负责。</w:t>
      </w:r>
    </w:p>
    <w:p w14:paraId="586C9FD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（4）潜在投标人可为踏勘需要而进入招标人的项目现场，但潜在投标人不得因此使招标人承担有关的责任和蒙受损失。潜在投标人应承担踏勘现场的责任和风险</w:t>
      </w:r>
      <w:r>
        <w:rPr>
          <w:rFonts w:hint="eastAsia" w:ascii="宋体" w:hAnsi="宋体" w:eastAsia="宋体" w:cs="宋体"/>
          <w:color w:val="auto"/>
          <w:highlight w:val="none"/>
          <w:lang w:val="zh-CN"/>
        </w:rPr>
        <w:t>。</w:t>
      </w:r>
    </w:p>
    <w:p w14:paraId="4979B8F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纪律与保密事项</w:t>
      </w:r>
      <w:bookmarkEnd w:id="88"/>
      <w:bookmarkEnd w:id="89"/>
      <w:bookmarkEnd w:id="109"/>
      <w:bookmarkEnd w:id="110"/>
    </w:p>
    <w:p w14:paraId="75F4333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（1）获得本招标文件的投标人，不得用作本次投标以外的任何用途。</w:t>
      </w:r>
    </w:p>
    <w:p w14:paraId="1153175C">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（2）凡参与招标工作的有关人员均应自觉接受有关主管部门的监督，不得向他人透露可能影响公平竞争的情况。</w:t>
      </w:r>
    </w:p>
    <w:p w14:paraId="59473318">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（3）开标后，直至向中标人授予合同期间，凡与审查、澄清、评价和比较报价的有关资料以及授标意见等，参与评标工作的有关人员均不得向投标人及与评标无关的其他人透露。</w:t>
      </w:r>
    </w:p>
    <w:p w14:paraId="5E90364B">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（4）除投标人被要求对投标文件进行澄清外，从递交投标文件截止之时起至授予合同期间，投标人不得就与其投标文件有关的事项主动与评标委员会、招标代理机构以及招标人联系。</w:t>
      </w:r>
    </w:p>
    <w:p w14:paraId="0B2CF8E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AA3A633">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（6）投标人不得串通作弊，以不正当的手段妨碍、排挤其他投标人，扰乱采购市场，破坏公平竞争原则。</w:t>
      </w:r>
      <w:bookmarkStart w:id="111" w:name="_Toc5285"/>
      <w:bookmarkStart w:id="112" w:name="_Toc176627781"/>
      <w:bookmarkStart w:id="113" w:name="_Toc12516"/>
      <w:bookmarkStart w:id="114" w:name="_Toc486167667"/>
      <w:bookmarkStart w:id="115" w:name="_Toc450662853"/>
      <w:bookmarkStart w:id="116" w:name="_Toc19099"/>
      <w:bookmarkStart w:id="117" w:name="_Toc30507_WPSOffice_Level2"/>
      <w:bookmarkStart w:id="118" w:name="_Toc142508317"/>
      <w:bookmarkStart w:id="119" w:name="_Toc21868"/>
      <w:bookmarkStart w:id="120" w:name="_Toc140596876"/>
      <w:bookmarkStart w:id="121" w:name="_Toc172552147"/>
      <w:bookmarkStart w:id="122" w:name="_Toc178076460"/>
      <w:bookmarkStart w:id="123" w:name="_Toc29759"/>
      <w:bookmarkStart w:id="124" w:name="_Toc1482"/>
      <w:bookmarkStart w:id="125" w:name="_Toc29979"/>
    </w:p>
    <w:p w14:paraId="56313575">
      <w:pPr>
        <w:pStyle w:val="3"/>
        <w:rPr>
          <w:rFonts w:hint="eastAsia" w:ascii="宋体" w:hAnsi="宋体" w:eastAsia="宋体" w:cs="宋体"/>
          <w:color w:val="auto"/>
          <w:highlight w:val="none"/>
          <w:lang w:val="zh-CN"/>
        </w:rPr>
      </w:pPr>
      <w:bookmarkStart w:id="126" w:name="_Toc3328"/>
      <w:bookmarkStart w:id="127" w:name="_Toc12074"/>
      <w:r>
        <w:rPr>
          <w:rFonts w:hint="eastAsia" w:ascii="宋体" w:hAnsi="宋体" w:eastAsia="宋体" w:cs="宋体"/>
          <w:color w:val="auto"/>
          <w:highlight w:val="none"/>
          <w:lang w:val="zh-CN"/>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25ADAC5">
      <w:pPr>
        <w:pStyle w:val="4"/>
        <w:rPr>
          <w:rFonts w:hint="eastAsia" w:ascii="宋体" w:hAnsi="宋体" w:eastAsia="宋体" w:cs="宋体"/>
          <w:color w:val="auto"/>
          <w:highlight w:val="none"/>
          <w:lang w:val="zh-CN"/>
        </w:rPr>
      </w:pPr>
      <w:bookmarkStart w:id="128" w:name="_Toc176627782"/>
      <w:bookmarkStart w:id="129" w:name="_Toc450662854"/>
      <w:bookmarkStart w:id="130" w:name="_Toc28179"/>
      <w:bookmarkStart w:id="131" w:name="_Toc486167668"/>
      <w:bookmarkStart w:id="132" w:name="_Toc142508318"/>
      <w:bookmarkStart w:id="133" w:name="_Toc28415"/>
      <w:bookmarkStart w:id="134" w:name="_Toc14530"/>
      <w:bookmarkStart w:id="135" w:name="_Toc178076461"/>
      <w:bookmarkStart w:id="136" w:name="_Toc172552148"/>
      <w:bookmarkStart w:id="137" w:name="_Toc16414"/>
      <w:bookmarkStart w:id="138" w:name="_Toc26635_WPSOffice_Level3"/>
      <w:bookmarkStart w:id="139" w:name="_Toc22871"/>
      <w:bookmarkStart w:id="140" w:name="_Toc8425"/>
      <w:r>
        <w:rPr>
          <w:rFonts w:hint="eastAsia" w:ascii="宋体" w:hAnsi="宋体" w:eastAsia="宋体" w:cs="宋体"/>
          <w:color w:val="auto"/>
          <w:highlight w:val="none"/>
          <w:lang w:val="zh-CN"/>
        </w:rPr>
        <w:t>5 招标文件的构成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50233A2C">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C466A3E">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第一篇 招标公告</w:t>
      </w:r>
    </w:p>
    <w:p w14:paraId="648DCC50">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第二篇 投标人须知</w:t>
      </w:r>
    </w:p>
    <w:p w14:paraId="4D007137">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第三篇 用户需求书</w:t>
      </w:r>
    </w:p>
    <w:p w14:paraId="6D815C14">
      <w:pPr>
        <w:ind w:left="420" w:leftChars="200"/>
        <w:rPr>
          <w:rFonts w:hint="eastAsia" w:ascii="宋体" w:hAnsi="宋体" w:eastAsia="宋体" w:cs="宋体"/>
          <w:color w:val="auto"/>
          <w:highlight w:val="none"/>
        </w:rPr>
      </w:pPr>
      <w:r>
        <w:rPr>
          <w:rFonts w:hint="eastAsia" w:ascii="宋体" w:hAnsi="宋体" w:eastAsia="宋体" w:cs="宋体"/>
          <w:color w:val="auto"/>
          <w:highlight w:val="none"/>
          <w:lang w:val="zh-CN"/>
        </w:rPr>
        <w:t>第四篇 合同条款</w:t>
      </w:r>
    </w:p>
    <w:p w14:paraId="58430ABA">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第五篇 相关保函格式</w:t>
      </w:r>
    </w:p>
    <w:p w14:paraId="0D2D364B">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第六篇 投标文件格式</w:t>
      </w:r>
    </w:p>
    <w:p w14:paraId="1BCCBE67">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附件一：评标工作大纲</w:t>
      </w:r>
    </w:p>
    <w:p w14:paraId="2460A84C">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5.2</w:t>
      </w:r>
      <w:r>
        <w:rPr>
          <w:rFonts w:hint="eastAsia" w:ascii="宋体" w:hAnsi="宋体" w:eastAsia="宋体" w:cs="宋体"/>
          <w:b/>
          <w:bCs/>
          <w:color w:val="auto"/>
          <w:highlight w:val="none"/>
          <w:lang w:val="zh-CN"/>
        </w:rPr>
        <w:tab/>
      </w:r>
      <w:r>
        <w:rPr>
          <w:rFonts w:hint="eastAsia" w:ascii="宋体" w:hAnsi="宋体" w:eastAsia="宋体" w:cs="宋体"/>
          <w:b/>
          <w:bCs/>
          <w:color w:val="auto"/>
          <w:highlight w:val="non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19684676">
      <w:pPr>
        <w:rPr>
          <w:rFonts w:hint="eastAsia" w:ascii="宋体" w:hAnsi="宋体" w:eastAsia="宋体" w:cs="宋体"/>
          <w:color w:val="auto"/>
          <w:highlight w:val="none"/>
        </w:rPr>
      </w:pPr>
      <w:r>
        <w:rPr>
          <w:rFonts w:hint="eastAsia" w:ascii="宋体" w:hAnsi="宋体" w:eastAsia="宋体" w:cs="宋体"/>
          <w:color w:val="auto"/>
          <w:highlight w:val="none"/>
          <w:lang w:val="zh-CN"/>
        </w:rPr>
        <w:t>5.3  本招标文件使用的词语有如下定义：</w:t>
      </w:r>
    </w:p>
    <w:p w14:paraId="5B72688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（1）“招标人”指</w:t>
      </w:r>
      <w:r>
        <w:rPr>
          <w:rFonts w:hint="eastAsia" w:ascii="宋体" w:hAnsi="宋体" w:eastAsia="宋体" w:cs="宋体"/>
          <w:color w:val="auto"/>
          <w:highlight w:val="none"/>
          <w:lang w:eastAsia="zh-CN"/>
        </w:rPr>
        <w:t>东莞市碧水信息科技有限公司</w:t>
      </w:r>
      <w:r>
        <w:rPr>
          <w:rFonts w:hint="eastAsia" w:ascii="宋体" w:hAnsi="宋体" w:eastAsia="宋体" w:cs="宋体"/>
          <w:color w:val="auto"/>
          <w:highlight w:val="none"/>
        </w:rPr>
        <w:t>；</w:t>
      </w:r>
    </w:p>
    <w:p w14:paraId="242D38FE">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（2）“招标代理机构”指</w:t>
      </w:r>
      <w:r>
        <w:rPr>
          <w:rFonts w:hint="eastAsia" w:ascii="宋体" w:hAnsi="宋体" w:eastAsia="宋体" w:cs="宋体"/>
          <w:color w:val="auto"/>
          <w:kern w:val="2"/>
          <w:sz w:val="21"/>
          <w:szCs w:val="22"/>
          <w:highlight w:val="none"/>
          <w:lang w:val="en-US" w:eastAsia="zh-CN" w:bidi="ar-SA"/>
        </w:rPr>
        <w:t>广东有德招标采购有限公司</w:t>
      </w:r>
      <w:r>
        <w:rPr>
          <w:rFonts w:hint="eastAsia" w:ascii="宋体" w:hAnsi="宋体" w:eastAsia="宋体" w:cs="宋体"/>
          <w:color w:val="auto"/>
          <w:highlight w:val="none"/>
        </w:rPr>
        <w:t>；</w:t>
      </w:r>
    </w:p>
    <w:p w14:paraId="749A285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）“投标人”指参加</w:t>
      </w:r>
      <w:r>
        <w:rPr>
          <w:rFonts w:hint="eastAsia" w:ascii="宋体" w:hAnsi="宋体" w:eastAsia="宋体" w:cs="宋体"/>
          <w:color w:val="auto"/>
          <w:kern w:val="2"/>
          <w:sz w:val="21"/>
          <w:szCs w:val="22"/>
          <w:highlight w:val="none"/>
          <w:lang w:val="zh-CN" w:eastAsia="zh-CN" w:bidi="ar-SA"/>
        </w:rPr>
        <w:t>东莞市碧水信息科技有限公司2025年度球墨铸铁阀门采购项目</w:t>
      </w:r>
      <w:r>
        <w:rPr>
          <w:rFonts w:hint="eastAsia" w:ascii="宋体" w:hAnsi="宋体" w:eastAsia="宋体" w:cs="宋体"/>
          <w:color w:val="auto"/>
          <w:highlight w:val="none"/>
        </w:rPr>
        <w:t>所需的货物及有关服务的投标，并向招标代理机构提交投标文件的当事人；</w:t>
      </w:r>
    </w:p>
    <w:p w14:paraId="332E35FA">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（4）“评标委员会”是依照《中华人民共和国招标投标法》等法规组建的专门负责本次评标工作的临时性机构；</w:t>
      </w:r>
    </w:p>
    <w:p w14:paraId="24AE5458">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（5）“中标人”指其投标被招标人接受，并与招标人签订合同的当事人；</w:t>
      </w:r>
    </w:p>
    <w:p w14:paraId="5F0CE219">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（6）“甲方”指在合同条款中指明的购买货物及有关服务的单位，即</w:t>
      </w:r>
      <w:r>
        <w:rPr>
          <w:rFonts w:hint="eastAsia" w:ascii="宋体" w:hAnsi="宋体" w:eastAsia="宋体" w:cs="宋体"/>
          <w:color w:val="auto"/>
          <w:highlight w:val="none"/>
          <w:lang w:eastAsia="zh-CN"/>
        </w:rPr>
        <w:t>东莞市碧水信息科技有限公司（含其下属子公司）</w:t>
      </w:r>
      <w:r>
        <w:rPr>
          <w:rFonts w:hint="eastAsia" w:ascii="宋体" w:hAnsi="宋体" w:eastAsia="宋体" w:cs="宋体"/>
          <w:color w:val="auto"/>
          <w:highlight w:val="none"/>
        </w:rPr>
        <w:t>；</w:t>
      </w:r>
    </w:p>
    <w:p w14:paraId="4F6FC7BF">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（7）“乙方”指在合同条款中指明的本合同项下提供货物及有关服务的公司或实体；</w:t>
      </w:r>
    </w:p>
    <w:p w14:paraId="166C484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（8）“招标文件”指包括招标公告和招标文件及其补充、变更和澄清等一系列文件；</w:t>
      </w:r>
    </w:p>
    <w:p w14:paraId="1EA2EC2B">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（9）“投标文件”指投标人根据本招标文件向招标代理机构提交的全部文件；</w:t>
      </w:r>
    </w:p>
    <w:p w14:paraId="520F6DC3">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（10）“书面函件”指手写、打字或印刷的函件，包括电传、电报和传真；</w:t>
      </w:r>
    </w:p>
    <w:p w14:paraId="0B41A29D">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（11）“合同”指由本次招标所产生的合同或合约文件；</w:t>
      </w:r>
    </w:p>
    <w:p w14:paraId="3EF2A7F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（12）“日期”指公历日，“时间”指北京时间；</w:t>
      </w:r>
    </w:p>
    <w:p w14:paraId="54DC1929">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（13）本招标文件中的“境内”特指中华人民共和国海关关境以内，“境外”特指中华人民共和国海关关境以外；</w:t>
      </w:r>
    </w:p>
    <w:p w14:paraId="35390B2A">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技术指导</w:t>
      </w:r>
      <w:r>
        <w:rPr>
          <w:rFonts w:hint="eastAsia" w:ascii="宋体" w:hAnsi="宋体" w:eastAsia="宋体" w:cs="宋体"/>
          <w:color w:val="auto"/>
          <w:highlight w:val="none"/>
        </w:rPr>
        <w:t>、采购货物等所产生的价税）的其他全部费用。本采购项目投标人的销项税额由招标人承担，不计入投标报价。</w:t>
      </w:r>
    </w:p>
    <w:p w14:paraId="010AE366">
      <w:pPr>
        <w:rPr>
          <w:rFonts w:hint="eastAsia" w:ascii="宋体" w:hAnsi="宋体" w:eastAsia="宋体" w:cs="宋体"/>
          <w:color w:val="auto"/>
          <w:highlight w:val="none"/>
          <w:lang w:val="zh-CN"/>
        </w:rPr>
      </w:pPr>
    </w:p>
    <w:p w14:paraId="344C1067">
      <w:pPr>
        <w:pStyle w:val="4"/>
        <w:rPr>
          <w:rFonts w:hint="eastAsia" w:ascii="宋体" w:hAnsi="宋体" w:eastAsia="宋体" w:cs="宋体"/>
          <w:color w:val="auto"/>
          <w:highlight w:val="none"/>
          <w:lang w:val="zh-CN"/>
        </w:rPr>
      </w:pPr>
      <w:bookmarkStart w:id="141" w:name="_Toc178076462"/>
      <w:bookmarkStart w:id="142" w:name="_Toc27574"/>
      <w:bookmarkStart w:id="143" w:name="_Toc19374"/>
      <w:bookmarkStart w:id="144" w:name="_Toc29125_WPSOffice_Level3"/>
      <w:bookmarkStart w:id="145" w:name="_Toc18407"/>
      <w:bookmarkStart w:id="146" w:name="_Toc486167669"/>
      <w:bookmarkStart w:id="147" w:name="_Toc1153"/>
      <w:bookmarkStart w:id="148" w:name="_Toc172552149"/>
      <w:bookmarkStart w:id="149" w:name="_Toc176627783"/>
      <w:bookmarkStart w:id="150" w:name="_Toc8542"/>
      <w:bookmarkStart w:id="151" w:name="_Toc142508319"/>
      <w:bookmarkStart w:id="152" w:name="_Toc18382"/>
      <w:bookmarkStart w:id="153" w:name="_Toc450662855"/>
      <w:r>
        <w:rPr>
          <w:rFonts w:hint="eastAsia" w:ascii="宋体" w:hAnsi="宋体" w:eastAsia="宋体" w:cs="宋体"/>
          <w:color w:val="auto"/>
          <w:highlight w:val="none"/>
          <w:lang w:val="zh-CN"/>
        </w:rPr>
        <w:t>6 招标文件的异议</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328A8FD7">
      <w:pPr>
        <w:ind w:left="210" w:leftChars="1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AD1F284">
      <w:pPr>
        <w:rPr>
          <w:rFonts w:hint="eastAsia" w:ascii="宋体" w:hAnsi="宋体" w:eastAsia="宋体" w:cs="宋体"/>
          <w:color w:val="auto"/>
          <w:highlight w:val="none"/>
          <w:lang w:val="zh-CN"/>
        </w:rPr>
      </w:pPr>
    </w:p>
    <w:p w14:paraId="728D5136">
      <w:pPr>
        <w:pStyle w:val="4"/>
        <w:rPr>
          <w:rFonts w:hint="eastAsia" w:ascii="宋体" w:hAnsi="宋体" w:eastAsia="宋体" w:cs="宋体"/>
          <w:color w:val="auto"/>
          <w:highlight w:val="none"/>
          <w:lang w:val="zh-CN"/>
        </w:rPr>
      </w:pPr>
      <w:bookmarkStart w:id="154" w:name="_Toc172552150"/>
      <w:bookmarkStart w:id="155" w:name="_Toc486167670"/>
      <w:bookmarkStart w:id="156" w:name="_Toc10574"/>
      <w:bookmarkStart w:id="157" w:name="_Toc22566"/>
      <w:bookmarkStart w:id="158" w:name="_Toc142508320"/>
      <w:bookmarkStart w:id="159" w:name="_Toc178076463"/>
      <w:bookmarkStart w:id="160" w:name="_Toc25074"/>
      <w:bookmarkStart w:id="161" w:name="_Toc773"/>
      <w:bookmarkStart w:id="162" w:name="_Toc26320"/>
      <w:bookmarkStart w:id="163" w:name="_Toc176627784"/>
      <w:bookmarkStart w:id="164" w:name="_Toc23483_WPSOffice_Level3"/>
      <w:bookmarkStart w:id="165" w:name="_Toc20513"/>
      <w:bookmarkStart w:id="166" w:name="_Toc450662856"/>
      <w:r>
        <w:rPr>
          <w:rFonts w:hint="eastAsia" w:ascii="宋体" w:hAnsi="宋体" w:eastAsia="宋体" w:cs="宋体"/>
          <w:color w:val="auto"/>
          <w:highlight w:val="none"/>
          <w:lang w:val="zh-CN"/>
        </w:rPr>
        <w:t>7 招标文件的澄清及修改</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771C654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8B310C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项目特定情况下，招标代理机构必须延长投标截止时间和开标时间时，将在招标文件要求提交投标文件的截止时间前，在招标信息发布媒介上发布变更公告。</w:t>
      </w:r>
    </w:p>
    <w:p w14:paraId="5E776D3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7.3  招标文件的修改、补充通知在</w:t>
      </w:r>
      <w:r>
        <w:rPr>
          <w:rFonts w:hint="eastAsia" w:ascii="宋体" w:hAnsi="宋体" w:eastAsia="宋体" w:cs="宋体"/>
          <w:color w:val="auto"/>
          <w:highlight w:val="none"/>
          <w:lang w:val="zh-CN" w:eastAsia="zh-CN"/>
        </w:rPr>
        <w:t>广东省公共资源交易平台（ygp.gdzwfw.gov.cn）、</w:t>
      </w:r>
      <w:r>
        <w:rPr>
          <w:rFonts w:hint="eastAsia" w:ascii="宋体" w:hAnsi="宋体" w:eastAsia="宋体" w:cs="宋体"/>
          <w:color w:val="auto"/>
          <w:highlight w:val="none"/>
          <w:lang w:val="zh-CN"/>
        </w:rPr>
        <w:t>中国招标投标公共服务平台</w:t>
      </w:r>
      <w:r>
        <w:rPr>
          <w:rFonts w:hint="eastAsia" w:ascii="宋体" w:hAnsi="宋体" w:eastAsia="宋体" w:cs="宋体"/>
          <w:color w:val="auto"/>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www.cebpubservice.com）</w:t>
      </w:r>
      <w:r>
        <w:rPr>
          <w:rFonts w:hint="eastAsia" w:ascii="宋体" w:hAnsi="宋体" w:eastAsia="宋体" w:cs="宋体"/>
          <w:color w:val="auto"/>
          <w:highlight w:val="none"/>
          <w:lang w:val="zh-CN"/>
        </w:rPr>
        <w:t>、</w:t>
      </w:r>
      <w:r>
        <w:rPr>
          <w:rFonts w:hint="eastAsia" w:ascii="宋体" w:hAnsi="宋体" w:eastAsia="宋体" w:cs="宋体"/>
          <w:color w:val="auto"/>
          <w:highlight w:val="none"/>
          <w:lang w:val="zh-CN"/>
        </w:rPr>
        <w:fldChar w:fldCharType="end"/>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color w:val="auto"/>
          <w:highlight w:val="none"/>
          <w:lang w:val="zh-CN"/>
        </w:rPr>
        <w:t>网</w:t>
      </w:r>
      <w:r>
        <w:rPr>
          <w:rFonts w:hint="eastAsia" w:ascii="宋体" w:hAnsi="宋体" w:eastAsia="宋体" w:cs="宋体"/>
          <w:color w:val="auto"/>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www.dgswjt.cn）</w:t>
      </w:r>
      <w:r>
        <w:rPr>
          <w:rFonts w:hint="eastAsia" w:ascii="宋体" w:hAnsi="宋体" w:eastAsia="宋体" w:cs="宋体"/>
          <w:color w:val="auto"/>
          <w:highlight w:val="none"/>
          <w:lang w:val="zh-CN"/>
        </w:rPr>
        <w:t>、</w:t>
      </w:r>
      <w:r>
        <w:rPr>
          <w:rFonts w:hint="eastAsia" w:ascii="宋体" w:hAnsi="宋体" w:eastAsia="宋体" w:cs="宋体"/>
          <w:color w:val="auto"/>
          <w:highlight w:val="none"/>
        </w:rPr>
        <w:t>招标代理机构网站（</w:t>
      </w:r>
      <w:r>
        <w:rPr>
          <w:rFonts w:hint="eastAsia" w:ascii="宋体" w:hAnsi="宋体" w:eastAsia="宋体" w:cs="宋体"/>
          <w:color w:val="auto"/>
          <w:kern w:val="2"/>
          <w:sz w:val="21"/>
          <w:szCs w:val="22"/>
          <w:highlight w:val="none"/>
          <w:lang w:val="en-US" w:eastAsia="zh-CN" w:bidi="ar-SA"/>
        </w:rPr>
        <w:t>www.youde.net</w:t>
      </w:r>
      <w:r>
        <w:rPr>
          <w:rFonts w:hint="eastAsia" w:ascii="宋体" w:hAnsi="宋体" w:eastAsia="宋体" w:cs="宋体"/>
          <w:color w:val="auto"/>
          <w:highlight w:val="none"/>
        </w:rPr>
        <w:t>）</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zh-CN"/>
        </w:rPr>
        <w:t>公布，请各投标人密切留意。</w:t>
      </w:r>
    </w:p>
    <w:p w14:paraId="3587C2F8">
      <w:pPr>
        <w:rPr>
          <w:rFonts w:hint="eastAsia" w:ascii="宋体" w:hAnsi="宋体" w:eastAsia="宋体" w:cs="宋体"/>
          <w:color w:val="auto"/>
          <w:highlight w:val="none"/>
        </w:rPr>
      </w:pPr>
    </w:p>
    <w:p w14:paraId="6D576DD1">
      <w:pPr>
        <w:pStyle w:val="3"/>
        <w:rPr>
          <w:rFonts w:hint="eastAsia" w:ascii="宋体" w:hAnsi="宋体" w:eastAsia="宋体" w:cs="宋体"/>
          <w:color w:val="auto"/>
          <w:highlight w:val="none"/>
          <w:lang w:val="zh-CN"/>
        </w:rPr>
      </w:pPr>
      <w:bookmarkStart w:id="167" w:name="_Toc450662857"/>
      <w:bookmarkStart w:id="168" w:name="_Toc30013"/>
      <w:bookmarkStart w:id="169" w:name="_Toc10045"/>
      <w:bookmarkStart w:id="170" w:name="_Toc28010"/>
      <w:bookmarkStart w:id="171" w:name="_Toc176627785"/>
      <w:bookmarkStart w:id="172" w:name="_Toc596"/>
      <w:bookmarkStart w:id="173" w:name="_Toc178076464"/>
      <w:bookmarkStart w:id="174" w:name="_Toc142508321"/>
      <w:bookmarkStart w:id="175" w:name="_Toc486167671"/>
      <w:bookmarkStart w:id="176" w:name="_Toc172552151"/>
      <w:bookmarkStart w:id="177" w:name="_Toc140596880"/>
      <w:bookmarkStart w:id="178" w:name="_Toc23780"/>
      <w:bookmarkStart w:id="179" w:name="_Toc8202"/>
      <w:bookmarkStart w:id="180" w:name="_Toc5061"/>
      <w:bookmarkStart w:id="181" w:name="_Toc29659_WPSOffice_Level2"/>
      <w:bookmarkStart w:id="182" w:name="_Toc6039"/>
      <w:bookmarkStart w:id="183" w:name="_Toc3254"/>
      <w:r>
        <w:rPr>
          <w:rFonts w:hint="eastAsia" w:ascii="宋体" w:hAnsi="宋体" w:eastAsia="宋体" w:cs="宋体"/>
          <w:color w:val="auto"/>
          <w:highlight w:val="none"/>
          <w:lang w:val="zh-CN"/>
        </w:rPr>
        <w:t>三、投标文件的编制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025F850">
      <w:pPr>
        <w:pStyle w:val="4"/>
        <w:rPr>
          <w:rFonts w:hint="eastAsia" w:ascii="宋体" w:hAnsi="宋体" w:eastAsia="宋体" w:cs="宋体"/>
          <w:color w:val="auto"/>
          <w:highlight w:val="none"/>
          <w:lang w:val="zh-CN"/>
        </w:rPr>
      </w:pPr>
      <w:bookmarkStart w:id="184" w:name="_Toc176627786"/>
      <w:bookmarkStart w:id="185" w:name="_Toc172552152"/>
      <w:bookmarkStart w:id="186" w:name="_Toc178076465"/>
      <w:bookmarkStart w:id="187" w:name="_Toc31426"/>
      <w:bookmarkStart w:id="188" w:name="_Toc486167672"/>
      <w:bookmarkStart w:id="189" w:name="_Toc16279"/>
      <w:bookmarkStart w:id="190" w:name="_Toc450662858"/>
      <w:bookmarkStart w:id="191" w:name="_Toc31749"/>
      <w:bookmarkStart w:id="192" w:name="_Toc8947"/>
      <w:bookmarkStart w:id="193" w:name="_Toc21838"/>
      <w:bookmarkStart w:id="194" w:name="_Toc142508322"/>
      <w:bookmarkStart w:id="195" w:name="_Toc10015_WPSOffice_Level3"/>
      <w:bookmarkStart w:id="196" w:name="_Toc25773"/>
      <w:r>
        <w:rPr>
          <w:rFonts w:hint="eastAsia" w:ascii="宋体" w:hAnsi="宋体" w:eastAsia="宋体" w:cs="宋体"/>
          <w:color w:val="auto"/>
          <w:highlight w:val="none"/>
          <w:lang w:val="zh-CN"/>
        </w:rPr>
        <w:t>8 投标使用的文字及度量衡单位</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7837B7B5">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8.1  投标人的投标文件以及投标人与招标代理机构就有关投标的所有往来函电均应使用简体中文。</w:t>
      </w:r>
    </w:p>
    <w:p w14:paraId="0E989C49">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8.2  投标文件使用的度量衡单位采用中华人民共和国法定计量单位。</w:t>
      </w:r>
    </w:p>
    <w:p w14:paraId="421B0348">
      <w:pPr>
        <w:rPr>
          <w:rFonts w:hint="eastAsia" w:ascii="宋体" w:hAnsi="宋体" w:eastAsia="宋体" w:cs="宋体"/>
          <w:color w:val="auto"/>
          <w:highlight w:val="none"/>
          <w:lang w:val="zh-CN"/>
        </w:rPr>
      </w:pPr>
    </w:p>
    <w:p w14:paraId="700D945C">
      <w:pPr>
        <w:pStyle w:val="4"/>
        <w:rPr>
          <w:rFonts w:hint="eastAsia" w:ascii="宋体" w:hAnsi="宋体" w:eastAsia="宋体" w:cs="宋体"/>
          <w:color w:val="auto"/>
          <w:sz w:val="24"/>
          <w:highlight w:val="none"/>
          <w:lang w:val="zh-CN"/>
        </w:rPr>
      </w:pPr>
      <w:bookmarkStart w:id="197" w:name="_Toc176627787"/>
      <w:bookmarkStart w:id="198" w:name="_Toc240"/>
      <w:bookmarkStart w:id="199" w:name="_Toc450662859"/>
      <w:bookmarkStart w:id="200" w:name="_Toc31973"/>
      <w:bookmarkStart w:id="201" w:name="_Toc15202"/>
      <w:bookmarkStart w:id="202" w:name="_Toc178076466"/>
      <w:bookmarkStart w:id="203" w:name="_Toc486167673"/>
      <w:bookmarkStart w:id="204" w:name="_Toc31384"/>
      <w:bookmarkStart w:id="205" w:name="_Toc1879"/>
      <w:bookmarkStart w:id="206" w:name="_Toc12554"/>
      <w:bookmarkStart w:id="207" w:name="_Toc142508323"/>
      <w:bookmarkStart w:id="208" w:name="_Toc172552153"/>
      <w:bookmarkStart w:id="209" w:name="_Toc24916_WPSOffice_Level3"/>
      <w:r>
        <w:rPr>
          <w:rFonts w:hint="eastAsia" w:ascii="宋体" w:hAnsi="宋体" w:eastAsia="宋体" w:cs="宋体"/>
          <w:color w:val="auto"/>
          <w:szCs w:val="21"/>
          <w:highlight w:val="none"/>
          <w:lang w:val="zh-CN"/>
        </w:rPr>
        <w:t>9</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Cs w:val="21"/>
          <w:highlight w:val="none"/>
          <w:lang w:val="zh-CN"/>
        </w:rPr>
        <w:t>投标文件的组成</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050E5F4D">
      <w:pPr>
        <w:ind w:left="525" w:hanging="525" w:hangingChars="250"/>
        <w:rPr>
          <w:rFonts w:hint="eastAsia" w:ascii="宋体" w:hAnsi="宋体" w:eastAsia="宋体" w:cs="宋体"/>
          <w:color w:val="auto"/>
          <w:highlight w:val="none"/>
          <w:u w:val="single"/>
        </w:rPr>
      </w:pPr>
      <w:r>
        <w:rPr>
          <w:rFonts w:hint="eastAsia" w:ascii="宋体" w:hAnsi="宋体" w:eastAsia="宋体" w:cs="宋体"/>
          <w:color w:val="auto"/>
          <w:highlight w:val="none"/>
        </w:rPr>
        <w:t>9.1  投标文件的组成：</w:t>
      </w:r>
      <w:r>
        <w:rPr>
          <w:rFonts w:hint="eastAsia" w:ascii="宋体" w:hAnsi="宋体" w:eastAsia="宋体" w:cs="宋体"/>
          <w:b/>
          <w:bCs/>
          <w:color w:val="auto"/>
          <w:highlight w:val="none"/>
          <w:u w:val="single"/>
        </w:rPr>
        <w:t>商务文件、技术文件由投标人根据各自文件的实际情况决定是否分册装订，招标文件不做限制。</w:t>
      </w:r>
    </w:p>
    <w:p w14:paraId="5866069B">
      <w:pPr>
        <w:rPr>
          <w:rFonts w:hint="eastAsia" w:ascii="宋体" w:hAnsi="宋体" w:eastAsia="宋体" w:cs="宋体"/>
          <w:b/>
          <w:bCs/>
          <w:color w:val="auto"/>
          <w:highlight w:val="none"/>
        </w:rPr>
      </w:pPr>
      <w:r>
        <w:rPr>
          <w:rFonts w:hint="eastAsia" w:ascii="宋体" w:hAnsi="宋体" w:eastAsia="宋体" w:cs="宋体"/>
          <w:b/>
          <w:bCs/>
          <w:color w:val="auto"/>
          <w:highlight w:val="none"/>
        </w:rPr>
        <w:t>9.1.1 商务文件：</w:t>
      </w:r>
    </w:p>
    <w:p w14:paraId="6EE8FA1D">
      <w:pPr>
        <w:ind w:left="420" w:left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目录：</w:t>
      </w:r>
    </w:p>
    <w:p w14:paraId="6D5B09E0">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（1）投标函；</w:t>
      </w:r>
    </w:p>
    <w:p w14:paraId="0356F746">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（2）投标承诺书；</w:t>
      </w:r>
    </w:p>
    <w:p w14:paraId="3D6E2F47">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（3）供货及/或提供服务过程承诺函；</w:t>
      </w:r>
    </w:p>
    <w:p w14:paraId="6747DFF1">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4</w:t>
      </w:r>
      <w:r>
        <w:rPr>
          <w:rFonts w:hint="eastAsia" w:ascii="宋体" w:hAnsi="宋体" w:eastAsia="宋体" w:cs="宋体"/>
          <w:color w:val="auto"/>
          <w:highlight w:val="none"/>
          <w:lang w:val="zh-CN"/>
        </w:rPr>
        <w:t>）投标报价表；</w:t>
      </w:r>
    </w:p>
    <w:p w14:paraId="31AB0CF0">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5</w:t>
      </w:r>
      <w:r>
        <w:rPr>
          <w:rFonts w:hint="eastAsia" w:ascii="宋体" w:hAnsi="宋体" w:eastAsia="宋体" w:cs="宋体"/>
          <w:color w:val="auto"/>
          <w:highlight w:val="none"/>
          <w:lang w:val="zh-CN"/>
        </w:rPr>
        <w:t>）投标人资格证明文件：</w:t>
      </w:r>
    </w:p>
    <w:p w14:paraId="39B3384C">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1）多证合一营业执照（或事业单位法人证书）复印件；</w:t>
      </w:r>
    </w:p>
    <w:p w14:paraId="7AFC33C1">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194D045A">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3）法定代表人身份证明书和法定代表人授权书原件（法定代表人投标时只提供法定代表人身份证明书，委托他人为投标代表时同时提供法定代表人授权书）；</w:t>
      </w:r>
    </w:p>
    <w:p w14:paraId="15E88BFE">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2809F912">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5）资格业绩【投标人至少提供一份2022年1月1日以来</w:t>
      </w:r>
      <w:r>
        <w:rPr>
          <w:rFonts w:hint="eastAsia" w:ascii="宋体" w:hAnsi="宋体" w:eastAsia="宋体" w:cs="宋体"/>
          <w:b/>
          <w:bCs/>
          <w:color w:val="auto"/>
          <w:highlight w:val="none"/>
          <w:lang w:val="zh-CN"/>
        </w:rPr>
        <w:t>投标品牌</w:t>
      </w:r>
      <w:r>
        <w:rPr>
          <w:rFonts w:hint="eastAsia" w:ascii="宋体" w:hAnsi="宋体" w:eastAsia="宋体" w:cs="宋体"/>
          <w:b/>
          <w:color w:val="auto"/>
          <w:szCs w:val="21"/>
          <w:highlight w:val="none"/>
          <w:lang w:val="zh-CN"/>
        </w:rPr>
        <w:t>球墨铸铁阀门</w:t>
      </w:r>
      <w:r>
        <w:rPr>
          <w:rFonts w:hint="eastAsia" w:ascii="宋体" w:hAnsi="宋体" w:eastAsia="宋体" w:cs="宋体"/>
          <w:b/>
          <w:bCs/>
          <w:color w:val="auto"/>
          <w:highlight w:val="none"/>
          <w:lang w:val="zh-CN"/>
        </w:rPr>
        <w:t>在国内的销售业绩</w:t>
      </w:r>
      <w:r>
        <w:rPr>
          <w:rFonts w:hint="eastAsia" w:ascii="宋体" w:hAnsi="宋体" w:eastAsia="宋体" w:cs="宋体"/>
          <w:color w:val="auto"/>
          <w:highlight w:val="none"/>
          <w:lang w:val="zh-CN"/>
        </w:rPr>
        <w:t>（合同签订日期为2022年1月1日或以后），资格业绩证明材料提交要求详见招标文件第六篇投标文件格式5.</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val="zh-CN"/>
        </w:rPr>
        <w:t>】；</w:t>
      </w:r>
    </w:p>
    <w:p w14:paraId="71722EF9">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6）投标人所供球墨铸铁阀门具有有效的省级以上(含省级)卫生行政主管部门颁发的《涉及饮用水卫生安全产品卫生许可批件》；</w:t>
      </w:r>
    </w:p>
    <w:p w14:paraId="5B67B50A">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val="zh-CN"/>
        </w:rPr>
        <w:t>最近3年投标人牵涉的其他（失信和违法）处罚说明；</w:t>
      </w:r>
    </w:p>
    <w:p w14:paraId="30BBBA0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（6）投标人基本情况一览表；</w:t>
      </w:r>
    </w:p>
    <w:p w14:paraId="5CF7519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（7）投标人财务状况表；</w:t>
      </w:r>
    </w:p>
    <w:p w14:paraId="2D0D6F1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（8）合同条款响应程度（合同条款偏离表）；</w:t>
      </w:r>
    </w:p>
    <w:p w14:paraId="4DA6C52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（9）业绩表；</w:t>
      </w:r>
    </w:p>
    <w:p w14:paraId="60BCCE9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r>
        <w:rPr>
          <w:rFonts w:hint="eastAsia" w:ascii="宋体" w:hAnsi="宋体" w:eastAsia="宋体" w:cs="宋体"/>
          <w:color w:val="auto"/>
          <w:sz w:val="21"/>
          <w:szCs w:val="22"/>
          <w:highlight w:val="none"/>
          <w:lang w:val="zh-CN"/>
        </w:rPr>
        <w:t>中标服务费承诺书</w:t>
      </w:r>
    </w:p>
    <w:p w14:paraId="768BF2D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（11）投标保证金汇入情况说明；</w:t>
      </w:r>
    </w:p>
    <w:p w14:paraId="14AA3B5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val="zh-CN"/>
        </w:rPr>
        <w:t>）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14:paraId="6118ECAA">
      <w:pPr>
        <w:rPr>
          <w:rFonts w:hint="eastAsia" w:ascii="宋体" w:hAnsi="宋体" w:eastAsia="宋体" w:cs="宋体"/>
          <w:b/>
          <w:bCs/>
          <w:color w:val="auto"/>
          <w:highlight w:val="none"/>
        </w:rPr>
      </w:pPr>
      <w:r>
        <w:rPr>
          <w:rFonts w:hint="eastAsia" w:ascii="宋体" w:hAnsi="宋体" w:eastAsia="宋体" w:cs="宋体"/>
          <w:b/>
          <w:bCs/>
          <w:color w:val="auto"/>
          <w:highlight w:val="none"/>
        </w:rPr>
        <w:t>9.1.2 技术文件：</w:t>
      </w:r>
    </w:p>
    <w:p w14:paraId="2A3C45BD">
      <w:pPr>
        <w:ind w:left="420" w:left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目录：</w:t>
      </w:r>
    </w:p>
    <w:p w14:paraId="6F1D98D9">
      <w:pPr>
        <w:rPr>
          <w:rFonts w:hint="eastAsia" w:ascii="宋体" w:hAnsi="宋体" w:eastAsia="宋体" w:cs="宋体"/>
          <w:color w:val="auto"/>
          <w:highlight w:val="none"/>
        </w:rPr>
      </w:pPr>
      <w:r>
        <w:rPr>
          <w:rFonts w:hint="eastAsia" w:ascii="宋体" w:hAnsi="宋体" w:eastAsia="宋体" w:cs="宋体"/>
          <w:color w:val="auto"/>
          <w:highlight w:val="none"/>
        </w:rPr>
        <w:t>（1）用户需求响应程度（即用户需求偏离表格式）；</w:t>
      </w:r>
    </w:p>
    <w:p w14:paraId="31A733BF">
      <w:pPr>
        <w:rPr>
          <w:rFonts w:hint="eastAsia" w:ascii="宋体" w:hAnsi="宋体" w:eastAsia="宋体" w:cs="宋体"/>
          <w:color w:val="auto"/>
          <w:highlight w:val="none"/>
        </w:rPr>
      </w:pPr>
      <w:r>
        <w:rPr>
          <w:rFonts w:hint="eastAsia" w:ascii="宋体" w:hAnsi="宋体" w:eastAsia="宋体" w:cs="宋体"/>
          <w:color w:val="auto"/>
          <w:highlight w:val="none"/>
        </w:rPr>
        <w:t>（2）供货货物清单表；</w:t>
      </w:r>
    </w:p>
    <w:p w14:paraId="1C3637AA">
      <w:pPr>
        <w:rPr>
          <w:rFonts w:hint="eastAsia" w:ascii="宋体" w:hAnsi="宋体" w:eastAsia="宋体" w:cs="宋体"/>
          <w:color w:val="auto"/>
          <w:highlight w:val="none"/>
        </w:rPr>
      </w:pPr>
      <w:r>
        <w:rPr>
          <w:rFonts w:hint="eastAsia" w:ascii="宋体" w:hAnsi="宋体" w:eastAsia="宋体" w:cs="宋体"/>
          <w:color w:val="auto"/>
          <w:highlight w:val="none"/>
        </w:rPr>
        <w:t>（3）所投货物性能质量；</w:t>
      </w:r>
    </w:p>
    <w:p w14:paraId="3E5D0F9C">
      <w:pPr>
        <w:rPr>
          <w:rFonts w:hint="eastAsia" w:ascii="宋体" w:hAnsi="宋体" w:eastAsia="宋体" w:cs="宋体"/>
          <w:color w:val="auto"/>
          <w:highlight w:val="none"/>
        </w:rPr>
      </w:pPr>
      <w:r>
        <w:rPr>
          <w:rFonts w:hint="eastAsia" w:ascii="宋体" w:hAnsi="宋体" w:eastAsia="宋体" w:cs="宋体"/>
          <w:color w:val="auto"/>
          <w:highlight w:val="none"/>
        </w:rPr>
        <w:t>（4）货物质量保障能力；</w:t>
      </w:r>
    </w:p>
    <w:p w14:paraId="165B4A8E">
      <w:pPr>
        <w:rPr>
          <w:rFonts w:hint="eastAsia" w:ascii="宋体" w:hAnsi="宋体" w:eastAsia="宋体" w:cs="宋体"/>
          <w:color w:val="auto"/>
          <w:highlight w:val="none"/>
          <w:lang w:eastAsia="zh-CN"/>
        </w:rPr>
      </w:pPr>
      <w:r>
        <w:rPr>
          <w:rFonts w:hint="eastAsia" w:ascii="宋体" w:hAnsi="宋体" w:eastAsia="宋体" w:cs="宋体"/>
          <w:color w:val="auto"/>
          <w:highlight w:val="none"/>
        </w:rPr>
        <w:t>（5）阀门结构及性能</w:t>
      </w:r>
      <w:r>
        <w:rPr>
          <w:rFonts w:hint="eastAsia" w:ascii="宋体" w:hAnsi="宋体" w:eastAsia="宋体" w:cs="宋体"/>
          <w:color w:val="auto"/>
          <w:highlight w:val="none"/>
          <w:lang w:eastAsia="zh-CN"/>
        </w:rPr>
        <w:t>；</w:t>
      </w:r>
    </w:p>
    <w:p w14:paraId="00EEAB30">
      <w:pPr>
        <w:rPr>
          <w:rFonts w:hint="eastAsia" w:ascii="宋体" w:hAnsi="宋体" w:eastAsia="宋体" w:cs="宋体"/>
          <w:color w:val="auto"/>
          <w:highlight w:val="none"/>
        </w:rPr>
      </w:pPr>
    </w:p>
    <w:p w14:paraId="2628CE28">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）质量检测能力；</w:t>
      </w:r>
    </w:p>
    <w:p w14:paraId="62FE432C">
      <w:pPr>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售后服务响应、紧急供货时间承诺；</w:t>
      </w:r>
    </w:p>
    <w:p w14:paraId="28F6E44F">
      <w:pP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）投标人认为有必要提供的其他材料（不作强制要求）。</w:t>
      </w:r>
    </w:p>
    <w:p w14:paraId="14EB4F24">
      <w:pPr>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01820DB7">
      <w:pPr>
        <w:rPr>
          <w:rFonts w:hint="eastAsia" w:ascii="宋体" w:hAnsi="宋体" w:eastAsia="宋体" w:cs="宋体"/>
          <w:color w:val="auto"/>
          <w:highlight w:val="none"/>
        </w:rPr>
      </w:pPr>
      <w:r>
        <w:rPr>
          <w:rFonts w:hint="eastAsia" w:ascii="宋体" w:hAnsi="宋体" w:eastAsia="宋体" w:cs="宋体"/>
          <w:color w:val="auto"/>
          <w:highlight w:val="none"/>
        </w:rPr>
        <w:t>（1）签字、盖章后的投标文件扫描版PDF格式电子文件。</w:t>
      </w:r>
    </w:p>
    <w:p w14:paraId="1FFAE71E">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9.1.</w:t>
      </w:r>
      <w:r>
        <w:rPr>
          <w:rFonts w:hint="eastAsia" w:ascii="宋体" w:hAnsi="宋体" w:eastAsia="宋体" w:cs="宋体"/>
          <w:b/>
          <w:bCs/>
          <w:color w:val="auto"/>
          <w:highlight w:val="none"/>
        </w:rPr>
        <w:t>4</w:t>
      </w:r>
      <w:r>
        <w:rPr>
          <w:rFonts w:hint="eastAsia" w:ascii="宋体" w:hAnsi="宋体" w:eastAsia="宋体" w:cs="宋体"/>
          <w:b/>
          <w:bCs/>
          <w:color w:val="auto"/>
          <w:highlight w:val="none"/>
          <w:lang w:val="zh-CN"/>
        </w:rPr>
        <w:t xml:space="preserve"> 唱标信封（单独密封）</w:t>
      </w:r>
    </w:p>
    <w:p w14:paraId="2B82BD8A">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（1）投标报价表；</w:t>
      </w:r>
    </w:p>
    <w:p w14:paraId="05B38BC2">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2</w:t>
      </w:r>
      <w:r>
        <w:rPr>
          <w:rFonts w:hint="eastAsia" w:ascii="宋体" w:hAnsi="宋体" w:eastAsia="宋体" w:cs="宋体"/>
          <w:color w:val="auto"/>
          <w:highlight w:val="none"/>
          <w:lang w:val="zh-CN"/>
        </w:rPr>
        <w:t>）投标保证金汇入情况说明（一式两份）。</w:t>
      </w:r>
    </w:p>
    <w:p w14:paraId="17CC39E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657ADD4">
      <w:pPr>
        <w:ind w:left="525" w:hanging="525" w:hangingChars="250"/>
        <w:rPr>
          <w:rFonts w:hint="eastAsia" w:ascii="宋体" w:hAnsi="宋体" w:eastAsia="宋体" w:cs="宋体"/>
          <w:b/>
          <w:bCs/>
          <w:color w:val="auto"/>
          <w:highlight w:val="none"/>
          <w:lang w:val="zh-CN"/>
        </w:rPr>
      </w:pPr>
      <w:r>
        <w:rPr>
          <w:rFonts w:hint="eastAsia" w:ascii="宋体" w:hAnsi="宋体" w:eastAsia="宋体" w:cs="宋体"/>
          <w:color w:val="auto"/>
          <w:highlight w:val="none"/>
          <w:lang w:val="zh-CN"/>
        </w:rPr>
        <w:t xml:space="preserve">9.3 </w:t>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19C3C3D9">
      <w:pPr>
        <w:rPr>
          <w:rFonts w:hint="eastAsia" w:ascii="宋体" w:hAnsi="宋体" w:eastAsia="宋体" w:cs="宋体"/>
          <w:color w:val="auto"/>
          <w:highlight w:val="none"/>
          <w:lang w:val="zh-CN"/>
        </w:rPr>
      </w:pPr>
    </w:p>
    <w:p w14:paraId="39A725BA">
      <w:pPr>
        <w:pStyle w:val="4"/>
        <w:rPr>
          <w:rFonts w:hint="eastAsia" w:ascii="宋体" w:hAnsi="宋体" w:eastAsia="宋体" w:cs="宋体"/>
          <w:color w:val="auto"/>
          <w:highlight w:val="none"/>
          <w:lang w:val="zh-CN"/>
        </w:rPr>
      </w:pPr>
      <w:bookmarkStart w:id="210" w:name="_Toc7800"/>
      <w:bookmarkStart w:id="211" w:name="_Toc142508324"/>
      <w:bookmarkStart w:id="212" w:name="_Toc450662860"/>
      <w:bookmarkStart w:id="213" w:name="_Toc8675_WPSOffice_Level3"/>
      <w:bookmarkStart w:id="214" w:name="_Toc486167674"/>
      <w:bookmarkStart w:id="215" w:name="_Toc172552154"/>
      <w:bookmarkStart w:id="216" w:name="_Toc178076467"/>
      <w:bookmarkStart w:id="217" w:name="_Toc18686"/>
      <w:bookmarkStart w:id="218" w:name="_Toc13630"/>
      <w:bookmarkStart w:id="219" w:name="_Toc16024"/>
      <w:bookmarkStart w:id="220" w:name="_Toc18697"/>
      <w:bookmarkStart w:id="221" w:name="_Toc176627788"/>
      <w:bookmarkStart w:id="222" w:name="_Toc29596"/>
      <w:r>
        <w:rPr>
          <w:rFonts w:hint="eastAsia" w:ascii="宋体" w:hAnsi="宋体" w:eastAsia="宋体" w:cs="宋体"/>
          <w:color w:val="auto"/>
          <w:highlight w:val="none"/>
          <w:lang w:val="zh-CN"/>
        </w:rPr>
        <w:t>10 投标函</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2D86C15E">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投标人应完整填写投标文件格式中规定的投标函。</w:t>
      </w:r>
    </w:p>
    <w:p w14:paraId="32A15669">
      <w:pPr>
        <w:rPr>
          <w:rFonts w:hint="eastAsia" w:ascii="宋体" w:hAnsi="宋体" w:eastAsia="宋体" w:cs="宋体"/>
          <w:color w:val="auto"/>
          <w:highlight w:val="none"/>
          <w:lang w:val="zh-CN"/>
        </w:rPr>
      </w:pPr>
    </w:p>
    <w:p w14:paraId="6F69B1E4">
      <w:pPr>
        <w:pStyle w:val="4"/>
        <w:rPr>
          <w:rFonts w:hint="eastAsia" w:ascii="宋体" w:hAnsi="宋体" w:eastAsia="宋体" w:cs="宋体"/>
          <w:color w:val="auto"/>
          <w:highlight w:val="none"/>
          <w:lang w:val="zh-CN"/>
        </w:rPr>
      </w:pPr>
      <w:bookmarkStart w:id="223" w:name="_Toc24135"/>
      <w:bookmarkStart w:id="224" w:name="_Toc178076468"/>
      <w:bookmarkStart w:id="225" w:name="_Toc486167675"/>
      <w:bookmarkStart w:id="226" w:name="_Toc142508325"/>
      <w:bookmarkStart w:id="227" w:name="_Toc172552155"/>
      <w:bookmarkStart w:id="228" w:name="_Toc10242"/>
      <w:bookmarkStart w:id="229" w:name="_Toc4944"/>
      <w:bookmarkStart w:id="230" w:name="_Toc450662861"/>
      <w:bookmarkStart w:id="231" w:name="_Toc4385_WPSOffice_Level3"/>
      <w:bookmarkStart w:id="232" w:name="_Toc28822"/>
      <w:bookmarkStart w:id="233" w:name="_Toc20475"/>
      <w:bookmarkStart w:id="234" w:name="_Toc176627789"/>
      <w:bookmarkStart w:id="235" w:name="_Toc11090"/>
      <w:r>
        <w:rPr>
          <w:rFonts w:hint="eastAsia" w:ascii="宋体" w:hAnsi="宋体" w:eastAsia="宋体" w:cs="宋体"/>
          <w:color w:val="auto"/>
          <w:highlight w:val="none"/>
          <w:lang w:val="zh-CN"/>
        </w:rPr>
        <w:t>11 投标报价</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2098D565">
      <w:pPr>
        <w:ind w:left="525" w:hanging="525" w:hangingChars="250"/>
        <w:rPr>
          <w:rFonts w:hint="eastAsia" w:ascii="宋体" w:hAnsi="宋体" w:eastAsia="宋体" w:cs="宋体"/>
          <w:b/>
          <w:bCs/>
          <w:color w:val="auto"/>
          <w:highlight w:val="none"/>
          <w:u w:val="none"/>
          <w:lang w:val="zh-CN"/>
        </w:rPr>
      </w:pPr>
      <w:r>
        <w:rPr>
          <w:rFonts w:hint="eastAsia" w:ascii="宋体" w:hAnsi="宋体" w:eastAsia="宋体" w:cs="宋体"/>
          <w:color w:val="auto"/>
          <w:highlight w:val="none"/>
          <w:lang w:val="zh-CN"/>
        </w:rPr>
        <w:t>11.1</w:t>
      </w:r>
      <w:r>
        <w:rPr>
          <w:rFonts w:hint="eastAsia" w:ascii="宋体" w:hAnsi="宋体" w:eastAsia="宋体" w:cs="宋体"/>
          <w:color w:val="auto"/>
          <w:highlight w:val="none"/>
          <w:u w:val="none"/>
          <w:lang w:val="zh-CN"/>
        </w:rPr>
        <w:t xml:space="preserve"> </w:t>
      </w:r>
      <w:r>
        <w:rPr>
          <w:rFonts w:hint="eastAsia" w:ascii="宋体" w:hAnsi="宋体" w:eastAsia="宋体" w:cs="宋体"/>
          <w:b/>
          <w:bCs/>
          <w:color w:val="auto"/>
          <w:highlight w:val="none"/>
          <w:u w:val="none"/>
          <w:lang w:val="zh-CN"/>
        </w:rPr>
        <w:t>本项目只允许有一个报价价格，任何有选择的或不是固定价的投标报价将不予接受，作为非实质性响应投标而予以拒绝。投标人不得以低于企业自身成本的价格竞投。</w:t>
      </w:r>
    </w:p>
    <w:p w14:paraId="1F824A2B">
      <w:pPr>
        <w:ind w:left="525" w:leftChars="250" w:firstLine="422" w:firstLineChars="200"/>
        <w:rPr>
          <w:rFonts w:hint="eastAsia" w:ascii="宋体" w:hAnsi="宋体" w:eastAsia="宋体" w:cs="宋体"/>
          <w:b/>
          <w:bCs/>
          <w:color w:val="auto"/>
          <w:highlight w:val="none"/>
          <w:u w:val="none"/>
          <w:lang w:val="zh-CN"/>
        </w:rPr>
      </w:pPr>
      <w:r>
        <w:rPr>
          <w:rFonts w:hint="eastAsia" w:ascii="宋体" w:hAnsi="宋体" w:eastAsia="宋体" w:cs="宋体"/>
          <w:b/>
          <w:bCs/>
          <w:color w:val="auto"/>
          <w:highlight w:val="none"/>
          <w:u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EA02424">
      <w:pPr>
        <w:ind w:left="525" w:leftChars="250" w:firstLine="422" w:firstLineChars="200"/>
        <w:rPr>
          <w:rFonts w:hint="eastAsia" w:ascii="宋体" w:hAnsi="宋体" w:eastAsia="宋体" w:cs="宋体"/>
          <w:color w:val="auto"/>
          <w:highlight w:val="none"/>
          <w:u w:val="none"/>
          <w:lang w:val="zh-CN"/>
        </w:rPr>
      </w:pPr>
      <w:r>
        <w:rPr>
          <w:rFonts w:hint="eastAsia" w:ascii="宋体" w:hAnsi="宋体" w:eastAsia="宋体" w:cs="宋体"/>
          <w:b/>
          <w:bCs/>
          <w:color w:val="auto"/>
          <w:highlight w:val="none"/>
          <w:u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03F779AC">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u w:val="none"/>
          <w:lang w:val="zh-CN"/>
        </w:rPr>
        <w:t>11.2</w:t>
      </w:r>
      <w:r>
        <w:rPr>
          <w:rFonts w:hint="eastAsia" w:ascii="宋体" w:hAnsi="宋体" w:eastAsia="宋体" w:cs="宋体"/>
          <w:color w:val="auto"/>
          <w:highlight w:val="none"/>
          <w:u w:val="none"/>
          <w:lang w:val="zh-CN"/>
        </w:rPr>
        <w:tab/>
      </w:r>
      <w:r>
        <w:rPr>
          <w:rFonts w:hint="eastAsia" w:ascii="宋体" w:hAnsi="宋体" w:eastAsia="宋体" w:cs="宋体"/>
          <w:b/>
          <w:bCs/>
          <w:color w:val="auto"/>
          <w:highlight w:val="none"/>
          <w:u w:val="none"/>
          <w:lang w:val="zh-CN"/>
        </w:rPr>
        <w:t>本项目的投标报价采用统一折扣系数报价，合同履约过程中，采购清单中的</w:t>
      </w:r>
      <w:r>
        <w:rPr>
          <w:rFonts w:hint="eastAsia" w:ascii="宋体" w:hAnsi="宋体" w:eastAsia="宋体" w:cs="宋体"/>
          <w:b/>
          <w:bCs/>
          <w:color w:val="auto"/>
          <w:highlight w:val="none"/>
          <w:u w:val="none"/>
          <w:lang w:val="en-US" w:eastAsia="zh-CN"/>
        </w:rPr>
        <w:t>阀门</w:t>
      </w:r>
      <w:r>
        <w:rPr>
          <w:rFonts w:hint="eastAsia" w:ascii="宋体" w:hAnsi="宋体" w:eastAsia="宋体" w:cs="宋体"/>
          <w:b/>
          <w:bCs/>
          <w:color w:val="auto"/>
          <w:highlight w:val="none"/>
          <w:u w:val="none"/>
          <w:lang w:val="zh-CN"/>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b/>
          <w:bCs/>
          <w:color w:val="auto"/>
          <w:highlight w:val="none"/>
          <w:u w:val="single"/>
          <w:lang w:val="zh-CN"/>
        </w:rPr>
        <w:t>本项目的价格为不含税价，即为《中华人民共和国增值税暂行条例》（国务院令第691号修订版）规定的销售额。</w:t>
      </w:r>
      <w:r>
        <w:rPr>
          <w:rFonts w:hint="eastAsia" w:ascii="宋体" w:hAnsi="宋体" w:eastAsia="宋体" w:cs="宋体"/>
          <w:b w:val="0"/>
          <w:bCs w:val="0"/>
          <w:color w:val="auto"/>
          <w:highlight w:val="none"/>
          <w:u w:val="none"/>
          <w:lang w:val="zh-CN"/>
        </w:rPr>
        <w:t>本招标文件所称的不含税价和不含税暂定合同价是指不含本采购项目投标人的销项税额，包含了投标人完成合同义务（含投标人代缴代扣、分包及委外服务、</w:t>
      </w:r>
      <w:r>
        <w:rPr>
          <w:rFonts w:hint="eastAsia" w:ascii="宋体" w:hAnsi="宋体" w:eastAsia="宋体" w:cs="宋体"/>
          <w:color w:val="auto"/>
          <w:highlight w:val="none"/>
          <w:lang w:val="en-US" w:eastAsia="zh-CN"/>
        </w:rPr>
        <w:t>技术指导、</w:t>
      </w:r>
      <w:r>
        <w:rPr>
          <w:rFonts w:hint="eastAsia" w:ascii="宋体" w:hAnsi="宋体" w:eastAsia="宋体" w:cs="宋体"/>
          <w:b w:val="0"/>
          <w:bCs w:val="0"/>
          <w:color w:val="auto"/>
          <w:highlight w:val="none"/>
          <w:u w:val="none"/>
          <w:lang w:val="zh-CN"/>
        </w:rPr>
        <w:t>采购货物等所产生的价税）的其他全部费用。本采购项目的销项税额由招标人承担，不计入价格。供货价格均包括但不限于以下内容涉及的费用</w:t>
      </w:r>
      <w:r>
        <w:rPr>
          <w:rFonts w:hint="eastAsia" w:ascii="宋体" w:hAnsi="宋体" w:eastAsia="宋体" w:cs="宋体"/>
          <w:b w:val="0"/>
          <w:bCs w:val="0"/>
          <w:color w:val="auto"/>
          <w:highlight w:val="none"/>
          <w:u w:val="none"/>
        </w:rPr>
        <w:t>：</w:t>
      </w:r>
      <w:r>
        <w:rPr>
          <w:rFonts w:hint="eastAsia" w:ascii="宋体" w:hAnsi="宋体" w:eastAsia="宋体" w:cs="宋体"/>
          <w:color w:val="auto"/>
          <w:highlight w:val="none"/>
        </w:rPr>
        <w:t xml:space="preserve"> </w:t>
      </w:r>
    </w:p>
    <w:p w14:paraId="36FD9911">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（1）货物及其配备的附件、备品备件的采购、制造、检测、试验、送货、装卸（含二次搬运至招标人指定交货或仓储地点）、人工费、材料费、包装费、运费、保险、现场仓储等相关服务的全部费用；</w:t>
      </w:r>
    </w:p>
    <w:p w14:paraId="1978A868">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（2）免费的质保服务，包括但不限于免费上门提供售后服务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质量问题处理或更换失效产品；</w:t>
      </w:r>
    </w:p>
    <w:p w14:paraId="5785063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）合理利润、</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销项税额以外的税费</w:t>
      </w:r>
      <w:r>
        <w:rPr>
          <w:rFonts w:hint="eastAsia" w:ascii="宋体" w:hAnsi="宋体" w:eastAsia="宋体" w:cs="宋体"/>
          <w:color w:val="auto"/>
          <w:highlight w:val="none"/>
          <w:lang w:eastAsia="zh-CN"/>
        </w:rPr>
        <w:t>、中标服务费</w:t>
      </w:r>
      <w:r>
        <w:rPr>
          <w:rFonts w:hint="eastAsia" w:ascii="宋体" w:hAnsi="宋体" w:eastAsia="宋体" w:cs="宋体"/>
          <w:color w:val="auto"/>
          <w:highlight w:val="none"/>
        </w:rPr>
        <w:t>等；</w:t>
      </w:r>
    </w:p>
    <w:p w14:paraId="0A461129">
      <w:pPr>
        <w:ind w:left="525" w:hanging="525" w:hangingChars="25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）法律法规、商业公认、招标文件规定由投标人承担的其他直接及间接费用</w:t>
      </w:r>
      <w:r>
        <w:rPr>
          <w:rFonts w:hint="eastAsia" w:cs="宋体"/>
          <w:color w:val="auto"/>
          <w:highlight w:val="none"/>
          <w:lang w:eastAsia="zh-CN"/>
        </w:rPr>
        <w:t>；</w:t>
      </w:r>
    </w:p>
    <w:p w14:paraId="5FED595C">
      <w:pPr>
        <w:ind w:left="525" w:hanging="525" w:hangingChars="250"/>
        <w:rPr>
          <w:rFonts w:hint="eastAsia"/>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货物验收合格前发生的安全事故所产生的一切费用</w:t>
      </w:r>
      <w:r>
        <w:rPr>
          <w:rFonts w:hint="eastAsia"/>
          <w:color w:val="auto"/>
          <w:highlight w:val="none"/>
          <w:lang w:val="en-US" w:eastAsia="zh-CN"/>
        </w:rPr>
        <w:t>。</w:t>
      </w:r>
    </w:p>
    <w:p w14:paraId="278F31D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11.3 </w:t>
      </w:r>
      <w:r>
        <w:rPr>
          <w:rFonts w:hint="eastAsia" w:ascii="宋体" w:hAnsi="宋体" w:eastAsia="宋体" w:cs="宋体"/>
          <w:color w:val="auto"/>
          <w:highlight w:val="none"/>
          <w:lang w:val="zh-CN"/>
        </w:rPr>
        <w:t>投标人根据第11.2款所报的价格分项仅供评标委员会评审时使用；在任何情况下不限制投标人以不同的条件中标的权利。</w:t>
      </w:r>
    </w:p>
    <w:p w14:paraId="004AE80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11.4 在合同期间，投标报价不随国家政策或法规、标准、市场因素及采购数量的变化而进行调整。 </w:t>
      </w:r>
    </w:p>
    <w:p w14:paraId="791BDBB4">
      <w:pPr>
        <w:ind w:left="525"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11.5 合同项下，招标人需要的货物及有关服务所需的费用，投标人都应计入投标报价总价。</w:t>
      </w:r>
    </w:p>
    <w:p w14:paraId="6A830D73">
      <w:pPr>
        <w:ind w:left="525" w:hanging="527" w:hangingChars="250"/>
        <w:rPr>
          <w:rFonts w:hint="eastAsia" w:ascii="宋体" w:hAnsi="宋体" w:eastAsia="宋体" w:cs="宋体"/>
          <w:b/>
          <w:bCs/>
          <w:color w:val="auto"/>
          <w:szCs w:val="21"/>
          <w:highlight w:val="none"/>
          <w:lang w:val="zh-CN"/>
        </w:rPr>
      </w:pPr>
      <w:r>
        <w:rPr>
          <w:rFonts w:hint="eastAsia" w:ascii="宋体" w:hAnsi="宋体" w:eastAsia="宋体" w:cs="宋体"/>
          <w:b/>
          <w:bCs/>
          <w:color w:val="auto"/>
          <w:highlight w:val="none"/>
          <w:lang w:val="zh-CN"/>
        </w:rPr>
        <w:t xml:space="preserve">11.6 </w:t>
      </w:r>
      <w:r>
        <w:rPr>
          <w:rFonts w:hint="eastAsia" w:ascii="宋体" w:hAnsi="宋体" w:eastAsia="宋体" w:cs="宋体"/>
          <w:b/>
          <w:bCs/>
          <w:color w:val="auto"/>
          <w:highlight w:val="none"/>
          <w:u w:val="single"/>
          <w:lang w:val="zh-CN"/>
        </w:rPr>
        <w:t>投标人的折扣系数报价不得超过1.00，且不能为0.00或负数，投标人未按招标文件要求进行折扣系数报价的，该投标人的投标文件将被视为无效投标。</w:t>
      </w:r>
      <w:r>
        <w:rPr>
          <w:rFonts w:hint="eastAsia" w:ascii="宋体" w:hAnsi="宋体" w:eastAsia="宋体" w:cs="宋体"/>
          <w:b/>
          <w:bCs/>
          <w:color w:val="auto"/>
          <w:highlight w:val="none"/>
          <w:u w:val="single"/>
          <w:lang w:val="en-US" w:eastAsia="zh-CN"/>
        </w:rPr>
        <w:t>折扣系数报价需保留小数点后两位，否则评标委员会按从小数点后第3位四舍五入的方式进行修正为保留小数点后两位，投标人须接受被修正后的报价（例：如投标折扣系数为0.789，则被修正为0.79；如投标折扣系数为0.7，则被修正为0.70）。</w:t>
      </w:r>
      <w:r>
        <w:rPr>
          <w:rFonts w:hint="eastAsia" w:ascii="宋体" w:hAnsi="宋体" w:eastAsia="宋体" w:cs="宋体"/>
          <w:b/>
          <w:bCs/>
          <w:color w:val="auto"/>
          <w:highlight w:val="none"/>
          <w:u w:val="single"/>
          <w:lang w:val="zh-CN"/>
        </w:rPr>
        <w:t>本项目的</w:t>
      </w:r>
      <w:r>
        <w:rPr>
          <w:rFonts w:hint="eastAsia" w:cs="宋体"/>
          <w:b/>
          <w:bCs/>
          <w:color w:val="auto"/>
          <w:highlight w:val="none"/>
          <w:u w:val="single"/>
          <w:lang w:val="en-US" w:eastAsia="zh-CN"/>
        </w:rPr>
        <w:t>不</w:t>
      </w:r>
      <w:r>
        <w:rPr>
          <w:rFonts w:hint="eastAsia" w:ascii="宋体" w:hAnsi="宋体" w:eastAsia="宋体" w:cs="宋体"/>
          <w:b/>
          <w:bCs/>
          <w:color w:val="auto"/>
          <w:highlight w:val="none"/>
          <w:u w:val="single"/>
          <w:lang w:val="zh-CN"/>
        </w:rPr>
        <w:t>含税暂定采购金额为</w:t>
      </w:r>
      <w:r>
        <w:rPr>
          <w:rFonts w:hint="eastAsia" w:ascii="宋体" w:hAnsi="宋体" w:eastAsia="宋体" w:cs="宋体"/>
          <w:b/>
          <w:bCs/>
          <w:color w:val="auto"/>
          <w:kern w:val="2"/>
          <w:sz w:val="21"/>
          <w:szCs w:val="22"/>
          <w:highlight w:val="none"/>
          <w:u w:val="single"/>
          <w:lang w:val="zh-CN" w:eastAsia="zh-CN" w:bidi="ar-SA"/>
        </w:rPr>
        <w:t>2</w:t>
      </w:r>
      <w:r>
        <w:rPr>
          <w:rFonts w:hint="eastAsia" w:cs="宋体"/>
          <w:b/>
          <w:bCs/>
          <w:color w:val="auto"/>
          <w:kern w:val="2"/>
          <w:sz w:val="21"/>
          <w:szCs w:val="22"/>
          <w:highlight w:val="none"/>
          <w:u w:val="single"/>
          <w:lang w:val="en-US" w:eastAsia="zh-CN" w:bidi="ar-SA"/>
        </w:rPr>
        <w:t>,</w:t>
      </w:r>
      <w:r>
        <w:rPr>
          <w:rFonts w:hint="eastAsia" w:ascii="宋体" w:hAnsi="宋体" w:eastAsia="宋体" w:cs="宋体"/>
          <w:b/>
          <w:bCs/>
          <w:color w:val="auto"/>
          <w:kern w:val="2"/>
          <w:sz w:val="21"/>
          <w:szCs w:val="22"/>
          <w:highlight w:val="none"/>
          <w:u w:val="single"/>
          <w:lang w:val="zh-CN" w:eastAsia="zh-CN" w:bidi="ar-SA"/>
        </w:rPr>
        <w:t>737</w:t>
      </w:r>
      <w:r>
        <w:rPr>
          <w:rFonts w:hint="eastAsia" w:cs="宋体"/>
          <w:b/>
          <w:bCs/>
          <w:color w:val="auto"/>
          <w:kern w:val="2"/>
          <w:sz w:val="21"/>
          <w:szCs w:val="22"/>
          <w:highlight w:val="none"/>
          <w:u w:val="single"/>
          <w:lang w:val="en-US" w:eastAsia="zh-CN" w:bidi="ar-SA"/>
        </w:rPr>
        <w:t>,</w:t>
      </w:r>
      <w:r>
        <w:rPr>
          <w:rFonts w:hint="eastAsia" w:ascii="宋体" w:hAnsi="宋体" w:eastAsia="宋体" w:cs="宋体"/>
          <w:b/>
          <w:bCs/>
          <w:color w:val="auto"/>
          <w:kern w:val="2"/>
          <w:sz w:val="21"/>
          <w:szCs w:val="22"/>
          <w:highlight w:val="none"/>
          <w:u w:val="single"/>
          <w:lang w:val="zh-CN" w:eastAsia="zh-CN" w:bidi="ar-SA"/>
        </w:rPr>
        <w:t>924.33</w:t>
      </w:r>
      <w:r>
        <w:rPr>
          <w:rFonts w:hint="eastAsia" w:ascii="宋体" w:hAnsi="宋体" w:eastAsia="宋体" w:cs="宋体"/>
          <w:b/>
          <w:bCs/>
          <w:color w:val="auto"/>
          <w:highlight w:val="none"/>
          <w:u w:val="single"/>
          <w:lang w:val="zh-CN"/>
        </w:rPr>
        <w:t>元（大写：人民币</w:t>
      </w:r>
      <w:r>
        <w:rPr>
          <w:rFonts w:hint="eastAsia" w:cs="宋体"/>
          <w:b/>
          <w:bCs/>
          <w:color w:val="auto"/>
          <w:highlight w:val="none"/>
          <w:u w:val="single"/>
          <w:lang w:val="en-US" w:eastAsia="zh-CN"/>
        </w:rPr>
        <w:t>贰佰柒拾叁万柒仟玖佰贰拾肆元叁角叁分</w:t>
      </w:r>
      <w:r>
        <w:rPr>
          <w:rFonts w:hint="eastAsia" w:ascii="宋体" w:hAnsi="宋体" w:eastAsia="宋体" w:cs="宋体"/>
          <w:b/>
          <w:bCs/>
          <w:color w:val="auto"/>
          <w:highlight w:val="none"/>
          <w:u w:val="single"/>
          <w:lang w:val="zh-CN"/>
        </w:rPr>
        <w:t>）</w:t>
      </w:r>
      <w:r>
        <w:rPr>
          <w:rFonts w:hint="eastAsia" w:ascii="宋体" w:hAnsi="宋体" w:eastAsia="宋体" w:cs="宋体"/>
          <w:b/>
          <w:bCs/>
          <w:color w:val="auto"/>
          <w:szCs w:val="21"/>
          <w:highlight w:val="none"/>
          <w:u w:val="single"/>
          <w:lang w:val="zh-CN"/>
        </w:rPr>
        <w:t>。</w:t>
      </w:r>
    </w:p>
    <w:p w14:paraId="7A14AD09">
      <w:pPr>
        <w:rPr>
          <w:rFonts w:hint="eastAsia" w:ascii="宋体" w:hAnsi="宋体" w:eastAsia="宋体" w:cs="宋体"/>
          <w:color w:val="auto"/>
          <w:highlight w:val="none"/>
          <w:lang w:val="zh-CN"/>
        </w:rPr>
      </w:pPr>
    </w:p>
    <w:p w14:paraId="357B91BD">
      <w:pPr>
        <w:pStyle w:val="4"/>
        <w:rPr>
          <w:rFonts w:hint="eastAsia" w:ascii="宋体" w:hAnsi="宋体" w:eastAsia="宋体" w:cs="宋体"/>
          <w:color w:val="auto"/>
          <w:highlight w:val="none"/>
          <w:lang w:val="zh-CN"/>
        </w:rPr>
      </w:pPr>
      <w:bookmarkStart w:id="236" w:name="_Toc7127"/>
      <w:bookmarkStart w:id="237" w:name="_Toc12196"/>
      <w:bookmarkStart w:id="238" w:name="_Toc176627790"/>
      <w:bookmarkStart w:id="239" w:name="_Toc450662862"/>
      <w:bookmarkStart w:id="240" w:name="_Toc22189"/>
      <w:bookmarkStart w:id="241" w:name="_Toc142508326"/>
      <w:bookmarkStart w:id="242" w:name="_Toc29568"/>
      <w:bookmarkStart w:id="243" w:name="_Toc3675"/>
      <w:bookmarkStart w:id="244" w:name="_Toc178076469"/>
      <w:bookmarkStart w:id="245" w:name="_Toc14068"/>
      <w:bookmarkStart w:id="246" w:name="_Toc172552156"/>
      <w:bookmarkStart w:id="247" w:name="_Toc30042_WPSOffice_Level3"/>
      <w:bookmarkStart w:id="248" w:name="_Toc486167676"/>
      <w:r>
        <w:rPr>
          <w:rFonts w:hint="eastAsia" w:ascii="宋体" w:hAnsi="宋体" w:eastAsia="宋体" w:cs="宋体"/>
          <w:color w:val="auto"/>
          <w:highlight w:val="none"/>
          <w:lang w:val="zh-CN"/>
        </w:rPr>
        <w:t>12 投标报价货币</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43494290">
      <w:pPr>
        <w:ind w:left="315" w:left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rPr>
        <w:t>他</w:t>
      </w:r>
      <w:r>
        <w:rPr>
          <w:rFonts w:hint="eastAsia" w:ascii="宋体" w:hAnsi="宋体" w:eastAsia="宋体" w:cs="宋体"/>
          <w:b/>
          <w:color w:val="auto"/>
          <w:szCs w:val="21"/>
          <w:highlight w:val="none"/>
          <w:lang w:val="zh-CN"/>
        </w:rPr>
        <w:t>货币标价的投标将予以拒绝。</w:t>
      </w:r>
    </w:p>
    <w:p w14:paraId="785DB7B0">
      <w:pPr>
        <w:rPr>
          <w:rFonts w:hint="eastAsia" w:ascii="宋体" w:hAnsi="宋体" w:eastAsia="宋体" w:cs="宋体"/>
          <w:color w:val="auto"/>
          <w:highlight w:val="none"/>
        </w:rPr>
      </w:pPr>
    </w:p>
    <w:p w14:paraId="57252BB2">
      <w:pPr>
        <w:tabs>
          <w:tab w:val="left" w:pos="570"/>
        </w:tabs>
        <w:ind w:left="525" w:hanging="525" w:hangingChars="250"/>
        <w:jc w:val="left"/>
        <w:outlineLvl w:val="2"/>
        <w:rPr>
          <w:rFonts w:hint="eastAsia" w:ascii="宋体" w:hAnsi="宋体" w:eastAsia="宋体" w:cs="宋体"/>
          <w:color w:val="auto"/>
          <w:szCs w:val="21"/>
          <w:highlight w:val="none"/>
          <w:lang w:val="zh-CN"/>
        </w:rPr>
      </w:pPr>
      <w:bookmarkStart w:id="249" w:name="_Toc178076470"/>
      <w:bookmarkStart w:id="250" w:name="_Toc486167677"/>
      <w:bookmarkStart w:id="251" w:name="_Toc9411_WPSOffice_Level3"/>
      <w:bookmarkStart w:id="252" w:name="_Toc15674"/>
      <w:bookmarkStart w:id="253" w:name="_Toc25596"/>
      <w:bookmarkStart w:id="254" w:name="_Toc7059"/>
      <w:bookmarkStart w:id="255" w:name="_Toc27943"/>
      <w:bookmarkStart w:id="256" w:name="_Toc450662863"/>
      <w:bookmarkStart w:id="257" w:name="_Toc176627791"/>
      <w:bookmarkStart w:id="258" w:name="_Toc11016"/>
      <w:bookmarkStart w:id="259" w:name="_Toc142508327"/>
      <w:bookmarkStart w:id="260" w:name="_Toc921"/>
      <w:bookmarkStart w:id="261" w:name="_Toc172552157"/>
      <w:r>
        <w:rPr>
          <w:rFonts w:hint="eastAsia" w:ascii="宋体" w:hAnsi="宋体" w:eastAsia="宋体" w:cs="宋体"/>
          <w:color w:val="auto"/>
          <w:szCs w:val="21"/>
          <w:highlight w:val="none"/>
          <w:lang w:val="zh-CN"/>
        </w:rPr>
        <w:t>13 证明投标人的合格性和资格的声明文件</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42C81D13">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52DACC9">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8E29F2F">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0F7D7A1B">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1BC1E13">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25A61528">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14B1AD2A">
      <w:pPr>
        <w:rPr>
          <w:rFonts w:hint="eastAsia" w:ascii="宋体" w:hAnsi="宋体" w:eastAsia="宋体" w:cs="宋体"/>
          <w:color w:val="auto"/>
          <w:highlight w:val="none"/>
        </w:rPr>
      </w:pPr>
    </w:p>
    <w:p w14:paraId="7E3F4F53">
      <w:pPr>
        <w:pStyle w:val="4"/>
        <w:rPr>
          <w:rFonts w:hint="eastAsia" w:ascii="宋体" w:hAnsi="宋体" w:eastAsia="宋体" w:cs="宋体"/>
          <w:color w:val="auto"/>
          <w:highlight w:val="none"/>
          <w:lang w:val="zh-CN"/>
        </w:rPr>
      </w:pPr>
      <w:bookmarkStart w:id="262" w:name="_Toc486167678"/>
      <w:bookmarkStart w:id="263" w:name="_Toc30441"/>
      <w:bookmarkStart w:id="264" w:name="_Toc176627792"/>
      <w:bookmarkStart w:id="265" w:name="_Toc172552158"/>
      <w:bookmarkStart w:id="266" w:name="_Toc12150"/>
      <w:bookmarkStart w:id="267" w:name="_Toc142508328"/>
      <w:bookmarkStart w:id="268" w:name="_Toc27771_WPSOffice_Level3"/>
      <w:bookmarkStart w:id="269" w:name="_Toc450662864"/>
      <w:bookmarkStart w:id="270" w:name="_Toc178076471"/>
      <w:bookmarkStart w:id="271" w:name="_Toc27934"/>
      <w:bookmarkStart w:id="272" w:name="_Toc26945"/>
      <w:bookmarkStart w:id="273" w:name="_Toc31501"/>
      <w:r>
        <w:rPr>
          <w:rFonts w:hint="eastAsia" w:ascii="宋体" w:hAnsi="宋体" w:eastAsia="宋体" w:cs="宋体"/>
          <w:color w:val="auto"/>
          <w:highlight w:val="none"/>
          <w:lang w:val="zh-CN"/>
        </w:rPr>
        <w:t>14 证明货物的合格性并符合招标文件规定的声明文件</w:t>
      </w:r>
      <w:bookmarkEnd w:id="262"/>
      <w:bookmarkEnd w:id="263"/>
      <w:bookmarkEnd w:id="264"/>
      <w:bookmarkEnd w:id="265"/>
      <w:bookmarkEnd w:id="266"/>
      <w:bookmarkEnd w:id="267"/>
      <w:bookmarkEnd w:id="268"/>
      <w:bookmarkEnd w:id="269"/>
      <w:bookmarkEnd w:id="270"/>
      <w:bookmarkEnd w:id="271"/>
      <w:bookmarkEnd w:id="272"/>
      <w:bookmarkEnd w:id="273"/>
    </w:p>
    <w:p w14:paraId="11492F4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根据第9条规定，投标人须提交证明其拟供货物的合格性并符合招标文件规定的声明文件，作为投标文件的一部分。</w:t>
      </w:r>
    </w:p>
    <w:p w14:paraId="4BA6E11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14.2 证明</w:t>
      </w:r>
      <w:r>
        <w:rPr>
          <w:rFonts w:hint="eastAsia" w:ascii="宋体" w:hAnsi="宋体" w:eastAsia="宋体" w:cs="宋体"/>
          <w:color w:val="auto"/>
          <w:highlight w:val="none"/>
        </w:rPr>
        <w:t>货物及有关服务</w:t>
      </w:r>
      <w:r>
        <w:rPr>
          <w:rFonts w:hint="eastAsia" w:ascii="宋体" w:hAnsi="宋体" w:eastAsia="宋体" w:cs="宋体"/>
          <w:color w:val="auto"/>
          <w:highlight w:val="none"/>
          <w:lang w:val="zh-CN"/>
        </w:rPr>
        <w:t>与招标文件的要求相一致的文件可以是文字资料、图纸和数据资料。</w:t>
      </w:r>
    </w:p>
    <w:p w14:paraId="1308F3E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14.3 </w:t>
      </w:r>
      <w:r>
        <w:rPr>
          <w:rFonts w:hint="eastAsia" w:ascii="宋体" w:hAnsi="宋体" w:eastAsia="宋体" w:cs="宋体"/>
          <w:b/>
          <w:bCs/>
          <w:color w:val="auto"/>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760301E7">
      <w:pPr>
        <w:ind w:left="392" w:leftChars="-100" w:hanging="602" w:hangingChars="251"/>
        <w:rPr>
          <w:rFonts w:hint="eastAsia" w:ascii="宋体" w:hAnsi="宋体" w:eastAsia="宋体" w:cs="宋体"/>
          <w:color w:val="auto"/>
          <w:kern w:val="0"/>
          <w:sz w:val="24"/>
          <w:szCs w:val="24"/>
          <w:highlight w:val="none"/>
        </w:rPr>
      </w:pPr>
    </w:p>
    <w:p w14:paraId="10D59DEF">
      <w:pPr>
        <w:pStyle w:val="4"/>
        <w:rPr>
          <w:rFonts w:hint="eastAsia" w:ascii="宋体" w:hAnsi="宋体" w:eastAsia="宋体" w:cs="宋体"/>
          <w:color w:val="auto"/>
          <w:highlight w:val="none"/>
          <w:lang w:val="zh-CN"/>
        </w:rPr>
      </w:pPr>
      <w:bookmarkStart w:id="274" w:name="_Toc25772"/>
      <w:bookmarkStart w:id="275" w:name="_Toc172552159"/>
      <w:bookmarkStart w:id="276" w:name="_Toc5356_WPSOffice_Level3"/>
      <w:bookmarkStart w:id="277" w:name="_Toc142508329"/>
      <w:bookmarkStart w:id="278" w:name="_Toc178076472"/>
      <w:bookmarkStart w:id="279" w:name="_Toc486167679"/>
      <w:bookmarkStart w:id="280" w:name="_Toc25113"/>
      <w:bookmarkStart w:id="281" w:name="_Toc26284"/>
      <w:bookmarkStart w:id="282" w:name="_Toc32698"/>
      <w:bookmarkStart w:id="283" w:name="_Toc376"/>
      <w:bookmarkStart w:id="284" w:name="_Toc24774"/>
      <w:bookmarkStart w:id="285" w:name="_Toc176627793"/>
      <w:r>
        <w:rPr>
          <w:rFonts w:hint="eastAsia" w:ascii="宋体" w:hAnsi="宋体" w:eastAsia="宋体" w:cs="宋体"/>
          <w:color w:val="auto"/>
          <w:highlight w:val="none"/>
          <w:lang w:val="zh-CN"/>
        </w:rPr>
        <w:t>15 投标保证金</w:t>
      </w:r>
      <w:bookmarkEnd w:id="274"/>
      <w:bookmarkEnd w:id="275"/>
      <w:bookmarkEnd w:id="276"/>
      <w:bookmarkEnd w:id="277"/>
      <w:bookmarkEnd w:id="278"/>
      <w:bookmarkEnd w:id="279"/>
      <w:bookmarkEnd w:id="280"/>
      <w:bookmarkEnd w:id="281"/>
      <w:bookmarkEnd w:id="282"/>
      <w:bookmarkEnd w:id="283"/>
      <w:bookmarkEnd w:id="284"/>
      <w:bookmarkEnd w:id="285"/>
    </w:p>
    <w:p w14:paraId="32DC260E">
      <w:pPr>
        <w:ind w:left="525" w:hanging="525" w:hangingChars="250"/>
        <w:rPr>
          <w:rFonts w:hint="eastAsia" w:ascii="宋体" w:hAnsi="宋体" w:eastAsia="宋体" w:cs="宋体"/>
          <w:b/>
          <w:bCs/>
          <w:color w:val="auto"/>
          <w:highlight w:val="none"/>
          <w:u w:val="single"/>
        </w:rPr>
      </w:pPr>
      <w:r>
        <w:rPr>
          <w:rFonts w:hint="eastAsia" w:ascii="宋体" w:hAnsi="宋体" w:eastAsia="宋体" w:cs="宋体"/>
          <w:color w:val="auto"/>
          <w:highlight w:val="none"/>
          <w:lang w:val="zh-CN"/>
        </w:rPr>
        <w:t xml:space="preserve">15.1 </w:t>
      </w:r>
      <w:r>
        <w:rPr>
          <w:rFonts w:hint="eastAsia" w:ascii="宋体" w:hAnsi="宋体" w:eastAsia="宋体" w:cs="宋体"/>
          <w:b/>
          <w:bCs/>
          <w:color w:val="auto"/>
          <w:highlight w:val="none"/>
          <w:u w:val="single"/>
          <w:lang w:val="zh-CN"/>
        </w:rPr>
        <w:t>投标人投标时须附有投标保证金</w:t>
      </w:r>
      <w:r>
        <w:rPr>
          <w:rFonts w:hint="eastAsia" w:cs="宋体"/>
          <w:b/>
          <w:bCs/>
          <w:color w:val="auto"/>
          <w:highlight w:val="none"/>
          <w:u w:val="single"/>
          <w:lang w:val="en-US" w:eastAsia="zh-CN"/>
        </w:rPr>
        <w:t>54</w:t>
      </w:r>
      <w:r>
        <w:rPr>
          <w:rFonts w:hint="eastAsia" w:ascii="宋体" w:hAnsi="宋体" w:eastAsia="宋体" w:cs="宋体"/>
          <w:b/>
          <w:bCs/>
          <w:color w:val="auto"/>
          <w:kern w:val="2"/>
          <w:sz w:val="21"/>
          <w:szCs w:val="22"/>
          <w:highlight w:val="none"/>
          <w:u w:val="single"/>
          <w:lang w:val="en-US" w:eastAsia="zh-CN" w:bidi="ar-SA"/>
        </w:rPr>
        <w:t>,</w:t>
      </w:r>
      <w:r>
        <w:rPr>
          <w:rFonts w:hint="eastAsia" w:ascii="宋体" w:hAnsi="宋体" w:eastAsia="宋体" w:cs="宋体"/>
          <w:b/>
          <w:bCs/>
          <w:color w:val="auto"/>
          <w:highlight w:val="none"/>
          <w:u w:val="single"/>
          <w:lang w:val="en-US" w:eastAsia="zh-CN"/>
        </w:rPr>
        <w:t>000.00</w:t>
      </w:r>
      <w:r>
        <w:rPr>
          <w:rFonts w:hint="eastAsia" w:ascii="宋体" w:hAnsi="宋体" w:eastAsia="宋体" w:cs="宋体"/>
          <w:b/>
          <w:bCs/>
          <w:color w:val="auto"/>
          <w:highlight w:val="none"/>
          <w:u w:val="single"/>
        </w:rPr>
        <w:t>元（大写：</w:t>
      </w:r>
      <w:r>
        <w:rPr>
          <w:rFonts w:hint="eastAsia" w:ascii="宋体" w:hAnsi="宋体" w:eastAsia="宋体" w:cs="宋体"/>
          <w:b/>
          <w:bCs/>
          <w:color w:val="auto"/>
          <w:highlight w:val="none"/>
          <w:u w:val="single"/>
          <w:lang w:val="en-US" w:eastAsia="zh-CN"/>
        </w:rPr>
        <w:t>玖万玖仟元整</w:t>
      </w:r>
      <w:r>
        <w:rPr>
          <w:rFonts w:hint="eastAsia" w:ascii="宋体" w:hAnsi="宋体" w:eastAsia="宋体" w:cs="宋体"/>
          <w:b/>
          <w:bCs/>
          <w:color w:val="auto"/>
          <w:highlight w:val="none"/>
          <w:u w:val="single"/>
        </w:rPr>
        <w:t>）。</w:t>
      </w:r>
    </w:p>
    <w:p w14:paraId="1FF8579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15.2 </w:t>
      </w:r>
      <w:r>
        <w:rPr>
          <w:rFonts w:hint="eastAsia" w:ascii="宋体" w:hAnsi="宋体" w:eastAsia="宋体" w:cs="宋体"/>
          <w:b/>
          <w:bCs/>
          <w:color w:val="auto"/>
          <w:highlight w:val="none"/>
          <w:lang w:val="zh-CN"/>
        </w:rPr>
        <w:t>投标人应按要求提交投标保证金，</w:t>
      </w:r>
      <w:r>
        <w:rPr>
          <w:rFonts w:hint="eastAsia" w:ascii="宋体" w:hAnsi="宋体" w:eastAsia="宋体" w:cs="宋体"/>
          <w:b/>
          <w:bCs/>
          <w:color w:val="auto"/>
          <w:highlight w:val="none"/>
          <w:u w:val="single"/>
          <w:lang w:val="zh-CN"/>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bCs/>
          <w:color w:val="auto"/>
          <w:highlight w:val="none"/>
          <w:u w:val="single"/>
        </w:rPr>
        <w:t>。</w:t>
      </w:r>
    </w:p>
    <w:p w14:paraId="66F9D7B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15.3 提交保证金时应符合下列规定：</w:t>
      </w:r>
    </w:p>
    <w:p w14:paraId="78C1AA9C">
      <w:pPr>
        <w:ind w:left="525" w:leftChars="250"/>
        <w:rPr>
          <w:rFonts w:hint="eastAsia" w:ascii="宋体" w:hAnsi="宋体" w:eastAsia="宋体" w:cs="宋体"/>
          <w:color w:val="auto"/>
          <w:highlight w:val="none"/>
        </w:rPr>
      </w:pPr>
      <w:r>
        <w:rPr>
          <w:rFonts w:hint="eastAsia" w:ascii="宋体" w:hAnsi="宋体" w:eastAsia="宋体" w:cs="宋体"/>
          <w:color w:val="auto"/>
          <w:highlight w:val="none"/>
        </w:rPr>
        <w:t>必须通过本单位基本账户采用银行转账、电汇方式提交，且在递交投标文件截止时间前到达以下账户上</w:t>
      </w:r>
      <w:r>
        <w:rPr>
          <w:rFonts w:hint="eastAsia" w:ascii="宋体" w:hAnsi="宋体" w:eastAsia="宋体" w:cs="宋体"/>
          <w:b/>
          <w:bCs/>
          <w:color w:val="auto"/>
          <w:highlight w:val="none"/>
        </w:rPr>
        <w:t>并注明</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项目名称/</w:t>
      </w:r>
      <w:r>
        <w:rPr>
          <w:rFonts w:hint="eastAsia" w:ascii="宋体" w:hAnsi="宋体" w:eastAsia="宋体" w:cs="宋体"/>
          <w:b/>
          <w:bCs/>
          <w:color w:val="auto"/>
          <w:highlight w:val="none"/>
        </w:rPr>
        <w:t>招标编号</w:t>
      </w:r>
      <w:r>
        <w:rPr>
          <w:rFonts w:hint="eastAsia" w:ascii="宋体" w:hAnsi="宋体" w:eastAsia="宋体" w:cs="宋体"/>
          <w:b/>
          <w:bCs/>
          <w:color w:val="auto"/>
          <w:highlight w:val="none"/>
          <w:lang w:val="en-US" w:eastAsia="zh-CN"/>
        </w:rPr>
        <w:t>+</w:t>
      </w:r>
      <w:r>
        <w:rPr>
          <w:rFonts w:hint="eastAsia" w:ascii="宋体" w:hAnsi="宋体" w:eastAsia="宋体" w:cs="宋体"/>
          <w:b/>
          <w:bCs/>
          <w:i w:val="0"/>
          <w:iCs w:val="0"/>
          <w:caps w:val="0"/>
          <w:color w:val="auto"/>
          <w:spacing w:val="0"/>
          <w:sz w:val="21"/>
          <w:szCs w:val="22"/>
          <w:highlight w:val="none"/>
          <w:shd w:val="clear"/>
        </w:rPr>
        <w:t>投标保证金</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rPr>
        <w:t>。</w:t>
      </w:r>
    </w:p>
    <w:p w14:paraId="6212B500">
      <w:pPr>
        <w:ind w:left="525" w:left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开户名称：东莞市碧水信息科技有限公司</w:t>
      </w:r>
    </w:p>
    <w:p w14:paraId="6D96371F">
      <w:pPr>
        <w:ind w:left="525" w:left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开户银行：中国工商银行股份有限公司东莞分行</w:t>
      </w:r>
    </w:p>
    <w:p w14:paraId="7556A0AE">
      <w:pPr>
        <w:ind w:left="525" w:left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银行账号：2010021309200572784</w:t>
      </w:r>
    </w:p>
    <w:p w14:paraId="6B7CE6ED">
      <w:pPr>
        <w:ind w:left="525" w:leftChars="25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投标保证金未按规定时间到达指定账户或提交金额不足的，将被视为无效投标保证金。</w:t>
      </w:r>
    </w:p>
    <w:p w14:paraId="67879720">
      <w:pPr>
        <w:ind w:left="525" w:hanging="525" w:hangingChars="250"/>
        <w:rPr>
          <w:rFonts w:hint="eastAsia" w:ascii="宋体" w:hAnsi="宋体" w:eastAsia="宋体" w:cs="宋体"/>
          <w:b/>
          <w:bCs/>
          <w:color w:val="auto"/>
          <w:highlight w:val="none"/>
        </w:rPr>
      </w:pPr>
      <w:r>
        <w:rPr>
          <w:rFonts w:hint="eastAsia" w:ascii="宋体" w:hAnsi="宋体" w:eastAsia="宋体" w:cs="宋体"/>
          <w:color w:val="auto"/>
          <w:highlight w:val="none"/>
          <w:lang w:val="zh-CN"/>
        </w:rPr>
        <w:t xml:space="preserve">15.4 </w:t>
      </w:r>
      <w:r>
        <w:rPr>
          <w:rFonts w:hint="eastAsia" w:ascii="宋体" w:hAnsi="宋体" w:eastAsia="宋体" w:cs="宋体"/>
          <w:b/>
          <w:bCs/>
          <w:color w:val="auto"/>
          <w:highlight w:val="none"/>
          <w:u w:val="single"/>
        </w:rPr>
        <w:t>任何未按第15.1款、第15.2款、第15.3款规定提交投标保证金的投标，将被视为无效投标。</w:t>
      </w:r>
    </w:p>
    <w:p w14:paraId="26619E10">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15.5 </w:t>
      </w:r>
      <w:r>
        <w:rPr>
          <w:rFonts w:hint="eastAsia" w:ascii="宋体" w:hAnsi="宋体" w:eastAsia="宋体" w:cs="宋体"/>
          <w:color w:val="auto"/>
          <w:highlight w:val="none"/>
        </w:rPr>
        <w:t>未中标的投标人的投标保证金，最迟应在本项目的书面合同签订后5日内，按照其投标保证金支付凭证上注明的收款人名称和账号予以退还，除非投标保证金有效期已延长。</w:t>
      </w:r>
    </w:p>
    <w:p w14:paraId="353A7DE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15.6 中标人的投标保证金，满足下列要求，并最迟应在本项目的书面合同签订后5日内退还。</w:t>
      </w:r>
    </w:p>
    <w:p w14:paraId="43AD6644">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（1）中标人提交了履约担保；</w:t>
      </w:r>
    </w:p>
    <w:p w14:paraId="73B10C9F">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（2）在投标过程中不存在违反本招标文件或《中华人民共和国招标投标法》及其实施条例等规定的行为。</w:t>
      </w:r>
    </w:p>
    <w:p w14:paraId="012537A1">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15.7 若发生下列情况，招标人在书面通知投标人（或中标人）后有权不予退还投标保证金：</w:t>
      </w:r>
    </w:p>
    <w:p w14:paraId="61F293E6">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如果投标人（或中标人）：</w:t>
      </w:r>
    </w:p>
    <w:p w14:paraId="3A1406DB">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（1）投标人在规定的投标截止时间后至投标有效期满之前撤销或修改其投标文件；</w:t>
      </w:r>
    </w:p>
    <w:p w14:paraId="669D338A">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（2）中标人未能在规定期限内提交履约担保；</w:t>
      </w:r>
    </w:p>
    <w:p w14:paraId="4DF234FF">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（3）未根据第34条规定签署合同；</w:t>
      </w:r>
    </w:p>
    <w:p w14:paraId="4727F80E">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（4）将中标项目转让给他人，或者在投标文件中未说明，且未经招标人同意，将中标项目的合同的权利义务转让给第三方的；</w:t>
      </w:r>
    </w:p>
    <w:p w14:paraId="5C5B13E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（5）提供虚假投标文件或虚假补充文件的，或违反《中华人民共和国招标投标法》等有关法律、法规、规章及招标投标相关规定的行为。</w:t>
      </w:r>
    </w:p>
    <w:p w14:paraId="4FBE8132">
      <w:pPr>
        <w:tabs>
          <w:tab w:val="left" w:pos="1134"/>
        </w:tabs>
        <w:ind w:left="840" w:leftChars="150" w:hanging="525" w:hangingChars="250"/>
        <w:jc w:val="left"/>
        <w:rPr>
          <w:rFonts w:hint="eastAsia" w:ascii="宋体" w:hAnsi="宋体" w:eastAsia="宋体" w:cs="宋体"/>
          <w:color w:val="auto"/>
          <w:kern w:val="0"/>
          <w:szCs w:val="21"/>
          <w:highlight w:val="none"/>
        </w:rPr>
      </w:pPr>
    </w:p>
    <w:p w14:paraId="0A9170B9">
      <w:pPr>
        <w:pStyle w:val="4"/>
        <w:rPr>
          <w:rFonts w:hint="eastAsia" w:ascii="宋体" w:hAnsi="宋体" w:eastAsia="宋体" w:cs="宋体"/>
          <w:color w:val="auto"/>
          <w:highlight w:val="none"/>
          <w:lang w:val="zh-CN"/>
        </w:rPr>
      </w:pPr>
      <w:bookmarkStart w:id="286" w:name="_Toc176627794"/>
      <w:bookmarkStart w:id="287" w:name="_Toc142508330"/>
      <w:bookmarkStart w:id="288" w:name="_Toc172552160"/>
      <w:bookmarkStart w:id="289" w:name="_Toc31793"/>
      <w:bookmarkStart w:id="290" w:name="_Toc10550"/>
      <w:bookmarkStart w:id="291" w:name="_Toc26457"/>
      <w:bookmarkStart w:id="292" w:name="_Toc486167680"/>
      <w:bookmarkStart w:id="293" w:name="_Toc178076473"/>
      <w:bookmarkStart w:id="294" w:name="_Toc10081"/>
      <w:bookmarkStart w:id="295" w:name="_Toc29236"/>
      <w:bookmarkStart w:id="296" w:name="_Toc19293"/>
      <w:bookmarkStart w:id="297" w:name="_Toc450662865"/>
      <w:bookmarkStart w:id="298" w:name="_Toc22649_WPSOffice_Level3"/>
      <w:r>
        <w:rPr>
          <w:rFonts w:hint="eastAsia" w:ascii="宋体" w:hAnsi="宋体" w:eastAsia="宋体" w:cs="宋体"/>
          <w:color w:val="auto"/>
          <w:highlight w:val="none"/>
          <w:lang w:val="zh-CN"/>
        </w:rPr>
        <w:t>16 投标有效期</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5CE652E9">
      <w:pPr>
        <w:ind w:left="525" w:hanging="525" w:hangingChars="250"/>
        <w:rPr>
          <w:rFonts w:hint="eastAsia" w:ascii="宋体" w:hAnsi="宋体" w:eastAsia="宋体" w:cs="宋体"/>
          <w:b/>
          <w:bCs/>
          <w:color w:val="auto"/>
          <w:highlight w:val="none"/>
          <w:lang w:val="zh-CN"/>
        </w:rPr>
      </w:pPr>
      <w:r>
        <w:rPr>
          <w:rFonts w:hint="eastAsia" w:ascii="宋体" w:hAnsi="宋体" w:eastAsia="宋体" w:cs="宋体"/>
          <w:color w:val="auto"/>
          <w:highlight w:val="none"/>
          <w:lang w:val="zh-CN"/>
        </w:rPr>
        <w:t>16.1</w:t>
      </w:r>
      <w:r>
        <w:rPr>
          <w:rFonts w:hint="eastAsia" w:ascii="宋体" w:hAnsi="宋体" w:eastAsia="宋体" w:cs="宋体"/>
          <w:color w:val="auto"/>
          <w:highlight w:val="none"/>
          <w:lang w:val="zh-CN"/>
        </w:rPr>
        <w:tab/>
      </w:r>
      <w:r>
        <w:rPr>
          <w:rFonts w:hint="eastAsia" w:ascii="宋体" w:hAnsi="宋体" w:eastAsia="宋体" w:cs="宋体"/>
          <w:b/>
          <w:bCs/>
          <w:color w:val="auto"/>
          <w:highlight w:val="none"/>
          <w:u w:val="single"/>
          <w:lang w:val="zh-CN"/>
        </w:rPr>
        <w:t>投标文件将在递交投标文件截止时间届满后90日内有效。投标有效期比规定时间短的按无效投标文件处理。</w:t>
      </w:r>
    </w:p>
    <w:p w14:paraId="0E8C054B">
      <w:pPr>
        <w:ind w:left="525" w:hanging="525" w:hangingChars="250"/>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highlight w:val="none"/>
          <w:lang w:val="zh-CN"/>
        </w:rPr>
        <w:t>16.2</w:t>
      </w:r>
      <w:r>
        <w:rPr>
          <w:rFonts w:hint="eastAsia" w:ascii="宋体" w:hAnsi="宋体" w:eastAsia="宋体" w:cs="宋体"/>
          <w:b w:val="0"/>
          <w:bCs w:val="0"/>
          <w:color w:val="auto"/>
          <w:highlight w:val="none"/>
          <w:lang w:val="zh-CN"/>
        </w:rPr>
        <w:tab/>
      </w:r>
      <w:r>
        <w:rPr>
          <w:rFonts w:hint="eastAsia" w:ascii="宋体" w:hAnsi="宋体" w:eastAsia="宋体" w:cs="宋体"/>
          <w:b w:val="0"/>
          <w:bCs w:val="0"/>
          <w:color w:val="auto"/>
          <w:highlight w:val="none"/>
          <w:lang w:val="zh-CN"/>
        </w:rPr>
        <w:t>中标人的投标文件作为合同附件，合同失效时同时失效。</w:t>
      </w:r>
    </w:p>
    <w:p w14:paraId="15E61EC8">
      <w:pPr>
        <w:ind w:left="525" w:hanging="525" w:hangingChars="250"/>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highlight w:val="none"/>
          <w:lang w:val="zh-CN"/>
        </w:rPr>
        <w:t>16.3</w:t>
      </w:r>
      <w:r>
        <w:rPr>
          <w:rFonts w:hint="eastAsia" w:ascii="宋体" w:hAnsi="宋体" w:eastAsia="宋体" w:cs="宋体"/>
          <w:b w:val="0"/>
          <w:bCs w:val="0"/>
          <w:color w:val="auto"/>
          <w:highlight w:val="none"/>
          <w:lang w:val="zh-CN"/>
        </w:rPr>
        <w:tab/>
      </w:r>
      <w:r>
        <w:rPr>
          <w:rFonts w:hint="eastAsia" w:ascii="宋体" w:hAnsi="宋体" w:eastAsia="宋体" w:cs="宋体"/>
          <w:b w:val="0"/>
          <w:bCs w:val="0"/>
          <w:color w:val="auto"/>
          <w:highlight w:val="none"/>
          <w:lang w:val="zh-CN"/>
        </w:rPr>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14:paraId="79E98B99">
      <w:pPr>
        <w:ind w:left="357" w:leftChars="-100" w:hanging="567"/>
        <w:rPr>
          <w:rFonts w:hint="eastAsia" w:ascii="宋体" w:hAnsi="宋体" w:eastAsia="宋体" w:cs="宋体"/>
          <w:color w:val="auto"/>
          <w:szCs w:val="21"/>
          <w:highlight w:val="none"/>
          <w:lang w:val="zh-CN"/>
        </w:rPr>
      </w:pPr>
    </w:p>
    <w:p w14:paraId="50D7B7BA">
      <w:pPr>
        <w:pStyle w:val="4"/>
        <w:rPr>
          <w:rFonts w:hint="eastAsia" w:ascii="宋体" w:hAnsi="宋体" w:eastAsia="宋体" w:cs="宋体"/>
          <w:color w:val="auto"/>
          <w:highlight w:val="none"/>
          <w:lang w:val="zh-CN"/>
        </w:rPr>
      </w:pPr>
      <w:bookmarkStart w:id="299" w:name="_Toc16578"/>
      <w:bookmarkStart w:id="300" w:name="_Toc142508331"/>
      <w:bookmarkStart w:id="301" w:name="_Toc450662866"/>
      <w:bookmarkStart w:id="302" w:name="_Toc13732"/>
      <w:bookmarkStart w:id="303" w:name="_Toc10508"/>
      <w:bookmarkStart w:id="304" w:name="_Toc176627795"/>
      <w:bookmarkStart w:id="305" w:name="_Toc10338"/>
      <w:bookmarkStart w:id="306" w:name="_Toc178076474"/>
      <w:bookmarkStart w:id="307" w:name="_Toc172552161"/>
      <w:bookmarkStart w:id="308" w:name="_Toc486167681"/>
      <w:bookmarkStart w:id="309" w:name="_Toc25637_WPSOffice_Level3"/>
      <w:bookmarkStart w:id="310" w:name="_Toc18198"/>
      <w:bookmarkStart w:id="311" w:name="_Toc13311"/>
      <w:r>
        <w:rPr>
          <w:rFonts w:hint="eastAsia" w:ascii="宋体" w:hAnsi="宋体" w:eastAsia="宋体" w:cs="宋体"/>
          <w:color w:val="auto"/>
          <w:highlight w:val="none"/>
          <w:lang w:val="zh-CN"/>
        </w:rPr>
        <w:t>17 投标文件的式样和签署</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0083F9B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17.1</w:t>
      </w:r>
      <w:r>
        <w:rPr>
          <w:rFonts w:hint="eastAsia" w:ascii="宋体" w:hAnsi="宋体" w:eastAsia="宋体" w:cs="宋体"/>
          <w:color w:val="auto"/>
          <w:highlight w:val="none"/>
          <w:lang w:val="zh-CN"/>
        </w:rPr>
        <w:tab/>
      </w:r>
      <w:r>
        <w:rPr>
          <w:rFonts w:hint="eastAsia" w:ascii="宋体" w:hAnsi="宋体" w:eastAsia="宋体" w:cs="宋体"/>
          <w:b/>
          <w:bCs/>
          <w:color w:val="auto"/>
          <w:highlight w:val="none"/>
          <w:u w:val="single"/>
          <w:lang w:val="zh-CN"/>
        </w:rPr>
        <w:t>投标人应准备一份“唱标信封”、一份投标文件电子文件、一份正本和五份副本“投标文件”</w:t>
      </w:r>
      <w:r>
        <w:rPr>
          <w:rFonts w:hint="eastAsia" w:ascii="宋体" w:hAnsi="宋体" w:eastAsia="宋体" w:cs="宋体"/>
          <w:color w:val="auto"/>
          <w:highlight w:val="none"/>
          <w:lang w:val="zh-CN"/>
        </w:rPr>
        <w:t>，在每一份投标文件上编上目录（目录内的页码必须与实际内容对应）、页次，装订成册（不允许使用活页夹），并要明确注明“正本”或“副本”，一旦正本和副本发现差异，以正本为准。</w:t>
      </w:r>
    </w:p>
    <w:p w14:paraId="7F53EF5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050E8CE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除投标人对错处作必要修改外，投标文件中不许有加行、涂抹或改写。若有修改须由签署投标文件的人进行签字（或盖私章），并加盖投标人法人公章。</w:t>
      </w:r>
    </w:p>
    <w:p w14:paraId="47A2788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投标文件的封面应注明“项目名称、招标编号、投标人名称、投标日期等”。</w:t>
      </w:r>
    </w:p>
    <w:p w14:paraId="3C66D4B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17.5</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1A13F07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17.6</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电报、电传、传真的投标概不接受。</w:t>
      </w:r>
    </w:p>
    <w:p w14:paraId="44E25D1E">
      <w:pPr>
        <w:rPr>
          <w:rFonts w:hint="eastAsia" w:ascii="宋体" w:hAnsi="宋体" w:eastAsia="宋体" w:cs="宋体"/>
          <w:color w:val="auto"/>
          <w:highlight w:val="none"/>
        </w:rPr>
      </w:pPr>
      <w:bookmarkStart w:id="312" w:name="_Toc450662867"/>
    </w:p>
    <w:p w14:paraId="3E3C36D3">
      <w:pPr>
        <w:pStyle w:val="3"/>
        <w:rPr>
          <w:rFonts w:hint="eastAsia" w:ascii="宋体" w:hAnsi="宋体" w:eastAsia="宋体" w:cs="宋体"/>
          <w:color w:val="auto"/>
          <w:highlight w:val="none"/>
        </w:rPr>
      </w:pPr>
      <w:bookmarkStart w:id="313" w:name="_Toc140596891"/>
      <w:bookmarkStart w:id="314" w:name="_Toc486167682"/>
      <w:bookmarkStart w:id="315" w:name="_Toc13556"/>
      <w:bookmarkStart w:id="316" w:name="_Toc17608"/>
      <w:bookmarkStart w:id="317" w:name="_Toc20123"/>
      <w:bookmarkStart w:id="318" w:name="_Toc26020"/>
      <w:bookmarkStart w:id="319" w:name="_Toc29889"/>
      <w:bookmarkStart w:id="320" w:name="_Toc8143"/>
      <w:bookmarkStart w:id="321" w:name="_Toc22356_WPSOffice_Level2"/>
      <w:bookmarkStart w:id="322" w:name="_Toc142508332"/>
      <w:bookmarkStart w:id="323" w:name="_Toc176627796"/>
      <w:bookmarkStart w:id="324" w:name="_Toc178076475"/>
      <w:bookmarkStart w:id="325" w:name="_Toc30391"/>
      <w:bookmarkStart w:id="326" w:name="_Toc172552162"/>
      <w:bookmarkStart w:id="327" w:name="_Toc23704"/>
      <w:bookmarkStart w:id="328" w:name="_Toc18685"/>
      <w:r>
        <w:rPr>
          <w:rFonts w:hint="eastAsia" w:ascii="宋体" w:hAnsi="宋体" w:eastAsia="宋体" w:cs="宋体"/>
          <w:color w:val="auto"/>
          <w:highlight w:val="none"/>
          <w:lang w:val="zh-CN"/>
        </w:rPr>
        <w:t>四、投标文件的递交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0250543C">
      <w:pPr>
        <w:pStyle w:val="4"/>
        <w:rPr>
          <w:rFonts w:hint="eastAsia" w:ascii="宋体" w:hAnsi="宋体" w:eastAsia="宋体" w:cs="宋体"/>
          <w:color w:val="auto"/>
          <w:highlight w:val="none"/>
          <w:lang w:val="zh-CN"/>
        </w:rPr>
      </w:pPr>
      <w:bookmarkStart w:id="329" w:name="_Toc1718"/>
      <w:bookmarkStart w:id="330" w:name="_Toc172552163"/>
      <w:bookmarkStart w:id="331" w:name="_Toc486167683"/>
      <w:bookmarkStart w:id="332" w:name="_Toc23463"/>
      <w:bookmarkStart w:id="333" w:name="_Toc142508333"/>
      <w:bookmarkStart w:id="334" w:name="_Toc15096"/>
      <w:bookmarkStart w:id="335" w:name="_Toc11273"/>
      <w:bookmarkStart w:id="336" w:name="_Toc176627797"/>
      <w:bookmarkStart w:id="337" w:name="_Toc450662868"/>
      <w:bookmarkStart w:id="338" w:name="_Toc9900"/>
      <w:bookmarkStart w:id="339" w:name="_Toc3637"/>
      <w:bookmarkStart w:id="340" w:name="_Toc178076476"/>
      <w:bookmarkStart w:id="341" w:name="_Toc12192_WPSOffice_Level3"/>
      <w:r>
        <w:rPr>
          <w:rFonts w:hint="eastAsia" w:ascii="宋体" w:hAnsi="宋体" w:eastAsia="宋体" w:cs="宋体"/>
          <w:color w:val="auto"/>
          <w:highlight w:val="none"/>
          <w:lang w:val="zh-CN"/>
        </w:rPr>
        <w:t>18 投标文件的密封和标记</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624D495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投标人应将正本和副本投标文件（本处不含唱标信封、投标文件电子文件）密封在不透明的外层封装中。</w:t>
      </w:r>
    </w:p>
    <w:p w14:paraId="602F718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18.2</w:t>
      </w:r>
      <w:r>
        <w:rPr>
          <w:rFonts w:hint="eastAsia" w:ascii="宋体" w:hAnsi="宋体" w:eastAsia="宋体" w:cs="宋体"/>
          <w:color w:val="auto"/>
          <w:highlight w:val="none"/>
          <w:lang w:val="zh-CN"/>
        </w:rPr>
        <w:tab/>
      </w:r>
      <w:r>
        <w:rPr>
          <w:rFonts w:hint="eastAsia" w:ascii="宋体" w:hAnsi="宋体" w:eastAsia="宋体" w:cs="宋体"/>
          <w:b/>
          <w:bCs/>
          <w:color w:val="auto"/>
          <w:highlight w:val="none"/>
          <w:u w:val="single"/>
          <w:lang w:val="zh-CN"/>
        </w:rPr>
        <w:t>唱标信封应单独密封，与18.1款的投标文件一同提交。</w:t>
      </w:r>
    </w:p>
    <w:p w14:paraId="10060528">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投标文件密封封装标记：</w:t>
      </w:r>
    </w:p>
    <w:p w14:paraId="72C1060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（1）外层密封封装表面应正确注明项目名称、招标编号、投标人单位名称、并注明投标文件递交截止时间之前不得开封（在封口位置的封条上标注注明），封口位置的封条上须加盖投标人法人公章；</w:t>
      </w:r>
    </w:p>
    <w:p w14:paraId="7B38FD9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（2）投标文件已密封但不按前述标志封包，由此而引起的提前开封或错放责任由投标人承担；</w:t>
      </w:r>
    </w:p>
    <w:p w14:paraId="46028B8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（3）不足以造成投标文件可以从外包装内散出而导致投标文件泄密的，不认定为投标文件未密封。</w:t>
      </w:r>
    </w:p>
    <w:p w14:paraId="2975D85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18.4</w:t>
      </w:r>
      <w:r>
        <w:rPr>
          <w:rFonts w:hint="eastAsia" w:ascii="宋体" w:hAnsi="宋体" w:eastAsia="宋体" w:cs="宋体"/>
          <w:color w:val="auto"/>
          <w:highlight w:val="none"/>
          <w:lang w:val="zh-CN"/>
        </w:rPr>
        <w:tab/>
      </w:r>
      <w:r>
        <w:rPr>
          <w:rFonts w:hint="eastAsia" w:ascii="宋体" w:hAnsi="宋体" w:eastAsia="宋体" w:cs="宋体"/>
          <w:b/>
          <w:bCs/>
          <w:color w:val="auto"/>
          <w:highlight w:val="none"/>
          <w:u w:val="none"/>
          <w:lang w:val="zh-CN"/>
        </w:rPr>
        <w:t>如果密封封装未按本款规定密封和标记，招标代理机构对投标文件的误投或提前拆封不负责任。对由此造成提前开封的投标文件，招标代理机构予以拒绝，并退回投标人。</w:t>
      </w:r>
    </w:p>
    <w:p w14:paraId="5E777AB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18.5 开标前，由投标人代表（第一位递交投标文件的投标人代表及主动自愿参与检查的投标人代表）和招标人代表将对所有的投标文件的密封性进行检查，并签署进行确认。</w:t>
      </w:r>
    </w:p>
    <w:p w14:paraId="306DB2E6">
      <w:pPr>
        <w:rPr>
          <w:rFonts w:hint="eastAsia" w:ascii="宋体" w:hAnsi="宋体" w:eastAsia="宋体" w:cs="宋体"/>
          <w:color w:val="auto"/>
          <w:highlight w:val="none"/>
          <w:lang w:val="zh-CN"/>
        </w:rPr>
      </w:pPr>
    </w:p>
    <w:p w14:paraId="0BDD3AA8">
      <w:pPr>
        <w:pStyle w:val="4"/>
        <w:rPr>
          <w:rFonts w:hint="eastAsia" w:ascii="宋体" w:hAnsi="宋体" w:eastAsia="宋体" w:cs="宋体"/>
          <w:color w:val="auto"/>
          <w:highlight w:val="none"/>
          <w:lang w:val="zh-CN"/>
        </w:rPr>
      </w:pPr>
      <w:bookmarkStart w:id="342" w:name="_Toc4692"/>
      <w:bookmarkStart w:id="343" w:name="_Toc142508334"/>
      <w:bookmarkStart w:id="344" w:name="_Toc178076477"/>
      <w:bookmarkStart w:id="345" w:name="_Toc15483"/>
      <w:bookmarkStart w:id="346" w:name="_Toc29665_WPSOffice_Level3"/>
      <w:bookmarkStart w:id="347" w:name="_Toc20210"/>
      <w:bookmarkStart w:id="348" w:name="_Toc23542"/>
      <w:bookmarkStart w:id="349" w:name="_Toc172552164"/>
      <w:bookmarkStart w:id="350" w:name="_Toc486167684"/>
      <w:bookmarkStart w:id="351" w:name="_Toc3384"/>
      <w:bookmarkStart w:id="352" w:name="_Toc176627798"/>
      <w:bookmarkStart w:id="353" w:name="_Toc450662869"/>
      <w:bookmarkStart w:id="354" w:name="_Toc20142"/>
      <w:r>
        <w:rPr>
          <w:rFonts w:hint="eastAsia" w:ascii="宋体" w:hAnsi="宋体" w:eastAsia="宋体" w:cs="宋体"/>
          <w:color w:val="auto"/>
          <w:highlight w:val="none"/>
          <w:lang w:val="zh-CN"/>
        </w:rPr>
        <w:t>19 递交投标文件的截止日期</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13C7BC2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19.1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招标代理机构收到投标文件的时间不得迟于第一篇“招标公告”中规定的截止时间。</w:t>
      </w:r>
    </w:p>
    <w:p w14:paraId="120B236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19.2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7F5C41A8">
      <w:pPr>
        <w:ind w:left="357" w:leftChars="-100" w:hanging="567"/>
        <w:rPr>
          <w:rFonts w:hint="eastAsia" w:ascii="宋体" w:hAnsi="宋体" w:eastAsia="宋体" w:cs="宋体"/>
          <w:color w:val="auto"/>
          <w:szCs w:val="21"/>
          <w:highlight w:val="none"/>
          <w:lang w:val="zh-CN"/>
        </w:rPr>
      </w:pPr>
    </w:p>
    <w:p w14:paraId="2071B1EB">
      <w:pPr>
        <w:pStyle w:val="4"/>
        <w:rPr>
          <w:rFonts w:hint="eastAsia" w:ascii="宋体" w:hAnsi="宋体" w:eastAsia="宋体" w:cs="宋体"/>
          <w:color w:val="auto"/>
          <w:highlight w:val="none"/>
        </w:rPr>
      </w:pPr>
      <w:bookmarkStart w:id="355" w:name="_Toc22306"/>
      <w:bookmarkStart w:id="356" w:name="_Toc6684"/>
      <w:bookmarkStart w:id="357" w:name="_Toc22431_WPSOffice_Level3"/>
      <w:bookmarkStart w:id="358" w:name="_Toc486167685"/>
      <w:bookmarkStart w:id="359" w:name="_Toc172552165"/>
      <w:bookmarkStart w:id="360" w:name="_Toc176627799"/>
      <w:bookmarkStart w:id="361" w:name="_Toc142508335"/>
      <w:bookmarkStart w:id="362" w:name="_Toc450662870"/>
      <w:bookmarkStart w:id="363" w:name="_Toc11589"/>
      <w:bookmarkStart w:id="364" w:name="_Toc30707"/>
      <w:bookmarkStart w:id="365" w:name="_Toc178076478"/>
      <w:bookmarkStart w:id="366" w:name="_Toc14907"/>
      <w:bookmarkStart w:id="367" w:name="_Toc3890"/>
      <w:r>
        <w:rPr>
          <w:rFonts w:hint="eastAsia" w:ascii="宋体" w:hAnsi="宋体" w:eastAsia="宋体" w:cs="宋体"/>
          <w:color w:val="auto"/>
          <w:highlight w:val="none"/>
          <w:lang w:val="zh-CN"/>
        </w:rPr>
        <w:t>20 迟交的投标文件</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0D01FF83">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根据第19条规定，招标代理机构将拒绝任何晚于递交投标文件的截止时间交到的投标文件。</w:t>
      </w:r>
    </w:p>
    <w:p w14:paraId="7E363A6A">
      <w:pPr>
        <w:jc w:val="left"/>
        <w:rPr>
          <w:rFonts w:hint="eastAsia" w:ascii="宋体" w:hAnsi="宋体" w:eastAsia="宋体" w:cs="宋体"/>
          <w:color w:val="auto"/>
          <w:kern w:val="0"/>
          <w:sz w:val="24"/>
          <w:szCs w:val="24"/>
          <w:highlight w:val="none"/>
        </w:rPr>
      </w:pPr>
    </w:p>
    <w:p w14:paraId="08C796FD">
      <w:pPr>
        <w:pStyle w:val="4"/>
        <w:rPr>
          <w:rFonts w:hint="eastAsia" w:ascii="宋体" w:hAnsi="宋体" w:eastAsia="宋体" w:cs="宋体"/>
          <w:color w:val="auto"/>
          <w:highlight w:val="none"/>
          <w:lang w:val="zh-CN"/>
        </w:rPr>
      </w:pPr>
      <w:bookmarkStart w:id="368" w:name="_Toc486167686"/>
      <w:bookmarkStart w:id="369" w:name="_Toc142508336"/>
      <w:bookmarkStart w:id="370" w:name="_Toc178076479"/>
      <w:bookmarkStart w:id="371" w:name="_Toc22747"/>
      <w:bookmarkStart w:id="372" w:name="_Toc16983"/>
      <w:bookmarkStart w:id="373" w:name="_Toc9728"/>
      <w:bookmarkStart w:id="374" w:name="_Toc176627800"/>
      <w:bookmarkStart w:id="375" w:name="_Toc6124"/>
      <w:bookmarkStart w:id="376" w:name="_Toc16964"/>
      <w:bookmarkStart w:id="377" w:name="_Toc450662871"/>
      <w:bookmarkStart w:id="378" w:name="_Toc4883_WPSOffice_Level3"/>
      <w:bookmarkStart w:id="379" w:name="_Toc172552166"/>
      <w:bookmarkStart w:id="380" w:name="_Toc12065"/>
      <w:r>
        <w:rPr>
          <w:rFonts w:hint="eastAsia" w:ascii="宋体" w:hAnsi="宋体" w:eastAsia="宋体" w:cs="宋体"/>
          <w:color w:val="auto"/>
          <w:highlight w:val="none"/>
          <w:lang w:val="zh-CN"/>
        </w:rPr>
        <w:t>21 投标文件的修改和撤回</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3C9C3D3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投标人在提交投标文件后可对其投标文件进行修改或撤回，但招标代理机构须在提交投标文件截止日期前收到该修改或撤回的书面通知。</w:t>
      </w:r>
    </w:p>
    <w:p w14:paraId="454EE14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投标人对投标文件的修改或撤回的通知应按第17条和第18条规定进行准备、密封、标注和递送。</w:t>
      </w:r>
    </w:p>
    <w:p w14:paraId="3371401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递交投标文件截止时间后不得修改投标文件。</w:t>
      </w:r>
    </w:p>
    <w:p w14:paraId="7F52925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投标人不得在递交投标文件截止时间起至第16条规定的投标文件有效期期满前撤销投标文件。否则招标</w:t>
      </w:r>
      <w:r>
        <w:rPr>
          <w:rFonts w:hint="eastAsia" w:ascii="宋体" w:hAnsi="宋体" w:eastAsia="宋体" w:cs="宋体"/>
          <w:color w:val="auto"/>
          <w:highlight w:val="none"/>
        </w:rPr>
        <w:t>人</w:t>
      </w:r>
      <w:r>
        <w:rPr>
          <w:rFonts w:hint="eastAsia" w:ascii="宋体" w:hAnsi="宋体" w:eastAsia="宋体" w:cs="宋体"/>
          <w:color w:val="auto"/>
          <w:highlight w:val="none"/>
          <w:lang w:val="zh-CN"/>
        </w:rPr>
        <w:t>将按第15.7款（1）规定不予退还其投标保证金。</w:t>
      </w:r>
    </w:p>
    <w:p w14:paraId="75F8892F">
      <w:pPr>
        <w:rPr>
          <w:rFonts w:hint="eastAsia" w:ascii="宋体" w:hAnsi="宋体" w:eastAsia="宋体" w:cs="宋体"/>
          <w:color w:val="auto"/>
          <w:highlight w:val="none"/>
          <w:lang w:val="zh-CN"/>
        </w:rPr>
      </w:pPr>
      <w:bookmarkStart w:id="381" w:name="_Toc140596896"/>
      <w:bookmarkStart w:id="382" w:name="_Toc486167687"/>
      <w:bookmarkStart w:id="383" w:name="_Toc26366"/>
      <w:bookmarkStart w:id="384" w:name="_Toc22006"/>
      <w:bookmarkStart w:id="385" w:name="_Toc12748"/>
      <w:bookmarkStart w:id="386" w:name="_Toc176627801"/>
      <w:bookmarkStart w:id="387" w:name="_Toc450662872"/>
      <w:bookmarkStart w:id="388" w:name="_Toc172552167"/>
      <w:bookmarkStart w:id="389" w:name="_Toc142508337"/>
      <w:bookmarkStart w:id="390" w:name="_Toc1049_WPSOffice_Level2"/>
      <w:bookmarkStart w:id="391" w:name="_Toc28878"/>
      <w:bookmarkStart w:id="392" w:name="_Toc31520"/>
      <w:bookmarkStart w:id="393" w:name="_Toc178076480"/>
      <w:bookmarkStart w:id="394" w:name="_Toc18597"/>
      <w:bookmarkStart w:id="395" w:name="_Toc27648"/>
    </w:p>
    <w:p w14:paraId="58417FBD">
      <w:pPr>
        <w:pStyle w:val="3"/>
        <w:rPr>
          <w:rFonts w:hint="eastAsia" w:ascii="宋体" w:hAnsi="宋体" w:eastAsia="宋体" w:cs="宋体"/>
          <w:color w:val="auto"/>
          <w:highlight w:val="none"/>
          <w:lang w:val="zh-CN"/>
        </w:rPr>
      </w:pPr>
      <w:bookmarkStart w:id="396" w:name="_Toc31848"/>
      <w:bookmarkStart w:id="397" w:name="_Toc22044"/>
      <w:r>
        <w:rPr>
          <w:rFonts w:hint="eastAsia" w:ascii="宋体" w:hAnsi="宋体" w:eastAsia="宋体" w:cs="宋体"/>
          <w:color w:val="auto"/>
          <w:highlight w:val="none"/>
          <w:lang w:val="zh-CN"/>
        </w:rPr>
        <w:t>五、开标与评标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D9618F3">
      <w:pPr>
        <w:pStyle w:val="4"/>
        <w:rPr>
          <w:rFonts w:hint="eastAsia" w:ascii="宋体" w:hAnsi="宋体" w:eastAsia="宋体" w:cs="宋体"/>
          <w:color w:val="auto"/>
          <w:highlight w:val="none"/>
          <w:lang w:val="zh-CN"/>
        </w:rPr>
      </w:pPr>
      <w:bookmarkStart w:id="398" w:name="_Toc13997"/>
      <w:bookmarkStart w:id="399" w:name="_Toc486167688"/>
      <w:bookmarkStart w:id="400" w:name="_Toc176627802"/>
      <w:bookmarkStart w:id="401" w:name="_Toc7200"/>
      <w:bookmarkStart w:id="402" w:name="_Toc142508338"/>
      <w:bookmarkStart w:id="403" w:name="_Toc30304"/>
      <w:bookmarkStart w:id="404" w:name="_Toc450662873"/>
      <w:bookmarkStart w:id="405" w:name="_Toc172552168"/>
      <w:bookmarkStart w:id="406" w:name="_Toc24358"/>
      <w:bookmarkStart w:id="407" w:name="_Toc31375"/>
      <w:bookmarkStart w:id="408" w:name="_Toc144_WPSOffice_Level3"/>
      <w:bookmarkStart w:id="409" w:name="_Toc27306"/>
      <w:bookmarkStart w:id="410" w:name="_Toc178076481"/>
      <w:r>
        <w:rPr>
          <w:rFonts w:hint="eastAsia" w:ascii="宋体" w:hAnsi="宋体" w:eastAsia="宋体" w:cs="宋体"/>
          <w:color w:val="auto"/>
          <w:highlight w:val="none"/>
          <w:lang w:val="zh-CN"/>
        </w:rPr>
        <w:t>22 开标</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5EFB52B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招标代理机构在投标人代表自愿出席的情况下，在第一篇“招标公告”规定的地点和时间开标, 出席代表需登记以示出席。</w:t>
      </w:r>
    </w:p>
    <w:p w14:paraId="11837BB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按照第21条规定，提交了可接受的“撤回”通知的投标文件将不予开封。</w:t>
      </w:r>
    </w:p>
    <w:p w14:paraId="787E8AF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14:paraId="1F5EEC6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4709D49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22.5 投标人对开标有异议的，应当在开标现场提出，招标代理机构应当当场作出答复，并制作记录。投标人法定代表人或其授权代表未出席的，视同认可开标结果。</w:t>
      </w:r>
    </w:p>
    <w:p w14:paraId="456DEBE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22.6 招标代理机构将做开标记录，开标记录包括第22.5款发生的异议及答复、按第22.3款的规定在开标时宣读的全部内容。</w:t>
      </w:r>
    </w:p>
    <w:p w14:paraId="1BC6B9EA">
      <w:pPr>
        <w:ind w:left="357" w:leftChars="-100" w:right="15" w:rightChars="7" w:hanging="567"/>
        <w:rPr>
          <w:rFonts w:hint="eastAsia" w:ascii="宋体" w:hAnsi="宋体" w:eastAsia="宋体" w:cs="宋体"/>
          <w:color w:val="auto"/>
          <w:kern w:val="0"/>
          <w:szCs w:val="21"/>
          <w:highlight w:val="none"/>
        </w:rPr>
      </w:pPr>
    </w:p>
    <w:p w14:paraId="5526B12D">
      <w:pPr>
        <w:pStyle w:val="4"/>
        <w:rPr>
          <w:rFonts w:hint="eastAsia" w:ascii="宋体" w:hAnsi="宋体" w:eastAsia="宋体" w:cs="宋体"/>
          <w:color w:val="auto"/>
          <w:highlight w:val="none"/>
          <w:lang w:val="zh-CN"/>
        </w:rPr>
      </w:pPr>
      <w:bookmarkStart w:id="411" w:name="_Toc9024"/>
      <w:bookmarkStart w:id="412" w:name="_Toc142508339"/>
      <w:bookmarkStart w:id="413" w:name="_Toc20749"/>
      <w:bookmarkStart w:id="414" w:name="_Toc172552169"/>
      <w:bookmarkStart w:id="415" w:name="_Toc2038"/>
      <w:bookmarkStart w:id="416" w:name="_Toc29304"/>
      <w:bookmarkStart w:id="417" w:name="_Toc486167689"/>
      <w:bookmarkStart w:id="418" w:name="_Toc17779"/>
      <w:bookmarkStart w:id="419" w:name="_Toc178076482"/>
      <w:bookmarkStart w:id="420" w:name="_Toc15671"/>
      <w:bookmarkStart w:id="421" w:name="_Toc12165_WPSOffice_Level3"/>
      <w:bookmarkStart w:id="422" w:name="_Toc450662874"/>
      <w:bookmarkStart w:id="423" w:name="_Toc176627803"/>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78FF30B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23.1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06E4A84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23.2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在评标过程中，如果投标人试图在投标文件审查、澄清、比较及授予合同方面向招标代理机构和招标人施加任何影响，其投标文件将被拒绝。</w:t>
      </w:r>
    </w:p>
    <w:p w14:paraId="50D8845B">
      <w:pPr>
        <w:tabs>
          <w:tab w:val="left" w:pos="567"/>
        </w:tabs>
        <w:ind w:left="357" w:leftChars="-100" w:right="15" w:rightChars="7" w:hanging="567"/>
        <w:rPr>
          <w:rFonts w:hint="eastAsia" w:ascii="宋体" w:hAnsi="宋体" w:eastAsia="宋体" w:cs="宋体"/>
          <w:color w:val="auto"/>
          <w:szCs w:val="21"/>
          <w:highlight w:val="none"/>
          <w:lang w:val="zh-CN"/>
        </w:rPr>
      </w:pPr>
    </w:p>
    <w:p w14:paraId="4F06C021">
      <w:pPr>
        <w:pStyle w:val="4"/>
        <w:rPr>
          <w:rFonts w:hint="eastAsia" w:ascii="宋体" w:hAnsi="宋体" w:eastAsia="宋体" w:cs="宋体"/>
          <w:color w:val="auto"/>
          <w:highlight w:val="none"/>
          <w:lang w:val="zh-CN"/>
        </w:rPr>
      </w:pPr>
      <w:bookmarkStart w:id="424" w:name="_Toc450662875"/>
      <w:bookmarkStart w:id="425" w:name="_Toc172552170"/>
      <w:bookmarkStart w:id="426" w:name="_Toc15565_WPSOffice_Level3"/>
      <w:bookmarkStart w:id="427" w:name="_Toc684"/>
      <w:bookmarkStart w:id="428" w:name="_Toc178076483"/>
      <w:bookmarkStart w:id="429" w:name="_Toc486167690"/>
      <w:bookmarkStart w:id="430" w:name="_Toc833"/>
      <w:bookmarkStart w:id="431" w:name="_Toc5141"/>
      <w:bookmarkStart w:id="432" w:name="_Toc12320"/>
      <w:bookmarkStart w:id="433" w:name="_Toc142508340"/>
      <w:bookmarkStart w:id="434" w:name="_Toc20454"/>
      <w:bookmarkStart w:id="435" w:name="_Toc176627804"/>
      <w:bookmarkStart w:id="436" w:name="_Toc17102"/>
      <w:r>
        <w:rPr>
          <w:rFonts w:hint="eastAsia" w:ascii="宋体" w:hAnsi="宋体" w:eastAsia="宋体" w:cs="宋体"/>
          <w:color w:val="auto"/>
          <w:highlight w:val="none"/>
          <w:lang w:val="zh-CN"/>
        </w:rPr>
        <w:t>24 评标委员会</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6FA1C03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24.1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依法组建评标委员会。评标委员会的成员在评审过程中必须严格遵守国家及地方招标投标的有关规定。</w:t>
      </w:r>
    </w:p>
    <w:p w14:paraId="5B8DFE5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24.2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评标委员会依法根据招标文件的规定，进行投标文件的评审、得出评审结果，并向招标人推荐中标候选人。</w:t>
      </w:r>
    </w:p>
    <w:p w14:paraId="0EEFB04A">
      <w:pPr>
        <w:rPr>
          <w:rFonts w:hint="eastAsia" w:ascii="宋体" w:hAnsi="宋体" w:eastAsia="宋体" w:cs="宋体"/>
          <w:color w:val="auto"/>
          <w:highlight w:val="none"/>
          <w:lang w:val="zh-CN"/>
        </w:rPr>
      </w:pPr>
    </w:p>
    <w:p w14:paraId="1356EC8A">
      <w:pPr>
        <w:pStyle w:val="4"/>
        <w:rPr>
          <w:rFonts w:hint="eastAsia" w:ascii="宋体" w:hAnsi="宋体" w:eastAsia="宋体" w:cs="宋体"/>
          <w:b/>
          <w:bCs/>
          <w:color w:val="auto"/>
          <w:highlight w:val="none"/>
          <w:lang w:val="zh-CN"/>
        </w:rPr>
      </w:pPr>
      <w:bookmarkStart w:id="437" w:name="_Toc178076484"/>
      <w:bookmarkStart w:id="438" w:name="_Toc176627805"/>
      <w:bookmarkStart w:id="439" w:name="_Toc450662876"/>
      <w:bookmarkStart w:id="440" w:name="_Toc23365"/>
      <w:bookmarkStart w:id="441" w:name="_Toc26851"/>
      <w:bookmarkStart w:id="442" w:name="_Toc142508341"/>
      <w:bookmarkStart w:id="443" w:name="_Toc31399"/>
      <w:bookmarkStart w:id="444" w:name="_Toc12772"/>
      <w:bookmarkStart w:id="445" w:name="_Toc28910_WPSOffice_Level3"/>
      <w:bookmarkStart w:id="446" w:name="_Toc486167691"/>
      <w:bookmarkStart w:id="447" w:name="_Toc7505"/>
      <w:bookmarkStart w:id="448" w:name="_Toc28907"/>
      <w:bookmarkStart w:id="449" w:name="_Toc172552171"/>
      <w:r>
        <w:rPr>
          <w:rFonts w:hint="eastAsia" w:ascii="宋体" w:hAnsi="宋体" w:eastAsia="宋体" w:cs="宋体"/>
          <w:b/>
          <w:bCs/>
          <w:color w:val="auto"/>
          <w:highlight w:val="none"/>
          <w:lang w:val="zh-CN"/>
        </w:rPr>
        <w:t>25 投标文件的初审</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1076B6D7">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25.1 资格性检查：依据法律法规和招标文件的规定，对投标文件中的资格证明、投标保证金等进行审查，以确定投标人是否具备投标资格。</w:t>
      </w:r>
    </w:p>
    <w:p w14:paraId="766889DD">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25.2 符合性检查：依据招标文件的规定，从投标文件的有效性、完整性和对招标文件的响应程度进行审查，以确定是否对招标文件的实质性要求作出响应。</w:t>
      </w:r>
    </w:p>
    <w:p w14:paraId="1F2D3165">
      <w:pPr>
        <w:ind w:left="330" w:leftChars="-100" w:hanging="540"/>
        <w:rPr>
          <w:rFonts w:hint="eastAsia" w:ascii="宋体" w:hAnsi="宋体" w:eastAsia="宋体" w:cs="宋体"/>
          <w:b/>
          <w:color w:val="auto"/>
          <w:szCs w:val="21"/>
          <w:highlight w:val="none"/>
          <w:lang w:val="zh-CN"/>
        </w:rPr>
      </w:pPr>
    </w:p>
    <w:p w14:paraId="4E90220A">
      <w:pPr>
        <w:pStyle w:val="4"/>
        <w:rPr>
          <w:rFonts w:hint="eastAsia" w:ascii="宋体" w:hAnsi="宋体" w:eastAsia="宋体" w:cs="宋体"/>
          <w:color w:val="auto"/>
          <w:highlight w:val="none"/>
          <w:lang w:val="zh-CN"/>
        </w:rPr>
      </w:pPr>
      <w:bookmarkStart w:id="450" w:name="_Toc486167692"/>
      <w:bookmarkStart w:id="451" w:name="_Toc3043"/>
      <w:bookmarkStart w:id="452" w:name="_Toc172552172"/>
      <w:bookmarkStart w:id="453" w:name="_Toc178076485"/>
      <w:bookmarkStart w:id="454" w:name="_Toc176627806"/>
      <w:bookmarkStart w:id="455" w:name="_Toc10130"/>
      <w:bookmarkStart w:id="456" w:name="_Toc13422"/>
      <w:bookmarkStart w:id="457" w:name="_Toc8584"/>
      <w:bookmarkStart w:id="458" w:name="_Toc338_WPSOffice_Level3"/>
      <w:bookmarkStart w:id="459" w:name="_Toc3901"/>
      <w:bookmarkStart w:id="460" w:name="_Toc22161"/>
      <w:bookmarkStart w:id="461" w:name="_Toc142508342"/>
      <w:bookmarkStart w:id="462" w:name="_Toc450662877"/>
      <w:r>
        <w:rPr>
          <w:rFonts w:hint="eastAsia" w:ascii="宋体" w:hAnsi="宋体" w:eastAsia="宋体" w:cs="宋体"/>
          <w:color w:val="auto"/>
          <w:highlight w:val="none"/>
          <w:lang w:val="zh-CN"/>
        </w:rPr>
        <w:t>26 投标文件的澄清</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42F9EF2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9025DE4">
      <w:pPr>
        <w:ind w:left="525" w:hanging="525" w:hangingChars="250"/>
        <w:rPr>
          <w:rFonts w:hint="eastAsia" w:ascii="宋体" w:hAnsi="宋体" w:eastAsia="宋体" w:cs="宋体"/>
          <w:color w:val="auto"/>
          <w:highlight w:val="none"/>
          <w:lang w:val="zh-CN"/>
        </w:rPr>
      </w:pPr>
      <w:bookmarkStart w:id="463" w:name="_Toc450662879"/>
      <w:r>
        <w:rPr>
          <w:rFonts w:hint="eastAsia" w:ascii="宋体" w:hAnsi="宋体" w:eastAsia="宋体" w:cs="宋体"/>
          <w:color w:val="auto"/>
          <w:highlight w:val="none"/>
          <w:lang w:val="zh-CN"/>
        </w:rPr>
        <w:t xml:space="preserve">26.2 </w:t>
      </w:r>
      <w:r>
        <w:rPr>
          <w:rFonts w:hint="eastAsia" w:ascii="宋体" w:hAnsi="宋体" w:eastAsia="宋体" w:cs="宋体"/>
          <w:color w:val="auto"/>
          <w:highlight w:val="none"/>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ascii="宋体" w:hAnsi="宋体" w:eastAsia="宋体" w:cs="宋体"/>
          <w:color w:val="auto"/>
          <w:highlight w:val="none"/>
          <w:lang w:val="zh-CN"/>
        </w:rPr>
        <w:t>。</w:t>
      </w:r>
    </w:p>
    <w:bookmarkEnd w:id="463"/>
    <w:p w14:paraId="162067F7">
      <w:pPr>
        <w:tabs>
          <w:tab w:val="left" w:pos="525"/>
        </w:tabs>
        <w:ind w:left="357" w:leftChars="-100" w:hanging="567"/>
        <w:jc w:val="left"/>
        <w:rPr>
          <w:rFonts w:hint="eastAsia" w:ascii="宋体" w:hAnsi="宋体" w:eastAsia="宋体" w:cs="宋体"/>
          <w:color w:val="auto"/>
          <w:szCs w:val="21"/>
          <w:highlight w:val="none"/>
          <w:lang w:val="zh-CN"/>
        </w:rPr>
      </w:pPr>
      <w:bookmarkStart w:id="464" w:name="_Toc18368_WPSOffice_Level3"/>
      <w:bookmarkStart w:id="465" w:name="_Toc521918096"/>
      <w:bookmarkStart w:id="466" w:name="_Toc142508343"/>
      <w:bookmarkStart w:id="467" w:name="_Toc522047355"/>
    </w:p>
    <w:p w14:paraId="151067FF">
      <w:pPr>
        <w:pStyle w:val="4"/>
        <w:rPr>
          <w:rFonts w:hint="eastAsia" w:ascii="宋体" w:hAnsi="宋体" w:eastAsia="宋体" w:cs="宋体"/>
          <w:color w:val="auto"/>
          <w:highlight w:val="none"/>
          <w:lang w:val="zh-CN"/>
        </w:rPr>
      </w:pPr>
      <w:bookmarkStart w:id="468" w:name="_Toc178076486"/>
      <w:bookmarkStart w:id="469" w:name="_Toc6370"/>
      <w:bookmarkStart w:id="470" w:name="_Toc11547"/>
      <w:bookmarkStart w:id="471" w:name="_Toc172552173"/>
      <w:bookmarkStart w:id="472" w:name="_Toc14292"/>
      <w:bookmarkStart w:id="473" w:name="_Toc10428"/>
      <w:bookmarkStart w:id="474" w:name="_Toc176627807"/>
      <w:bookmarkStart w:id="475" w:name="_Toc15022"/>
      <w:bookmarkStart w:id="476" w:name="_Toc11721"/>
      <w:r>
        <w:rPr>
          <w:rFonts w:hint="eastAsia" w:ascii="宋体" w:hAnsi="宋体" w:eastAsia="宋体" w:cs="宋体"/>
          <w:color w:val="auto"/>
          <w:highlight w:val="none"/>
          <w:lang w:val="zh-CN"/>
        </w:rPr>
        <w:t>27 对投标文件的比较和评价</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5BFB18D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评标委员会将对资格性检查和符合性检查合格的投标文件进行比较和评价，包括商务、技术和价格的详细评审。</w:t>
      </w:r>
    </w:p>
    <w:p w14:paraId="6D2C152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对投标文件商务的评审详见评标工作大纲。</w:t>
      </w:r>
    </w:p>
    <w:p w14:paraId="2719A75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对投标文件技术的评审详见评标工作大纲。</w:t>
      </w:r>
    </w:p>
    <w:p w14:paraId="1BB0FA0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对投标价格的评审详见评标工作大纲。</w:t>
      </w:r>
    </w:p>
    <w:p w14:paraId="7FFBC24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27.5</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本次评标的评分权重详见评标工作大纲。</w:t>
      </w:r>
    </w:p>
    <w:p w14:paraId="30266B1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27.6</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根据上述商务、技术及价格综合评价的权重分配计算出各投标人的综合得分。</w:t>
      </w:r>
    </w:p>
    <w:p w14:paraId="7EF436D5">
      <w:pPr>
        <w:rPr>
          <w:rFonts w:hint="eastAsia" w:ascii="宋体" w:hAnsi="宋体" w:eastAsia="宋体" w:cs="宋体"/>
          <w:color w:val="auto"/>
          <w:highlight w:val="none"/>
          <w:lang w:val="zh-CN"/>
        </w:rPr>
      </w:pPr>
      <w:bookmarkStart w:id="477" w:name="_Toc521918097"/>
      <w:bookmarkStart w:id="478" w:name="_Toc522047356"/>
    </w:p>
    <w:p w14:paraId="67E2237E">
      <w:pPr>
        <w:pStyle w:val="4"/>
        <w:rPr>
          <w:rFonts w:hint="eastAsia" w:ascii="宋体" w:hAnsi="宋体" w:eastAsia="宋体" w:cs="宋体"/>
          <w:color w:val="auto"/>
          <w:highlight w:val="none"/>
          <w:lang w:val="zh-CN"/>
        </w:rPr>
      </w:pPr>
      <w:bookmarkStart w:id="479" w:name="_Toc178076487"/>
      <w:bookmarkStart w:id="480" w:name="_Toc25988"/>
      <w:bookmarkStart w:id="481" w:name="_Toc172552174"/>
      <w:bookmarkStart w:id="482" w:name="_Toc32408"/>
      <w:bookmarkStart w:id="483" w:name="_Toc21460_WPSOffice_Level3"/>
      <w:bookmarkStart w:id="484" w:name="_Toc17831"/>
      <w:bookmarkStart w:id="485" w:name="_Toc31279"/>
      <w:bookmarkStart w:id="486" w:name="_Toc26884"/>
      <w:bookmarkStart w:id="487" w:name="_Toc29581"/>
      <w:bookmarkStart w:id="488" w:name="_Toc142508344"/>
      <w:bookmarkStart w:id="489" w:name="_Toc176627808"/>
      <w:r>
        <w:rPr>
          <w:rFonts w:hint="eastAsia" w:ascii="宋体" w:hAnsi="宋体" w:eastAsia="宋体" w:cs="宋体"/>
          <w:color w:val="auto"/>
          <w:highlight w:val="none"/>
          <w:lang w:val="zh-CN"/>
        </w:rPr>
        <w:t>28 评标原则及方法</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6E22060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28.1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对所有投标文件的评审，都采用相同的程序和标准。按步骤先进行初步评审，再进行商务、技术、价格评审。</w:t>
      </w:r>
    </w:p>
    <w:p w14:paraId="1859AE6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28.2 评标严格按照招标文件的要求和条件进行。</w:t>
      </w:r>
    </w:p>
    <w:p w14:paraId="4D9C7D18">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在评标时将根据第27条，采用综合评分法的评审方法，对所有实质响应性投标文件进行综合打分。</w:t>
      </w:r>
    </w:p>
    <w:p w14:paraId="08207BEB">
      <w:pPr>
        <w:ind w:left="525" w:hanging="525" w:hangingChars="250"/>
        <w:rPr>
          <w:rFonts w:hint="eastAsia" w:ascii="宋体" w:hAnsi="宋体" w:eastAsia="宋体" w:cs="宋体"/>
          <w:b/>
          <w:bCs/>
          <w:color w:val="auto"/>
          <w:highlight w:val="none"/>
          <w:lang w:val="zh-CN"/>
        </w:rPr>
      </w:pPr>
      <w:r>
        <w:rPr>
          <w:rFonts w:hint="eastAsia" w:ascii="宋体" w:hAnsi="宋体" w:eastAsia="宋体" w:cs="宋体"/>
          <w:color w:val="auto"/>
          <w:highlight w:val="none"/>
          <w:lang w:val="zh-CN"/>
        </w:rPr>
        <w:t xml:space="preserve">28.3 </w:t>
      </w:r>
      <w:r>
        <w:rPr>
          <w:rFonts w:hint="eastAsia" w:ascii="宋体" w:hAnsi="宋体" w:eastAsia="宋体" w:cs="宋体"/>
          <w:b/>
          <w:bCs/>
          <w:color w:val="auto"/>
          <w:highlight w:val="none"/>
          <w:lang w:val="zh-CN"/>
        </w:rPr>
        <w:t>若</w:t>
      </w:r>
      <w:r>
        <w:rPr>
          <w:rFonts w:hint="eastAsia" w:ascii="宋体" w:hAnsi="宋体" w:eastAsia="宋体" w:cs="宋体"/>
          <w:b/>
          <w:bCs/>
          <w:color w:val="auto"/>
          <w:highlight w:val="none"/>
        </w:rPr>
        <w:t>本次招标过程中有效投标人不足三个时，公开招标失败。</w:t>
      </w:r>
    </w:p>
    <w:p w14:paraId="59C2ED9F">
      <w:pPr>
        <w:tabs>
          <w:tab w:val="left" w:pos="360"/>
        </w:tabs>
        <w:ind w:left="330" w:leftChars="-100" w:right="44" w:rightChars="21" w:hanging="540"/>
        <w:rPr>
          <w:rFonts w:hint="eastAsia" w:ascii="宋体" w:hAnsi="宋体" w:eastAsia="宋体" w:cs="宋体"/>
          <w:color w:val="auto"/>
          <w:szCs w:val="21"/>
          <w:highlight w:val="none"/>
          <w:lang w:val="zh-CN"/>
        </w:rPr>
      </w:pPr>
    </w:p>
    <w:p w14:paraId="05B7DF62">
      <w:pPr>
        <w:pStyle w:val="4"/>
        <w:rPr>
          <w:rFonts w:hint="eastAsia" w:ascii="宋体" w:hAnsi="宋体" w:eastAsia="宋体" w:cs="宋体"/>
          <w:color w:val="auto"/>
          <w:szCs w:val="21"/>
          <w:highlight w:val="none"/>
          <w:lang w:val="zh-CN"/>
        </w:rPr>
      </w:pPr>
      <w:bookmarkStart w:id="490" w:name="_Toc465358969"/>
      <w:bookmarkStart w:id="491" w:name="_Toc142508345"/>
      <w:bookmarkStart w:id="492" w:name="_Toc12060"/>
      <w:bookmarkStart w:id="493" w:name="_Toc172552175"/>
      <w:bookmarkStart w:id="494" w:name="_Toc32498_WPSOffice_Level3"/>
      <w:bookmarkStart w:id="495" w:name="_Toc486167694"/>
      <w:bookmarkStart w:id="496" w:name="_Toc178076488"/>
      <w:bookmarkStart w:id="497" w:name="_Toc176627809"/>
      <w:bookmarkStart w:id="498" w:name="_Toc27517"/>
      <w:bookmarkStart w:id="499" w:name="_Toc466882017"/>
      <w:bookmarkStart w:id="500" w:name="_Toc15841"/>
      <w:bookmarkStart w:id="501" w:name="_Toc10748"/>
      <w:bookmarkStart w:id="502" w:name="_Toc28244"/>
      <w:bookmarkStart w:id="503" w:name="_Toc2457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ascii="宋体" w:hAnsi="宋体" w:eastAsia="宋体" w:cs="宋体"/>
          <w:color w:val="auto"/>
          <w:szCs w:val="21"/>
          <w:highlight w:val="none"/>
          <w:lang w:val="zh-CN"/>
        </w:rPr>
        <w:t>评标结果公示及异议、投诉</w:t>
      </w:r>
      <w:bookmarkEnd w:id="503"/>
    </w:p>
    <w:p w14:paraId="4DCF496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.1 招标代理机构在招标公告发布媒介公示中标候选人，公示期为3日，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170E3215">
      <w:pPr>
        <w:ind w:left="525" w:leftChars="25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0207DD45">
      <w:pPr>
        <w:ind w:left="525" w:hanging="525" w:hangingChars="250"/>
        <w:rPr>
          <w:rFonts w:hint="eastAsia" w:ascii="宋体" w:hAnsi="宋体" w:eastAsia="宋体" w:cs="宋体"/>
          <w:b/>
          <w:bCs/>
          <w:color w:val="auto"/>
          <w:highlight w:val="none"/>
          <w:lang w:val="zh-CN"/>
        </w:rPr>
      </w:pPr>
      <w:r>
        <w:rPr>
          <w:rFonts w:hint="eastAsia" w:ascii="宋体" w:hAnsi="宋体" w:eastAsia="宋体" w:cs="宋体"/>
          <w:color w:val="auto"/>
          <w:highlight w:val="none"/>
        </w:rPr>
        <w:t xml:space="preserve">29.2 </w:t>
      </w:r>
      <w:r>
        <w:rPr>
          <w:rFonts w:hint="eastAsia" w:ascii="宋体" w:hAnsi="宋体" w:eastAsia="宋体" w:cs="宋体"/>
          <w:b/>
          <w:bCs/>
          <w:color w:val="auto"/>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4B69E259">
      <w:pPr>
        <w:ind w:left="525" w:leftChars="250"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199D8EE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5AF9936">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（一）投诉人和被投诉人的姓名或者名称、通讯地址、邮编、联系人及联系电话；</w:t>
      </w:r>
    </w:p>
    <w:p w14:paraId="3E67A678">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（二）异议和异议答复情况说明及相关证明材料；</w:t>
      </w:r>
    </w:p>
    <w:p w14:paraId="4CE75DD4">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（三）具体、明确的投诉事项和与投诉事项相关的投诉请求；</w:t>
      </w:r>
    </w:p>
    <w:p w14:paraId="23F03ED2">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（四）事实依据；</w:t>
      </w:r>
    </w:p>
    <w:p w14:paraId="6C4419FA">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（五）法律依据；</w:t>
      </w:r>
    </w:p>
    <w:p w14:paraId="55FFAD67">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（六）提起投诉的日期。</w:t>
      </w:r>
    </w:p>
    <w:p w14:paraId="7D2C4D3F">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投诉人为法人或者其他组织的，应当由法定代表人、主要负责人，或者其授权代表签字或者盖章，并加盖公章。</w:t>
      </w:r>
    </w:p>
    <w:p w14:paraId="0B16E6D7">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投诉人投诉的事项不得超出已异议事项的范围，但基于异议答复内容提出的投诉事项除外。</w:t>
      </w:r>
    </w:p>
    <w:p w14:paraId="3421E268">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监督部门：</w:t>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color w:val="auto"/>
          <w:highlight w:val="none"/>
          <w:lang w:val="zh-CN"/>
        </w:rPr>
        <w:t>，联系人：莫先生，联系电话：0769-28823251。</w:t>
      </w:r>
    </w:p>
    <w:p w14:paraId="132101B6">
      <w:pPr>
        <w:rPr>
          <w:rFonts w:hint="eastAsia" w:ascii="宋体" w:hAnsi="宋体" w:eastAsia="宋体" w:cs="宋体"/>
          <w:color w:val="auto"/>
          <w:highlight w:val="none"/>
          <w:lang w:val="zh-CN"/>
        </w:rPr>
      </w:pPr>
    </w:p>
    <w:p w14:paraId="4C27094B">
      <w:pPr>
        <w:pStyle w:val="4"/>
        <w:rPr>
          <w:rFonts w:hint="eastAsia" w:ascii="宋体" w:hAnsi="宋体" w:eastAsia="宋体" w:cs="宋体"/>
          <w:b/>
          <w:bCs/>
          <w:color w:val="auto"/>
          <w:highlight w:val="none"/>
          <w:lang w:val="zh-CN"/>
        </w:rPr>
      </w:pPr>
      <w:bookmarkStart w:id="504" w:name="_Toc8637"/>
      <w:bookmarkStart w:id="505" w:name="_Toc18979"/>
      <w:bookmarkStart w:id="506" w:name="_Toc1848_WPSOffice_Level3"/>
      <w:bookmarkStart w:id="507" w:name="_Toc26138"/>
      <w:bookmarkStart w:id="508" w:name="_Toc17052"/>
      <w:bookmarkStart w:id="509" w:name="_Toc178076489"/>
      <w:bookmarkStart w:id="510" w:name="_Toc176627810"/>
      <w:bookmarkStart w:id="511" w:name="_Toc486167695"/>
      <w:bookmarkStart w:id="512" w:name="_Toc465358970"/>
      <w:bookmarkStart w:id="513" w:name="_Toc466882018"/>
      <w:bookmarkStart w:id="514" w:name="_Toc172552176"/>
      <w:bookmarkStart w:id="515" w:name="_Toc4606"/>
      <w:bookmarkStart w:id="516" w:name="_Toc142508346"/>
      <w:bookmarkStart w:id="517" w:name="_Toc7868"/>
      <w:r>
        <w:rPr>
          <w:rFonts w:hint="eastAsia" w:ascii="宋体" w:hAnsi="宋体" w:eastAsia="宋体" w:cs="宋体"/>
          <w:b/>
          <w:bCs/>
          <w:color w:val="auto"/>
          <w:highlight w:val="none"/>
        </w:rPr>
        <w:t>30</w:t>
      </w:r>
      <w:r>
        <w:rPr>
          <w:rFonts w:hint="eastAsia" w:ascii="宋体" w:hAnsi="宋体" w:eastAsia="宋体" w:cs="宋体"/>
          <w:b/>
          <w:bCs/>
          <w:color w:val="auto"/>
          <w:highlight w:val="none"/>
          <w:lang w:val="zh-CN"/>
        </w:rPr>
        <w:t xml:space="preserve"> 真实性审查</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D2B30DA">
      <w:pPr>
        <w:ind w:left="527" w:hanging="527" w:hangingChars="250"/>
        <w:rPr>
          <w:rFonts w:hint="eastAsia" w:ascii="宋体" w:hAnsi="宋体" w:eastAsia="宋体" w:cs="宋体"/>
          <w:b/>
          <w:bCs/>
          <w:color w:val="auto"/>
          <w:highlight w:val="none"/>
          <w:u w:val="none"/>
        </w:rPr>
      </w:pPr>
      <w:r>
        <w:rPr>
          <w:rFonts w:hint="eastAsia" w:ascii="宋体" w:hAnsi="宋体" w:eastAsia="宋体" w:cs="宋体"/>
          <w:b/>
          <w:bCs/>
          <w:color w:val="auto"/>
          <w:highlight w:val="none"/>
        </w:rPr>
        <w:t xml:space="preserve">30.1 </w:t>
      </w:r>
      <w:r>
        <w:rPr>
          <w:rFonts w:hint="eastAsia" w:ascii="宋体" w:hAnsi="宋体" w:eastAsia="宋体" w:cs="宋体"/>
          <w:b/>
          <w:bCs/>
          <w:color w:val="auto"/>
          <w:highlight w:val="none"/>
          <w:u w:val="non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7FAD57D5">
      <w:pPr>
        <w:ind w:left="527" w:hanging="527" w:hangingChars="250"/>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26028CB2">
      <w:pPr>
        <w:ind w:left="527" w:hanging="527" w:hangingChars="250"/>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宋体"/>
          <w:b/>
          <w:bCs/>
          <w:color w:val="auto"/>
          <w:szCs w:val="21"/>
          <w:highlight w:val="none"/>
          <w:lang w:val="zh-CN"/>
        </w:rPr>
        <w:t>东莞市水务环境投资控股集团有限公司</w:t>
      </w:r>
      <w:r>
        <w:rPr>
          <w:rFonts w:hint="eastAsia" w:ascii="宋体" w:hAnsi="宋体" w:eastAsia="宋体" w:cs="宋体"/>
          <w:b/>
          <w:bCs/>
          <w:color w:val="auto"/>
          <w:highlight w:val="none"/>
          <w:u w:val="none"/>
        </w:rPr>
        <w:t>相关招标采购等活动的，由投标人自行承担全部后果。</w:t>
      </w:r>
    </w:p>
    <w:p w14:paraId="6E8AB0AA">
      <w:pPr>
        <w:jc w:val="left"/>
        <w:rPr>
          <w:rFonts w:hint="eastAsia" w:ascii="宋体" w:hAnsi="宋体" w:eastAsia="宋体" w:cs="宋体"/>
          <w:color w:val="auto"/>
          <w:szCs w:val="21"/>
          <w:highlight w:val="none"/>
        </w:rPr>
      </w:pPr>
      <w:bookmarkStart w:id="518" w:name="_Toc465358971"/>
      <w:bookmarkStart w:id="519" w:name="_Toc466882019"/>
    </w:p>
    <w:p w14:paraId="68371389">
      <w:pPr>
        <w:pStyle w:val="4"/>
        <w:rPr>
          <w:rFonts w:hint="eastAsia" w:ascii="宋体" w:hAnsi="宋体" w:eastAsia="宋体" w:cs="宋体"/>
          <w:color w:val="auto"/>
          <w:highlight w:val="none"/>
          <w:lang w:val="zh-CN"/>
        </w:rPr>
      </w:pPr>
      <w:bookmarkStart w:id="520" w:name="_Toc9986"/>
      <w:bookmarkStart w:id="521" w:name="_Toc176627811"/>
      <w:bookmarkStart w:id="522" w:name="_Toc10867_WPSOffice_Level3"/>
      <w:bookmarkStart w:id="523" w:name="_Toc486167696"/>
      <w:bookmarkStart w:id="524" w:name="_Toc178076490"/>
      <w:bookmarkStart w:id="525" w:name="_Toc142508347"/>
      <w:bookmarkStart w:id="526" w:name="_Toc31954"/>
      <w:bookmarkStart w:id="527" w:name="_Toc26035"/>
      <w:bookmarkStart w:id="528" w:name="_Toc32747"/>
      <w:bookmarkStart w:id="529" w:name="_Toc172552177"/>
      <w:bookmarkStart w:id="530" w:name="_Toc24174"/>
      <w:bookmarkStart w:id="531" w:name="_Toc32298"/>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2F645A44">
      <w:pPr>
        <w:ind w:left="315" w:leftChars="150"/>
        <w:rPr>
          <w:rFonts w:hint="eastAsia" w:ascii="宋体" w:hAnsi="宋体" w:eastAsia="宋体" w:cs="宋体"/>
          <w:color w:val="auto"/>
          <w:highlight w:val="none"/>
        </w:rPr>
      </w:pPr>
      <w:r>
        <w:rPr>
          <w:rFonts w:hint="eastAsia" w:ascii="宋体" w:hAnsi="宋体" w:eastAsia="宋体" w:cs="宋体"/>
          <w:color w:val="auto"/>
          <w:highlight w:val="none"/>
        </w:rPr>
        <w:t>在授予合同前的任何时候，招标人仍保留接受或拒绝任何投标，宣布招标程序无效或拒绝所有投标的权利，无需向受影响的投标人承担任何责任。</w:t>
      </w:r>
    </w:p>
    <w:p w14:paraId="7071F87C">
      <w:pPr>
        <w:ind w:left="436" w:leftChars="-158" w:hanging="768" w:hangingChars="320"/>
        <w:jc w:val="left"/>
        <w:rPr>
          <w:rFonts w:hint="eastAsia" w:ascii="宋体" w:hAnsi="宋体" w:eastAsia="宋体" w:cs="宋体"/>
          <w:color w:val="auto"/>
          <w:kern w:val="44"/>
          <w:sz w:val="24"/>
          <w:szCs w:val="24"/>
          <w:highlight w:val="none"/>
          <w:lang w:val="zh-CN"/>
        </w:rPr>
      </w:pPr>
      <w:bookmarkStart w:id="532" w:name="_Toc450662880"/>
    </w:p>
    <w:p w14:paraId="4DD39BA3">
      <w:pPr>
        <w:pStyle w:val="3"/>
        <w:rPr>
          <w:rFonts w:hint="eastAsia" w:ascii="宋体" w:hAnsi="宋体" w:eastAsia="宋体" w:cs="宋体"/>
          <w:color w:val="auto"/>
          <w:highlight w:val="none"/>
          <w:lang w:val="zh-CN"/>
        </w:rPr>
      </w:pPr>
      <w:bookmarkStart w:id="533" w:name="_Toc486167697"/>
      <w:bookmarkStart w:id="534" w:name="_Toc14600"/>
      <w:bookmarkStart w:id="535" w:name="_Toc24297"/>
      <w:bookmarkStart w:id="536" w:name="_Toc27933"/>
      <w:bookmarkStart w:id="537" w:name="_Toc14028"/>
      <w:bookmarkStart w:id="538" w:name="_Toc178076491"/>
      <w:bookmarkStart w:id="539" w:name="_Toc16848_WPSOffice_Level2"/>
      <w:bookmarkStart w:id="540" w:name="_Toc7427"/>
      <w:bookmarkStart w:id="541" w:name="_Toc172552178"/>
      <w:bookmarkStart w:id="542" w:name="_Toc176627812"/>
      <w:bookmarkStart w:id="543" w:name="_Toc142508348"/>
      <w:bookmarkStart w:id="544" w:name="_Toc18316"/>
      <w:bookmarkStart w:id="545" w:name="_Toc25470"/>
      <w:bookmarkStart w:id="546" w:name="_Toc16150"/>
      <w:bookmarkStart w:id="547" w:name="_Toc2250"/>
      <w:bookmarkStart w:id="548" w:name="_Toc140596907"/>
      <w:r>
        <w:rPr>
          <w:rFonts w:hint="eastAsia" w:ascii="宋体" w:hAnsi="宋体" w:eastAsia="宋体" w:cs="宋体"/>
          <w:color w:val="auto"/>
          <w:highlight w:val="none"/>
          <w:lang w:val="zh-CN"/>
        </w:rPr>
        <w:t>六、授予合同</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1DE8F219">
      <w:pPr>
        <w:pStyle w:val="4"/>
        <w:rPr>
          <w:rFonts w:hint="eastAsia" w:ascii="宋体" w:hAnsi="宋体" w:eastAsia="宋体" w:cs="宋体"/>
          <w:color w:val="auto"/>
          <w:highlight w:val="none"/>
          <w:lang w:val="zh-CN"/>
        </w:rPr>
      </w:pPr>
      <w:bookmarkStart w:id="549" w:name="_Toc486167698"/>
      <w:bookmarkStart w:id="550" w:name="_Toc178076492"/>
      <w:bookmarkStart w:id="551" w:name="_Toc12972"/>
      <w:bookmarkStart w:id="552" w:name="_Toc176627813"/>
      <w:bookmarkStart w:id="553" w:name="_Toc26642"/>
      <w:bookmarkStart w:id="554" w:name="_Toc1475"/>
      <w:bookmarkStart w:id="555" w:name="_Toc172552179"/>
      <w:bookmarkStart w:id="556" w:name="_Toc7932"/>
      <w:bookmarkStart w:id="557" w:name="_Toc6401_WPSOffice_Level3"/>
      <w:bookmarkStart w:id="558" w:name="_Toc25540"/>
      <w:bookmarkStart w:id="559" w:name="_Toc13171"/>
      <w:bookmarkStart w:id="560" w:name="_Toc450662881"/>
      <w:bookmarkStart w:id="561" w:name="_Toc142508349"/>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授予合同的准则</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5FB1A30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32</w:t>
      </w:r>
      <w:r>
        <w:rPr>
          <w:rFonts w:hint="eastAsia" w:ascii="宋体" w:hAnsi="宋体" w:eastAsia="宋体" w:cs="宋体"/>
          <w:color w:val="auto"/>
          <w:highlight w:val="none"/>
          <w:lang w:val="zh-CN"/>
        </w:rPr>
        <w:t>.1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除第29条、30条</w:t>
      </w:r>
      <w:r>
        <w:rPr>
          <w:rFonts w:hint="eastAsia" w:ascii="宋体" w:hAnsi="宋体" w:eastAsia="宋体" w:cs="宋体"/>
          <w:color w:val="auto"/>
          <w:highlight w:val="none"/>
        </w:rPr>
        <w:t>、31</w:t>
      </w:r>
      <w:r>
        <w:rPr>
          <w:rFonts w:hint="eastAsia" w:ascii="宋体" w:hAnsi="宋体" w:eastAsia="宋体" w:cs="宋体"/>
          <w:color w:val="auto"/>
          <w:highlight w:val="none"/>
          <w:lang w:val="zh-CN"/>
        </w:rPr>
        <w:t>条规定外，招标人将合同授予其投标文件符合招标文件要求，并且能承诺履行合同，对招标人最为有利的投标人。</w:t>
      </w:r>
    </w:p>
    <w:p w14:paraId="56000C6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32.2 招标人依法</w:t>
      </w:r>
      <w:r>
        <w:rPr>
          <w:rFonts w:hint="eastAsia" w:ascii="宋体" w:hAnsi="宋体" w:eastAsia="宋体" w:cs="宋体"/>
          <w:color w:val="auto"/>
          <w:highlight w:val="none"/>
        </w:rPr>
        <w:t>按照评标报告中推荐的中标候选人顺序</w:t>
      </w:r>
      <w:r>
        <w:rPr>
          <w:rFonts w:hint="eastAsia" w:ascii="宋体" w:hAnsi="宋体" w:eastAsia="宋体" w:cs="宋体"/>
          <w:color w:val="auto"/>
          <w:highlight w:val="none"/>
          <w:lang w:val="zh-CN"/>
        </w:rPr>
        <w:t>确定中标人。</w:t>
      </w:r>
    </w:p>
    <w:p w14:paraId="1E334B1A">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32</w:t>
      </w:r>
      <w:r>
        <w:rPr>
          <w:rFonts w:hint="eastAsia" w:ascii="宋体" w:hAnsi="宋体" w:eastAsia="宋体" w:cs="宋体"/>
          <w:color w:val="auto"/>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621D1519">
      <w:pPr>
        <w:rPr>
          <w:rFonts w:hint="eastAsia" w:ascii="宋体" w:hAnsi="宋体" w:eastAsia="宋体" w:cs="宋体"/>
          <w:color w:val="auto"/>
          <w:highlight w:val="none"/>
          <w:lang w:val="zh-CN"/>
        </w:rPr>
      </w:pPr>
      <w:bookmarkStart w:id="562" w:name="_Toc450662885"/>
    </w:p>
    <w:p w14:paraId="390EAC66">
      <w:pPr>
        <w:pStyle w:val="4"/>
        <w:rPr>
          <w:rFonts w:hint="eastAsia" w:ascii="宋体" w:hAnsi="宋体" w:eastAsia="宋体" w:cs="宋体"/>
          <w:color w:val="auto"/>
          <w:highlight w:val="none"/>
          <w:lang w:val="zh-CN"/>
        </w:rPr>
      </w:pPr>
      <w:bookmarkStart w:id="563" w:name="_Toc486167699"/>
      <w:bookmarkStart w:id="564" w:name="_Toc172552180"/>
      <w:bookmarkStart w:id="565" w:name="_Toc30042"/>
      <w:bookmarkStart w:id="566" w:name="_Toc24266"/>
      <w:bookmarkStart w:id="567" w:name="_Toc176627814"/>
      <w:bookmarkStart w:id="568" w:name="_Toc1070"/>
      <w:bookmarkStart w:id="569" w:name="_Toc10822"/>
      <w:bookmarkStart w:id="570" w:name="_Toc178076493"/>
      <w:bookmarkStart w:id="571" w:name="_Toc4501"/>
      <w:bookmarkStart w:id="572" w:name="_Toc3240"/>
      <w:bookmarkStart w:id="573" w:name="_Toc6726_WPSOffice_Level3"/>
      <w:bookmarkStart w:id="574" w:name="_Toc142508350"/>
      <w:r>
        <w:rPr>
          <w:rFonts w:hint="eastAsia" w:ascii="宋体" w:hAnsi="宋体" w:eastAsia="宋体" w:cs="宋体"/>
          <w:color w:val="auto"/>
          <w:highlight w:val="none"/>
          <w:lang w:val="zh-CN"/>
        </w:rPr>
        <w:t>33 中标通知</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7A359BD9">
      <w:pPr>
        <w:ind w:left="525" w:hanging="525" w:hangingChars="250"/>
        <w:rPr>
          <w:rFonts w:hint="eastAsia" w:ascii="宋体" w:hAnsi="宋体" w:eastAsia="宋体" w:cs="宋体"/>
          <w:color w:val="auto"/>
          <w:highlight w:val="none"/>
          <w:lang w:val="zh-CN"/>
        </w:rPr>
      </w:pPr>
      <w:bookmarkStart w:id="575" w:name="_Toc450662886"/>
      <w:r>
        <w:rPr>
          <w:rFonts w:hint="eastAsia" w:ascii="宋体" w:hAnsi="宋体" w:eastAsia="宋体" w:cs="宋体"/>
          <w:color w:val="auto"/>
          <w:highlight w:val="none"/>
          <w:lang w:val="zh-CN"/>
        </w:rPr>
        <w:t>33.1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招标代理机构向中标人发出书面通知，中标通知书是合同的一个组成部分。</w:t>
      </w:r>
    </w:p>
    <w:p w14:paraId="5FE7082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33.2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招标代理机构向中标人发出书面通知的同时，招标代理机构通知落选的投标人其投标文件未被接受而不提原因。</w:t>
      </w:r>
    </w:p>
    <w:p w14:paraId="24D9EC3A">
      <w:pPr>
        <w:ind w:left="315" w:leftChars="-100" w:hanging="525" w:hangingChars="250"/>
        <w:jc w:val="left"/>
        <w:rPr>
          <w:rFonts w:hint="eastAsia" w:ascii="宋体" w:hAnsi="宋体" w:eastAsia="宋体" w:cs="宋体"/>
          <w:color w:val="auto"/>
          <w:szCs w:val="21"/>
          <w:highlight w:val="none"/>
          <w:lang w:val="zh-CN"/>
        </w:rPr>
      </w:pPr>
    </w:p>
    <w:p w14:paraId="78942057">
      <w:pPr>
        <w:pStyle w:val="4"/>
        <w:rPr>
          <w:rFonts w:hint="eastAsia" w:ascii="宋体" w:hAnsi="宋体" w:eastAsia="宋体" w:cs="宋体"/>
          <w:color w:val="auto"/>
          <w:szCs w:val="21"/>
          <w:highlight w:val="none"/>
          <w:lang w:val="zh-CN"/>
        </w:rPr>
      </w:pPr>
      <w:bookmarkStart w:id="576" w:name="_Toc178076494"/>
      <w:bookmarkStart w:id="577" w:name="_Toc15846"/>
      <w:bookmarkStart w:id="578" w:name="_Toc23021"/>
      <w:bookmarkStart w:id="579" w:name="_Toc176627815"/>
      <w:bookmarkStart w:id="580" w:name="_Toc11937"/>
      <w:bookmarkStart w:id="581" w:name="_Toc32732"/>
      <w:bookmarkStart w:id="582" w:name="_Toc30576"/>
      <w:bookmarkStart w:id="583" w:name="_Toc486167700"/>
      <w:bookmarkStart w:id="584" w:name="_Toc9694_WPSOffice_Level3"/>
      <w:bookmarkStart w:id="585" w:name="_Toc172552181"/>
      <w:bookmarkStart w:id="586" w:name="_Toc29106"/>
      <w:bookmarkStart w:id="587" w:name="_Toc142508351"/>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146D719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34.1 </w:t>
      </w:r>
      <w:r>
        <w:rPr>
          <w:rFonts w:hint="eastAsia" w:ascii="宋体" w:hAnsi="宋体" w:eastAsia="宋体" w:cs="宋体"/>
          <w:b/>
          <w:bCs/>
          <w:color w:val="auto"/>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5C0588B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34.</w:t>
      </w:r>
      <w:r>
        <w:rPr>
          <w:rFonts w:hint="eastAsia" w:ascii="宋体" w:hAnsi="宋体" w:eastAsia="宋体" w:cs="宋体"/>
          <w:color w:val="auto"/>
          <w:highlight w:val="none"/>
        </w:rPr>
        <w:t>2</w:t>
      </w:r>
      <w:r>
        <w:rPr>
          <w:rFonts w:hint="eastAsia" w:ascii="宋体" w:hAnsi="宋体" w:eastAsia="宋体" w:cs="宋体"/>
          <w:color w:val="auto"/>
          <w:highlight w:val="none"/>
          <w:lang w:val="zh-CN"/>
        </w:rPr>
        <w:t xml:space="preserve"> 在签署合同前，招标人可对中标人投标报价明细及附表内的算术性错误进行修正，修正原则为：</w:t>
      </w:r>
    </w:p>
    <w:p w14:paraId="4315BADB">
      <w:pPr>
        <w:ind w:left="525" w:leftChars="250"/>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（1）当以数字表示的报价系数与以文字表示的报价系数不一致时，以文字表示的报价系数为准。</w:t>
      </w:r>
    </w:p>
    <w:p w14:paraId="692A74AF">
      <w:pPr>
        <w:ind w:left="525" w:leftChars="250"/>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（2）按前述修正原则排序依次进行修正至唯一值后的报价表经双方确认后，作为合同文件的组成部分。</w:t>
      </w:r>
    </w:p>
    <w:p w14:paraId="0B5F1E29">
      <w:pPr>
        <w:rPr>
          <w:rFonts w:hint="eastAsia" w:ascii="宋体" w:hAnsi="宋体" w:eastAsia="宋体" w:cs="宋体"/>
          <w:color w:val="auto"/>
          <w:highlight w:val="none"/>
        </w:rPr>
      </w:pPr>
      <w:bookmarkStart w:id="588" w:name="_Toc10513_WPSOffice_Level3"/>
      <w:bookmarkStart w:id="589" w:name="_Toc142508352"/>
      <w:bookmarkStart w:id="590" w:name="_Toc450662887"/>
      <w:bookmarkStart w:id="591" w:name="_Toc486167701"/>
    </w:p>
    <w:p w14:paraId="774048E6">
      <w:pPr>
        <w:pStyle w:val="4"/>
        <w:rPr>
          <w:rFonts w:hint="eastAsia" w:ascii="宋体" w:hAnsi="宋体" w:eastAsia="宋体" w:cs="宋体"/>
          <w:color w:val="auto"/>
          <w:szCs w:val="21"/>
          <w:highlight w:val="none"/>
          <w:lang w:val="zh-CN"/>
        </w:rPr>
      </w:pPr>
      <w:bookmarkStart w:id="592" w:name="_Toc18588"/>
      <w:bookmarkStart w:id="593" w:name="_Toc31263"/>
      <w:bookmarkStart w:id="594" w:name="_Toc176627816"/>
      <w:bookmarkStart w:id="595" w:name="_Toc28475"/>
      <w:bookmarkStart w:id="596" w:name="_Toc172552182"/>
      <w:bookmarkStart w:id="597" w:name="_Toc29763"/>
      <w:bookmarkStart w:id="598" w:name="_Toc32569"/>
      <w:bookmarkStart w:id="599" w:name="_Toc8873"/>
      <w:bookmarkStart w:id="600" w:name="_Toc178076495"/>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775C7B0A">
      <w:pPr>
        <w:ind w:left="525" w:hanging="525" w:hangingChars="250"/>
        <w:rPr>
          <w:rFonts w:hint="eastAsia" w:ascii="宋体" w:hAnsi="宋体" w:eastAsia="宋体" w:cs="宋体"/>
          <w:color w:val="auto"/>
          <w:highlight w:val="none"/>
          <w:lang w:val="zh-CN"/>
        </w:rPr>
      </w:pPr>
      <w:bookmarkStart w:id="601" w:name="_Toc466882025"/>
      <w:bookmarkStart w:id="602" w:name="_Toc465358977"/>
      <w:r>
        <w:rPr>
          <w:rFonts w:hint="eastAsia" w:ascii="宋体" w:hAnsi="宋体" w:eastAsia="宋体" w:cs="宋体"/>
          <w:color w:val="auto"/>
          <w:highlight w:val="none"/>
        </w:rPr>
        <w:t>35</w:t>
      </w:r>
      <w:r>
        <w:rPr>
          <w:rFonts w:hint="eastAsia" w:ascii="宋体" w:hAnsi="宋体" w:eastAsia="宋体" w:cs="宋体"/>
          <w:color w:val="auto"/>
          <w:highlight w:val="none"/>
          <w:lang w:val="zh-CN"/>
        </w:rPr>
        <w:t xml:space="preserve">.1 </w:t>
      </w:r>
      <w:r>
        <w:rPr>
          <w:rFonts w:hint="eastAsia" w:ascii="宋体" w:hAnsi="宋体" w:eastAsia="宋体" w:cs="宋体"/>
          <w:b/>
          <w:bCs/>
          <w:color w:val="auto"/>
          <w:highlight w:val="none"/>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w:t>
      </w:r>
      <w:r>
        <w:rPr>
          <w:rFonts w:hint="eastAsia" w:ascii="宋体" w:hAnsi="宋体" w:eastAsia="宋体" w:cs="宋体"/>
          <w:b/>
          <w:bCs/>
          <w:color w:val="auto"/>
          <w:szCs w:val="21"/>
          <w:highlight w:val="none"/>
          <w:u w:val="single"/>
        </w:rPr>
        <w:t>暂定含税合同总价</w:t>
      </w:r>
      <w:r>
        <w:rPr>
          <w:rFonts w:hint="eastAsia" w:ascii="宋体" w:hAnsi="宋体" w:eastAsia="宋体" w:cs="宋体"/>
          <w:b/>
          <w:bCs/>
          <w:color w:val="auto"/>
          <w:highlight w:val="none"/>
          <w:u w:val="single"/>
          <w:lang w:val="zh-CN"/>
        </w:rPr>
        <w:t>的5%，采用不可撤销银行履约保函形式的金额为</w:t>
      </w:r>
      <w:r>
        <w:rPr>
          <w:rFonts w:hint="eastAsia" w:ascii="宋体" w:hAnsi="宋体" w:eastAsia="宋体" w:cs="宋体"/>
          <w:b/>
          <w:bCs/>
          <w:color w:val="auto"/>
          <w:szCs w:val="21"/>
          <w:highlight w:val="none"/>
          <w:u w:val="single"/>
        </w:rPr>
        <w:t>暂定含税合同总价</w:t>
      </w:r>
      <w:r>
        <w:rPr>
          <w:rFonts w:hint="eastAsia" w:ascii="宋体" w:hAnsi="宋体" w:eastAsia="宋体" w:cs="宋体"/>
          <w:b/>
          <w:bCs/>
          <w:color w:val="auto"/>
          <w:highlight w:val="none"/>
          <w:u w:val="single"/>
          <w:lang w:val="zh-CN"/>
        </w:rPr>
        <w:t>的8%，采用履约保证保险形式的金额为</w:t>
      </w:r>
      <w:r>
        <w:rPr>
          <w:rFonts w:hint="eastAsia" w:ascii="宋体" w:hAnsi="宋体" w:eastAsia="宋体" w:cs="宋体"/>
          <w:b/>
          <w:bCs/>
          <w:color w:val="auto"/>
          <w:szCs w:val="21"/>
          <w:highlight w:val="none"/>
          <w:u w:val="single"/>
        </w:rPr>
        <w:t>暂定合同含税总价</w:t>
      </w:r>
      <w:r>
        <w:rPr>
          <w:rFonts w:hint="eastAsia" w:ascii="宋体" w:hAnsi="宋体" w:eastAsia="宋体" w:cs="宋体"/>
          <w:b/>
          <w:bCs/>
          <w:color w:val="auto"/>
          <w:highlight w:val="none"/>
          <w:u w:val="single"/>
          <w:lang w:val="zh-CN"/>
        </w:rPr>
        <w:t>的8%，采用担保公司履约担保书形式的金额为</w:t>
      </w:r>
      <w:r>
        <w:rPr>
          <w:rFonts w:hint="eastAsia" w:ascii="宋体" w:hAnsi="宋体" w:eastAsia="宋体" w:cs="宋体"/>
          <w:b/>
          <w:bCs/>
          <w:color w:val="auto"/>
          <w:szCs w:val="21"/>
          <w:highlight w:val="none"/>
          <w:u w:val="single"/>
        </w:rPr>
        <w:t>暂定含税合同总价</w:t>
      </w:r>
      <w:r>
        <w:rPr>
          <w:rFonts w:hint="eastAsia" w:ascii="宋体" w:hAnsi="宋体" w:eastAsia="宋体" w:cs="宋体"/>
          <w:b/>
          <w:bCs/>
          <w:color w:val="auto"/>
          <w:highlight w:val="none"/>
          <w:u w:val="single"/>
          <w:lang w:val="zh-CN"/>
        </w:rPr>
        <w:t>的10%。</w:t>
      </w:r>
      <w:r>
        <w:rPr>
          <w:rFonts w:hint="eastAsia" w:ascii="宋体" w:hAnsi="宋体" w:eastAsia="宋体" w:cs="宋体"/>
          <w:b/>
          <w:bCs/>
          <w:color w:val="auto"/>
          <w:highlight w:val="none"/>
          <w:lang w:val="zh-CN"/>
        </w:rPr>
        <w:t>合同履行过程中，中标人给招标人造成的损失超过履约担保数额的，中标人还应当对超过部分予以赔偿，招标人并依法追究中标人的相应责任</w:t>
      </w:r>
      <w:r>
        <w:rPr>
          <w:rFonts w:hint="eastAsia" w:ascii="宋体" w:hAnsi="宋体" w:eastAsia="宋体" w:cs="宋体"/>
          <w:b/>
          <w:bCs/>
          <w:color w:val="auto"/>
          <w:highlight w:val="none"/>
        </w:rPr>
        <w:t>。</w:t>
      </w:r>
    </w:p>
    <w:p w14:paraId="23C2D348">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653624F9">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（1）中标人将合同项下中标人的权利义务全部转让给第三方，或未经招标人书面同意将部分权利义务转让给第三方的，招标人有权没收其履约担保。</w:t>
      </w:r>
    </w:p>
    <w:p w14:paraId="305B2BE6">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2</w:t>
      </w:r>
      <w:r>
        <w:rPr>
          <w:rFonts w:hint="eastAsia" w:ascii="宋体" w:hAnsi="宋体" w:eastAsia="宋体" w:cs="宋体"/>
          <w:color w:val="auto"/>
          <w:highlight w:val="none"/>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5B9EE69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3</w:t>
      </w:r>
      <w:r>
        <w:rPr>
          <w:rFonts w:hint="eastAsia" w:ascii="宋体" w:hAnsi="宋体" w:eastAsia="宋体" w:cs="宋体"/>
          <w:color w:val="auto"/>
          <w:highlight w:val="none"/>
        </w:rPr>
        <w:t>）在合同履行期间，中标人违约产生的违约金、赔偿、罚款或其他应付费用等款项，招标人有权直接从未付款项中直接扣除或启用履约担保予以支付。</w:t>
      </w:r>
    </w:p>
    <w:p w14:paraId="62011DE0">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4</w:t>
      </w:r>
      <w:r>
        <w:rPr>
          <w:rFonts w:hint="eastAsia" w:ascii="宋体" w:hAnsi="宋体" w:eastAsia="宋体" w:cs="宋体"/>
          <w:color w:val="auto"/>
          <w:highlight w:val="none"/>
        </w:rPr>
        <w:t>）合同期内，中标人不能及时完成合同某项义务的，招标人有权提取履约担保用于处理该项工作。</w:t>
      </w:r>
    </w:p>
    <w:p w14:paraId="5067664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5</w:t>
      </w:r>
      <w:r>
        <w:rPr>
          <w:rFonts w:hint="eastAsia" w:ascii="宋体" w:hAnsi="宋体" w:eastAsia="宋体" w:cs="宋体"/>
          <w:color w:val="auto"/>
          <w:highlight w:val="none"/>
        </w:rPr>
        <w:t>）其他根据本合同约定或法律规定，招标人可启用履约担保的情形。</w:t>
      </w:r>
    </w:p>
    <w:p w14:paraId="179F5A5B">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35.3 履约担保应符合如下规定：</w:t>
      </w:r>
    </w:p>
    <w:p w14:paraId="2E8FF336">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（1）出具履约保函的银行必须是境内支行一级以上机构，并经招标人同意，执行本款时所发生的费用由中标人承担。</w:t>
      </w:r>
    </w:p>
    <w:p w14:paraId="057A7AE4">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33042206">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提供担保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4EB38003">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7CE85190">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397F2BB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（6）不可撤销银行履约保函（或履约保证保险或担保公司履约担保书）应从合同签订之日起至合同期限届满并全部供货经验收合格及履行完毕相关服务义务且结算完毕之后二十八（28）日内保持有效。</w:t>
      </w:r>
    </w:p>
    <w:p w14:paraId="40AF7B01">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35.4 履约保证金应用本合同货币。</w:t>
      </w:r>
    </w:p>
    <w:p w14:paraId="7E898B14">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35.5 中标人也可以按招标文件约定的额度和时间，向招标人交纳同等数额的履约保证金作为履约担保。如中标人提交的履约保证金是其分支机构以转账形式转入的，要提交中标人的法</w:t>
      </w:r>
      <w:r>
        <w:rPr>
          <w:rFonts w:hint="eastAsia" w:ascii="宋体" w:hAnsi="宋体" w:eastAsia="宋体" w:cs="宋体"/>
          <w:color w:val="auto"/>
          <w:highlight w:val="none"/>
          <w:lang w:eastAsia="zh-CN"/>
        </w:rPr>
        <w:t>定代表</w:t>
      </w:r>
      <w:r>
        <w:rPr>
          <w:rFonts w:hint="eastAsia" w:ascii="宋体" w:hAnsi="宋体" w:eastAsia="宋体" w:cs="宋体"/>
          <w:color w:val="auto"/>
          <w:highlight w:val="none"/>
        </w:rPr>
        <w:t>人书面授权，不接受由私人账户和其它单位转入的保证金，也不接受现金形式提交。履约保证金应以存入招标人指定的以下银行账户为准</w:t>
      </w:r>
      <w:r>
        <w:rPr>
          <w:rFonts w:hint="eastAsia" w:ascii="宋体" w:hAnsi="宋体" w:eastAsia="宋体" w:cs="宋体"/>
          <w:color w:val="auto"/>
          <w:highlight w:val="none"/>
          <w:lang w:eastAsia="zh-CN"/>
        </w:rPr>
        <w:t>，</w:t>
      </w:r>
    </w:p>
    <w:p w14:paraId="3D10F077">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履约保证金账户：</w:t>
      </w:r>
      <w:r>
        <w:rPr>
          <w:rFonts w:hint="eastAsia" w:ascii="宋体" w:hAnsi="宋体" w:eastAsia="宋体" w:cs="宋体"/>
          <w:b/>
          <w:i w:val="0"/>
          <w:iCs w:val="0"/>
          <w:color w:val="auto"/>
          <w:kern w:val="0"/>
          <w:szCs w:val="21"/>
          <w:highlight w:val="none"/>
          <w:u w:val="single"/>
        </w:rPr>
        <w:t>（特别提醒，本账户非投标保证金账户）</w:t>
      </w:r>
    </w:p>
    <w:p w14:paraId="4330FFE6">
      <w:pPr>
        <w:autoSpaceDE w:val="0"/>
        <w:autoSpaceDN w:val="0"/>
        <w:adjustRightInd w:val="0"/>
        <w:snapToGrid w:val="0"/>
        <w:spacing w:line="360" w:lineRule="auto"/>
        <w:ind w:firstLine="632" w:firstLineChars="300"/>
        <w:jc w:val="left"/>
        <w:rPr>
          <w:rFonts w:hint="eastAsia" w:ascii="宋体" w:hAnsi="宋体" w:eastAsia="宋体" w:cs="宋体"/>
          <w:b/>
          <w:i w:val="0"/>
          <w:iCs w:val="0"/>
          <w:color w:val="auto"/>
          <w:kern w:val="0"/>
          <w:szCs w:val="21"/>
          <w:highlight w:val="none"/>
          <w:lang w:eastAsia="zh-CN"/>
        </w:rPr>
      </w:pPr>
      <w:r>
        <w:rPr>
          <w:rFonts w:hint="eastAsia" w:ascii="宋体" w:hAnsi="宋体" w:eastAsia="宋体" w:cs="宋体"/>
          <w:b/>
          <w:i w:val="0"/>
          <w:iCs w:val="0"/>
          <w:color w:val="auto"/>
          <w:kern w:val="0"/>
          <w:szCs w:val="21"/>
          <w:highlight w:val="none"/>
          <w:lang w:eastAsia="zh-CN"/>
        </w:rPr>
        <w:t>东莞市碧水信息科技有限公司</w:t>
      </w:r>
    </w:p>
    <w:p w14:paraId="6DC9D2D3">
      <w:pPr>
        <w:autoSpaceDE w:val="0"/>
        <w:autoSpaceDN w:val="0"/>
        <w:adjustRightInd w:val="0"/>
        <w:snapToGrid w:val="0"/>
        <w:spacing w:line="360" w:lineRule="auto"/>
        <w:ind w:firstLine="632" w:firstLineChars="300"/>
        <w:jc w:val="left"/>
        <w:rPr>
          <w:rFonts w:hint="eastAsia" w:ascii="宋体" w:hAnsi="宋体" w:eastAsia="宋体" w:cs="宋体"/>
          <w:b/>
          <w:i w:val="0"/>
          <w:iCs w:val="0"/>
          <w:color w:val="auto"/>
          <w:kern w:val="0"/>
          <w:szCs w:val="21"/>
          <w:highlight w:val="none"/>
          <w:lang w:eastAsia="zh-CN"/>
        </w:rPr>
      </w:pPr>
      <w:r>
        <w:rPr>
          <w:rFonts w:hint="eastAsia" w:ascii="宋体" w:hAnsi="宋体" w:eastAsia="宋体" w:cs="宋体"/>
          <w:b/>
          <w:i w:val="0"/>
          <w:iCs w:val="0"/>
          <w:color w:val="auto"/>
          <w:kern w:val="0"/>
          <w:szCs w:val="21"/>
          <w:highlight w:val="none"/>
        </w:rPr>
        <w:t>开户名称：</w:t>
      </w:r>
      <w:r>
        <w:rPr>
          <w:rFonts w:hint="eastAsia" w:ascii="宋体" w:hAnsi="宋体" w:eastAsia="宋体" w:cs="宋体"/>
          <w:b/>
          <w:i w:val="0"/>
          <w:iCs w:val="0"/>
          <w:color w:val="auto"/>
          <w:kern w:val="0"/>
          <w:szCs w:val="21"/>
          <w:highlight w:val="none"/>
          <w:lang w:eastAsia="zh-CN"/>
        </w:rPr>
        <w:t>东莞市碧水信息科技有限公司</w:t>
      </w:r>
    </w:p>
    <w:p w14:paraId="6EBA8D56">
      <w:pPr>
        <w:autoSpaceDE w:val="0"/>
        <w:autoSpaceDN w:val="0"/>
        <w:adjustRightInd w:val="0"/>
        <w:snapToGrid w:val="0"/>
        <w:spacing w:line="360" w:lineRule="auto"/>
        <w:ind w:firstLine="632" w:firstLineChars="300"/>
        <w:jc w:val="left"/>
        <w:rPr>
          <w:rFonts w:hint="eastAsia"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银行账号：2010021309200572784</w:t>
      </w:r>
    </w:p>
    <w:p w14:paraId="67CD9D78">
      <w:pPr>
        <w:autoSpaceDE w:val="0"/>
        <w:autoSpaceDN w:val="0"/>
        <w:adjustRightInd w:val="0"/>
        <w:snapToGrid w:val="0"/>
        <w:spacing w:line="360" w:lineRule="auto"/>
        <w:ind w:firstLine="632" w:firstLineChars="300"/>
        <w:jc w:val="left"/>
        <w:rPr>
          <w:rFonts w:hint="eastAsia"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开户银行：中国工商银行股份有限公司东莞分行</w:t>
      </w:r>
    </w:p>
    <w:p w14:paraId="24F9DBC1">
      <w:pPr>
        <w:autoSpaceDE w:val="0"/>
        <w:autoSpaceDN w:val="0"/>
        <w:ind w:firstLine="632" w:firstLineChars="300"/>
        <w:jc w:val="left"/>
        <w:rPr>
          <w:rFonts w:hint="eastAsia" w:ascii="宋体" w:hAnsi="宋体" w:eastAsia="宋体" w:cs="宋体"/>
          <w:color w:val="auto"/>
          <w:highlight w:val="none"/>
        </w:rPr>
      </w:pP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val="en-US" w:eastAsia="zh-CN"/>
        </w:rPr>
        <w:t>中标人</w:t>
      </w:r>
      <w:r>
        <w:rPr>
          <w:rFonts w:hint="eastAsia" w:ascii="宋体" w:hAnsi="宋体" w:eastAsia="宋体" w:cs="宋体"/>
          <w:b/>
          <w:color w:val="auto"/>
          <w:kern w:val="0"/>
          <w:szCs w:val="21"/>
          <w:highlight w:val="none"/>
        </w:rPr>
        <w:t>转账时务必备注清楚转账用途（采购项目/招标编号+</w:t>
      </w:r>
      <w:r>
        <w:rPr>
          <w:rFonts w:hint="eastAsia" w:ascii="宋体" w:hAnsi="宋体" w:eastAsia="宋体" w:cs="宋体"/>
          <w:b/>
          <w:color w:val="auto"/>
          <w:kern w:val="0"/>
          <w:szCs w:val="21"/>
          <w:highlight w:val="none"/>
          <w:lang w:val="en-US" w:eastAsia="zh-CN"/>
        </w:rPr>
        <w:t>履约</w:t>
      </w:r>
      <w:r>
        <w:rPr>
          <w:rFonts w:hint="eastAsia" w:ascii="宋体" w:hAnsi="宋体" w:eastAsia="宋体" w:cs="宋体"/>
          <w:b/>
          <w:color w:val="auto"/>
          <w:kern w:val="0"/>
          <w:szCs w:val="21"/>
          <w:highlight w:val="none"/>
        </w:rPr>
        <w:t>保证金）]</w:t>
      </w:r>
    </w:p>
    <w:p w14:paraId="6F2D7241">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35.6 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14:paraId="075397B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35.7 中标人以履约保证金（银行转账形式）提供履约担保的，在合同期限届满并全部供货经验收合格及履行完毕相关服务义务且结算完毕之后二十八（28）日后，经招标人确认，中标人可向招标人提交退回履约担保的申请。招标人审核无异议后，办理履约担保退还手续，退回时一律以银行转账的形式无息退回到中标人的账户。</w:t>
      </w:r>
    </w:p>
    <w:p w14:paraId="4BF75112">
      <w:pPr>
        <w:ind w:left="315" w:leftChars="-100" w:hanging="525" w:hangingChars="250"/>
        <w:jc w:val="left"/>
        <w:rPr>
          <w:rFonts w:hint="eastAsia" w:ascii="宋体" w:hAnsi="宋体" w:eastAsia="宋体" w:cs="宋体"/>
          <w:color w:val="auto"/>
          <w:szCs w:val="21"/>
          <w:highlight w:val="none"/>
        </w:rPr>
      </w:pPr>
    </w:p>
    <w:p w14:paraId="2CBF58B3">
      <w:pPr>
        <w:pStyle w:val="4"/>
        <w:rPr>
          <w:rFonts w:hint="eastAsia" w:ascii="宋体" w:hAnsi="宋体" w:eastAsia="宋体" w:cs="宋体"/>
          <w:color w:val="auto"/>
          <w:highlight w:val="none"/>
          <w:lang w:val="zh-CN"/>
        </w:rPr>
      </w:pPr>
      <w:bookmarkStart w:id="603" w:name="_Toc142508353"/>
      <w:bookmarkStart w:id="604" w:name="_Toc24403"/>
      <w:bookmarkStart w:id="605" w:name="_Toc30597"/>
      <w:bookmarkStart w:id="606" w:name="_Toc3888"/>
      <w:bookmarkStart w:id="607" w:name="_Toc176627817"/>
      <w:bookmarkStart w:id="608" w:name="_Toc2422"/>
      <w:bookmarkStart w:id="609" w:name="_Toc172552183"/>
      <w:bookmarkStart w:id="610" w:name="_Toc12443"/>
      <w:bookmarkStart w:id="611" w:name="_Toc178076496"/>
      <w:bookmarkStart w:id="612" w:name="_Toc13033"/>
      <w:bookmarkStart w:id="613" w:name="_Toc486167702"/>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在合同履行中变更采购范围的权利</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31E2489F">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36.1 合同履行中，招标人在合同约定的范围内，招标人有权根据项目实际情况及有关法律法规、政策的规定对采购范围进行变更调整，变更采购范围后，投标人应遵照执行。</w:t>
      </w:r>
    </w:p>
    <w:p w14:paraId="403F3124">
      <w:pPr>
        <w:ind w:left="315" w:leftChars="-100" w:hanging="525" w:hangingChars="250"/>
        <w:jc w:val="left"/>
        <w:rPr>
          <w:rFonts w:hint="eastAsia" w:ascii="宋体" w:hAnsi="宋体" w:eastAsia="宋体" w:cs="宋体"/>
          <w:color w:val="auto"/>
          <w:szCs w:val="21"/>
          <w:highlight w:val="none"/>
          <w:lang w:val="zh-CN"/>
        </w:rPr>
      </w:pPr>
      <w:bookmarkStart w:id="614" w:name="_Toc450662888"/>
    </w:p>
    <w:p w14:paraId="2DB7D88F">
      <w:pPr>
        <w:pStyle w:val="4"/>
        <w:rPr>
          <w:rFonts w:hint="eastAsia" w:ascii="宋体" w:hAnsi="宋体" w:eastAsia="宋体" w:cs="宋体"/>
          <w:color w:val="auto"/>
          <w:szCs w:val="21"/>
          <w:highlight w:val="none"/>
          <w:lang w:val="zh-CN"/>
        </w:rPr>
      </w:pPr>
      <w:bookmarkStart w:id="615" w:name="_Toc486167703"/>
      <w:bookmarkStart w:id="616" w:name="_Toc176627818"/>
      <w:bookmarkStart w:id="617" w:name="_Toc9798"/>
      <w:bookmarkStart w:id="618" w:name="_Toc14372"/>
      <w:bookmarkStart w:id="619" w:name="_Toc12754"/>
      <w:bookmarkStart w:id="620" w:name="_Toc7255"/>
      <w:bookmarkStart w:id="621" w:name="_Toc142508354"/>
      <w:bookmarkStart w:id="622" w:name="_Toc172552184"/>
      <w:bookmarkStart w:id="623" w:name="_Toc16022"/>
      <w:bookmarkStart w:id="624" w:name="_Toc178076497"/>
      <w:bookmarkStart w:id="625" w:name="_Toc28921_WPSOffice_Level3"/>
      <w:bookmarkStart w:id="626" w:name="_Toc13275"/>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614"/>
      <w:bookmarkEnd w:id="615"/>
      <w:bookmarkEnd w:id="616"/>
      <w:bookmarkEnd w:id="617"/>
      <w:bookmarkEnd w:id="618"/>
      <w:bookmarkEnd w:id="619"/>
      <w:bookmarkEnd w:id="620"/>
      <w:bookmarkEnd w:id="621"/>
      <w:bookmarkEnd w:id="622"/>
      <w:bookmarkEnd w:id="623"/>
      <w:bookmarkEnd w:id="624"/>
      <w:bookmarkEnd w:id="625"/>
      <w:bookmarkEnd w:id="626"/>
    </w:p>
    <w:p w14:paraId="5EC1944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37.1 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暂定含税合同总价为计费额，本项目业务性质：按货物类招标代理服务收费）。</w:t>
      </w:r>
    </w:p>
    <w:p w14:paraId="4C38925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37.2 中标人收到中标通知后，须在15日内向招标代理机构交纳中标服务费用及领取《中标通知书》原件，否则视为放弃中标权利和义务。</w:t>
      </w:r>
    </w:p>
    <w:p w14:paraId="7F8F6D9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37.3 中标服务费以银行转账、电汇</w:t>
      </w:r>
      <w:r>
        <w:rPr>
          <w:rFonts w:hint="eastAsia" w:ascii="宋体" w:hAnsi="宋体" w:eastAsia="宋体" w:cs="宋体"/>
          <w:color w:val="auto"/>
          <w:highlight w:val="none"/>
        </w:rPr>
        <w:t>等</w:t>
      </w:r>
      <w:r>
        <w:rPr>
          <w:rFonts w:hint="eastAsia" w:ascii="宋体" w:hAnsi="宋体" w:eastAsia="宋体" w:cs="宋体"/>
          <w:color w:val="auto"/>
          <w:highlight w:val="none"/>
          <w:lang w:val="zh-CN"/>
        </w:rPr>
        <w:t>方式交纳。</w:t>
      </w:r>
    </w:p>
    <w:p w14:paraId="0646124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     中标服务费汇入账号（特别提醒，本账户非投标保证金汇入账户)：</w:t>
      </w:r>
    </w:p>
    <w:p w14:paraId="1433F66E">
      <w:pPr>
        <w:ind w:left="1050" w:leftChars="250"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color w:val="auto"/>
          <w:szCs w:val="21"/>
          <w:highlight w:val="none"/>
          <w:lang w:val="zh-CN"/>
        </w:rPr>
        <w:t>广东有德招标采购有限公司东莞分公司</w:t>
      </w:r>
    </w:p>
    <w:p w14:paraId="1C3AB08D">
      <w:pPr>
        <w:ind w:left="1050" w:leftChars="250"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szCs w:val="21"/>
          <w:highlight w:val="none"/>
          <w:lang w:val="zh-CN"/>
        </w:rPr>
        <w:t>建行东莞南城支行</w:t>
      </w:r>
    </w:p>
    <w:p w14:paraId="4C408412">
      <w:pPr>
        <w:ind w:left="1050" w:leftChars="250"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银行账号：</w:t>
      </w:r>
      <w:r>
        <w:rPr>
          <w:rFonts w:hint="eastAsia" w:ascii="宋体" w:hAnsi="宋体" w:eastAsia="宋体" w:cs="宋体"/>
          <w:color w:val="auto"/>
          <w:szCs w:val="21"/>
          <w:highlight w:val="none"/>
          <w:lang w:val="zh-CN"/>
        </w:rPr>
        <w:t>44001776040053011261</w:t>
      </w:r>
    </w:p>
    <w:p w14:paraId="1122188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37.4 中标人如未按第37.1款、第37.2款规定办理，将不予退还其投标保证金。</w:t>
      </w:r>
    </w:p>
    <w:p w14:paraId="3294C366">
      <w:pPr>
        <w:rPr>
          <w:rFonts w:hint="eastAsia" w:ascii="宋体" w:hAnsi="宋体" w:eastAsia="宋体" w:cs="宋体"/>
          <w:color w:val="auto"/>
          <w:highlight w:val="none"/>
        </w:rPr>
      </w:pPr>
      <w:bookmarkStart w:id="627" w:name="_Toc17659"/>
      <w:bookmarkStart w:id="628" w:name="_Toc172552185"/>
      <w:bookmarkStart w:id="629" w:name="_Toc6764_WPSOffice_Level3"/>
      <w:bookmarkStart w:id="630" w:name="_Toc29404"/>
      <w:bookmarkStart w:id="631" w:name="_Toc450662889"/>
      <w:bookmarkStart w:id="632" w:name="_Toc178076498"/>
      <w:bookmarkStart w:id="633" w:name="_Toc26292"/>
      <w:bookmarkStart w:id="634" w:name="_Toc142508355"/>
      <w:bookmarkStart w:id="635" w:name="_Toc26549"/>
      <w:bookmarkStart w:id="636" w:name="_Toc486167704"/>
      <w:bookmarkStart w:id="637" w:name="_Toc176627819"/>
    </w:p>
    <w:p w14:paraId="1E2EAD37">
      <w:pPr>
        <w:pStyle w:val="4"/>
        <w:rPr>
          <w:rFonts w:hint="eastAsia" w:ascii="宋体" w:hAnsi="宋体" w:eastAsia="宋体" w:cs="宋体"/>
          <w:color w:val="auto"/>
          <w:szCs w:val="21"/>
          <w:highlight w:val="none"/>
          <w:lang w:val="zh-CN"/>
        </w:rPr>
      </w:pPr>
      <w:bookmarkStart w:id="638" w:name="_Toc17641"/>
      <w:bookmarkStart w:id="639" w:name="_Toc184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08F2D16F">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0" w:name="_Toc486167705"/>
      <w:bookmarkStart w:id="641" w:name="_Toc31106_WPSOffice_Level3"/>
    </w:p>
    <w:p w14:paraId="2225E716">
      <w:pPr>
        <w:ind w:left="315" w:leftChars="-100" w:hanging="525" w:hangingChars="250"/>
        <w:jc w:val="left"/>
        <w:rPr>
          <w:rFonts w:hint="eastAsia" w:ascii="宋体" w:hAnsi="宋体" w:eastAsia="宋体" w:cs="宋体"/>
          <w:color w:val="auto"/>
          <w:szCs w:val="21"/>
          <w:highlight w:val="none"/>
        </w:rPr>
      </w:pPr>
    </w:p>
    <w:p w14:paraId="068308E7">
      <w:pPr>
        <w:pStyle w:val="4"/>
        <w:rPr>
          <w:rFonts w:hint="eastAsia" w:ascii="宋体" w:hAnsi="宋体" w:eastAsia="宋体" w:cs="宋体"/>
          <w:b/>
          <w:bCs/>
          <w:color w:val="auto"/>
          <w:highlight w:val="none"/>
        </w:rPr>
      </w:pPr>
      <w:bookmarkStart w:id="642" w:name="_Toc172552186"/>
      <w:bookmarkStart w:id="643" w:name="_Toc17204"/>
      <w:bookmarkStart w:id="644" w:name="_Toc1748"/>
      <w:bookmarkStart w:id="645" w:name="_Toc8961"/>
      <w:bookmarkStart w:id="646" w:name="_Toc178076499"/>
      <w:bookmarkStart w:id="647" w:name="_Toc16304"/>
      <w:bookmarkStart w:id="648" w:name="_Toc7695"/>
      <w:bookmarkStart w:id="649" w:name="_Toc142508356"/>
      <w:bookmarkStart w:id="650" w:name="_Toc25853"/>
      <w:bookmarkStart w:id="651" w:name="_Toc176627820"/>
      <w:r>
        <w:rPr>
          <w:rFonts w:hint="eastAsia" w:ascii="宋体" w:hAnsi="宋体" w:eastAsia="宋体" w:cs="宋体"/>
          <w:b/>
          <w:bCs/>
          <w:color w:val="auto"/>
          <w:highlight w:val="none"/>
        </w:rPr>
        <w:t>39 招标相关补充约定</w:t>
      </w:r>
      <w:bookmarkEnd w:id="642"/>
      <w:bookmarkEnd w:id="643"/>
      <w:bookmarkEnd w:id="644"/>
      <w:bookmarkEnd w:id="645"/>
      <w:bookmarkEnd w:id="646"/>
      <w:bookmarkEnd w:id="647"/>
      <w:bookmarkEnd w:id="648"/>
      <w:bookmarkEnd w:id="649"/>
      <w:bookmarkEnd w:id="650"/>
      <w:bookmarkEnd w:id="651"/>
    </w:p>
    <w:p w14:paraId="116E22A3">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39.1</w:t>
      </w:r>
      <w:r>
        <w:rPr>
          <w:rFonts w:hint="eastAsia" w:ascii="宋体" w:hAnsi="宋体" w:eastAsia="宋体" w:cs="宋体"/>
          <w:b/>
          <w:bCs/>
          <w:color w:val="auto"/>
          <w:highlight w:val="none"/>
        </w:rPr>
        <w:tab/>
      </w:r>
      <w:r>
        <w:rPr>
          <w:rFonts w:hint="eastAsia" w:ascii="宋体" w:hAnsi="宋体" w:eastAsia="宋体" w:cs="宋体"/>
          <w:b/>
          <w:bCs/>
          <w:color w:val="auto"/>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538F399F">
      <w:pPr>
        <w:ind w:left="315" w:leftChars="-100" w:hanging="525" w:hangingChars="250"/>
        <w:jc w:val="left"/>
        <w:rPr>
          <w:rFonts w:hint="eastAsia" w:ascii="宋体" w:hAnsi="宋体" w:eastAsia="宋体" w:cs="宋体"/>
          <w:color w:val="auto"/>
          <w:szCs w:val="21"/>
          <w:highlight w:val="none"/>
        </w:rPr>
      </w:pPr>
    </w:p>
    <w:p w14:paraId="12ACA08F">
      <w:pPr>
        <w:pStyle w:val="4"/>
        <w:rPr>
          <w:rFonts w:hint="eastAsia" w:ascii="宋体" w:hAnsi="宋体" w:eastAsia="宋体" w:cs="宋体"/>
          <w:color w:val="auto"/>
          <w:highlight w:val="none"/>
        </w:rPr>
      </w:pPr>
      <w:bookmarkStart w:id="652" w:name="_Toc13149"/>
      <w:bookmarkStart w:id="653" w:name="_Toc29450"/>
      <w:bookmarkStart w:id="654" w:name="_Toc178076500"/>
      <w:bookmarkStart w:id="655" w:name="_Toc1055"/>
      <w:bookmarkStart w:id="656" w:name="_Toc23909"/>
      <w:bookmarkStart w:id="657" w:name="_Toc172552187"/>
      <w:bookmarkStart w:id="658" w:name="_Toc176627821"/>
      <w:bookmarkStart w:id="659" w:name="_Toc24305"/>
      <w:bookmarkStart w:id="660" w:name="_Toc26725"/>
      <w:bookmarkStart w:id="661" w:name="_Toc142508357"/>
      <w:r>
        <w:rPr>
          <w:rFonts w:hint="eastAsia" w:ascii="宋体" w:hAnsi="宋体" w:eastAsia="宋体" w:cs="宋体"/>
          <w:color w:val="auto"/>
          <w:highlight w:val="none"/>
        </w:rPr>
        <w:t>40 本次招标活动的最终解释权归招标代理机构及招标人所有。</w:t>
      </w:r>
      <w:bookmarkEnd w:id="640"/>
      <w:bookmarkEnd w:id="641"/>
      <w:bookmarkEnd w:id="652"/>
      <w:bookmarkEnd w:id="653"/>
      <w:bookmarkEnd w:id="654"/>
      <w:bookmarkEnd w:id="655"/>
      <w:bookmarkEnd w:id="656"/>
      <w:bookmarkEnd w:id="657"/>
      <w:bookmarkEnd w:id="658"/>
      <w:bookmarkEnd w:id="659"/>
      <w:bookmarkEnd w:id="660"/>
      <w:bookmarkEnd w:id="661"/>
    </w:p>
    <w:p w14:paraId="0D91D774">
      <w:pPr>
        <w:rPr>
          <w:rFonts w:hint="eastAsia" w:ascii="宋体" w:hAnsi="宋体" w:eastAsia="宋体" w:cs="宋体"/>
          <w:color w:val="auto"/>
          <w:highlight w:val="none"/>
          <w:lang w:val="zh-CN"/>
        </w:rPr>
      </w:pPr>
      <w:bookmarkStart w:id="662" w:name="_Toc486167706"/>
      <w:bookmarkStart w:id="663" w:name="_Toc9876"/>
      <w:bookmarkStart w:id="664" w:name="_Toc27939_WPSOffice_Level1"/>
      <w:bookmarkStart w:id="665" w:name="_Toc28218"/>
      <w:bookmarkStart w:id="666" w:name="_Toc32092"/>
      <w:bookmarkStart w:id="667" w:name="_Toc17327"/>
      <w:bookmarkStart w:id="668" w:name="_Toc176627822"/>
      <w:bookmarkStart w:id="669" w:name="_Toc10470"/>
      <w:bookmarkStart w:id="670" w:name="_Toc9813"/>
      <w:bookmarkStart w:id="671" w:name="_Toc178076501"/>
      <w:bookmarkStart w:id="672" w:name="_Toc142508358"/>
      <w:bookmarkStart w:id="673" w:name="_Toc172552188"/>
      <w:bookmarkStart w:id="674" w:name="_Toc450662891"/>
      <w:bookmarkStart w:id="675" w:name="_Toc26458"/>
      <w:r>
        <w:rPr>
          <w:rFonts w:hint="eastAsia" w:ascii="宋体" w:hAnsi="宋体" w:eastAsia="宋体" w:cs="宋体"/>
          <w:color w:val="auto"/>
          <w:highlight w:val="none"/>
          <w:lang w:val="zh-CN"/>
        </w:rPr>
        <w:br w:type="page"/>
      </w:r>
    </w:p>
    <w:p w14:paraId="5704C19C">
      <w:pPr>
        <w:pStyle w:val="2"/>
        <w:rPr>
          <w:rFonts w:hint="eastAsia" w:ascii="宋体" w:hAnsi="宋体" w:eastAsia="宋体" w:cs="宋体"/>
          <w:color w:val="auto"/>
          <w:highlight w:val="none"/>
          <w:lang w:val="zh-CN"/>
        </w:rPr>
      </w:pPr>
      <w:bookmarkStart w:id="676" w:name="_Toc26657"/>
      <w:bookmarkStart w:id="677" w:name="_Toc11394"/>
      <w:r>
        <w:rPr>
          <w:rFonts w:hint="eastAsia" w:ascii="宋体" w:hAnsi="宋体" w:eastAsia="宋体" w:cs="宋体"/>
          <w:color w:val="auto"/>
          <w:highlight w:val="none"/>
          <w:lang w:val="zh-CN"/>
        </w:rPr>
        <w:t>第三篇 用户需求书</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083CFCB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bookmarkStart w:id="678" w:name="_Toc12899"/>
      <w:bookmarkStart w:id="679" w:name="_Toc15610"/>
      <w:bookmarkStart w:id="680" w:name="_Toc30284"/>
      <w:bookmarkStart w:id="681" w:name="_Toc26628"/>
      <w:bookmarkStart w:id="682" w:name="_Toc178076605"/>
      <w:bookmarkStart w:id="683" w:name="_Toc11756"/>
      <w:bookmarkStart w:id="684" w:name="_Toc12769"/>
      <w:bookmarkStart w:id="685" w:name="_Toc17922"/>
      <w:bookmarkStart w:id="686" w:name="_Toc176627926"/>
      <w:bookmarkStart w:id="687" w:name="_Toc14142"/>
      <w:bookmarkStart w:id="688" w:name="_Toc172552209"/>
      <w:bookmarkStart w:id="689" w:name="_Toc11489"/>
      <w:bookmarkStart w:id="690" w:name="_Toc142508359"/>
      <w:bookmarkStart w:id="691" w:name="_Toc486167707"/>
      <w:bookmarkStart w:id="692" w:name="_Toc450662892"/>
      <w:bookmarkStart w:id="693" w:name="_Toc19477"/>
      <w:bookmarkStart w:id="694" w:name="_Toc11281_WPSOffice_Level1"/>
      <w:r>
        <w:rPr>
          <w:rFonts w:hint="eastAsia" w:ascii="宋体" w:hAnsi="宋体" w:eastAsia="宋体" w:cs="宋体"/>
          <w:b/>
          <w:bCs/>
          <w:color w:val="auto"/>
          <w:kern w:val="2"/>
          <w:sz w:val="21"/>
          <w:szCs w:val="21"/>
          <w:highlight w:val="none"/>
          <w:lang w:val="en-US" w:eastAsia="zh-CN" w:bidi="ar-SA"/>
        </w:rPr>
        <w:t>一、项目信息</w:t>
      </w:r>
    </w:p>
    <w:p w14:paraId="431A340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1.项目名称：东莞市碧水信息科技有限公司2025年度球墨铸铁阀门采购项目</w:t>
      </w:r>
    </w:p>
    <w:p w14:paraId="5227532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2.采购不含税最高限价：</w:t>
      </w:r>
      <w:r>
        <w:rPr>
          <w:rFonts w:hint="eastAsia" w:ascii="宋体" w:hAnsi="宋体" w:eastAsia="宋体" w:cs="宋体"/>
          <w:b w:val="0"/>
          <w:bCs w:val="0"/>
          <w:color w:val="auto"/>
          <w:kern w:val="2"/>
          <w:sz w:val="21"/>
          <w:szCs w:val="22"/>
          <w:highlight w:val="none"/>
          <w:u w:val="single"/>
          <w:lang w:val="zh-CN" w:eastAsia="zh-CN" w:bidi="ar-SA"/>
        </w:rPr>
        <w:t>2</w:t>
      </w:r>
      <w:r>
        <w:rPr>
          <w:rFonts w:hint="eastAsia" w:cs="宋体"/>
          <w:b w:val="0"/>
          <w:bCs w:val="0"/>
          <w:color w:val="auto"/>
          <w:kern w:val="2"/>
          <w:sz w:val="21"/>
          <w:szCs w:val="22"/>
          <w:highlight w:val="none"/>
          <w:u w:val="single"/>
          <w:lang w:val="en-US" w:eastAsia="zh-CN" w:bidi="ar-SA"/>
        </w:rPr>
        <w:t>,</w:t>
      </w:r>
      <w:r>
        <w:rPr>
          <w:rFonts w:hint="eastAsia" w:ascii="宋体" w:hAnsi="宋体" w:eastAsia="宋体" w:cs="宋体"/>
          <w:b w:val="0"/>
          <w:bCs w:val="0"/>
          <w:color w:val="auto"/>
          <w:kern w:val="2"/>
          <w:sz w:val="21"/>
          <w:szCs w:val="22"/>
          <w:highlight w:val="none"/>
          <w:u w:val="single"/>
          <w:lang w:val="zh-CN" w:eastAsia="zh-CN" w:bidi="ar-SA"/>
        </w:rPr>
        <w:t>737</w:t>
      </w:r>
      <w:r>
        <w:rPr>
          <w:rFonts w:hint="eastAsia" w:cs="宋体"/>
          <w:b w:val="0"/>
          <w:bCs w:val="0"/>
          <w:color w:val="auto"/>
          <w:kern w:val="2"/>
          <w:sz w:val="21"/>
          <w:szCs w:val="22"/>
          <w:highlight w:val="none"/>
          <w:u w:val="single"/>
          <w:lang w:val="en-US" w:eastAsia="zh-CN" w:bidi="ar-SA"/>
        </w:rPr>
        <w:t>,</w:t>
      </w:r>
      <w:r>
        <w:rPr>
          <w:rFonts w:hint="eastAsia" w:ascii="宋体" w:hAnsi="宋体" w:eastAsia="宋体" w:cs="宋体"/>
          <w:b w:val="0"/>
          <w:bCs w:val="0"/>
          <w:color w:val="auto"/>
          <w:kern w:val="2"/>
          <w:sz w:val="21"/>
          <w:szCs w:val="22"/>
          <w:highlight w:val="none"/>
          <w:u w:val="single"/>
          <w:lang w:val="zh-CN" w:eastAsia="zh-CN" w:bidi="ar-SA"/>
        </w:rPr>
        <w:t>924.33</w:t>
      </w:r>
      <w:r>
        <w:rPr>
          <w:rFonts w:hint="eastAsia" w:ascii="宋体" w:hAnsi="宋体" w:eastAsia="宋体" w:cs="宋体"/>
          <w:b w:val="0"/>
          <w:bCs w:val="0"/>
          <w:color w:val="auto"/>
          <w:kern w:val="2"/>
          <w:sz w:val="21"/>
          <w:szCs w:val="21"/>
          <w:highlight w:val="none"/>
          <w:lang w:val="en-US" w:eastAsia="zh-CN" w:bidi="ar-SA"/>
        </w:rPr>
        <w:t>元</w:t>
      </w:r>
    </w:p>
    <w:p w14:paraId="007505D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3.供货期自合同签订之日起至2026年12月31日或累计结算金额（不含税）达到</w:t>
      </w:r>
      <w:r>
        <w:rPr>
          <w:rFonts w:hint="eastAsia" w:cs="宋体"/>
          <w:color w:val="auto"/>
          <w:sz w:val="21"/>
          <w:szCs w:val="21"/>
          <w:highlight w:val="none"/>
          <w:u w:val="none"/>
          <w:lang w:val="en-US" w:eastAsia="zh-CN"/>
        </w:rPr>
        <w:t>不含税</w:t>
      </w:r>
      <w:r>
        <w:rPr>
          <w:rFonts w:hint="eastAsia" w:ascii="宋体" w:hAnsi="宋体" w:eastAsia="宋体" w:cs="宋体"/>
          <w:color w:val="auto"/>
          <w:sz w:val="21"/>
          <w:szCs w:val="21"/>
          <w:highlight w:val="none"/>
          <w:u w:val="none"/>
        </w:rPr>
        <w:t>暂定合同价</w:t>
      </w:r>
      <w:r>
        <w:rPr>
          <w:rFonts w:hint="eastAsia" w:ascii="宋体" w:hAnsi="宋体" w:eastAsia="宋体" w:cs="宋体"/>
          <w:b w:val="0"/>
          <w:bCs w:val="0"/>
          <w:color w:val="auto"/>
          <w:kern w:val="2"/>
          <w:sz w:val="21"/>
          <w:szCs w:val="21"/>
          <w:highlight w:val="none"/>
          <w:lang w:val="en-US" w:eastAsia="zh-CN" w:bidi="ar-SA"/>
        </w:rPr>
        <w:t>时，采购合同终止，以先到者为准。</w:t>
      </w:r>
    </w:p>
    <w:p w14:paraId="3A145E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二、货物采购需求</w:t>
      </w:r>
    </w:p>
    <w:p w14:paraId="4F920DA7">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1.采购货物情况，具体详见附件一：《采购材料清单》。</w:t>
      </w:r>
    </w:p>
    <w:p w14:paraId="32E1A620">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2.上述阀门预计用量仅为方便合计总报价使用，不作为招标人最终采购量的保证，</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标人不得因招标人实际采购量的减少或增加而要求提供任何形式的补偿或赔偿，实际采购量以招标人实际需求量为准。</w:t>
      </w:r>
    </w:p>
    <w:p w14:paraId="1756EA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三、交货要求</w:t>
      </w:r>
    </w:p>
    <w:p w14:paraId="40FCFDB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1.送货要求：</w:t>
      </w:r>
    </w:p>
    <w:p w14:paraId="6B8679F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（1）供货期内，</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标人根据招标人的需求进行分批次供货，对于部分货源不充足需要订购的材料，</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标人需跟招标人进行沟通并经招标人书面同意后，可延长交货期。</w:t>
      </w:r>
    </w:p>
    <w:p w14:paraId="2670730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（2）阀门在招标人零库存情况下，无论何时，只要招标人有需求，</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标人必须在招标人规定时间内将阀门送达交货现场。</w:t>
      </w:r>
    </w:p>
    <w:p w14:paraId="769B6409">
      <w:pPr>
        <w:adjustRightInd/>
        <w:snapToGrid/>
        <w:ind w:firstLine="420" w:firstLineChars="200"/>
        <w:rPr>
          <w:rFonts w:hint="eastAsia" w:ascii="宋体" w:hAnsi="宋体" w:eastAsia="宋体" w:cs="宋体"/>
          <w:snapToGrid w:val="0"/>
          <w:color w:val="auto"/>
          <w:kern w:val="0"/>
          <w:szCs w:val="21"/>
          <w:highlight w:val="none"/>
          <w:lang w:bidi="ar"/>
        </w:rPr>
      </w:pPr>
      <w:r>
        <w:rPr>
          <w:rFonts w:hint="eastAsia" w:ascii="宋体" w:hAnsi="宋体" w:eastAsia="宋体" w:cs="宋体"/>
          <w:b w:val="0"/>
          <w:bCs w:val="0"/>
          <w:color w:val="auto"/>
          <w:kern w:val="2"/>
          <w:sz w:val="21"/>
          <w:szCs w:val="21"/>
          <w:highlight w:val="none"/>
          <w:lang w:val="en-US" w:eastAsia="zh-CN" w:bidi="ar-SA"/>
        </w:rPr>
        <w:t>（</w:t>
      </w:r>
      <w:r>
        <w:rPr>
          <w:rFonts w:hint="eastAsia"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w:t>
      </w:r>
      <w:r>
        <w:rPr>
          <w:rFonts w:hint="eastAsia" w:ascii="宋体" w:hAnsi="宋体" w:eastAsia="宋体" w:cs="宋体"/>
          <w:snapToGrid w:val="0"/>
          <w:color w:val="auto"/>
          <w:kern w:val="0"/>
          <w:szCs w:val="21"/>
          <w:highlight w:val="none"/>
          <w:lang w:bidi="ar"/>
        </w:rPr>
        <w:t>应指定专人负责配送，按照</w:t>
      </w:r>
      <w:r>
        <w:rPr>
          <w:rFonts w:hint="eastAsia" w:ascii="宋体" w:hAnsi="宋体" w:eastAsia="宋体" w:cs="宋体"/>
          <w:snapToGrid w:val="0"/>
          <w:color w:val="auto"/>
          <w:kern w:val="0"/>
          <w:szCs w:val="21"/>
          <w:highlight w:val="none"/>
          <w:lang w:val="en-US" w:eastAsia="zh-CN" w:bidi="ar"/>
        </w:rPr>
        <w:t>招标人</w:t>
      </w:r>
      <w:r>
        <w:rPr>
          <w:rFonts w:hint="eastAsia" w:ascii="宋体" w:hAnsi="宋体" w:eastAsia="宋体" w:cs="宋体"/>
          <w:snapToGrid w:val="0"/>
          <w:color w:val="auto"/>
          <w:kern w:val="0"/>
          <w:szCs w:val="21"/>
          <w:highlight w:val="none"/>
          <w:lang w:bidi="ar"/>
        </w:rPr>
        <w:t>每批次订单注明的品种、数量、质量及时间要求（以合同及采购订单为准），在7日内将货物送达指定地点；对于紧急采购需求，须在5日内完成送达。每次交货时，</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w:t>
      </w:r>
      <w:r>
        <w:rPr>
          <w:rFonts w:hint="eastAsia" w:ascii="宋体" w:hAnsi="宋体" w:eastAsia="宋体" w:cs="宋体"/>
          <w:snapToGrid w:val="0"/>
          <w:color w:val="auto"/>
          <w:kern w:val="0"/>
          <w:szCs w:val="21"/>
          <w:highlight w:val="none"/>
          <w:lang w:bidi="ar"/>
        </w:rPr>
        <w:t>需随货提供一式两份《送货清单》，由</w:t>
      </w:r>
      <w:r>
        <w:rPr>
          <w:rFonts w:hint="eastAsia" w:ascii="宋体" w:hAnsi="宋体" w:eastAsia="宋体" w:cs="宋体"/>
          <w:snapToGrid w:val="0"/>
          <w:color w:val="auto"/>
          <w:kern w:val="0"/>
          <w:szCs w:val="21"/>
          <w:highlight w:val="none"/>
          <w:lang w:val="en-US" w:eastAsia="zh-CN" w:bidi="ar"/>
        </w:rPr>
        <w:t>招标人、中标人</w:t>
      </w:r>
      <w:r>
        <w:rPr>
          <w:rFonts w:hint="eastAsia" w:ascii="宋体" w:hAnsi="宋体" w:eastAsia="宋体" w:cs="宋体"/>
          <w:snapToGrid w:val="0"/>
          <w:color w:val="auto"/>
          <w:kern w:val="0"/>
          <w:szCs w:val="21"/>
          <w:highlight w:val="none"/>
          <w:lang w:bidi="ar"/>
        </w:rPr>
        <w:t>双方共同验</w:t>
      </w:r>
      <w:r>
        <w:rPr>
          <w:rFonts w:hint="eastAsia" w:ascii="宋体" w:hAnsi="宋体" w:eastAsia="宋体" w:cs="宋体"/>
          <w:snapToGrid w:val="0"/>
          <w:color w:val="auto"/>
          <w:kern w:val="0"/>
          <w:szCs w:val="21"/>
          <w:highlight w:val="none"/>
          <w:lang w:val="en-US" w:eastAsia="zh-CN" w:bidi="ar"/>
        </w:rPr>
        <w:t>收</w:t>
      </w:r>
      <w:r>
        <w:rPr>
          <w:rFonts w:hint="eastAsia" w:ascii="宋体" w:hAnsi="宋体" w:eastAsia="宋体" w:cs="宋体"/>
          <w:snapToGrid w:val="0"/>
          <w:color w:val="auto"/>
          <w:kern w:val="0"/>
          <w:szCs w:val="21"/>
          <w:highlight w:val="none"/>
          <w:lang w:bidi="ar"/>
        </w:rPr>
        <w:t>签字确认后各执一份，作为送收货凭证。</w:t>
      </w:r>
    </w:p>
    <w:p w14:paraId="7E843593">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napToGrid w:val="0"/>
          <w:color w:val="auto"/>
          <w:kern w:val="0"/>
          <w:szCs w:val="21"/>
          <w:highlight w:val="none"/>
          <w:lang w:eastAsia="zh-CN" w:bidi="ar"/>
        </w:rPr>
        <w:t>（</w:t>
      </w:r>
      <w:r>
        <w:rPr>
          <w:rFonts w:hint="eastAsia" w:cs="宋体"/>
          <w:snapToGrid w:val="0"/>
          <w:color w:val="auto"/>
          <w:kern w:val="0"/>
          <w:szCs w:val="21"/>
          <w:highlight w:val="none"/>
          <w:lang w:val="en-US" w:eastAsia="zh-CN" w:bidi="ar"/>
        </w:rPr>
        <w:t>4</w:t>
      </w:r>
      <w:r>
        <w:rPr>
          <w:rFonts w:hint="eastAsia" w:ascii="宋体" w:hAnsi="宋体" w:eastAsia="宋体" w:cs="宋体"/>
          <w:snapToGrid w:val="0"/>
          <w:color w:val="auto"/>
          <w:kern w:val="0"/>
          <w:szCs w:val="21"/>
          <w:highlight w:val="none"/>
          <w:lang w:eastAsia="zh-CN" w:bidi="ar"/>
        </w:rPr>
        <w:t>）</w:t>
      </w:r>
      <w:r>
        <w:rPr>
          <w:rFonts w:hint="eastAsia" w:ascii="宋体" w:hAnsi="宋体" w:eastAsia="宋体" w:cs="宋体"/>
          <w:snapToGrid w:val="0"/>
          <w:color w:val="auto"/>
          <w:kern w:val="0"/>
          <w:szCs w:val="21"/>
          <w:highlight w:val="none"/>
          <w:lang w:bidi="ar"/>
        </w:rPr>
        <w:t>所有货物必须到指定的交货现场（</w:t>
      </w:r>
      <w:r>
        <w:rPr>
          <w:rFonts w:hint="eastAsia" w:ascii="宋体" w:hAnsi="宋体" w:eastAsia="宋体" w:cs="宋体"/>
          <w:snapToGrid w:val="0"/>
          <w:color w:val="auto"/>
          <w:kern w:val="0"/>
          <w:szCs w:val="21"/>
          <w:highlight w:val="none"/>
          <w:lang w:val="en-US" w:eastAsia="zh-CN" w:bidi="ar"/>
        </w:rPr>
        <w:t>招标人</w:t>
      </w:r>
      <w:r>
        <w:rPr>
          <w:rFonts w:hint="eastAsia" w:ascii="宋体" w:hAnsi="宋体" w:eastAsia="宋体" w:cs="宋体"/>
          <w:snapToGrid w:val="0"/>
          <w:color w:val="auto"/>
          <w:kern w:val="0"/>
          <w:szCs w:val="21"/>
          <w:highlight w:val="none"/>
          <w:lang w:bidi="ar"/>
        </w:rPr>
        <w:t>指定地点）后才能拆封。在开箱检验时必须完好，无破损，配置与装箱单相符。货物外观清洁，标记编号以及字体清晰、明确</w:t>
      </w:r>
      <w:r>
        <w:rPr>
          <w:rFonts w:hint="eastAsia" w:ascii="宋体" w:hAnsi="宋体" w:eastAsia="宋体" w:cs="宋体"/>
          <w:snapToGrid w:val="0"/>
          <w:color w:val="auto"/>
          <w:kern w:val="0"/>
          <w:szCs w:val="21"/>
          <w:highlight w:val="none"/>
          <w:lang w:eastAsia="zh-CN" w:bidi="ar"/>
        </w:rPr>
        <w:t>。</w:t>
      </w:r>
    </w:p>
    <w:p w14:paraId="7B9F345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标人应具备合理的应急供货能力，包括但不限于库存管理、物流配送等。如果</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标人在零库存情况下，因为自身管理不善（如没有合理的库存预警机制、物流配送不及时等）导致无法按时供货，则属于违约行为。</w:t>
      </w:r>
    </w:p>
    <w:p w14:paraId="0A71696B">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如果遇到不可抗力（如自然灾害、交通管制等）导致无法按时供货，</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标人应及时通知招标人，并提供相应的证明。在这种情况下，双方应协商解决。</w:t>
      </w:r>
    </w:p>
    <w:p w14:paraId="767AE69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2.对于不在集中采购品类的规格型号清单的，双方可通过协商方式下单。</w:t>
      </w:r>
    </w:p>
    <w:p w14:paraId="3A42B8F1">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3.交货地点：</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874"/>
        <w:gridCol w:w="4356"/>
        <w:gridCol w:w="3123"/>
      </w:tblGrid>
      <w:tr w14:paraId="1811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57" w:type="pct"/>
            <w:noWrap/>
            <w:vAlign w:val="center"/>
          </w:tcPr>
          <w:p w14:paraId="3271258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10" w:type="pct"/>
            <w:noWrap w:val="0"/>
            <w:vAlign w:val="center"/>
          </w:tcPr>
          <w:p w14:paraId="6DE46AE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交货地点</w:t>
            </w:r>
          </w:p>
        </w:tc>
        <w:tc>
          <w:tcPr>
            <w:tcW w:w="2115" w:type="pct"/>
            <w:noWrap w:val="0"/>
            <w:vAlign w:val="center"/>
          </w:tcPr>
          <w:p w14:paraId="7679FEB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详细地址</w:t>
            </w:r>
          </w:p>
        </w:tc>
        <w:tc>
          <w:tcPr>
            <w:tcW w:w="1516" w:type="pct"/>
            <w:noWrap w:val="0"/>
            <w:vAlign w:val="center"/>
          </w:tcPr>
          <w:p w14:paraId="5A7188D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7F24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57" w:type="pct"/>
            <w:shd w:val="clear" w:color="auto" w:fill="auto"/>
            <w:noWrap/>
            <w:vAlign w:val="center"/>
          </w:tcPr>
          <w:p w14:paraId="451268B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910" w:type="pct"/>
            <w:tcBorders>
              <w:right w:val="single" w:color="auto" w:sz="4" w:space="0"/>
            </w:tcBorders>
            <w:shd w:val="clear" w:color="auto" w:fill="auto"/>
            <w:noWrap w:val="0"/>
            <w:vAlign w:val="center"/>
          </w:tcPr>
          <w:p w14:paraId="159E113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东莞市内</w:t>
            </w:r>
          </w:p>
        </w:tc>
        <w:tc>
          <w:tcPr>
            <w:tcW w:w="2115" w:type="pct"/>
            <w:shd w:val="clear" w:color="auto" w:fill="auto"/>
            <w:noWrap w:val="0"/>
            <w:vAlign w:val="center"/>
          </w:tcPr>
          <w:p w14:paraId="5416B97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以采购方具体通知为准</w:t>
            </w:r>
          </w:p>
        </w:tc>
        <w:tc>
          <w:tcPr>
            <w:tcW w:w="1516" w:type="pct"/>
            <w:shd w:val="clear" w:color="auto" w:fill="auto"/>
            <w:noWrap w:val="0"/>
            <w:vAlign w:val="center"/>
          </w:tcPr>
          <w:p w14:paraId="4D6975C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lang w:val="en-US" w:eastAsia="zh-CN"/>
              </w:rPr>
            </w:pPr>
          </w:p>
        </w:tc>
      </w:tr>
    </w:tbl>
    <w:p w14:paraId="70C4BBBB">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（1）在货物移交给招标人并经招标人验收合格前，货物的损耗、毁损、灭失的风险和责任均由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标人自行承担。</w:t>
      </w:r>
    </w:p>
    <w:p w14:paraId="78D89B5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（2）招标人有权修改、变更货物数量，具体供货数量以招标人通知为准，最终双方根据实际供货情况据实结算。</w:t>
      </w:r>
    </w:p>
    <w:p w14:paraId="352C69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（3）必须提供生产厂家营业执照、供货单、出厂合格证、检验合格报告等资料证明。</w:t>
      </w:r>
    </w:p>
    <w:p w14:paraId="1827E5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四、技术参数要求</w:t>
      </w:r>
    </w:p>
    <w:p w14:paraId="029B0B9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1.球墨铸铁软密封法兰闸阀</w:t>
      </w:r>
    </w:p>
    <w:p w14:paraId="6042404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 基本技术要求</w:t>
      </w:r>
    </w:p>
    <w:p w14:paraId="2BA9B87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（1）闸阀采用弹性座封软密封闸阀，其主要由阀体、闸板、阀杆、阀盖、止推轴承、压盖等部件组成。</w:t>
      </w:r>
    </w:p>
    <w:p w14:paraId="5B5B8D2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（2）闸阀主要技术参数</w:t>
      </w:r>
    </w:p>
    <w:p w14:paraId="5DB3E6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公称压力：1.0Mpa</w:t>
      </w:r>
    </w:p>
    <w:p w14:paraId="1AF873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强度试验：1.5倍公称压力</w:t>
      </w:r>
    </w:p>
    <w:p w14:paraId="177C893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密封试验：1.1倍公称压力</w:t>
      </w:r>
    </w:p>
    <w:p w14:paraId="0B577A5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适用介质：空气、河水、自来水、弱腐蚀性流体</w:t>
      </w:r>
    </w:p>
    <w:p w14:paraId="7B5B851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适用温度：0℃～+80℃</w:t>
      </w:r>
    </w:p>
    <w:p w14:paraId="378A65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适用pH值：4～9</w:t>
      </w:r>
    </w:p>
    <w:p w14:paraId="6697345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漏失率：0</w:t>
      </w:r>
    </w:p>
    <w:p w14:paraId="28E17B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 主要结构及材质要求</w:t>
      </w:r>
    </w:p>
    <w:p w14:paraId="36444EE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（1）阀体、阀盖、闸板</w:t>
      </w:r>
    </w:p>
    <w:p w14:paraId="35E04FC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a）阀体、阀盖、闸板骨架的材质均为球墨铸铁QT450-10或相近、更优材质，符合GB/T 12227-2005规定的技术条件。阀体、阀盖、闸板均进行热处理以消除内应力，商标及材质牌号整体压铸在阀体上。</w:t>
      </w:r>
    </w:p>
    <w:p w14:paraId="4B1D120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1"/>
          <w:highlight w:val="none"/>
          <w:lang w:val="en-US" w:eastAsia="zh-CN" w:bidi="ar-SA"/>
        </w:rPr>
        <w:t>b）以球墨铸铁为骨架的闸板，利用最新的硫化技术内外表面完全包覆丁腈橡胶NBR或三元乙丙烯橡胶EPDM，包胶贴合紧密、几何尺寸精确，密封弹性佳，彻底将闸板金属与流体隔离。按GB/T 11211-2009测定时其粘合强度不小于1.725MPa，按GB/T 15254-2014测定时与金属粘接180度剥离强度不小于9.3kg/m，提供2023年1月1日后省级及以上第三方检测机构出具的闸板橡胶粘合强度及剥离强度检验报告。提供2021年1月1日后省级及以上卫生疾控部门出具的满足《生活饮用水输配水设备及防护材料卫生安全评价规范》的卫生检验报告，提供橡胶卫生许可批件及第三方检测机构出具的EPDM橡胶的硬度、力学性能、压缩永久变形、抗老化性能的检测报告。</w:t>
      </w:r>
    </w:p>
    <w:p w14:paraId="4B23762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c）法兰的材质与阀体一致，均为球墨铸铁QT450-10或相近、更优材质，法兰与阀体铸为一体，法兰的连接尺寸按照GB/T 17241-2024的有关规定执行。</w:t>
      </w:r>
    </w:p>
    <w:p w14:paraId="0F58DC3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d）阀体采用全流域直通式设计，即平底式阀座，不易堆积杂物，密封可靠。</w:t>
      </w:r>
    </w:p>
    <w:p w14:paraId="3D3515D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e）阀体与阀盖之间为法兰式连接，阀体和阀盖采用精密铸造而成，保证铸件精确的几何尺寸和密封面的表面质量，使密封面无需任何精加工即可保证密封性能。</w:t>
      </w:r>
    </w:p>
    <w:p w14:paraId="164F27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f）阀体的最小壁厚保证在1.5倍的壳体试验下，所有的部件不发生变形。</w:t>
      </w:r>
    </w:p>
    <w:p w14:paraId="2F3B9D0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（2）阀杆</w:t>
      </w:r>
    </w:p>
    <w:p w14:paraId="190E7AD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a）阀杆材质为不锈钢（20Cr13或304）或相近、更优，符合GB/T 1220-2007规定的技术条件。</w:t>
      </w:r>
    </w:p>
    <w:p w14:paraId="5A5AD1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阀杆螺母的材质为铜合金或相近、更优，阀杆螺母与闸板的连接为嵌入式或嵌入活块式连接。闸板的铜螺母与球墨铸铁骨架采用特种工艺紧密连接为一体。保证阀杆螺母与闸板两者之间的连接牢固，长期水流冲击下和操作时阀杆螺母不松动、阀板无脱落。</w:t>
      </w:r>
    </w:p>
    <w:p w14:paraId="060A43D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c）软密封闸阀为暗杆式，即阀杆在开启或关闭的过程中不升降。</w:t>
      </w:r>
    </w:p>
    <w:p w14:paraId="50EBE73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（3）轴承</w:t>
      </w:r>
    </w:p>
    <w:p w14:paraId="3323E6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采用止推轴承，材料采用铜合金或以上。</w:t>
      </w:r>
    </w:p>
    <w:p w14:paraId="6A74362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（4）密封</w:t>
      </w:r>
    </w:p>
    <w:p w14:paraId="5C8B106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a）阀体与阀盖的密封：采用丁晴橡胶NBR或三元乙丙烯橡胶EPDM。</w:t>
      </w:r>
    </w:p>
    <w:p w14:paraId="79FA8D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b）阀杆与阀盖的密封：采用3道“O”形橡胶密封圈密封，密封紧密，摩擦阻力小。</w:t>
      </w:r>
    </w:p>
    <w:p w14:paraId="5775C53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c）阀体与闸板、阀体与阀盖、阀杆与阀盖的密封试验均符合GB/T 13927-2022的规定。</w:t>
      </w:r>
    </w:p>
    <w:p w14:paraId="1E746BD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（5）阀门传动机构</w:t>
      </w:r>
    </w:p>
    <w:p w14:paraId="2CA51E0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 手轮采用球墨铸铁QT450-10及以上制造，手轮是可卸式的。手轮安装在阀门顶部，操作设计成水平方向运转，操作方向顺时针为关闭，逆时针为开启。手轮注明开启和关门方向。手轮的表面光滑、没有毛刺、凹坑、凸起等表面质量缺陷。</w:t>
      </w:r>
    </w:p>
    <w:p w14:paraId="41D2261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b）所有传动机构的受力部件能经受2倍的额定力矩而无任何损伤。</w:t>
      </w:r>
    </w:p>
    <w:p w14:paraId="158B6A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 所有室外阀门手轮必须尽量贴近地面以便于人员操作。</w:t>
      </w:r>
    </w:p>
    <w:p w14:paraId="1D4F31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（6）涂层</w:t>
      </w:r>
    </w:p>
    <w:p w14:paraId="621F1A3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防腐前的阀体与阀盖内、外表面进行喷砂除锈，达到Sa2.5级，之后将铸件加热至175℃后才进行静电喷涂环氧树脂粉末工艺，最后烘干固化，内外烤漆，涂层厚度为：内涂层不小于0.25mm，外涂层不小于0.15mm。保证涂层厚度均匀、色泽均一，涂层表面保持光洁，无流痕。阀门外观颜色均采用蓝色。防腐粉末涂料符合《生活饮用水输配水设备及防护材料的安全性评价标准》GB/T 17219-1998要求，应提供2021年1月1日后省级及以上疾控中心出具的环氧树脂粉末涂料卫生检验报告。</w:t>
      </w:r>
    </w:p>
    <w:p w14:paraId="317F0AC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（7）其他要求</w:t>
      </w:r>
    </w:p>
    <w:p w14:paraId="3CAD64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a）运至现场的密封圈没有任何损坏现象，并且在阀门安装、使用过程中没有松动，脱落、渗漏现象。</w:t>
      </w:r>
    </w:p>
    <w:p w14:paraId="5D1423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b）闸阀的结构长度符合 GB/T 12221-2005 规定的技术条件。</w:t>
      </w:r>
    </w:p>
    <w:p w14:paraId="29EE49C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c）所有材质卫生要求符合 GB/T 17219-1998 《生活饮用水输配水设备及防护材料的安全性评价标准》的规定。</w:t>
      </w:r>
    </w:p>
    <w:p w14:paraId="16063E6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 球墨铸铁软密封法兰闸阀材质要求</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2228"/>
        <w:gridCol w:w="6038"/>
      </w:tblGrid>
      <w:tr w14:paraId="426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397ED7B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082" w:type="pct"/>
            <w:tcBorders>
              <w:top w:val="single" w:color="auto" w:sz="4" w:space="0"/>
              <w:left w:val="single" w:color="auto" w:sz="4" w:space="0"/>
              <w:bottom w:val="single" w:color="auto" w:sz="4" w:space="0"/>
              <w:right w:val="single" w:color="auto" w:sz="4" w:space="0"/>
            </w:tcBorders>
            <w:vAlign w:val="center"/>
          </w:tcPr>
          <w:p w14:paraId="7174326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名称</w:t>
            </w:r>
          </w:p>
        </w:tc>
        <w:tc>
          <w:tcPr>
            <w:tcW w:w="2932" w:type="pct"/>
            <w:tcBorders>
              <w:top w:val="single" w:color="auto" w:sz="4" w:space="0"/>
              <w:left w:val="single" w:color="auto" w:sz="4" w:space="0"/>
              <w:bottom w:val="single" w:color="auto" w:sz="4" w:space="0"/>
              <w:right w:val="single" w:color="auto" w:sz="4" w:space="0"/>
            </w:tcBorders>
            <w:vAlign w:val="center"/>
          </w:tcPr>
          <w:p w14:paraId="525A02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材质</w:t>
            </w:r>
          </w:p>
        </w:tc>
      </w:tr>
      <w:tr w14:paraId="0D5C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5F54EA1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1082" w:type="pct"/>
            <w:tcBorders>
              <w:top w:val="single" w:color="auto" w:sz="4" w:space="0"/>
              <w:left w:val="single" w:color="auto" w:sz="4" w:space="0"/>
              <w:bottom w:val="single" w:color="auto" w:sz="4" w:space="0"/>
              <w:right w:val="single" w:color="auto" w:sz="4" w:space="0"/>
            </w:tcBorders>
            <w:vAlign w:val="center"/>
          </w:tcPr>
          <w:p w14:paraId="75E217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w:t>
            </w:r>
          </w:p>
        </w:tc>
        <w:tc>
          <w:tcPr>
            <w:tcW w:w="2932" w:type="pct"/>
            <w:tcBorders>
              <w:top w:val="single" w:color="auto" w:sz="4" w:space="0"/>
              <w:left w:val="single" w:color="auto" w:sz="4" w:space="0"/>
              <w:bottom w:val="single" w:color="auto" w:sz="4" w:space="0"/>
              <w:right w:val="single" w:color="auto" w:sz="4" w:space="0"/>
            </w:tcBorders>
            <w:vAlign w:val="center"/>
          </w:tcPr>
          <w:p w14:paraId="16F9A9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312A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47B41C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1082" w:type="pct"/>
            <w:tcBorders>
              <w:top w:val="single" w:color="auto" w:sz="4" w:space="0"/>
              <w:left w:val="single" w:color="auto" w:sz="4" w:space="0"/>
              <w:bottom w:val="single" w:color="auto" w:sz="4" w:space="0"/>
              <w:right w:val="single" w:color="auto" w:sz="4" w:space="0"/>
            </w:tcBorders>
            <w:vAlign w:val="center"/>
          </w:tcPr>
          <w:p w14:paraId="78EE8F3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阀盖</w:t>
            </w:r>
          </w:p>
        </w:tc>
        <w:tc>
          <w:tcPr>
            <w:tcW w:w="2932" w:type="pct"/>
            <w:tcBorders>
              <w:top w:val="single" w:color="auto" w:sz="4" w:space="0"/>
              <w:left w:val="single" w:color="auto" w:sz="4" w:space="0"/>
              <w:bottom w:val="single" w:color="auto" w:sz="4" w:space="0"/>
              <w:right w:val="single" w:color="auto" w:sz="4" w:space="0"/>
            </w:tcBorders>
            <w:vAlign w:val="center"/>
          </w:tcPr>
          <w:p w14:paraId="7F605A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7813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315763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1082" w:type="pct"/>
            <w:tcBorders>
              <w:top w:val="single" w:color="auto" w:sz="4" w:space="0"/>
              <w:left w:val="single" w:color="auto" w:sz="4" w:space="0"/>
              <w:bottom w:val="single" w:color="auto" w:sz="4" w:space="0"/>
              <w:right w:val="single" w:color="auto" w:sz="4" w:space="0"/>
            </w:tcBorders>
            <w:vAlign w:val="center"/>
          </w:tcPr>
          <w:p w14:paraId="7C850B1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闸板骨架</w:t>
            </w:r>
          </w:p>
        </w:tc>
        <w:tc>
          <w:tcPr>
            <w:tcW w:w="2932" w:type="pct"/>
            <w:tcBorders>
              <w:top w:val="single" w:color="auto" w:sz="4" w:space="0"/>
              <w:left w:val="single" w:color="auto" w:sz="4" w:space="0"/>
              <w:bottom w:val="single" w:color="auto" w:sz="4" w:space="0"/>
              <w:right w:val="single" w:color="auto" w:sz="4" w:space="0"/>
            </w:tcBorders>
            <w:vAlign w:val="center"/>
          </w:tcPr>
          <w:p w14:paraId="6F17F22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5E27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34B58FB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1082" w:type="pct"/>
            <w:tcBorders>
              <w:top w:val="single" w:color="auto" w:sz="4" w:space="0"/>
              <w:left w:val="single" w:color="auto" w:sz="4" w:space="0"/>
              <w:bottom w:val="single" w:color="auto" w:sz="4" w:space="0"/>
              <w:right w:val="single" w:color="auto" w:sz="4" w:space="0"/>
            </w:tcBorders>
            <w:vAlign w:val="center"/>
          </w:tcPr>
          <w:p w14:paraId="0CB9A6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闸板橡胶</w:t>
            </w:r>
          </w:p>
        </w:tc>
        <w:tc>
          <w:tcPr>
            <w:tcW w:w="2932" w:type="pct"/>
            <w:tcBorders>
              <w:top w:val="single" w:color="auto" w:sz="4" w:space="0"/>
              <w:left w:val="single" w:color="auto" w:sz="4" w:space="0"/>
              <w:bottom w:val="single" w:color="auto" w:sz="4" w:space="0"/>
              <w:right w:val="single" w:color="auto" w:sz="4" w:space="0"/>
            </w:tcBorders>
            <w:vAlign w:val="center"/>
          </w:tcPr>
          <w:p w14:paraId="10C97E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丁腈橡胶NBR或三元乙丙橡胶EPDM</w:t>
            </w:r>
          </w:p>
        </w:tc>
      </w:tr>
      <w:tr w14:paraId="29DF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4488110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p>
        </w:tc>
        <w:tc>
          <w:tcPr>
            <w:tcW w:w="1082" w:type="pct"/>
            <w:tcBorders>
              <w:top w:val="single" w:color="auto" w:sz="4" w:space="0"/>
              <w:left w:val="single" w:color="auto" w:sz="4" w:space="0"/>
              <w:bottom w:val="single" w:color="auto" w:sz="4" w:space="0"/>
              <w:right w:val="single" w:color="auto" w:sz="4" w:space="0"/>
            </w:tcBorders>
            <w:vAlign w:val="center"/>
          </w:tcPr>
          <w:p w14:paraId="6D8569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阀杆</w:t>
            </w:r>
          </w:p>
        </w:tc>
        <w:tc>
          <w:tcPr>
            <w:tcW w:w="2932" w:type="pct"/>
            <w:tcBorders>
              <w:top w:val="single" w:color="auto" w:sz="4" w:space="0"/>
              <w:left w:val="single" w:color="auto" w:sz="4" w:space="0"/>
              <w:bottom w:val="single" w:color="auto" w:sz="4" w:space="0"/>
              <w:right w:val="single" w:color="auto" w:sz="4" w:space="0"/>
            </w:tcBorders>
            <w:vAlign w:val="center"/>
          </w:tcPr>
          <w:p w14:paraId="5FDB20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不锈钢2Cr13或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3595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01B9940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w:t>
            </w:r>
          </w:p>
        </w:tc>
        <w:tc>
          <w:tcPr>
            <w:tcW w:w="1082" w:type="pct"/>
            <w:tcBorders>
              <w:top w:val="single" w:color="auto" w:sz="4" w:space="0"/>
              <w:left w:val="single" w:color="auto" w:sz="4" w:space="0"/>
              <w:bottom w:val="single" w:color="auto" w:sz="4" w:space="0"/>
              <w:right w:val="single" w:color="auto" w:sz="4" w:space="0"/>
            </w:tcBorders>
            <w:vAlign w:val="center"/>
          </w:tcPr>
          <w:p w14:paraId="7146FF4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闸板螺母</w:t>
            </w:r>
          </w:p>
        </w:tc>
        <w:tc>
          <w:tcPr>
            <w:tcW w:w="2932" w:type="pct"/>
            <w:tcBorders>
              <w:top w:val="single" w:color="auto" w:sz="4" w:space="0"/>
              <w:left w:val="single" w:color="auto" w:sz="4" w:space="0"/>
              <w:bottom w:val="single" w:color="auto" w:sz="4" w:space="0"/>
              <w:right w:val="single" w:color="auto" w:sz="4" w:space="0"/>
            </w:tcBorders>
            <w:vAlign w:val="center"/>
          </w:tcPr>
          <w:p w14:paraId="4D4B00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铜合金或</w:t>
            </w:r>
            <w:r>
              <w:rPr>
                <w:rFonts w:hint="eastAsia" w:ascii="宋体" w:hAnsi="宋体" w:eastAsia="宋体" w:cs="宋体"/>
                <w:b w:val="0"/>
                <w:bCs w:val="0"/>
                <w:i w:val="0"/>
                <w:iCs w:val="0"/>
                <w:color w:val="auto"/>
                <w:sz w:val="21"/>
                <w:szCs w:val="21"/>
                <w:highlight w:val="none"/>
                <w:u w:val="none"/>
                <w:lang w:val="en-US" w:eastAsia="zh-CN"/>
              </w:rPr>
              <w:t>相近、更优</w:t>
            </w:r>
            <w:r>
              <w:rPr>
                <w:rFonts w:hint="eastAsia" w:ascii="宋体" w:hAnsi="宋体" w:eastAsia="宋体" w:cs="宋体"/>
                <w:b w:val="0"/>
                <w:bCs w:val="0"/>
                <w:color w:val="auto"/>
                <w:kern w:val="2"/>
                <w:sz w:val="21"/>
                <w:szCs w:val="21"/>
                <w:highlight w:val="none"/>
                <w:lang w:val="en-US" w:eastAsia="zh-CN" w:bidi="ar-SA"/>
              </w:rPr>
              <w:t>上</w:t>
            </w:r>
          </w:p>
        </w:tc>
      </w:tr>
      <w:tr w14:paraId="6C6B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3EDD27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6D0C71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止推轴承</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7615DA9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铜合金或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313F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616188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0CDD47C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压盖</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659910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05B6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21275A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23CF7FA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O型密封圈</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4A91A2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丁腈橡胶NBR或三元乙丙橡胶EPDM</w:t>
            </w:r>
          </w:p>
        </w:tc>
      </w:tr>
      <w:tr w14:paraId="447D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0CE2E1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5924639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手轮</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7F8F59A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3862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263829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24E1334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螺栓</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021C932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镀锌碳钢Q235A或</w:t>
            </w:r>
            <w:r>
              <w:rPr>
                <w:rFonts w:hint="eastAsia" w:ascii="宋体" w:hAnsi="宋体" w:eastAsia="宋体" w:cs="宋体"/>
                <w:b w:val="0"/>
                <w:bCs w:val="0"/>
                <w:i w:val="0"/>
                <w:iCs w:val="0"/>
                <w:color w:val="auto"/>
                <w:sz w:val="21"/>
                <w:szCs w:val="21"/>
                <w:highlight w:val="none"/>
                <w:u w:val="none"/>
                <w:lang w:val="en-US" w:eastAsia="zh-CN"/>
              </w:rPr>
              <w:t>相近、更优</w:t>
            </w:r>
          </w:p>
        </w:tc>
      </w:tr>
    </w:tbl>
    <w:p w14:paraId="4867303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1"/>
          <w:highlight w:val="none"/>
          <w:lang w:val="en-US" w:eastAsia="zh-CN" w:bidi="ar-SA"/>
        </w:rPr>
        <w:t>球墨铸铁QT450-10以上，球化率达到国家级三级及以上材质要求，提供QT450-10球化率检测报告。</w:t>
      </w:r>
    </w:p>
    <w:p w14:paraId="7176DA1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2.球墨铸铁双偏心软密封双法兰蝶阀</w:t>
      </w:r>
    </w:p>
    <w:p w14:paraId="7AA48E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 基本技术要求</w:t>
      </w:r>
    </w:p>
    <w:p w14:paraId="12E474F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蝶阀主要由阀体、阀杆（阀轴）、阀板（蝶板）、阀座及密封材料等组成。</w:t>
      </w:r>
    </w:p>
    <w:p w14:paraId="659A955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（1）阀板（蝶板）与阀杆（阀轴）的连接采用自紧式销结构，以避免长时间使用后两者的松脱错位。</w:t>
      </w:r>
    </w:p>
    <w:p w14:paraId="586C901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（2）阀杆（阀轴）密封必须采用O型密封圈式（NBR或EPDM），不接受盘根填料式的轴密封。</w:t>
      </w:r>
    </w:p>
    <w:p w14:paraId="339B1A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（3）蝶阀主要技术参数</w:t>
      </w:r>
    </w:p>
    <w:p w14:paraId="74A7744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公称压力：1.0Mpa</w:t>
      </w:r>
    </w:p>
    <w:p w14:paraId="2A11D7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壳体强度试验压力：1.5倍公称压力传动操作机构等部件组成。</w:t>
      </w:r>
    </w:p>
    <w:p w14:paraId="58EC676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密封试验压力：1.1倍公称压力</w:t>
      </w:r>
    </w:p>
    <w:p w14:paraId="1B4A27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适用介质：空气、河水、自来水、弱腐蚀性流体</w:t>
      </w:r>
    </w:p>
    <w:p w14:paraId="6F2AD3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适用温度：0℃～+80℃</w:t>
      </w:r>
    </w:p>
    <w:p w14:paraId="056BC4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漏失率：0</w:t>
      </w:r>
    </w:p>
    <w:p w14:paraId="5979A04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蝶阀的制造应符合 GB/T 12238-2008 标准的规定</w:t>
      </w:r>
    </w:p>
    <w:p w14:paraId="2DCC40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阀门结构长度：GB/T 12221-2005 标准</w:t>
      </w:r>
    </w:p>
    <w:p w14:paraId="3C543AA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阀门与法兰的连接：GB/T 17241-2024 或 DIN2501 标准</w:t>
      </w:r>
    </w:p>
    <w:p w14:paraId="31ECBEE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阀门和操作机构的连接：ISO 5211:2023 标准</w:t>
      </w:r>
    </w:p>
    <w:p w14:paraId="036487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阀门试验标准：GB/T13927 或DIN等标准</w:t>
      </w:r>
    </w:p>
    <w:p w14:paraId="2CB2046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 主要结构要求</w:t>
      </w:r>
    </w:p>
    <w:p w14:paraId="60404A9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（1）阀体</w:t>
      </w:r>
    </w:p>
    <w:p w14:paraId="6024308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阀体的最小壁厚应保证在承受1.5倍以上的工作压力时，所有的零部件不发生变形；表面处理： 环氧树脂静电喷涂，内涂层不小于0.25mm，外涂层不小于0.15mm。阀体材料为球墨铸铁QT450-10或优于此牌号球墨铸铁的材料。法兰和阀体为一体，法兰盘应符合国标图集02S403标准。</w:t>
      </w:r>
    </w:p>
    <w:p w14:paraId="3F63B04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（2）阀板（蝶板）</w:t>
      </w:r>
    </w:p>
    <w:p w14:paraId="30E03F8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采用球墨铸铁QT450-10及以上加纯环氧树脂烤漆工艺。阀板的应力应能承受作用在蝶阀（关闭状态）上的全部压差，而所产生的工作应力不超过使用材料的抗拉强度的1/5。阀板的厚度不得超过轴直径的2.25倍。阀门开启时，阻力系数不大于0.3。为确保阀门过流能力，阀板应采用整体浇筑而成且边缘球形抛光的桁架式阀板或更优。阀板具有高强度和刚度，不产生影响密封的变形，流线性过流截面，流道中没有横向加强筋，符合流体力学具有较小阻力的特点。</w:t>
      </w:r>
    </w:p>
    <w:p w14:paraId="3DB9F1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阀板应采用桁架式阀板或更优。阀板整体浇注而成，阀板边缘应球形抛光，具有强度和刚度高，不产生影响密封的变形，流线性过流截面，流道中没有横向加强筋，阀板符合流体力学特点，具有较小的阻力。</w:t>
      </w:r>
    </w:p>
    <w:p w14:paraId="3B5A112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（3）阀杆（阀轴）</w:t>
      </w:r>
    </w:p>
    <w:p w14:paraId="046F62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杆采用不锈钢2Cr13或不锈钢304材质或相近、更优。阀杆的最小直径应满足力矩及有关参数的要求。阀杆可以是一根贯穿阀板的整轴，或为两根分别插入阀板中的半轴组成。如果是短轴，其插入阀板中的长度大于轴径的1.5倍。</w:t>
      </w:r>
    </w:p>
    <w:p w14:paraId="366F446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（4）阀轴与阀板的连接</w:t>
      </w:r>
    </w:p>
    <w:p w14:paraId="03440F2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阀轴与阀板的连接，应能满足传递相当于最小轴径扭转强度的转矩要求，如果采用销或锥销，必须机械地牢固。轴与阀板应紧密装配，应保证在开启和关闭操作中对阀门性能不产生有害影响。</w:t>
      </w:r>
    </w:p>
    <w:p w14:paraId="4C7B8A0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阀板两端与轴连接部分应采用盲孔或通孔。</w:t>
      </w:r>
    </w:p>
    <w:p w14:paraId="18FFCA2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（5）轴承</w:t>
      </w:r>
    </w:p>
    <w:p w14:paraId="27B8E0D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轴承应采用无需注油的铝青铜ZCuAl10Fe3或优于此牌号材料的自润式轴承，这种材料对水和橡胶不产生有害影响，轴承与阀轴的连接，应能保证轴承有很好的性能。在最大压力负荷下，轴承运转时摩擦系数不超过0.25。</w:t>
      </w:r>
    </w:p>
    <w:p w14:paraId="7CB4CF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（6）阀门传动机构</w:t>
      </w:r>
    </w:p>
    <w:p w14:paraId="41FB9E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的传动机构要有足够的强度，全密封结构，保证能防潮、防水，所有的受力部件能承受3倍以上的额定力矩而无损坏，保证阀板在开启和关闭时的稳定性，以及保证使阀板能稳定地停留在中间任意位置。所有蝶阀都应装配开启和关闭的限位装置，齿轮箱材质要求采用球墨铸铁QT450-10或相近、更优。</w:t>
      </w:r>
    </w:p>
    <w:p w14:paraId="099C8EB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DN500及以上蝶阀的二级传动装置采用蜗轮加齿轮结构，保证二级传动箱内各零件的加工精度和装配精度，保证蜗轮蜗杆的自锁功能。</w:t>
      </w:r>
    </w:p>
    <w:p w14:paraId="3A99CE7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操作机构的支座及阀体的连接部件要有足够的刚度和强度。设计的安全系数：以材料抗拉为基础时，不小于5；以屈服强度为基础时，不小于3。</w:t>
      </w:r>
    </w:p>
    <w:p w14:paraId="4B3542B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所有传动机构的受力部件应能经受2倍的额定力矩而无任何损害。</w:t>
      </w:r>
    </w:p>
    <w:p w14:paraId="37DB482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人工操作机构（手轮）的最大作用力F≤30kg。所有的阀门应能够灵活启闭，省时省力，尽可能开启圈数少，开启力矩小。</w:t>
      </w:r>
    </w:p>
    <w:p w14:paraId="5181F0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（7）阀板和阀座之间的密封</w:t>
      </w:r>
    </w:p>
    <w:p w14:paraId="295A58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密封圈（座）的设计制造必须保证在阀板关闭时，双向均能承压，不漏水。</w:t>
      </w:r>
    </w:p>
    <w:p w14:paraId="4A9F6D5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阀座的密封件采用304不锈钢或316不锈钢或不锈钢308L等同品质或相近、更优材质，阀板密封圈采用丁晴橡胶NBR或三元乙丙橡胶EPDM固定在阀板上，拆卸更换方便。</w:t>
      </w:r>
    </w:p>
    <w:p w14:paraId="740DE9A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（8）阀轴的密封</w:t>
      </w:r>
    </w:p>
    <w:p w14:paraId="020D97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选择耐久的轴封材料，采用新型的轴封形式，在更换O型圈时，不拆除阀体及操作机构的任何部件。密封函的深度应根据轴封形式而决定。轴封压盖为球墨铸铁QT450-10。</w:t>
      </w:r>
    </w:p>
    <w:p w14:paraId="07D1A84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（9）布置与结构要求</w:t>
      </w:r>
    </w:p>
    <w:p w14:paraId="1E0644A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户外使用的蝶阀传动机构采用全密封户外形结构，在野外露天管道上使用时，应保证传动机构不进水，并始终处于润滑良好状态，并不污染输送介质。</w:t>
      </w:r>
    </w:p>
    <w:p w14:paraId="1196B4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 材质要求</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658"/>
        <w:gridCol w:w="6631"/>
      </w:tblGrid>
      <w:tr w14:paraId="2478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034BA46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291" w:type="pct"/>
            <w:vAlign w:val="center"/>
          </w:tcPr>
          <w:p w14:paraId="6C84E1C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名称</w:t>
            </w:r>
          </w:p>
        </w:tc>
        <w:tc>
          <w:tcPr>
            <w:tcW w:w="3220" w:type="pct"/>
            <w:vAlign w:val="center"/>
          </w:tcPr>
          <w:p w14:paraId="1C28684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材质</w:t>
            </w:r>
          </w:p>
        </w:tc>
      </w:tr>
      <w:tr w14:paraId="3DD9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4C3F0A3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1291" w:type="pct"/>
            <w:vAlign w:val="center"/>
          </w:tcPr>
          <w:p w14:paraId="5DEC661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w:t>
            </w:r>
          </w:p>
        </w:tc>
        <w:tc>
          <w:tcPr>
            <w:tcW w:w="3220" w:type="pct"/>
            <w:vAlign w:val="center"/>
          </w:tcPr>
          <w:p w14:paraId="24EF9BC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597D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113AFB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1291" w:type="pct"/>
            <w:vAlign w:val="center"/>
          </w:tcPr>
          <w:p w14:paraId="4B9D0FD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w:t>
            </w:r>
          </w:p>
        </w:tc>
        <w:tc>
          <w:tcPr>
            <w:tcW w:w="3220" w:type="pct"/>
            <w:vAlign w:val="center"/>
          </w:tcPr>
          <w:p w14:paraId="6C1514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73E7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4EF0F2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1291" w:type="pct"/>
            <w:vAlign w:val="center"/>
          </w:tcPr>
          <w:p w14:paraId="7AF8000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阀板密封圈</w:t>
            </w:r>
          </w:p>
        </w:tc>
        <w:tc>
          <w:tcPr>
            <w:tcW w:w="3220" w:type="pct"/>
            <w:vAlign w:val="center"/>
          </w:tcPr>
          <w:p w14:paraId="545886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丁腈橡胶NBR或三元乙丙橡胶EPDM</w:t>
            </w:r>
          </w:p>
        </w:tc>
      </w:tr>
      <w:tr w14:paraId="08B9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3B7F22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1291" w:type="pct"/>
            <w:vAlign w:val="center"/>
          </w:tcPr>
          <w:p w14:paraId="42AF85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阀杆</w:t>
            </w:r>
          </w:p>
        </w:tc>
        <w:tc>
          <w:tcPr>
            <w:tcW w:w="3220" w:type="pct"/>
            <w:vAlign w:val="center"/>
          </w:tcPr>
          <w:p w14:paraId="37611BF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不锈钢2Cr13或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1A2F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618AEF2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p>
        </w:tc>
        <w:tc>
          <w:tcPr>
            <w:tcW w:w="1291" w:type="pct"/>
            <w:vAlign w:val="center"/>
          </w:tcPr>
          <w:p w14:paraId="5F50374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轴承</w:t>
            </w:r>
          </w:p>
        </w:tc>
        <w:tc>
          <w:tcPr>
            <w:tcW w:w="3220" w:type="pct"/>
            <w:vAlign w:val="center"/>
          </w:tcPr>
          <w:p w14:paraId="00487B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铝青铜ZCuAl10Fe3（或自润滑轴承）</w:t>
            </w:r>
          </w:p>
        </w:tc>
      </w:tr>
      <w:tr w14:paraId="1BF4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4BE5895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w:t>
            </w:r>
          </w:p>
        </w:tc>
        <w:tc>
          <w:tcPr>
            <w:tcW w:w="1291" w:type="pct"/>
            <w:vAlign w:val="center"/>
          </w:tcPr>
          <w:p w14:paraId="26C3534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轴密封</w:t>
            </w:r>
          </w:p>
        </w:tc>
        <w:tc>
          <w:tcPr>
            <w:tcW w:w="3220" w:type="pct"/>
            <w:vAlign w:val="center"/>
          </w:tcPr>
          <w:p w14:paraId="56DFF4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O型丁腈橡胶NBR或三元乙丙橡胶EPDM密封圈</w:t>
            </w:r>
          </w:p>
        </w:tc>
      </w:tr>
      <w:tr w14:paraId="70D4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shd w:val="clear" w:color="auto" w:fill="auto"/>
            <w:vAlign w:val="center"/>
          </w:tcPr>
          <w:p w14:paraId="5F43E89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w:t>
            </w:r>
          </w:p>
        </w:tc>
        <w:tc>
          <w:tcPr>
            <w:tcW w:w="1291" w:type="pct"/>
            <w:shd w:val="clear" w:color="auto" w:fill="auto"/>
            <w:vAlign w:val="center"/>
          </w:tcPr>
          <w:p w14:paraId="4B32D64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轴封压盖</w:t>
            </w:r>
          </w:p>
        </w:tc>
        <w:tc>
          <w:tcPr>
            <w:tcW w:w="3220" w:type="pct"/>
            <w:shd w:val="clear" w:color="auto" w:fill="auto"/>
            <w:vAlign w:val="center"/>
          </w:tcPr>
          <w:p w14:paraId="63DF244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519E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shd w:val="clear" w:color="auto" w:fill="auto"/>
            <w:vAlign w:val="center"/>
          </w:tcPr>
          <w:p w14:paraId="716466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w:t>
            </w:r>
          </w:p>
        </w:tc>
        <w:tc>
          <w:tcPr>
            <w:tcW w:w="1291" w:type="pct"/>
            <w:shd w:val="clear" w:color="auto" w:fill="auto"/>
            <w:vAlign w:val="center"/>
          </w:tcPr>
          <w:p w14:paraId="30201BC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传动机构齿轮箱</w:t>
            </w:r>
          </w:p>
        </w:tc>
        <w:tc>
          <w:tcPr>
            <w:tcW w:w="3220" w:type="pct"/>
            <w:shd w:val="clear" w:color="auto" w:fill="auto"/>
            <w:vAlign w:val="center"/>
          </w:tcPr>
          <w:p w14:paraId="135DCE9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6316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shd w:val="clear" w:color="auto" w:fill="auto"/>
            <w:vAlign w:val="center"/>
          </w:tcPr>
          <w:p w14:paraId="5AF789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w:t>
            </w:r>
          </w:p>
        </w:tc>
        <w:tc>
          <w:tcPr>
            <w:tcW w:w="1291" w:type="pct"/>
            <w:shd w:val="clear" w:color="auto" w:fill="auto"/>
            <w:vAlign w:val="center"/>
          </w:tcPr>
          <w:p w14:paraId="770B9F0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自紧式销</w:t>
            </w:r>
          </w:p>
        </w:tc>
        <w:tc>
          <w:tcPr>
            <w:tcW w:w="3220" w:type="pct"/>
            <w:shd w:val="clear" w:color="auto" w:fill="auto"/>
            <w:vAlign w:val="center"/>
          </w:tcPr>
          <w:p w14:paraId="591D6B6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不锈钢2Cr13或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1A8A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shd w:val="clear" w:color="auto" w:fill="auto"/>
            <w:vAlign w:val="center"/>
          </w:tcPr>
          <w:p w14:paraId="2CE2F9D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w:t>
            </w:r>
          </w:p>
        </w:tc>
        <w:tc>
          <w:tcPr>
            <w:tcW w:w="1291" w:type="pct"/>
            <w:shd w:val="clear" w:color="auto" w:fill="auto"/>
            <w:vAlign w:val="center"/>
          </w:tcPr>
          <w:p w14:paraId="31A5BF7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手轮</w:t>
            </w:r>
          </w:p>
        </w:tc>
        <w:tc>
          <w:tcPr>
            <w:tcW w:w="3220" w:type="pct"/>
            <w:shd w:val="clear" w:color="auto" w:fill="auto"/>
            <w:vAlign w:val="center"/>
          </w:tcPr>
          <w:p w14:paraId="016E1C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bl>
    <w:p w14:paraId="5CED85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2.4工作性能试验</w:t>
      </w:r>
    </w:p>
    <w:p w14:paraId="63B7F41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阀门的试验应当按 GB/T 13927-2022 或 DIN等标准的规定。</w:t>
      </w:r>
    </w:p>
    <w:p w14:paraId="36EE19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外观检验：涂装后的表面不应有涂敷不均、气泡、剥落、杂物附着及其他有害缺陷存在。</w:t>
      </w:r>
    </w:p>
    <w:p w14:paraId="3ADB47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强度试验：按 GB/T 13927-2022 标准的规定，试验压力为公称压力的1.5倍，试验过程中，阀的承压壁及上下密封处不得有可见渗漏，壳体不应有结构损伤。</w:t>
      </w:r>
    </w:p>
    <w:p w14:paraId="594F0C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密封试验：按 GB/T 13927-2022 或DIN等标准的规定，试验压力为公称压力的1.1倍，任意一侧施加压力，在试验持续时间内无可见渗透。</w:t>
      </w:r>
    </w:p>
    <w:p w14:paraId="6803DB4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2.5防腐处理</w:t>
      </w:r>
    </w:p>
    <w:p w14:paraId="3E629D8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阀体在涂装之前，应进行喷砂除锈，达到sa2.5级要求，以彻底清除浮锈、油脂附着物。阀门的内防腐涂料应符合 GB/T 5750-2023《生活饮用水标准检验方法》及《生活饮用水输配水设备及防护材料卫生安全性评价规范》的规定。</w:t>
      </w:r>
    </w:p>
    <w:p w14:paraId="1599810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涂层：加温静电喷涂环氧树脂粉末工艺，涂层固化后不应溶解于水，涂层厚度为：内涂层不小于0.25mm，外涂层不小于0.15mm，应有耐3kv电压的绝缘性能。涂层附着力按GB/T 9286-2021。涂料采用阿克苏、杜邦或同等档次及以上品牌。提供国家涂料质量检验检测中心出具的漆膜平均厚度、铅笔硬度检测报告。</w:t>
      </w:r>
    </w:p>
    <w:p w14:paraId="28135D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3.对夹式蝶阀</w:t>
      </w:r>
    </w:p>
    <w:p w14:paraId="2FC7DC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3.1 基本技术要求</w:t>
      </w:r>
    </w:p>
    <w:p w14:paraId="00A2F7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公称压力：1.0Mpa</w:t>
      </w:r>
    </w:p>
    <w:p w14:paraId="035DD8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壳体强度试验压力：1.5倍公称压力传动操作机构等部件组成。</w:t>
      </w:r>
    </w:p>
    <w:p w14:paraId="1CBA497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密封试验压力：1.1倍公称压力</w:t>
      </w:r>
    </w:p>
    <w:p w14:paraId="148A61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适用介质：空气、河水、自来水、弱腐蚀性流体</w:t>
      </w:r>
    </w:p>
    <w:p w14:paraId="601B75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适用温度：0℃～+80℃</w:t>
      </w:r>
    </w:p>
    <w:p w14:paraId="3C6256A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漏失率：0</w:t>
      </w:r>
    </w:p>
    <w:p w14:paraId="1EF36F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蝶阀的制造应符合 GB/T 12238-2008 标准的规定</w:t>
      </w:r>
    </w:p>
    <w:p w14:paraId="17F2E9C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阀门结构长度：ISO 5752:2021 或 GB/T 12221-2005 标准</w:t>
      </w:r>
    </w:p>
    <w:p w14:paraId="7C289FE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阀门与法兰的连接：</w:t>
      </w:r>
      <w:r>
        <w:rPr>
          <w:rFonts w:hint="eastAsia" w:ascii="宋体" w:hAnsi="宋体" w:eastAsia="宋体" w:cs="宋体"/>
          <w:color w:val="auto"/>
          <w:highlight w:val="none"/>
          <w:lang w:val="en-US" w:eastAsia="zh-CN"/>
        </w:rPr>
        <w:t>GB/T 17241-2024</w:t>
      </w:r>
      <w:r>
        <w:rPr>
          <w:rFonts w:hint="eastAsia" w:ascii="宋体" w:hAnsi="宋体" w:eastAsia="宋体" w:cs="宋体"/>
          <w:b w:val="0"/>
          <w:bCs w:val="0"/>
          <w:color w:val="auto"/>
          <w:kern w:val="2"/>
          <w:sz w:val="21"/>
          <w:szCs w:val="21"/>
          <w:highlight w:val="none"/>
          <w:lang w:val="en-US" w:eastAsia="zh-CN" w:bidi="ar-SA"/>
        </w:rPr>
        <w:t xml:space="preserve"> 或 DIN2501标准</w:t>
      </w:r>
    </w:p>
    <w:p w14:paraId="6CAE3C5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阀门和操作机构的连接：</w:t>
      </w:r>
      <w:r>
        <w:rPr>
          <w:rFonts w:hint="eastAsia" w:ascii="宋体" w:hAnsi="宋体" w:eastAsia="宋体" w:cs="宋体"/>
          <w:b w:val="0"/>
          <w:bCs w:val="0"/>
          <w:color w:val="auto"/>
          <w:kern w:val="2"/>
          <w:sz w:val="21"/>
          <w:szCs w:val="22"/>
          <w:highlight w:val="none"/>
          <w:lang w:val="en-US" w:eastAsia="zh-CN" w:bidi="ar-SA"/>
        </w:rPr>
        <w:t>ISO 5211:2023</w:t>
      </w:r>
      <w:r>
        <w:rPr>
          <w:rFonts w:hint="eastAsia" w:ascii="宋体" w:hAnsi="宋体" w:eastAsia="宋体" w:cs="宋体"/>
          <w:b w:val="0"/>
          <w:bCs w:val="0"/>
          <w:color w:val="auto"/>
          <w:kern w:val="2"/>
          <w:sz w:val="21"/>
          <w:szCs w:val="21"/>
          <w:highlight w:val="none"/>
          <w:lang w:val="en-US" w:eastAsia="zh-CN" w:bidi="ar-SA"/>
        </w:rPr>
        <w:t>标准</w:t>
      </w:r>
    </w:p>
    <w:p w14:paraId="5B134AD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阀门试验标准：</w:t>
      </w:r>
      <w:r>
        <w:rPr>
          <w:rFonts w:hint="eastAsia" w:ascii="宋体" w:hAnsi="宋体" w:eastAsia="宋体" w:cs="宋体"/>
          <w:b w:val="0"/>
          <w:bCs w:val="0"/>
          <w:color w:val="auto"/>
          <w:szCs w:val="21"/>
          <w:highlight w:val="none"/>
        </w:rPr>
        <w:t>GB/T 13927-2022</w:t>
      </w:r>
      <w:r>
        <w:rPr>
          <w:rFonts w:hint="eastAsia" w:ascii="宋体" w:hAnsi="宋体" w:eastAsia="宋体" w:cs="宋体"/>
          <w:b w:val="0"/>
          <w:bCs w:val="0"/>
          <w:color w:val="auto"/>
          <w:kern w:val="2"/>
          <w:sz w:val="21"/>
          <w:szCs w:val="21"/>
          <w:highlight w:val="none"/>
          <w:lang w:val="en-US" w:eastAsia="zh-CN" w:bidi="ar-SA"/>
        </w:rPr>
        <w:t xml:space="preserve"> 或 DIN等标准</w:t>
      </w:r>
    </w:p>
    <w:p w14:paraId="094FAD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 主要结构要求</w:t>
      </w:r>
    </w:p>
    <w:p w14:paraId="3228380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（1）阀体</w:t>
      </w:r>
    </w:p>
    <w:p w14:paraId="017959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阀体的最小壁厚应保证在承受1.5倍以上的工作压力时，所有的零部件不发生变形；表面处理： 环氧树脂静电喷涂，内涂层不小于0.25mm，外涂层不小于0.15mm。阀体材料为球墨铸铁QT450-10或优于此牌号球墨铸铁的材料。法兰和阀体为一体，法兰盘应符合国标图集02S403标准。</w:t>
      </w:r>
    </w:p>
    <w:p w14:paraId="6487E13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（2）阀座、阀板（蝶板）</w:t>
      </w:r>
    </w:p>
    <w:p w14:paraId="50C188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对夹式蝶阀采用EPDM（或NBR）阀座和球墨铸铁（QT450-10及以上）蝶板。阀板的应力应能承受作用在蝶阀（关闭状态）上的全部压差，而所产生的工作应力不超过使用材料的抗拉强度的1/5。阀板的厚度不得超过轴直径的2.25倍。阀门开启时，阻力系数不大于0.3。为确保阀门过流能力，阀板应采用整体浇筑而成且边缘球形抛光的桁架式阀板或更优。阀板具有高强度和刚度，不产生影响密封的变形，流线性过流截面，流道中没有横向加强筋，符合流体力学具有较小阻力的特点。</w:t>
      </w:r>
    </w:p>
    <w:p w14:paraId="61EC2B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（3）阀杆（阀轴）</w:t>
      </w:r>
    </w:p>
    <w:p w14:paraId="5AF14EC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杆采用不锈钢2Cr13或不锈钢304等同品质或相近、更优材质。阀杆的最小直径应满足力矩及有关参数的要求。阀杆可以是一根贯穿阀板的整轴，或为两根分别插入阀板中的半轴组成。如果是短轴，其插入阀板中的长度大于轴径的1.5倍。</w:t>
      </w:r>
    </w:p>
    <w:p w14:paraId="535DF78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（4）阀轴与阀板的连接</w:t>
      </w:r>
    </w:p>
    <w:p w14:paraId="70B21CC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阀轴与阀板的连接，应能满足传递相当于最小轴径扭转强度的转矩要求，如果采用销或锥销，必须机械地牢固。轴与阀板应紧密装配，应保证在开启和关闭操作中对阀门性能不产生有害影响。</w:t>
      </w:r>
    </w:p>
    <w:p w14:paraId="7B5AA3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阀板两端与轴连接部分应采用盲孔或通孔。</w:t>
      </w:r>
    </w:p>
    <w:p w14:paraId="11CD2B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（5）阀门传动机构</w:t>
      </w:r>
    </w:p>
    <w:p w14:paraId="3F16F0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的传动机构要有足够的强度，全密封结构，保证能防潮、防水，所有的受力部件能承受3倍以上的额定力矩而无损坏，保证阀板在开启和关闭时的稳定性，以及保证使阀板能稳定地停留在中间任意位置。所有蝶阀都应装配开启和关闭的限位装置，齿轮箱材质要求采用球墨铸铁QT450-10或相近、更优。</w:t>
      </w:r>
    </w:p>
    <w:p w14:paraId="63C2577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4.球墨铸铁软密封法兰橡胶瓣止回阀</w:t>
      </w:r>
    </w:p>
    <w:p w14:paraId="74BA087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4.1 基本技术要求</w:t>
      </w:r>
    </w:p>
    <w:p w14:paraId="7535953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橡胶瓣止回阀主要由阀体、阀盖、阀座、阀瓣、缓冲系统等部件组成。</w:t>
      </w:r>
    </w:p>
    <w:p w14:paraId="18BCF9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4.2 主要结构要求</w:t>
      </w:r>
    </w:p>
    <w:p w14:paraId="3A6C118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（1）止回阀应采用全流面积式设计，水头损失小，不易堆积杂物，维修简便。</w:t>
      </w:r>
    </w:p>
    <w:p w14:paraId="5DFE8CF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（2）阀体材料为球墨铸铁QT450-10或优于此牌号球墨铸铁的材料。</w:t>
      </w:r>
    </w:p>
    <w:p w14:paraId="5BAEB2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（3）阀座止口的密封材料采用本体密封。</w:t>
      </w:r>
    </w:p>
    <w:p w14:paraId="00713DA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（4）橡胶瓣应由钢板做承压件，外覆强化尼龙布，最外层采用热硫化整体包胶技术制成，在橡胶瓣中加入的尼龙纤维可使钢板与钢棒间形成弹性强化，具有阀门经常启闭而不断裂强度性能。</w:t>
      </w:r>
    </w:p>
    <w:p w14:paraId="6E6CC3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（5）法兰结构与阀体采用球墨铸铁QT450-10或相近、更优材质铸成一体，法兰尺寸根据</w:t>
      </w:r>
      <w:r>
        <w:rPr>
          <w:rFonts w:hint="eastAsia" w:ascii="宋体" w:hAnsi="宋体" w:eastAsia="宋体" w:cs="宋体"/>
          <w:color w:val="auto"/>
          <w:highlight w:val="none"/>
          <w:lang w:val="en-US" w:eastAsia="zh-CN"/>
        </w:rPr>
        <w:t>GB/T 17241-2024</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highlight w:val="none"/>
        </w:rPr>
        <w:t>GB/T 9124-2019</w:t>
      </w:r>
      <w:r>
        <w:rPr>
          <w:rFonts w:hint="eastAsia" w:ascii="宋体" w:hAnsi="宋体" w:eastAsia="宋体" w:cs="宋体"/>
          <w:b w:val="0"/>
          <w:bCs w:val="0"/>
          <w:color w:val="auto"/>
          <w:kern w:val="2"/>
          <w:sz w:val="21"/>
          <w:szCs w:val="21"/>
          <w:highlight w:val="none"/>
          <w:lang w:val="en-US" w:eastAsia="zh-CN" w:bidi="ar-SA"/>
        </w:rPr>
        <w:t>而定。其他零件厂家可根据阀门具体使用环境选择不同的材质，但必须的保证其使用性能及使用寿命。</w:t>
      </w:r>
    </w:p>
    <w:p w14:paraId="3E87575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（6）止回阀的阀座应采用静电喷涂环氧树脂工艺，使阀门的使用寿命更长。</w:t>
      </w:r>
    </w:p>
    <w:p w14:paraId="170D87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（7）止回阀的关闭行程小，行程角为35°即可达到全开启，阀板缓闭时间60秒至0秒可调，并且在反向水流作用下关闭速度快，减少水锤发生。</w:t>
      </w:r>
    </w:p>
    <w:p w14:paraId="4CA488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（8）止回阀阀体上应有标明水流方向的箭头指示。</w:t>
      </w:r>
    </w:p>
    <w:p w14:paraId="1AE399C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4.3 工作性能试验</w:t>
      </w:r>
    </w:p>
    <w:p w14:paraId="5801635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强度试验：阀瓣开启状态下，1.5倍工作压力试验，不同规格，试验持续时间不同，≤DN50为15S，50＜DN≤150为60s，150＜DN＜350为120s，DN≥350为300s。各部位不得有冒汗、漏水或变形等损害情况。</w:t>
      </w:r>
    </w:p>
    <w:p w14:paraId="77BA2B7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密封试验：阀瓣全闭状态下，1.1倍工作压力试验，DN≤150为60s，DN＞150为120s，历时三分钟。其泄漏率不得超过5ml/（英寸口径×分钟）。</w:t>
      </w:r>
    </w:p>
    <w:p w14:paraId="4C8E2A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压力试验：应符合标准GB/T 13932-2016的规定。</w:t>
      </w:r>
    </w:p>
    <w:p w14:paraId="310DFA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外观检验：应符合标准</w:t>
      </w:r>
      <w:r>
        <w:rPr>
          <w:rFonts w:hint="eastAsia" w:ascii="宋体" w:hAnsi="宋体" w:eastAsia="宋体" w:cs="宋体"/>
          <w:color w:val="auto"/>
          <w:highlight w:val="none"/>
          <w:lang w:val="en-US" w:eastAsia="zh-CN"/>
        </w:rPr>
        <w:t>GB/T 17241-2024</w:t>
      </w:r>
      <w:r>
        <w:rPr>
          <w:rFonts w:hint="eastAsia" w:ascii="宋体" w:hAnsi="宋体" w:eastAsia="宋体" w:cs="宋体"/>
          <w:b w:val="0"/>
          <w:bCs w:val="0"/>
          <w:color w:val="auto"/>
          <w:kern w:val="2"/>
          <w:sz w:val="21"/>
          <w:szCs w:val="21"/>
          <w:highlight w:val="none"/>
          <w:lang w:val="en-US" w:eastAsia="zh-CN" w:bidi="ar-SA"/>
        </w:rPr>
        <w:t>的规定外观检验：涂装后的表面不应有涂敷不均、气泡、剥落、杂物附着及其他有害缺陷存在。</w:t>
      </w:r>
    </w:p>
    <w:p w14:paraId="2BA9073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防腐保护：阀门内部的防腐涂层要求厚度均匀、色泽均一，涂层表面光洁，无流痕。喷涂防腐涂层前阀体、阀盖表面高压抛丸除锈达到Sa2.5级，将铸件加热后再进行静电喷涂环氧树脂粉末工艺，烘干固化后涂层厚度不小于0.25mm。阀门外防腐采用环氧树脂涂料或上述静电喷涂环氧树脂粉末工艺。</w:t>
      </w:r>
    </w:p>
    <w:p w14:paraId="414922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5.球墨铸铁软密封法兰复合式排气阀</w:t>
      </w:r>
    </w:p>
    <w:p w14:paraId="2B1F43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5.1技术性能及材质要求</w:t>
      </w:r>
    </w:p>
    <w:p w14:paraId="3220A4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（1）工作介质、温度及结构、安装要求</w:t>
      </w:r>
    </w:p>
    <w:p w14:paraId="3EB338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工作介质为自来水或河水，工作温度0℃~80℃，工作压力1.0Mpa，</w:t>
      </w:r>
    </w:p>
    <w:p w14:paraId="437CAE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（2）阀体、阀盖、排气罩采用球墨铸铁（QT450-10或力学性能更高的材料），铸造工艺为树脂砂型，阀体铸件过流表面应保证光滑，要符合</w:t>
      </w:r>
      <w:r>
        <w:rPr>
          <w:rFonts w:hint="eastAsia" w:ascii="宋体" w:hAnsi="宋体" w:eastAsia="宋体" w:cs="宋体"/>
          <w:b w:val="0"/>
          <w:bCs w:val="0"/>
          <w:color w:val="auto"/>
          <w:highlight w:val="none"/>
        </w:rPr>
        <w:t>GB/T 12227-2005</w:t>
      </w:r>
      <w:r>
        <w:rPr>
          <w:rFonts w:hint="eastAsia" w:ascii="宋体" w:hAnsi="宋体" w:eastAsia="宋体" w:cs="宋体"/>
          <w:b w:val="0"/>
          <w:bCs w:val="0"/>
          <w:color w:val="auto"/>
          <w:kern w:val="2"/>
          <w:sz w:val="21"/>
          <w:szCs w:val="21"/>
          <w:highlight w:val="none"/>
          <w:lang w:val="en-US" w:eastAsia="zh-CN" w:bidi="ar-SA"/>
        </w:rPr>
        <w:t>规定的技术条件，商标及材质牌号整体压铸在阀体上。</w:t>
      </w:r>
    </w:p>
    <w:p w14:paraId="5873C02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（3）浮球及浮桶采用304不锈钢，相应的物理化学主要控制指标详见国家标准</w:t>
      </w:r>
      <w:r>
        <w:rPr>
          <w:rFonts w:hint="eastAsia" w:ascii="宋体" w:hAnsi="宋体" w:eastAsia="宋体" w:cs="宋体"/>
          <w:b w:val="0"/>
          <w:bCs w:val="0"/>
          <w:color w:val="auto"/>
          <w:highlight w:val="none"/>
        </w:rPr>
        <w:t>GB/T 12227-2005</w:t>
      </w:r>
      <w:r>
        <w:rPr>
          <w:rFonts w:hint="eastAsia" w:ascii="宋体" w:hAnsi="宋体" w:eastAsia="宋体" w:cs="宋体"/>
          <w:b w:val="0"/>
          <w:bCs w:val="0"/>
          <w:color w:val="auto"/>
          <w:kern w:val="2"/>
          <w:sz w:val="21"/>
          <w:szCs w:val="21"/>
          <w:highlight w:val="none"/>
          <w:lang w:val="en-US" w:eastAsia="zh-CN" w:bidi="ar-SA"/>
        </w:rPr>
        <w:t>。提供2021年1月1日以后的304不锈钢材质化学检测报告，依据为</w:t>
      </w:r>
      <w:r>
        <w:rPr>
          <w:rFonts w:hint="eastAsia" w:ascii="宋体" w:hAnsi="宋体" w:eastAsia="宋体" w:cs="宋体"/>
          <w:b w:val="0"/>
          <w:bCs w:val="0"/>
          <w:color w:val="auto"/>
          <w:highlight w:val="none"/>
          <w:lang w:val="en-US" w:eastAsia="zh-CN"/>
        </w:rPr>
        <w:t>GB/T 1220-2007</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highlight w:val="none"/>
        </w:rPr>
        <w:t>GB/T 222-2006</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highlight w:val="none"/>
        </w:rPr>
        <w:t>GB/T 11170-2008</w:t>
      </w:r>
      <w:r>
        <w:rPr>
          <w:rFonts w:hint="eastAsia" w:ascii="宋体" w:hAnsi="宋体" w:eastAsia="宋体" w:cs="宋体"/>
          <w:b w:val="0"/>
          <w:bCs w:val="0"/>
          <w:color w:val="auto"/>
          <w:kern w:val="2"/>
          <w:sz w:val="21"/>
          <w:szCs w:val="21"/>
          <w:highlight w:val="none"/>
          <w:lang w:val="en-US" w:eastAsia="zh-CN" w:bidi="ar-SA"/>
        </w:rPr>
        <w:t>，提供2023年1月1日以后的304不锈钢材质物理力学检测报告，依据为</w:t>
      </w:r>
      <w:r>
        <w:rPr>
          <w:rFonts w:hint="eastAsia" w:ascii="宋体" w:hAnsi="宋体" w:eastAsia="宋体" w:cs="宋体"/>
          <w:b w:val="0"/>
          <w:bCs w:val="0"/>
          <w:color w:val="auto"/>
          <w:highlight w:val="none"/>
        </w:rPr>
        <w:t>GB/T 228.1-2021</w:t>
      </w:r>
      <w:r>
        <w:rPr>
          <w:rFonts w:hint="eastAsia" w:ascii="宋体" w:hAnsi="宋体" w:eastAsia="宋体" w:cs="宋体"/>
          <w:b w:val="0"/>
          <w:bCs w:val="0"/>
          <w:color w:val="auto"/>
          <w:kern w:val="2"/>
          <w:sz w:val="21"/>
          <w:szCs w:val="21"/>
          <w:highlight w:val="none"/>
          <w:lang w:val="en-US" w:eastAsia="zh-CN" w:bidi="ar-SA"/>
        </w:rPr>
        <w:t>。</w:t>
      </w:r>
    </w:p>
    <w:p w14:paraId="770F64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（4）连接螺栓采用钢制或不锈钢螺栓，在阀门阀体内与水接触的紧固件，采用不锈钢材料制造。</w:t>
      </w:r>
    </w:p>
    <w:p w14:paraId="0141DDC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5.2涂层</w:t>
      </w:r>
    </w:p>
    <w:p w14:paraId="48306C1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内部的防腐涂层要求厚度均匀、色泽均一，涂层表面光洁，无流痕。喷涂防腐涂层前阀体、阀盖表面至少喷砂除锈达到Sa2.5级，将铸件加热后再进行静电喷涂环氧树脂粉末工艺，内涂层厚度不小于0.25mm，外涂层厚度不小于0.15mm。阀门外防腐采用环氧树脂涂料或上述静电喷涂环氧树脂粉末工艺，阀门外观颜色为蓝色。粉末应提供材料原产地证明。</w:t>
      </w:r>
    </w:p>
    <w:p w14:paraId="73D8B3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5.3其他性能要求</w:t>
      </w:r>
    </w:p>
    <w:p w14:paraId="3EF3ED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（1）排气阀应有较大的排气量，停水后通水时可在极短的时间内排除管道内的空气。</w:t>
      </w:r>
    </w:p>
    <w:p w14:paraId="7717B3F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（2）排气阀在管内有负压产生时，浮球应该可以迅速开启，大量吸入外界空气，以保证管线不会因负压而产生损害。</w:t>
      </w:r>
    </w:p>
    <w:p w14:paraId="736EA8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（3）排气阀应有比较高的空气关闭压力，在浮球关闭前的较短时间内，应有足够能力将管道内的空气排放完毕，提高输水效率。</w:t>
      </w:r>
    </w:p>
    <w:p w14:paraId="4D7E1C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（4）排气阀的水关闭压力应不大于0.02MPa，在较低的水压下就可以关闭排气阀，从而避免水的大量涌出。</w:t>
      </w:r>
    </w:p>
    <w:p w14:paraId="116E69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（5）排气阀应采用不锈钢浮球（浮桶）作启闭件。</w:t>
      </w:r>
    </w:p>
    <w:p w14:paraId="5EF84CC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（6）排气阀阀体上应设有防冲击保护内筒，以防大量排气后高速水流直接冲击浮球（浮桶）而造成浮球（浮桶）的过早损伤。</w:t>
      </w:r>
    </w:p>
    <w:p w14:paraId="3DF7C8D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（7）运至现场的密封圈不得有任何损坏现象，并且在阀门安装、使用过程中不得有松动，脱落、渗漏现象。</w:t>
      </w:r>
    </w:p>
    <w:p w14:paraId="69020A3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（8）排气阀的设计、制造及试验应符合 </w:t>
      </w:r>
      <w:r>
        <w:rPr>
          <w:rFonts w:hint="eastAsia" w:ascii="宋体" w:hAnsi="宋体" w:eastAsia="宋体" w:cs="宋体"/>
          <w:b w:val="0"/>
          <w:bCs w:val="0"/>
          <w:color w:val="auto"/>
          <w:highlight w:val="none"/>
        </w:rPr>
        <w:t>CJ/T 217-2013</w:t>
      </w:r>
      <w:r>
        <w:rPr>
          <w:rFonts w:hint="eastAsia" w:ascii="宋体" w:hAnsi="宋体" w:eastAsia="宋体" w:cs="宋体"/>
          <w:b w:val="0"/>
          <w:bCs w:val="0"/>
          <w:color w:val="auto"/>
          <w:kern w:val="2"/>
          <w:sz w:val="21"/>
          <w:szCs w:val="21"/>
          <w:highlight w:val="none"/>
          <w:lang w:val="en-US" w:eastAsia="zh-CN" w:bidi="ar-SA"/>
        </w:rPr>
        <w:t>《给水管道复合式高速进排气阀》标准或等同标准的规定。</w:t>
      </w:r>
    </w:p>
    <w:p w14:paraId="09282D2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6.球墨铸铁软密封法兰先导可调式减压阀</w:t>
      </w:r>
    </w:p>
    <w:p w14:paraId="42ED81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（1）工作介质、温度及结构、安装要求</w:t>
      </w:r>
    </w:p>
    <w:p w14:paraId="41BC04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工作介质为自来水或河水，工作温度0℃-80℃，公称压力为1.0MPa。减压阀要求能满足现场使用环境的要求，设计制作需满足</w:t>
      </w:r>
      <w:r>
        <w:rPr>
          <w:rFonts w:hint="eastAsia" w:ascii="宋体" w:hAnsi="宋体" w:eastAsia="宋体" w:cs="宋体"/>
          <w:b w:val="0"/>
          <w:bCs w:val="0"/>
          <w:color w:val="auto"/>
          <w:highlight w:val="none"/>
        </w:rPr>
        <w:t>GB/T 12246-2006</w:t>
      </w:r>
      <w:r>
        <w:rPr>
          <w:rFonts w:hint="eastAsia" w:ascii="宋体" w:hAnsi="宋体" w:eastAsia="宋体" w:cs="宋体"/>
          <w:b w:val="0"/>
          <w:bCs w:val="0"/>
          <w:color w:val="auto"/>
          <w:kern w:val="2"/>
          <w:sz w:val="21"/>
          <w:szCs w:val="21"/>
          <w:highlight w:val="none"/>
          <w:lang w:val="en-US" w:eastAsia="zh-CN" w:bidi="ar-SA"/>
        </w:rPr>
        <w:t xml:space="preserve">《先导式减压阀》的规范标准。 </w:t>
      </w:r>
    </w:p>
    <w:p w14:paraId="585E85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（2）阀体、阀盖</w:t>
      </w:r>
    </w:p>
    <w:p w14:paraId="0EE573C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阀体、阀盖采用球墨铸铁QT450-10或性能更高的材料，铸造工艺为树脂砂型，阀门铸件过流表面要求光滑，并符合相关材料标准的规定，铸件要进行热处理消除内应力。材质牌号整体压铸在阀体上。</w:t>
      </w:r>
    </w:p>
    <w:p w14:paraId="271A603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法兰材质与阀体一致，并与阀体铸为一体，法兰要符合</w:t>
      </w:r>
      <w:r>
        <w:rPr>
          <w:rFonts w:hint="eastAsia" w:ascii="宋体" w:hAnsi="宋体" w:eastAsia="宋体" w:cs="宋体"/>
          <w:b w:val="0"/>
          <w:bCs w:val="0"/>
          <w:color w:val="auto"/>
          <w:highlight w:val="none"/>
          <w:lang w:val="en-US" w:eastAsia="zh-CN"/>
        </w:rPr>
        <w:t>GB/T 17241-2024</w:t>
      </w:r>
      <w:r>
        <w:rPr>
          <w:rFonts w:hint="eastAsia" w:ascii="宋体" w:hAnsi="宋体" w:eastAsia="宋体" w:cs="宋体"/>
          <w:b w:val="0"/>
          <w:bCs w:val="0"/>
          <w:color w:val="auto"/>
          <w:kern w:val="2"/>
          <w:sz w:val="21"/>
          <w:szCs w:val="21"/>
          <w:highlight w:val="none"/>
          <w:lang w:val="en-US" w:eastAsia="zh-CN" w:bidi="ar-SA"/>
        </w:rPr>
        <w:t>的规定。</w:t>
      </w:r>
    </w:p>
    <w:p w14:paraId="094A839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阀体与阀盖之间的连接采用法兰式连接。在1.5倍工作压力的壳体试验下，阀体所有部件不发生变形。</w:t>
      </w:r>
    </w:p>
    <w:p w14:paraId="251095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阀轴材质采用不锈钢（2Cr13或304等同品质或相近、更优材质），该材料需符合不锈钢棒</w:t>
      </w:r>
      <w:r>
        <w:rPr>
          <w:rFonts w:hint="eastAsia" w:ascii="宋体" w:hAnsi="宋体" w:eastAsia="宋体" w:cs="宋体"/>
          <w:b w:val="0"/>
          <w:bCs w:val="0"/>
          <w:color w:val="auto"/>
          <w:highlight w:val="none"/>
          <w:lang w:val="en-US" w:eastAsia="zh-CN"/>
        </w:rPr>
        <w:t>GB/T 1220-2007</w:t>
      </w:r>
      <w:r>
        <w:rPr>
          <w:rFonts w:hint="eastAsia" w:ascii="宋体" w:hAnsi="宋体" w:eastAsia="宋体" w:cs="宋体"/>
          <w:b w:val="0"/>
          <w:bCs w:val="0"/>
          <w:color w:val="auto"/>
          <w:kern w:val="2"/>
          <w:sz w:val="21"/>
          <w:szCs w:val="21"/>
          <w:highlight w:val="none"/>
          <w:lang w:val="en-US" w:eastAsia="zh-CN" w:bidi="ar-SA"/>
        </w:rPr>
        <w:t>的规定。</w:t>
      </w:r>
    </w:p>
    <w:p w14:paraId="5DDB7A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（3）弹簧：采用不锈钢，符合相关国家标准要求。</w:t>
      </w:r>
    </w:p>
    <w:p w14:paraId="7EB651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（4）针阀、球阀、控制管路及附件：不锈钢。</w:t>
      </w:r>
    </w:p>
    <w:p w14:paraId="3C6F16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（5）膜片：为丁腈橡胶或三元乙丙橡胶。</w:t>
      </w:r>
    </w:p>
    <w:p w14:paraId="6FD353A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（6）密封</w:t>
      </w:r>
    </w:p>
    <w:p w14:paraId="04EA4C3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阀体与阀盖的密封：采用橡胶膜片密封。</w:t>
      </w:r>
    </w:p>
    <w:p w14:paraId="2F3ACB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阀体与阀板、阀体与阀盖、阀杆与阀盖的密封试验均要符合</w:t>
      </w:r>
      <w:r>
        <w:rPr>
          <w:rFonts w:hint="eastAsia" w:ascii="宋体" w:hAnsi="宋体" w:eastAsia="宋体" w:cs="宋体"/>
          <w:b w:val="0"/>
          <w:bCs w:val="0"/>
          <w:color w:val="auto"/>
          <w:highlight w:val="none"/>
        </w:rPr>
        <w:t>GB/T 13927-2022</w:t>
      </w:r>
      <w:r>
        <w:rPr>
          <w:rFonts w:hint="eastAsia" w:ascii="宋体" w:hAnsi="宋体" w:eastAsia="宋体" w:cs="宋体"/>
          <w:b w:val="0"/>
          <w:bCs w:val="0"/>
          <w:color w:val="auto"/>
          <w:kern w:val="2"/>
          <w:sz w:val="21"/>
          <w:szCs w:val="21"/>
          <w:highlight w:val="none"/>
          <w:lang w:val="en-US" w:eastAsia="zh-CN" w:bidi="ar-SA"/>
        </w:rPr>
        <w:t>《工业阀门  压力试验》的规定。</w:t>
      </w:r>
    </w:p>
    <w:p w14:paraId="6F35F12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运至现场的密封圈不得有任何损坏现象，在阀门正常安装、使用过程中不得有松动、脱落、渗漏现象。</w:t>
      </w:r>
    </w:p>
    <w:p w14:paraId="183A95A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（7）调压性能试验符合 </w:t>
      </w:r>
      <w:r>
        <w:rPr>
          <w:rFonts w:hint="eastAsia" w:ascii="宋体" w:hAnsi="宋体" w:eastAsia="宋体" w:cs="宋体"/>
          <w:b w:val="0"/>
          <w:bCs w:val="0"/>
          <w:color w:val="auto"/>
          <w:highlight w:val="none"/>
        </w:rPr>
        <w:t>CJ/T 219-2017</w:t>
      </w:r>
      <w:r>
        <w:rPr>
          <w:rFonts w:hint="eastAsia" w:ascii="宋体" w:hAnsi="宋体" w:eastAsia="宋体" w:cs="宋体"/>
          <w:b w:val="0"/>
          <w:bCs w:val="0"/>
          <w:color w:val="auto"/>
          <w:kern w:val="2"/>
          <w:sz w:val="21"/>
          <w:szCs w:val="21"/>
          <w:highlight w:val="none"/>
          <w:lang w:val="en-US" w:eastAsia="zh-CN" w:bidi="ar-SA"/>
        </w:rPr>
        <w:t>的规定。提供2023年1月1日省级及以上第三方检测机构出具的减压阀检验报告</w:t>
      </w:r>
    </w:p>
    <w:p w14:paraId="728F61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（8）防腐涂层</w:t>
      </w:r>
    </w:p>
    <w:p w14:paraId="6A83ABE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内部的防腐涂层要求厚度均匀、色泽均一，涂层表面光洁，无流痕。喷涂防腐涂层前阀体、阀板表面至少喷砂除锈达到Sa2.5级，将铸件加热后再进行静电喷涂环氧树脂粉末，内涂层厚度不小于0.25mm，外涂层厚度不小于0.15mm。阀门外防腐采用环氧树脂涂料或上述静电喷涂环氧树脂粉末，阀门外观颜色为蓝色。粉末应提供材料原产地证明。喷涂应采用自动流水线生产。</w:t>
      </w:r>
    </w:p>
    <w:p w14:paraId="7AB9294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7.加密法兰闸阀</w:t>
      </w:r>
    </w:p>
    <w:p w14:paraId="2662D3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其技术参数参考球墨铸铁软密封法兰闸阀外，还需设置有加密装置，加密锁头必须加装“O”形密封圈，密封圈材质为丁腈橡胶（NBR）或三元乙丙橡胶（EPDM）等同品质或相近、更优材质，要求能防尘、防水。加密防盗启闭机构在阀门上端，操作方向顺时针为关闭，逆时针为开启。在额定压力下专用工具开启或关闭阀门的最大作用力不大于300N。所有传动机构的受力部件能承受2倍的额定力矩而无任何损伤。 </w:t>
      </w:r>
    </w:p>
    <w:p w14:paraId="3D36E1E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五、验收与检测</w:t>
      </w:r>
    </w:p>
    <w:p w14:paraId="555E1DF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1.货物到达交货地点后，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标人、招标人共同验货。双方按照本合同、国家相关法律法规以及规范的要求等相关的规定，对货物的品种、品牌、产地、型号规格、数量、外观质量、资料进行清点和全面的检验，并作详细的记录。</w:t>
      </w:r>
    </w:p>
    <w:p w14:paraId="24DB334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2.若</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标人所提供的货物是国外制造的，应提供原产地证书、报关资料等必备证明资料。根据法律法规的规定，在货物入境过程中需要实施检验检疫的入境商品，经入境管理部门检验后，如有相关证明的，</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标人应提供入境货物检验检疫证明。</w:t>
      </w:r>
    </w:p>
    <w:p w14:paraId="23F2B2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3.如发现货物的品种、型号规格、数量、外观质量、资料与合同不符，或货物短缺、质次、损坏等问题，应作详细记录，且招标人有权拒绝收货及拒绝付款，</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标人应在合同约定的时间内立即、无条件为</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标人免费更换、补齐或无条件退货。更换或补齐后的货物，招标人有权按照本条有关验收的约定进行验收，由此产生的制造、修理和运费及保险费等费用均应由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标人负担，与招标人无关。</w:t>
      </w:r>
    </w:p>
    <w:p w14:paraId="6214532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4.由于非招标人原因而引起货物的修理或更换的时间，应以不影响招标人生产为原则，且修理或更换应在招标人许可的时限内完成，否则将视为</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标人逾期交货。交接并验收合格后，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标人向招标人出具相关签收手续。</w:t>
      </w:r>
    </w:p>
    <w:p w14:paraId="5A0D73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5.招标人根据本条约定对货物所做出的验收，仅作为起算付款及质保期之用，不视为招标人对于货物质量的最终认定。货物经验收合格后，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标人仍应在质保期内对产品质量承担保证责任。</w:t>
      </w:r>
    </w:p>
    <w:p w14:paraId="6FDC59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6.货物在全部经招标人验收合格前，其损耗、毁损、灭失等风险及责任由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标人承担，如因发生前述情形，导致</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标人所供应的货物不能通过招标人验收的，投标人应按招标人要求予以免费更换、补齐或无条件退货。</w:t>
      </w:r>
    </w:p>
    <w:p w14:paraId="70FC3AC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7.抽检：</w:t>
      </w:r>
    </w:p>
    <w:p w14:paraId="14F82FF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招标人每年可不定期开展一次第三方物理性能检测抽检。招标人将随机抽取某一规格类型的材料，送至省市级有资质的第三方单位进行性能检定。对于阀门的抽检，</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标人需在货物交付现场，按照相关标准的要求，配合招标人制作抽检试件，试件数量按每批次到货量的5%抽取，且不少于2件。招标人负责第一次检测费用，</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标人承担试件制作费用，并需在送检后30天内，向招标人指定地点补回同规格数量的材料。</w:t>
      </w:r>
    </w:p>
    <w:p w14:paraId="12740B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若材料检测结果不合格且未使用，即视为一次第三方送检不合格。此时，</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标人与招标人需再次共同抽样，送至招标人指定的第三方单位复检，所有费用由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标人承担。若复检合格，</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标人应在30天内补回同规格数量的材料；若复检仍不合格，招标人有权选择退换全部货物，并可单方面终止合同，由此产生的一切责任及费用均由投标人承担，并扣除全额履约担保。</w:t>
      </w:r>
    </w:p>
    <w:p w14:paraId="2FEFF2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若材料检测结果不合格且已使用，</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标人需赔偿由此产生的一切责任及费用，包括但不限于返工、材料退换、拆装、工期延误损失、检测等。同时，招标人有权直接扣除全额履约担保，若超出履约担保部分的损失仍需由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标人承担。</w:t>
      </w:r>
    </w:p>
    <w:p w14:paraId="5A44D1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原则上，产品送第三方检定需招标人与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标人共同送检。若投标人出现推诿、拖延或拒绝送检的情况，招标人有权自主送检。若</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标人未及时缴纳检测费用，招标人可代垫，并从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标人的履约担保或货款中扣除。</w:t>
      </w:r>
    </w:p>
    <w:p w14:paraId="7E5BB8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8.验收品质争议检测：在履约期间，招标人有权委托具备资质的第三方检测机构按相关规定对货物进行检测，检测地点根据检测项目需求可为材料生产基地或招标人指定的材料送货地点，</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标人应予以配合，如检测结果合格，费用由招标人负责；如检测结果不合格，费用由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标人负责，并承担对不合格批次产品的更换。</w:t>
      </w:r>
    </w:p>
    <w:p w14:paraId="4A6A139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六、质保期要求</w:t>
      </w:r>
    </w:p>
    <w:p w14:paraId="7A4C73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质保期为自验收合格之日起2年（如</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标人有更优服务承诺，参照更优服务承诺），自验收合格之日起计算。质保期内限时提供上门服务。</w:t>
      </w:r>
    </w:p>
    <w:p w14:paraId="0C2D58B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七、报价及款项支付</w:t>
      </w:r>
    </w:p>
    <w:p w14:paraId="57C3BFF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bookmarkStart w:id="695" w:name="_Hlk39771198"/>
      <w:r>
        <w:rPr>
          <w:rFonts w:hint="eastAsia" w:ascii="宋体" w:hAnsi="宋体" w:eastAsia="宋体" w:cs="宋体"/>
          <w:b w:val="0"/>
          <w:bCs w:val="0"/>
          <w:color w:val="auto"/>
          <w:kern w:val="2"/>
          <w:sz w:val="21"/>
          <w:szCs w:val="21"/>
          <w:highlight w:val="none"/>
          <w:lang w:val="en-US" w:eastAsia="zh-CN" w:bidi="ar-SA"/>
        </w:rPr>
        <w:t>本项目的报价包含但不限于所供货物及其配备的附件、备品备件的采购、制造、检测、试验、送货、装卸（含二次搬运至招标人指定交货或仓储地点）、人工费、材料费、包装费、运费、</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标人销项税额以外的税费、保险、现场仓储、质保期免费上门提供售后服务等相关服务</w:t>
      </w:r>
      <w:r>
        <w:rPr>
          <w:rFonts w:hint="eastAsia" w:cs="宋体"/>
          <w:b w:val="0"/>
          <w:bCs w:val="0"/>
          <w:color w:val="auto"/>
          <w:kern w:val="2"/>
          <w:sz w:val="21"/>
          <w:szCs w:val="21"/>
          <w:highlight w:val="none"/>
          <w:lang w:val="en-US" w:eastAsia="zh-CN" w:bidi="ar-SA"/>
        </w:rPr>
        <w:t>和</w:t>
      </w:r>
      <w:r>
        <w:rPr>
          <w:rFonts w:hint="eastAsia"/>
          <w:color w:val="auto"/>
          <w:highlight w:val="none"/>
        </w:rPr>
        <w:t>货物验收合格前发生的安全事故所产生</w:t>
      </w:r>
      <w:r>
        <w:rPr>
          <w:rFonts w:hint="eastAsia" w:ascii="宋体" w:hAnsi="宋体" w:eastAsia="宋体" w:cs="宋体"/>
          <w:b w:val="0"/>
          <w:bCs w:val="0"/>
          <w:color w:val="auto"/>
          <w:kern w:val="2"/>
          <w:sz w:val="21"/>
          <w:szCs w:val="21"/>
          <w:highlight w:val="none"/>
          <w:lang w:val="en-US" w:eastAsia="zh-CN" w:bidi="ar-SA"/>
        </w:rPr>
        <w:t>的全部费用。在合同履行过程中，不含税中标综合单价（不含</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标人销项税额）不随法律法规政策、物价人工、工期调整而进行调整，未经招标人书面确认，</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标人无权增加任何费用。</w:t>
      </w:r>
      <w:bookmarkEnd w:id="695"/>
    </w:p>
    <w:p w14:paraId="318617F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2.本项目不设预付款。本项目的</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标报价采用统一折扣系数报价，合同履约过程中，采购清单中的不含税中标综合单价按以下方式计算：不含税中标综合单价=不含税预算综合单价×中标折扣系数，以实际供货数量进行结算。</w:t>
      </w:r>
    </w:p>
    <w:p w14:paraId="3AE59FA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3.供货期内，按月度进行结算，每月度</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标人所供货物经招标人验收合格后，双方每月15日之前对上个月实际验收合格供货量进行结算，</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标人按招标人要求提交请款报告及验收合格后的货物价款等额的、合法的、有效的增值税专用发票，招标人在收到前述材料并确认无误后20个工作日内支付上月实际验收合格供货量对应价款的100%及对应税额。</w:t>
      </w:r>
    </w:p>
    <w:p w14:paraId="4E845B9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标人应提供增值税专用发票、请款报告等请款资料，招标人在20个工作日内支付上月实际验收合格供货量对应价款的100%及对应税额。未按要求开发票的将无法支付货款。</w:t>
      </w:r>
    </w:p>
    <w:p w14:paraId="6A974D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八、其他要求</w:t>
      </w:r>
    </w:p>
    <w:p w14:paraId="40586C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1.采购清单的货物有规格型号推荐的，</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标人应优先采用采购清单中的规格型号报价及供货。</w:t>
      </w:r>
    </w:p>
    <w:p w14:paraId="0C8585E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2.所供货物须符合国家现行有效的法律法规、行业规范及相关的质量标准并达到使用要求。</w:t>
      </w:r>
    </w:p>
    <w:p w14:paraId="3EB6E02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533003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0"/>
          <w:sz w:val="21"/>
          <w:szCs w:val="21"/>
          <w:highlight w:val="none"/>
        </w:rPr>
        <w:t>供货期内，</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w:t>
      </w:r>
      <w:r>
        <w:rPr>
          <w:rFonts w:hint="eastAsia" w:ascii="宋体" w:hAnsi="宋体" w:eastAsia="宋体" w:cs="宋体"/>
          <w:b w:val="0"/>
          <w:bCs w:val="0"/>
          <w:color w:val="auto"/>
          <w:kern w:val="0"/>
          <w:sz w:val="21"/>
          <w:szCs w:val="21"/>
          <w:highlight w:val="none"/>
          <w:lang w:eastAsia="zh-CN"/>
        </w:rPr>
        <w:t>人</w:t>
      </w:r>
      <w:r>
        <w:rPr>
          <w:rFonts w:hint="eastAsia" w:ascii="宋体" w:hAnsi="宋体" w:eastAsia="宋体" w:cs="宋体"/>
          <w:b w:val="0"/>
          <w:bCs w:val="0"/>
          <w:color w:val="auto"/>
          <w:kern w:val="0"/>
          <w:sz w:val="21"/>
          <w:szCs w:val="21"/>
          <w:highlight w:val="none"/>
        </w:rPr>
        <w:t>如接到招标人的售后服务通知的，需在4小时内响应。</w:t>
      </w:r>
    </w:p>
    <w:p w14:paraId="3B50D11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br w:type="page"/>
      </w:r>
    </w:p>
    <w:p w14:paraId="693533DD">
      <w:pPr>
        <w:pStyle w:val="131"/>
        <w:rPr>
          <w:rFonts w:hint="eastAsia" w:ascii="宋体" w:hAnsi="宋体" w:eastAsia="宋体" w:cs="宋体"/>
          <w:b/>
          <w:color w:val="auto"/>
          <w:highlight w:val="none"/>
          <w:lang w:val="en-US" w:eastAsia="zh-CN"/>
        </w:rPr>
      </w:pPr>
      <w:r>
        <w:rPr>
          <w:rFonts w:hint="eastAsia" w:ascii="宋体" w:hAnsi="宋体" w:eastAsia="宋体" w:cs="宋体"/>
          <w:b/>
          <w:bCs/>
          <w:color w:val="auto"/>
          <w:kern w:val="2"/>
          <w:sz w:val="21"/>
          <w:szCs w:val="21"/>
          <w:highlight w:val="none"/>
          <w:lang w:val="en-US" w:eastAsia="zh-CN" w:bidi="ar-SA"/>
        </w:rPr>
        <w:t>附件一：《采购材料清单》</w:t>
      </w:r>
    </w:p>
    <w:bookmarkEnd w:id="678"/>
    <w:bookmarkEnd w:id="679"/>
    <w:bookmarkEnd w:id="680"/>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1504"/>
        <w:gridCol w:w="1506"/>
        <w:gridCol w:w="1483"/>
        <w:gridCol w:w="966"/>
        <w:gridCol w:w="1014"/>
        <w:gridCol w:w="1397"/>
        <w:gridCol w:w="1897"/>
      </w:tblGrid>
      <w:tr w14:paraId="596A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1B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bookmarkStart w:id="696" w:name="_Toc21607"/>
            <w:r>
              <w:rPr>
                <w:rFonts w:hint="eastAsia" w:ascii="宋体" w:hAnsi="宋体" w:eastAsia="宋体" w:cs="宋体"/>
                <w:b/>
                <w:bCs/>
                <w:i w:val="0"/>
                <w:iCs w:val="0"/>
                <w:color w:val="auto"/>
                <w:kern w:val="0"/>
                <w:sz w:val="21"/>
                <w:szCs w:val="21"/>
                <w:highlight w:val="none"/>
                <w:u w:val="none"/>
                <w:lang w:val="en-US" w:eastAsia="zh-CN" w:bidi="ar"/>
              </w:rPr>
              <w:t>序号</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EB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物品名称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14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（公称直径）</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98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03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1A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计划</w:t>
            </w:r>
          </w:p>
          <w:p w14:paraId="088A843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数量</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67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不含税预算综合单价</w:t>
            </w:r>
          </w:p>
          <w:p w14:paraId="617839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（元）</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CC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cs="宋体"/>
                <w:b/>
                <w:bCs/>
                <w:i w:val="0"/>
                <w:iCs w:val="0"/>
                <w:color w:val="auto"/>
                <w:kern w:val="0"/>
                <w:sz w:val="21"/>
                <w:szCs w:val="21"/>
                <w:highlight w:val="none"/>
                <w:u w:val="none"/>
                <w:lang w:val="en-US" w:eastAsia="zh-CN" w:bidi="ar"/>
              </w:rPr>
              <w:t>备注</w:t>
            </w:r>
          </w:p>
        </w:tc>
      </w:tr>
      <w:tr w14:paraId="3C0D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D2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E0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56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6A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4E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901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BD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BDA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6EF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EA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49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63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840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DA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626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75C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AEE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475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ABB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B0C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B5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5F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DA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5E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C61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D43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2A1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A3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0A8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EC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C4A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DE0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221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234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183.67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700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5D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7D1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CE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A9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18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D1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B0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2EB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4AC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C9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B2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4C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AA2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A0F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3B9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BF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C2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3EA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DB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4A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8F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00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65A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06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AC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CFB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556.00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4CA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F26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C0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EB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7E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12A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2B1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8D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25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975.67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E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E6A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25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FD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C8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79F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FE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4CB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9E8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1,496.33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B8E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DFC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C37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E3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B4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6D0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52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96C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DA5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2,312.00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0F0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CC8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EC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C8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B06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DF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75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0A6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212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2,892.00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71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346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B2C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72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68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63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3A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13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733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3,833.00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5F6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AA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17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A14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4AE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47B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0F2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80E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0AD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5,553.67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3A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460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93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EF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D2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B6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86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D2F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E3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6,990.00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E1A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F9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E8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20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FA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5E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7B9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849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349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11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2BF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1E1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BE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E2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FE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B4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47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9B6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F8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99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DA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C4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77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25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05C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D45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647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EC2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8D8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DA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3D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545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EB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614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D9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291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6C0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30C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2F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E6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A2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A3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15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15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15C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60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A08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A87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0B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D1D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9F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3C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B4A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1B2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82B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C7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49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1F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43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56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4A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19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FCD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CC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761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5F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0D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FC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6C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61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9C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2E5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738.33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910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07D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3E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85E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EF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7B0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75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E5C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972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1,054.00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BFF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5C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6A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5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94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0A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FF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11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666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1,523.33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501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FC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6F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1B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FB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B2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AE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8B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0F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2,319.67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92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17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44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E5E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47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CF2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24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37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6CF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2,676.00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CB0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4D1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DC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77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96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C2B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24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2D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E0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3,258.33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51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3E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7F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85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A2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13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4E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66B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A3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5,168.00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BA9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84E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A8F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2F1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20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DN700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6B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E6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C57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433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11,224.00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C5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A79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53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35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68F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DN750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80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A1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6C2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674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12,003.00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CC3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817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97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51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B0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87E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870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13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818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13,378.33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B4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C78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C0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4FA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72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DN900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860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2B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E4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5E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16,590.00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9BE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1E1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42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50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00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B1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49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02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9D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20,574.67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94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33B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2B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82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98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9C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1D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EF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705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35,056.33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96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77C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5D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862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A6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37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732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9A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075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60,067.00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57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D8A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AF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C9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2E5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BC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DC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459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929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111,724.67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EF9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47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1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65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A61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D4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D2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0F6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B4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226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C7F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00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78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E5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4C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26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C5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0C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F4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D6A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AC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F9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C6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C46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EE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D3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D7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4F7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444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ECA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8B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03A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63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5A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12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892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CEA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A1E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6B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CA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38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CA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0AD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28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206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1A3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BD6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26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3F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9F2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C91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51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13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1B7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400.67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7C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AC5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52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55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287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F21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96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34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740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94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02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37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EC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F7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680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98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A2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C18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856.33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66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F5B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71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74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33D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56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75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88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CCE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1,097.33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F4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F06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01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4E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F7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6F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6B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1DC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79A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1,698.33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4A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094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01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14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F6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BE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CA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B2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E33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2,650.67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D0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F08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728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FF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31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E6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102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DD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E36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4,559.67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D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958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3F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69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A0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89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9F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BC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AE0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918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26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3EB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58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07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AAE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A68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5A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F8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177.33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ED7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898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A56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461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8B2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16C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A2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37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C2A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219.67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04E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13B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06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EBC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C6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DC0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54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BA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C80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50F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45E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41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9D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78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19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AA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35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34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22F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C22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D5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B9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505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73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1E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012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2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A64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9A3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35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227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7A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7F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18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CA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F0D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B41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22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DA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3C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22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17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411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9C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831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1,471.33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CD3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D9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4F9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2D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E3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171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B0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54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0A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2,060.00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F0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575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FF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0C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CC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FA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25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4B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90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2,372.67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031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7DB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1A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9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8ED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AF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A4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50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9F9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3,265.00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CDC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A60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11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B47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0E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AD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1A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C5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61E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F88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77E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34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A4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D1C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B7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D1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0B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7E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7,116.33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28F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102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E1E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62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D7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27F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E2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470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B0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438.00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95B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54A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DE6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CE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B4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8BE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57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30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29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12F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347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F9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0F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30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6F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B6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5C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82B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584.00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BFB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D35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002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FB3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11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DC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833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F9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9C7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1,145.00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591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AF1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96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027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1C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51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AF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950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6D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1,498.33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EB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80E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0B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1E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45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4B2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76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8A5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4D6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2,755.33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13A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0CC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83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54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3D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62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77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DAB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D79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3,389.00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04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0B3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DA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0B4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64D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B6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36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10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27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895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CB7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F89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1B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67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1D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2B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9ED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65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596.67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4E8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D61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6C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BC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B8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BA5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05D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06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80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662.67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28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35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CA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29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3F0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47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E1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848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28B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742.67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72D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A8F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45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1F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99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6A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E9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61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D6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293.33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9AE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8EF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A5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C6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E1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DF4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8F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91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FB1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81C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472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17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E5E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98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4B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96E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C4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25E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424.33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2F9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3C3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1F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58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B08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57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A1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F1A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E6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476.67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04A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A1C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4B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AE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D6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2C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A53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237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738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8A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267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E9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AB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6F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E2D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82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C6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656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782.67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2CB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A2B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D9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12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5F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F9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DC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12A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0E5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1,277.67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9AC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762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E5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8E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1C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00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AB5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7E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59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1,925.00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7F0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69C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2C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21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53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51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72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B9A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B8D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2,393.00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7C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FD4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31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0C2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606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16A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12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8E7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24C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3,460.00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D71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534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32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1D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06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F3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C9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C1E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73F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4,149.33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177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4BF6059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21CB32A">
      <w:pPr>
        <w:pStyle w:val="2"/>
        <w:jc w:val="center"/>
        <w:rPr>
          <w:rFonts w:hint="eastAsia" w:ascii="宋体" w:hAnsi="宋体" w:eastAsia="宋体" w:cs="宋体"/>
          <w:color w:val="auto"/>
          <w:highlight w:val="none"/>
        </w:rPr>
      </w:pPr>
      <w:bookmarkStart w:id="697" w:name="_Toc18121"/>
      <w:r>
        <w:rPr>
          <w:rFonts w:hint="eastAsia" w:ascii="宋体" w:hAnsi="宋体" w:eastAsia="宋体" w:cs="宋体"/>
          <w:color w:val="auto"/>
          <w:highlight w:val="none"/>
        </w:rPr>
        <w:t>第四篇 合同条款格式</w:t>
      </w:r>
      <w:bookmarkEnd w:id="681"/>
      <w:bookmarkEnd w:id="682"/>
      <w:bookmarkEnd w:id="683"/>
      <w:bookmarkEnd w:id="684"/>
      <w:bookmarkEnd w:id="685"/>
      <w:bookmarkEnd w:id="686"/>
      <w:bookmarkEnd w:id="687"/>
      <w:bookmarkEnd w:id="688"/>
      <w:bookmarkEnd w:id="689"/>
      <w:bookmarkEnd w:id="696"/>
      <w:bookmarkEnd w:id="697"/>
    </w:p>
    <w:p w14:paraId="0EDEE0BB">
      <w:pPr>
        <w:rPr>
          <w:rFonts w:hint="eastAsia" w:ascii="宋体" w:hAnsi="宋体" w:eastAsia="宋体" w:cs="宋体"/>
          <w:color w:val="auto"/>
          <w:highlight w:val="none"/>
        </w:rPr>
      </w:pPr>
    </w:p>
    <w:p w14:paraId="11636C62">
      <w:pPr>
        <w:rPr>
          <w:rFonts w:hint="eastAsia" w:ascii="宋体" w:hAnsi="宋体" w:eastAsia="宋体" w:cs="宋体"/>
          <w:color w:val="auto"/>
          <w:highlight w:val="none"/>
        </w:rPr>
      </w:pPr>
    </w:p>
    <w:p w14:paraId="57C8171B">
      <w:pPr>
        <w:jc w:val="center"/>
        <w:rPr>
          <w:rFonts w:hint="eastAsia" w:ascii="宋体" w:hAnsi="宋体" w:eastAsia="宋体" w:cs="宋体"/>
          <w:b/>
          <w:bCs/>
          <w:color w:val="auto"/>
          <w:sz w:val="52"/>
          <w:szCs w:val="56"/>
          <w:highlight w:val="none"/>
          <w:lang w:eastAsia="zh-CN"/>
        </w:rPr>
      </w:pPr>
      <w:r>
        <w:rPr>
          <w:rFonts w:hint="eastAsia" w:ascii="宋体" w:hAnsi="宋体" w:eastAsia="宋体" w:cs="宋体"/>
          <w:b/>
          <w:bCs/>
          <w:color w:val="auto"/>
          <w:sz w:val="52"/>
          <w:szCs w:val="56"/>
          <w:highlight w:val="none"/>
          <w:lang w:eastAsia="zh-CN"/>
        </w:rPr>
        <w:t>东莞市碧水信息科技有限公司2025年度球墨铸铁阀门采购项目</w:t>
      </w:r>
    </w:p>
    <w:p w14:paraId="5752237C">
      <w:pPr>
        <w:rPr>
          <w:rFonts w:hint="eastAsia" w:ascii="宋体" w:hAnsi="宋体" w:eastAsia="宋体" w:cs="宋体"/>
          <w:color w:val="auto"/>
          <w:highlight w:val="none"/>
        </w:rPr>
      </w:pPr>
    </w:p>
    <w:p w14:paraId="52E4D011">
      <w:pPr>
        <w:rPr>
          <w:rFonts w:hint="eastAsia" w:ascii="宋体" w:hAnsi="宋体" w:eastAsia="宋体" w:cs="宋体"/>
          <w:color w:val="auto"/>
          <w:highlight w:val="none"/>
        </w:rPr>
      </w:pPr>
    </w:p>
    <w:p w14:paraId="1B306D20">
      <w:pPr>
        <w:rPr>
          <w:rFonts w:hint="eastAsia" w:ascii="宋体" w:hAnsi="宋体" w:eastAsia="宋体" w:cs="宋体"/>
          <w:color w:val="auto"/>
          <w:highlight w:val="none"/>
        </w:rPr>
      </w:pPr>
    </w:p>
    <w:p w14:paraId="1A3F1D82">
      <w:pPr>
        <w:jc w:val="center"/>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采购合同</w:t>
      </w:r>
    </w:p>
    <w:p w14:paraId="0EB5CBEF">
      <w:pPr>
        <w:bidi w:val="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（合同编号：       ）</w:t>
      </w:r>
    </w:p>
    <w:p w14:paraId="4BAD65F4">
      <w:pPr>
        <w:rPr>
          <w:rFonts w:hint="eastAsia" w:ascii="宋体" w:hAnsi="宋体" w:eastAsia="宋体" w:cs="宋体"/>
          <w:color w:val="auto"/>
          <w:highlight w:val="none"/>
        </w:rPr>
      </w:pPr>
    </w:p>
    <w:p w14:paraId="571147A7">
      <w:pPr>
        <w:rPr>
          <w:rFonts w:hint="eastAsia" w:ascii="宋体" w:hAnsi="宋体" w:eastAsia="宋体" w:cs="宋体"/>
          <w:color w:val="auto"/>
          <w:highlight w:val="none"/>
        </w:rPr>
      </w:pPr>
    </w:p>
    <w:p w14:paraId="0A235B13">
      <w:pPr>
        <w:rPr>
          <w:rFonts w:hint="eastAsia" w:ascii="宋体" w:hAnsi="宋体" w:eastAsia="宋体" w:cs="宋体"/>
          <w:color w:val="auto"/>
          <w:highlight w:val="none"/>
        </w:rPr>
      </w:pPr>
    </w:p>
    <w:p w14:paraId="16B01696">
      <w:pPr>
        <w:rPr>
          <w:rFonts w:hint="eastAsia" w:ascii="宋体" w:hAnsi="宋体" w:eastAsia="宋体" w:cs="宋体"/>
          <w:color w:val="auto"/>
          <w:highlight w:val="none"/>
        </w:rPr>
      </w:pPr>
    </w:p>
    <w:p w14:paraId="23006D8D">
      <w:pPr>
        <w:rPr>
          <w:rFonts w:hint="eastAsia" w:ascii="宋体" w:hAnsi="宋体" w:eastAsia="宋体" w:cs="宋体"/>
          <w:color w:val="auto"/>
          <w:highlight w:val="none"/>
        </w:rPr>
      </w:pPr>
    </w:p>
    <w:p w14:paraId="5893A8FF">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ascii="宋体" w:hAnsi="宋体" w:eastAsia="宋体" w:cs="宋体"/>
          <w:b/>
          <w:bCs/>
          <w:color w:val="auto"/>
          <w:sz w:val="28"/>
          <w:szCs w:val="32"/>
          <w:highlight w:val="none"/>
          <w:lang w:eastAsia="zh-CN"/>
        </w:rPr>
      </w:pPr>
      <w:r>
        <w:rPr>
          <w:rFonts w:hint="eastAsia" w:ascii="宋体" w:hAnsi="宋体" w:eastAsia="宋体" w:cs="宋体"/>
          <w:b/>
          <w:bCs/>
          <w:color w:val="auto"/>
          <w:sz w:val="28"/>
          <w:szCs w:val="32"/>
          <w:highlight w:val="none"/>
        </w:rPr>
        <w:t>甲方：</w:t>
      </w:r>
      <w:r>
        <w:rPr>
          <w:rFonts w:hint="eastAsia" w:ascii="宋体" w:hAnsi="宋体" w:eastAsia="宋体" w:cs="宋体"/>
          <w:b/>
          <w:bCs/>
          <w:color w:val="auto"/>
          <w:sz w:val="28"/>
          <w:szCs w:val="32"/>
          <w:highlight w:val="none"/>
          <w:u w:val="single"/>
          <w:lang w:eastAsia="zh-CN"/>
        </w:rPr>
        <w:t>东莞市碧水信息科技有限公司</w:t>
      </w:r>
    </w:p>
    <w:p w14:paraId="76AA027B">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ascii="宋体" w:hAnsi="宋体" w:eastAsia="宋体" w:cs="宋体"/>
          <w:b/>
          <w:bCs/>
          <w:color w:val="auto"/>
          <w:sz w:val="28"/>
          <w:szCs w:val="32"/>
          <w:highlight w:val="none"/>
          <w:u w:val="single"/>
        </w:rPr>
      </w:pPr>
      <w:r>
        <w:rPr>
          <w:rFonts w:hint="eastAsia" w:ascii="宋体" w:hAnsi="宋体" w:eastAsia="宋体" w:cs="宋体"/>
          <w:b/>
          <w:bCs/>
          <w:color w:val="auto"/>
          <w:sz w:val="28"/>
          <w:szCs w:val="32"/>
          <w:highlight w:val="none"/>
        </w:rPr>
        <w:t>乙方：</w:t>
      </w:r>
      <w:r>
        <w:rPr>
          <w:rFonts w:hint="eastAsia" w:ascii="宋体" w:hAnsi="宋体" w:eastAsia="宋体" w:cs="宋体"/>
          <w:b/>
          <w:bCs/>
          <w:color w:val="auto"/>
          <w:sz w:val="28"/>
          <w:szCs w:val="32"/>
          <w:highlight w:val="none"/>
          <w:u w:val="single"/>
        </w:rPr>
        <w:t xml:space="preserve">                          </w:t>
      </w:r>
    </w:p>
    <w:p w14:paraId="7AE07837">
      <w:pPr>
        <w:keepNext w:val="0"/>
        <w:keepLines w:val="0"/>
        <w:pageBreakBefore w:val="0"/>
        <w:widowControl w:val="0"/>
        <w:kinsoku/>
        <w:wordWrap/>
        <w:overflowPunct/>
        <w:topLinePunct w:val="0"/>
        <w:autoSpaceDE w:val="0"/>
        <w:autoSpaceDN w:val="0"/>
        <w:bidi w:val="0"/>
        <w:adjustRightInd w:val="0"/>
        <w:snapToGrid w:val="0"/>
        <w:ind w:left="1680" w:leftChars="800"/>
        <w:textAlignment w:val="auto"/>
        <w:rPr>
          <w:rFonts w:hint="eastAsia" w:ascii="宋体" w:hAnsi="宋体" w:eastAsia="宋体" w:cs="宋体"/>
          <w:b/>
          <w:bCs/>
          <w:color w:val="auto"/>
          <w:sz w:val="28"/>
          <w:szCs w:val="32"/>
          <w:highlight w:val="none"/>
        </w:rPr>
      </w:pPr>
    </w:p>
    <w:p w14:paraId="10F6EF66">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8"/>
          <w:szCs w:val="32"/>
          <w:highlight w:val="none"/>
        </w:rPr>
        <w:t>签订日期：   年   月   日</w:t>
      </w:r>
    </w:p>
    <w:p w14:paraId="4324AB9E">
      <w:pPr>
        <w:widowControl/>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br w:type="page"/>
      </w:r>
    </w:p>
    <w:p w14:paraId="3620D7B0">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26689C76">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366ACBF1">
      <w:pPr>
        <w:bidi w:val="0"/>
        <w:rPr>
          <w:rFonts w:hint="eastAsia" w:ascii="宋体" w:hAnsi="宋体" w:eastAsia="宋体" w:cs="宋体"/>
          <w:color w:val="auto"/>
          <w:highlight w:val="none"/>
        </w:rPr>
      </w:pPr>
    </w:p>
    <w:p w14:paraId="71324493">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kern w:val="2"/>
          <w:sz w:val="21"/>
          <w:szCs w:val="21"/>
          <w:highlight w:val="none"/>
          <w:lang w:val="zh-CN" w:eastAsia="zh-CN" w:bidi="ar-SA"/>
        </w:rPr>
        <w:t>东莞市碧水信息科技有限公司2025年度球墨铸铁阀门采购项目</w:t>
      </w:r>
      <w:r>
        <w:rPr>
          <w:rFonts w:hint="eastAsia" w:ascii="宋体" w:hAnsi="宋体" w:eastAsia="宋体" w:cs="宋体"/>
          <w:color w:val="auto"/>
          <w:sz w:val="21"/>
          <w:szCs w:val="21"/>
          <w:highlight w:val="none"/>
        </w:rPr>
        <w:t>招投标结果（招标编号：</w:t>
      </w:r>
      <w:r>
        <w:rPr>
          <w:rFonts w:hint="eastAsia" w:ascii="宋体" w:hAnsi="宋体" w:eastAsia="宋体" w:cs="宋体"/>
          <w:color w:val="auto"/>
          <w:kern w:val="2"/>
          <w:sz w:val="21"/>
          <w:szCs w:val="21"/>
          <w:highlight w:val="none"/>
          <w:lang w:val="en-US" w:eastAsia="zh-CN" w:bidi="ar-SA"/>
        </w:rPr>
        <w:t>YDZB25DGQY0149</w:t>
      </w:r>
      <w:r>
        <w:rPr>
          <w:rFonts w:hint="eastAsia" w:ascii="宋体" w:hAnsi="宋体" w:eastAsia="宋体" w:cs="宋体"/>
          <w:color w:val="auto"/>
          <w:sz w:val="21"/>
          <w:szCs w:val="21"/>
          <w:highlight w:val="none"/>
        </w:rPr>
        <w:t>）和招标文件的要求，经双方协商一致，签订本合同。</w:t>
      </w:r>
    </w:p>
    <w:p w14:paraId="12BB46EB">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698" w:name="_Toc17887"/>
      <w:bookmarkStart w:id="699" w:name="_Toc18210"/>
      <w:r>
        <w:rPr>
          <w:rFonts w:hint="eastAsia" w:ascii="宋体" w:hAnsi="宋体" w:eastAsia="宋体" w:cs="宋体"/>
          <w:b/>
          <w:color w:val="auto"/>
          <w:sz w:val="21"/>
          <w:szCs w:val="21"/>
          <w:highlight w:val="none"/>
          <w:lang w:val="en-US" w:eastAsia="zh-CN"/>
        </w:rPr>
        <w:t>第一条 供货资格及范围</w:t>
      </w:r>
      <w:bookmarkEnd w:id="698"/>
      <w:bookmarkEnd w:id="699"/>
    </w:p>
    <w:p w14:paraId="63806B3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甲方确定乙方成为</w:t>
      </w:r>
      <w:r>
        <w:rPr>
          <w:rFonts w:hint="eastAsia" w:ascii="宋体" w:hAnsi="宋体" w:eastAsia="宋体" w:cs="宋体"/>
          <w:color w:val="auto"/>
          <w:kern w:val="2"/>
          <w:sz w:val="21"/>
          <w:szCs w:val="21"/>
          <w:highlight w:val="none"/>
          <w:lang w:val="zh-CN" w:eastAsia="zh-CN" w:bidi="ar-SA"/>
        </w:rPr>
        <w:t>东莞市碧水信息科技有限公司2025年度球墨铸铁阀门</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供应商，由乙方向甲方提供所需的</w:t>
      </w:r>
      <w:r>
        <w:rPr>
          <w:rFonts w:hint="eastAsia" w:ascii="宋体" w:hAnsi="宋体" w:eastAsia="宋体" w:cs="宋体"/>
          <w:color w:val="auto"/>
          <w:sz w:val="21"/>
          <w:szCs w:val="21"/>
          <w:highlight w:val="none"/>
          <w:lang w:val="en-US" w:eastAsia="zh-CN"/>
        </w:rPr>
        <w:t>阀门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供货范围为东莞市内，</w:t>
      </w:r>
      <w:r>
        <w:rPr>
          <w:rFonts w:hint="eastAsia" w:ascii="宋体" w:hAnsi="宋体" w:eastAsia="宋体" w:cs="宋体"/>
          <w:color w:val="auto"/>
          <w:sz w:val="21"/>
          <w:szCs w:val="21"/>
          <w:highlight w:val="none"/>
        </w:rPr>
        <w:t>详见附件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东莞市碧水信息科技有限公司2025年度</w:t>
      </w:r>
      <w:r>
        <w:rPr>
          <w:rFonts w:hint="eastAsia" w:ascii="宋体" w:hAnsi="宋体" w:eastAsia="宋体" w:cs="宋体"/>
          <w:color w:val="auto"/>
          <w:sz w:val="21"/>
          <w:szCs w:val="21"/>
          <w:highlight w:val="none"/>
          <w:lang w:val="en-US" w:eastAsia="zh-CN"/>
        </w:rPr>
        <w:t>阀门</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清单及价格表》（以下简称为“《采购</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清单及价格表》”）。</w:t>
      </w:r>
    </w:p>
    <w:p w14:paraId="51FAE9A3">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阀门预计用</w:t>
      </w:r>
      <w:r>
        <w:rPr>
          <w:rFonts w:hint="eastAsia" w:ascii="宋体" w:hAnsi="宋体" w:eastAsia="宋体" w:cs="宋体"/>
          <w:color w:val="auto"/>
          <w:sz w:val="21"/>
          <w:szCs w:val="21"/>
          <w:highlight w:val="none"/>
        </w:rPr>
        <w:t>量为暂定数量，仅为</w:t>
      </w:r>
      <w:r>
        <w:rPr>
          <w:rFonts w:hint="eastAsia" w:ascii="宋体" w:hAnsi="宋体" w:eastAsia="宋体" w:cs="宋体"/>
          <w:color w:val="auto"/>
          <w:sz w:val="21"/>
          <w:szCs w:val="21"/>
          <w:highlight w:val="none"/>
          <w:lang w:val="en-US" w:eastAsia="zh-CN"/>
        </w:rPr>
        <w:t>方便</w:t>
      </w:r>
      <w:r>
        <w:rPr>
          <w:rFonts w:hint="eastAsia" w:ascii="宋体" w:hAnsi="宋体" w:eastAsia="宋体" w:cs="宋体"/>
          <w:color w:val="auto"/>
          <w:sz w:val="21"/>
          <w:szCs w:val="21"/>
          <w:highlight w:val="none"/>
        </w:rPr>
        <w:t>计算暂定合同价使用，不作为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最终采购量的保证，</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实际采购量的减少或增加而要求提供任何形式的补偿或赔偿，实际采购量以</w:t>
      </w:r>
      <w:r>
        <w:rPr>
          <w:rFonts w:hint="eastAsia" w:ascii="宋体" w:hAnsi="宋体" w:eastAsia="宋体" w:cs="宋体"/>
          <w:color w:val="auto"/>
          <w:sz w:val="21"/>
          <w:szCs w:val="21"/>
          <w:highlight w:val="none"/>
          <w:lang w:val="en-US" w:eastAsia="zh-CN"/>
        </w:rPr>
        <w:t>供货期</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实际需求量为准。</w:t>
      </w:r>
    </w:p>
    <w:p w14:paraId="58F6B884">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乙方有义务接受甲方的监督。</w:t>
      </w:r>
    </w:p>
    <w:p w14:paraId="40F5755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供货本项目阀门</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ascii="宋体" w:hAnsi="宋体" w:eastAsia="宋体" w:cs="宋体"/>
          <w:color w:val="auto"/>
          <w:sz w:val="21"/>
          <w:szCs w:val="21"/>
          <w:highlight w:val="none"/>
          <w:lang w:eastAsia="zh-CN"/>
        </w:rPr>
        <w:t>所有</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4D4590C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0" w:name="_Toc5484"/>
      <w:bookmarkStart w:id="701" w:name="_Toc24843"/>
      <w:r>
        <w:rPr>
          <w:rFonts w:hint="eastAsia" w:ascii="宋体" w:hAnsi="宋体" w:eastAsia="宋体" w:cs="宋体"/>
          <w:b/>
          <w:color w:val="auto"/>
          <w:sz w:val="21"/>
          <w:szCs w:val="21"/>
          <w:highlight w:val="none"/>
          <w:lang w:val="en-US" w:eastAsia="zh-CN"/>
        </w:rPr>
        <w:t>第二条 合同供货期</w:t>
      </w:r>
      <w:bookmarkEnd w:id="700"/>
      <w:bookmarkEnd w:id="701"/>
    </w:p>
    <w:p w14:paraId="24BC99F0">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snapToGrid w:val="0"/>
          <w:color w:val="auto"/>
          <w:kern w:val="0"/>
          <w:szCs w:val="21"/>
          <w:highlight w:val="none"/>
          <w:u w:val="none"/>
          <w:lang w:bidi="ar"/>
        </w:rPr>
        <w:t>自合同签订之日起至2026年12月31日或累计结算金额（不含税）达到</w:t>
      </w:r>
      <w:r>
        <w:rPr>
          <w:rFonts w:hint="eastAsia" w:ascii="宋体" w:hAnsi="宋体" w:eastAsia="宋体" w:cs="宋体"/>
          <w:snapToGrid w:val="0"/>
          <w:color w:val="auto"/>
          <w:kern w:val="0"/>
          <w:szCs w:val="21"/>
          <w:highlight w:val="none"/>
          <w:u w:val="none"/>
          <w:lang w:val="en-US" w:eastAsia="zh-CN" w:bidi="ar"/>
        </w:rPr>
        <w:t>不含税</w:t>
      </w:r>
      <w:r>
        <w:rPr>
          <w:rFonts w:hint="eastAsia" w:ascii="宋体" w:hAnsi="宋体" w:eastAsia="宋体" w:cs="宋体"/>
          <w:snapToGrid w:val="0"/>
          <w:color w:val="auto"/>
          <w:kern w:val="0"/>
          <w:szCs w:val="21"/>
          <w:highlight w:val="none"/>
          <w:u w:val="none"/>
          <w:lang w:bidi="ar"/>
        </w:rPr>
        <w:t>暂定合同价时，采购合同终止，以先到者为准。</w:t>
      </w:r>
    </w:p>
    <w:p w14:paraId="3C7FB04D">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2" w:name="_Toc4044"/>
      <w:bookmarkStart w:id="703" w:name="_Toc7528"/>
      <w:r>
        <w:rPr>
          <w:rFonts w:hint="eastAsia" w:ascii="宋体" w:hAnsi="宋体" w:eastAsia="宋体" w:cs="宋体"/>
          <w:b/>
          <w:color w:val="auto"/>
          <w:sz w:val="21"/>
          <w:szCs w:val="21"/>
          <w:highlight w:val="none"/>
          <w:lang w:val="en-US" w:eastAsia="zh-CN"/>
        </w:rPr>
        <w:t>第三条 技术参数要求</w:t>
      </w:r>
      <w:bookmarkEnd w:id="702"/>
      <w:bookmarkEnd w:id="703"/>
    </w:p>
    <w:p w14:paraId="7D088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bookmarkStart w:id="704" w:name="_Toc4796"/>
      <w:bookmarkStart w:id="705" w:name="_Toc3400"/>
      <w:r>
        <w:rPr>
          <w:rFonts w:hint="eastAsia" w:ascii="宋体" w:hAnsi="宋体" w:eastAsia="宋体" w:cs="宋体"/>
          <w:b w:val="0"/>
          <w:bCs w:val="0"/>
          <w:i w:val="0"/>
          <w:iCs w:val="0"/>
          <w:snapToGrid w:val="0"/>
          <w:color w:val="auto"/>
          <w:kern w:val="0"/>
          <w:sz w:val="21"/>
          <w:szCs w:val="21"/>
          <w:highlight w:val="none"/>
          <w:u w:val="none"/>
          <w:lang w:val="en-US" w:eastAsia="zh-CN" w:bidi="ar"/>
        </w:rPr>
        <w:t>乙方提供的货物及服务应满足附件《用户需求书》中的技术参数要求。</w:t>
      </w:r>
    </w:p>
    <w:p w14:paraId="18290521">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其他要求</w:t>
      </w:r>
      <w:bookmarkEnd w:id="704"/>
      <w:bookmarkEnd w:id="705"/>
    </w:p>
    <w:p w14:paraId="047D9F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1.《采购材料清单及价格表》的货物有规格型号推荐的，乙方须采用采购清单中的规格型号供货。</w:t>
      </w:r>
    </w:p>
    <w:p w14:paraId="25FAD9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2.所供货物须符合国家现行有效的法律法规、行业规范及相关的质量标准并达到使用要求。</w:t>
      </w:r>
    </w:p>
    <w:p w14:paraId="0060A7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45076D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4.供货期内，乙方接到甲方的售后服务通知的，需在</w:t>
      </w:r>
      <w:r>
        <w:rPr>
          <w:rFonts w:hint="eastAsia" w:cs="宋体"/>
          <w:b w:val="0"/>
          <w:bCs w:val="0"/>
          <w:i w:val="0"/>
          <w:iCs w:val="0"/>
          <w:snapToGrid w:val="0"/>
          <w:color w:val="auto"/>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auto"/>
          <w:kern w:val="0"/>
          <w:sz w:val="21"/>
          <w:szCs w:val="21"/>
          <w:highlight w:val="none"/>
          <w:u w:val="none"/>
          <w:lang w:val="en-US" w:eastAsia="zh-CN" w:bidi="ar"/>
        </w:rPr>
        <w:t>小时内响应。</w:t>
      </w:r>
    </w:p>
    <w:p w14:paraId="062C250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06" w:name="_Toc21171"/>
      <w:bookmarkStart w:id="707" w:name="_Toc5256"/>
      <w:r>
        <w:rPr>
          <w:rFonts w:hint="eastAsia" w:ascii="宋体" w:hAnsi="宋体" w:eastAsia="宋体" w:cs="宋体"/>
          <w:b/>
          <w:color w:val="auto"/>
          <w:sz w:val="21"/>
          <w:szCs w:val="21"/>
          <w:highlight w:val="none"/>
        </w:rPr>
        <w:t xml:space="preserve">第五条 </w:t>
      </w:r>
      <w:bookmarkEnd w:id="706"/>
      <w:bookmarkEnd w:id="707"/>
      <w:r>
        <w:rPr>
          <w:rFonts w:hint="eastAsia" w:ascii="宋体" w:hAnsi="宋体" w:eastAsia="宋体" w:cs="宋体"/>
          <w:b/>
          <w:color w:val="auto"/>
          <w:sz w:val="21"/>
          <w:szCs w:val="21"/>
          <w:highlight w:val="none"/>
        </w:rPr>
        <w:t>交货要求</w:t>
      </w:r>
    </w:p>
    <w:p w14:paraId="4D7618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1.送货要求：</w:t>
      </w:r>
    </w:p>
    <w:p w14:paraId="14E044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（1）供货期内，乙方根据甲方的需求进行分批次供货，对于部分货源不充足需要订购的材料，乙方需跟甲方进行沟通并经甲方书面同意后，可延长交货期。</w:t>
      </w:r>
    </w:p>
    <w:p w14:paraId="202998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（2）阀门在甲方零库存情况下，无论何时，只要甲方有需求，乙方必须在甲方规定时间内将阀门送达交货现场。</w:t>
      </w:r>
    </w:p>
    <w:p w14:paraId="05BC4C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乙方应具备合理的应急供货能力，包括但不限于库存管理、物流配送等。如果乙方在零库存情况下，因为自身管理不善（如没有合理的库存预警机制、物流配送不及时等）导致无法按时供货，则属于违约行为。</w:t>
      </w:r>
    </w:p>
    <w:p w14:paraId="590DC0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如果遇到不可抗力（如自然灾害、交通管制等）导致无法按时供货，乙方应及时通知甲方，并提供相应的证明。在这种情况下，双方应协商解决。</w:t>
      </w:r>
    </w:p>
    <w:p w14:paraId="751DD72B">
      <w:pPr>
        <w:adjustRightInd/>
        <w:snapToGrid/>
        <w:ind w:firstLine="420" w:firstLineChars="200"/>
        <w:rPr>
          <w:rFonts w:hint="eastAsia" w:ascii="宋体" w:hAnsi="宋体" w:eastAsia="宋体" w:cs="宋体"/>
          <w:snapToGrid w:val="0"/>
          <w:color w:val="auto"/>
          <w:kern w:val="0"/>
          <w:szCs w:val="21"/>
          <w:highlight w:val="none"/>
          <w:lang w:bidi="ar"/>
        </w:rPr>
      </w:pPr>
      <w:r>
        <w:rPr>
          <w:rFonts w:hint="eastAsia" w:ascii="宋体" w:hAnsi="宋体" w:eastAsia="宋体" w:cs="宋体"/>
          <w:snapToGrid w:val="0"/>
          <w:color w:val="auto"/>
          <w:kern w:val="0"/>
          <w:szCs w:val="21"/>
          <w:highlight w:val="none"/>
          <w:lang w:val="en-US" w:eastAsia="zh-CN" w:bidi="ar"/>
        </w:rPr>
        <w:t>2</w:t>
      </w:r>
      <w:r>
        <w:rPr>
          <w:rFonts w:hint="eastAsia" w:ascii="宋体" w:hAnsi="宋体" w:eastAsia="宋体" w:cs="宋体"/>
          <w:snapToGrid w:val="0"/>
          <w:color w:val="auto"/>
          <w:kern w:val="0"/>
          <w:szCs w:val="21"/>
          <w:highlight w:val="none"/>
          <w:lang w:bidi="ar"/>
        </w:rPr>
        <w:t>.乙方应指定专人负责配送，按照甲方每批次订单注明的品种、数量、质量及时间要求（以合同及采购订单为准），在</w:t>
      </w:r>
      <w:r>
        <w:rPr>
          <w:rFonts w:hint="eastAsia" w:cs="宋体"/>
          <w:snapToGrid w:val="0"/>
          <w:color w:val="auto"/>
          <w:kern w:val="0"/>
          <w:szCs w:val="21"/>
          <w:highlight w:val="none"/>
          <w:u w:val="single"/>
          <w:lang w:val="en-US" w:eastAsia="zh-CN" w:bidi="ar"/>
        </w:rPr>
        <w:t xml:space="preserve">   </w:t>
      </w:r>
      <w:r>
        <w:rPr>
          <w:rFonts w:hint="eastAsia" w:ascii="宋体" w:hAnsi="宋体" w:eastAsia="宋体" w:cs="宋体"/>
          <w:snapToGrid w:val="0"/>
          <w:color w:val="auto"/>
          <w:kern w:val="0"/>
          <w:szCs w:val="21"/>
          <w:highlight w:val="none"/>
          <w:u w:val="single"/>
          <w:lang w:val="en-US" w:eastAsia="zh-CN" w:bidi="ar"/>
        </w:rPr>
        <w:t>日</w:t>
      </w:r>
      <w:r>
        <w:rPr>
          <w:rFonts w:hint="eastAsia" w:ascii="宋体" w:hAnsi="宋体" w:eastAsia="宋体" w:cs="宋体"/>
          <w:snapToGrid w:val="0"/>
          <w:color w:val="auto"/>
          <w:kern w:val="0"/>
          <w:szCs w:val="21"/>
          <w:highlight w:val="none"/>
          <w:lang w:bidi="ar"/>
        </w:rPr>
        <w:t>内将货物送达指定地点；对于紧急采购需求，须在</w:t>
      </w:r>
      <w:r>
        <w:rPr>
          <w:rFonts w:hint="eastAsia" w:cs="宋体"/>
          <w:snapToGrid w:val="0"/>
          <w:color w:val="auto"/>
          <w:kern w:val="0"/>
          <w:szCs w:val="21"/>
          <w:highlight w:val="none"/>
          <w:u w:val="single"/>
          <w:lang w:val="en-US" w:eastAsia="zh-CN" w:bidi="ar"/>
        </w:rPr>
        <w:t xml:space="preserve">   </w:t>
      </w:r>
      <w:r>
        <w:rPr>
          <w:rFonts w:hint="eastAsia" w:ascii="宋体" w:hAnsi="宋体" w:eastAsia="宋体" w:cs="宋体"/>
          <w:snapToGrid w:val="0"/>
          <w:color w:val="auto"/>
          <w:kern w:val="0"/>
          <w:szCs w:val="21"/>
          <w:highlight w:val="none"/>
          <w:u w:val="single"/>
          <w:lang w:val="en-US" w:eastAsia="zh-CN" w:bidi="ar"/>
        </w:rPr>
        <w:t>日</w:t>
      </w:r>
      <w:r>
        <w:rPr>
          <w:rFonts w:hint="eastAsia" w:ascii="宋体" w:hAnsi="宋体" w:eastAsia="宋体" w:cs="宋体"/>
          <w:snapToGrid w:val="0"/>
          <w:color w:val="auto"/>
          <w:kern w:val="0"/>
          <w:szCs w:val="21"/>
          <w:highlight w:val="none"/>
          <w:lang w:bidi="ar"/>
        </w:rPr>
        <w:t>内完成送达。每次交货时，乙方需随货提供一式两份《送货清单》，由甲、乙双方共同验</w:t>
      </w:r>
      <w:r>
        <w:rPr>
          <w:rFonts w:hint="eastAsia" w:ascii="宋体" w:hAnsi="宋体" w:eastAsia="宋体" w:cs="宋体"/>
          <w:snapToGrid w:val="0"/>
          <w:color w:val="auto"/>
          <w:kern w:val="0"/>
          <w:szCs w:val="21"/>
          <w:highlight w:val="none"/>
          <w:lang w:val="en-US" w:eastAsia="zh-CN" w:bidi="ar"/>
        </w:rPr>
        <w:t>收</w:t>
      </w:r>
      <w:r>
        <w:rPr>
          <w:rFonts w:hint="eastAsia" w:ascii="宋体" w:hAnsi="宋体" w:eastAsia="宋体" w:cs="宋体"/>
          <w:snapToGrid w:val="0"/>
          <w:color w:val="auto"/>
          <w:kern w:val="0"/>
          <w:szCs w:val="21"/>
          <w:highlight w:val="none"/>
          <w:lang w:bidi="ar"/>
        </w:rPr>
        <w:t>签字确认后各执一份，作为送收货凭证。</w:t>
      </w:r>
    </w:p>
    <w:p w14:paraId="6942566B">
      <w:pPr>
        <w:adjustRightInd/>
        <w:snapToGrid/>
        <w:ind w:firstLine="420" w:firstLineChars="200"/>
        <w:rPr>
          <w:rFonts w:hint="eastAsia" w:ascii="宋体" w:hAnsi="宋体" w:eastAsia="宋体" w:cs="宋体"/>
          <w:color w:val="auto"/>
          <w:highlight w:val="none"/>
          <w:lang w:val="en-US" w:eastAsia="zh-CN"/>
        </w:rPr>
      </w:pPr>
      <w:r>
        <w:rPr>
          <w:rFonts w:hint="eastAsia" w:ascii="宋体" w:hAnsi="宋体" w:eastAsia="宋体" w:cs="宋体"/>
          <w:snapToGrid w:val="0"/>
          <w:color w:val="auto"/>
          <w:kern w:val="0"/>
          <w:szCs w:val="21"/>
          <w:highlight w:val="none"/>
          <w:lang w:val="en-US" w:eastAsia="zh-CN" w:bidi="ar"/>
        </w:rPr>
        <w:t>3</w:t>
      </w:r>
      <w:r>
        <w:rPr>
          <w:rFonts w:hint="eastAsia" w:ascii="宋体" w:hAnsi="宋体" w:eastAsia="宋体" w:cs="宋体"/>
          <w:snapToGrid w:val="0"/>
          <w:color w:val="auto"/>
          <w:kern w:val="0"/>
          <w:szCs w:val="21"/>
          <w:highlight w:val="none"/>
          <w:lang w:bidi="ar"/>
        </w:rPr>
        <w:t>.所有货物必须到指定的交货现场（甲方指定地点）后才能拆封。在开箱检验时必须完好，无破损，配置与装箱单相符。货物外观清洁，标记编号以及字体清晰、明确。</w:t>
      </w:r>
    </w:p>
    <w:p w14:paraId="32066D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4.交货地点：</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4509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4" w:type="pct"/>
            <w:noWrap/>
            <w:vAlign w:val="center"/>
          </w:tcPr>
          <w:p w14:paraId="7545D7F1">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825" w:type="pct"/>
            <w:noWrap w:val="0"/>
            <w:vAlign w:val="center"/>
          </w:tcPr>
          <w:p w14:paraId="7DDD0C52">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交货地点</w:t>
            </w:r>
          </w:p>
        </w:tc>
        <w:tc>
          <w:tcPr>
            <w:tcW w:w="2134" w:type="pct"/>
            <w:noWrap w:val="0"/>
            <w:vAlign w:val="center"/>
          </w:tcPr>
          <w:p w14:paraId="6B438554">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详细地址</w:t>
            </w:r>
          </w:p>
        </w:tc>
        <w:tc>
          <w:tcPr>
            <w:tcW w:w="1535" w:type="pct"/>
            <w:noWrap w:val="0"/>
            <w:vAlign w:val="center"/>
          </w:tcPr>
          <w:p w14:paraId="34407838">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备注</w:t>
            </w:r>
          </w:p>
        </w:tc>
      </w:tr>
      <w:tr w14:paraId="272B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0D373750">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825" w:type="pct"/>
            <w:tcBorders>
              <w:right w:val="single" w:color="auto" w:sz="4" w:space="0"/>
            </w:tcBorders>
            <w:shd w:val="clear" w:color="auto" w:fill="auto"/>
            <w:noWrap w:val="0"/>
            <w:vAlign w:val="center"/>
          </w:tcPr>
          <w:p w14:paraId="4B1BC181">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东莞市内</w:t>
            </w:r>
          </w:p>
        </w:tc>
        <w:tc>
          <w:tcPr>
            <w:tcW w:w="2134" w:type="pct"/>
            <w:shd w:val="clear" w:color="auto" w:fill="auto"/>
            <w:noWrap w:val="0"/>
            <w:vAlign w:val="center"/>
          </w:tcPr>
          <w:p w14:paraId="3B12F159">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以甲方具体通知为准</w:t>
            </w:r>
          </w:p>
        </w:tc>
        <w:tc>
          <w:tcPr>
            <w:tcW w:w="1535" w:type="pct"/>
            <w:shd w:val="clear" w:color="auto" w:fill="auto"/>
            <w:noWrap w:val="0"/>
            <w:vAlign w:val="center"/>
          </w:tcPr>
          <w:p w14:paraId="10BD803E">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p>
        </w:tc>
      </w:tr>
    </w:tbl>
    <w:p w14:paraId="59BCDA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（1）在货物移交给甲方并经甲方验收合格前，货物的损耗、毁损、灭失的风险和责任均由乙方自行承担。</w:t>
      </w:r>
    </w:p>
    <w:p w14:paraId="7F930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（2）甲方有权修改、变更货物数量，具体供货数量以甲方通知为准，最终双方根据实际供货情况据实结算。</w:t>
      </w:r>
    </w:p>
    <w:p w14:paraId="2BB7B5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w:t>
      </w:r>
      <w:r>
        <w:rPr>
          <w:rFonts w:hint="eastAsia" w:ascii="宋体" w:hAnsi="宋体" w:eastAsia="宋体" w:cs="宋体"/>
          <w:b w:val="0"/>
          <w:bCs w:val="0"/>
          <w:color w:val="auto"/>
          <w:kern w:val="2"/>
          <w:sz w:val="21"/>
          <w:szCs w:val="21"/>
          <w:highlight w:val="none"/>
          <w:lang w:val="en-US" w:eastAsia="zh-CN" w:bidi="ar-SA"/>
        </w:rPr>
        <w:t>必须提供生产厂家营业执照、供货单、出厂合格证、检验合格报告等资料证明。</w:t>
      </w:r>
    </w:p>
    <w:p w14:paraId="679B7254">
      <w:pPr>
        <w:pStyle w:val="3"/>
        <w:bidi w:val="0"/>
        <w:rPr>
          <w:rFonts w:hint="eastAsia" w:ascii="宋体" w:hAnsi="宋体" w:eastAsia="宋体" w:cs="宋体"/>
          <w:color w:val="auto"/>
          <w:highlight w:val="none"/>
          <w:lang w:val="en-US" w:eastAsia="zh-CN"/>
        </w:rPr>
      </w:pPr>
      <w:bookmarkStart w:id="708" w:name="_Toc1913"/>
      <w:bookmarkStart w:id="709" w:name="_Toc2971"/>
      <w:r>
        <w:rPr>
          <w:rFonts w:hint="eastAsia" w:ascii="宋体" w:hAnsi="宋体" w:eastAsia="宋体" w:cs="宋体"/>
          <w:color w:val="auto"/>
          <w:highlight w:val="none"/>
          <w:lang w:val="en-US" w:eastAsia="zh-CN"/>
        </w:rPr>
        <w:t>第六条 验收</w:t>
      </w:r>
      <w:bookmarkEnd w:id="708"/>
      <w:bookmarkEnd w:id="709"/>
      <w:r>
        <w:rPr>
          <w:rFonts w:hint="eastAsia" w:ascii="宋体" w:hAnsi="宋体" w:eastAsia="宋体" w:cs="宋体"/>
          <w:color w:val="auto"/>
          <w:highlight w:val="none"/>
          <w:lang w:val="en-US" w:eastAsia="zh-CN"/>
        </w:rPr>
        <w:t>与检测及质保期要求</w:t>
      </w:r>
    </w:p>
    <w:p w14:paraId="59111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货物到达交货地点后，甲乙双方共同验货。甲乙双方按照本合同、国家相关法律法规以及规范的要求等相关的规定，对货物的品种、品牌、产地、型号规格、数量、外观质量、资料进行清点和全面的检验，并作详细的记录。</w:t>
      </w:r>
    </w:p>
    <w:p w14:paraId="2A7B8C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236BAE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如发现货物的品种、型号规格、数量、外观质量、资料与合同不符，或货物短缺、质次、损坏等问题，应作详细记录，且甲方有权拒绝收货及拒绝付款，乙方应在合同规定的时间内立即、无条件为甲方免费更换、补齐或无条件退货。更换或补齐后的货物，甲方有权按照本条有关验收的约定进行验收，由此产生的制造、修理和运费及保险费等费用均应由乙方负担，与甲方无关。</w:t>
      </w:r>
    </w:p>
    <w:p w14:paraId="5A9D9E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4.由于非甲方原因而引起货物的修理或更换的时间，应以不影响甲方生产为原则，且修理或更换应在甲方许可的时限内完成，否则将视为乙方逾期交货。交接并验收合格后，乙方向甲方出具相关签收手续。</w:t>
      </w:r>
    </w:p>
    <w:p w14:paraId="6B6CD9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5.甲方根据本条约定对货物所做出的验收，仅作为起算付款及质保期之用，不视为甲方对于货物质量的最终认定。货物经验收合格后，乙方仍应在质保期内对产品质量承担保证责任。</w:t>
      </w:r>
    </w:p>
    <w:p w14:paraId="4C6EC4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6.货物在全部经甲方验收合格前，其损耗、毁损、灭失等风险及责任由乙方承担，如因发生前述情形，导致乙方所供应的货物不能通过甲方验收的，乙方应按甲方要求予以免费更换、补齐或无条件退货。</w:t>
      </w:r>
    </w:p>
    <w:p w14:paraId="4F59CC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7.抽检：</w:t>
      </w:r>
    </w:p>
    <w:p w14:paraId="0ADE6F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甲方每年可不定期开展一次第三方物理性能检测抽检。甲方将随机抽取某一规格类型的材料，送至省市级有资质的第三方单位进行性能检定。对于阀门的抽检，乙方需在货物交付现场，按照相关标准的要求，配合甲方制作抽检试件，试件数量按每批次到货量的5%抽取，且不少于2件。甲方负责第一次检测费用，乙方承担试件制作费用，并需在送检后30天内，向甲方指定地点补回同规格数量的材料。</w:t>
      </w:r>
    </w:p>
    <w:p w14:paraId="2C99E9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若材料检测结果不合格且未使用，即视为一次第三方送检不合格。此时，乙方与甲方需再次共同抽样，送至甲方指定的第三方单位复检，所有费用由乙方承担。若复检合格，乙方应在30天内补回同规格数量的材料；若复检仍不合格，甲方有权选择退换全部货物，并可单方面终止合同，由此产生的一切责任及费用均由乙方承担，并扣除全额履约担保。</w:t>
      </w:r>
    </w:p>
    <w:p w14:paraId="39D810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若材料检测结果不合格且已使用，乙方需赔偿由此产生的一切责任及费用，包括但不限于返工、材料退换、拆装、工期延误损失、检测等。同时，甲方有权直接扣除全额履约担保，若超出履约担保部分的损失仍需由乙方承担。</w:t>
      </w:r>
    </w:p>
    <w:p w14:paraId="321DB6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原则上，产品送第三方检定需甲乙双方共同送检。若乙方出现推诿、拖延或拒绝送检的情况，甲方有权自主送检。若乙方未及时缴纳检测费用，甲方可代垫，并从乙方的提供的履约担保或货款中扣除。</w:t>
      </w:r>
    </w:p>
    <w:p w14:paraId="7CBB61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lang w:val="en-US" w:eastAsia="zh-CN" w:bidi="ar"/>
        </w:rPr>
        <w:t>8.</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品质争议检测：在履约期间，甲方有权委托具备资质的第三方检测机构按相关规定对货物进行检测，检测地点根据检测项目需求可为材料生产基地或甲方指定的材料送货地点，乙方应予以配合，如检测结果合格，费用由甲方负责；如检测结果不合格，费用由乙方负责，并承担对不合格批次产品的更换。</w:t>
      </w:r>
    </w:p>
    <w:p w14:paraId="219AAB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lang w:val="en-US" w:eastAsia="zh-CN" w:bidi="ar"/>
        </w:rPr>
        <w:t>9.</w:t>
      </w:r>
      <w:r>
        <w:rPr>
          <w:rFonts w:hint="eastAsia" w:ascii="宋体" w:hAnsi="宋体" w:eastAsia="宋体" w:cs="宋体"/>
          <w:b w:val="0"/>
          <w:bCs w:val="0"/>
          <w:i w:val="0"/>
          <w:iCs w:val="0"/>
          <w:snapToGrid w:val="0"/>
          <w:color w:val="auto"/>
          <w:kern w:val="0"/>
          <w:sz w:val="21"/>
          <w:szCs w:val="21"/>
          <w:highlight w:val="none"/>
          <w:u w:val="none"/>
          <w:lang w:val="en-US" w:eastAsia="zh-CN" w:bidi="ar"/>
        </w:rPr>
        <w:t>质保期为自验收合格之日起2年</w:t>
      </w:r>
      <w:r>
        <w:rPr>
          <w:rFonts w:hint="eastAsia" w:ascii="宋体" w:hAnsi="宋体" w:eastAsia="宋体" w:cs="宋体"/>
          <w:b w:val="0"/>
          <w:bCs w:val="0"/>
          <w:color w:val="auto"/>
          <w:kern w:val="2"/>
          <w:sz w:val="21"/>
          <w:szCs w:val="21"/>
          <w:highlight w:val="none"/>
          <w:lang w:val="en-US" w:eastAsia="zh-CN" w:bidi="ar-SA"/>
        </w:rPr>
        <w:t>（如乙方有更优服务承诺，参照更优服务承诺）</w:t>
      </w:r>
      <w:r>
        <w:rPr>
          <w:rFonts w:hint="eastAsia" w:ascii="宋体" w:hAnsi="宋体" w:eastAsia="宋体" w:cs="宋体"/>
          <w:b w:val="0"/>
          <w:bCs w:val="0"/>
          <w:i w:val="0"/>
          <w:iCs w:val="0"/>
          <w:snapToGrid w:val="0"/>
          <w:color w:val="auto"/>
          <w:kern w:val="0"/>
          <w:sz w:val="21"/>
          <w:szCs w:val="21"/>
          <w:highlight w:val="none"/>
          <w:u w:val="none"/>
          <w:lang w:val="en-US" w:eastAsia="zh-CN" w:bidi="ar"/>
        </w:rPr>
        <w:t>，自验收合格之日起计算。质保期内限时提供上门服务。</w:t>
      </w:r>
    </w:p>
    <w:p w14:paraId="620A9403">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0" w:name="_Toc19243"/>
      <w:bookmarkStart w:id="711" w:name="_Toc20996"/>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综合单价、暂定合同价及付款方式</w:t>
      </w:r>
      <w:bookmarkEnd w:id="710"/>
      <w:bookmarkEnd w:id="711"/>
    </w:p>
    <w:p w14:paraId="7365826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ascii="宋体" w:hAnsi="宋体" w:eastAsia="宋体" w:cs="宋体"/>
          <w:color w:val="auto"/>
          <w:sz w:val="21"/>
          <w:szCs w:val="21"/>
          <w:highlight w:val="none"/>
          <w:u w:val="none"/>
          <w:lang w:val="en-US" w:eastAsia="zh-CN"/>
        </w:rPr>
        <w:t>阀门</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w:t>
      </w:r>
      <w:r>
        <w:rPr>
          <w:rFonts w:hint="eastAsia" w:ascii="宋体" w:hAnsi="宋体" w:eastAsia="宋体" w:cs="宋体"/>
          <w:color w:val="auto"/>
          <w:sz w:val="21"/>
          <w:szCs w:val="21"/>
          <w:highlight w:val="none"/>
          <w:u w:val="none"/>
          <w:lang w:val="en-US" w:eastAsia="zh-CN"/>
        </w:rPr>
        <w:t>中标</w:t>
      </w:r>
      <w:r>
        <w:rPr>
          <w:rFonts w:hint="eastAsia" w:ascii="宋体" w:hAnsi="宋体" w:eastAsia="宋体" w:cs="宋体"/>
          <w:color w:val="auto"/>
          <w:sz w:val="21"/>
          <w:szCs w:val="21"/>
          <w:highlight w:val="none"/>
          <w:u w:val="none"/>
        </w:rPr>
        <w:t>综合单价详见</w:t>
      </w:r>
      <w:r>
        <w:rPr>
          <w:rFonts w:hint="eastAsia" w:ascii="宋体" w:hAnsi="宋体" w:eastAsia="宋体" w:cs="宋体"/>
          <w:color w:val="auto"/>
          <w:sz w:val="21"/>
          <w:szCs w:val="21"/>
          <w:highlight w:val="none"/>
          <w:u w:val="none"/>
          <w:lang w:val="en-US" w:eastAsia="zh-CN"/>
        </w:rPr>
        <w:t>《采购材料清单及价格表》，</w:t>
      </w:r>
      <w:r>
        <w:rPr>
          <w:rFonts w:hint="eastAsia" w:ascii="宋体" w:hAnsi="宋体" w:eastAsia="宋体" w:cs="宋体"/>
          <w:color w:val="auto"/>
          <w:sz w:val="21"/>
          <w:szCs w:val="21"/>
          <w:highlight w:val="none"/>
          <w:u w:val="none"/>
        </w:rPr>
        <w:t>对应招标时暂列采购数量清单计算的暂定合同价（即销售额，不含销项税额）为¥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1812D1A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暂定销项税额为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发票类型为增值税专用发票</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因乙方违约导致甲方实际产生增值税税款损失（含滞纳金、进项转出、补税等），乙方应全额赔偿甲方经济损失。</w:t>
      </w:r>
    </w:p>
    <w:p w14:paraId="6DBE77F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ascii="宋体" w:hAnsi="宋体" w:eastAsia="宋体"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14:paraId="58813C5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rPr>
        <w:t>对应招标时暂列采购数量清单计算的暂定含税合同总价为¥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A753EA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（1）货物及其配备的附件、备品备件的采购、制造、检测、试验、送货、装卸（含二次搬运至</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指定交货或仓储地点）、人工费、材料费、包装费、运费、保险、现场仓储等相关服务的全部费用；（2）免费的质保服务，包括但不限于免费上门提供售后服务、质量问题处理或更换失效产品；（</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）合理利润、</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销项税额以外的税费、中标服务费等；（</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）法律法规、商业公认、招标文件规定由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承担的其他直接及间接费用</w:t>
      </w:r>
      <w:r>
        <w:rPr>
          <w:rFonts w:hint="eastAsia" w:cs="宋体"/>
          <w:color w:val="auto"/>
          <w:sz w:val="21"/>
          <w:szCs w:val="21"/>
          <w:highlight w:val="none"/>
          <w:u w:val="none"/>
          <w:lang w:eastAsia="zh-CN"/>
        </w:rPr>
        <w:t>；</w:t>
      </w: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货物验收合格前发生的安全事故所产生的一切费用</w:t>
      </w:r>
      <w:r>
        <w:rPr>
          <w:rFonts w:hint="eastAsia"/>
          <w:color w:val="auto"/>
          <w:highlight w:val="none"/>
          <w:lang w:val="en-US" w:eastAsia="zh-CN"/>
        </w:rPr>
        <w:t>。</w:t>
      </w:r>
    </w:p>
    <w:p w14:paraId="610D95B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7C6AA2AE">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付款方式：</w:t>
      </w:r>
      <w:r>
        <w:rPr>
          <w:rFonts w:hint="eastAsia" w:ascii="宋体" w:hAnsi="宋体" w:eastAsia="宋体" w:cs="宋体"/>
          <w:b w:val="0"/>
          <w:bCs/>
          <w:color w:val="auto"/>
          <w:sz w:val="21"/>
          <w:szCs w:val="21"/>
          <w:highlight w:val="none"/>
        </w:rPr>
        <w:t>供货期内，按月度进行结算，</w:t>
      </w:r>
      <w:r>
        <w:rPr>
          <w:rFonts w:hint="eastAsia" w:ascii="宋体" w:hAnsi="宋体" w:eastAsia="宋体" w:cs="宋体"/>
          <w:color w:val="auto"/>
          <w:sz w:val="21"/>
          <w:szCs w:val="21"/>
          <w:highlight w:val="none"/>
          <w:lang w:val="en-US" w:eastAsia="zh-CN"/>
        </w:rPr>
        <w:t>乙方所供货物经甲方验收合格后，甲乙双方每月15日之前对上个月实际验收合格供货量进行结算，乙方应向甲方提交</w:t>
      </w:r>
      <w:r>
        <w:rPr>
          <w:rFonts w:hint="eastAsia" w:ascii="宋体" w:hAnsi="宋体" w:eastAsia="宋体" w:cs="宋体"/>
          <w:color w:val="auto"/>
          <w:szCs w:val="21"/>
          <w:highlight w:val="none"/>
          <w:lang w:val="en-US" w:eastAsia="zh-CN"/>
        </w:rPr>
        <w:t>符合甲方要求的</w:t>
      </w:r>
      <w:r>
        <w:rPr>
          <w:rFonts w:hint="eastAsia" w:ascii="宋体" w:hAnsi="宋体" w:eastAsia="宋体" w:cs="宋体"/>
          <w:color w:val="auto"/>
          <w:sz w:val="21"/>
          <w:szCs w:val="21"/>
          <w:highlight w:val="none"/>
          <w:lang w:val="en-US" w:eastAsia="zh-CN"/>
        </w:rPr>
        <w:t>请款报告和等额的合法、有效的增值税专用发票，甲方在收到前述材料并确认无误后 20 个工作日内，甲方支付上月实际验收合格供货量对应价款的【100%】及对应税额。</w:t>
      </w:r>
    </w:p>
    <w:p w14:paraId="08A987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应按甲方采购需求清单提供货物价款等额合法的增值税专用发票、请款报告等请款资料，逾期提交请款资料及发票或提交资料不符合甲方要求的，甲方付款时间顺延，且不承担逾期付款违约责任。由于乙方提供的发票不符合税法规定，给甲方造成的损失的，由乙方承担赔偿责任。</w:t>
      </w:r>
    </w:p>
    <w:p w14:paraId="7A6940B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乙方指定收款账户：</w:t>
      </w:r>
    </w:p>
    <w:p w14:paraId="61672732">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56237940">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254DBF95">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779DBDCB">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6438FD9E">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bookmarkStart w:id="712" w:name="_Toc4089"/>
      <w:bookmarkStart w:id="713" w:name="_Toc3989"/>
      <w:r>
        <w:rPr>
          <w:rFonts w:hint="eastAsia" w:ascii="宋体" w:hAnsi="宋体" w:eastAsia="宋体" w:cs="宋体"/>
          <w:b/>
          <w:color w:val="auto"/>
          <w:sz w:val="21"/>
          <w:szCs w:val="21"/>
          <w:highlight w:val="none"/>
        </w:rPr>
        <w:t>第八条 履约担保</w:t>
      </w:r>
      <w:bookmarkEnd w:id="712"/>
      <w:bookmarkEnd w:id="713"/>
    </w:p>
    <w:p w14:paraId="71BD065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7081412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11C743A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7A27B4FF">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履约保证保险金额为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08A30993">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49EA8B5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履约担保用于补偿甲方因乙方不能</w:t>
      </w:r>
      <w:r>
        <w:rPr>
          <w:rFonts w:hint="eastAsia" w:ascii="宋体" w:hAnsi="宋体" w:eastAsia="宋体" w:cs="宋体"/>
          <w:color w:val="auto"/>
          <w:sz w:val="21"/>
          <w:szCs w:val="21"/>
          <w:highlight w:val="none"/>
          <w:lang w:val="en-US" w:eastAsia="zh-CN"/>
        </w:rPr>
        <w:t>完全履行</w:t>
      </w:r>
      <w:r>
        <w:rPr>
          <w:rFonts w:hint="eastAsia" w:ascii="宋体" w:hAnsi="宋体" w:eastAsia="宋体" w:cs="宋体"/>
          <w:color w:val="auto"/>
          <w:sz w:val="21"/>
          <w:szCs w:val="21"/>
          <w:highlight w:val="none"/>
        </w:rPr>
        <w:t>其合同义务而蒙受的损失或其他合同约定的事项。如发生下列任一情况时，甲方有权依合同追究违约责任外，同时有权提取履约担保并进行相应处理：</w:t>
      </w:r>
    </w:p>
    <w:p w14:paraId="18470BC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33BEB3A8">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580A20A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5BDEE6C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077FC9F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6989F94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若乙方</w:t>
      </w:r>
      <w:r>
        <w:rPr>
          <w:rFonts w:hint="eastAsia" w:ascii="宋体" w:hAnsi="宋体" w:eastAsia="宋体" w:cs="宋体"/>
          <w:color w:val="auto"/>
          <w:kern w:val="2"/>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宋体"/>
          <w:color w:val="auto"/>
          <w:kern w:val="2"/>
          <w:szCs w:val="21"/>
          <w:highlight w:val="none"/>
        </w:rPr>
        <w:t>合同期限届满并全部供货经验收合格及履行完毕相关服务义务且结算完毕之后二十八（28）日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0065B5A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如乙方提供不可撤销银行履约保函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宋体"/>
          <w:color w:val="auto"/>
          <w:kern w:val="2"/>
          <w:szCs w:val="21"/>
          <w:highlight w:val="none"/>
        </w:rPr>
        <w:t>从合同签订之日起至合同期限届满并全部供货经验收合格及履行完毕相关服务义务且结算完毕之后二十八（28）日内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或担保公司履约担保书在规定有效期届满时而货物尚未全部验收合格</w:t>
      </w:r>
      <w:r>
        <w:rPr>
          <w:rFonts w:hint="eastAsia" w:ascii="宋体" w:hAnsi="宋体" w:eastAsia="宋体" w:cs="宋体"/>
          <w:color w:val="auto"/>
          <w:sz w:val="21"/>
          <w:szCs w:val="21"/>
          <w:highlight w:val="none"/>
          <w:lang w:val="en-US" w:eastAsia="zh-CN"/>
        </w:rPr>
        <w:t>的及本合同项下合同义务仍未履行完毕</w:t>
      </w:r>
      <w:r>
        <w:rPr>
          <w:rFonts w:hint="eastAsia" w:ascii="宋体" w:hAnsi="宋体" w:eastAsia="宋体" w:cs="宋体"/>
          <w:color w:val="auto"/>
          <w:sz w:val="21"/>
          <w:szCs w:val="21"/>
          <w:highlight w:val="none"/>
        </w:rPr>
        <w:t>的，乙方必须在不可撤销银行履约保函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780160C9">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54685678">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合同中提及的“没收履约担保”“扣除履约担保”“使用履约担保予以支付”“启用履约担保”等，如履约担保为保证金形式的，则该含义为没收保证金、扣除保证金、直接使用保证金等；如履约担保为银行不可撤销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或保险</w:t>
      </w:r>
      <w:r>
        <w:rPr>
          <w:rFonts w:hint="eastAsia" w:ascii="宋体" w:hAnsi="宋体" w:eastAsia="宋体" w:cs="宋体"/>
          <w:color w:val="auto"/>
          <w:kern w:val="2"/>
          <w:szCs w:val="21"/>
          <w:highlight w:val="none"/>
        </w:rPr>
        <w:t>或担保）机构</w:t>
      </w:r>
      <w:r>
        <w:rPr>
          <w:rFonts w:hint="eastAsia" w:ascii="宋体" w:hAnsi="宋体" w:eastAsia="宋体" w:cs="宋体"/>
          <w:color w:val="auto"/>
          <w:sz w:val="21"/>
          <w:szCs w:val="21"/>
          <w:highlight w:val="none"/>
          <w:lang w:val="en-US" w:eastAsia="zh-CN"/>
        </w:rPr>
        <w:t>索赔。</w:t>
      </w:r>
    </w:p>
    <w:p w14:paraId="2904201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4" w:name="_Toc13115"/>
      <w:bookmarkStart w:id="715" w:name="_Toc9803"/>
      <w:r>
        <w:rPr>
          <w:rFonts w:hint="eastAsia" w:ascii="宋体" w:hAnsi="宋体" w:eastAsia="宋体" w:cs="宋体"/>
          <w:b/>
          <w:color w:val="auto"/>
          <w:sz w:val="21"/>
          <w:szCs w:val="21"/>
          <w:highlight w:val="none"/>
        </w:rPr>
        <w:t>第九条 违约责任</w:t>
      </w:r>
      <w:bookmarkEnd w:id="714"/>
      <w:bookmarkEnd w:id="715"/>
    </w:p>
    <w:p w14:paraId="2DDD9B4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乙方未在约定的时间内完成交货的，每逾期1日（应急供货的，每逾期30分钟），乙方须按当月供货货物金额（含销项税）的1%向甲方支付违约金，最高不超过当月供货货物金额（含销项税）的10%。乙方逾期超过10日的（应急供货的，逾期超5小时），甲方可单方解除本合同，乙方除前述逾期违约金外，还应额外按暂定总合同价（含销项税）的5%向甲方支付违约金，并赔偿甲方因此产生的所有损失（包括但不限于甲方再行采购的费用、委托第三方继续履行时超出本合同费用部分等）。</w:t>
      </w:r>
    </w:p>
    <w:p w14:paraId="3108C617">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乙方未按合同约定履行货物的更换、退货责任，</w:t>
      </w:r>
      <w:r>
        <w:rPr>
          <w:rFonts w:hint="eastAsia" w:ascii="宋体" w:hAnsi="宋体" w:eastAsia="宋体" w:cs="宋体"/>
          <w:color w:val="auto"/>
          <w:sz w:val="21"/>
          <w:szCs w:val="21"/>
          <w:highlight w:val="none"/>
          <w:lang w:eastAsia="zh-CN"/>
        </w:rPr>
        <w:t>每违反一次，</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p>
    <w:p w14:paraId="1FFB999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乙方所交货物经检验累计出现3次以上（含本数）不合格的情况，甲方有权单方解除本合同及没收全部履约担保。</w:t>
      </w:r>
    </w:p>
    <w:p w14:paraId="466411D3">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cs="宋体"/>
          <w:color w:val="auto"/>
          <w:szCs w:val="21"/>
          <w:highlight w:val="none"/>
          <w:lang w:val="en-US" w:eastAsia="zh-CN"/>
        </w:rPr>
        <w:t>4.</w:t>
      </w:r>
      <w:r>
        <w:rPr>
          <w:rFonts w:hint="eastAsia" w:ascii="宋体" w:hAnsi="宋体" w:eastAsia="宋体" w:cs="宋体"/>
          <w:color w:val="auto"/>
          <w:sz w:val="21"/>
          <w:szCs w:val="21"/>
          <w:highlight w:val="none"/>
        </w:rPr>
        <w:t>乙方未按约定履行售后服务义务的，甲方有权要求限期改正，如逾期仍未改正的，甲方有权要求其他第三方提供相关服务，因此产生的费用全部由乙方承担，并且甲方有权单方解除本合同，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CN"/>
        </w:rPr>
        <w:t>同时甲方有权没收全部</w:t>
      </w:r>
      <w:r>
        <w:rPr>
          <w:rFonts w:hint="eastAsia" w:ascii="宋体" w:hAnsi="宋体" w:eastAsia="宋体" w:cs="宋体"/>
          <w:color w:val="auto"/>
          <w:sz w:val="21"/>
          <w:szCs w:val="21"/>
          <w:highlight w:val="none"/>
        </w:rPr>
        <w:t>履约担保。</w:t>
      </w:r>
    </w:p>
    <w:p w14:paraId="7BE595A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小时内到达现场确认情况，并承担全部责任及损失赔偿。</w:t>
      </w:r>
    </w:p>
    <w:p w14:paraId="1110C90A">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乙方自甲方通知货物不合格之时起，甲方有权要求乙方必须</w:t>
      </w:r>
      <w:r>
        <w:rPr>
          <w:rFonts w:hint="eastAsia" w:ascii="宋体" w:hAnsi="宋体" w:eastAsia="宋体" w:cs="宋体"/>
          <w:color w:val="auto"/>
          <w:sz w:val="21"/>
          <w:szCs w:val="21"/>
          <w:highlight w:val="none"/>
          <w:lang w:val="en-US" w:eastAsia="zh-CN"/>
        </w:rPr>
        <w:t>及时补供货</w:t>
      </w:r>
      <w:r>
        <w:rPr>
          <w:rFonts w:hint="eastAsia" w:ascii="宋体" w:hAnsi="宋体" w:eastAsia="宋体" w:cs="宋体"/>
          <w:color w:val="auto"/>
          <w:sz w:val="21"/>
          <w:szCs w:val="21"/>
          <w:highlight w:val="none"/>
        </w:rPr>
        <w:t>，乙方接到通知后，</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Hans"/>
        </w:rPr>
        <w:t>款</w:t>
      </w:r>
      <w:r>
        <w:rPr>
          <w:rFonts w:hint="eastAsia" w:ascii="宋体" w:hAnsi="宋体" w:eastAsia="宋体" w:cs="宋体"/>
          <w:color w:val="auto"/>
          <w:sz w:val="21"/>
          <w:szCs w:val="21"/>
          <w:highlight w:val="none"/>
        </w:rPr>
        <w:t>处理。</w:t>
      </w:r>
    </w:p>
    <w:p w14:paraId="69606BF6">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乙方保证对其在履行合同约定过程中所获悉的属于甲方的且无法从公开渠道获得的文件资料及项目信息予以严格保密并应采取相应的保密措施，保证其自身及工作人员不私自使用或向任何第三方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，否则，视为乙方违约，甲方有权要求乙方支付履约担保等额的违约金，且乙方须承担由此给甲方造成的损失。乙方及其工作人员的保密义务不因本合同的终止而终止，直至相关保密信息被合法公开时止。</w:t>
      </w:r>
    </w:p>
    <w:p w14:paraId="28ADFC82">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14:paraId="5C701362">
      <w:pPr>
        <w:snapToGrid w:val="0"/>
        <w:spacing w:line="360" w:lineRule="auto"/>
        <w:ind w:firstLine="371" w:firstLineChars="177"/>
        <w:rPr>
          <w:rFonts w:ascii="Times New Roman" w:hAnsi="宋体" w:eastAsia="宋体"/>
          <w:color w:val="000000"/>
          <w:szCs w:val="21"/>
        </w:rPr>
      </w:pPr>
      <w:r>
        <w:rPr>
          <w:rFonts w:hint="eastAsia" w:cs="宋体"/>
          <w:color w:val="auto"/>
          <w:sz w:val="21"/>
          <w:szCs w:val="21"/>
          <w:highlight w:val="none"/>
          <w:lang w:val="en-US" w:eastAsia="zh-CN"/>
        </w:rPr>
        <w:t>9.</w:t>
      </w:r>
      <w:r>
        <w:rPr>
          <w:rFonts w:ascii="Times New Roman"/>
          <w:color w:val="000000"/>
          <w:szCs w:val="21"/>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w:t>
      </w:r>
      <w:r>
        <w:rPr>
          <w:rFonts w:ascii="Times New Roman" w:hAnsi="宋体" w:eastAsia="宋体"/>
          <w:color w:val="000000"/>
          <w:szCs w:val="21"/>
        </w:rPr>
        <w:t>需的全部费用，以及赔偿因此给甲方造成的一切损失。</w:t>
      </w:r>
    </w:p>
    <w:p w14:paraId="15C46622">
      <w:pPr>
        <w:ind w:firstLine="371" w:firstLineChars="177"/>
        <w:rPr>
          <w:rFonts w:ascii="Times New Roman" w:hAnsi="宋体" w:eastAsia="宋体"/>
          <w:color w:val="000000"/>
          <w:szCs w:val="21"/>
        </w:rPr>
      </w:pPr>
      <w:r>
        <w:rPr>
          <w:rFonts w:hint="eastAsia" w:ascii="宋体" w:hAnsi="宋体" w:eastAsia="宋体" w:cs="宋体"/>
          <w:color w:val="auto"/>
          <w:szCs w:val="21"/>
          <w:highlight w:val="none"/>
          <w:lang w:val="en-US" w:eastAsia="zh-CN"/>
        </w:rPr>
        <w:t>1</w:t>
      </w:r>
      <w:r>
        <w:rPr>
          <w:rFonts w:hint="eastAsia" w:asci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ascii="Times New Roman" w:hAnsi="宋体" w:eastAsia="宋体"/>
          <w:color w:val="000000"/>
          <w:szCs w:val="21"/>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5D2C2398">
      <w:pPr>
        <w:ind w:firstLine="371" w:firstLineChars="177"/>
        <w:rPr>
          <w:rFonts w:hint="eastAsia" w:eastAsia="宋体"/>
          <w:color w:val="auto"/>
          <w:highlight w:val="none"/>
          <w:lang w:val="en-US" w:eastAsia="zh-CN"/>
        </w:rPr>
      </w:pPr>
      <w:r>
        <w:rPr>
          <w:rFonts w:hint="eastAsia" w:ascii="宋体" w:hAnsi="宋体" w:eastAsia="宋体" w:cs="宋体"/>
          <w:color w:val="auto"/>
          <w:szCs w:val="21"/>
          <w:highlight w:val="none"/>
          <w:lang w:val="en-US" w:eastAsia="zh-CN"/>
        </w:rPr>
        <w:t>1</w:t>
      </w:r>
      <w:r>
        <w:rPr>
          <w:rFonts w:hint="eastAsia" w:asci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ascii="Times New Roman"/>
          <w:bCs/>
          <w:color w:val="000000"/>
          <w:szCs w:val="21"/>
        </w:rPr>
        <w:t>甲方根据本合同的约定要求退货，或因本合同被解除或提前终止而需要退货的，乙方在收到甲方发出退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Pr>
          <w:rFonts w:hint="eastAsia" w:ascii="Times New Roman"/>
          <w:bCs/>
          <w:color w:val="000000"/>
          <w:szCs w:val="21"/>
          <w:lang w:eastAsia="zh-CN"/>
        </w:rPr>
        <w:t>。</w:t>
      </w:r>
    </w:p>
    <w:p w14:paraId="514AC40C">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color w:val="auto"/>
          <w:sz w:val="21"/>
          <w:szCs w:val="21"/>
          <w:highlight w:val="none"/>
        </w:rPr>
      </w:pPr>
      <w:r>
        <w:rPr>
          <w:rFonts w:hint="eastAsia" w:cs="宋体"/>
          <w:color w:val="auto"/>
          <w:sz w:val="21"/>
          <w:szCs w:val="21"/>
          <w:highlight w:val="none"/>
          <w:lang w:val="en-US" w:eastAsia="zh-CN"/>
        </w:rPr>
        <w:t>12.</w:t>
      </w:r>
      <w:r>
        <w:rPr>
          <w:rFonts w:hint="eastAsia"/>
        </w:rPr>
        <w:t>本合同中对相关违约情形有违约责任约定的，从其约定</w:t>
      </w:r>
      <w:r>
        <w:rPr>
          <w:rFonts w:hint="eastAsia"/>
          <w:lang w:eastAsia="zh-CN"/>
        </w:rPr>
        <w:t>；</w:t>
      </w:r>
      <w:r>
        <w:rPr>
          <w:rFonts w:hint="eastAsia"/>
        </w:rPr>
        <w:t>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Pr>
          <w:rFonts w:hint="eastAsia" w:ascii="宋体" w:hAnsi="宋体" w:eastAsia="宋体" w:cs="宋体"/>
          <w:color w:val="auto"/>
          <w:sz w:val="21"/>
          <w:szCs w:val="21"/>
          <w:highlight w:val="none"/>
        </w:rPr>
        <w:t>。</w:t>
      </w:r>
      <w:bookmarkStart w:id="716" w:name="_Toc18183"/>
      <w:bookmarkStart w:id="717" w:name="_Toc14325"/>
    </w:p>
    <w:p w14:paraId="42747A2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不可抗力</w:t>
      </w:r>
      <w:bookmarkEnd w:id="716"/>
      <w:bookmarkEnd w:id="717"/>
    </w:p>
    <w:p w14:paraId="5DF2081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证明文件。如果不可抗力事件发生后，乙方不能按甲方每次的最迟交货期交货的，则甲方有权单方解除本合同并不承担任何责任。</w:t>
      </w:r>
    </w:p>
    <w:p w14:paraId="1EE71770">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8" w:name="_Toc30084"/>
      <w:bookmarkStart w:id="719" w:name="_Toc23318"/>
      <w:r>
        <w:rPr>
          <w:rFonts w:hint="eastAsia" w:ascii="宋体" w:hAnsi="宋体" w:eastAsia="宋体" w:cs="宋体"/>
          <w:b/>
          <w:color w:val="auto"/>
          <w:sz w:val="21"/>
          <w:szCs w:val="21"/>
          <w:highlight w:val="none"/>
        </w:rPr>
        <w:t>第十一条 承诺与保证</w:t>
      </w:r>
      <w:bookmarkEnd w:id="718"/>
      <w:bookmarkEnd w:id="719"/>
    </w:p>
    <w:p w14:paraId="22043A3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w:t>
      </w:r>
      <w:r>
        <w:rPr>
          <w:rFonts w:hint="eastAsia" w:cs="宋体"/>
          <w:color w:val="auto"/>
          <w:sz w:val="21"/>
          <w:szCs w:val="21"/>
          <w:highlight w:val="none"/>
          <w:lang w:val="en-US" w:eastAsia="zh-CN"/>
        </w:rPr>
        <w:t>甲方有权解除合同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乙方承担因此给甲方造成的全部损失（包括但不限于甲方为维护自身权益所支付的律师费、诉讼费、鉴定费、差旅费以及甲方依法向第三方支付的赔偿款</w:t>
      </w:r>
      <w:r>
        <w:rPr>
          <w:rFonts w:hint="eastAsia" w:cs="宋体"/>
          <w:color w:val="auto"/>
          <w:sz w:val="21"/>
          <w:szCs w:val="21"/>
          <w:highlight w:val="none"/>
          <w:lang w:eastAsia="zh-CN"/>
        </w:rPr>
        <w:t>、</w:t>
      </w:r>
      <w:r>
        <w:rPr>
          <w:rFonts w:hint="eastAsia" w:cs="宋体"/>
          <w:color w:val="auto"/>
          <w:sz w:val="21"/>
          <w:szCs w:val="21"/>
          <w:highlight w:val="none"/>
          <w:lang w:val="en-US" w:eastAsia="zh-CN"/>
        </w:rPr>
        <w:t>甲方另行委托第三方重新供货、修复工程所产生的</w:t>
      </w:r>
      <w:r>
        <w:rPr>
          <w:rFonts w:hint="eastAsia" w:ascii="宋体" w:hAnsi="宋体" w:eastAsia="宋体" w:cs="宋体"/>
          <w:color w:val="auto"/>
          <w:sz w:val="21"/>
          <w:szCs w:val="21"/>
          <w:highlight w:val="none"/>
        </w:rPr>
        <w:t>全部费用）</w:t>
      </w:r>
      <w:r>
        <w:rPr>
          <w:rFonts w:hint="eastAsia" w:ascii="宋体" w:hAnsi="宋体" w:eastAsia="宋体" w:cs="宋体"/>
          <w:color w:val="auto"/>
          <w:sz w:val="21"/>
          <w:szCs w:val="21"/>
          <w:highlight w:val="none"/>
          <w:lang w:eastAsia="zh-CN"/>
        </w:rPr>
        <w:t>。</w:t>
      </w:r>
    </w:p>
    <w:p w14:paraId="63C2BAC2">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0" w:name="_Toc3458"/>
      <w:bookmarkStart w:id="721" w:name="_Toc21474"/>
      <w:r>
        <w:rPr>
          <w:rFonts w:hint="eastAsia" w:ascii="宋体" w:hAnsi="宋体" w:eastAsia="宋体" w:cs="宋体"/>
          <w:b/>
          <w:color w:val="auto"/>
          <w:sz w:val="21"/>
          <w:szCs w:val="21"/>
          <w:highlight w:val="none"/>
        </w:rPr>
        <w:t>第十二条 合同争议的解决</w:t>
      </w:r>
      <w:bookmarkEnd w:id="720"/>
      <w:bookmarkEnd w:id="721"/>
    </w:p>
    <w:p w14:paraId="5421C7F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14:paraId="7206A2A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2" w:name="_Toc26516"/>
      <w:bookmarkStart w:id="723" w:name="_Toc21412"/>
      <w:r>
        <w:rPr>
          <w:rFonts w:hint="eastAsia" w:ascii="宋体" w:hAnsi="宋体" w:eastAsia="宋体" w:cs="宋体"/>
          <w:b/>
          <w:color w:val="auto"/>
          <w:sz w:val="21"/>
          <w:szCs w:val="21"/>
          <w:highlight w:val="none"/>
        </w:rPr>
        <w:t>第十三条 其他</w:t>
      </w:r>
      <w:bookmarkEnd w:id="722"/>
      <w:bookmarkEnd w:id="723"/>
    </w:p>
    <w:p w14:paraId="494CE28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1日内书面告知甲方。</w:t>
      </w:r>
      <w:r>
        <w:rPr>
          <w:rFonts w:hint="eastAsia" w:ascii="宋体" w:hAnsi="宋体" w:eastAsia="宋体" w:cs="宋体"/>
          <w:color w:val="auto"/>
          <w:sz w:val="21"/>
          <w:szCs w:val="21"/>
          <w:highlight w:val="none"/>
          <w:lang w:val="en-US" w:eastAsia="zh-CN"/>
        </w:rPr>
        <w:t>地址的</w:t>
      </w:r>
      <w:r>
        <w:rPr>
          <w:rFonts w:hint="eastAsia" w:ascii="宋体" w:hAnsi="宋体" w:eastAsia="宋体" w:cs="宋体"/>
          <w:color w:val="auto"/>
          <w:sz w:val="21"/>
          <w:szCs w:val="21"/>
          <w:highlight w:val="none"/>
        </w:rPr>
        <w:t>适用范围包括双方非诉时各类通知、合同等文件以及就合同发生纠纷时相关文件和法律文书的送达，同时包括在争议进入民事诉讼程序后的一审、二审、再审和执行程序。</w:t>
      </w:r>
    </w:p>
    <w:p w14:paraId="4F8918A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7C05844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Cs w:val="21"/>
          <w:highlight w:val="none"/>
        </w:rPr>
        <w:t>合同期内，</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方不承诺具体采购数量，实际采购数量以</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方根据项目进度及实际需求发出的有效采购订单为准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方有权根据项目实际需要，选择与</w:t>
      </w:r>
      <w:r>
        <w:rPr>
          <w:rFonts w:hint="eastAsia" w:ascii="宋体" w:hAnsi="宋体" w:eastAsia="宋体" w:cs="宋体"/>
          <w:color w:val="auto"/>
          <w:szCs w:val="21"/>
          <w:highlight w:val="none"/>
          <w:lang w:val="en-US" w:eastAsia="zh-CN"/>
        </w:rPr>
        <w:t>其他第三方</w:t>
      </w:r>
      <w:r>
        <w:rPr>
          <w:rFonts w:hint="eastAsia" w:ascii="宋体" w:hAnsi="宋体" w:eastAsia="宋体" w:cs="宋体"/>
          <w:color w:val="auto"/>
          <w:szCs w:val="21"/>
          <w:highlight w:val="none"/>
        </w:rPr>
        <w:t>建立采购合作关系，无需就此向</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承担额外通知或赔偿责任。</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知晓并同意上述约定，不得因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未确定具体采购数量或与其他</w:t>
      </w:r>
      <w:r>
        <w:rPr>
          <w:rFonts w:hint="eastAsia" w:ascii="宋体" w:hAnsi="宋体" w:eastAsia="宋体" w:cs="宋体"/>
          <w:color w:val="auto"/>
          <w:szCs w:val="21"/>
          <w:highlight w:val="none"/>
          <w:lang w:val="en-US" w:eastAsia="zh-CN"/>
        </w:rPr>
        <w:t>第三方</w:t>
      </w:r>
      <w:r>
        <w:rPr>
          <w:rFonts w:hint="eastAsia" w:ascii="宋体" w:hAnsi="宋体" w:eastAsia="宋体" w:cs="宋体"/>
          <w:color w:val="auto"/>
          <w:szCs w:val="21"/>
          <w:highlight w:val="none"/>
        </w:rPr>
        <w:t>合作而主张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违约。</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14:paraId="4A759EA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本合同经双方法定代表人或负责人签名并盖章后生效。</w:t>
      </w:r>
    </w:p>
    <w:p w14:paraId="6DB6EE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6.本合同未尽事宜，由双方友好协商处理，另行签订补充协议。</w:t>
      </w:r>
      <w:r>
        <w:rPr>
          <w:rFonts w:hint="eastAsia" w:ascii="宋体" w:hAnsi="宋体" w:eastAsia="宋体" w:cs="宋体"/>
          <w:color w:val="auto"/>
          <w:sz w:val="21"/>
          <w:szCs w:val="21"/>
          <w:highlight w:val="none"/>
        </w:rPr>
        <w:t>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2D12FB9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7D9F407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：1.东莞市碧水信息科技有限公司货物到货验收表</w:t>
      </w:r>
    </w:p>
    <w:p w14:paraId="6D2DE746">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送货清单</w:t>
      </w:r>
    </w:p>
    <w:p w14:paraId="34A85AF0">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东莞市碧水信息科技有限公司2025年度</w:t>
      </w:r>
      <w:r>
        <w:rPr>
          <w:rFonts w:hint="eastAsia" w:ascii="宋体" w:hAnsi="宋体" w:eastAsia="宋体" w:cs="宋体"/>
          <w:color w:val="auto"/>
          <w:sz w:val="21"/>
          <w:szCs w:val="21"/>
          <w:highlight w:val="none"/>
          <w:lang w:val="en-US" w:eastAsia="zh-CN"/>
        </w:rPr>
        <w:t>阀门</w:t>
      </w:r>
      <w:r>
        <w:rPr>
          <w:rFonts w:hint="eastAsia" w:ascii="宋体" w:hAnsi="宋体" w:eastAsia="宋体" w:cs="宋体"/>
          <w:color w:val="auto"/>
          <w:sz w:val="21"/>
          <w:szCs w:val="21"/>
          <w:highlight w:val="none"/>
          <w:lang w:eastAsia="zh-CN"/>
        </w:rPr>
        <w:t>采购清单及价格表</w:t>
      </w:r>
    </w:p>
    <w:p w14:paraId="25D5348B">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.廉洁协议书</w:t>
      </w:r>
    </w:p>
    <w:p w14:paraId="5AACFF6C">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5.用户需求书</w:t>
      </w:r>
    </w:p>
    <w:p w14:paraId="4AA4E938">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38EBFDEC">
      <w:pPr>
        <w:keepNext w:val="0"/>
        <w:keepLines w:val="0"/>
        <w:pageBreakBefore w:val="0"/>
        <w:numPr>
          <w:ilvl w:val="0"/>
          <w:numId w:val="0"/>
        </w:numPr>
        <w:kinsoku/>
        <w:wordWrap/>
        <w:overflowPunct/>
        <w:topLinePunct w:val="0"/>
        <w:bidi w:val="0"/>
        <w:spacing w:line="360" w:lineRule="auto"/>
        <w:ind w:righ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31AB0A8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E166F12">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1F96B84C">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6C4BE781">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676FEA33">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477D8F79">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3883144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55C74B1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0C56693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1C5E3716">
      <w:pPr>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14:paraId="6C9CEE44">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04AB298E">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14:paraId="04FF7231">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0F43908">
      <w:pPr>
        <w:pStyle w:val="3"/>
        <w:bidi w:val="0"/>
        <w:rPr>
          <w:rFonts w:hint="eastAsia" w:ascii="宋体" w:hAnsi="宋体" w:eastAsia="宋体" w:cs="宋体"/>
          <w:color w:val="auto"/>
          <w:highlight w:val="none"/>
          <w:lang w:val="en-US" w:eastAsia="zh-CN"/>
        </w:rPr>
      </w:pPr>
      <w:bookmarkStart w:id="724" w:name="_Toc11643"/>
      <w:r>
        <w:rPr>
          <w:rFonts w:hint="eastAsia" w:ascii="宋体" w:hAnsi="宋体" w:eastAsia="宋体" w:cs="宋体"/>
          <w:color w:val="auto"/>
          <w:highlight w:val="none"/>
          <w:lang w:val="en-US" w:eastAsia="zh-CN"/>
        </w:rPr>
        <w:t>附件1：东莞市碧水信息科技有限公司货物到货验收表</w:t>
      </w:r>
      <w:bookmarkEnd w:id="724"/>
    </w:p>
    <w:p w14:paraId="37DB17FB">
      <w:pPr>
        <w:widowControl w:val="0"/>
        <w:spacing w:after="0" w:line="600" w:lineRule="exact"/>
        <w:jc w:val="center"/>
        <w:rPr>
          <w:rFonts w:hint="eastAsia" w:ascii="宋体" w:hAnsi="宋体" w:eastAsia="宋体" w:cs="宋体"/>
          <w:b/>
          <w:bCs w:val="0"/>
          <w:color w:val="auto"/>
          <w:spacing w:val="-10"/>
          <w:kern w:val="2"/>
          <w:sz w:val="44"/>
          <w:szCs w:val="44"/>
          <w:highlight w:val="none"/>
          <w:lang w:val="en-US" w:eastAsia="zh-CN" w:bidi="ar-SA"/>
        </w:rPr>
      </w:pPr>
      <w:r>
        <w:rPr>
          <w:rFonts w:hint="eastAsia" w:ascii="宋体" w:hAnsi="宋体" w:eastAsia="宋体" w:cs="宋体"/>
          <w:b/>
          <w:bCs w:val="0"/>
          <w:color w:val="auto"/>
          <w:spacing w:val="-10"/>
          <w:kern w:val="2"/>
          <w:sz w:val="44"/>
          <w:szCs w:val="44"/>
          <w:highlight w:val="none"/>
          <w:lang w:val="en-US" w:eastAsia="zh-CN" w:bidi="ar-SA"/>
        </w:rPr>
        <w:t>东莞市碧水信息科技有限公司货物到货验收表</w:t>
      </w:r>
    </w:p>
    <w:p w14:paraId="5B2EA5FF">
      <w:pPr>
        <w:rPr>
          <w:rFonts w:hint="eastAsia" w:ascii="宋体" w:hAnsi="宋体" w:eastAsia="宋体" w:cs="宋体"/>
          <w:b w:val="0"/>
          <w:bCs/>
          <w:snapToGrid/>
          <w:color w:val="auto"/>
          <w:kern w:val="2"/>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 xml:space="preserve">编号：                                     </w:t>
      </w:r>
    </w:p>
    <w:tbl>
      <w:tblPr>
        <w:tblStyle w:val="20"/>
        <w:tblW w:w="5000" w:type="pct"/>
        <w:jc w:val="center"/>
        <w:tblLayout w:type="autofit"/>
        <w:tblCellMar>
          <w:top w:w="0" w:type="dxa"/>
          <w:left w:w="108" w:type="dxa"/>
          <w:bottom w:w="0" w:type="dxa"/>
          <w:right w:w="108" w:type="dxa"/>
        </w:tblCellMar>
      </w:tblPr>
      <w:tblGrid>
        <w:gridCol w:w="1356"/>
        <w:gridCol w:w="3309"/>
        <w:gridCol w:w="209"/>
        <w:gridCol w:w="701"/>
        <w:gridCol w:w="1115"/>
        <w:gridCol w:w="3606"/>
      </w:tblGrid>
      <w:tr w14:paraId="5988F0BB">
        <w:tblPrEx>
          <w:tblCellMar>
            <w:top w:w="0" w:type="dxa"/>
            <w:left w:w="108" w:type="dxa"/>
            <w:bottom w:w="0" w:type="dxa"/>
            <w:right w:w="108" w:type="dxa"/>
          </w:tblCellMar>
        </w:tblPrEx>
        <w:trPr>
          <w:trHeight w:val="437"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14BCAD08">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合同名称</w:t>
            </w:r>
          </w:p>
        </w:tc>
        <w:tc>
          <w:tcPr>
            <w:tcW w:w="4349" w:type="pct"/>
            <w:gridSpan w:val="5"/>
            <w:tcBorders>
              <w:top w:val="single" w:color="auto" w:sz="4" w:space="0"/>
              <w:left w:val="single" w:color="auto" w:sz="4" w:space="0"/>
              <w:bottom w:val="single" w:color="auto" w:sz="4" w:space="0"/>
              <w:right w:val="single" w:color="auto" w:sz="4" w:space="0"/>
            </w:tcBorders>
            <w:noWrap/>
            <w:vAlign w:val="center"/>
          </w:tcPr>
          <w:p w14:paraId="7D1DEF58">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东莞市碧水信息科技有限公司2025年度球墨铸铁阀门采购项目</w:t>
            </w:r>
          </w:p>
        </w:tc>
      </w:tr>
      <w:tr w14:paraId="1B8A10EE">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4B7D9661">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供货单位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17DCD06C">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val="en-US"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26551185">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5B76763A">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722357CD">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73C9576E">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采购</w:t>
            </w:r>
            <w:r>
              <w:rPr>
                <w:rFonts w:hint="eastAsia" w:ascii="宋体" w:hAnsi="宋体" w:eastAsia="宋体" w:cs="宋体"/>
                <w:b w:val="0"/>
                <w:bCs/>
                <w:snapToGrid/>
                <w:color w:val="auto"/>
                <w:kern w:val="0"/>
                <w:sz w:val="22"/>
                <w:szCs w:val="22"/>
                <w:highlight w:val="none"/>
                <w:lang w:eastAsia="zh-CN"/>
              </w:rPr>
              <w:t>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5F71CBAA">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3B8C2263">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验收时间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16907154">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388A8EF1">
        <w:tblPrEx>
          <w:tblCellMar>
            <w:top w:w="0" w:type="dxa"/>
            <w:left w:w="108" w:type="dxa"/>
            <w:bottom w:w="0" w:type="dxa"/>
            <w:right w:w="108" w:type="dxa"/>
          </w:tblCellMar>
        </w:tblPrEx>
        <w:trPr>
          <w:trHeight w:val="1356" w:hRule="atLeast"/>
          <w:jc w:val="center"/>
        </w:trPr>
        <w:tc>
          <w:tcPr>
            <w:tcW w:w="650" w:type="pct"/>
            <w:tcBorders>
              <w:top w:val="single" w:color="auto" w:sz="4" w:space="0"/>
              <w:left w:val="single" w:color="auto" w:sz="4" w:space="0"/>
              <w:right w:val="single" w:color="auto" w:sz="4" w:space="0"/>
            </w:tcBorders>
            <w:noWrap/>
            <w:vAlign w:val="center"/>
          </w:tcPr>
          <w:p w14:paraId="431C889D">
            <w:pPr>
              <w:widowControl/>
              <w:kinsoku/>
              <w:autoSpaceDE/>
              <w:autoSpaceDN/>
              <w:adjustRightInd/>
              <w:snapToGrid w:val="0"/>
              <w:spacing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w:t>
            </w:r>
          </w:p>
          <w:p w14:paraId="7CC2BD3C">
            <w:pPr>
              <w:widowControl/>
              <w:kinsoku/>
              <w:autoSpaceDE/>
              <w:autoSpaceDN/>
              <w:adjustRightInd/>
              <w:snapToGrid w:val="0"/>
              <w:spacing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清单</w:t>
            </w:r>
          </w:p>
        </w:tc>
        <w:tc>
          <w:tcPr>
            <w:tcW w:w="4349" w:type="pct"/>
            <w:gridSpan w:val="5"/>
            <w:tcBorders>
              <w:top w:val="single" w:color="auto" w:sz="4" w:space="0"/>
              <w:left w:val="single" w:color="auto" w:sz="4" w:space="0"/>
              <w:bottom w:val="single" w:color="auto" w:sz="4" w:space="0"/>
              <w:right w:val="single" w:color="auto" w:sz="4" w:space="0"/>
            </w:tcBorders>
            <w:noWrap w:val="0"/>
            <w:vAlign w:val="center"/>
          </w:tcPr>
          <w:p w14:paraId="230F0BC6">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val="en-US" w:eastAsia="zh-CN"/>
              </w:rPr>
            </w:pPr>
            <w:r>
              <w:rPr>
                <w:rFonts w:hint="eastAsia" w:ascii="宋体" w:hAnsi="宋体" w:eastAsia="宋体" w:cs="宋体"/>
                <w:b w:val="0"/>
                <w:bCs w:val="0"/>
                <w:color w:val="auto"/>
                <w:sz w:val="24"/>
                <w:szCs w:val="24"/>
                <w:highlight w:val="none"/>
                <w:lang w:val="en-US" w:eastAsia="zh-CN"/>
              </w:rPr>
              <w:t>已供货物详见附件清单</w:t>
            </w:r>
          </w:p>
        </w:tc>
      </w:tr>
      <w:tr w14:paraId="638B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restart"/>
            <w:tcBorders>
              <w:top w:val="single" w:color="auto" w:sz="4" w:space="0"/>
              <w:left w:val="single" w:color="auto" w:sz="4" w:space="0"/>
              <w:right w:val="single" w:color="auto" w:sz="4" w:space="0"/>
            </w:tcBorders>
            <w:noWrap w:val="0"/>
            <w:vAlign w:val="center"/>
          </w:tcPr>
          <w:p w14:paraId="2B16320A">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进场</w:t>
            </w:r>
          </w:p>
          <w:p w14:paraId="771115A7">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检查</w:t>
            </w:r>
          </w:p>
          <w:p w14:paraId="1C6BEF76">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情况</w:t>
            </w:r>
          </w:p>
        </w:tc>
        <w:tc>
          <w:tcPr>
            <w:tcW w:w="1612" w:type="pct"/>
            <w:tcBorders>
              <w:top w:val="single" w:color="auto" w:sz="4" w:space="0"/>
              <w:left w:val="single" w:color="auto" w:sz="4" w:space="0"/>
              <w:right w:val="single" w:color="auto" w:sz="4" w:space="0"/>
            </w:tcBorders>
            <w:noWrap w:val="0"/>
            <w:vAlign w:val="center"/>
          </w:tcPr>
          <w:p w14:paraId="296F3F79">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货物数量是否齐全，如否请备注缺货或错货情况</w:t>
            </w:r>
          </w:p>
        </w:tc>
        <w:tc>
          <w:tcPr>
            <w:tcW w:w="2736" w:type="pct"/>
            <w:gridSpan w:val="4"/>
            <w:tcBorders>
              <w:top w:val="single" w:color="auto" w:sz="4" w:space="0"/>
              <w:left w:val="single" w:color="auto" w:sz="4" w:space="0"/>
              <w:right w:val="single" w:color="auto" w:sz="4" w:space="0"/>
            </w:tcBorders>
            <w:noWrap w:val="0"/>
            <w:vAlign w:val="center"/>
          </w:tcPr>
          <w:p w14:paraId="66954720">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601C95FC">
            <w:pPr>
              <w:widowControl w:val="0"/>
              <w:spacing w:after="0" w:line="300" w:lineRule="exact"/>
              <w:ind w:firstLine="0" w:firstLineChars="0"/>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备注：</w:t>
            </w:r>
          </w:p>
        </w:tc>
      </w:tr>
      <w:tr w14:paraId="2FC3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1C4D25A9">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5B4B8442">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货物是否完好无损，如否请备注货损情况</w:t>
            </w:r>
          </w:p>
        </w:tc>
        <w:tc>
          <w:tcPr>
            <w:tcW w:w="2736" w:type="pct"/>
            <w:gridSpan w:val="4"/>
            <w:tcBorders>
              <w:top w:val="single" w:color="auto" w:sz="4" w:space="0"/>
              <w:left w:val="single" w:color="auto" w:sz="4" w:space="0"/>
              <w:right w:val="single" w:color="auto" w:sz="4" w:space="0"/>
            </w:tcBorders>
            <w:noWrap w:val="0"/>
            <w:vAlign w:val="center"/>
          </w:tcPr>
          <w:p w14:paraId="074C01B3">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517C2E5F">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4123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7AFA6DD1">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209FE983">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随货物备品备件和专用工具情况，如有缺请备注</w:t>
            </w:r>
          </w:p>
        </w:tc>
        <w:tc>
          <w:tcPr>
            <w:tcW w:w="2736" w:type="pct"/>
            <w:gridSpan w:val="4"/>
            <w:tcBorders>
              <w:top w:val="single" w:color="auto" w:sz="4" w:space="0"/>
              <w:left w:val="single" w:color="auto" w:sz="4" w:space="0"/>
              <w:right w:val="single" w:color="auto" w:sz="4" w:space="0"/>
            </w:tcBorders>
            <w:noWrap w:val="0"/>
            <w:vAlign w:val="center"/>
          </w:tcPr>
          <w:p w14:paraId="179F0B50">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209CB509">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7939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7A239AEF">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75FCA233">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货物和配件材质是否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77326578">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49AB024D">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3D56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55F7CE10">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5A23F5E0">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货物和配件性能参数是否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77A98EFE">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5097871F">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0318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211D6107">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5953B414">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到货资料检查</w:t>
            </w:r>
          </w:p>
        </w:tc>
        <w:tc>
          <w:tcPr>
            <w:tcW w:w="2736" w:type="pct"/>
            <w:gridSpan w:val="4"/>
            <w:tcBorders>
              <w:top w:val="single" w:color="auto" w:sz="4" w:space="0"/>
              <w:left w:val="single" w:color="auto" w:sz="4" w:space="0"/>
              <w:right w:val="single" w:color="auto" w:sz="4" w:space="0"/>
            </w:tcBorders>
            <w:noWrap w:val="0"/>
            <w:vAlign w:val="center"/>
          </w:tcPr>
          <w:p w14:paraId="78A7D6E2">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产品说明书</w:t>
            </w:r>
            <w:r>
              <w:rPr>
                <w:rFonts w:hint="eastAsia" w:ascii="宋体" w:hAnsi="宋体" w:eastAsia="宋体" w:cs="宋体"/>
                <w:b w:val="0"/>
                <w:bCs/>
                <w:snapToGrid/>
                <w:color w:val="auto"/>
                <w:kern w:val="0"/>
                <w:sz w:val="22"/>
                <w:szCs w:val="22"/>
                <w:highlight w:val="none"/>
                <w:lang w:eastAsia="zh-CN"/>
              </w:rPr>
              <w:t>、</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产品合格证、</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保修单、</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出厂检测</w:t>
            </w:r>
            <w:r>
              <w:rPr>
                <w:rFonts w:hint="eastAsia" w:ascii="宋体" w:hAnsi="宋体" w:eastAsia="宋体" w:cs="宋体"/>
                <w:b w:val="0"/>
                <w:bCs/>
                <w:snapToGrid/>
                <w:color w:val="auto"/>
                <w:kern w:val="0"/>
                <w:sz w:val="22"/>
                <w:szCs w:val="22"/>
                <w:highlight w:val="none"/>
                <w:lang w:eastAsia="zh-CN"/>
              </w:rPr>
              <w:t>报告、</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 xml:space="preserve">技术图纸、其他      </w:t>
            </w:r>
          </w:p>
        </w:tc>
      </w:tr>
      <w:tr w14:paraId="0C89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67EC30DB">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F522AC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是否需要送检</w:t>
            </w:r>
          </w:p>
        </w:tc>
        <w:tc>
          <w:tcPr>
            <w:tcW w:w="2736" w:type="pct"/>
            <w:gridSpan w:val="4"/>
            <w:tcBorders>
              <w:top w:val="single" w:color="auto" w:sz="4" w:space="0"/>
              <w:left w:val="single" w:color="auto" w:sz="4" w:space="0"/>
              <w:right w:val="single" w:color="auto" w:sz="4" w:space="0"/>
            </w:tcBorders>
            <w:noWrap w:val="0"/>
            <w:vAlign w:val="center"/>
          </w:tcPr>
          <w:p w14:paraId="2BDDE421">
            <w:pPr>
              <w:widowControl w:val="0"/>
              <w:kinsoku/>
              <w:autoSpaceDE/>
              <w:autoSpaceDN/>
              <w:adjustRightInd/>
              <w:snapToGrid w:val="0"/>
              <w:spacing w:line="300" w:lineRule="exact"/>
              <w:ind w:firstLine="880" w:firstLineChars="40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tc>
      </w:tr>
      <w:tr w14:paraId="3ECF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7C3656C9">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0FBE969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其他问题</w:t>
            </w:r>
          </w:p>
        </w:tc>
        <w:tc>
          <w:tcPr>
            <w:tcW w:w="2736" w:type="pct"/>
            <w:gridSpan w:val="4"/>
            <w:tcBorders>
              <w:top w:val="single" w:color="auto" w:sz="4" w:space="0"/>
              <w:left w:val="single" w:color="auto" w:sz="4" w:space="0"/>
              <w:right w:val="single" w:color="auto" w:sz="4" w:space="0"/>
            </w:tcBorders>
            <w:noWrap w:val="0"/>
            <w:vAlign w:val="center"/>
          </w:tcPr>
          <w:p w14:paraId="7EDAC30A">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p>
        </w:tc>
      </w:tr>
      <w:tr w14:paraId="4C24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363" w:type="pct"/>
            <w:gridSpan w:val="3"/>
            <w:tcBorders>
              <w:left w:val="single" w:color="auto" w:sz="4" w:space="0"/>
              <w:bottom w:val="single" w:color="auto" w:sz="4" w:space="0"/>
              <w:right w:val="single" w:color="auto" w:sz="4" w:space="0"/>
            </w:tcBorders>
            <w:noWrap w:val="0"/>
            <w:vAlign w:val="center"/>
          </w:tcPr>
          <w:p w14:paraId="43A84969">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现场到货验收意见</w:t>
            </w:r>
          </w:p>
        </w:tc>
        <w:tc>
          <w:tcPr>
            <w:tcW w:w="2636" w:type="pct"/>
            <w:gridSpan w:val="3"/>
            <w:tcBorders>
              <w:top w:val="single" w:color="auto" w:sz="4" w:space="0"/>
              <w:left w:val="single" w:color="auto" w:sz="4" w:space="0"/>
              <w:right w:val="single" w:color="auto" w:sz="4" w:space="0"/>
            </w:tcBorders>
            <w:noWrap w:val="0"/>
            <w:vAlign w:val="center"/>
          </w:tcPr>
          <w:p w14:paraId="1E1C23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eastAsia" w:ascii="宋体" w:hAnsi="宋体" w:eastAsia="宋体" w:cs="宋体"/>
                <w:b w:val="0"/>
                <w:bCs/>
                <w:snapToGrid/>
                <w:color w:val="auto"/>
                <w:kern w:val="2"/>
                <w:sz w:val="31"/>
                <w:szCs w:val="24"/>
                <w:highlight w:val="none"/>
                <w:lang w:eastAsia="zh-CN"/>
              </w:rPr>
            </w:pPr>
          </w:p>
          <w:p w14:paraId="7AF0B58A">
            <w:pPr>
              <w:rPr>
                <w:rFonts w:hint="eastAsia" w:ascii="宋体" w:hAnsi="宋体" w:eastAsia="宋体" w:cs="宋体"/>
                <w:color w:val="auto"/>
                <w:highlight w:val="none"/>
                <w:lang w:eastAsia="zh-CN"/>
              </w:rPr>
            </w:pPr>
          </w:p>
          <w:p w14:paraId="0AF02FC1">
            <w:pPr>
              <w:rPr>
                <w:rFonts w:hint="eastAsia" w:ascii="宋体" w:hAnsi="宋体" w:eastAsia="宋体" w:cs="宋体"/>
                <w:color w:val="auto"/>
                <w:highlight w:val="none"/>
                <w:lang w:eastAsia="zh-CN"/>
              </w:rPr>
            </w:pPr>
          </w:p>
        </w:tc>
      </w:tr>
      <w:tr w14:paraId="15EEB2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16C16CF4">
            <w:pPr>
              <w:widowControl w:val="0"/>
              <w:kinsoku/>
              <w:autoSpaceDE/>
              <w:autoSpaceDN/>
              <w:adjustRightInd/>
              <w:snapToGrid w:val="0"/>
              <w:spacing w:line="300" w:lineRule="exact"/>
              <w:jc w:val="center"/>
              <w:textAlignment w:val="auto"/>
              <w:rPr>
                <w:rFonts w:hint="eastAsia" w:ascii="宋体" w:hAnsi="宋体" w:eastAsia="宋体" w:cs="宋体"/>
                <w:bCs/>
                <w:snapToGrid/>
                <w:color w:val="auto"/>
                <w:kern w:val="0"/>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 xml:space="preserve">参 加  验 收 的 单 位 和 代 表 （签 </w:t>
            </w:r>
            <w:r>
              <w:rPr>
                <w:rFonts w:hint="eastAsia" w:ascii="宋体" w:hAnsi="宋体" w:eastAsia="宋体" w:cs="宋体"/>
                <w:b w:val="0"/>
                <w:bCs/>
                <w:snapToGrid/>
                <w:color w:val="auto"/>
                <w:kern w:val="2"/>
                <w:sz w:val="22"/>
                <w:szCs w:val="22"/>
                <w:highlight w:val="none"/>
                <w:lang w:val="en-US" w:eastAsia="zh-CN"/>
              </w:rPr>
              <w:t>字</w:t>
            </w:r>
            <w:r>
              <w:rPr>
                <w:rFonts w:hint="eastAsia" w:ascii="宋体" w:hAnsi="宋体" w:eastAsia="宋体" w:cs="宋体"/>
                <w:b w:val="0"/>
                <w:bCs/>
                <w:snapToGrid/>
                <w:color w:val="auto"/>
                <w:kern w:val="2"/>
                <w:sz w:val="22"/>
                <w:szCs w:val="22"/>
                <w:highlight w:val="none"/>
                <w:lang w:eastAsia="zh-CN"/>
              </w:rPr>
              <w:t>）</w:t>
            </w:r>
          </w:p>
        </w:tc>
      </w:tr>
      <w:tr w14:paraId="27C82E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7" w:hRule="atLeast"/>
          <w:jc w:val="center"/>
        </w:trPr>
        <w:tc>
          <w:tcPr>
            <w:tcW w:w="2702" w:type="pct"/>
            <w:gridSpan w:val="4"/>
            <w:tcBorders>
              <w:top w:val="single" w:color="auto" w:sz="6" w:space="0"/>
              <w:left w:val="single" w:color="auto" w:sz="6" w:space="0"/>
              <w:bottom w:val="single" w:color="auto" w:sz="6" w:space="0"/>
              <w:right w:val="single" w:color="auto" w:sz="6" w:space="0"/>
            </w:tcBorders>
            <w:noWrap/>
            <w:vAlign w:val="top"/>
          </w:tcPr>
          <w:p w14:paraId="781B7C51">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c>
          <w:tcPr>
            <w:tcW w:w="2297" w:type="pct"/>
            <w:gridSpan w:val="2"/>
            <w:tcBorders>
              <w:top w:val="single" w:color="auto" w:sz="6" w:space="0"/>
              <w:left w:val="single" w:color="auto" w:sz="6" w:space="0"/>
              <w:bottom w:val="single" w:color="auto" w:sz="6" w:space="0"/>
              <w:right w:val="single" w:color="auto" w:sz="6" w:space="0"/>
            </w:tcBorders>
            <w:noWrap w:val="0"/>
            <w:vAlign w:val="top"/>
          </w:tcPr>
          <w:p w14:paraId="320C46C5">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采购</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r>
      <w:tr w14:paraId="77C3D2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85"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1562DD3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48A139F9">
      <w:pPr>
        <w:ind w:firstLine="440" w:firstLineChars="200"/>
        <w:jc w:val="left"/>
        <w:rPr>
          <w:rFonts w:hint="eastAsia" w:ascii="宋体" w:hAnsi="宋体" w:eastAsia="宋体" w:cs="宋体"/>
          <w:b w:val="0"/>
          <w:bCs/>
          <w:snapToGrid/>
          <w:color w:val="auto"/>
          <w:kern w:val="2"/>
          <w:sz w:val="22"/>
          <w:szCs w:val="22"/>
          <w:highlight w:val="none"/>
          <w:lang w:eastAsia="zh-CN"/>
        </w:rPr>
      </w:pPr>
    </w:p>
    <w:p w14:paraId="4D9059B9">
      <w:pPr>
        <w:ind w:firstLine="440"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val="0"/>
          <w:bCs/>
          <w:snapToGrid/>
          <w:color w:val="auto"/>
          <w:kern w:val="2"/>
          <w:sz w:val="22"/>
          <w:szCs w:val="22"/>
          <w:highlight w:val="none"/>
          <w:lang w:eastAsia="zh-CN"/>
        </w:rPr>
        <w:t>此表一式</w:t>
      </w:r>
      <w:r>
        <w:rPr>
          <w:rFonts w:hint="eastAsia" w:ascii="宋体" w:hAnsi="宋体" w:eastAsia="宋体" w:cs="宋体"/>
          <w:b w:val="0"/>
          <w:bCs/>
          <w:snapToGrid/>
          <w:color w:val="auto"/>
          <w:kern w:val="2"/>
          <w:sz w:val="22"/>
          <w:szCs w:val="22"/>
          <w:highlight w:val="none"/>
          <w:lang w:val="en-US" w:eastAsia="zh-CN"/>
        </w:rPr>
        <w:t>两</w:t>
      </w:r>
      <w:r>
        <w:rPr>
          <w:rFonts w:hint="eastAsia" w:ascii="宋体" w:hAnsi="宋体" w:eastAsia="宋体" w:cs="宋体"/>
          <w:b w:val="0"/>
          <w:bCs/>
          <w:snapToGrid/>
          <w:color w:val="auto"/>
          <w:kern w:val="2"/>
          <w:sz w:val="22"/>
          <w:szCs w:val="22"/>
          <w:highlight w:val="none"/>
          <w:lang w:eastAsia="zh-CN"/>
        </w:rPr>
        <w:t>份，</w:t>
      </w: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采购</w:t>
      </w:r>
      <w:r>
        <w:rPr>
          <w:rFonts w:hint="eastAsia" w:ascii="宋体" w:hAnsi="宋体" w:eastAsia="宋体" w:cs="宋体"/>
          <w:b w:val="0"/>
          <w:bCs/>
          <w:snapToGrid/>
          <w:color w:val="auto"/>
          <w:kern w:val="2"/>
          <w:sz w:val="22"/>
          <w:szCs w:val="22"/>
          <w:highlight w:val="none"/>
          <w:lang w:eastAsia="zh-CN"/>
        </w:rPr>
        <w:t>单位各存一份。</w:t>
      </w:r>
    </w:p>
    <w:p w14:paraId="49BF8D1E">
      <w:pPr>
        <w:bidi w:val="0"/>
        <w:rPr>
          <w:rFonts w:hint="eastAsia" w:ascii="宋体" w:hAnsi="宋体" w:eastAsia="宋体" w:cs="宋体"/>
          <w:b/>
          <w:bCs/>
          <w:color w:val="auto"/>
          <w:highlight w:val="none"/>
          <w:lang w:val="en-US" w:eastAsia="zh-CN"/>
        </w:rPr>
      </w:pPr>
    </w:p>
    <w:p w14:paraId="60A9DE34">
      <w:pPr>
        <w:bidi w:val="0"/>
        <w:rPr>
          <w:rFonts w:hint="eastAsia" w:ascii="宋体" w:hAnsi="宋体" w:eastAsia="宋体" w:cs="宋体"/>
          <w:b/>
          <w:bCs/>
          <w:color w:val="auto"/>
          <w:highlight w:val="none"/>
          <w:lang w:val="en-US" w:eastAsia="zh-CN"/>
        </w:rPr>
      </w:pPr>
    </w:p>
    <w:p w14:paraId="4E5CBE49">
      <w:pPr>
        <w:pStyle w:val="3"/>
        <w:bidi w:val="0"/>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附件</w:t>
      </w:r>
      <w:r>
        <w:rPr>
          <w:rFonts w:hint="eastAsia" w:ascii="宋体" w:hAnsi="宋体" w:eastAsia="宋体" w:cs="宋体"/>
          <w:b/>
          <w:bCs/>
          <w:color w:val="auto"/>
          <w:highlight w:val="none"/>
          <w:lang w:val="en-US" w:eastAsia="zh-CN"/>
        </w:rPr>
        <w:t>2：送货清单</w:t>
      </w:r>
    </w:p>
    <w:tbl>
      <w:tblPr>
        <w:tblStyle w:val="13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1"/>
        <w:gridCol w:w="1480"/>
        <w:gridCol w:w="1484"/>
        <w:gridCol w:w="989"/>
        <w:gridCol w:w="1698"/>
        <w:gridCol w:w="1505"/>
        <w:gridCol w:w="2057"/>
      </w:tblGrid>
      <w:tr w14:paraId="6A62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14:paraId="6ACDF3DD">
            <w:pPr>
              <w:bidi w:val="0"/>
              <w:jc w:val="center"/>
              <w:rPr>
                <w:rFonts w:hint="eastAsia" w:ascii="宋体" w:hAnsi="宋体" w:eastAsia="宋体" w:cs="宋体"/>
                <w:color w:val="auto"/>
                <w:szCs w:val="21"/>
                <w:highlight w:val="none"/>
              </w:rPr>
            </w:pPr>
            <w:r>
              <w:rPr>
                <w:rFonts w:hint="eastAsia" w:ascii="宋体" w:hAnsi="宋体" w:eastAsia="宋体" w:cs="宋体"/>
                <w:b/>
                <w:bCs/>
                <w:color w:val="auto"/>
                <w:highlight w:val="none"/>
              </w:rPr>
              <w:t>送货清单</w:t>
            </w:r>
          </w:p>
        </w:tc>
      </w:tr>
      <w:tr w14:paraId="0A76A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center"/>
          </w:tcPr>
          <w:p w14:paraId="6BBEC5B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26" w:type="pct"/>
            <w:tcMar>
              <w:top w:w="57" w:type="dxa"/>
              <w:left w:w="57" w:type="dxa"/>
              <w:bottom w:w="57" w:type="dxa"/>
              <w:right w:w="57" w:type="dxa"/>
            </w:tcMar>
            <w:vAlign w:val="center"/>
          </w:tcPr>
          <w:p w14:paraId="35C0CA0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727" w:type="pct"/>
            <w:tcMar>
              <w:top w:w="57" w:type="dxa"/>
              <w:left w:w="57" w:type="dxa"/>
              <w:bottom w:w="57" w:type="dxa"/>
              <w:right w:w="57" w:type="dxa"/>
            </w:tcMar>
            <w:vAlign w:val="center"/>
          </w:tcPr>
          <w:p w14:paraId="79A74CE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485" w:type="pct"/>
            <w:tcMar>
              <w:top w:w="57" w:type="dxa"/>
              <w:left w:w="57" w:type="dxa"/>
              <w:bottom w:w="57" w:type="dxa"/>
              <w:right w:w="57" w:type="dxa"/>
            </w:tcMar>
            <w:vAlign w:val="center"/>
          </w:tcPr>
          <w:p w14:paraId="59BB1F9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833" w:type="pct"/>
            <w:tcMar>
              <w:top w:w="57" w:type="dxa"/>
              <w:left w:w="57" w:type="dxa"/>
              <w:bottom w:w="57" w:type="dxa"/>
              <w:right w:w="57" w:type="dxa"/>
            </w:tcMar>
            <w:vAlign w:val="center"/>
          </w:tcPr>
          <w:p w14:paraId="6510467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不含税中标综合</w:t>
            </w:r>
          </w:p>
          <w:p w14:paraId="28A9EE9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单价(元)</w:t>
            </w:r>
          </w:p>
        </w:tc>
        <w:tc>
          <w:tcPr>
            <w:tcW w:w="738" w:type="pct"/>
            <w:tcMar>
              <w:top w:w="57" w:type="dxa"/>
              <w:left w:w="57" w:type="dxa"/>
              <w:bottom w:w="57" w:type="dxa"/>
              <w:right w:w="57" w:type="dxa"/>
            </w:tcMar>
            <w:vAlign w:val="center"/>
          </w:tcPr>
          <w:p w14:paraId="1D0D61C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不含税小计</w:t>
            </w:r>
          </w:p>
          <w:p w14:paraId="0901DF0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007" w:type="pct"/>
            <w:tcMar>
              <w:top w:w="57" w:type="dxa"/>
              <w:left w:w="57" w:type="dxa"/>
              <w:bottom w:w="57" w:type="dxa"/>
              <w:right w:w="57" w:type="dxa"/>
            </w:tcMar>
            <w:vAlign w:val="center"/>
          </w:tcPr>
          <w:p w14:paraId="1D0F17B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D573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center"/>
          </w:tcPr>
          <w:p w14:paraId="3F38468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26" w:type="pct"/>
            <w:tcMar>
              <w:top w:w="57" w:type="dxa"/>
              <w:left w:w="57" w:type="dxa"/>
              <w:bottom w:w="57" w:type="dxa"/>
              <w:right w:w="57" w:type="dxa"/>
            </w:tcMar>
            <w:vAlign w:val="center"/>
          </w:tcPr>
          <w:p w14:paraId="330BAE74">
            <w:pPr>
              <w:bidi w:val="0"/>
              <w:jc w:val="center"/>
              <w:rPr>
                <w:rFonts w:hint="eastAsia" w:ascii="宋体" w:hAnsi="宋体" w:eastAsia="宋体" w:cs="宋体"/>
                <w:color w:val="auto"/>
                <w:highlight w:val="none"/>
              </w:rPr>
            </w:pPr>
          </w:p>
        </w:tc>
        <w:tc>
          <w:tcPr>
            <w:tcW w:w="727" w:type="pct"/>
            <w:tcMar>
              <w:top w:w="57" w:type="dxa"/>
              <w:left w:w="57" w:type="dxa"/>
              <w:bottom w:w="57" w:type="dxa"/>
              <w:right w:w="57" w:type="dxa"/>
            </w:tcMar>
            <w:vAlign w:val="center"/>
          </w:tcPr>
          <w:p w14:paraId="537780FF">
            <w:pPr>
              <w:bidi w:val="0"/>
              <w:jc w:val="center"/>
              <w:rPr>
                <w:rFonts w:hint="eastAsia" w:ascii="宋体" w:hAnsi="宋体" w:eastAsia="宋体" w:cs="宋体"/>
                <w:color w:val="auto"/>
                <w:highlight w:val="none"/>
              </w:rPr>
            </w:pPr>
          </w:p>
        </w:tc>
        <w:tc>
          <w:tcPr>
            <w:tcW w:w="485" w:type="pct"/>
            <w:tcMar>
              <w:top w:w="57" w:type="dxa"/>
              <w:left w:w="57" w:type="dxa"/>
              <w:bottom w:w="57" w:type="dxa"/>
              <w:right w:w="57" w:type="dxa"/>
            </w:tcMar>
            <w:vAlign w:val="center"/>
          </w:tcPr>
          <w:p w14:paraId="506604AC">
            <w:pPr>
              <w:bidi w:val="0"/>
              <w:jc w:val="center"/>
              <w:rPr>
                <w:rFonts w:hint="eastAsia" w:ascii="宋体" w:hAnsi="宋体" w:eastAsia="宋体" w:cs="宋体"/>
                <w:color w:val="auto"/>
                <w:highlight w:val="none"/>
              </w:rPr>
            </w:pPr>
          </w:p>
        </w:tc>
        <w:tc>
          <w:tcPr>
            <w:tcW w:w="833" w:type="pct"/>
            <w:tcMar>
              <w:top w:w="57" w:type="dxa"/>
              <w:left w:w="57" w:type="dxa"/>
              <w:bottom w:w="57" w:type="dxa"/>
              <w:right w:w="57" w:type="dxa"/>
            </w:tcMar>
            <w:vAlign w:val="center"/>
          </w:tcPr>
          <w:p w14:paraId="2A668BE0">
            <w:pPr>
              <w:bidi w:val="0"/>
              <w:jc w:val="center"/>
              <w:rPr>
                <w:rFonts w:hint="eastAsia" w:ascii="宋体" w:hAnsi="宋体" w:eastAsia="宋体" w:cs="宋体"/>
                <w:color w:val="auto"/>
                <w:highlight w:val="none"/>
              </w:rPr>
            </w:pPr>
          </w:p>
        </w:tc>
        <w:tc>
          <w:tcPr>
            <w:tcW w:w="738" w:type="pct"/>
            <w:tcMar>
              <w:top w:w="57" w:type="dxa"/>
              <w:left w:w="57" w:type="dxa"/>
              <w:bottom w:w="57" w:type="dxa"/>
              <w:right w:w="57" w:type="dxa"/>
            </w:tcMar>
            <w:vAlign w:val="center"/>
          </w:tcPr>
          <w:p w14:paraId="2A756636">
            <w:pPr>
              <w:bidi w:val="0"/>
              <w:jc w:val="center"/>
              <w:rPr>
                <w:rFonts w:hint="eastAsia" w:ascii="宋体" w:hAnsi="宋体" w:eastAsia="宋体" w:cs="宋体"/>
                <w:color w:val="auto"/>
                <w:highlight w:val="none"/>
              </w:rPr>
            </w:pPr>
          </w:p>
        </w:tc>
        <w:tc>
          <w:tcPr>
            <w:tcW w:w="1007" w:type="pct"/>
            <w:tcMar>
              <w:top w:w="57" w:type="dxa"/>
              <w:left w:w="57" w:type="dxa"/>
              <w:bottom w:w="57" w:type="dxa"/>
              <w:right w:w="57" w:type="dxa"/>
            </w:tcMar>
            <w:vAlign w:val="center"/>
          </w:tcPr>
          <w:p w14:paraId="043B6CF3">
            <w:pPr>
              <w:bidi w:val="0"/>
              <w:jc w:val="center"/>
              <w:rPr>
                <w:rFonts w:hint="eastAsia" w:ascii="宋体" w:hAnsi="宋体" w:eastAsia="宋体" w:cs="宋体"/>
                <w:color w:val="auto"/>
                <w:highlight w:val="none"/>
              </w:rPr>
            </w:pPr>
          </w:p>
        </w:tc>
      </w:tr>
      <w:tr w14:paraId="28CCB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center"/>
          </w:tcPr>
          <w:p w14:paraId="0C5B91B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26" w:type="pct"/>
            <w:tcMar>
              <w:top w:w="57" w:type="dxa"/>
              <w:left w:w="57" w:type="dxa"/>
              <w:bottom w:w="57" w:type="dxa"/>
              <w:right w:w="57" w:type="dxa"/>
            </w:tcMar>
            <w:vAlign w:val="center"/>
          </w:tcPr>
          <w:p w14:paraId="60D2990D">
            <w:pPr>
              <w:bidi w:val="0"/>
              <w:jc w:val="center"/>
              <w:rPr>
                <w:rFonts w:hint="eastAsia" w:ascii="宋体" w:hAnsi="宋体" w:eastAsia="宋体" w:cs="宋体"/>
                <w:color w:val="auto"/>
                <w:highlight w:val="none"/>
              </w:rPr>
            </w:pPr>
          </w:p>
        </w:tc>
        <w:tc>
          <w:tcPr>
            <w:tcW w:w="727" w:type="pct"/>
            <w:tcMar>
              <w:top w:w="57" w:type="dxa"/>
              <w:left w:w="57" w:type="dxa"/>
              <w:bottom w:w="57" w:type="dxa"/>
              <w:right w:w="57" w:type="dxa"/>
            </w:tcMar>
            <w:vAlign w:val="center"/>
          </w:tcPr>
          <w:p w14:paraId="3D44549A">
            <w:pPr>
              <w:bidi w:val="0"/>
              <w:jc w:val="center"/>
              <w:rPr>
                <w:rFonts w:hint="eastAsia" w:ascii="宋体" w:hAnsi="宋体" w:eastAsia="宋体" w:cs="宋体"/>
                <w:color w:val="auto"/>
                <w:highlight w:val="none"/>
              </w:rPr>
            </w:pPr>
          </w:p>
        </w:tc>
        <w:tc>
          <w:tcPr>
            <w:tcW w:w="485" w:type="pct"/>
            <w:tcMar>
              <w:top w:w="57" w:type="dxa"/>
              <w:left w:w="57" w:type="dxa"/>
              <w:bottom w:w="57" w:type="dxa"/>
              <w:right w:w="57" w:type="dxa"/>
            </w:tcMar>
            <w:vAlign w:val="center"/>
          </w:tcPr>
          <w:p w14:paraId="4D7EE897">
            <w:pPr>
              <w:bidi w:val="0"/>
              <w:jc w:val="center"/>
              <w:rPr>
                <w:rFonts w:hint="eastAsia" w:ascii="宋体" w:hAnsi="宋体" w:eastAsia="宋体" w:cs="宋体"/>
                <w:color w:val="auto"/>
                <w:highlight w:val="none"/>
              </w:rPr>
            </w:pPr>
          </w:p>
        </w:tc>
        <w:tc>
          <w:tcPr>
            <w:tcW w:w="833" w:type="pct"/>
            <w:tcMar>
              <w:top w:w="57" w:type="dxa"/>
              <w:left w:w="57" w:type="dxa"/>
              <w:bottom w:w="57" w:type="dxa"/>
              <w:right w:w="57" w:type="dxa"/>
            </w:tcMar>
            <w:vAlign w:val="center"/>
          </w:tcPr>
          <w:p w14:paraId="32240004">
            <w:pPr>
              <w:bidi w:val="0"/>
              <w:jc w:val="center"/>
              <w:rPr>
                <w:rFonts w:hint="eastAsia" w:ascii="宋体" w:hAnsi="宋体" w:eastAsia="宋体" w:cs="宋体"/>
                <w:color w:val="auto"/>
                <w:highlight w:val="none"/>
              </w:rPr>
            </w:pPr>
          </w:p>
        </w:tc>
        <w:tc>
          <w:tcPr>
            <w:tcW w:w="738" w:type="pct"/>
            <w:tcMar>
              <w:top w:w="57" w:type="dxa"/>
              <w:left w:w="57" w:type="dxa"/>
              <w:bottom w:w="57" w:type="dxa"/>
              <w:right w:w="57" w:type="dxa"/>
            </w:tcMar>
            <w:vAlign w:val="center"/>
          </w:tcPr>
          <w:p w14:paraId="4AA5F94F">
            <w:pPr>
              <w:bidi w:val="0"/>
              <w:jc w:val="center"/>
              <w:rPr>
                <w:rFonts w:hint="eastAsia" w:ascii="宋体" w:hAnsi="宋体" w:eastAsia="宋体" w:cs="宋体"/>
                <w:color w:val="auto"/>
                <w:highlight w:val="none"/>
              </w:rPr>
            </w:pPr>
          </w:p>
        </w:tc>
        <w:tc>
          <w:tcPr>
            <w:tcW w:w="1007" w:type="pct"/>
            <w:tcMar>
              <w:top w:w="57" w:type="dxa"/>
              <w:left w:w="57" w:type="dxa"/>
              <w:bottom w:w="57" w:type="dxa"/>
              <w:right w:w="57" w:type="dxa"/>
            </w:tcMar>
            <w:vAlign w:val="center"/>
          </w:tcPr>
          <w:p w14:paraId="310BF3A7">
            <w:pPr>
              <w:bidi w:val="0"/>
              <w:jc w:val="center"/>
              <w:rPr>
                <w:rFonts w:hint="eastAsia" w:ascii="宋体" w:hAnsi="宋体" w:eastAsia="宋体" w:cs="宋体"/>
                <w:color w:val="auto"/>
                <w:highlight w:val="none"/>
              </w:rPr>
            </w:pPr>
          </w:p>
        </w:tc>
      </w:tr>
      <w:tr w14:paraId="59BEF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center"/>
          </w:tcPr>
          <w:p w14:paraId="078C102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726" w:type="pct"/>
            <w:tcMar>
              <w:top w:w="57" w:type="dxa"/>
              <w:left w:w="57" w:type="dxa"/>
              <w:bottom w:w="57" w:type="dxa"/>
              <w:right w:w="57" w:type="dxa"/>
            </w:tcMar>
            <w:vAlign w:val="center"/>
          </w:tcPr>
          <w:p w14:paraId="329C2638">
            <w:pPr>
              <w:bidi w:val="0"/>
              <w:jc w:val="center"/>
              <w:rPr>
                <w:rFonts w:hint="eastAsia" w:ascii="宋体" w:hAnsi="宋体" w:eastAsia="宋体" w:cs="宋体"/>
                <w:color w:val="auto"/>
                <w:highlight w:val="none"/>
              </w:rPr>
            </w:pPr>
          </w:p>
        </w:tc>
        <w:tc>
          <w:tcPr>
            <w:tcW w:w="727" w:type="pct"/>
            <w:tcMar>
              <w:top w:w="57" w:type="dxa"/>
              <w:left w:w="57" w:type="dxa"/>
              <w:bottom w:w="57" w:type="dxa"/>
              <w:right w:w="57" w:type="dxa"/>
            </w:tcMar>
            <w:vAlign w:val="center"/>
          </w:tcPr>
          <w:p w14:paraId="7D27CA36">
            <w:pPr>
              <w:bidi w:val="0"/>
              <w:jc w:val="center"/>
              <w:rPr>
                <w:rFonts w:hint="eastAsia" w:ascii="宋体" w:hAnsi="宋体" w:eastAsia="宋体" w:cs="宋体"/>
                <w:color w:val="auto"/>
                <w:highlight w:val="none"/>
              </w:rPr>
            </w:pPr>
          </w:p>
        </w:tc>
        <w:tc>
          <w:tcPr>
            <w:tcW w:w="485" w:type="pct"/>
            <w:tcMar>
              <w:top w:w="57" w:type="dxa"/>
              <w:left w:w="57" w:type="dxa"/>
              <w:bottom w:w="57" w:type="dxa"/>
              <w:right w:w="57" w:type="dxa"/>
            </w:tcMar>
            <w:vAlign w:val="center"/>
          </w:tcPr>
          <w:p w14:paraId="11950F83">
            <w:pPr>
              <w:bidi w:val="0"/>
              <w:jc w:val="center"/>
              <w:rPr>
                <w:rFonts w:hint="eastAsia" w:ascii="宋体" w:hAnsi="宋体" w:eastAsia="宋体" w:cs="宋体"/>
                <w:color w:val="auto"/>
                <w:highlight w:val="none"/>
              </w:rPr>
            </w:pPr>
          </w:p>
        </w:tc>
        <w:tc>
          <w:tcPr>
            <w:tcW w:w="833" w:type="pct"/>
            <w:tcMar>
              <w:top w:w="57" w:type="dxa"/>
              <w:left w:w="57" w:type="dxa"/>
              <w:bottom w:w="57" w:type="dxa"/>
              <w:right w:w="57" w:type="dxa"/>
            </w:tcMar>
            <w:vAlign w:val="center"/>
          </w:tcPr>
          <w:p w14:paraId="46009542">
            <w:pPr>
              <w:bidi w:val="0"/>
              <w:jc w:val="center"/>
              <w:rPr>
                <w:rFonts w:hint="eastAsia" w:ascii="宋体" w:hAnsi="宋体" w:eastAsia="宋体" w:cs="宋体"/>
                <w:color w:val="auto"/>
                <w:highlight w:val="none"/>
              </w:rPr>
            </w:pPr>
          </w:p>
        </w:tc>
        <w:tc>
          <w:tcPr>
            <w:tcW w:w="738" w:type="pct"/>
            <w:tcMar>
              <w:top w:w="57" w:type="dxa"/>
              <w:left w:w="57" w:type="dxa"/>
              <w:bottom w:w="57" w:type="dxa"/>
              <w:right w:w="57" w:type="dxa"/>
            </w:tcMar>
            <w:vAlign w:val="center"/>
          </w:tcPr>
          <w:p w14:paraId="5586681C">
            <w:pPr>
              <w:bidi w:val="0"/>
              <w:jc w:val="center"/>
              <w:rPr>
                <w:rFonts w:hint="eastAsia" w:ascii="宋体" w:hAnsi="宋体" w:eastAsia="宋体" w:cs="宋体"/>
                <w:color w:val="auto"/>
                <w:highlight w:val="none"/>
              </w:rPr>
            </w:pPr>
          </w:p>
        </w:tc>
        <w:tc>
          <w:tcPr>
            <w:tcW w:w="1007" w:type="pct"/>
            <w:tcMar>
              <w:top w:w="57" w:type="dxa"/>
              <w:left w:w="57" w:type="dxa"/>
              <w:bottom w:w="57" w:type="dxa"/>
              <w:right w:w="57" w:type="dxa"/>
            </w:tcMar>
            <w:vAlign w:val="center"/>
          </w:tcPr>
          <w:p w14:paraId="2244F6BB">
            <w:pPr>
              <w:bidi w:val="0"/>
              <w:jc w:val="center"/>
              <w:rPr>
                <w:rFonts w:hint="eastAsia" w:ascii="宋体" w:hAnsi="宋体" w:eastAsia="宋体" w:cs="宋体"/>
                <w:color w:val="auto"/>
                <w:highlight w:val="none"/>
              </w:rPr>
            </w:pPr>
          </w:p>
        </w:tc>
      </w:tr>
      <w:tr w14:paraId="39995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center"/>
          </w:tcPr>
          <w:p w14:paraId="4E4A4E9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726" w:type="pct"/>
            <w:tcMar>
              <w:top w:w="57" w:type="dxa"/>
              <w:left w:w="57" w:type="dxa"/>
              <w:bottom w:w="57" w:type="dxa"/>
              <w:right w:w="57" w:type="dxa"/>
            </w:tcMar>
            <w:vAlign w:val="center"/>
          </w:tcPr>
          <w:p w14:paraId="3AD3F8F8">
            <w:pPr>
              <w:bidi w:val="0"/>
              <w:jc w:val="center"/>
              <w:rPr>
                <w:rFonts w:hint="eastAsia" w:ascii="宋体" w:hAnsi="宋体" w:eastAsia="宋体" w:cs="宋体"/>
                <w:color w:val="auto"/>
                <w:highlight w:val="none"/>
              </w:rPr>
            </w:pPr>
          </w:p>
        </w:tc>
        <w:tc>
          <w:tcPr>
            <w:tcW w:w="727" w:type="pct"/>
            <w:tcMar>
              <w:top w:w="57" w:type="dxa"/>
              <w:left w:w="57" w:type="dxa"/>
              <w:bottom w:w="57" w:type="dxa"/>
              <w:right w:w="57" w:type="dxa"/>
            </w:tcMar>
            <w:vAlign w:val="center"/>
          </w:tcPr>
          <w:p w14:paraId="0706C1BA">
            <w:pPr>
              <w:bidi w:val="0"/>
              <w:jc w:val="center"/>
              <w:rPr>
                <w:rFonts w:hint="eastAsia" w:ascii="宋体" w:hAnsi="宋体" w:eastAsia="宋体" w:cs="宋体"/>
                <w:color w:val="auto"/>
                <w:highlight w:val="none"/>
              </w:rPr>
            </w:pPr>
          </w:p>
        </w:tc>
        <w:tc>
          <w:tcPr>
            <w:tcW w:w="485" w:type="pct"/>
            <w:tcMar>
              <w:top w:w="57" w:type="dxa"/>
              <w:left w:w="57" w:type="dxa"/>
              <w:bottom w:w="57" w:type="dxa"/>
              <w:right w:w="57" w:type="dxa"/>
            </w:tcMar>
            <w:vAlign w:val="center"/>
          </w:tcPr>
          <w:p w14:paraId="219D29F8">
            <w:pPr>
              <w:bidi w:val="0"/>
              <w:jc w:val="center"/>
              <w:rPr>
                <w:rFonts w:hint="eastAsia" w:ascii="宋体" w:hAnsi="宋体" w:eastAsia="宋体" w:cs="宋体"/>
                <w:color w:val="auto"/>
                <w:highlight w:val="none"/>
              </w:rPr>
            </w:pPr>
          </w:p>
        </w:tc>
        <w:tc>
          <w:tcPr>
            <w:tcW w:w="833" w:type="pct"/>
            <w:tcMar>
              <w:top w:w="57" w:type="dxa"/>
              <w:left w:w="57" w:type="dxa"/>
              <w:bottom w:w="57" w:type="dxa"/>
              <w:right w:w="57" w:type="dxa"/>
            </w:tcMar>
            <w:vAlign w:val="center"/>
          </w:tcPr>
          <w:p w14:paraId="0ED32372">
            <w:pPr>
              <w:bidi w:val="0"/>
              <w:jc w:val="center"/>
              <w:rPr>
                <w:rFonts w:hint="eastAsia" w:ascii="宋体" w:hAnsi="宋体" w:eastAsia="宋体" w:cs="宋体"/>
                <w:color w:val="auto"/>
                <w:highlight w:val="none"/>
              </w:rPr>
            </w:pPr>
          </w:p>
        </w:tc>
        <w:tc>
          <w:tcPr>
            <w:tcW w:w="738" w:type="pct"/>
            <w:tcMar>
              <w:top w:w="57" w:type="dxa"/>
              <w:left w:w="57" w:type="dxa"/>
              <w:bottom w:w="57" w:type="dxa"/>
              <w:right w:w="57" w:type="dxa"/>
            </w:tcMar>
            <w:vAlign w:val="center"/>
          </w:tcPr>
          <w:p w14:paraId="14978521">
            <w:pPr>
              <w:bidi w:val="0"/>
              <w:jc w:val="center"/>
              <w:rPr>
                <w:rFonts w:hint="eastAsia" w:ascii="宋体" w:hAnsi="宋体" w:eastAsia="宋体" w:cs="宋体"/>
                <w:color w:val="auto"/>
                <w:highlight w:val="none"/>
              </w:rPr>
            </w:pPr>
          </w:p>
        </w:tc>
        <w:tc>
          <w:tcPr>
            <w:tcW w:w="1007" w:type="pct"/>
            <w:tcMar>
              <w:top w:w="57" w:type="dxa"/>
              <w:left w:w="57" w:type="dxa"/>
              <w:bottom w:w="57" w:type="dxa"/>
              <w:right w:w="57" w:type="dxa"/>
            </w:tcMar>
            <w:vAlign w:val="center"/>
          </w:tcPr>
          <w:p w14:paraId="6259E0E8">
            <w:pPr>
              <w:bidi w:val="0"/>
              <w:jc w:val="center"/>
              <w:rPr>
                <w:rFonts w:hint="eastAsia" w:ascii="宋体" w:hAnsi="宋体" w:eastAsia="宋体" w:cs="宋体"/>
                <w:color w:val="auto"/>
                <w:highlight w:val="none"/>
              </w:rPr>
            </w:pPr>
          </w:p>
        </w:tc>
      </w:tr>
      <w:tr w14:paraId="71D6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top"/>
          </w:tcPr>
          <w:p w14:paraId="3788EC34">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不含税合计(元)</w:t>
            </w:r>
          </w:p>
        </w:tc>
        <w:tc>
          <w:tcPr>
            <w:tcW w:w="738" w:type="pct"/>
            <w:tcMar>
              <w:top w:w="57" w:type="dxa"/>
              <w:left w:w="57" w:type="dxa"/>
              <w:bottom w:w="57" w:type="dxa"/>
              <w:right w:w="57" w:type="dxa"/>
            </w:tcMar>
            <w:vAlign w:val="top"/>
          </w:tcPr>
          <w:p w14:paraId="7EC04D25">
            <w:pPr>
              <w:bidi w:val="0"/>
              <w:jc w:val="center"/>
              <w:rPr>
                <w:rFonts w:hint="eastAsia" w:ascii="宋体" w:hAnsi="宋体" w:eastAsia="宋体" w:cs="宋体"/>
                <w:b/>
                <w:bCs/>
                <w:color w:val="auto"/>
                <w:highlight w:val="none"/>
              </w:rPr>
            </w:pPr>
          </w:p>
        </w:tc>
        <w:tc>
          <w:tcPr>
            <w:tcW w:w="1007" w:type="pct"/>
            <w:tcMar>
              <w:top w:w="57" w:type="dxa"/>
              <w:left w:w="57" w:type="dxa"/>
              <w:bottom w:w="57" w:type="dxa"/>
              <w:right w:w="57" w:type="dxa"/>
            </w:tcMar>
            <w:vAlign w:val="top"/>
          </w:tcPr>
          <w:p w14:paraId="25D8459F">
            <w:pPr>
              <w:bidi w:val="0"/>
              <w:jc w:val="center"/>
              <w:rPr>
                <w:rFonts w:hint="eastAsia" w:ascii="宋体" w:hAnsi="宋体" w:eastAsia="宋体" w:cs="宋体"/>
                <w:b/>
                <w:bCs/>
                <w:color w:val="auto"/>
                <w:highlight w:val="none"/>
              </w:rPr>
            </w:pPr>
          </w:p>
        </w:tc>
      </w:tr>
      <w:tr w14:paraId="120A8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top"/>
          </w:tcPr>
          <w:p w14:paraId="292FE7E7">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税率( % )</w:t>
            </w:r>
          </w:p>
        </w:tc>
        <w:tc>
          <w:tcPr>
            <w:tcW w:w="738" w:type="pct"/>
            <w:tcMar>
              <w:top w:w="57" w:type="dxa"/>
              <w:left w:w="57" w:type="dxa"/>
              <w:bottom w:w="57" w:type="dxa"/>
              <w:right w:w="57" w:type="dxa"/>
            </w:tcMar>
            <w:vAlign w:val="top"/>
          </w:tcPr>
          <w:p w14:paraId="50363813">
            <w:pPr>
              <w:bidi w:val="0"/>
              <w:jc w:val="center"/>
              <w:rPr>
                <w:rFonts w:hint="eastAsia" w:ascii="宋体" w:hAnsi="宋体" w:eastAsia="宋体" w:cs="宋体"/>
                <w:b/>
                <w:bCs/>
                <w:color w:val="auto"/>
                <w:highlight w:val="none"/>
              </w:rPr>
            </w:pPr>
          </w:p>
        </w:tc>
        <w:tc>
          <w:tcPr>
            <w:tcW w:w="1007" w:type="pct"/>
            <w:tcMar>
              <w:top w:w="57" w:type="dxa"/>
              <w:left w:w="57" w:type="dxa"/>
              <w:bottom w:w="57" w:type="dxa"/>
              <w:right w:w="57" w:type="dxa"/>
            </w:tcMar>
            <w:vAlign w:val="top"/>
          </w:tcPr>
          <w:p w14:paraId="229CCF34">
            <w:pPr>
              <w:bidi w:val="0"/>
              <w:jc w:val="center"/>
              <w:rPr>
                <w:rFonts w:hint="eastAsia" w:ascii="宋体" w:hAnsi="宋体" w:eastAsia="宋体" w:cs="宋体"/>
                <w:b/>
                <w:bCs/>
                <w:color w:val="auto"/>
                <w:highlight w:val="none"/>
              </w:rPr>
            </w:pPr>
          </w:p>
        </w:tc>
      </w:tr>
      <w:tr w14:paraId="702FE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top"/>
          </w:tcPr>
          <w:p w14:paraId="5433427D">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收货要求</w:t>
            </w:r>
          </w:p>
        </w:tc>
      </w:tr>
      <w:tr w14:paraId="5D872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14:paraId="213EAF33">
            <w:pPr>
              <w:spacing w:before="161" w:line="185" w:lineRule="auto"/>
              <w:ind w:left="3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4" w:type="pct"/>
            <w:gridSpan w:val="2"/>
            <w:tcMar>
              <w:top w:w="57" w:type="dxa"/>
              <w:left w:w="57" w:type="dxa"/>
              <w:bottom w:w="57" w:type="dxa"/>
              <w:right w:w="57" w:type="dxa"/>
            </w:tcMar>
            <w:vAlign w:val="top"/>
          </w:tcPr>
          <w:p w14:paraId="52571B44">
            <w:pPr>
              <w:spacing w:before="136"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收货时间</w:t>
            </w:r>
          </w:p>
        </w:tc>
        <w:tc>
          <w:tcPr>
            <w:tcW w:w="3064" w:type="pct"/>
            <w:gridSpan w:val="4"/>
            <w:tcMar>
              <w:top w:w="57" w:type="dxa"/>
              <w:left w:w="57" w:type="dxa"/>
              <w:bottom w:w="57" w:type="dxa"/>
              <w:right w:w="57" w:type="dxa"/>
            </w:tcMar>
            <w:vAlign w:val="top"/>
          </w:tcPr>
          <w:p w14:paraId="4428EBBC">
            <w:pPr>
              <w:rPr>
                <w:rFonts w:hint="eastAsia" w:ascii="宋体" w:hAnsi="宋体" w:eastAsia="宋体" w:cs="宋体"/>
                <w:color w:val="auto"/>
                <w:sz w:val="21"/>
                <w:szCs w:val="21"/>
                <w:highlight w:val="none"/>
              </w:rPr>
            </w:pPr>
          </w:p>
        </w:tc>
      </w:tr>
      <w:tr w14:paraId="0B12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14:paraId="605D8E59">
            <w:pPr>
              <w:spacing w:before="158" w:line="184" w:lineRule="auto"/>
              <w:ind w:left="3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54" w:type="pct"/>
            <w:gridSpan w:val="2"/>
            <w:tcMar>
              <w:top w:w="57" w:type="dxa"/>
              <w:left w:w="57" w:type="dxa"/>
              <w:bottom w:w="57" w:type="dxa"/>
              <w:right w:w="57" w:type="dxa"/>
            </w:tcMar>
            <w:vAlign w:val="top"/>
          </w:tcPr>
          <w:p w14:paraId="03872F27">
            <w:pPr>
              <w:spacing w:before="132"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收货地点</w:t>
            </w:r>
          </w:p>
        </w:tc>
        <w:tc>
          <w:tcPr>
            <w:tcW w:w="3064" w:type="pct"/>
            <w:gridSpan w:val="4"/>
            <w:tcMar>
              <w:top w:w="57" w:type="dxa"/>
              <w:left w:w="57" w:type="dxa"/>
              <w:bottom w:w="57" w:type="dxa"/>
              <w:right w:w="57" w:type="dxa"/>
            </w:tcMar>
            <w:vAlign w:val="top"/>
          </w:tcPr>
          <w:p w14:paraId="22842C7B">
            <w:pPr>
              <w:rPr>
                <w:rFonts w:hint="eastAsia" w:ascii="宋体" w:hAnsi="宋体" w:eastAsia="宋体" w:cs="宋体"/>
                <w:color w:val="auto"/>
                <w:sz w:val="21"/>
                <w:szCs w:val="21"/>
                <w:highlight w:val="none"/>
              </w:rPr>
            </w:pPr>
          </w:p>
        </w:tc>
      </w:tr>
      <w:tr w14:paraId="5456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14:paraId="548BC293">
            <w:pPr>
              <w:spacing w:before="194" w:line="184"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54" w:type="pct"/>
            <w:gridSpan w:val="2"/>
            <w:tcMar>
              <w:top w:w="57" w:type="dxa"/>
              <w:left w:w="57" w:type="dxa"/>
              <w:bottom w:w="57" w:type="dxa"/>
              <w:right w:w="57" w:type="dxa"/>
            </w:tcMar>
            <w:vAlign w:val="top"/>
          </w:tcPr>
          <w:p w14:paraId="695FDC9A">
            <w:pPr>
              <w:spacing w:before="168" w:line="220" w:lineRule="auto"/>
              <w:ind w:left="84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收货联系人</w:t>
            </w:r>
          </w:p>
        </w:tc>
        <w:tc>
          <w:tcPr>
            <w:tcW w:w="1318" w:type="pct"/>
            <w:gridSpan w:val="2"/>
            <w:tcMar>
              <w:top w:w="57" w:type="dxa"/>
              <w:left w:w="57" w:type="dxa"/>
              <w:bottom w:w="57" w:type="dxa"/>
              <w:right w:w="57" w:type="dxa"/>
            </w:tcMar>
            <w:vAlign w:val="top"/>
          </w:tcPr>
          <w:p w14:paraId="2B5BF841">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09930978">
            <w:pPr>
              <w:spacing w:before="168"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4AC6533E">
            <w:pPr>
              <w:rPr>
                <w:rFonts w:hint="eastAsia" w:ascii="宋体" w:hAnsi="宋体" w:eastAsia="宋体" w:cs="宋体"/>
                <w:color w:val="auto"/>
                <w:sz w:val="21"/>
                <w:szCs w:val="21"/>
                <w:highlight w:val="none"/>
              </w:rPr>
            </w:pPr>
          </w:p>
        </w:tc>
      </w:tr>
      <w:tr w14:paraId="59C16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14:paraId="164C1452">
            <w:pPr>
              <w:spacing w:before="230" w:line="184" w:lineRule="auto"/>
              <w:ind w:left="3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54" w:type="pct"/>
            <w:gridSpan w:val="2"/>
            <w:tcMar>
              <w:top w:w="57" w:type="dxa"/>
              <w:left w:w="57" w:type="dxa"/>
              <w:bottom w:w="57" w:type="dxa"/>
              <w:right w:w="57" w:type="dxa"/>
            </w:tcMar>
            <w:vAlign w:val="top"/>
          </w:tcPr>
          <w:p w14:paraId="33667AE9">
            <w:pPr>
              <w:spacing w:before="205" w:line="221" w:lineRule="auto"/>
              <w:ind w:left="9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其他要求</w:t>
            </w:r>
          </w:p>
        </w:tc>
        <w:tc>
          <w:tcPr>
            <w:tcW w:w="3064" w:type="pct"/>
            <w:gridSpan w:val="4"/>
            <w:tcMar>
              <w:top w:w="57" w:type="dxa"/>
              <w:left w:w="57" w:type="dxa"/>
              <w:bottom w:w="57" w:type="dxa"/>
              <w:right w:w="57" w:type="dxa"/>
            </w:tcMar>
            <w:vAlign w:val="top"/>
          </w:tcPr>
          <w:p w14:paraId="5D821238">
            <w:pPr>
              <w:rPr>
                <w:rFonts w:hint="eastAsia" w:ascii="宋体" w:hAnsi="宋体" w:eastAsia="宋体" w:cs="宋体"/>
                <w:color w:val="auto"/>
                <w:sz w:val="21"/>
                <w:szCs w:val="21"/>
                <w:highlight w:val="none"/>
              </w:rPr>
            </w:pPr>
          </w:p>
        </w:tc>
      </w:tr>
      <w:tr w14:paraId="53634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14:paraId="59A44031">
            <w:pPr>
              <w:spacing w:before="158"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送货联系信息</w:t>
            </w:r>
          </w:p>
        </w:tc>
      </w:tr>
      <w:tr w14:paraId="56351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35" w:type="pct"/>
            <w:gridSpan w:val="3"/>
            <w:tcMar>
              <w:top w:w="57" w:type="dxa"/>
              <w:left w:w="57" w:type="dxa"/>
              <w:bottom w:w="57" w:type="dxa"/>
              <w:right w:w="57" w:type="dxa"/>
            </w:tcMar>
            <w:vAlign w:val="top"/>
          </w:tcPr>
          <w:p w14:paraId="70441399">
            <w:pPr>
              <w:spacing w:before="193" w:line="220" w:lineRule="auto"/>
              <w:ind w:left="124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送货联系人</w:t>
            </w:r>
          </w:p>
        </w:tc>
        <w:tc>
          <w:tcPr>
            <w:tcW w:w="1318" w:type="pct"/>
            <w:gridSpan w:val="2"/>
            <w:tcMar>
              <w:top w:w="57" w:type="dxa"/>
              <w:left w:w="57" w:type="dxa"/>
              <w:bottom w:w="57" w:type="dxa"/>
              <w:right w:w="57" w:type="dxa"/>
            </w:tcMar>
            <w:vAlign w:val="top"/>
          </w:tcPr>
          <w:p w14:paraId="7CABD92F">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7BCD6F4F">
            <w:pPr>
              <w:spacing w:before="193"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1AE19B21">
            <w:pPr>
              <w:rPr>
                <w:rFonts w:hint="eastAsia" w:ascii="宋体" w:hAnsi="宋体" w:eastAsia="宋体" w:cs="宋体"/>
                <w:color w:val="auto"/>
                <w:sz w:val="21"/>
                <w:szCs w:val="21"/>
                <w:highlight w:val="none"/>
              </w:rPr>
            </w:pPr>
          </w:p>
        </w:tc>
      </w:tr>
      <w:tr w14:paraId="2C369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14:paraId="4F2FCBEE">
            <w:pPr>
              <w:spacing w:before="46" w:line="220" w:lineRule="auto"/>
              <w:ind w:left="1341"/>
              <w:rPr>
                <w:rFonts w:hint="eastAsia" w:ascii="宋体" w:hAnsi="宋体" w:eastAsia="宋体" w:cs="宋体"/>
                <w:color w:val="auto"/>
                <w:spacing w:val="-2"/>
                <w:sz w:val="21"/>
                <w:szCs w:val="21"/>
                <w:highlight w:val="none"/>
              </w:rPr>
            </w:pPr>
          </w:p>
          <w:p w14:paraId="2EEF9C47">
            <w:pPr>
              <w:spacing w:before="46" w:line="220" w:lineRule="auto"/>
              <w:ind w:left="134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收货单位盖章确认：</w:t>
            </w:r>
          </w:p>
          <w:p w14:paraId="4C2B06A3">
            <w:pPr>
              <w:spacing w:line="248" w:lineRule="auto"/>
              <w:rPr>
                <w:rFonts w:hint="eastAsia" w:ascii="宋体" w:hAnsi="宋体" w:eastAsia="宋体" w:cs="宋体"/>
                <w:color w:val="auto"/>
                <w:sz w:val="21"/>
                <w:szCs w:val="21"/>
                <w:highlight w:val="none"/>
              </w:rPr>
            </w:pPr>
          </w:p>
          <w:p w14:paraId="16B1B150">
            <w:pPr>
              <w:spacing w:line="249" w:lineRule="auto"/>
              <w:rPr>
                <w:rFonts w:hint="eastAsia" w:ascii="宋体" w:hAnsi="宋体" w:eastAsia="宋体" w:cs="宋体"/>
                <w:color w:val="auto"/>
                <w:sz w:val="21"/>
                <w:szCs w:val="21"/>
                <w:highlight w:val="none"/>
              </w:rPr>
            </w:pPr>
          </w:p>
          <w:p w14:paraId="6394F2BD">
            <w:pPr>
              <w:spacing w:line="249" w:lineRule="auto"/>
              <w:rPr>
                <w:rFonts w:hint="eastAsia" w:ascii="宋体" w:hAnsi="宋体" w:eastAsia="宋体" w:cs="宋体"/>
                <w:color w:val="auto"/>
                <w:sz w:val="21"/>
                <w:szCs w:val="21"/>
                <w:highlight w:val="none"/>
              </w:rPr>
            </w:pPr>
          </w:p>
          <w:p w14:paraId="39888CA9">
            <w:pPr>
              <w:spacing w:line="249" w:lineRule="auto"/>
              <w:rPr>
                <w:rFonts w:hint="eastAsia" w:ascii="宋体" w:hAnsi="宋体" w:eastAsia="宋体" w:cs="宋体"/>
                <w:color w:val="auto"/>
                <w:sz w:val="21"/>
                <w:szCs w:val="21"/>
                <w:highlight w:val="none"/>
              </w:rPr>
            </w:pPr>
          </w:p>
          <w:p w14:paraId="08566CD5">
            <w:pPr>
              <w:spacing w:before="52" w:line="220" w:lineRule="auto"/>
              <w:ind w:left="13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收货单位代表签字</w:t>
            </w:r>
            <w:r>
              <w:rPr>
                <w:rFonts w:hint="eastAsia" w:ascii="宋体" w:hAnsi="宋体" w:eastAsia="宋体" w:cs="宋体"/>
                <w:color w:val="auto"/>
                <w:spacing w:val="-2"/>
                <w:sz w:val="21"/>
                <w:szCs w:val="21"/>
                <w:highlight w:val="none"/>
                <w:lang w:val="en-US" w:eastAsia="zh-CN"/>
              </w:rPr>
              <w:t>：</w:t>
            </w:r>
          </w:p>
          <w:p w14:paraId="141E2CCA">
            <w:pPr>
              <w:spacing w:before="201" w:line="220" w:lineRule="auto"/>
              <w:ind w:left="249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日</w:t>
            </w:r>
          </w:p>
        </w:tc>
        <w:tc>
          <w:tcPr>
            <w:tcW w:w="2579" w:type="pct"/>
            <w:gridSpan w:val="3"/>
            <w:tcMar>
              <w:top w:w="57" w:type="dxa"/>
              <w:left w:w="57" w:type="dxa"/>
              <w:bottom w:w="57" w:type="dxa"/>
              <w:right w:w="57" w:type="dxa"/>
            </w:tcMar>
            <w:vAlign w:val="top"/>
          </w:tcPr>
          <w:p w14:paraId="653BA9D4">
            <w:pPr>
              <w:spacing w:before="46" w:line="220" w:lineRule="auto"/>
              <w:ind w:left="1464"/>
              <w:rPr>
                <w:rFonts w:hint="eastAsia" w:ascii="宋体" w:hAnsi="宋体" w:eastAsia="宋体" w:cs="宋体"/>
                <w:color w:val="auto"/>
                <w:spacing w:val="-1"/>
                <w:sz w:val="21"/>
                <w:szCs w:val="21"/>
                <w:highlight w:val="none"/>
              </w:rPr>
            </w:pPr>
          </w:p>
          <w:p w14:paraId="785A794A">
            <w:pPr>
              <w:spacing w:before="46" w:line="220" w:lineRule="auto"/>
              <w:ind w:left="146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送货单位盖章确认：</w:t>
            </w:r>
          </w:p>
          <w:p w14:paraId="4601B2E8">
            <w:pPr>
              <w:spacing w:line="248" w:lineRule="auto"/>
              <w:rPr>
                <w:rFonts w:hint="eastAsia" w:ascii="宋体" w:hAnsi="宋体" w:eastAsia="宋体" w:cs="宋体"/>
                <w:color w:val="auto"/>
                <w:sz w:val="21"/>
                <w:szCs w:val="21"/>
                <w:highlight w:val="none"/>
              </w:rPr>
            </w:pPr>
          </w:p>
          <w:p w14:paraId="0971CBF9">
            <w:pPr>
              <w:spacing w:line="249" w:lineRule="auto"/>
              <w:rPr>
                <w:rFonts w:hint="eastAsia" w:ascii="宋体" w:hAnsi="宋体" w:eastAsia="宋体" w:cs="宋体"/>
                <w:color w:val="auto"/>
                <w:sz w:val="21"/>
                <w:szCs w:val="21"/>
                <w:highlight w:val="none"/>
              </w:rPr>
            </w:pPr>
          </w:p>
          <w:p w14:paraId="1F968981">
            <w:pPr>
              <w:spacing w:line="249" w:lineRule="auto"/>
              <w:rPr>
                <w:rFonts w:hint="eastAsia" w:ascii="宋体" w:hAnsi="宋体" w:eastAsia="宋体" w:cs="宋体"/>
                <w:color w:val="auto"/>
                <w:sz w:val="21"/>
                <w:szCs w:val="21"/>
                <w:highlight w:val="none"/>
              </w:rPr>
            </w:pPr>
          </w:p>
          <w:p w14:paraId="5DCCE081">
            <w:pPr>
              <w:spacing w:line="249" w:lineRule="auto"/>
              <w:rPr>
                <w:rFonts w:hint="eastAsia" w:ascii="宋体" w:hAnsi="宋体" w:eastAsia="宋体" w:cs="宋体"/>
                <w:color w:val="auto"/>
                <w:sz w:val="21"/>
                <w:szCs w:val="21"/>
                <w:highlight w:val="none"/>
              </w:rPr>
            </w:pPr>
          </w:p>
          <w:p w14:paraId="06005840">
            <w:pPr>
              <w:spacing w:before="52" w:line="220" w:lineRule="auto"/>
              <w:ind w:left="146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送货单位代表签字</w:t>
            </w:r>
            <w:r>
              <w:rPr>
                <w:rFonts w:hint="eastAsia" w:ascii="宋体" w:hAnsi="宋体" w:eastAsia="宋体" w:cs="宋体"/>
                <w:color w:val="auto"/>
                <w:spacing w:val="-1"/>
                <w:sz w:val="21"/>
                <w:szCs w:val="21"/>
                <w:highlight w:val="none"/>
                <w:lang w:eastAsia="zh-CN"/>
              </w:rPr>
              <w:t>：</w:t>
            </w:r>
          </w:p>
          <w:p w14:paraId="36FA3866">
            <w:pPr>
              <w:spacing w:before="201" w:line="220" w:lineRule="auto"/>
              <w:ind w:left="274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6"/>
                <w:sz w:val="21"/>
                <w:szCs w:val="21"/>
                <w:highlight w:val="none"/>
              </w:rPr>
              <w:t>日</w:t>
            </w:r>
          </w:p>
        </w:tc>
      </w:tr>
    </w:tbl>
    <w:p w14:paraId="23399DCA">
      <w:pPr>
        <w:rPr>
          <w:rFonts w:hint="eastAsia" w:ascii="宋体" w:hAnsi="宋体" w:eastAsia="宋体" w:cs="宋体"/>
          <w:color w:val="auto"/>
          <w:highlight w:val="none"/>
          <w:lang w:val="en-US" w:eastAsia="zh-CN"/>
        </w:rPr>
      </w:pPr>
    </w:p>
    <w:p w14:paraId="1199D68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05B6D161">
      <w:pPr>
        <w:pStyle w:val="3"/>
        <w:bidi w:val="0"/>
        <w:rPr>
          <w:rFonts w:hint="eastAsia" w:ascii="宋体" w:hAnsi="宋体" w:eastAsia="宋体" w:cs="宋体"/>
          <w:color w:val="auto"/>
          <w:highlight w:val="none"/>
          <w:lang w:val="en-US" w:eastAsia="zh-CN"/>
        </w:rPr>
      </w:pPr>
      <w:bookmarkStart w:id="725" w:name="_Toc3569"/>
      <w:r>
        <w:rPr>
          <w:rFonts w:hint="eastAsia" w:ascii="宋体" w:hAnsi="宋体" w:eastAsia="宋体" w:cs="宋体"/>
          <w:color w:val="auto"/>
          <w:highlight w:val="none"/>
          <w:lang w:val="en-US" w:eastAsia="zh-CN"/>
        </w:rPr>
        <w:t>附件3：</w:t>
      </w:r>
      <w:bookmarkEnd w:id="725"/>
      <w:r>
        <w:rPr>
          <w:rFonts w:hint="eastAsia" w:ascii="宋体" w:hAnsi="宋体" w:eastAsia="宋体" w:cs="宋体"/>
          <w:color w:val="auto"/>
          <w:highlight w:val="none"/>
          <w:lang w:val="en-US" w:eastAsia="zh-CN"/>
        </w:rPr>
        <w:t>东莞市碧水信息科技有限公司2025年度</w:t>
      </w:r>
      <w:r>
        <w:rPr>
          <w:rFonts w:hint="eastAsia" w:ascii="宋体" w:hAnsi="宋体" w:eastAsia="宋体" w:cs="宋体"/>
          <w:color w:val="auto"/>
          <w:sz w:val="21"/>
          <w:szCs w:val="21"/>
          <w:highlight w:val="none"/>
          <w:lang w:val="en-US" w:eastAsia="zh-CN"/>
        </w:rPr>
        <w:t>阀门</w:t>
      </w:r>
      <w:r>
        <w:rPr>
          <w:rFonts w:hint="eastAsia" w:ascii="宋体" w:hAnsi="宋体" w:eastAsia="宋体" w:cs="宋体"/>
          <w:color w:val="auto"/>
          <w:highlight w:val="none"/>
          <w:lang w:val="en-US" w:eastAsia="zh-CN"/>
        </w:rPr>
        <w:t>采购清单及价格表</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1504"/>
        <w:gridCol w:w="1506"/>
        <w:gridCol w:w="1483"/>
        <w:gridCol w:w="966"/>
        <w:gridCol w:w="1014"/>
        <w:gridCol w:w="1397"/>
        <w:gridCol w:w="1897"/>
      </w:tblGrid>
      <w:tr w14:paraId="150B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A8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15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物品名称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62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（公称直径）</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3F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76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C6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计划</w:t>
            </w:r>
          </w:p>
          <w:p w14:paraId="13FA43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数量</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BB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不含税预算综合单价</w:t>
            </w:r>
          </w:p>
          <w:p w14:paraId="08A4EA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（元）</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08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cs="宋体"/>
                <w:b/>
                <w:bCs/>
                <w:i w:val="0"/>
                <w:iCs w:val="0"/>
                <w:color w:val="auto"/>
                <w:kern w:val="0"/>
                <w:sz w:val="21"/>
                <w:szCs w:val="21"/>
                <w:highlight w:val="none"/>
                <w:u w:val="none"/>
                <w:lang w:val="en-US" w:eastAsia="zh-CN" w:bidi="ar"/>
              </w:rPr>
              <w:t>备注</w:t>
            </w:r>
          </w:p>
        </w:tc>
      </w:tr>
      <w:tr w14:paraId="242B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F8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2A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37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DC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75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DD8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84B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26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D70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C8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2F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FC1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D7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D6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960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C3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B41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27D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BA7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50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95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CE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41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98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0E3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F5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DC8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41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59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8A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49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93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D6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4B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183.67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8F4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AA7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14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FC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C8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AE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FA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13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5DB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211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4B0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CE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E3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85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0C6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E7B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F7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9E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79A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F6B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299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28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0D3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C9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31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1F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43A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556.00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431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960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19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C53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A3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FA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C1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1A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58E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975.67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E0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361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565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4B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B5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74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86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609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452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1,496.33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BCC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EFC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8F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FD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A8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8E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01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35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AC4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2,312.00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BE3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146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9D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01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41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85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9F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B05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38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2,892.00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70E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E6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A9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D7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18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551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64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53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7FC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3,833.00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E41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C5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EF2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1E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13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7D6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2C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19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FE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5,553.67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1F5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3A6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FF5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1E1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08F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AC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04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AE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1AE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6,990.00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60C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380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CB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3E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48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6C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B2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E3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B71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6DC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DD2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92E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DA2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4F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1D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C8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08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873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27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345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C13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258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24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98B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37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24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848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E2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DC1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952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80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56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48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A1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4F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C64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ADD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BDE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38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E8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2B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1EE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5E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01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F8A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C65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7AE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EE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1F8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7A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EA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1EF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41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9E1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DD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89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59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D5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83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77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5F3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31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B77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54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B03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2C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4D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038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65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C5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91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8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738.33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ECB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39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73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49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C8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7A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30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FA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FEA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1,054.00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891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B9C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D22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40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76B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AA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E4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AD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7A6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1,523.33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F8B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0D0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6C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07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67C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72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4A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CF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8CF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2,319.67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B47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B3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79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D9D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0B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815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46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68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FCE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2,676.00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31C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63B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FE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A4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E3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02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87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CD3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B8E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3,258.33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A6A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CB3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FF4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9C7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8A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0D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2C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81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446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5,168.00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B19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430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96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DD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BF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DN700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D2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4EE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4CC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CC1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11,224.00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022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96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872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DD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45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DN750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BE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E2B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CA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9E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12,003.00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4C6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86B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8F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329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28D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53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BF6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99B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9DE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13,378.33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634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89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C5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13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DB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DN900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BB4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54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07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DB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16,590.00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C5E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DEB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BA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16F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43F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C6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3A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D5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CC2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20,574.67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4B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ED4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1D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5D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D9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AA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2F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2D3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03B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35,056.33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E98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121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F2D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BF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7CB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E2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B2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D55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B30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60,067.00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63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AC6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1E7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9B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B8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2BA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091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FD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7F2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111,724.67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577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F0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E1A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B38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BA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55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9B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77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B70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767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CC7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75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E3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F6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97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8D8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1B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33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B1A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A41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504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428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A8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F1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665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40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09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51E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79E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59A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C1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76D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6E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B2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5A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AA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B75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51E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5A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7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C8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6F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F8C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A2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6B2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0E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E8C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B4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16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CBB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2C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42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90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2D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400.67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52D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355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37D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CF3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87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8D9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87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9B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5F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D45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FED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39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FD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26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88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50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173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3D0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856.33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B1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082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4F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95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504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4F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D0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C4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2E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1,097.33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54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5CE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3B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26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C0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57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D9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69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4A4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1,698.33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458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7AB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60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7A1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EE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8FB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14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F9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23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2,650.67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FBC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2A0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4A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4C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B6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52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CB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42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82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4,559.67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FA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6D9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A2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71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8A1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E9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3D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498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0A0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308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21F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F8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80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EBB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A5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98B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FF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08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177.33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7C7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A93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2B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6E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0A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64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E3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64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69B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219.67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F70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5C3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CD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002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1E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E24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DD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B7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74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7F4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C2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A1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B2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4A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3F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EA7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DC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4BD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BA3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245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4F9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A5E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FA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D0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61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97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E8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0C5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AAC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83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67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03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6A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DA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E7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86E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0F4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D12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BB1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25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B31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D0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60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19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5FF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1,471.33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D55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C6E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5D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C2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0D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4A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EC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275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C60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2,060.00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20D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99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553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AC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A8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13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62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3A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0D3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2,372.67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6A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E97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53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BD9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C8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76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D9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B5A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4D8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3,265.00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678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B59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F24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E8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A1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006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8D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FA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6D1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479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13B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2A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4B1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D6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65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A6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5D0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490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7,116.33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B06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688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A09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5E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446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8E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653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2D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D5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438.00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9B5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3C0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57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C01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EB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24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D6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38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63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90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2B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DE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8D2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8B5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90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CEA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31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775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584.00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6AB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8B1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6F4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55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C0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51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CE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72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990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1,145.00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CA4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910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18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94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DF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CEC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13B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3A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A80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1,498.33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32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E96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F8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8E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95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0F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28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F3C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250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2,755.33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FB7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D7B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5DA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DD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74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0E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FE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FA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C2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3,389.00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F74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B11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4D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E5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A6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22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D2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59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CE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21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EDF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FA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AF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F0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32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97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06B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1D7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596.67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3D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2BC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61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7B1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BC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D5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4C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76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CF3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662.67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330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ACC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35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C3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4A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4BE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AE9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A3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851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742.67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A2D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C80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D84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F4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AA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2E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B4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2EC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F7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293.33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EA6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0AC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07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B5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83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34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3C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8CB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31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0F4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17E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A62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6E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48C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5C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DF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17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7E4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424.33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AB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6DD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B8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BF1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453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E3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03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5F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6C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476.67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8A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1DB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78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82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CC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C6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926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6E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79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49D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AB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D3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66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4CA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FA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85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D9A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610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782.67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A0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7D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3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ED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4A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A27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13C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15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D8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1,277.67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AB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678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97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0F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452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A1F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84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2A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FE3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1,925.00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BED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E2B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99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91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6E5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8A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C4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12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C2F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2,393.00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9A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EE0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9B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F4C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9A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7C5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62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F0C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60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3,460.00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A32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510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36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8D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516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1A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C0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7C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4E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4,149.33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A6A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1928D298">
      <w:pPr>
        <w:rPr>
          <w:rFonts w:hint="eastAsia" w:ascii="宋体" w:hAnsi="宋体" w:eastAsia="宋体" w:cs="宋体"/>
          <w:color w:val="auto"/>
          <w:highlight w:val="none"/>
          <w:lang w:val="en-US" w:eastAsia="zh-CN"/>
        </w:rPr>
      </w:pPr>
    </w:p>
    <w:p w14:paraId="4D64B72C">
      <w:pPr>
        <w:bidi w:val="0"/>
        <w:rPr>
          <w:rFonts w:hint="eastAsia" w:ascii="宋体" w:hAnsi="宋体" w:eastAsia="宋体" w:cs="宋体"/>
          <w:color w:val="auto"/>
          <w:highlight w:val="none"/>
          <w:lang w:val="en-US" w:eastAsia="zh-CN"/>
        </w:rPr>
      </w:pPr>
    </w:p>
    <w:p w14:paraId="0B11A18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B8C87C">
      <w:pPr>
        <w:pStyle w:val="3"/>
        <w:bidi w:val="0"/>
        <w:rPr>
          <w:rFonts w:hint="eastAsia" w:ascii="宋体" w:hAnsi="宋体" w:eastAsia="宋体" w:cs="宋体"/>
          <w:color w:val="auto"/>
          <w:highlight w:val="none"/>
        </w:rPr>
      </w:pPr>
      <w:bookmarkStart w:id="726" w:name="_Toc17105"/>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：廉洁协议书</w:t>
      </w:r>
      <w:bookmarkEnd w:id="726"/>
    </w:p>
    <w:p w14:paraId="77D0FF5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48A185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kern w:val="2"/>
          <w:sz w:val="21"/>
          <w:szCs w:val="21"/>
          <w:highlight w:val="none"/>
          <w:lang w:val="en-US" w:eastAsia="zh-CN" w:bidi="ar-SA"/>
        </w:rPr>
        <w:t>东莞市碧水信息科技有限公司2025年度球墨铸铁阀门采购项目</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val="en-US" w:eastAsia="zh-CN"/>
        </w:rPr>
        <w:t>YDZB25DGQY0149</w:t>
      </w:r>
      <w:r>
        <w:rPr>
          <w:rFonts w:hint="eastAsia" w:ascii="宋体" w:hAnsi="宋体" w:eastAsia="宋体" w:cs="宋体"/>
          <w:color w:val="auto"/>
          <w:sz w:val="21"/>
          <w:szCs w:val="21"/>
          <w:highlight w:val="none"/>
        </w:rPr>
        <w:t>）</w:t>
      </w:r>
    </w:p>
    <w:p w14:paraId="2D89DF8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224FB4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326988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及廉洁从业各项规定，特订立本协议。</w:t>
      </w:r>
    </w:p>
    <w:p w14:paraId="01D4A8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4BE7321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3CDABB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334564E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w:t>
      </w:r>
      <w:r>
        <w:rPr>
          <w:rFonts w:hint="eastAsia" w:ascii="宋体" w:hAnsi="宋体" w:eastAsia="宋体" w:cs="宋体"/>
          <w:color w:val="auto"/>
          <w:sz w:val="21"/>
          <w:szCs w:val="21"/>
          <w:highlight w:val="none"/>
          <w:lang w:eastAsia="zh-CN"/>
        </w:rPr>
        <w:t>规和</w:t>
      </w:r>
      <w:r>
        <w:rPr>
          <w:rFonts w:hint="eastAsia" w:ascii="宋体" w:hAnsi="宋体" w:eastAsia="宋体" w:cs="宋体"/>
          <w:color w:val="auto"/>
          <w:sz w:val="21"/>
          <w:szCs w:val="21"/>
          <w:highlight w:val="none"/>
        </w:rPr>
        <w:t>规章制度。</w:t>
      </w:r>
    </w:p>
    <w:p w14:paraId="18866D2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F7C638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0DF57D2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5F46A6A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2ABC852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1318EA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0332DE1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57E0DC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w:t>
      </w:r>
      <w:r>
        <w:rPr>
          <w:rFonts w:hint="eastAsia" w:ascii="宋体" w:hAnsi="宋体" w:eastAsia="宋体" w:cs="宋体"/>
          <w:color w:val="auto"/>
          <w:sz w:val="21"/>
          <w:szCs w:val="21"/>
          <w:highlight w:val="none"/>
          <w:lang w:eastAsia="zh-CN"/>
        </w:rPr>
        <w:t>从事</w:t>
      </w:r>
      <w:r>
        <w:rPr>
          <w:rFonts w:hint="eastAsia" w:ascii="宋体" w:hAnsi="宋体" w:eastAsia="宋体" w:cs="宋体"/>
          <w:color w:val="auto"/>
          <w:sz w:val="21"/>
          <w:szCs w:val="21"/>
          <w:highlight w:val="none"/>
        </w:rPr>
        <w:t>本项目涉及的经济业务活动。</w:t>
      </w:r>
    </w:p>
    <w:p w14:paraId="443EAAE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0DC09CD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68B2AC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4DCDAF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674DDD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12C61E4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284CA88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0713E97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45C9B7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0B2060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29A4AE4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793D440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00CB6F0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37BB20F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337954C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4B937F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7E02763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51B5C8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ascii="宋体" w:hAnsi="宋体" w:eastAsia="宋体"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384EFB4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(0769)23076092</w:t>
      </w:r>
    </w:p>
    <w:p w14:paraId="7B6453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w:t>
      </w:r>
      <w:r>
        <w:rPr>
          <w:rFonts w:hint="eastAsia" w:ascii="宋体" w:hAnsi="宋体" w:eastAsia="宋体" w:cs="宋体"/>
          <w:color w:val="auto"/>
          <w:sz w:val="21"/>
          <w:szCs w:val="21"/>
          <w:highlight w:val="none"/>
          <w:lang w:val="en-US" w:eastAsia="zh-CN"/>
        </w:rPr>
        <w:t>j</w:t>
      </w:r>
      <w:r>
        <w:rPr>
          <w:rFonts w:hint="eastAsia" w:ascii="宋体" w:hAnsi="宋体" w:eastAsia="宋体" w:cs="宋体"/>
          <w:color w:val="auto"/>
          <w:sz w:val="21"/>
          <w:szCs w:val="21"/>
          <w:highlight w:val="none"/>
        </w:rPr>
        <w:t>@dgsw</w:t>
      </w:r>
      <w:r>
        <w:rPr>
          <w:rFonts w:hint="eastAsia" w:ascii="宋体" w:hAnsi="宋体" w:eastAsia="宋体" w:cs="宋体"/>
          <w:color w:val="auto"/>
          <w:sz w:val="21"/>
          <w:szCs w:val="21"/>
          <w:highlight w:val="none"/>
          <w:lang w:val="en-US" w:eastAsia="zh-CN"/>
        </w:rPr>
        <w:t>j</w:t>
      </w:r>
      <w:r>
        <w:rPr>
          <w:rFonts w:hint="eastAsia" w:ascii="宋体" w:hAnsi="宋体" w:eastAsia="宋体" w:cs="宋体"/>
          <w:color w:val="auto"/>
          <w:sz w:val="21"/>
          <w:szCs w:val="21"/>
          <w:highlight w:val="none"/>
        </w:rPr>
        <w:t>t.cn.</w:t>
      </w:r>
    </w:p>
    <w:p w14:paraId="736474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广东省东莞市东城街道育华路1号</w:t>
      </w:r>
    </w:p>
    <w:p w14:paraId="327B9FF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2AE540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份，其中甲方执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份，每份均具有同等法律效力</w:t>
      </w:r>
      <w:r>
        <w:rPr>
          <w:rFonts w:hint="eastAsia" w:ascii="宋体" w:hAnsi="宋体" w:eastAsia="宋体" w:cs="宋体"/>
          <w:color w:val="auto"/>
          <w:szCs w:val="21"/>
          <w:highlight w:val="none"/>
          <w:lang w:eastAsia="zh-CN"/>
        </w:rPr>
        <w:t>。</w:t>
      </w:r>
    </w:p>
    <w:p w14:paraId="09C2709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9763D50">
      <w:pPr>
        <w:spacing w:line="360" w:lineRule="auto"/>
        <w:rPr>
          <w:rFonts w:hint="eastAsia" w:ascii="宋体" w:hAnsi="宋体" w:eastAsia="宋体" w:cs="宋体"/>
          <w:color w:val="auto"/>
          <w:sz w:val="21"/>
          <w:szCs w:val="21"/>
          <w:highlight w:val="none"/>
        </w:rPr>
      </w:pPr>
    </w:p>
    <w:p w14:paraId="446755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4525E87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5AFAFFED">
      <w:pPr>
        <w:spacing w:line="360" w:lineRule="auto"/>
        <w:rPr>
          <w:rFonts w:hint="eastAsia" w:ascii="宋体" w:hAnsi="宋体" w:eastAsia="宋体" w:cs="宋体"/>
          <w:color w:val="auto"/>
          <w:sz w:val="21"/>
          <w:szCs w:val="21"/>
          <w:highlight w:val="none"/>
        </w:rPr>
      </w:pPr>
    </w:p>
    <w:p w14:paraId="10E41C1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p w14:paraId="1D78F482">
      <w:pPr>
        <w:rPr>
          <w:rFonts w:hint="eastAsia" w:ascii="宋体" w:hAnsi="宋体" w:eastAsia="宋体" w:cs="宋体"/>
          <w:color w:val="auto"/>
          <w:highlight w:val="none"/>
        </w:rPr>
      </w:pPr>
      <w:bookmarkStart w:id="727" w:name="_Toc172552210"/>
      <w:bookmarkStart w:id="728" w:name="_Toc176627927"/>
      <w:bookmarkStart w:id="729" w:name="_Toc8476"/>
      <w:bookmarkStart w:id="730" w:name="_Toc1885"/>
      <w:bookmarkStart w:id="731" w:name="_Toc178076606"/>
      <w:bookmarkStart w:id="732" w:name="_Toc13034"/>
      <w:bookmarkStart w:id="733" w:name="_Toc31598"/>
      <w:bookmarkStart w:id="734" w:name="_Toc3583"/>
      <w:bookmarkStart w:id="735" w:name="_Toc18025"/>
      <w:r>
        <w:rPr>
          <w:rFonts w:hint="eastAsia" w:ascii="宋体" w:hAnsi="宋体" w:eastAsia="宋体" w:cs="宋体"/>
          <w:color w:val="auto"/>
          <w:highlight w:val="none"/>
        </w:rPr>
        <w:br w:type="page"/>
      </w:r>
    </w:p>
    <w:p w14:paraId="03028F01">
      <w:pPr>
        <w:pStyle w:val="2"/>
        <w:rPr>
          <w:rFonts w:hint="eastAsia" w:ascii="宋体" w:hAnsi="宋体" w:eastAsia="宋体" w:cs="宋体"/>
          <w:color w:val="auto"/>
          <w:highlight w:val="none"/>
        </w:rPr>
      </w:pPr>
      <w:bookmarkStart w:id="736" w:name="_Toc14108"/>
      <w:bookmarkStart w:id="737" w:name="_Toc22724"/>
      <w:r>
        <w:rPr>
          <w:rFonts w:hint="eastAsia" w:ascii="宋体" w:hAnsi="宋体" w:eastAsia="宋体" w:cs="宋体"/>
          <w:color w:val="auto"/>
          <w:highlight w:val="none"/>
        </w:rPr>
        <w:t>第五篇 相关保函格式</w:t>
      </w:r>
      <w:bookmarkEnd w:id="727"/>
      <w:bookmarkEnd w:id="728"/>
      <w:bookmarkEnd w:id="729"/>
      <w:bookmarkEnd w:id="730"/>
      <w:bookmarkEnd w:id="731"/>
      <w:bookmarkEnd w:id="732"/>
      <w:bookmarkEnd w:id="733"/>
      <w:bookmarkEnd w:id="734"/>
      <w:bookmarkEnd w:id="735"/>
      <w:bookmarkEnd w:id="736"/>
      <w:bookmarkEnd w:id="737"/>
    </w:p>
    <w:p w14:paraId="7DDA7CD8">
      <w:pP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一、不可撤销银行履约保函格式</w:t>
      </w:r>
    </w:p>
    <w:p w14:paraId="54B7DC80">
      <w:pPr>
        <w:jc w:val="center"/>
        <w:rPr>
          <w:rFonts w:hint="eastAsia" w:ascii="宋体" w:hAnsi="宋体" w:eastAsia="宋体" w:cs="宋体"/>
          <w:color w:val="auto"/>
          <w:highlight w:val="none"/>
        </w:rPr>
      </w:pPr>
      <w:r>
        <w:rPr>
          <w:rFonts w:hint="eastAsia" w:ascii="宋体" w:hAnsi="宋体" w:eastAsia="宋体" w:cs="宋体"/>
          <w:b/>
          <w:color w:val="auto"/>
          <w:kern w:val="0"/>
          <w:sz w:val="30"/>
          <w:szCs w:val="30"/>
          <w:highlight w:val="none"/>
          <w:lang w:bidi="ar"/>
        </w:rPr>
        <w:t>不可撤销银行履约保函</w:t>
      </w:r>
    </w:p>
    <w:p w14:paraId="623F75A9">
      <w:pPr>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银行编号：</w:t>
      </w:r>
    </w:p>
    <w:p w14:paraId="4726ED2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（下称“受益人”）</w:t>
      </w:r>
    </w:p>
    <w:p w14:paraId="6B64421A">
      <w:pPr>
        <w:widowControl/>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color w:val="auto"/>
          <w:kern w:val="0"/>
          <w:szCs w:val="21"/>
          <w:highlight w:val="none"/>
          <w:u w:val="single"/>
          <w:lang w:bidi="ar"/>
        </w:rPr>
        <w:t xml:space="preserve">  （申请人的名称与地址）  </w:t>
      </w:r>
      <w:r>
        <w:rPr>
          <w:rFonts w:hint="eastAsia" w:ascii="宋体" w:hAnsi="宋体" w:eastAsia="宋体" w:cs="宋体"/>
          <w:color w:val="auto"/>
          <w:kern w:val="0"/>
          <w:szCs w:val="21"/>
          <w:highlight w:val="none"/>
          <w:lang w:bidi="ar"/>
        </w:rPr>
        <w:t>（下称“申请人”），已保证按拟签订的</w:t>
      </w:r>
      <w:r>
        <w:rPr>
          <w:rFonts w:hint="eastAsia" w:ascii="宋体" w:hAnsi="宋体" w:eastAsia="宋体" w:cs="宋体"/>
          <w:color w:val="auto"/>
          <w:kern w:val="0"/>
          <w:szCs w:val="21"/>
          <w:highlight w:val="none"/>
          <w:u w:val="single"/>
          <w:lang w:bidi="ar"/>
        </w:rPr>
        <w:t xml:space="preserve">          项目</w:t>
      </w:r>
      <w:r>
        <w:rPr>
          <w:rFonts w:hint="eastAsia" w:ascii="宋体" w:hAnsi="宋体" w:eastAsia="宋体" w:cs="宋体"/>
          <w:color w:val="auto"/>
          <w:kern w:val="0"/>
          <w:szCs w:val="21"/>
          <w:highlight w:val="none"/>
          <w:lang w:bidi="ar"/>
        </w:rPr>
        <w:t>（招标编号：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）合同（招标文件）中规定的义务履行合同。</w:t>
      </w:r>
    </w:p>
    <w:p w14:paraId="0B91453F">
      <w:pPr>
        <w:widowControl/>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根据上述合同（招标文件）规定，申请人应向受益人提供一份金额为人民币（大写）</w:t>
      </w:r>
      <w:r>
        <w:rPr>
          <w:rFonts w:hint="eastAsia" w:ascii="宋体" w:hAnsi="宋体" w:eastAsia="宋体" w:cs="宋体"/>
          <w:color w:val="auto"/>
          <w:kern w:val="0"/>
          <w:szCs w:val="21"/>
          <w:highlight w:val="none"/>
          <w:u w:val="single"/>
          <w:lang w:bidi="ar"/>
        </w:rPr>
        <w:t xml:space="preserve">      （RMB元）</w:t>
      </w:r>
      <w:r>
        <w:rPr>
          <w:rFonts w:hint="eastAsia" w:ascii="宋体" w:hAnsi="宋体" w:eastAsia="宋体" w:cs="宋体"/>
          <w:color w:val="auto"/>
          <w:kern w:val="0"/>
          <w:szCs w:val="21"/>
          <w:highlight w:val="none"/>
          <w:lang w:bidi="ar"/>
        </w:rPr>
        <w:t>的无条件、不可撤销银行履约保函，作为申请人履行上述合同的担保。</w:t>
      </w:r>
    </w:p>
    <w:p w14:paraId="2073EE7E">
      <w:pPr>
        <w:widowControl/>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（银行名称）</w:t>
      </w:r>
      <w:r>
        <w:rPr>
          <w:rFonts w:hint="eastAsia" w:ascii="宋体" w:hAnsi="宋体" w:eastAsia="宋体" w:cs="宋体"/>
          <w:color w:val="auto"/>
          <w:kern w:val="0"/>
          <w:szCs w:val="21"/>
          <w:highlight w:val="none"/>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56CAA2F">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在向我行提出要求前，我行将不坚持要求受益人首先向申请人提出上述款项的索赔。</w:t>
      </w:r>
    </w:p>
    <w:p w14:paraId="0B05E106">
      <w:pPr>
        <w:widowControl/>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7B9907A4">
      <w:pPr>
        <w:widowControl/>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35DB326C">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EF07D06">
      <w:pPr>
        <w:widowControl/>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担 保 银 行：</w:t>
      </w:r>
      <w:r>
        <w:rPr>
          <w:rFonts w:hint="eastAsia" w:ascii="宋体" w:hAnsi="宋体" w:eastAsia="宋体" w:cs="宋体"/>
          <w:color w:val="auto"/>
          <w:kern w:val="0"/>
          <w:szCs w:val="21"/>
          <w:highlight w:val="none"/>
          <w:u w:val="single"/>
          <w:lang w:bidi="ar"/>
        </w:rPr>
        <w:t xml:space="preserve">          银行全称          (盖章)   </w:t>
      </w:r>
    </w:p>
    <w:p w14:paraId="35E057EC">
      <w:pPr>
        <w:widowControl/>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法定代表人或其授权的代表人：</w:t>
      </w:r>
      <w:r>
        <w:rPr>
          <w:rFonts w:hint="eastAsia" w:ascii="宋体" w:hAnsi="宋体" w:eastAsia="宋体" w:cs="宋体"/>
          <w:color w:val="auto"/>
          <w:kern w:val="0"/>
          <w:szCs w:val="21"/>
          <w:highlight w:val="none"/>
          <w:u w:val="single"/>
          <w:lang w:bidi="ar"/>
        </w:rPr>
        <w:t xml:space="preserve">       (职务)         </w:t>
      </w:r>
    </w:p>
    <w:p w14:paraId="0CA1357C">
      <w:pPr>
        <w:widowControl/>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bidi="ar"/>
        </w:rPr>
        <w:t xml:space="preserve">       (姓名)         </w:t>
      </w:r>
    </w:p>
    <w:p w14:paraId="3B261A76">
      <w:pPr>
        <w:widowControl/>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bidi="ar"/>
        </w:rPr>
        <w:t xml:space="preserve">       (签章)         </w:t>
      </w:r>
    </w:p>
    <w:p w14:paraId="736A22C7">
      <w:pPr>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0B4F0B2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1D3DA82C">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25A53B0">
      <w:pP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二、履约保证保险凭证格式</w:t>
      </w:r>
    </w:p>
    <w:p w14:paraId="228689B2">
      <w:pPr>
        <w:jc w:val="center"/>
        <w:rPr>
          <w:rFonts w:hint="eastAsia" w:ascii="宋体" w:hAnsi="宋体" w:eastAsia="宋体" w:cs="宋体"/>
          <w:color w:val="auto"/>
          <w:kern w:val="0"/>
          <w:szCs w:val="21"/>
          <w:highlight w:val="none"/>
        </w:rPr>
      </w:pPr>
      <w:r>
        <w:rPr>
          <w:rFonts w:hint="eastAsia" w:ascii="宋体" w:hAnsi="宋体" w:eastAsia="宋体" w:cs="宋体"/>
          <w:b/>
          <w:color w:val="auto"/>
          <w:kern w:val="0"/>
          <w:sz w:val="30"/>
          <w:szCs w:val="30"/>
          <w:highlight w:val="none"/>
          <w:lang w:bidi="ar"/>
        </w:rPr>
        <w:t>履约保证保险凭证</w:t>
      </w:r>
      <w:r>
        <w:rPr>
          <w:rFonts w:hint="eastAsia" w:ascii="宋体" w:hAnsi="宋体" w:eastAsia="宋体" w:cs="宋体"/>
          <w:color w:val="auto"/>
          <w:kern w:val="0"/>
          <w:szCs w:val="21"/>
          <w:highlight w:val="none"/>
          <w:lang w:bidi="ar"/>
        </w:rPr>
        <w:t xml:space="preserve">                      </w:t>
      </w:r>
    </w:p>
    <w:p w14:paraId="064B182A">
      <w:pPr>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编号：</w:t>
      </w:r>
    </w:p>
    <w:p w14:paraId="1E53936D">
      <w:pPr>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（下称“受益人”）： </w:t>
      </w:r>
    </w:p>
    <w:p w14:paraId="14312B4E">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（下称“申请人”）已与贵方签订了</w:t>
      </w:r>
      <w:r>
        <w:rPr>
          <w:rFonts w:hint="eastAsia" w:ascii="宋体" w:hAnsi="宋体" w:eastAsia="宋体" w:cs="宋体"/>
          <w:color w:val="auto"/>
          <w:kern w:val="0"/>
          <w:szCs w:val="21"/>
          <w:highlight w:val="none"/>
          <w:u w:val="single"/>
          <w:lang w:bidi="ar"/>
        </w:rPr>
        <w:t xml:space="preserve">          项目</w:t>
      </w:r>
      <w:r>
        <w:rPr>
          <w:rFonts w:hint="eastAsia" w:ascii="宋体" w:hAnsi="宋体" w:eastAsia="宋体" w:cs="宋体"/>
          <w:color w:val="auto"/>
          <w:kern w:val="0"/>
          <w:szCs w:val="21"/>
          <w:highlight w:val="none"/>
          <w:lang w:bidi="ar"/>
        </w:rPr>
        <w:t>（招标编号：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）合同。我方已接受申请人的请求，并出具《履约保证保险》保险单。 </w:t>
      </w:r>
    </w:p>
    <w:p w14:paraId="4A8E113E">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一、保证保险金额 </w:t>
      </w:r>
    </w:p>
    <w:p w14:paraId="042DA03F">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我方承担的履约保证保险的保险金额（最高限额）为人民币（大写）</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 （¥</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 </w:t>
      </w:r>
    </w:p>
    <w:p w14:paraId="50ED5E13">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二、保证保险的责任范围 </w:t>
      </w:r>
    </w:p>
    <w:p w14:paraId="44654BB5">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在保险期间内，申请人因自身原因未按照与贵方签订的</w:t>
      </w:r>
      <w:r>
        <w:rPr>
          <w:rFonts w:hint="eastAsia" w:ascii="宋体" w:hAnsi="宋体" w:eastAsia="宋体" w:cs="宋体"/>
          <w:color w:val="auto"/>
          <w:kern w:val="0"/>
          <w:szCs w:val="21"/>
          <w:highlight w:val="none"/>
          <w:u w:val="single"/>
          <w:lang w:bidi="ar"/>
        </w:rPr>
        <w:t xml:space="preserve">          项目</w:t>
      </w:r>
      <w:r>
        <w:rPr>
          <w:rFonts w:hint="eastAsia" w:ascii="宋体" w:hAnsi="宋体" w:eastAsia="宋体" w:cs="宋体"/>
          <w:color w:val="auto"/>
          <w:kern w:val="0"/>
          <w:szCs w:val="21"/>
          <w:highlight w:val="none"/>
          <w:lang w:bidi="ar"/>
        </w:rPr>
        <w:t>（招标编号：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）合同履行相关义务，给贵方造成损失的，贵方可向我方提出索赔，我方按照保险合同的约定承担损失赔偿责任。 </w:t>
      </w:r>
    </w:p>
    <w:p w14:paraId="134A8BC0">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三、代偿的安排 </w:t>
      </w:r>
    </w:p>
    <w:p w14:paraId="75FBDAED">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770B310">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四、生效时间 </w:t>
      </w:r>
    </w:p>
    <w:p w14:paraId="18123E53">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本保险凭证自我方法定代表人（或其授权代理人）签字并加盖保险承保章之日起生效。 </w:t>
      </w:r>
    </w:p>
    <w:p w14:paraId="2111027A">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五、其他</w:t>
      </w:r>
    </w:p>
    <w:p w14:paraId="1D6C4908">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本履约保证保险应从合同签订之日起至合同期限届满并全部供货经验收合格及履行完毕相关服务义务且结算完毕之后二十八（28）日内保持有效。</w:t>
      </w:r>
    </w:p>
    <w:p w14:paraId="50A196CA">
      <w:pPr>
        <w:rPr>
          <w:rFonts w:hint="eastAsia" w:ascii="宋体" w:hAnsi="宋体" w:eastAsia="宋体" w:cs="宋体"/>
          <w:color w:val="auto"/>
          <w:highlight w:val="none"/>
        </w:rPr>
      </w:pPr>
    </w:p>
    <w:p w14:paraId="74535A9A">
      <w:pPr>
        <w:ind w:firstLine="43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附：《XXX 保险有限公司履约保证保险（X 款）条款》及保单</w:t>
      </w:r>
    </w:p>
    <w:p w14:paraId="56C665C7">
      <w:pPr>
        <w:ind w:firstLine="437"/>
        <w:jc w:val="left"/>
        <w:rPr>
          <w:rFonts w:hint="eastAsia" w:ascii="宋体" w:hAnsi="宋体" w:eastAsia="宋体" w:cs="宋体"/>
          <w:color w:val="auto"/>
          <w:kern w:val="0"/>
          <w:szCs w:val="21"/>
          <w:highlight w:val="none"/>
          <w:lang w:bidi="ar"/>
        </w:rPr>
      </w:pPr>
    </w:p>
    <w:p w14:paraId="2FBBCEC5">
      <w:pPr>
        <w:ind w:left="4620" w:leftChars="220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保险人：（盖章）</w:t>
      </w:r>
    </w:p>
    <w:p w14:paraId="2B89BAFC">
      <w:pPr>
        <w:ind w:left="4620" w:leftChars="220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法定代表人或授权代理人：________</w:t>
      </w:r>
    </w:p>
    <w:p w14:paraId="2D731849">
      <w:pPr>
        <w:ind w:left="4620" w:leftChars="2200" w:firstLine="420" w:firstLineChars="200"/>
        <w:jc w:val="right"/>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lang w:bidi="ar"/>
        </w:rPr>
        <w:t>年   月   日</w:t>
      </w:r>
      <w:r>
        <w:rPr>
          <w:rFonts w:hint="eastAsia" w:ascii="宋体" w:hAnsi="宋体" w:eastAsia="宋体" w:cs="宋体"/>
          <w:b/>
          <w:color w:val="auto"/>
          <w:kern w:val="0"/>
          <w:sz w:val="28"/>
          <w:szCs w:val="28"/>
          <w:highlight w:val="none"/>
          <w:lang w:bidi="ar"/>
        </w:rPr>
        <w:br w:type="page"/>
      </w:r>
    </w:p>
    <w:p w14:paraId="01351CB9">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三、担保公司履约担保书格式</w:t>
      </w:r>
    </w:p>
    <w:p w14:paraId="30168375">
      <w:pPr>
        <w:rPr>
          <w:rFonts w:hint="eastAsia" w:ascii="宋体" w:hAnsi="宋体" w:eastAsia="宋体" w:cs="宋体"/>
          <w:color w:val="auto"/>
          <w:highlight w:val="none"/>
        </w:rPr>
      </w:pPr>
    </w:p>
    <w:p w14:paraId="390C36BC">
      <w:pPr>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bidi="ar"/>
        </w:rPr>
        <w:t>担保公司履约担保书</w:t>
      </w:r>
    </w:p>
    <w:p w14:paraId="4BF00055">
      <w:pPr>
        <w:widowControl/>
        <w:spacing w:beforeAutospacing="1" w:afterAutospac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（下称“受益人”）</w:t>
      </w:r>
    </w:p>
    <w:p w14:paraId="25B7D108">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color w:val="auto"/>
          <w:kern w:val="0"/>
          <w:szCs w:val="21"/>
          <w:highlight w:val="none"/>
          <w:u w:val="single"/>
          <w:lang w:bidi="ar"/>
        </w:rPr>
        <w:t xml:space="preserve">  （申请人的名称与地址）  </w:t>
      </w:r>
      <w:r>
        <w:rPr>
          <w:rFonts w:hint="eastAsia" w:ascii="宋体" w:hAnsi="宋体" w:eastAsia="宋体" w:cs="宋体"/>
          <w:color w:val="auto"/>
          <w:kern w:val="0"/>
          <w:szCs w:val="21"/>
          <w:highlight w:val="none"/>
          <w:lang w:bidi="ar"/>
        </w:rPr>
        <w:t>（下称“申请人”），已保证按拟签订的</w:t>
      </w:r>
      <w:r>
        <w:rPr>
          <w:rFonts w:hint="eastAsia" w:ascii="宋体" w:hAnsi="宋体" w:eastAsia="宋体" w:cs="宋体"/>
          <w:color w:val="auto"/>
          <w:kern w:val="0"/>
          <w:szCs w:val="21"/>
          <w:highlight w:val="none"/>
          <w:u w:val="single"/>
          <w:lang w:bidi="ar"/>
        </w:rPr>
        <w:t xml:space="preserve">          项目</w:t>
      </w:r>
      <w:r>
        <w:rPr>
          <w:rFonts w:hint="eastAsia" w:ascii="宋体" w:hAnsi="宋体" w:eastAsia="宋体" w:cs="宋体"/>
          <w:color w:val="auto"/>
          <w:kern w:val="0"/>
          <w:szCs w:val="21"/>
          <w:highlight w:val="none"/>
          <w:lang w:bidi="ar"/>
        </w:rPr>
        <w:t>（招标编号：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）合同（招标文件）中规定的义务履行合同。</w:t>
      </w:r>
    </w:p>
    <w:p w14:paraId="514FF6AB">
      <w:pPr>
        <w:widowControl/>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根据上述合同（招标文件）规定，申请人应向受益人提供一份金额为人民币（大写）</w:t>
      </w:r>
      <w:r>
        <w:rPr>
          <w:rFonts w:hint="eastAsia" w:ascii="宋体" w:hAnsi="宋体" w:eastAsia="宋体" w:cs="宋体"/>
          <w:color w:val="auto"/>
          <w:kern w:val="0"/>
          <w:szCs w:val="21"/>
          <w:highlight w:val="none"/>
          <w:u w:val="single"/>
          <w:lang w:bidi="ar"/>
        </w:rPr>
        <w:t xml:space="preserve">     （RMB元）</w:t>
      </w:r>
      <w:r>
        <w:rPr>
          <w:rFonts w:hint="eastAsia" w:ascii="宋体" w:hAnsi="宋体" w:eastAsia="宋体" w:cs="宋体"/>
          <w:color w:val="auto"/>
          <w:kern w:val="0"/>
          <w:szCs w:val="21"/>
          <w:highlight w:val="none"/>
          <w:lang w:bidi="ar"/>
        </w:rPr>
        <w:t>的无条件、</w:t>
      </w:r>
      <w:r>
        <w:rPr>
          <w:rFonts w:hint="eastAsia" w:ascii="宋体" w:hAnsi="宋体" w:eastAsia="宋体" w:cs="宋体"/>
          <w:bCs/>
          <w:color w:val="auto"/>
          <w:kern w:val="0"/>
          <w:szCs w:val="21"/>
          <w:highlight w:val="none"/>
          <w:lang w:bidi="ar"/>
        </w:rPr>
        <w:t>不可撤销</w:t>
      </w:r>
      <w:r>
        <w:rPr>
          <w:rFonts w:hint="eastAsia" w:ascii="宋体" w:hAnsi="宋体" w:eastAsia="宋体" w:cs="宋体"/>
          <w:color w:val="auto"/>
          <w:kern w:val="0"/>
          <w:szCs w:val="21"/>
          <w:highlight w:val="none"/>
          <w:lang w:bidi="ar"/>
        </w:rPr>
        <w:t>履约担保，作为申请人履行上述合同的担保，我方</w:t>
      </w:r>
      <w:r>
        <w:rPr>
          <w:rFonts w:hint="eastAsia" w:ascii="宋体" w:hAnsi="宋体" w:eastAsia="宋体" w:cs="宋体"/>
          <w:color w:val="auto"/>
          <w:kern w:val="0"/>
          <w:szCs w:val="21"/>
          <w:highlight w:val="none"/>
          <w:u w:val="single"/>
          <w:lang w:bidi="ar"/>
        </w:rPr>
        <w:t xml:space="preserve">  （担保公司名称）  </w:t>
      </w:r>
      <w:r>
        <w:rPr>
          <w:rFonts w:hint="eastAsia" w:ascii="宋体" w:hAnsi="宋体" w:eastAsia="宋体" w:cs="宋体"/>
          <w:color w:val="auto"/>
          <w:kern w:val="0"/>
          <w:szCs w:val="21"/>
          <w:highlight w:val="none"/>
          <w:lang w:bidi="ar"/>
        </w:rPr>
        <w:t>在本合同项下的保证责任为连带责任保证。</w:t>
      </w:r>
    </w:p>
    <w:p w14:paraId="1FEC06DF">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（担保公司名称）  </w:t>
      </w:r>
      <w:r>
        <w:rPr>
          <w:rFonts w:hint="eastAsia" w:ascii="宋体" w:hAnsi="宋体" w:eastAsia="宋体" w:cs="宋体"/>
          <w:color w:val="auto"/>
          <w:kern w:val="0"/>
          <w:szCs w:val="21"/>
          <w:highlight w:val="none"/>
          <w:lang w:bidi="ar"/>
        </w:rPr>
        <w:t>，受申请人的委托，无条件和不可撤销地在受益人出具本担保书原件且提出因申请人没有履行上述合同规定，在担保书限额内向受益人支付不超过人民币（大写）_________（¥_______元）的款项。</w:t>
      </w:r>
    </w:p>
    <w:p w14:paraId="6155AFF2">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我方还同意，任何受益人与申请人之间可能对合同条款的修改、规范或其他合同文件的变动补充，都不能免除我方按本担保函所承担的责任。因此，有关上述变动、补充和修改无须通知或征得我方同意。</w:t>
      </w:r>
    </w:p>
    <w:p w14:paraId="52857FC5">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0072A5C0">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1AF0302">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法定代表人或其授权的代理人：（签字或盖私章）</w:t>
      </w:r>
    </w:p>
    <w:p w14:paraId="58C66B55">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担保公司盖章：</w:t>
      </w:r>
    </w:p>
    <w:p w14:paraId="630A180D">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联系电话：</w:t>
      </w:r>
    </w:p>
    <w:p w14:paraId="2858E38E">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地址：</w:t>
      </w:r>
    </w:p>
    <w:p w14:paraId="64F8C905">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日期：    年   月   日</w:t>
      </w:r>
    </w:p>
    <w:p w14:paraId="54FBFB03">
      <w:pPr>
        <w:widowControl/>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bookmarkEnd w:id="690"/>
    <w:bookmarkEnd w:id="691"/>
    <w:bookmarkEnd w:id="692"/>
    <w:bookmarkEnd w:id="693"/>
    <w:bookmarkEnd w:id="694"/>
    <w:p w14:paraId="598F63BC">
      <w:pPr>
        <w:ind w:firstLine="422" w:firstLineChars="200"/>
        <w:rPr>
          <w:rFonts w:hint="eastAsia" w:ascii="宋体" w:hAnsi="宋体" w:eastAsia="宋体" w:cs="宋体"/>
          <w:b/>
          <w:color w:val="auto"/>
          <w:szCs w:val="21"/>
          <w:highlight w:val="none"/>
        </w:rPr>
      </w:pPr>
      <w:bookmarkStart w:id="738" w:name="_Toc12794"/>
      <w:bookmarkStart w:id="739" w:name="_Toc32761_WPSOffice_Level1"/>
      <w:bookmarkStart w:id="740" w:name="_Toc142508361"/>
      <w:bookmarkStart w:id="741" w:name="_Toc450662895"/>
      <w:bookmarkStart w:id="742" w:name="_Toc486167708"/>
    </w:p>
    <w:p w14:paraId="5FDC57BE">
      <w:pPr>
        <w:ind w:firstLine="420" w:firstLineChars="200"/>
        <w:rPr>
          <w:rFonts w:hint="eastAsia" w:ascii="宋体" w:hAnsi="宋体" w:eastAsia="宋体" w:cs="宋体"/>
          <w:color w:val="auto"/>
          <w:szCs w:val="21"/>
          <w:highlight w:val="none"/>
        </w:rPr>
      </w:pPr>
    </w:p>
    <w:p w14:paraId="2E8C20DD">
      <w:pPr>
        <w:rPr>
          <w:rFonts w:hint="eastAsia" w:ascii="宋体" w:hAnsi="宋体" w:eastAsia="宋体" w:cs="宋体"/>
          <w:color w:val="auto"/>
          <w:highlight w:val="none"/>
          <w:lang w:val="zh-CN"/>
        </w:rPr>
      </w:pPr>
      <w:bookmarkStart w:id="743" w:name="_Toc176627928"/>
      <w:bookmarkStart w:id="744" w:name="_Toc31602"/>
      <w:bookmarkStart w:id="745" w:name="_Toc172552211"/>
      <w:bookmarkStart w:id="746" w:name="_Toc24024"/>
      <w:bookmarkStart w:id="747" w:name="_Toc7082"/>
      <w:bookmarkStart w:id="748" w:name="_Toc30921"/>
      <w:bookmarkStart w:id="749" w:name="_Toc178076607"/>
      <w:bookmarkStart w:id="750" w:name="_Toc17424"/>
      <w:bookmarkStart w:id="751" w:name="_Toc16735"/>
      <w:r>
        <w:rPr>
          <w:rFonts w:hint="eastAsia" w:ascii="宋体" w:hAnsi="宋体" w:eastAsia="宋体" w:cs="宋体"/>
          <w:color w:val="auto"/>
          <w:highlight w:val="none"/>
          <w:lang w:val="zh-CN"/>
        </w:rPr>
        <w:br w:type="page"/>
      </w:r>
    </w:p>
    <w:p w14:paraId="22FA05EA">
      <w:pPr>
        <w:pStyle w:val="2"/>
        <w:rPr>
          <w:rFonts w:hint="eastAsia" w:ascii="宋体" w:hAnsi="宋体" w:eastAsia="宋体" w:cs="宋体"/>
          <w:color w:val="auto"/>
          <w:highlight w:val="none"/>
        </w:rPr>
      </w:pPr>
      <w:bookmarkStart w:id="752" w:name="_Toc26611"/>
      <w:bookmarkStart w:id="753" w:name="_Toc19670"/>
      <w:r>
        <w:rPr>
          <w:rFonts w:hint="eastAsia" w:ascii="宋体" w:hAnsi="宋体" w:eastAsia="宋体" w:cs="宋体"/>
          <w:color w:val="auto"/>
          <w:highlight w:val="none"/>
          <w:lang w:val="zh-CN"/>
        </w:rPr>
        <w:t>第六篇 投标文件格式</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5D4EFE07">
      <w:pPr>
        <w:rPr>
          <w:rFonts w:hint="eastAsia" w:ascii="宋体" w:hAnsi="宋体" w:eastAsia="宋体" w:cs="宋体"/>
          <w:color w:val="auto"/>
          <w:highlight w:val="none"/>
        </w:rPr>
      </w:pPr>
      <w:bookmarkStart w:id="754" w:name="_Toc142508362"/>
      <w:bookmarkStart w:id="755" w:name="_Toc94107202"/>
      <w:bookmarkStart w:id="756" w:name="_Toc533708121"/>
      <w:bookmarkStart w:id="757" w:name="_Toc21133_WPSOffice_Level2"/>
      <w:bookmarkStart w:id="758" w:name="_Toc104991868"/>
      <w:bookmarkStart w:id="759" w:name="_Toc140596921"/>
      <w:bookmarkStart w:id="760" w:name="_Toc486167709"/>
      <w:bookmarkStart w:id="761" w:name="_Toc102860067"/>
      <w:bookmarkStart w:id="762" w:name="_Toc1977721"/>
      <w:bookmarkStart w:id="763" w:name="_Toc102860411"/>
    </w:p>
    <w:p w14:paraId="59567CEF">
      <w:pPr>
        <w:rPr>
          <w:rFonts w:hint="eastAsia" w:ascii="宋体" w:hAnsi="宋体" w:eastAsia="宋体" w:cs="宋体"/>
          <w:color w:val="auto"/>
          <w:highlight w:val="none"/>
        </w:rPr>
      </w:pPr>
    </w:p>
    <w:p w14:paraId="07BAD5BE">
      <w:pPr>
        <w:rPr>
          <w:rFonts w:hint="eastAsia" w:ascii="宋体" w:hAnsi="宋体" w:eastAsia="宋体" w:cs="宋体"/>
          <w:color w:val="auto"/>
          <w:highlight w:val="none"/>
        </w:rPr>
      </w:pPr>
    </w:p>
    <w:p w14:paraId="1C19682D">
      <w:pPr>
        <w:rPr>
          <w:rFonts w:hint="eastAsia" w:ascii="宋体" w:hAnsi="宋体" w:eastAsia="宋体" w:cs="宋体"/>
          <w:color w:val="auto"/>
          <w:highlight w:val="none"/>
        </w:rPr>
      </w:pPr>
    </w:p>
    <w:p w14:paraId="0E55167D">
      <w:pPr>
        <w:rPr>
          <w:rFonts w:hint="eastAsia" w:ascii="宋体" w:hAnsi="宋体" w:eastAsia="宋体" w:cs="宋体"/>
          <w:color w:val="auto"/>
          <w:highlight w:val="none"/>
        </w:rPr>
      </w:pPr>
    </w:p>
    <w:p w14:paraId="2DE66D62">
      <w:pPr>
        <w:rPr>
          <w:rFonts w:hint="eastAsia" w:ascii="宋体" w:hAnsi="宋体" w:eastAsia="宋体" w:cs="宋体"/>
          <w:color w:val="auto"/>
          <w:highlight w:val="none"/>
        </w:rPr>
      </w:pPr>
    </w:p>
    <w:p w14:paraId="0DDAC5FC">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投 标 文 件</w:t>
      </w:r>
    </w:p>
    <w:p w14:paraId="4FA18311">
      <w:pPr>
        <w:rPr>
          <w:rFonts w:hint="eastAsia" w:ascii="宋体" w:hAnsi="宋体" w:eastAsia="宋体" w:cs="宋体"/>
          <w:color w:val="auto"/>
          <w:highlight w:val="none"/>
        </w:rPr>
      </w:pPr>
    </w:p>
    <w:p w14:paraId="5540238E">
      <w:pPr>
        <w:rPr>
          <w:rFonts w:hint="eastAsia" w:ascii="宋体" w:hAnsi="宋体" w:eastAsia="宋体" w:cs="宋体"/>
          <w:color w:val="auto"/>
          <w:highlight w:val="none"/>
        </w:rPr>
      </w:pPr>
    </w:p>
    <w:p w14:paraId="58675C3A">
      <w:pPr>
        <w:rPr>
          <w:rFonts w:hint="eastAsia" w:ascii="宋体" w:hAnsi="宋体" w:eastAsia="宋体" w:cs="宋体"/>
          <w:color w:val="auto"/>
          <w:highlight w:val="none"/>
        </w:rPr>
      </w:pPr>
    </w:p>
    <w:p w14:paraId="50272D9B">
      <w:pPr>
        <w:rPr>
          <w:rFonts w:hint="eastAsia" w:ascii="宋体" w:hAnsi="宋体" w:eastAsia="宋体" w:cs="宋体"/>
          <w:color w:val="auto"/>
          <w:highlight w:val="none"/>
        </w:rPr>
      </w:pPr>
    </w:p>
    <w:p w14:paraId="53B900CC">
      <w:pPr>
        <w:ind w:left="2520" w:leftChars="1200"/>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0836A66C">
      <w:pPr>
        <w:ind w:left="2520" w:leftChars="1200"/>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color w:val="auto"/>
          <w:sz w:val="30"/>
          <w:szCs w:val="20"/>
          <w:highlight w:val="none"/>
          <w:u w:val="single"/>
        </w:rPr>
        <w:t xml:space="preserve">                      </w:t>
      </w:r>
    </w:p>
    <w:p w14:paraId="5B3D363A">
      <w:pPr>
        <w:ind w:left="2520" w:leftChars="1200"/>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投标文件商务部分 </w:t>
      </w:r>
    </w:p>
    <w:p w14:paraId="3855D8E0">
      <w:pPr>
        <w:ind w:left="2520" w:leftChars="1200"/>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4DEBE77C">
      <w:pPr>
        <w:ind w:left="2520" w:leftChars="1200"/>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16CD2B37">
      <w:pPr>
        <w:ind w:left="2520" w:leftChars="1200"/>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5E71281E">
      <w:pP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14:paraId="75CB497F">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投标文件商务评审部分索引表</w:t>
      </w:r>
    </w:p>
    <w:tbl>
      <w:tblPr>
        <w:tblStyle w:val="20"/>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65B877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46B402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83" w:type="pct"/>
            <w:vAlign w:val="center"/>
          </w:tcPr>
          <w:p w14:paraId="323F6D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评标项目</w:t>
            </w:r>
          </w:p>
        </w:tc>
        <w:tc>
          <w:tcPr>
            <w:tcW w:w="1516" w:type="pct"/>
            <w:vAlign w:val="center"/>
          </w:tcPr>
          <w:p w14:paraId="6D3EFBB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招标文件上的满分值</w:t>
            </w:r>
          </w:p>
        </w:tc>
        <w:tc>
          <w:tcPr>
            <w:tcW w:w="1414" w:type="pct"/>
            <w:tcBorders>
              <w:left w:val="single" w:color="auto" w:sz="4" w:space="0"/>
            </w:tcBorders>
            <w:vAlign w:val="center"/>
          </w:tcPr>
          <w:p w14:paraId="1CBD5C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页码索引</w:t>
            </w:r>
          </w:p>
        </w:tc>
      </w:tr>
      <w:tr w14:paraId="48E2E6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409E3D5E">
            <w:pPr>
              <w:jc w:val="center"/>
              <w:rPr>
                <w:rFonts w:hint="eastAsia" w:ascii="宋体" w:hAnsi="宋体" w:eastAsia="宋体" w:cs="宋体"/>
                <w:color w:val="auto"/>
                <w:szCs w:val="21"/>
                <w:highlight w:val="none"/>
              </w:rPr>
            </w:pPr>
          </w:p>
        </w:tc>
        <w:tc>
          <w:tcPr>
            <w:tcW w:w="1383" w:type="pct"/>
            <w:vAlign w:val="center"/>
          </w:tcPr>
          <w:p w14:paraId="60E53417">
            <w:pPr>
              <w:jc w:val="center"/>
              <w:rPr>
                <w:rFonts w:hint="eastAsia" w:ascii="宋体" w:hAnsi="宋体" w:eastAsia="宋体" w:cs="宋体"/>
                <w:color w:val="auto"/>
                <w:szCs w:val="21"/>
                <w:highlight w:val="none"/>
              </w:rPr>
            </w:pPr>
          </w:p>
        </w:tc>
        <w:tc>
          <w:tcPr>
            <w:tcW w:w="1516" w:type="pct"/>
            <w:vAlign w:val="center"/>
          </w:tcPr>
          <w:p w14:paraId="736A2E4F">
            <w:pPr>
              <w:jc w:val="center"/>
              <w:rPr>
                <w:rFonts w:hint="eastAsia" w:ascii="宋体" w:hAnsi="宋体" w:eastAsia="宋体" w:cs="宋体"/>
                <w:color w:val="auto"/>
                <w:szCs w:val="21"/>
                <w:highlight w:val="none"/>
              </w:rPr>
            </w:pPr>
          </w:p>
        </w:tc>
        <w:tc>
          <w:tcPr>
            <w:tcW w:w="1414" w:type="pct"/>
            <w:tcBorders>
              <w:left w:val="single" w:color="auto" w:sz="4" w:space="0"/>
            </w:tcBorders>
            <w:vAlign w:val="center"/>
          </w:tcPr>
          <w:p w14:paraId="05F0608D">
            <w:pPr>
              <w:jc w:val="center"/>
              <w:rPr>
                <w:rFonts w:hint="eastAsia" w:ascii="宋体" w:hAnsi="宋体" w:eastAsia="宋体" w:cs="宋体"/>
                <w:color w:val="auto"/>
                <w:szCs w:val="21"/>
                <w:highlight w:val="none"/>
              </w:rPr>
            </w:pPr>
          </w:p>
        </w:tc>
      </w:tr>
      <w:tr w14:paraId="5EE55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2D6DC1C0">
            <w:pPr>
              <w:jc w:val="center"/>
              <w:rPr>
                <w:rFonts w:hint="eastAsia" w:ascii="宋体" w:hAnsi="宋体" w:eastAsia="宋体" w:cs="宋体"/>
                <w:color w:val="auto"/>
                <w:szCs w:val="21"/>
                <w:highlight w:val="none"/>
              </w:rPr>
            </w:pPr>
          </w:p>
        </w:tc>
        <w:tc>
          <w:tcPr>
            <w:tcW w:w="1383" w:type="pct"/>
            <w:vAlign w:val="center"/>
          </w:tcPr>
          <w:p w14:paraId="00A21E28">
            <w:pPr>
              <w:jc w:val="center"/>
              <w:rPr>
                <w:rFonts w:hint="eastAsia" w:ascii="宋体" w:hAnsi="宋体" w:eastAsia="宋体" w:cs="宋体"/>
                <w:color w:val="auto"/>
                <w:szCs w:val="21"/>
                <w:highlight w:val="none"/>
              </w:rPr>
            </w:pPr>
          </w:p>
        </w:tc>
        <w:tc>
          <w:tcPr>
            <w:tcW w:w="1516" w:type="pct"/>
            <w:vAlign w:val="center"/>
          </w:tcPr>
          <w:p w14:paraId="2FC7494D">
            <w:pPr>
              <w:jc w:val="center"/>
              <w:rPr>
                <w:rFonts w:hint="eastAsia" w:ascii="宋体" w:hAnsi="宋体" w:eastAsia="宋体" w:cs="宋体"/>
                <w:color w:val="auto"/>
                <w:szCs w:val="21"/>
                <w:highlight w:val="none"/>
              </w:rPr>
            </w:pPr>
          </w:p>
        </w:tc>
        <w:tc>
          <w:tcPr>
            <w:tcW w:w="1414" w:type="pct"/>
            <w:tcBorders>
              <w:left w:val="single" w:color="auto" w:sz="4" w:space="0"/>
            </w:tcBorders>
            <w:vAlign w:val="center"/>
          </w:tcPr>
          <w:p w14:paraId="4E9963A1">
            <w:pPr>
              <w:jc w:val="center"/>
              <w:rPr>
                <w:rFonts w:hint="eastAsia" w:ascii="宋体" w:hAnsi="宋体" w:eastAsia="宋体" w:cs="宋体"/>
                <w:color w:val="auto"/>
                <w:szCs w:val="21"/>
                <w:highlight w:val="none"/>
              </w:rPr>
            </w:pPr>
          </w:p>
        </w:tc>
      </w:tr>
      <w:tr w14:paraId="556BF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04F1F484">
            <w:pPr>
              <w:jc w:val="center"/>
              <w:rPr>
                <w:rFonts w:hint="eastAsia" w:ascii="宋体" w:hAnsi="宋体" w:eastAsia="宋体" w:cs="宋体"/>
                <w:color w:val="auto"/>
                <w:szCs w:val="21"/>
                <w:highlight w:val="none"/>
              </w:rPr>
            </w:pPr>
          </w:p>
        </w:tc>
        <w:tc>
          <w:tcPr>
            <w:tcW w:w="1383" w:type="pct"/>
            <w:vAlign w:val="center"/>
          </w:tcPr>
          <w:p w14:paraId="217F7B23">
            <w:pPr>
              <w:jc w:val="center"/>
              <w:rPr>
                <w:rFonts w:hint="eastAsia" w:ascii="宋体" w:hAnsi="宋体" w:eastAsia="宋体" w:cs="宋体"/>
                <w:color w:val="auto"/>
                <w:szCs w:val="21"/>
                <w:highlight w:val="none"/>
              </w:rPr>
            </w:pPr>
          </w:p>
        </w:tc>
        <w:tc>
          <w:tcPr>
            <w:tcW w:w="1516" w:type="pct"/>
            <w:vAlign w:val="center"/>
          </w:tcPr>
          <w:p w14:paraId="6C038E73">
            <w:pPr>
              <w:jc w:val="center"/>
              <w:rPr>
                <w:rFonts w:hint="eastAsia" w:ascii="宋体" w:hAnsi="宋体" w:eastAsia="宋体" w:cs="宋体"/>
                <w:color w:val="auto"/>
                <w:szCs w:val="21"/>
                <w:highlight w:val="none"/>
              </w:rPr>
            </w:pPr>
          </w:p>
        </w:tc>
        <w:tc>
          <w:tcPr>
            <w:tcW w:w="1414" w:type="pct"/>
            <w:tcBorders>
              <w:left w:val="single" w:color="auto" w:sz="4" w:space="0"/>
            </w:tcBorders>
            <w:vAlign w:val="center"/>
          </w:tcPr>
          <w:p w14:paraId="0168254B">
            <w:pPr>
              <w:jc w:val="center"/>
              <w:rPr>
                <w:rFonts w:hint="eastAsia" w:ascii="宋体" w:hAnsi="宋体" w:eastAsia="宋体" w:cs="宋体"/>
                <w:color w:val="auto"/>
                <w:szCs w:val="21"/>
                <w:highlight w:val="none"/>
              </w:rPr>
            </w:pPr>
          </w:p>
        </w:tc>
      </w:tr>
      <w:tr w14:paraId="49ACD1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24B735D2">
            <w:pPr>
              <w:jc w:val="center"/>
              <w:rPr>
                <w:rFonts w:hint="eastAsia" w:ascii="宋体" w:hAnsi="宋体" w:eastAsia="宋体" w:cs="宋体"/>
                <w:color w:val="auto"/>
                <w:szCs w:val="21"/>
                <w:highlight w:val="none"/>
              </w:rPr>
            </w:pPr>
          </w:p>
        </w:tc>
        <w:tc>
          <w:tcPr>
            <w:tcW w:w="1383" w:type="pct"/>
            <w:tcBorders>
              <w:top w:val="single" w:color="auto" w:sz="6" w:space="0"/>
              <w:left w:val="single" w:color="auto" w:sz="6" w:space="0"/>
              <w:bottom w:val="outset" w:color="808080" w:sz="6" w:space="0"/>
              <w:right w:val="single" w:color="auto" w:sz="6" w:space="0"/>
            </w:tcBorders>
            <w:vAlign w:val="center"/>
          </w:tcPr>
          <w:p w14:paraId="42276B35">
            <w:pPr>
              <w:jc w:val="center"/>
              <w:rPr>
                <w:rFonts w:hint="eastAsia" w:ascii="宋体" w:hAnsi="宋体" w:eastAsia="宋体" w:cs="宋体"/>
                <w:color w:val="auto"/>
                <w:szCs w:val="21"/>
                <w:highlight w:val="none"/>
              </w:rPr>
            </w:pPr>
          </w:p>
        </w:tc>
        <w:tc>
          <w:tcPr>
            <w:tcW w:w="1516" w:type="pct"/>
            <w:tcBorders>
              <w:top w:val="single" w:color="auto" w:sz="6" w:space="0"/>
              <w:left w:val="single" w:color="auto" w:sz="6" w:space="0"/>
              <w:bottom w:val="outset" w:color="808080" w:sz="6" w:space="0"/>
              <w:right w:val="single" w:color="auto" w:sz="6" w:space="0"/>
            </w:tcBorders>
            <w:vAlign w:val="center"/>
          </w:tcPr>
          <w:p w14:paraId="5A900BAF">
            <w:pPr>
              <w:jc w:val="center"/>
              <w:rPr>
                <w:rFonts w:hint="eastAsia" w:ascii="宋体" w:hAnsi="宋体" w:eastAsia="宋体" w:cs="宋体"/>
                <w:color w:val="auto"/>
                <w:szCs w:val="21"/>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3347B365">
            <w:pPr>
              <w:jc w:val="center"/>
              <w:rPr>
                <w:rFonts w:hint="eastAsia" w:ascii="宋体" w:hAnsi="宋体" w:eastAsia="宋体" w:cs="宋体"/>
                <w:color w:val="auto"/>
                <w:szCs w:val="21"/>
                <w:highlight w:val="none"/>
              </w:rPr>
            </w:pPr>
          </w:p>
        </w:tc>
      </w:tr>
      <w:tr w14:paraId="44749C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4EBE05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1516" w:type="pct"/>
            <w:tcBorders>
              <w:bottom w:val="single" w:color="auto" w:sz="4" w:space="0"/>
            </w:tcBorders>
            <w:vAlign w:val="center"/>
          </w:tcPr>
          <w:p w14:paraId="1E409145">
            <w:pPr>
              <w:jc w:val="center"/>
              <w:rPr>
                <w:rFonts w:hint="eastAsia" w:ascii="宋体" w:hAnsi="宋体" w:eastAsia="宋体" w:cs="宋体"/>
                <w:color w:val="auto"/>
                <w:szCs w:val="21"/>
                <w:highlight w:val="none"/>
              </w:rPr>
            </w:pPr>
          </w:p>
        </w:tc>
        <w:tc>
          <w:tcPr>
            <w:tcW w:w="1414" w:type="pct"/>
            <w:tcBorders>
              <w:left w:val="single" w:color="auto" w:sz="4" w:space="0"/>
              <w:bottom w:val="single" w:color="auto" w:sz="4" w:space="0"/>
            </w:tcBorders>
            <w:vAlign w:val="center"/>
          </w:tcPr>
          <w:p w14:paraId="1838F223">
            <w:pPr>
              <w:jc w:val="center"/>
              <w:rPr>
                <w:rFonts w:hint="eastAsia" w:ascii="宋体" w:hAnsi="宋体" w:eastAsia="宋体" w:cs="宋体"/>
                <w:color w:val="auto"/>
                <w:szCs w:val="21"/>
                <w:highlight w:val="none"/>
              </w:rPr>
            </w:pPr>
          </w:p>
        </w:tc>
      </w:tr>
    </w:tbl>
    <w:p w14:paraId="20AB1B06">
      <w:pPr>
        <w:rPr>
          <w:rFonts w:hint="eastAsia" w:ascii="宋体" w:hAnsi="宋体" w:eastAsia="宋体" w:cs="宋体"/>
          <w:color w:val="auto"/>
          <w:highlight w:val="none"/>
        </w:rPr>
      </w:pPr>
    </w:p>
    <w:p w14:paraId="7B86AACC">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613E97CC">
      <w:pPr>
        <w:pStyle w:val="3"/>
        <w:rPr>
          <w:rFonts w:hint="eastAsia" w:ascii="宋体" w:hAnsi="宋体" w:eastAsia="宋体" w:cs="宋体"/>
          <w:color w:val="auto"/>
          <w:sz w:val="28"/>
          <w:szCs w:val="36"/>
          <w:highlight w:val="none"/>
        </w:rPr>
      </w:pPr>
      <w:bookmarkStart w:id="764" w:name="_Toc7720"/>
      <w:bookmarkStart w:id="765" w:name="_Toc12503"/>
      <w:bookmarkStart w:id="766" w:name="_Toc16367"/>
      <w:bookmarkStart w:id="767" w:name="_Toc15820"/>
      <w:bookmarkStart w:id="768" w:name="_Toc13331"/>
      <w:bookmarkStart w:id="769" w:name="_Toc5830"/>
      <w:bookmarkStart w:id="770" w:name="_Toc18706"/>
      <w:bookmarkStart w:id="771" w:name="_Toc11469"/>
      <w:bookmarkStart w:id="772" w:name="_Toc3772"/>
      <w:r>
        <w:rPr>
          <w:rFonts w:hint="eastAsia" w:ascii="宋体" w:hAnsi="宋体" w:eastAsia="宋体" w:cs="宋体"/>
          <w:color w:val="auto"/>
          <w:sz w:val="28"/>
          <w:szCs w:val="36"/>
          <w:highlight w:val="none"/>
        </w:rPr>
        <w:t>一、投标函格式</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09594F7F">
      <w:pPr>
        <w:jc w:val="center"/>
        <w:rPr>
          <w:rFonts w:hint="eastAsia" w:ascii="宋体" w:hAnsi="宋体" w:eastAsia="宋体" w:cs="宋体"/>
          <w:color w:val="auto"/>
          <w:highlight w:val="none"/>
          <w:lang w:val="zh-CN"/>
        </w:rPr>
      </w:pPr>
      <w:bookmarkStart w:id="773" w:name="_Toc16695_WPSOffice_Level3"/>
      <w:r>
        <w:rPr>
          <w:rFonts w:hint="eastAsia" w:ascii="宋体" w:hAnsi="宋体" w:eastAsia="宋体" w:cs="宋体"/>
          <w:b/>
          <w:bCs/>
          <w:color w:val="auto"/>
          <w:sz w:val="28"/>
          <w:szCs w:val="28"/>
          <w:highlight w:val="none"/>
          <w:lang w:val="zh-CN"/>
        </w:rPr>
        <w:t>投 标 函</w:t>
      </w:r>
      <w:bookmarkEnd w:id="773"/>
    </w:p>
    <w:p w14:paraId="4500321E">
      <w:pPr>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东莞市碧水信息科技有限公司</w:t>
      </w:r>
    </w:p>
    <w:p w14:paraId="16EA3678">
      <w:pPr>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2"/>
          <w:sz w:val="21"/>
          <w:szCs w:val="21"/>
          <w:highlight w:val="none"/>
          <w:u w:val="single"/>
          <w:lang w:val="zh-CN" w:eastAsia="zh-CN" w:bidi="ar-SA"/>
        </w:rPr>
        <w:t>东莞市碧水信息科技有限公司2025年度球墨铸铁阀门采购项目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en-US" w:eastAsia="zh-CN"/>
        </w:rPr>
        <w:t>YDZB25DGQY0149</w:t>
      </w:r>
      <w:r>
        <w:rPr>
          <w:rFonts w:hint="eastAsia" w:ascii="宋体" w:hAnsi="宋体" w:eastAsia="宋体" w:cs="宋体"/>
          <w:color w:val="auto"/>
          <w:szCs w:val="21"/>
          <w:highlight w:val="none"/>
          <w:lang w:val="zh-CN"/>
        </w:rPr>
        <w:t>)的投标邀请，我方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8C4E535">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在此提交的投标文件，包括如下等内容，并已单独密封封装：</w:t>
      </w:r>
    </w:p>
    <w:p w14:paraId="6686A04A">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16CCC9D7">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62B5E118">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我方已完全明白招标文件的所有条款要求，并重申以下几点：</w:t>
      </w:r>
    </w:p>
    <w:p w14:paraId="34476714">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en-US" w:eastAsia="zh-CN"/>
        </w:rPr>
        <w:t>YDZB25DGQY0149</w:t>
      </w:r>
      <w:r>
        <w:rPr>
          <w:rFonts w:hint="eastAsia" w:ascii="宋体" w:hAnsi="宋体" w:eastAsia="宋体" w:cs="宋体"/>
          <w:color w:val="auto"/>
          <w:szCs w:val="21"/>
          <w:highlight w:val="none"/>
          <w:lang w:val="zh-CN"/>
        </w:rPr>
        <w:t>的投标；</w:t>
      </w:r>
    </w:p>
    <w:p w14:paraId="50C58BFC">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ED2C8BA">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19E55ED">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48EB5B2">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6EA3830">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1192843">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9428C86">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55B5FA2B">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B9808A2">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6203D5E">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315ECF3B">
      <w:pPr>
        <w:rPr>
          <w:rFonts w:hint="eastAsia" w:ascii="宋体" w:hAnsi="宋体" w:eastAsia="宋体" w:cs="宋体"/>
          <w:color w:val="auto"/>
          <w:highlight w:val="none"/>
          <w:lang w:val="zh-CN"/>
        </w:rPr>
      </w:pPr>
    </w:p>
    <w:p w14:paraId="7B930D52">
      <w:pPr>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58755900">
      <w:pPr>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678F09C">
      <w:pPr>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71FFDE3">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06986CC">
      <w:pPr>
        <w:rPr>
          <w:rFonts w:hint="eastAsia" w:ascii="宋体" w:hAnsi="宋体" w:eastAsia="宋体" w:cs="宋体"/>
          <w:color w:val="auto"/>
          <w:highlight w:val="none"/>
          <w:lang w:val="zh-CN"/>
        </w:rPr>
      </w:pPr>
    </w:p>
    <w:p w14:paraId="476D7D2F">
      <w:pPr>
        <w:rPr>
          <w:rFonts w:hint="eastAsia" w:ascii="宋体" w:hAnsi="宋体" w:eastAsia="宋体" w:cs="宋体"/>
          <w:color w:val="auto"/>
          <w:highlight w:val="none"/>
          <w:lang w:val="zh-CN"/>
        </w:rPr>
      </w:pPr>
    </w:p>
    <w:p w14:paraId="6693EFDF">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BF3869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D6A499D">
      <w:pPr>
        <w:ind w:left="4620" w:leftChars="2200"/>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587EFE5">
      <w:pPr>
        <w:rPr>
          <w:rFonts w:hint="eastAsia" w:ascii="宋体" w:hAnsi="宋体" w:eastAsia="宋体" w:cs="宋体"/>
          <w:color w:val="auto"/>
          <w:highlight w:val="none"/>
        </w:rPr>
      </w:pPr>
      <w:bookmarkStart w:id="774" w:name="_Toc94107203"/>
      <w:bookmarkStart w:id="775" w:name="_Toc26795"/>
      <w:bookmarkStart w:id="776" w:name="_Toc140596922"/>
      <w:bookmarkStart w:id="777" w:name="_Toc142508363"/>
      <w:bookmarkStart w:id="778" w:name="_Toc8696"/>
      <w:bookmarkStart w:id="779" w:name="_Toc102860412"/>
      <w:bookmarkStart w:id="780" w:name="_Toc533708122"/>
      <w:bookmarkStart w:id="781" w:name="_Toc104991869"/>
      <w:bookmarkStart w:id="782" w:name="_Toc1977722"/>
      <w:bookmarkStart w:id="783" w:name="_Toc102860068"/>
      <w:bookmarkStart w:id="784" w:name="_Toc486167710"/>
      <w:bookmarkStart w:id="785" w:name="_Toc28613_WPSOffice_Level2"/>
      <w:r>
        <w:rPr>
          <w:rFonts w:hint="eastAsia" w:ascii="宋体" w:hAnsi="宋体" w:eastAsia="宋体" w:cs="宋体"/>
          <w:color w:val="auto"/>
          <w:highlight w:val="none"/>
        </w:rPr>
        <w:br w:type="page"/>
      </w:r>
    </w:p>
    <w:p w14:paraId="58F14406">
      <w:pPr>
        <w:pStyle w:val="3"/>
        <w:rPr>
          <w:rFonts w:hint="eastAsia" w:ascii="宋体" w:hAnsi="宋体" w:eastAsia="宋体" w:cs="宋体"/>
          <w:color w:val="auto"/>
          <w:sz w:val="28"/>
          <w:szCs w:val="36"/>
          <w:highlight w:val="none"/>
        </w:rPr>
      </w:pPr>
      <w:bookmarkStart w:id="786" w:name="_Toc32699"/>
      <w:bookmarkStart w:id="787" w:name="_Toc11984"/>
      <w:bookmarkStart w:id="788" w:name="_Toc24565"/>
      <w:bookmarkStart w:id="789" w:name="_Toc3053"/>
      <w:bookmarkStart w:id="790" w:name="_Toc25357"/>
      <w:bookmarkStart w:id="791" w:name="_Toc16772"/>
      <w:bookmarkStart w:id="792" w:name="_Toc1469"/>
      <w:r>
        <w:rPr>
          <w:rFonts w:hint="eastAsia" w:ascii="宋体" w:hAnsi="宋体" w:eastAsia="宋体" w:cs="宋体"/>
          <w:color w:val="auto"/>
          <w:sz w:val="28"/>
          <w:szCs w:val="36"/>
          <w:highlight w:val="none"/>
        </w:rPr>
        <w:t>二、投标承诺书格式</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676249E7">
      <w:pPr>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lang w:val="zh-CN"/>
        </w:rPr>
        <w:t>投标承诺书</w:t>
      </w:r>
    </w:p>
    <w:p w14:paraId="5269023F">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 w:val="21"/>
          <w:szCs w:val="21"/>
          <w:highlight w:val="none"/>
          <w:u w:val="single"/>
          <w:lang w:val="zh-CN" w:eastAsia="zh-CN" w:bidi="ar-SA"/>
        </w:rPr>
        <w:t>东莞市碧水信息科技有限公司2025年度球墨铸铁阀门采购项目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val="en-US" w:eastAsia="zh-CN"/>
        </w:rPr>
        <w:t>YDZB25DGQY0149</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34EC91D8">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4AB1EF69">
      <w:pPr>
        <w:rPr>
          <w:rFonts w:hint="eastAsia" w:ascii="宋体" w:hAnsi="宋体" w:eastAsia="宋体" w:cs="宋体"/>
          <w:color w:val="auto"/>
          <w:highlight w:val="none"/>
        </w:rPr>
      </w:pPr>
    </w:p>
    <w:p w14:paraId="17B74D0B">
      <w:pPr>
        <w:rPr>
          <w:rFonts w:hint="eastAsia" w:ascii="宋体" w:hAnsi="宋体" w:eastAsia="宋体" w:cs="宋体"/>
          <w:color w:val="auto"/>
          <w:highlight w:val="none"/>
        </w:rPr>
      </w:pPr>
    </w:p>
    <w:p w14:paraId="14CFD617">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50EBA0F1">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B396133">
      <w:pPr>
        <w:ind w:left="4620" w:leftChars="2200"/>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日期：   年   月   日</w:t>
      </w:r>
    </w:p>
    <w:p w14:paraId="31D35607">
      <w:pPr>
        <w:rPr>
          <w:rFonts w:hint="eastAsia" w:ascii="宋体" w:hAnsi="宋体" w:eastAsia="宋体" w:cs="宋体"/>
          <w:color w:val="auto"/>
          <w:highlight w:val="none"/>
        </w:rPr>
      </w:pPr>
      <w:bookmarkStart w:id="793" w:name="_Toc86764083"/>
      <w:bookmarkStart w:id="794" w:name="_Toc102860413"/>
      <w:bookmarkStart w:id="795" w:name="_Toc82182546"/>
      <w:bookmarkStart w:id="796" w:name="_Toc142508364"/>
      <w:bookmarkStart w:id="797" w:name="_Toc102860069"/>
      <w:bookmarkStart w:id="798" w:name="_Toc12590"/>
      <w:bookmarkStart w:id="799" w:name="_Toc104991870"/>
      <w:bookmarkStart w:id="800" w:name="_Toc140596923"/>
      <w:bookmarkStart w:id="801" w:name="_Toc94107204"/>
      <w:bookmarkStart w:id="802" w:name="_Toc9778"/>
      <w:bookmarkStart w:id="803" w:name="_Toc486167711"/>
      <w:bookmarkStart w:id="804" w:name="_Toc533708123"/>
      <w:bookmarkStart w:id="805" w:name="_Toc7024_WPSOffice_Level2"/>
      <w:bookmarkStart w:id="806" w:name="_Toc1977723"/>
      <w:bookmarkStart w:id="807" w:name="_Toc326768876"/>
      <w:bookmarkStart w:id="808" w:name="_Toc316896755"/>
      <w:bookmarkStart w:id="809" w:name="_Toc311032584"/>
    </w:p>
    <w:p w14:paraId="7DB6059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DA7FBD">
      <w:pPr>
        <w:pStyle w:val="3"/>
        <w:rPr>
          <w:rFonts w:hint="eastAsia" w:ascii="宋体" w:hAnsi="宋体" w:eastAsia="宋体" w:cs="宋体"/>
          <w:color w:val="auto"/>
          <w:sz w:val="28"/>
          <w:szCs w:val="36"/>
          <w:highlight w:val="none"/>
        </w:rPr>
      </w:pPr>
      <w:bookmarkStart w:id="810" w:name="_Toc14902"/>
      <w:bookmarkStart w:id="811" w:name="_Toc11877"/>
      <w:bookmarkStart w:id="812" w:name="_Toc30024"/>
      <w:bookmarkStart w:id="813" w:name="_Toc148"/>
      <w:bookmarkStart w:id="814" w:name="_Toc32655"/>
      <w:bookmarkStart w:id="815" w:name="_Toc30828"/>
      <w:bookmarkStart w:id="816" w:name="_Toc14673"/>
      <w:r>
        <w:rPr>
          <w:rFonts w:hint="eastAsia" w:ascii="宋体" w:hAnsi="宋体" w:eastAsia="宋体" w:cs="宋体"/>
          <w:color w:val="auto"/>
          <w:sz w:val="28"/>
          <w:szCs w:val="36"/>
          <w:highlight w:val="none"/>
        </w:rPr>
        <w:t>三、供货及/或提供服务过程承诺函格式</w:t>
      </w:r>
      <w:bookmarkEnd w:id="793"/>
      <w:bookmarkEnd w:id="794"/>
      <w:bookmarkEnd w:id="795"/>
      <w:bookmarkEnd w:id="796"/>
      <w:bookmarkEnd w:id="797"/>
      <w:bookmarkEnd w:id="798"/>
      <w:bookmarkEnd w:id="799"/>
      <w:bookmarkEnd w:id="800"/>
      <w:bookmarkEnd w:id="801"/>
      <w:bookmarkEnd w:id="802"/>
      <w:bookmarkEnd w:id="810"/>
      <w:bookmarkEnd w:id="811"/>
      <w:bookmarkEnd w:id="812"/>
      <w:bookmarkEnd w:id="813"/>
      <w:bookmarkEnd w:id="814"/>
      <w:bookmarkEnd w:id="815"/>
      <w:bookmarkEnd w:id="816"/>
    </w:p>
    <w:p w14:paraId="2810D97D">
      <w:pPr>
        <w:jc w:val="center"/>
        <w:rPr>
          <w:rFonts w:hint="eastAsia" w:ascii="宋体" w:hAnsi="宋体" w:eastAsia="宋体" w:cs="宋体"/>
          <w:color w:val="auto"/>
          <w:highlight w:val="none"/>
        </w:rPr>
      </w:pPr>
      <w:r>
        <w:rPr>
          <w:rFonts w:hint="eastAsia" w:ascii="宋体" w:hAnsi="宋体" w:eastAsia="宋体" w:cs="宋体"/>
          <w:b/>
          <w:bCs/>
          <w:color w:val="auto"/>
          <w:sz w:val="28"/>
          <w:szCs w:val="32"/>
          <w:highlight w:val="none"/>
        </w:rPr>
        <w:t>供货及/或提供服务过程承诺函</w:t>
      </w:r>
    </w:p>
    <w:p w14:paraId="6DECCF75">
      <w:pPr>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lang w:eastAsia="zh-CN"/>
        </w:rPr>
        <w:t>东莞市碧水信息科技有限公司</w:t>
      </w:r>
    </w:p>
    <w:p w14:paraId="44411F24">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 w:val="21"/>
          <w:szCs w:val="21"/>
          <w:highlight w:val="none"/>
          <w:lang w:val="zh-CN" w:eastAsia="zh-CN" w:bidi="ar-SA"/>
        </w:rPr>
        <w:t>东莞市碧水信息科技有限公司2025年度球墨铸铁阀门采购项目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en-US" w:eastAsia="zh-CN"/>
        </w:rPr>
        <w:t>YDZB25DGQY0149</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CD159D0">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我方承诺将严格遵守国家、地方政府有关安全生产及劳动保护的法律法规、标准、规定，贯彻执行招标人的各项安全管理规章制度。</w:t>
      </w:r>
    </w:p>
    <w:p w14:paraId="46C8500F">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我方承诺将依法参加工伤保险，为安排至招标人从事本项目的工作人员缴纳保险费，并为从事危险作业的人员办理意外伤害保险。</w:t>
      </w:r>
    </w:p>
    <w:p w14:paraId="79FCF0AE">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A4A04B8">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63CAAE2">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6E7034E">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1D42BA0">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我方承诺协助和指导招标人进行货物的储存，对招标人的储存方式、方法、储存数量、仓库的安全设施设备、安全生产规章制度等是否符合国家标准或者国家有关规定提出合理的建议，并进行技术指导。</w:t>
      </w:r>
    </w:p>
    <w:p w14:paraId="1158FF21">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303FD631">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9AB7CEF">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因我方原因，造成我方损失，由我方自负，给招标人造成财产损失和人员伤害，我方承担全部责任，并全额赔偿招标人。</w:t>
      </w:r>
    </w:p>
    <w:p w14:paraId="1A98CCE6">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非因招标人原因，造成我方损失的，招标人无需承担任何责任，由我方自行承担全部责任。</w:t>
      </w:r>
    </w:p>
    <w:p w14:paraId="43C74E70">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2FD25394">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3653721">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6E64C916">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213238A">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993974E">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C1A1B59">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37BD5233">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388E32B">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我方承诺接受招标人的检查与监督，并主动配合，做好安全工作，凡有违反上述条款的即视为我方违约，招标人有权视情况从货物/服务价款中扣除2000元/次作为违约金。</w:t>
      </w:r>
    </w:p>
    <w:p w14:paraId="1EA51005">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0D8167C">
      <w:pPr>
        <w:rPr>
          <w:rFonts w:hint="eastAsia" w:ascii="宋体" w:hAnsi="宋体" w:eastAsia="宋体" w:cs="宋体"/>
          <w:color w:val="auto"/>
          <w:highlight w:val="none"/>
          <w:lang w:val="zh-CN"/>
        </w:rPr>
      </w:pPr>
    </w:p>
    <w:p w14:paraId="16148472">
      <w:pPr>
        <w:rPr>
          <w:rFonts w:hint="eastAsia" w:ascii="宋体" w:hAnsi="宋体" w:eastAsia="宋体" w:cs="宋体"/>
          <w:color w:val="auto"/>
          <w:highlight w:val="none"/>
          <w:lang w:val="zh-CN"/>
        </w:rPr>
      </w:pPr>
    </w:p>
    <w:p w14:paraId="5095A01E">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10CAA4EC">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599EB7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1F20F603">
      <w:pPr>
        <w:rPr>
          <w:rFonts w:hint="eastAsia" w:ascii="宋体" w:hAnsi="宋体" w:eastAsia="宋体" w:cs="宋体"/>
          <w:color w:val="auto"/>
          <w:sz w:val="28"/>
          <w:szCs w:val="36"/>
          <w:highlight w:val="none"/>
        </w:rPr>
      </w:pPr>
      <w:bookmarkStart w:id="817" w:name="_Toc142508365"/>
      <w:bookmarkStart w:id="818" w:name="_Toc82182547"/>
      <w:bookmarkStart w:id="819" w:name="_Toc102860070"/>
      <w:bookmarkStart w:id="820" w:name="_Toc102860414"/>
      <w:bookmarkStart w:id="821" w:name="_Toc140596924"/>
      <w:bookmarkStart w:id="822" w:name="_Toc86764084"/>
      <w:bookmarkStart w:id="823" w:name="_Toc104991871"/>
      <w:bookmarkStart w:id="824" w:name="_Toc94107205"/>
      <w:bookmarkStart w:id="825" w:name="_Toc176627929"/>
      <w:bookmarkStart w:id="826" w:name="_Toc3993"/>
      <w:bookmarkStart w:id="827" w:name="_Toc178076608"/>
      <w:bookmarkStart w:id="828" w:name="_Toc6287"/>
      <w:bookmarkStart w:id="829" w:name="_Toc4621"/>
      <w:bookmarkStart w:id="830" w:name="_Toc4694"/>
      <w:bookmarkStart w:id="831" w:name="_Toc11"/>
      <w:bookmarkStart w:id="832" w:name="_Toc25445"/>
      <w:bookmarkStart w:id="833" w:name="_Toc28264"/>
      <w:bookmarkStart w:id="834" w:name="_Toc3294"/>
      <w:bookmarkStart w:id="835" w:name="_Toc14066"/>
      <w:bookmarkStart w:id="836" w:name="_Toc3087"/>
      <w:r>
        <w:rPr>
          <w:rFonts w:hint="eastAsia" w:ascii="宋体" w:hAnsi="宋体" w:eastAsia="宋体" w:cs="宋体"/>
          <w:color w:val="auto"/>
          <w:sz w:val="28"/>
          <w:szCs w:val="36"/>
          <w:highlight w:val="none"/>
        </w:rPr>
        <w:br w:type="page"/>
      </w:r>
    </w:p>
    <w:p w14:paraId="7EB1E48D">
      <w:pPr>
        <w:pStyle w:val="3"/>
        <w:rPr>
          <w:rFonts w:hint="eastAsia" w:ascii="宋体" w:hAnsi="宋体" w:eastAsia="宋体" w:cs="宋体"/>
          <w:color w:val="auto"/>
          <w:sz w:val="28"/>
          <w:szCs w:val="36"/>
          <w:highlight w:val="none"/>
        </w:rPr>
      </w:pPr>
      <w:bookmarkStart w:id="837" w:name="_Toc27226"/>
      <w:bookmarkStart w:id="838" w:name="_Toc4973"/>
      <w:bookmarkStart w:id="839" w:name="_Toc4435"/>
      <w:bookmarkStart w:id="840" w:name="_Toc21563"/>
      <w:bookmarkStart w:id="841" w:name="_Toc30748"/>
      <w:bookmarkStart w:id="842" w:name="_Toc16699"/>
      <w:bookmarkStart w:id="843" w:name="_Toc7167"/>
      <w:r>
        <w:rPr>
          <w:rFonts w:hint="eastAsia" w:ascii="宋体" w:hAnsi="宋体" w:eastAsia="宋体" w:cs="宋体"/>
          <w:color w:val="auto"/>
          <w:sz w:val="28"/>
          <w:szCs w:val="36"/>
          <w:highlight w:val="none"/>
        </w:rPr>
        <w:t>四</w:t>
      </w:r>
      <w:bookmarkEnd w:id="817"/>
      <w:bookmarkEnd w:id="818"/>
      <w:bookmarkEnd w:id="819"/>
      <w:bookmarkEnd w:id="820"/>
      <w:bookmarkEnd w:id="821"/>
      <w:bookmarkEnd w:id="822"/>
      <w:bookmarkEnd w:id="823"/>
      <w:bookmarkEnd w:id="824"/>
      <w:bookmarkStart w:id="844" w:name="_Toc142508366"/>
      <w:bookmarkStart w:id="845" w:name="_Toc104991872"/>
      <w:bookmarkStart w:id="846" w:name="_Toc140596925"/>
      <w:bookmarkStart w:id="847" w:name="_Toc102860415"/>
      <w:bookmarkStart w:id="848" w:name="_Toc94107206"/>
      <w:bookmarkStart w:id="849" w:name="_Toc102860071"/>
      <w:r>
        <w:rPr>
          <w:rFonts w:hint="eastAsia" w:ascii="宋体" w:hAnsi="宋体" w:eastAsia="宋体" w:cs="宋体"/>
          <w:color w:val="auto"/>
          <w:sz w:val="28"/>
          <w:szCs w:val="36"/>
          <w:highlight w:val="none"/>
        </w:rPr>
        <w:t>、投标报价表格式</w:t>
      </w:r>
      <w:bookmarkEnd w:id="803"/>
      <w:bookmarkEnd w:id="804"/>
      <w:bookmarkEnd w:id="805"/>
      <w:bookmarkEnd w:id="806"/>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0793284D">
      <w:pPr>
        <w:bidi w:val="0"/>
        <w:jc w:val="center"/>
        <w:rPr>
          <w:rFonts w:hint="eastAsia" w:ascii="宋体" w:hAnsi="宋体" w:eastAsia="宋体" w:cs="宋体"/>
          <w:b/>
          <w:bCs/>
          <w:color w:val="auto"/>
          <w:sz w:val="28"/>
          <w:szCs w:val="32"/>
          <w:highlight w:val="none"/>
        </w:rPr>
      </w:pPr>
      <w:bookmarkStart w:id="850" w:name="_Toc6479"/>
      <w:bookmarkStart w:id="851" w:name="_Toc28829"/>
      <w:bookmarkStart w:id="852" w:name="_Toc7630"/>
      <w:r>
        <w:rPr>
          <w:rFonts w:hint="eastAsia" w:ascii="宋体" w:hAnsi="宋体" w:eastAsia="宋体" w:cs="宋体"/>
          <w:b/>
          <w:bCs/>
          <w:color w:val="auto"/>
          <w:sz w:val="28"/>
          <w:szCs w:val="32"/>
          <w:highlight w:val="none"/>
          <w:lang w:val="zh-CN"/>
        </w:rPr>
        <w:t>投标报价表</w:t>
      </w:r>
      <w:bookmarkEnd w:id="850"/>
      <w:bookmarkEnd w:id="851"/>
      <w:bookmarkEnd w:id="852"/>
    </w:p>
    <w:p w14:paraId="50E262E7">
      <w:pP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b/>
          <w:bCs/>
          <w:color w:val="auto"/>
          <w:kern w:val="0"/>
          <w:sz w:val="21"/>
          <w:szCs w:val="21"/>
          <w:highlight w:val="none"/>
          <w:u w:val="single"/>
          <w:lang w:val="zh-CN" w:eastAsia="zh-CN" w:bidi="ar-SA"/>
        </w:rPr>
        <w:t>东莞市碧水信息科技有限公司2025年度球墨铸铁阀门采购项目</w:t>
      </w:r>
    </w:p>
    <w:p w14:paraId="37A2F3BB">
      <w:pPr>
        <w:rPr>
          <w:rFonts w:hint="eastAsia" w:ascii="宋体" w:hAnsi="宋体" w:eastAsia="宋体" w:cs="宋体"/>
          <w:color w:val="auto"/>
          <w:kern w:val="0"/>
          <w:szCs w:val="21"/>
          <w:highlight w:val="none"/>
          <w:u w:val="single"/>
          <w:lang w:val="en-US" w:eastAsia="zh-CN"/>
        </w:rPr>
      </w:pPr>
      <w:r>
        <w:rPr>
          <w:rFonts w:hint="eastAsia" w:ascii="宋体" w:hAnsi="宋体" w:eastAsia="宋体" w:cs="宋体"/>
          <w:b/>
          <w:color w:val="auto"/>
          <w:kern w:val="0"/>
          <w:szCs w:val="21"/>
          <w:highlight w:val="none"/>
        </w:rPr>
        <w:t>招标编号：</w:t>
      </w:r>
      <w:r>
        <w:rPr>
          <w:rFonts w:hint="eastAsia" w:ascii="宋体" w:hAnsi="宋体" w:eastAsia="宋体" w:cs="宋体"/>
          <w:b/>
          <w:color w:val="auto"/>
          <w:kern w:val="0"/>
          <w:sz w:val="21"/>
          <w:szCs w:val="21"/>
          <w:highlight w:val="none"/>
          <w:lang w:val="en-US" w:eastAsia="zh-CN" w:bidi="ar-SA"/>
        </w:rPr>
        <w:t>YDZB25DGQY0149</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803"/>
        <w:gridCol w:w="3518"/>
        <w:gridCol w:w="1646"/>
        <w:gridCol w:w="1646"/>
      </w:tblGrid>
      <w:tr w14:paraId="21F1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60720B9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61" w:type="pct"/>
            <w:tcBorders>
              <w:top w:val="single" w:color="auto" w:sz="4" w:space="0"/>
              <w:left w:val="single" w:color="auto" w:sz="4" w:space="0"/>
              <w:bottom w:val="single" w:color="auto" w:sz="4" w:space="0"/>
              <w:right w:val="single" w:color="auto" w:sz="4" w:space="0"/>
            </w:tcBorders>
            <w:vAlign w:val="center"/>
          </w:tcPr>
          <w:p w14:paraId="1834427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1708" w:type="pct"/>
            <w:tcBorders>
              <w:top w:val="single" w:color="auto" w:sz="4" w:space="0"/>
              <w:left w:val="single" w:color="auto" w:sz="4" w:space="0"/>
              <w:bottom w:val="single" w:color="auto" w:sz="4" w:space="0"/>
              <w:right w:val="single" w:color="auto" w:sz="4" w:space="0"/>
            </w:tcBorders>
            <w:vAlign w:val="center"/>
          </w:tcPr>
          <w:p w14:paraId="1A4EF5C1">
            <w:pPr>
              <w:autoSpaceDE w:val="0"/>
              <w:autoSpaceDN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val="en-US" w:eastAsia="zh-CN"/>
              </w:rPr>
              <w:t>折扣系数报价</w:t>
            </w:r>
          </w:p>
        </w:tc>
        <w:tc>
          <w:tcPr>
            <w:tcW w:w="799" w:type="pct"/>
            <w:tcBorders>
              <w:top w:val="single" w:color="auto" w:sz="4" w:space="0"/>
              <w:left w:val="single" w:color="auto" w:sz="4" w:space="0"/>
              <w:bottom w:val="single" w:color="auto" w:sz="4" w:space="0"/>
              <w:right w:val="single" w:color="auto" w:sz="4" w:space="0"/>
            </w:tcBorders>
            <w:vAlign w:val="center"/>
          </w:tcPr>
          <w:p w14:paraId="55E5079B">
            <w:pPr>
              <w:jc w:val="center"/>
              <w:rPr>
                <w:rFonts w:hint="eastAsia" w:ascii="宋体" w:hAnsi="宋体" w:eastAsia="宋体" w:cs="宋体"/>
                <w:b/>
                <w:color w:val="auto"/>
                <w:szCs w:val="21"/>
                <w:highlight w:val="none"/>
                <w:lang w:val="en-US" w:eastAsia="zh-CN"/>
              </w:rPr>
            </w:pPr>
            <w:r>
              <w:rPr>
                <w:rFonts w:hint="eastAsia" w:cs="宋体"/>
                <w:b/>
                <w:color w:val="auto"/>
                <w:szCs w:val="21"/>
                <w:highlight w:val="none"/>
                <w:lang w:val="en-US" w:eastAsia="zh-CN"/>
              </w:rPr>
              <w:t>所报税率</w:t>
            </w:r>
          </w:p>
        </w:tc>
        <w:tc>
          <w:tcPr>
            <w:tcW w:w="799" w:type="pct"/>
            <w:tcBorders>
              <w:top w:val="single" w:color="auto" w:sz="4" w:space="0"/>
              <w:left w:val="single" w:color="auto" w:sz="4" w:space="0"/>
              <w:bottom w:val="single" w:color="auto" w:sz="4" w:space="0"/>
              <w:right w:val="single" w:color="auto" w:sz="4" w:space="0"/>
            </w:tcBorders>
            <w:vAlign w:val="center"/>
          </w:tcPr>
          <w:p w14:paraId="6EE9F23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1AD8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15149D9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61" w:type="pct"/>
            <w:tcBorders>
              <w:top w:val="single" w:color="auto" w:sz="4" w:space="0"/>
              <w:left w:val="single" w:color="auto" w:sz="4" w:space="0"/>
              <w:bottom w:val="single" w:color="auto" w:sz="4" w:space="0"/>
              <w:right w:val="single" w:color="auto" w:sz="4" w:space="0"/>
            </w:tcBorders>
            <w:vAlign w:val="center"/>
          </w:tcPr>
          <w:p w14:paraId="4F842757">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东莞市碧水信息科技有限公司2025年度球墨铸铁阀门采购项目</w:t>
            </w:r>
          </w:p>
        </w:tc>
        <w:tc>
          <w:tcPr>
            <w:tcW w:w="1708" w:type="pct"/>
            <w:tcBorders>
              <w:top w:val="single" w:color="auto" w:sz="4" w:space="0"/>
              <w:left w:val="single" w:color="auto" w:sz="4" w:space="0"/>
              <w:bottom w:val="single" w:color="auto" w:sz="4" w:space="0"/>
              <w:right w:val="single" w:color="auto" w:sz="4" w:space="0"/>
            </w:tcBorders>
            <w:vAlign w:val="center"/>
          </w:tcPr>
          <w:p w14:paraId="688F08F1">
            <w:pPr>
              <w:keepNext w:val="0"/>
              <w:keepLines w:val="0"/>
              <w:suppressLineNumbers w:val="0"/>
              <w:spacing w:before="240" w:beforeLines="100" w:beforeAutospacing="0" w:after="0" w:afterAutospacing="0" w:line="360" w:lineRule="auto"/>
              <w:ind w:left="0" w:right="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u w:val="single"/>
                <w:lang w:bidi="ar"/>
              </w:rPr>
              <w:t xml:space="preserve">                       </w:t>
            </w:r>
          </w:p>
          <w:p w14:paraId="23F54038">
            <w:pPr>
              <w:snapToGrid/>
              <w:spacing w:before="0"/>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799" w:type="pct"/>
            <w:tcBorders>
              <w:top w:val="single" w:color="auto" w:sz="4" w:space="0"/>
              <w:left w:val="single" w:color="auto" w:sz="4" w:space="0"/>
              <w:bottom w:val="single" w:color="auto" w:sz="4" w:space="0"/>
              <w:right w:val="single" w:color="auto" w:sz="4" w:space="0"/>
            </w:tcBorders>
            <w:vAlign w:val="center"/>
          </w:tcPr>
          <w:p w14:paraId="4EF67D05">
            <w:pPr>
              <w:jc w:val="center"/>
              <w:rPr>
                <w:rFonts w:hint="eastAsia" w:ascii="宋体" w:hAnsi="宋体" w:eastAsia="宋体" w:cs="宋体"/>
                <w:color w:val="auto"/>
                <w:szCs w:val="21"/>
                <w:highlight w:val="none"/>
              </w:rPr>
            </w:pPr>
            <w:r>
              <w:rPr>
                <w:rFonts w:hint="eastAsia"/>
                <w:szCs w:val="21"/>
                <w:u w:val="single"/>
                <w:lang w:val="en-US" w:eastAsia="zh-CN"/>
              </w:rPr>
              <w:t xml:space="preserve">     </w:t>
            </w:r>
            <w:r>
              <w:rPr>
                <w:rFonts w:hint="eastAsia"/>
                <w:szCs w:val="21"/>
                <w:lang w:val="en-US" w:eastAsia="zh-CN"/>
              </w:rPr>
              <w:t>%</w:t>
            </w:r>
          </w:p>
        </w:tc>
        <w:tc>
          <w:tcPr>
            <w:tcW w:w="799" w:type="pct"/>
            <w:tcBorders>
              <w:top w:val="single" w:color="auto" w:sz="4" w:space="0"/>
              <w:left w:val="single" w:color="auto" w:sz="4" w:space="0"/>
              <w:bottom w:val="single" w:color="auto" w:sz="4" w:space="0"/>
              <w:right w:val="single" w:color="auto" w:sz="4" w:space="0"/>
            </w:tcBorders>
            <w:vAlign w:val="center"/>
          </w:tcPr>
          <w:p w14:paraId="2A1D47EE">
            <w:pPr>
              <w:jc w:val="center"/>
              <w:rPr>
                <w:rFonts w:hint="eastAsia" w:ascii="宋体" w:hAnsi="宋体" w:eastAsia="宋体" w:cs="宋体"/>
                <w:color w:val="auto"/>
                <w:szCs w:val="21"/>
                <w:highlight w:val="none"/>
              </w:rPr>
            </w:pPr>
          </w:p>
        </w:tc>
      </w:tr>
    </w:tbl>
    <w:p w14:paraId="105119AA">
      <w:pPr>
        <w:rPr>
          <w:rFonts w:hint="eastAsia" w:ascii="宋体" w:hAnsi="宋体" w:eastAsia="宋体" w:cs="宋体"/>
          <w:color w:val="auto"/>
          <w:highlight w:val="none"/>
        </w:rPr>
      </w:pPr>
      <w:r>
        <w:rPr>
          <w:rFonts w:hint="eastAsia" w:ascii="宋体" w:hAnsi="宋体" w:eastAsia="宋体" w:cs="宋体"/>
          <w:color w:val="auto"/>
          <w:highlight w:val="none"/>
        </w:rPr>
        <w:t>备注：</w:t>
      </w:r>
    </w:p>
    <w:p w14:paraId="3E19BDD6">
      <w:pPr>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（1）本项目的投标报价采用统一折扣系数报价，合同履约过程中，采购清单中</w:t>
      </w:r>
      <w:r>
        <w:rPr>
          <w:rFonts w:hint="eastAsia" w:ascii="宋体" w:hAnsi="宋体" w:eastAsia="宋体" w:cs="宋体"/>
          <w:color w:val="auto"/>
          <w:kern w:val="0"/>
          <w:szCs w:val="21"/>
          <w:highlight w:val="none"/>
          <w:lang w:val="en-US" w:eastAsia="zh-CN"/>
        </w:rPr>
        <w:t>阀门</w:t>
      </w:r>
      <w:r>
        <w:rPr>
          <w:rFonts w:hint="eastAsia" w:ascii="宋体" w:hAnsi="宋体" w:eastAsia="宋体" w:cs="宋体"/>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53BEC63F">
      <w:pPr>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（2）投标人的折扣系数报价不得超过1</w:t>
      </w:r>
      <w:r>
        <w:rPr>
          <w:rFonts w:hint="eastAsia" w:ascii="宋体" w:hAnsi="宋体" w:eastAsia="宋体" w:cs="宋体"/>
          <w:color w:val="auto"/>
          <w:kern w:val="0"/>
          <w:szCs w:val="21"/>
          <w:highlight w:val="none"/>
          <w:lang w:val="en-US" w:eastAsia="zh-CN"/>
        </w:rPr>
        <w:t>.00</w:t>
      </w:r>
      <w:r>
        <w:rPr>
          <w:rFonts w:hint="eastAsia" w:ascii="宋体" w:hAnsi="宋体" w:eastAsia="宋体" w:cs="宋体"/>
          <w:color w:val="auto"/>
          <w:kern w:val="0"/>
          <w:szCs w:val="21"/>
          <w:highlight w:val="none"/>
        </w:rPr>
        <w:t>，且不能为0</w:t>
      </w:r>
      <w:r>
        <w:rPr>
          <w:rFonts w:hint="eastAsia" w:ascii="宋体" w:hAnsi="宋体" w:eastAsia="宋体" w:cs="宋体"/>
          <w:color w:val="auto"/>
          <w:kern w:val="0"/>
          <w:szCs w:val="21"/>
          <w:highlight w:val="none"/>
          <w:lang w:val="en-US" w:eastAsia="zh-CN"/>
        </w:rPr>
        <w:t>.00</w:t>
      </w:r>
      <w:r>
        <w:rPr>
          <w:rFonts w:hint="eastAsia" w:ascii="宋体" w:hAnsi="宋体" w:eastAsia="宋体" w:cs="宋体"/>
          <w:color w:val="auto"/>
          <w:kern w:val="0"/>
          <w:szCs w:val="21"/>
          <w:highlight w:val="none"/>
        </w:rPr>
        <w:t>或负数</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未按招标文件要求进行折扣系数报价的，将被视为无效投标。折扣系数报价需保留小数点后两位，否则评标委员会按从小数点后第3位四舍五入的方式进行修正为保留小数点后两位，投标人须接受被修正后的报价（例：如投标折扣系数为0.789，则被修正为0.7</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；如投标折扣系数为0.7，则被修正为0.70）。</w:t>
      </w:r>
    </w:p>
    <w:p w14:paraId="551D7586">
      <w:pPr>
        <w:ind w:left="607" w:leftChars="18" w:hanging="569" w:hangingChars="270"/>
        <w:jc w:val="left"/>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（3）本表一式二份，一份随唱标信封一起提交，一份编入投标文件商务文件。</w:t>
      </w:r>
    </w:p>
    <w:p w14:paraId="45FDB8E8">
      <w:pPr>
        <w:jc w:val="left"/>
        <w:rPr>
          <w:rFonts w:hint="eastAsia" w:ascii="宋体" w:hAnsi="宋体" w:eastAsia="宋体" w:cs="宋体"/>
          <w:color w:val="auto"/>
          <w:kern w:val="0"/>
          <w:szCs w:val="21"/>
          <w:highlight w:val="none"/>
          <w:lang w:val="zh-CN"/>
        </w:rPr>
      </w:pPr>
    </w:p>
    <w:p w14:paraId="23921E2A">
      <w:pPr>
        <w:rPr>
          <w:rFonts w:hint="eastAsia" w:ascii="宋体" w:hAnsi="宋体" w:eastAsia="宋体" w:cs="宋体"/>
          <w:color w:val="auto"/>
          <w:highlight w:val="none"/>
          <w:lang w:val="zh-CN"/>
        </w:rPr>
      </w:pPr>
    </w:p>
    <w:p w14:paraId="01C62C4A">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4DC9897C">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43BE4D0">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06C5557D">
      <w:pPr>
        <w:rPr>
          <w:rFonts w:hint="eastAsia" w:ascii="宋体" w:hAnsi="宋体" w:eastAsia="宋体" w:cs="宋体"/>
          <w:color w:val="auto"/>
          <w:sz w:val="28"/>
          <w:szCs w:val="36"/>
          <w:highlight w:val="none"/>
        </w:rPr>
      </w:pPr>
      <w:bookmarkStart w:id="853" w:name="_Toc142508369"/>
      <w:bookmarkStart w:id="854" w:name="_Toc18828"/>
      <w:bookmarkStart w:id="855" w:name="_Toc1977725"/>
      <w:bookmarkStart w:id="856" w:name="_Toc3826"/>
      <w:bookmarkStart w:id="857" w:name="_Toc21043"/>
      <w:bookmarkStart w:id="858" w:name="_Toc178076611"/>
      <w:bookmarkStart w:id="859" w:name="_Toc104991875"/>
      <w:bookmarkStart w:id="860" w:name="_Toc16693"/>
      <w:bookmarkStart w:id="861" w:name="_Toc24399"/>
      <w:bookmarkStart w:id="862" w:name="_Toc24015"/>
      <w:bookmarkStart w:id="863" w:name="_Toc21218"/>
      <w:bookmarkStart w:id="864" w:name="_Toc27712"/>
      <w:bookmarkStart w:id="865" w:name="_Toc176627932"/>
      <w:bookmarkStart w:id="866" w:name="_Toc102860418"/>
      <w:bookmarkStart w:id="867" w:name="_Toc19408"/>
      <w:bookmarkStart w:id="868" w:name="_Toc102860074"/>
      <w:bookmarkStart w:id="869" w:name="_Toc140596928"/>
      <w:bookmarkStart w:id="870" w:name="_Toc25615"/>
      <w:bookmarkStart w:id="871" w:name="_Toc13008"/>
      <w:bookmarkStart w:id="872" w:name="_Toc94107209"/>
      <w:bookmarkStart w:id="873" w:name="_Toc11541"/>
      <w:bookmarkStart w:id="874" w:name="_Toc533708124"/>
      <w:bookmarkStart w:id="875" w:name="_Toc486167712"/>
      <w:bookmarkStart w:id="876" w:name="_Toc20759_WPSOffice_Level2"/>
      <w:r>
        <w:rPr>
          <w:rFonts w:hint="eastAsia" w:ascii="宋体" w:hAnsi="宋体" w:eastAsia="宋体" w:cs="宋体"/>
          <w:color w:val="auto"/>
          <w:sz w:val="28"/>
          <w:szCs w:val="36"/>
          <w:highlight w:val="none"/>
        </w:rPr>
        <w:br w:type="page"/>
      </w:r>
    </w:p>
    <w:p w14:paraId="1D0F6418">
      <w:pPr>
        <w:pStyle w:val="3"/>
        <w:rPr>
          <w:rFonts w:hint="eastAsia" w:ascii="宋体" w:hAnsi="宋体" w:eastAsia="宋体" w:cs="宋体"/>
          <w:color w:val="auto"/>
          <w:sz w:val="28"/>
          <w:szCs w:val="36"/>
          <w:highlight w:val="none"/>
        </w:rPr>
      </w:pPr>
      <w:bookmarkStart w:id="877" w:name="_Toc5754"/>
      <w:bookmarkStart w:id="878" w:name="_Toc4979"/>
      <w:bookmarkStart w:id="879" w:name="_Toc10106"/>
      <w:bookmarkStart w:id="880" w:name="_Toc23761"/>
      <w:bookmarkStart w:id="881" w:name="_Toc32540"/>
      <w:r>
        <w:rPr>
          <w:rFonts w:hint="eastAsia" w:ascii="宋体" w:hAnsi="宋体" w:eastAsia="宋体" w:cs="宋体"/>
          <w:color w:val="auto"/>
          <w:sz w:val="28"/>
          <w:szCs w:val="36"/>
          <w:highlight w:val="none"/>
        </w:rPr>
        <w:t>五、投标人资格证明文件</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7"/>
      <w:bookmarkEnd w:id="878"/>
      <w:bookmarkEnd w:id="879"/>
      <w:bookmarkEnd w:id="880"/>
      <w:bookmarkEnd w:id="881"/>
    </w:p>
    <w:p w14:paraId="4374334C">
      <w:pPr>
        <w:rPr>
          <w:rFonts w:hint="eastAsia" w:ascii="宋体" w:hAnsi="宋体" w:eastAsia="宋体" w:cs="宋体"/>
          <w:b/>
          <w:bCs/>
          <w:color w:val="auto"/>
          <w:sz w:val="28"/>
          <w:szCs w:val="32"/>
          <w:highlight w:val="none"/>
        </w:rPr>
      </w:pPr>
      <w:bookmarkStart w:id="882" w:name="_Toc31420"/>
      <w:bookmarkStart w:id="883" w:name="_Toc104991876"/>
      <w:bookmarkStart w:id="884" w:name="_Toc28382"/>
      <w:bookmarkStart w:id="885" w:name="_Toc102860419"/>
      <w:bookmarkStart w:id="886" w:name="_Toc94107210"/>
      <w:bookmarkStart w:id="887" w:name="_Toc140596929"/>
      <w:bookmarkStart w:id="888" w:name="_Toc102860075"/>
      <w:bookmarkStart w:id="889" w:name="_Toc142508370"/>
      <w:bookmarkStart w:id="890" w:name="_Toc1977726"/>
      <w:r>
        <w:rPr>
          <w:rFonts w:hint="eastAsia" w:ascii="宋体" w:hAnsi="宋体" w:eastAsia="宋体" w:cs="宋体"/>
          <w:b/>
          <w:bCs/>
          <w:color w:val="auto"/>
          <w:sz w:val="28"/>
          <w:szCs w:val="32"/>
          <w:highlight w:val="none"/>
        </w:rPr>
        <w:t>5.1 多证合一营业执照（或事业单位法人证书）复印件</w:t>
      </w:r>
      <w:bookmarkEnd w:id="882"/>
      <w:bookmarkEnd w:id="883"/>
      <w:bookmarkEnd w:id="884"/>
      <w:bookmarkEnd w:id="885"/>
      <w:bookmarkEnd w:id="886"/>
      <w:bookmarkEnd w:id="887"/>
      <w:bookmarkEnd w:id="888"/>
      <w:bookmarkEnd w:id="889"/>
    </w:p>
    <w:p w14:paraId="00306918">
      <w:pPr>
        <w:rPr>
          <w:rFonts w:hint="eastAsia" w:ascii="宋体" w:hAnsi="宋体" w:eastAsia="宋体" w:cs="宋体"/>
          <w:color w:val="auto"/>
          <w:sz w:val="28"/>
          <w:szCs w:val="32"/>
          <w:highlight w:val="none"/>
        </w:rPr>
      </w:pPr>
      <w:bookmarkStart w:id="891" w:name="_Toc104991877"/>
      <w:bookmarkStart w:id="892" w:name="_Toc142508371"/>
      <w:bookmarkStart w:id="893" w:name="_Toc102860076"/>
      <w:bookmarkStart w:id="894" w:name="_Toc9489"/>
      <w:bookmarkStart w:id="895" w:name="_Toc26345"/>
      <w:bookmarkStart w:id="896" w:name="_Toc140596930"/>
      <w:bookmarkStart w:id="897" w:name="_Toc102860420"/>
      <w:bookmarkStart w:id="898" w:name="_Toc94107211"/>
      <w:r>
        <w:rPr>
          <w:rFonts w:hint="eastAsia" w:ascii="宋体" w:hAnsi="宋体" w:eastAsia="宋体" w:cs="宋体"/>
          <w:color w:val="auto"/>
          <w:sz w:val="28"/>
          <w:szCs w:val="32"/>
          <w:highlight w:val="none"/>
        </w:rPr>
        <w:br w:type="page"/>
      </w:r>
    </w:p>
    <w:p w14:paraId="13064DE7">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91"/>
      <w:bookmarkEnd w:id="892"/>
      <w:bookmarkEnd w:id="893"/>
      <w:bookmarkEnd w:id="894"/>
      <w:bookmarkEnd w:id="895"/>
      <w:bookmarkEnd w:id="896"/>
      <w:bookmarkEnd w:id="897"/>
      <w:bookmarkEnd w:id="898"/>
    </w:p>
    <w:p w14:paraId="08FCE542">
      <w:pPr>
        <w:rPr>
          <w:rFonts w:hint="eastAsia" w:ascii="宋体" w:hAnsi="宋体" w:eastAsia="宋体" w:cs="宋体"/>
          <w:b/>
          <w:color w:val="auto"/>
          <w:kern w:val="0"/>
          <w:sz w:val="30"/>
          <w:szCs w:val="30"/>
          <w:highlight w:val="none"/>
        </w:rPr>
      </w:pPr>
      <w:bookmarkStart w:id="899" w:name="_Toc102860421"/>
      <w:bookmarkStart w:id="900" w:name="_Toc644"/>
      <w:bookmarkStart w:id="901" w:name="_Toc104991878"/>
      <w:bookmarkStart w:id="902" w:name="_Toc21657"/>
      <w:bookmarkStart w:id="903" w:name="_Toc94107212"/>
      <w:bookmarkStart w:id="904" w:name="_Toc102860077"/>
      <w:bookmarkStart w:id="905" w:name="_Toc142508372"/>
      <w:bookmarkStart w:id="906" w:name="_Toc140596931"/>
      <w:r>
        <w:rPr>
          <w:rFonts w:hint="eastAsia" w:ascii="宋体" w:hAnsi="宋体" w:eastAsia="宋体" w:cs="宋体"/>
          <w:b/>
          <w:color w:val="auto"/>
          <w:kern w:val="0"/>
          <w:sz w:val="30"/>
          <w:szCs w:val="30"/>
          <w:highlight w:val="none"/>
        </w:rPr>
        <w:br w:type="page"/>
      </w:r>
    </w:p>
    <w:p w14:paraId="69A0AB64">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5.3 法定代表人身份证明书原件、法定代表人授权书原件格式（法定代表人投标时只需提供法定代表人身份证明书，委托他人为投标代表或签署投标文件时需同时提供法定代表人授权书）</w:t>
      </w:r>
      <w:bookmarkEnd w:id="899"/>
      <w:bookmarkEnd w:id="900"/>
      <w:bookmarkEnd w:id="901"/>
      <w:bookmarkEnd w:id="902"/>
      <w:bookmarkEnd w:id="903"/>
      <w:bookmarkEnd w:id="904"/>
      <w:bookmarkEnd w:id="905"/>
      <w:bookmarkEnd w:id="906"/>
    </w:p>
    <w:p w14:paraId="4B3EC764">
      <w:pP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（1）法定代表人身份证明书格式</w:t>
      </w:r>
      <w:bookmarkEnd w:id="874"/>
      <w:bookmarkEnd w:id="875"/>
      <w:bookmarkEnd w:id="876"/>
      <w:bookmarkEnd w:id="890"/>
    </w:p>
    <w:p w14:paraId="67515A72">
      <w:pPr>
        <w:jc w:val="center"/>
        <w:rPr>
          <w:rFonts w:hint="eastAsia" w:ascii="宋体" w:hAnsi="宋体" w:eastAsia="宋体" w:cs="宋体"/>
          <w:b/>
          <w:bCs/>
          <w:color w:val="auto"/>
          <w:sz w:val="28"/>
          <w:szCs w:val="32"/>
          <w:highlight w:val="none"/>
        </w:rPr>
      </w:pPr>
      <w:bookmarkStart w:id="907" w:name="_Toc11033_WPSOffice_Level3"/>
      <w:r>
        <w:rPr>
          <w:rFonts w:hint="eastAsia" w:ascii="宋体" w:hAnsi="宋体" w:eastAsia="宋体" w:cs="宋体"/>
          <w:b/>
          <w:bCs/>
          <w:color w:val="auto"/>
          <w:sz w:val="28"/>
          <w:szCs w:val="32"/>
          <w:highlight w:val="none"/>
        </w:rPr>
        <w:t>法定代</w:t>
      </w:r>
      <w:bookmarkStart w:id="908" w:name="_Toc45995270"/>
      <w:bookmarkStart w:id="909" w:name="_Toc36971359"/>
      <w:r>
        <w:rPr>
          <w:rFonts w:hint="eastAsia" w:ascii="宋体" w:hAnsi="宋体" w:eastAsia="宋体" w:cs="宋体"/>
          <w:b/>
          <w:bCs/>
          <w:color w:val="auto"/>
          <w:sz w:val="28"/>
          <w:szCs w:val="32"/>
          <w:highlight w:val="none"/>
        </w:rPr>
        <w:t>表人身份证明书</w:t>
      </w:r>
      <w:bookmarkEnd w:id="907"/>
    </w:p>
    <w:bookmarkEnd w:id="908"/>
    <w:bookmarkEnd w:id="909"/>
    <w:p w14:paraId="73854C18">
      <w:pPr>
        <w:rPr>
          <w:rFonts w:hint="eastAsia" w:ascii="宋体" w:hAnsi="宋体" w:eastAsia="宋体" w:cs="宋体"/>
          <w:color w:val="auto"/>
          <w:highlight w:val="none"/>
        </w:rPr>
      </w:pPr>
    </w:p>
    <w:p w14:paraId="16F91807">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F17D259">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6FC844C">
      <w:pPr>
        <w:ind w:left="840" w:left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CBC9617">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AD6AE0C">
      <w:pPr>
        <w:ind w:left="840" w:leftChars="400"/>
        <w:rPr>
          <w:rFonts w:hint="eastAsia" w:ascii="宋体" w:hAnsi="宋体" w:eastAsia="宋体" w:cs="宋体"/>
          <w:color w:val="auto"/>
          <w:highlight w:val="none"/>
        </w:rPr>
      </w:pPr>
      <w:r>
        <w:rPr>
          <w:rFonts w:hint="eastAsia" w:ascii="宋体" w:hAnsi="宋体" w:eastAsia="宋体" w:cs="宋体"/>
          <w:color w:val="auto"/>
          <w:highlight w:val="none"/>
        </w:rPr>
        <w:t>主营（产）：</w:t>
      </w:r>
    </w:p>
    <w:p w14:paraId="300944C1">
      <w:pPr>
        <w:ind w:left="840" w:leftChars="400"/>
        <w:rPr>
          <w:rFonts w:hint="eastAsia" w:ascii="宋体" w:hAnsi="宋体" w:eastAsia="宋体" w:cs="宋体"/>
          <w:color w:val="auto"/>
          <w:highlight w:val="none"/>
        </w:rPr>
      </w:pPr>
      <w:r>
        <w:rPr>
          <w:rFonts w:hint="eastAsia" w:ascii="宋体" w:hAnsi="宋体" w:eastAsia="宋体" w:cs="宋体"/>
          <w:color w:val="auto"/>
          <w:highlight w:val="none"/>
        </w:rPr>
        <w:t>兼营（产）：</w:t>
      </w:r>
    </w:p>
    <w:p w14:paraId="1D78E7C5">
      <w:pPr>
        <w:rPr>
          <w:rFonts w:hint="eastAsia" w:ascii="宋体" w:hAnsi="宋体" w:eastAsia="宋体" w:cs="宋体"/>
          <w:color w:val="auto"/>
          <w:highlight w:val="none"/>
        </w:rPr>
      </w:pPr>
    </w:p>
    <w:p w14:paraId="283944EF">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AB6E510">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08D11E4D">
      <w:pPr>
        <w:rPr>
          <w:rFonts w:hint="eastAsia" w:ascii="宋体" w:hAnsi="宋体" w:eastAsia="宋体" w:cs="宋体"/>
          <w:color w:val="auto"/>
          <w:szCs w:val="24"/>
          <w:highlight w:val="none"/>
          <w:lang w:val="zh-CN"/>
        </w:rPr>
      </w:pPr>
      <w:r>
        <w:rPr>
          <w:rFonts w:hint="eastAsia" w:ascii="宋体" w:hAnsi="宋体" w:eastAsia="宋体" w:cs="宋体"/>
          <w:color w:val="auto"/>
          <w:highlight w:val="none"/>
        </w:rPr>
        <w:t xml:space="preserve">附：法定代表人身份证复印件 </w:t>
      </w:r>
    </w:p>
    <w:p w14:paraId="517D71C6">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C302A90"/>
                          <w:p w14:paraId="71497CCA"/>
                          <w:p w14:paraId="61380103"/>
                          <w:p w14:paraId="43A462A7">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C302A90"/>
                    <w:p w14:paraId="71497CCA"/>
                    <w:p w14:paraId="61380103"/>
                    <w:p w14:paraId="43A462A7">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C36B4C1"/>
                          <w:p w14:paraId="0BAA4257"/>
                          <w:p w14:paraId="5FC45400"/>
                          <w:p w14:paraId="0C0ED6E9">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C36B4C1"/>
                    <w:p w14:paraId="0BAA4257"/>
                    <w:p w14:paraId="5FC45400"/>
                    <w:p w14:paraId="0C0ED6E9">
                      <w:pPr>
                        <w:jc w:val="center"/>
                      </w:pPr>
                      <w:r>
                        <w:rPr>
                          <w:rFonts w:hint="eastAsia"/>
                          <w:szCs w:val="21"/>
                        </w:rPr>
                        <w:t>法定代表人身份证反面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FD6CD30"/>
                          <w:p w14:paraId="02B0F7CC"/>
                          <w:p w14:paraId="0AD19C71"/>
                          <w:p w14:paraId="56E7CF28"/>
                          <w:p w14:paraId="7A3753F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FD6CD30"/>
                    <w:p w14:paraId="02B0F7CC"/>
                    <w:p w14:paraId="0AD19C71"/>
                    <w:p w14:paraId="56E7CF28"/>
                    <w:p w14:paraId="7A3753F9">
                      <w:pPr>
                        <w:jc w:val="center"/>
                      </w:pPr>
                      <w:r>
                        <w:rPr>
                          <w:rFonts w:hint="eastAsia"/>
                        </w:rPr>
                        <w:t>身份证正面</w:t>
                      </w:r>
                    </w:p>
                  </w:txbxContent>
                </v:textbox>
              </v:shape>
            </w:pict>
          </mc:Fallback>
        </mc:AlternateContent>
      </w:r>
    </w:p>
    <w:p w14:paraId="4361D43C">
      <w:pPr>
        <w:jc w:val="left"/>
        <w:rPr>
          <w:rFonts w:hint="eastAsia" w:ascii="宋体" w:hAnsi="宋体" w:eastAsia="宋体" w:cs="宋体"/>
          <w:color w:val="auto"/>
          <w:kern w:val="0"/>
          <w:sz w:val="24"/>
          <w:szCs w:val="24"/>
          <w:highlight w:val="none"/>
        </w:rPr>
      </w:pPr>
    </w:p>
    <w:p w14:paraId="1C61BC3A">
      <w:pPr>
        <w:jc w:val="left"/>
        <w:rPr>
          <w:rFonts w:hint="eastAsia" w:ascii="宋体" w:hAnsi="宋体" w:eastAsia="宋体" w:cs="宋体"/>
          <w:color w:val="auto"/>
          <w:kern w:val="0"/>
          <w:sz w:val="24"/>
          <w:szCs w:val="24"/>
          <w:highlight w:val="none"/>
        </w:rPr>
      </w:pPr>
    </w:p>
    <w:p w14:paraId="7FB54B87">
      <w:pPr>
        <w:jc w:val="left"/>
        <w:rPr>
          <w:rFonts w:hint="eastAsia" w:ascii="宋体" w:hAnsi="宋体" w:eastAsia="宋体" w:cs="宋体"/>
          <w:color w:val="auto"/>
          <w:kern w:val="0"/>
          <w:sz w:val="24"/>
          <w:szCs w:val="24"/>
          <w:highlight w:val="none"/>
        </w:rPr>
      </w:pPr>
    </w:p>
    <w:p w14:paraId="2E480E69">
      <w:pPr>
        <w:jc w:val="left"/>
        <w:rPr>
          <w:rFonts w:hint="eastAsia" w:ascii="宋体" w:hAnsi="宋体" w:eastAsia="宋体" w:cs="宋体"/>
          <w:color w:val="auto"/>
          <w:kern w:val="0"/>
          <w:sz w:val="24"/>
          <w:szCs w:val="24"/>
          <w:highlight w:val="none"/>
        </w:rPr>
      </w:pPr>
    </w:p>
    <w:p w14:paraId="16E2225B">
      <w:pPr>
        <w:jc w:val="left"/>
        <w:rPr>
          <w:rFonts w:hint="eastAsia" w:ascii="宋体" w:hAnsi="宋体" w:eastAsia="宋体" w:cs="宋体"/>
          <w:color w:val="auto"/>
          <w:kern w:val="0"/>
          <w:sz w:val="24"/>
          <w:szCs w:val="24"/>
          <w:highlight w:val="none"/>
        </w:rPr>
      </w:pPr>
    </w:p>
    <w:p w14:paraId="306587D8">
      <w:pPr>
        <w:jc w:val="left"/>
        <w:rPr>
          <w:rFonts w:hint="eastAsia" w:ascii="宋体" w:hAnsi="宋体" w:eastAsia="宋体" w:cs="宋体"/>
          <w:color w:val="auto"/>
          <w:kern w:val="0"/>
          <w:sz w:val="24"/>
          <w:szCs w:val="24"/>
          <w:highlight w:val="none"/>
        </w:rPr>
      </w:pPr>
    </w:p>
    <w:p w14:paraId="5F619558">
      <w:pPr>
        <w:rPr>
          <w:rFonts w:hint="eastAsia" w:ascii="宋体" w:hAnsi="宋体" w:eastAsia="宋体" w:cs="宋体"/>
          <w:color w:val="auto"/>
          <w:highlight w:val="none"/>
        </w:rPr>
      </w:pPr>
    </w:p>
    <w:p w14:paraId="51A2FEF8">
      <w:pPr>
        <w:rPr>
          <w:rFonts w:hint="eastAsia" w:ascii="宋体" w:hAnsi="宋体" w:eastAsia="宋体" w:cs="宋体"/>
          <w:b/>
          <w:bCs/>
          <w:color w:val="auto"/>
          <w:highlight w:val="none"/>
        </w:rPr>
      </w:pPr>
      <w:r>
        <w:rPr>
          <w:rFonts w:hint="eastAsia" w:ascii="宋体" w:hAnsi="宋体" w:eastAsia="宋体" w:cs="宋体"/>
          <w:b/>
          <w:bCs/>
          <w:color w:val="auto"/>
          <w:highlight w:val="none"/>
        </w:rPr>
        <w:t>注：法定代表人身份证须在有效期限内。</w:t>
      </w:r>
    </w:p>
    <w:p w14:paraId="4DFC9627">
      <w:pPr>
        <w:jc w:val="left"/>
        <w:rPr>
          <w:rFonts w:hint="eastAsia" w:ascii="宋体" w:hAnsi="宋体" w:eastAsia="宋体" w:cs="宋体"/>
          <w:color w:val="auto"/>
          <w:kern w:val="0"/>
          <w:szCs w:val="21"/>
          <w:highlight w:val="none"/>
        </w:rPr>
      </w:pPr>
    </w:p>
    <w:p w14:paraId="27DCDE0C">
      <w:pPr>
        <w:rPr>
          <w:rFonts w:hint="eastAsia" w:ascii="宋体" w:hAnsi="宋体" w:eastAsia="宋体" w:cs="宋体"/>
          <w:color w:val="auto"/>
          <w:highlight w:val="none"/>
          <w:lang w:val="zh-CN"/>
        </w:rPr>
      </w:pPr>
      <w:r>
        <w:rPr>
          <w:rFonts w:hint="eastAsia" w:ascii="宋体" w:hAnsi="宋体" w:eastAsia="宋体" w:cs="宋体"/>
          <w:color w:val="auto"/>
          <w:szCs w:val="24"/>
          <w:highlight w:val="none"/>
          <w:lang w:val="zh-CN"/>
        </w:rPr>
        <w:br w:type="page"/>
      </w:r>
      <w:bookmarkEnd w:id="807"/>
      <w:bookmarkEnd w:id="808"/>
      <w:bookmarkEnd w:id="809"/>
      <w:bookmarkStart w:id="910" w:name="_Toc1977727"/>
      <w:bookmarkStart w:id="911" w:name="_Toc6240_WPSOffice_Level2"/>
      <w:bookmarkStart w:id="912" w:name="_Toc486167713"/>
      <w:bookmarkStart w:id="913" w:name="_Toc533708125"/>
      <w:r>
        <w:rPr>
          <w:rFonts w:hint="eastAsia" w:ascii="宋体" w:hAnsi="宋体" w:eastAsia="宋体" w:cs="宋体"/>
          <w:b/>
          <w:bCs/>
          <w:color w:val="auto"/>
          <w:sz w:val="24"/>
          <w:szCs w:val="28"/>
          <w:highlight w:val="none"/>
        </w:rPr>
        <w:t>（2）法定代表人授权书格式</w:t>
      </w:r>
      <w:bookmarkEnd w:id="910"/>
      <w:bookmarkEnd w:id="911"/>
      <w:bookmarkEnd w:id="912"/>
      <w:bookmarkEnd w:id="913"/>
    </w:p>
    <w:p w14:paraId="2DB63C5B">
      <w:pPr>
        <w:jc w:val="center"/>
        <w:rPr>
          <w:rFonts w:hint="eastAsia" w:ascii="宋体" w:hAnsi="宋体" w:eastAsia="宋体" w:cs="宋体"/>
          <w:color w:val="auto"/>
          <w:highlight w:val="none"/>
          <w:lang w:val="zh-CN"/>
        </w:rPr>
      </w:pPr>
      <w:bookmarkStart w:id="914" w:name="_Toc29146_WPSOffice_Level3"/>
      <w:r>
        <w:rPr>
          <w:rFonts w:hint="eastAsia" w:ascii="宋体" w:hAnsi="宋体" w:eastAsia="宋体" w:cs="宋体"/>
          <w:b/>
          <w:bCs/>
          <w:color w:val="auto"/>
          <w:sz w:val="30"/>
          <w:szCs w:val="30"/>
          <w:highlight w:val="none"/>
          <w:lang w:val="zh-CN"/>
        </w:rPr>
        <w:t>法定代表人授权书</w:t>
      </w:r>
      <w:bookmarkEnd w:id="914"/>
    </w:p>
    <w:p w14:paraId="60A6F9AE">
      <w:pP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zh-CN"/>
        </w:rPr>
        <w:t>致：</w:t>
      </w:r>
      <w:r>
        <w:rPr>
          <w:rFonts w:hint="eastAsia" w:ascii="宋体" w:hAnsi="宋体" w:eastAsia="宋体" w:cs="宋体"/>
          <w:color w:val="auto"/>
          <w:kern w:val="0"/>
          <w:szCs w:val="21"/>
          <w:highlight w:val="none"/>
          <w:u w:val="single"/>
          <w:lang w:eastAsia="zh-CN"/>
        </w:rPr>
        <w:t>东莞市碧水信息科技有限公司</w:t>
      </w:r>
    </w:p>
    <w:p w14:paraId="7797B2B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w:t>
      </w:r>
      <w:r>
        <w:rPr>
          <w:rFonts w:hint="eastAsia" w:ascii="宋体" w:hAnsi="宋体" w:eastAsia="宋体" w:cs="宋体"/>
          <w:color w:val="auto"/>
          <w:szCs w:val="24"/>
          <w:highlight w:val="none"/>
        </w:rPr>
        <w:t>名</w:t>
      </w:r>
      <w:r>
        <w:rPr>
          <w:rFonts w:hint="eastAsia" w:ascii="宋体" w:hAnsi="宋体" w:eastAsia="宋体" w:cs="宋体"/>
          <w:color w:val="auto"/>
          <w:szCs w:val="24"/>
          <w:highlight w:val="none"/>
          <w:lang w:val="zh-CN"/>
        </w:rPr>
        <w:t>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w:t>
      </w:r>
      <w:r>
        <w:rPr>
          <w:rFonts w:hint="eastAsia" w:ascii="宋体" w:hAnsi="宋体" w:eastAsia="宋体" w:cs="宋体"/>
          <w:color w:val="auto"/>
          <w:szCs w:val="24"/>
          <w:highlight w:val="none"/>
        </w:rPr>
        <w:t>名</w:t>
      </w:r>
      <w:r>
        <w:rPr>
          <w:rFonts w:hint="eastAsia" w:ascii="宋体" w:hAnsi="宋体" w:eastAsia="宋体" w:cs="宋体"/>
          <w:color w:val="auto"/>
          <w:szCs w:val="24"/>
          <w:highlight w:val="none"/>
          <w:lang w:val="zh-CN"/>
        </w:rPr>
        <w:t>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 w:val="21"/>
          <w:szCs w:val="21"/>
          <w:highlight w:val="none"/>
          <w:lang w:val="zh-CN" w:eastAsia="zh-CN" w:bidi="ar-SA"/>
        </w:rPr>
        <w:t>东莞市碧水信息科技有限公司2025年度球墨铸铁阀门采购项目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en-US" w:eastAsia="zh-CN"/>
        </w:rPr>
        <w:t>YDZB25DGQY0149</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DBF7CE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5C38F3C">
      <w:pPr>
        <w:rPr>
          <w:rFonts w:hint="eastAsia" w:ascii="宋体" w:hAnsi="宋体" w:eastAsia="宋体" w:cs="宋体"/>
          <w:color w:val="auto"/>
          <w:highlight w:val="none"/>
        </w:rPr>
      </w:pPr>
    </w:p>
    <w:p w14:paraId="30F87C3C">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  标  人：（加盖投标人法人公章）</w:t>
      </w:r>
    </w:p>
    <w:p w14:paraId="2B08294C">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投标人地址：</w:t>
      </w:r>
    </w:p>
    <w:p w14:paraId="3FEB5853">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法定代表人（签名或盖私章）：</w:t>
      </w:r>
    </w:p>
    <w:p w14:paraId="276BFA66">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职　　　务：</w:t>
      </w:r>
    </w:p>
    <w:p w14:paraId="632953A1">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被授权人（签名或盖私章）：</w:t>
      </w:r>
    </w:p>
    <w:p w14:paraId="6EBD8488">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职　　　务：</w:t>
      </w:r>
    </w:p>
    <w:p w14:paraId="067D9263">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被授权人联系手机：</w:t>
      </w:r>
    </w:p>
    <w:p w14:paraId="0F5D035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子 邮 箱：</w:t>
      </w:r>
    </w:p>
    <w:p w14:paraId="19BCC082">
      <w:pP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附：法定代表人、被授权人身份证复印件</w:t>
      </w:r>
    </w:p>
    <w:p w14:paraId="594AEC23">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C66F38D"/>
                          <w:p w14:paraId="1108E05C"/>
                          <w:p w14:paraId="5D978045"/>
                          <w:p w14:paraId="58A864E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1C66F38D"/>
                    <w:p w14:paraId="1108E05C"/>
                    <w:p w14:paraId="5D978045"/>
                    <w:p w14:paraId="58A864E9">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41E1941"/>
                          <w:p w14:paraId="03648F8F"/>
                          <w:p w14:paraId="3FF16815"/>
                          <w:p w14:paraId="7E514B86">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541E1941"/>
                    <w:p w14:paraId="03648F8F"/>
                    <w:p w14:paraId="3FF16815"/>
                    <w:p w14:paraId="7E514B86">
                      <w:pPr>
                        <w:jc w:val="center"/>
                      </w:pPr>
                      <w:r>
                        <w:rPr>
                          <w:rFonts w:hint="eastAsia"/>
                          <w:szCs w:val="21"/>
                        </w:rPr>
                        <w:t>法定代表人身份证反面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CFC056C"/>
                          <w:p w14:paraId="73EF4694"/>
                          <w:p w14:paraId="07D83084"/>
                          <w:p w14:paraId="6B3162EC"/>
                          <w:p w14:paraId="63005F1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1CFC056C"/>
                    <w:p w14:paraId="73EF4694"/>
                    <w:p w14:paraId="07D83084"/>
                    <w:p w14:paraId="6B3162EC"/>
                    <w:p w14:paraId="63005F19">
                      <w:pPr>
                        <w:jc w:val="center"/>
                      </w:pPr>
                      <w:r>
                        <w:rPr>
                          <w:rFonts w:hint="eastAsia"/>
                        </w:rPr>
                        <w:t>身份证正面</w:t>
                      </w:r>
                    </w:p>
                  </w:txbxContent>
                </v:textbox>
              </v:shape>
            </w:pict>
          </mc:Fallback>
        </mc:AlternateContent>
      </w:r>
    </w:p>
    <w:p w14:paraId="637E24A5">
      <w:pPr>
        <w:jc w:val="left"/>
        <w:rPr>
          <w:rFonts w:hint="eastAsia" w:ascii="宋体" w:hAnsi="宋体" w:eastAsia="宋体" w:cs="宋体"/>
          <w:color w:val="auto"/>
          <w:kern w:val="0"/>
          <w:sz w:val="24"/>
          <w:szCs w:val="24"/>
          <w:highlight w:val="none"/>
        </w:rPr>
      </w:pPr>
    </w:p>
    <w:p w14:paraId="7C9D3323">
      <w:pPr>
        <w:jc w:val="left"/>
        <w:rPr>
          <w:rFonts w:hint="eastAsia" w:ascii="宋体" w:hAnsi="宋体" w:eastAsia="宋体" w:cs="宋体"/>
          <w:color w:val="auto"/>
          <w:kern w:val="0"/>
          <w:sz w:val="24"/>
          <w:szCs w:val="24"/>
          <w:highlight w:val="none"/>
        </w:rPr>
      </w:pPr>
    </w:p>
    <w:p w14:paraId="36F813E4">
      <w:pPr>
        <w:jc w:val="left"/>
        <w:rPr>
          <w:rFonts w:hint="eastAsia" w:ascii="宋体" w:hAnsi="宋体" w:eastAsia="宋体" w:cs="宋体"/>
          <w:color w:val="auto"/>
          <w:kern w:val="0"/>
          <w:sz w:val="24"/>
          <w:szCs w:val="24"/>
          <w:highlight w:val="none"/>
        </w:rPr>
      </w:pPr>
    </w:p>
    <w:p w14:paraId="06697856">
      <w:pPr>
        <w:jc w:val="left"/>
        <w:rPr>
          <w:rFonts w:hint="eastAsia" w:ascii="宋体" w:hAnsi="宋体" w:eastAsia="宋体" w:cs="宋体"/>
          <w:color w:val="auto"/>
          <w:kern w:val="0"/>
          <w:sz w:val="24"/>
          <w:szCs w:val="24"/>
          <w:highlight w:val="none"/>
        </w:rPr>
      </w:pPr>
    </w:p>
    <w:p w14:paraId="730077C3">
      <w:pPr>
        <w:jc w:val="left"/>
        <w:rPr>
          <w:rFonts w:hint="eastAsia" w:ascii="宋体" w:hAnsi="宋体" w:eastAsia="宋体" w:cs="宋体"/>
          <w:color w:val="auto"/>
          <w:kern w:val="0"/>
          <w:sz w:val="24"/>
          <w:szCs w:val="24"/>
          <w:highlight w:val="none"/>
        </w:rPr>
      </w:pPr>
    </w:p>
    <w:p w14:paraId="2B12E6FB">
      <w:pPr>
        <w:jc w:val="left"/>
        <w:rPr>
          <w:rFonts w:hint="eastAsia" w:ascii="宋体" w:hAnsi="宋体" w:eastAsia="宋体" w:cs="宋体"/>
          <w:color w:val="auto"/>
          <w:kern w:val="0"/>
          <w:sz w:val="24"/>
          <w:szCs w:val="24"/>
          <w:highlight w:val="none"/>
        </w:rPr>
      </w:pPr>
    </w:p>
    <w:p w14:paraId="1DCE7395">
      <w:pPr>
        <w:rPr>
          <w:rFonts w:hint="eastAsia" w:ascii="宋体" w:hAnsi="宋体" w:eastAsia="宋体" w:cs="宋体"/>
          <w:color w:val="auto"/>
          <w:highlight w:val="none"/>
        </w:rPr>
      </w:pPr>
    </w:p>
    <w:p w14:paraId="18B1AFC9">
      <w:pPr>
        <w:rPr>
          <w:rFonts w:hint="eastAsia" w:ascii="宋体" w:hAnsi="宋体" w:eastAsia="宋体" w:cs="宋体"/>
          <w:color w:val="auto"/>
          <w:highlight w:val="none"/>
        </w:rPr>
      </w:pPr>
    </w:p>
    <w:p w14:paraId="22A25A38">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B4CC732"/>
                          <w:p w14:paraId="277A4F3C"/>
                          <w:p w14:paraId="100E40E0"/>
                          <w:p w14:paraId="1B1F0709">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3B4CC732"/>
                    <w:p w14:paraId="277A4F3C"/>
                    <w:p w14:paraId="100E40E0"/>
                    <w:p w14:paraId="1B1F0709">
                      <w:pPr>
                        <w:jc w:val="center"/>
                        <w:rPr>
                          <w:szCs w:val="21"/>
                        </w:rPr>
                      </w:pPr>
                      <w:r>
                        <w:rPr>
                          <w:rFonts w:hint="eastAsia"/>
                          <w:szCs w:val="21"/>
                        </w:rPr>
                        <w:t>被授权人身份证正面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DB453DF"/>
                          <w:p w14:paraId="2F382228"/>
                          <w:p w14:paraId="4F69672D"/>
                          <w:p w14:paraId="796220C1">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3DB453DF"/>
                    <w:p w14:paraId="2F382228"/>
                    <w:p w14:paraId="4F69672D"/>
                    <w:p w14:paraId="796220C1">
                      <w:pPr>
                        <w:jc w:val="center"/>
                      </w:pPr>
                      <w:r>
                        <w:rPr>
                          <w:rFonts w:hint="eastAsia"/>
                          <w:szCs w:val="21"/>
                        </w:rPr>
                        <w:t>被授权人身份证反面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05A1E66"/>
                          <w:p w14:paraId="7DF1B17E"/>
                          <w:p w14:paraId="6C458BE7"/>
                          <w:p w14:paraId="7CFA4521"/>
                          <w:p w14:paraId="4CCD0AD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505A1E66"/>
                    <w:p w14:paraId="7DF1B17E"/>
                    <w:p w14:paraId="6C458BE7"/>
                    <w:p w14:paraId="7CFA4521"/>
                    <w:p w14:paraId="4CCD0ADD">
                      <w:pPr>
                        <w:jc w:val="center"/>
                      </w:pPr>
                      <w:r>
                        <w:rPr>
                          <w:rFonts w:hint="eastAsia"/>
                        </w:rPr>
                        <w:t>身份证正面</w:t>
                      </w:r>
                    </w:p>
                  </w:txbxContent>
                </v:textbox>
              </v:shape>
            </w:pict>
          </mc:Fallback>
        </mc:AlternateContent>
      </w:r>
    </w:p>
    <w:p w14:paraId="1DB31C56">
      <w:pPr>
        <w:jc w:val="left"/>
        <w:rPr>
          <w:rFonts w:hint="eastAsia" w:ascii="宋体" w:hAnsi="宋体" w:eastAsia="宋体" w:cs="宋体"/>
          <w:color w:val="auto"/>
          <w:kern w:val="0"/>
          <w:sz w:val="24"/>
          <w:szCs w:val="24"/>
          <w:highlight w:val="none"/>
        </w:rPr>
      </w:pPr>
    </w:p>
    <w:p w14:paraId="523F23F4">
      <w:pPr>
        <w:jc w:val="left"/>
        <w:rPr>
          <w:rFonts w:hint="eastAsia" w:ascii="宋体" w:hAnsi="宋体" w:eastAsia="宋体" w:cs="宋体"/>
          <w:color w:val="auto"/>
          <w:kern w:val="0"/>
          <w:sz w:val="24"/>
          <w:szCs w:val="24"/>
          <w:highlight w:val="none"/>
        </w:rPr>
      </w:pPr>
    </w:p>
    <w:p w14:paraId="01164B84">
      <w:pPr>
        <w:jc w:val="left"/>
        <w:rPr>
          <w:rFonts w:hint="eastAsia" w:ascii="宋体" w:hAnsi="宋体" w:eastAsia="宋体" w:cs="宋体"/>
          <w:color w:val="auto"/>
          <w:kern w:val="0"/>
          <w:sz w:val="24"/>
          <w:szCs w:val="24"/>
          <w:highlight w:val="none"/>
        </w:rPr>
      </w:pPr>
    </w:p>
    <w:p w14:paraId="673EC469">
      <w:pPr>
        <w:jc w:val="left"/>
        <w:rPr>
          <w:rFonts w:hint="eastAsia" w:ascii="宋体" w:hAnsi="宋体" w:eastAsia="宋体" w:cs="宋体"/>
          <w:color w:val="auto"/>
          <w:kern w:val="0"/>
          <w:sz w:val="24"/>
          <w:szCs w:val="24"/>
          <w:highlight w:val="none"/>
        </w:rPr>
      </w:pPr>
    </w:p>
    <w:p w14:paraId="08D58C85">
      <w:pPr>
        <w:jc w:val="left"/>
        <w:rPr>
          <w:rFonts w:hint="eastAsia" w:ascii="宋体" w:hAnsi="宋体" w:eastAsia="宋体" w:cs="宋体"/>
          <w:color w:val="auto"/>
          <w:kern w:val="0"/>
          <w:sz w:val="24"/>
          <w:szCs w:val="24"/>
          <w:highlight w:val="none"/>
        </w:rPr>
      </w:pPr>
    </w:p>
    <w:p w14:paraId="3CA832A2">
      <w:pPr>
        <w:jc w:val="left"/>
        <w:rPr>
          <w:rFonts w:hint="eastAsia" w:ascii="宋体" w:hAnsi="宋体" w:eastAsia="宋体" w:cs="宋体"/>
          <w:color w:val="auto"/>
          <w:kern w:val="0"/>
          <w:sz w:val="24"/>
          <w:szCs w:val="24"/>
          <w:highlight w:val="none"/>
        </w:rPr>
      </w:pPr>
    </w:p>
    <w:p w14:paraId="34542A1D">
      <w:pPr>
        <w:rPr>
          <w:rFonts w:hint="eastAsia" w:ascii="宋体" w:hAnsi="宋体" w:eastAsia="宋体" w:cs="宋体"/>
          <w:color w:val="auto"/>
          <w:highlight w:val="none"/>
        </w:rPr>
      </w:pPr>
    </w:p>
    <w:p w14:paraId="5DB9A92D">
      <w:pPr>
        <w:rPr>
          <w:rFonts w:hint="eastAsia" w:ascii="宋体" w:hAnsi="宋体" w:eastAsia="宋体" w:cs="宋体"/>
          <w:b/>
          <w:bCs/>
          <w:color w:val="auto"/>
          <w:highlight w:val="none"/>
        </w:rPr>
      </w:pPr>
      <w:r>
        <w:rPr>
          <w:rFonts w:hint="eastAsia" w:ascii="宋体" w:hAnsi="宋体" w:eastAsia="宋体" w:cs="宋体"/>
          <w:b/>
          <w:bCs/>
          <w:color w:val="auto"/>
          <w:highlight w:val="none"/>
        </w:rPr>
        <w:t>注：上述所附身份证应在有效期限内。</w:t>
      </w:r>
      <w:bookmarkStart w:id="915" w:name="_Toc178076612"/>
      <w:bookmarkStart w:id="916" w:name="_Toc8338"/>
      <w:bookmarkStart w:id="917" w:name="_Toc30070"/>
      <w:bookmarkStart w:id="918" w:name="_Toc176627933"/>
      <w:bookmarkStart w:id="919" w:name="_Toc2290"/>
      <w:bookmarkStart w:id="920" w:name="_Toc6535"/>
      <w:bookmarkStart w:id="921" w:name="_Toc21492"/>
      <w:bookmarkStart w:id="922" w:name="_Toc18595"/>
      <w:bookmarkStart w:id="923" w:name="_Toc13532"/>
      <w:bookmarkStart w:id="924" w:name="_Toc140596933"/>
      <w:bookmarkStart w:id="925" w:name="_Toc142508373"/>
      <w:bookmarkStart w:id="926" w:name="_Toc1977730"/>
      <w:bookmarkStart w:id="927" w:name="_Toc104991880"/>
      <w:bookmarkStart w:id="928" w:name="_Toc94107214"/>
    </w:p>
    <w:p w14:paraId="45F09270">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2C29D2E4">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en-US" w:eastAsia="zh-CN"/>
        </w:rPr>
        <w:t>5.4</w:t>
      </w:r>
      <w:r>
        <w:rPr>
          <w:rFonts w:hint="eastAsia" w:ascii="宋体" w:hAnsi="宋体" w:eastAsia="宋体" w:cs="宋体"/>
          <w:b/>
          <w:bCs/>
          <w:color w:val="auto"/>
          <w:sz w:val="28"/>
          <w:szCs w:val="32"/>
          <w:highlight w:val="none"/>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3A6EA297">
      <w:pPr>
        <w:bidi w:val="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（1）制造商资格声明</w:t>
      </w:r>
    </w:p>
    <w:p w14:paraId="79E568AD">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名称及概况：</w:t>
      </w:r>
    </w:p>
    <w:p w14:paraId="3C44A189">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3C6D4B41">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4E876E9F">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577CC763">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06EF73E1">
      <w:pPr>
        <w:autoSpaceDE w:val="0"/>
        <w:adjustRightInd w:val="0"/>
        <w:snapToGrid w:val="0"/>
        <w:spacing w:line="360" w:lineRule="auto"/>
        <w:ind w:firstLine="210" w:firstLineChars="1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5D8980A3">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6E96D03E">
      <w:pPr>
        <w:autoSpaceDE w:val="0"/>
        <w:adjustRightInd w:val="0"/>
        <w:snapToGrid w:val="0"/>
        <w:spacing w:line="360" w:lineRule="auto"/>
        <w:ind w:firstLine="210" w:firstLineChars="1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6BA59B79">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281638E0">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制造投标货物的主要设备、设施及有关情况：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0628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9A54A1B">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D7432CF">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251CBEF">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C34C0D0">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E53A336">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46680B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职工人数</w:t>
            </w:r>
          </w:p>
        </w:tc>
      </w:tr>
      <w:tr w14:paraId="2D8E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5CDF848">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FAFB8D2">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60A3DA06">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BA059D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660DE44">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5252BBE">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r w14:paraId="13D4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8088FC3">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728A3F0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4147FE3E">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7EAABE3">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D079D9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5620AE5">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bl>
    <w:p w14:paraId="3BCC9877">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投标货物中本制造商不生产，而需从其它制造商购买的主要材料：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56C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AE6B407">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5C612A8E">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7F30FB9B">
            <w:pPr>
              <w:autoSpaceDE w:val="0"/>
              <w:autoSpaceDN w:val="0"/>
              <w:adjustRightInd w:val="0"/>
              <w:snapToGrid w:val="0"/>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r>
      <w:tr w14:paraId="3AF1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4C09A4E">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36BDD45">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24BE12E8">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r w14:paraId="7AF4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EB107F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EF8C5A6">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56011DC3">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bl>
    <w:p w14:paraId="3FF47668">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近三年该货物主要销售给国内、外主要客户的名称地址：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CC6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9691A6D">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648DE23">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7935541">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3631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743E4FA">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444EA84">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3F400975">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p>
        </w:tc>
      </w:tr>
      <w:tr w14:paraId="234F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2D088A3">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C656DFC">
            <w:pPr>
              <w:autoSpaceDE w:val="0"/>
              <w:autoSpaceDN w:val="0"/>
              <w:adjustRightInd w:val="0"/>
              <w:snapToGrid w:val="0"/>
              <w:spacing w:line="360" w:lineRule="auto"/>
              <w:ind w:left="357"/>
              <w:jc w:val="center"/>
              <w:rPr>
                <w:rFonts w:hint="eastAsia" w:ascii="宋体" w:hAnsi="宋体" w:eastAsia="宋体" w:cs="宋体"/>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AD12C30">
            <w:pPr>
              <w:autoSpaceDE w:val="0"/>
              <w:autoSpaceDN w:val="0"/>
              <w:adjustRightInd w:val="0"/>
              <w:snapToGrid w:val="0"/>
              <w:spacing w:line="360" w:lineRule="auto"/>
              <w:ind w:left="357"/>
              <w:jc w:val="center"/>
              <w:rPr>
                <w:rFonts w:hint="eastAsia" w:ascii="宋体" w:hAnsi="宋体" w:eastAsia="宋体" w:cs="宋体"/>
                <w:color w:val="auto"/>
                <w:szCs w:val="21"/>
                <w:highlight w:val="none"/>
              </w:rPr>
            </w:pPr>
          </w:p>
        </w:tc>
      </w:tr>
    </w:tbl>
    <w:p w14:paraId="4B666540">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生产及管理人员</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2D7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8C456FD">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07F2E42">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4F7A30F">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3404EA">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E65F299">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7DDF4D7">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8D98D3E">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06F0418">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65D8FF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15E33A3B">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备注</w:t>
            </w:r>
          </w:p>
        </w:tc>
      </w:tr>
      <w:tr w14:paraId="01A4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7ADA2C9">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91F8DEC">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CB8B7EB">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AE8BF89">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95E5CDA">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5776CB2">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96EBA3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843B3AC">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1FB53B6">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D66F398">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r w14:paraId="7471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ECF196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979C2C2">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4E650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3681158">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425FE4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29173CAF">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30F1278">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34815AA">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0B6440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4C03D9A">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bl>
    <w:p w14:paraId="7C88B7C3">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其他情况：(公司简介、技术力量、本制造商生产投标货物的经验等)</w:t>
      </w:r>
    </w:p>
    <w:p w14:paraId="3FDB108B">
      <w:pPr>
        <w:autoSpaceDE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C817DEC">
      <w:pPr>
        <w:autoSpaceDE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0F2E9775">
      <w:pPr>
        <w:autoSpaceDE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2EF0F991">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51EE8EC1">
      <w:pPr>
        <w:autoSpaceDE w:val="0"/>
        <w:autoSpaceDN w:val="0"/>
        <w:adjustRightInd w:val="0"/>
        <w:snapToGri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2F4B9F0A">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15A099CB">
      <w:pPr>
        <w:autoSpaceDE w:val="0"/>
        <w:adjustRightInd w:val="0"/>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24068D2B">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04710B13">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47F10C71">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63087162">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076ECF0B">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1790737">
      <w:pPr>
        <w:autoSpaceDE w:val="0"/>
        <w:adjustRightIn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66192ADA">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zh-CN"/>
        </w:rPr>
        <w:br w:type="page"/>
      </w:r>
    </w:p>
    <w:p w14:paraId="6E10DDE2">
      <w:pPr>
        <w:bidi w:val="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（2）制造商售后服务承诺函及独家授权书</w:t>
      </w:r>
    </w:p>
    <w:p w14:paraId="1ED97313">
      <w:pPr>
        <w:bidi w:val="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①制造商售后服务承诺函</w:t>
      </w:r>
    </w:p>
    <w:p w14:paraId="1016F181">
      <w:pPr>
        <w:autoSpaceDE w:val="0"/>
        <w:adjustRightInd w:val="0"/>
        <w:spacing w:line="360" w:lineRule="auto"/>
        <w:ind w:firstLine="1054" w:firstLineChars="50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投标人为制造商时提供。</w:t>
      </w:r>
      <w:r>
        <w:rPr>
          <w:rFonts w:hint="eastAsia" w:ascii="宋体" w:hAnsi="宋体" w:eastAsia="宋体" w:cs="宋体"/>
          <w:b/>
          <w:color w:val="auto"/>
          <w:szCs w:val="21"/>
          <w:highlight w:val="none"/>
          <w:lang w:bidi="ar"/>
        </w:rPr>
        <w:t>）</w:t>
      </w:r>
    </w:p>
    <w:p w14:paraId="6990D9C7">
      <w:pPr>
        <w:autoSpaceDE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eastAsia="zh-CN" w:bidi="ar"/>
        </w:rPr>
        <w:t>东莞市碧水信息科技有限公司</w:t>
      </w:r>
    </w:p>
    <w:p w14:paraId="0CAEB2A8">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bCs/>
          <w:color w:val="auto"/>
          <w:kern w:val="0"/>
          <w:sz w:val="21"/>
          <w:szCs w:val="21"/>
          <w:highlight w:val="none"/>
          <w:lang w:val="zh-CN" w:eastAsia="zh-CN" w:bidi="ar"/>
        </w:rPr>
        <w:t>东莞市碧水信息科技有限公司2025年度球墨铸铁阀门采购项目</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val="en-US" w:eastAsia="zh-CN" w:bidi="ar"/>
        </w:rPr>
        <w:t>YDZB25DGQY0149</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427BE296">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4C8DEE53">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内提供免费的质保期保修服务，质保期自本项目所有设备验收合格之日起算（以设备整体验收报告日期为准）。</w:t>
      </w:r>
    </w:p>
    <w:p w14:paraId="320C12FA">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5681A2D1">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6C5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F95C380">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31F6F59C">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5F8355F5">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C2EB024">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5678636">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49999FB3">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0079DC27">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514B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9C61BEC">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05861FCC">
            <w:pPr>
              <w:autoSpaceDE w:val="0"/>
              <w:adjustRightInd w:val="0"/>
              <w:spacing w:line="360" w:lineRule="auto"/>
              <w:jc w:val="left"/>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DB6E093">
            <w:pPr>
              <w:autoSpaceDE w:val="0"/>
              <w:adjustRightInd w:val="0"/>
              <w:spacing w:line="360" w:lineRule="auto"/>
              <w:jc w:val="left"/>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9B2BAFF">
            <w:pPr>
              <w:autoSpaceDE w:val="0"/>
              <w:adjustRightInd w:val="0"/>
              <w:spacing w:line="360" w:lineRule="auto"/>
              <w:jc w:val="left"/>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76B4813">
            <w:pPr>
              <w:autoSpaceDE w:val="0"/>
              <w:adjustRightInd w:val="0"/>
              <w:spacing w:line="360" w:lineRule="auto"/>
              <w:jc w:val="left"/>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BBD08D4">
            <w:pPr>
              <w:autoSpaceDE w:val="0"/>
              <w:adjustRightInd w:val="0"/>
              <w:spacing w:line="360" w:lineRule="auto"/>
              <w:jc w:val="left"/>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B5CADA0">
            <w:pPr>
              <w:autoSpaceDE w:val="0"/>
              <w:adjustRightInd w:val="0"/>
              <w:spacing w:line="360" w:lineRule="auto"/>
              <w:jc w:val="left"/>
              <w:rPr>
                <w:rFonts w:hint="eastAsia" w:ascii="宋体" w:hAnsi="宋体" w:eastAsia="宋体" w:cs="宋体"/>
                <w:color w:val="auto"/>
                <w:szCs w:val="21"/>
                <w:highlight w:val="none"/>
              </w:rPr>
            </w:pPr>
          </w:p>
        </w:tc>
      </w:tr>
      <w:tr w14:paraId="19F5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D99FB00">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4DEDA66">
            <w:pPr>
              <w:autoSpaceDE w:val="0"/>
              <w:adjustRightInd w:val="0"/>
              <w:spacing w:line="360" w:lineRule="auto"/>
              <w:jc w:val="left"/>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5BC9B3A">
            <w:pPr>
              <w:autoSpaceDE w:val="0"/>
              <w:adjustRightInd w:val="0"/>
              <w:spacing w:line="360" w:lineRule="auto"/>
              <w:jc w:val="left"/>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2EAD889D">
            <w:pPr>
              <w:autoSpaceDE w:val="0"/>
              <w:adjustRightInd w:val="0"/>
              <w:spacing w:line="360" w:lineRule="auto"/>
              <w:jc w:val="left"/>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856F10A">
            <w:pPr>
              <w:autoSpaceDE w:val="0"/>
              <w:adjustRightInd w:val="0"/>
              <w:spacing w:line="360" w:lineRule="auto"/>
              <w:jc w:val="left"/>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6DBE0EB">
            <w:pPr>
              <w:autoSpaceDE w:val="0"/>
              <w:adjustRightInd w:val="0"/>
              <w:spacing w:line="360" w:lineRule="auto"/>
              <w:jc w:val="left"/>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B833E94">
            <w:pPr>
              <w:autoSpaceDE w:val="0"/>
              <w:adjustRightInd w:val="0"/>
              <w:spacing w:line="360" w:lineRule="auto"/>
              <w:jc w:val="left"/>
              <w:rPr>
                <w:rFonts w:hint="eastAsia" w:ascii="宋体" w:hAnsi="宋体" w:eastAsia="宋体" w:cs="宋体"/>
                <w:color w:val="auto"/>
                <w:szCs w:val="21"/>
                <w:highlight w:val="none"/>
              </w:rPr>
            </w:pPr>
          </w:p>
        </w:tc>
      </w:tr>
      <w:tr w14:paraId="5947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93E01C2">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24E8F0F">
            <w:pPr>
              <w:autoSpaceDE w:val="0"/>
              <w:adjustRightInd w:val="0"/>
              <w:spacing w:line="360" w:lineRule="auto"/>
              <w:jc w:val="left"/>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FA0A220">
            <w:pPr>
              <w:autoSpaceDE w:val="0"/>
              <w:adjustRightInd w:val="0"/>
              <w:spacing w:line="360" w:lineRule="auto"/>
              <w:jc w:val="left"/>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5D88651">
            <w:pPr>
              <w:autoSpaceDE w:val="0"/>
              <w:adjustRightInd w:val="0"/>
              <w:spacing w:line="360" w:lineRule="auto"/>
              <w:jc w:val="left"/>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3AED84A">
            <w:pPr>
              <w:autoSpaceDE w:val="0"/>
              <w:adjustRightInd w:val="0"/>
              <w:spacing w:line="360" w:lineRule="auto"/>
              <w:jc w:val="left"/>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13C51E6">
            <w:pPr>
              <w:autoSpaceDE w:val="0"/>
              <w:adjustRightInd w:val="0"/>
              <w:spacing w:line="360" w:lineRule="auto"/>
              <w:jc w:val="left"/>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CB41B1A">
            <w:pPr>
              <w:autoSpaceDE w:val="0"/>
              <w:adjustRightInd w:val="0"/>
              <w:spacing w:line="360" w:lineRule="auto"/>
              <w:jc w:val="left"/>
              <w:rPr>
                <w:rFonts w:hint="eastAsia" w:ascii="宋体" w:hAnsi="宋体" w:eastAsia="宋体" w:cs="宋体"/>
                <w:color w:val="auto"/>
                <w:szCs w:val="21"/>
                <w:highlight w:val="none"/>
              </w:rPr>
            </w:pPr>
          </w:p>
        </w:tc>
      </w:tr>
    </w:tbl>
    <w:p w14:paraId="7A0B8B41">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692297E0">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1D3EABFF">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0CFF53E9">
      <w:pPr>
        <w:autoSpaceDE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393F3524">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5F8992A">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83D905E">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A3DE7FE">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124F3121">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0D9D9B2C">
      <w:pPr>
        <w:autoSpaceDE w:val="0"/>
        <w:adjustRightIn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2FB893D9">
      <w:pPr>
        <w:autoSpaceDE w:val="0"/>
        <w:adjustRightIn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0ABFAFA3">
      <w:pPr>
        <w:pageBreakBefore/>
        <w:autoSpaceDE w:val="0"/>
        <w:autoSpaceDN w:val="0"/>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②</w:t>
      </w:r>
      <w:r>
        <w:rPr>
          <w:rFonts w:hint="eastAsia" w:ascii="宋体" w:hAnsi="宋体" w:eastAsia="宋体" w:cs="宋体"/>
          <w:b/>
          <w:bCs/>
          <w:color w:val="auto"/>
          <w:kern w:val="0"/>
          <w:sz w:val="24"/>
          <w:szCs w:val="24"/>
          <w:highlight w:val="none"/>
          <w:lang w:bidi="ar"/>
        </w:rPr>
        <w:t>制造商独家授权书</w:t>
      </w:r>
    </w:p>
    <w:p w14:paraId="6F0D07D1">
      <w:pPr>
        <w:autoSpaceDE w:val="0"/>
        <w:autoSpaceDN w:val="0"/>
        <w:adjustRightIn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4D907443">
      <w:pPr>
        <w:autoSpaceDE w:val="0"/>
        <w:autoSpaceDN w:val="0"/>
        <w:adjustRightInd w:val="0"/>
        <w:spacing w:before="120" w:beforeLines="50" w:after="120" w:afterLines="5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eastAsia="zh-CN" w:bidi="ar"/>
        </w:rPr>
        <w:t>东莞市碧水信息科技有限公司</w:t>
      </w:r>
    </w:p>
    <w:p w14:paraId="4E67B210">
      <w:pPr>
        <w:autoSpaceDE w:val="0"/>
        <w:autoSpaceDN w:val="0"/>
        <w:adjustRightInd w:val="0"/>
        <w:snapToGrid w:val="0"/>
        <w:spacing w:before="120" w:beforeLines="50" w:after="120" w:afterLines="50"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 w:val="21"/>
          <w:szCs w:val="21"/>
          <w:highlight w:val="none"/>
          <w:lang w:val="zh-CN" w:eastAsia="zh-CN" w:bidi="ar"/>
        </w:rPr>
        <w:t>东莞市碧水信息科技有限公司2025年度球墨铸铁阀门采购项目</w:t>
      </w:r>
      <w:r>
        <w:rPr>
          <w:rFonts w:hint="eastAsia" w:ascii="宋体" w:hAnsi="宋体" w:eastAsia="宋体" w:cs="宋体"/>
          <w:color w:val="auto"/>
          <w:kern w:val="0"/>
          <w:szCs w:val="21"/>
          <w:highlight w:val="none"/>
          <w:u w:val="single"/>
          <w:lang w:bidi="ar"/>
        </w:rPr>
        <w:t>（招标编号：</w:t>
      </w:r>
      <w:r>
        <w:rPr>
          <w:rFonts w:hint="eastAsia" w:ascii="宋体" w:hAnsi="宋体" w:eastAsia="宋体" w:cs="宋体"/>
          <w:color w:val="auto"/>
          <w:kern w:val="0"/>
          <w:szCs w:val="21"/>
          <w:highlight w:val="none"/>
          <w:u w:val="single"/>
          <w:lang w:val="en-US" w:eastAsia="zh-CN" w:bidi="ar"/>
        </w:rPr>
        <w:t>YDZB25DGQY0149</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4C4A0E44">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我方确认，投标人就</w:t>
      </w:r>
      <w:r>
        <w:rPr>
          <w:rFonts w:hint="eastAsia" w:ascii="宋体" w:hAnsi="宋体" w:eastAsia="宋体" w:cs="宋体"/>
          <w:b/>
          <w:bCs/>
          <w:color w:val="auto"/>
          <w:kern w:val="0"/>
          <w:sz w:val="21"/>
          <w:szCs w:val="21"/>
          <w:highlight w:val="none"/>
          <w:lang w:val="zh-CN" w:eastAsia="zh-CN" w:bidi="ar"/>
        </w:rPr>
        <w:t>东莞市碧水信息科技有限公司2025年度球墨铸铁阀门采购项目</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val="en-US" w:eastAsia="zh-CN" w:bidi="ar"/>
        </w:rPr>
        <w:t>YDZB25DGQY0149</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580138C1">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作为产品制造商，我方对我方提供货物的质量和售后服务承担全部责任。本次提供的货物按以下方式提供售后服务：</w:t>
      </w:r>
    </w:p>
    <w:p w14:paraId="58D2C0E2">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14:paraId="00C18794">
      <w:pPr>
        <w:bidi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19C15D60">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7D50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91EFD75">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0B9CED76">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1C91859D">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F2F4C99">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737E0876">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2966D6FE">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6179B147">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34C7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C55B560">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5B84DFD">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F4407B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0332178">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17CEDE4">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60E4F3F">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CEB813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r>
      <w:tr w14:paraId="607E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670C8B5">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675B5E6F">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9555F14">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CA8C3D8">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2208054">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280AE0C">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B82FEBF">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r>
      <w:tr w14:paraId="3DC5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72F1DBB">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295995E6">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3A0F38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B15BA3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170A73B">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ED1128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37BEA16">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r>
    </w:tbl>
    <w:p w14:paraId="49569EE9">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3282BB4">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59B68993">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本授权函不得进行二次授权或转授权，否则无效。</w:t>
      </w:r>
    </w:p>
    <w:p w14:paraId="31CC99ED">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1A1F1AB">
      <w:pPr>
        <w:autoSpaceDE w:val="0"/>
        <w:autoSpaceDN w:val="0"/>
        <w:adjustRightInd w:val="0"/>
        <w:snapToGrid w:val="0"/>
        <w:spacing w:before="120" w:beforeLines="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50028E5E">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147873F4">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E5566E1">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476A67A">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7E1ABA88">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491AD639">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656DA472">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74054823">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kern w:val="0"/>
          <w:szCs w:val="21"/>
          <w:highlight w:val="none"/>
          <w:lang w:bidi="ar"/>
        </w:rPr>
        <w:t xml:space="preserve"> 备注：投标文件正本内必须提供原件。</w:t>
      </w:r>
    </w:p>
    <w:p w14:paraId="6A2C579F">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5BBF1A42">
      <w:pPr>
        <w:jc w:val="left"/>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32"/>
          <w:highlight w:val="none"/>
          <w:lang w:val="zh-CN"/>
        </w:rPr>
        <w:t>5.</w:t>
      </w:r>
      <w:r>
        <w:rPr>
          <w:rFonts w:hint="eastAsia" w:ascii="宋体" w:hAnsi="宋体" w:eastAsia="宋体" w:cs="宋体"/>
          <w:b/>
          <w:bCs/>
          <w:color w:val="auto"/>
          <w:sz w:val="28"/>
          <w:szCs w:val="32"/>
          <w:highlight w:val="none"/>
          <w:lang w:val="en-US" w:eastAsia="zh-CN"/>
        </w:rPr>
        <w:t>5</w:t>
      </w:r>
      <w:r>
        <w:rPr>
          <w:rFonts w:hint="eastAsia" w:ascii="宋体" w:hAnsi="宋体" w:eastAsia="宋体" w:cs="宋体"/>
          <w:b/>
          <w:bCs/>
          <w:color w:val="auto"/>
          <w:sz w:val="28"/>
          <w:szCs w:val="32"/>
          <w:highlight w:val="none"/>
          <w:lang w:val="zh-CN"/>
        </w:rPr>
        <w:t xml:space="preserve"> 资格业绩【</w:t>
      </w:r>
      <w:r>
        <w:rPr>
          <w:rFonts w:hint="eastAsia" w:ascii="宋体" w:hAnsi="宋体" w:eastAsia="宋体" w:cs="宋体"/>
          <w:b/>
          <w:bCs/>
          <w:color w:val="auto"/>
          <w:sz w:val="28"/>
          <w:szCs w:val="28"/>
          <w:highlight w:val="none"/>
          <w:lang w:val="zh-CN"/>
        </w:rPr>
        <w:t>投标人至少提供一份2022年1月1日以来投标品牌球墨铸铁阀门在国内的销售业绩（合同签订日期为2022年1月1日或以后）】</w:t>
      </w:r>
    </w:p>
    <w:tbl>
      <w:tblPr>
        <w:tblStyle w:val="20"/>
        <w:tblW w:w="43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634"/>
        <w:gridCol w:w="1249"/>
        <w:gridCol w:w="1185"/>
        <w:gridCol w:w="1067"/>
        <w:gridCol w:w="1815"/>
        <w:gridCol w:w="1426"/>
      </w:tblGrid>
      <w:tr w14:paraId="6B44B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2F3E75A6">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6DF4AC8C">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项目名称</w:t>
            </w:r>
          </w:p>
        </w:tc>
        <w:tc>
          <w:tcPr>
            <w:tcW w:w="1249" w:type="dxa"/>
            <w:tcBorders>
              <w:top w:val="single" w:color="auto" w:sz="4" w:space="0"/>
              <w:left w:val="single" w:color="auto" w:sz="4" w:space="0"/>
              <w:bottom w:val="single" w:color="auto" w:sz="4" w:space="0"/>
              <w:right w:val="single" w:color="auto" w:sz="4" w:space="0"/>
            </w:tcBorders>
            <w:vAlign w:val="center"/>
          </w:tcPr>
          <w:p w14:paraId="6B6AD61C">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482B62BD">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签约日期</w:t>
            </w:r>
          </w:p>
        </w:tc>
        <w:tc>
          <w:tcPr>
            <w:tcW w:w="1067" w:type="dxa"/>
            <w:tcBorders>
              <w:top w:val="single" w:color="auto" w:sz="4" w:space="0"/>
              <w:left w:val="single" w:color="auto" w:sz="4" w:space="0"/>
              <w:bottom w:val="single" w:color="auto" w:sz="4" w:space="0"/>
              <w:right w:val="single" w:color="auto" w:sz="4" w:space="0"/>
            </w:tcBorders>
            <w:vAlign w:val="center"/>
          </w:tcPr>
          <w:p w14:paraId="2821F46C">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完成情况</w:t>
            </w:r>
          </w:p>
        </w:tc>
        <w:tc>
          <w:tcPr>
            <w:tcW w:w="1815" w:type="dxa"/>
            <w:tcBorders>
              <w:top w:val="single" w:color="auto" w:sz="4" w:space="0"/>
              <w:left w:val="single" w:color="auto" w:sz="4" w:space="0"/>
              <w:bottom w:val="single" w:color="auto" w:sz="4" w:space="0"/>
              <w:right w:val="single" w:color="auto" w:sz="4" w:space="0"/>
            </w:tcBorders>
            <w:vAlign w:val="center"/>
          </w:tcPr>
          <w:p w14:paraId="7807C9C9">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58F2DC16">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备注</w:t>
            </w:r>
          </w:p>
        </w:tc>
      </w:tr>
      <w:tr w14:paraId="2D5E7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4581F4F">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1634" w:type="dxa"/>
            <w:tcBorders>
              <w:top w:val="single" w:color="auto" w:sz="4" w:space="0"/>
              <w:left w:val="single" w:color="auto" w:sz="4" w:space="0"/>
              <w:bottom w:val="single" w:color="auto" w:sz="4" w:space="0"/>
              <w:right w:val="single" w:color="auto" w:sz="4" w:space="0"/>
            </w:tcBorders>
            <w:vAlign w:val="center"/>
          </w:tcPr>
          <w:p w14:paraId="4FA63CAE">
            <w:pPr>
              <w:jc w:val="center"/>
              <w:rPr>
                <w:rFonts w:hint="eastAsia" w:ascii="宋体" w:hAnsi="宋体" w:eastAsia="宋体" w:cs="宋体"/>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1EB36AFD">
            <w:pPr>
              <w:jc w:val="center"/>
              <w:rPr>
                <w:rFonts w:hint="eastAsia" w:ascii="宋体" w:hAnsi="宋体" w:eastAsia="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0C010CF">
            <w:pPr>
              <w:jc w:val="center"/>
              <w:rPr>
                <w:rFonts w:hint="eastAsia" w:ascii="宋体" w:hAnsi="宋体" w:eastAsia="宋体" w:cs="宋体"/>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0A91DA50">
            <w:pPr>
              <w:jc w:val="center"/>
              <w:rPr>
                <w:rFonts w:hint="eastAsia" w:ascii="宋体" w:hAnsi="宋体" w:eastAsia="宋体" w:cs="宋体"/>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7355A633">
            <w:pPr>
              <w:jc w:val="center"/>
              <w:rPr>
                <w:rFonts w:hint="eastAsia" w:ascii="宋体" w:hAnsi="宋体" w:eastAsia="宋体" w:cs="宋体"/>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6F0C6DD8">
            <w:pPr>
              <w:jc w:val="center"/>
              <w:rPr>
                <w:rFonts w:hint="eastAsia" w:ascii="宋体" w:hAnsi="宋体" w:eastAsia="宋体" w:cs="宋体"/>
                <w:color w:val="auto"/>
                <w:szCs w:val="21"/>
                <w:highlight w:val="none"/>
              </w:rPr>
            </w:pPr>
          </w:p>
        </w:tc>
      </w:tr>
      <w:tr w14:paraId="1043C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EADFF1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34" w:type="dxa"/>
            <w:tcBorders>
              <w:top w:val="single" w:color="auto" w:sz="4" w:space="0"/>
              <w:left w:val="single" w:color="auto" w:sz="4" w:space="0"/>
              <w:bottom w:val="single" w:color="auto" w:sz="4" w:space="0"/>
              <w:right w:val="single" w:color="auto" w:sz="4" w:space="0"/>
            </w:tcBorders>
            <w:vAlign w:val="center"/>
          </w:tcPr>
          <w:p w14:paraId="78830B06">
            <w:pPr>
              <w:jc w:val="center"/>
              <w:rPr>
                <w:rFonts w:hint="eastAsia" w:ascii="宋体" w:hAnsi="宋体" w:eastAsia="宋体" w:cs="宋体"/>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49996134">
            <w:pPr>
              <w:jc w:val="center"/>
              <w:rPr>
                <w:rFonts w:hint="eastAsia" w:ascii="宋体" w:hAnsi="宋体" w:eastAsia="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136E0C2">
            <w:pPr>
              <w:jc w:val="center"/>
              <w:rPr>
                <w:rFonts w:hint="eastAsia" w:ascii="宋体" w:hAnsi="宋体" w:eastAsia="宋体" w:cs="宋体"/>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3E562F7A">
            <w:pPr>
              <w:jc w:val="center"/>
              <w:rPr>
                <w:rFonts w:hint="eastAsia" w:ascii="宋体" w:hAnsi="宋体" w:eastAsia="宋体" w:cs="宋体"/>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6FEF4817">
            <w:pPr>
              <w:jc w:val="center"/>
              <w:rPr>
                <w:rFonts w:hint="eastAsia" w:ascii="宋体" w:hAnsi="宋体" w:eastAsia="宋体" w:cs="宋体"/>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A412D95">
            <w:pPr>
              <w:jc w:val="center"/>
              <w:rPr>
                <w:rFonts w:hint="eastAsia" w:ascii="宋体" w:hAnsi="宋体" w:eastAsia="宋体" w:cs="宋体"/>
                <w:color w:val="auto"/>
                <w:szCs w:val="21"/>
                <w:highlight w:val="none"/>
              </w:rPr>
            </w:pPr>
          </w:p>
        </w:tc>
      </w:tr>
    </w:tbl>
    <w:p w14:paraId="4A0DD31C">
      <w:pP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资格业绩证明材料提交要求：</w:t>
      </w:r>
      <w:r>
        <w:rPr>
          <w:rFonts w:hint="eastAsia" w:ascii="宋体" w:hAnsi="宋体" w:eastAsia="宋体" w:cs="宋体"/>
          <w:color w:val="auto"/>
          <w:highlight w:val="none"/>
          <w:lang w:val="zh-CN"/>
        </w:rPr>
        <w:t xml:space="preserve"> </w:t>
      </w:r>
    </w:p>
    <w:p w14:paraId="10FEF23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（1）作为投标人资格条件证明的业绩放置在此处；</w:t>
      </w:r>
    </w:p>
    <w:p w14:paraId="2F9BE8D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（2）业绩须同时提供①投标品牌球墨铸铁阀门销售合同复印件；②已供货产品任意一张发票复印件（发票开具日期须在本项目招标公告发布之日前）；</w:t>
      </w:r>
    </w:p>
    <w:p w14:paraId="4622AB58">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（3）若合同无法反映评审条件【合同签订日期为2022年1月1日或以后、合同标的必须包含投标品牌</w:t>
      </w:r>
      <w:r>
        <w:rPr>
          <w:rFonts w:hint="eastAsia" w:ascii="宋体" w:hAnsi="宋体" w:eastAsia="宋体" w:cs="宋体"/>
          <w:color w:val="auto"/>
          <w:kern w:val="2"/>
          <w:sz w:val="21"/>
          <w:szCs w:val="22"/>
          <w:highlight w:val="none"/>
          <w:lang w:val="zh-CN" w:eastAsia="zh-CN" w:bidi="ar-SA"/>
        </w:rPr>
        <w:t>球墨铸铁阀门</w:t>
      </w:r>
      <w:r>
        <w:rPr>
          <w:rFonts w:hint="eastAsia" w:ascii="宋体" w:hAnsi="宋体" w:eastAsia="宋体" w:cs="宋体"/>
          <w:color w:val="auto"/>
          <w:highlight w:val="none"/>
          <w:lang w:val="zh-CN"/>
        </w:rPr>
        <w:t>)</w:t>
      </w:r>
      <w:r>
        <w:rPr>
          <w:rFonts w:hint="eastAsia" w:ascii="宋体" w:hAnsi="宋体" w:eastAsia="宋体" w:cs="宋体"/>
          <w:color w:val="auto"/>
          <w:sz w:val="21"/>
          <w:highlight w:val="none"/>
          <w:lang w:val="zh-CN"/>
        </w:rPr>
        <w:t>】</w:t>
      </w:r>
      <w:r>
        <w:rPr>
          <w:rFonts w:hint="eastAsia" w:ascii="宋体" w:hAnsi="宋体" w:eastAsia="宋体" w:cs="宋体"/>
          <w:color w:val="auto"/>
          <w:highlight w:val="none"/>
          <w:lang w:val="zh-CN"/>
        </w:rPr>
        <w:t>的，还需提供产品购买方出具的书面补充说明文件复印件作为辅助证明（需显示购买方公章）；</w:t>
      </w:r>
    </w:p>
    <w:p w14:paraId="62F9355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（4）未按上述要求在此格式下提供证明材料的业绩，或在此格式下所附材料无法证明符合资格要求的业绩，按无效投标文件处理</w:t>
      </w:r>
      <w:r>
        <w:rPr>
          <w:rFonts w:hint="eastAsia" w:ascii="宋体" w:hAnsi="宋体" w:eastAsia="宋体" w:cs="宋体"/>
          <w:b w:val="0"/>
          <w:bCs w:val="0"/>
          <w:color w:val="auto"/>
          <w:highlight w:val="none"/>
          <w:lang w:val="zh-CN"/>
        </w:rPr>
        <w:t>。</w:t>
      </w:r>
    </w:p>
    <w:bookmarkEnd w:id="915"/>
    <w:bookmarkEnd w:id="916"/>
    <w:bookmarkEnd w:id="917"/>
    <w:bookmarkEnd w:id="918"/>
    <w:bookmarkEnd w:id="919"/>
    <w:bookmarkEnd w:id="920"/>
    <w:bookmarkEnd w:id="921"/>
    <w:bookmarkEnd w:id="922"/>
    <w:bookmarkEnd w:id="923"/>
    <w:p w14:paraId="5276F14E">
      <w:pPr>
        <w:rPr>
          <w:rFonts w:hint="eastAsia" w:ascii="宋体" w:hAnsi="宋体" w:eastAsia="宋体" w:cs="宋体"/>
          <w:color w:val="auto"/>
          <w:highlight w:val="none"/>
        </w:rPr>
      </w:pPr>
      <w:bookmarkStart w:id="929" w:name="_Toc8979"/>
      <w:bookmarkStart w:id="930" w:name="_Toc31879"/>
    </w:p>
    <w:p w14:paraId="067C3A13">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br w:type="page"/>
      </w:r>
    </w:p>
    <w:p w14:paraId="1B84A928">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w:t>
      </w:r>
      <w:r>
        <w:rPr>
          <w:rFonts w:hint="eastAsia" w:ascii="宋体" w:hAnsi="宋体" w:eastAsia="宋体" w:cs="宋体"/>
          <w:b/>
          <w:bCs/>
          <w:color w:val="auto"/>
          <w:sz w:val="28"/>
          <w:szCs w:val="32"/>
          <w:highlight w:val="none"/>
          <w:lang w:val="en-US" w:eastAsia="zh-CN"/>
        </w:rPr>
        <w:t>6</w:t>
      </w:r>
      <w:r>
        <w:rPr>
          <w:rFonts w:hint="eastAsia" w:ascii="宋体" w:hAnsi="宋体" w:eastAsia="宋体" w:cs="宋体"/>
          <w:b/>
          <w:bCs/>
          <w:color w:val="auto"/>
          <w:sz w:val="28"/>
          <w:szCs w:val="32"/>
          <w:highlight w:val="none"/>
        </w:rPr>
        <w:t xml:space="preserve"> 投标人所供球墨铸铁阀门具有有效的省级以上(含省级)卫生行政主管部门颁发的《涉及饮用水卫生安全产品卫生许可批件》；</w:t>
      </w:r>
    </w:p>
    <w:p w14:paraId="4E852F2A">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br w:type="page"/>
      </w:r>
    </w:p>
    <w:p w14:paraId="180DF253">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en-US" w:eastAsia="zh-CN"/>
        </w:rPr>
        <w:t xml:space="preserve">5.7 </w:t>
      </w:r>
      <w:r>
        <w:rPr>
          <w:rFonts w:hint="eastAsia" w:ascii="宋体" w:hAnsi="宋体" w:eastAsia="宋体" w:cs="宋体"/>
          <w:b/>
          <w:bCs/>
          <w:color w:val="auto"/>
          <w:sz w:val="28"/>
          <w:szCs w:val="32"/>
          <w:highlight w:val="none"/>
        </w:rPr>
        <w:t>最近3年投标人牵涉的其他（失信和违法）处罚说明格式</w:t>
      </w:r>
      <w:bookmarkEnd w:id="924"/>
      <w:bookmarkEnd w:id="925"/>
      <w:bookmarkEnd w:id="926"/>
      <w:bookmarkEnd w:id="927"/>
      <w:bookmarkEnd w:id="928"/>
      <w:bookmarkEnd w:id="929"/>
      <w:bookmarkEnd w:id="930"/>
    </w:p>
    <w:p w14:paraId="2C1953E2">
      <w:pPr>
        <w:jc w:val="center"/>
        <w:rPr>
          <w:rFonts w:hint="eastAsia" w:ascii="宋体" w:hAnsi="宋体" w:eastAsia="宋体" w:cs="宋体"/>
          <w:color w:val="auto"/>
          <w:highlight w:val="none"/>
          <w:lang w:val="zh-CN"/>
        </w:rPr>
      </w:pPr>
      <w:r>
        <w:rPr>
          <w:rFonts w:hint="eastAsia" w:ascii="宋体" w:hAnsi="宋体" w:eastAsia="宋体" w:cs="宋体"/>
          <w:b/>
          <w:bCs/>
          <w:color w:val="auto"/>
          <w:sz w:val="28"/>
          <w:szCs w:val="32"/>
          <w:highlight w:val="none"/>
        </w:rPr>
        <w:t>最近3年投标人牵涉的其他（失信和违法）</w:t>
      </w:r>
      <w:r>
        <w:rPr>
          <w:rFonts w:hint="eastAsia" w:ascii="宋体" w:hAnsi="宋体" w:eastAsia="宋体" w:cs="宋体"/>
          <w:b/>
          <w:bCs/>
          <w:color w:val="auto"/>
          <w:sz w:val="28"/>
          <w:szCs w:val="32"/>
          <w:highlight w:val="none"/>
          <w:lang w:val="zh-CN"/>
        </w:rPr>
        <w:t>处罚说明</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270C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1D73BDD0">
            <w:pPr>
              <w:jc w:val="center"/>
              <w:rPr>
                <w:rFonts w:hint="eastAsia" w:ascii="宋体" w:hAnsi="宋体" w:eastAsia="宋体" w:cs="宋体"/>
                <w:color w:val="auto"/>
                <w:highlight w:val="none"/>
              </w:rPr>
            </w:pPr>
            <w:r>
              <w:rPr>
                <w:rFonts w:hint="eastAsia" w:ascii="宋体" w:hAnsi="宋体" w:eastAsia="宋体" w:cs="宋体"/>
                <w:color w:val="auto"/>
                <w:highlight w:val="none"/>
              </w:rPr>
              <w:t>事项名称</w:t>
            </w:r>
          </w:p>
        </w:tc>
        <w:tc>
          <w:tcPr>
            <w:tcW w:w="768" w:type="pct"/>
            <w:vAlign w:val="center"/>
          </w:tcPr>
          <w:p w14:paraId="1BB8DEAF">
            <w:pPr>
              <w:jc w:val="center"/>
              <w:rPr>
                <w:rFonts w:hint="eastAsia" w:ascii="宋体" w:hAnsi="宋体" w:eastAsia="宋体" w:cs="宋体"/>
                <w:color w:val="auto"/>
                <w:highlight w:val="none"/>
              </w:rPr>
            </w:pPr>
            <w:r>
              <w:rPr>
                <w:rFonts w:hint="eastAsia" w:ascii="宋体" w:hAnsi="宋体" w:eastAsia="宋体" w:cs="宋体"/>
                <w:color w:val="auto"/>
                <w:highlight w:val="none"/>
              </w:rPr>
              <w:t>认定时间</w:t>
            </w:r>
          </w:p>
        </w:tc>
        <w:tc>
          <w:tcPr>
            <w:tcW w:w="1230" w:type="pct"/>
          </w:tcPr>
          <w:p w14:paraId="5CDF279B">
            <w:pPr>
              <w:jc w:val="center"/>
              <w:rPr>
                <w:rFonts w:hint="eastAsia" w:ascii="宋体" w:hAnsi="宋体" w:eastAsia="宋体" w:cs="宋体"/>
                <w:color w:val="auto"/>
                <w:highlight w:val="none"/>
              </w:rPr>
            </w:pPr>
            <w:r>
              <w:rPr>
                <w:rFonts w:hint="eastAsia" w:ascii="宋体" w:hAnsi="宋体" w:eastAsia="宋体" w:cs="宋体"/>
                <w:color w:val="auto"/>
                <w:highlight w:val="none"/>
              </w:rPr>
              <w:t>处罚期届满异常名录信息失效时间</w:t>
            </w:r>
          </w:p>
        </w:tc>
        <w:tc>
          <w:tcPr>
            <w:tcW w:w="691" w:type="pct"/>
            <w:vAlign w:val="center"/>
          </w:tcPr>
          <w:p w14:paraId="7F6FB2F1">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E0A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0D2951D2">
            <w:pPr>
              <w:rPr>
                <w:rFonts w:hint="eastAsia" w:ascii="宋体" w:hAnsi="宋体" w:eastAsia="宋体" w:cs="宋体"/>
                <w:color w:val="auto"/>
                <w:highlight w:val="none"/>
              </w:rPr>
            </w:pPr>
            <w:r>
              <w:rPr>
                <w:rFonts w:hint="eastAsia" w:ascii="宋体" w:hAnsi="宋体" w:eastAsia="宋体" w:cs="宋体"/>
                <w:color w:val="auto"/>
                <w:highlight w:val="none"/>
              </w:rPr>
              <w:t>是否被认定为失信被执行人</w:t>
            </w:r>
          </w:p>
        </w:tc>
        <w:tc>
          <w:tcPr>
            <w:tcW w:w="768" w:type="pct"/>
            <w:vAlign w:val="center"/>
          </w:tcPr>
          <w:p w14:paraId="3ECAE0B1">
            <w:pPr>
              <w:rPr>
                <w:rFonts w:hint="eastAsia" w:ascii="宋体" w:hAnsi="宋体" w:eastAsia="宋体" w:cs="宋体"/>
                <w:color w:val="auto"/>
                <w:highlight w:val="none"/>
              </w:rPr>
            </w:pPr>
          </w:p>
        </w:tc>
        <w:tc>
          <w:tcPr>
            <w:tcW w:w="1230" w:type="pct"/>
            <w:vAlign w:val="center"/>
          </w:tcPr>
          <w:p w14:paraId="78CCFD32">
            <w:pPr>
              <w:rPr>
                <w:rFonts w:hint="eastAsia" w:ascii="宋体" w:hAnsi="宋体" w:eastAsia="宋体" w:cs="宋体"/>
                <w:color w:val="auto"/>
                <w:highlight w:val="none"/>
              </w:rPr>
            </w:pPr>
          </w:p>
        </w:tc>
        <w:tc>
          <w:tcPr>
            <w:tcW w:w="691" w:type="pct"/>
            <w:vAlign w:val="center"/>
          </w:tcPr>
          <w:p w14:paraId="7B7BD900">
            <w:pPr>
              <w:rPr>
                <w:rFonts w:hint="eastAsia" w:ascii="宋体" w:hAnsi="宋体" w:eastAsia="宋体" w:cs="宋体"/>
                <w:color w:val="auto"/>
                <w:highlight w:val="none"/>
              </w:rPr>
            </w:pPr>
          </w:p>
        </w:tc>
      </w:tr>
      <w:tr w14:paraId="59D4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0A5954A8">
            <w:pPr>
              <w:rPr>
                <w:rFonts w:hint="eastAsia" w:ascii="宋体" w:hAnsi="宋体" w:eastAsia="宋体" w:cs="宋体"/>
                <w:color w:val="auto"/>
                <w:highlight w:val="none"/>
              </w:rPr>
            </w:pPr>
            <w:r>
              <w:rPr>
                <w:rFonts w:hint="eastAsia" w:ascii="宋体" w:hAnsi="宋体" w:eastAsia="宋体" w:cs="宋体"/>
                <w:color w:val="auto"/>
                <w:highlight w:val="none"/>
              </w:rPr>
              <w:t>是否被认定为重大税收违法失信主体</w:t>
            </w:r>
          </w:p>
        </w:tc>
        <w:tc>
          <w:tcPr>
            <w:tcW w:w="768" w:type="pct"/>
            <w:vAlign w:val="center"/>
          </w:tcPr>
          <w:p w14:paraId="39A5C412">
            <w:pPr>
              <w:rPr>
                <w:rFonts w:hint="eastAsia" w:ascii="宋体" w:hAnsi="宋体" w:eastAsia="宋体" w:cs="宋体"/>
                <w:color w:val="auto"/>
                <w:highlight w:val="none"/>
              </w:rPr>
            </w:pPr>
          </w:p>
        </w:tc>
        <w:tc>
          <w:tcPr>
            <w:tcW w:w="1230" w:type="pct"/>
            <w:vAlign w:val="center"/>
          </w:tcPr>
          <w:p w14:paraId="560C0237">
            <w:pPr>
              <w:rPr>
                <w:rFonts w:hint="eastAsia" w:ascii="宋体" w:hAnsi="宋体" w:eastAsia="宋体" w:cs="宋体"/>
                <w:color w:val="auto"/>
                <w:highlight w:val="none"/>
              </w:rPr>
            </w:pPr>
          </w:p>
        </w:tc>
        <w:tc>
          <w:tcPr>
            <w:tcW w:w="691" w:type="pct"/>
            <w:vAlign w:val="center"/>
          </w:tcPr>
          <w:p w14:paraId="7C093092">
            <w:pPr>
              <w:rPr>
                <w:rFonts w:hint="eastAsia" w:ascii="宋体" w:hAnsi="宋体" w:eastAsia="宋体" w:cs="宋体"/>
                <w:color w:val="auto"/>
                <w:highlight w:val="none"/>
              </w:rPr>
            </w:pPr>
          </w:p>
        </w:tc>
      </w:tr>
      <w:tr w14:paraId="4746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3482A27D">
            <w:pPr>
              <w:rPr>
                <w:rFonts w:hint="eastAsia" w:ascii="宋体" w:hAnsi="宋体" w:eastAsia="宋体" w:cs="宋体"/>
                <w:color w:val="auto"/>
                <w:highlight w:val="none"/>
              </w:rPr>
            </w:pPr>
            <w:r>
              <w:rPr>
                <w:rFonts w:hint="eastAsia" w:ascii="宋体" w:hAnsi="宋体" w:eastAsia="宋体" w:cs="宋体"/>
                <w:color w:val="auto"/>
                <w:highlight w:val="none"/>
              </w:rPr>
              <w:t>是否被认定为政府采购严重违法失信行为记录名单</w:t>
            </w:r>
          </w:p>
        </w:tc>
        <w:tc>
          <w:tcPr>
            <w:tcW w:w="768" w:type="pct"/>
            <w:vAlign w:val="center"/>
          </w:tcPr>
          <w:p w14:paraId="7052F57E">
            <w:pPr>
              <w:rPr>
                <w:rFonts w:hint="eastAsia" w:ascii="宋体" w:hAnsi="宋体" w:eastAsia="宋体" w:cs="宋体"/>
                <w:color w:val="auto"/>
                <w:highlight w:val="none"/>
              </w:rPr>
            </w:pPr>
          </w:p>
        </w:tc>
        <w:tc>
          <w:tcPr>
            <w:tcW w:w="1230" w:type="pct"/>
            <w:vAlign w:val="center"/>
          </w:tcPr>
          <w:p w14:paraId="1A1FF3C9">
            <w:pPr>
              <w:rPr>
                <w:rFonts w:hint="eastAsia" w:ascii="宋体" w:hAnsi="宋体" w:eastAsia="宋体" w:cs="宋体"/>
                <w:color w:val="auto"/>
                <w:highlight w:val="none"/>
              </w:rPr>
            </w:pPr>
          </w:p>
        </w:tc>
        <w:tc>
          <w:tcPr>
            <w:tcW w:w="691" w:type="pct"/>
            <w:vAlign w:val="center"/>
          </w:tcPr>
          <w:p w14:paraId="17158398">
            <w:pPr>
              <w:rPr>
                <w:rFonts w:hint="eastAsia" w:ascii="宋体" w:hAnsi="宋体" w:eastAsia="宋体" w:cs="宋体"/>
                <w:color w:val="auto"/>
                <w:highlight w:val="none"/>
              </w:rPr>
            </w:pPr>
          </w:p>
        </w:tc>
      </w:tr>
    </w:tbl>
    <w:p w14:paraId="615A23FC">
      <w:pPr>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21869201">
      <w:pPr>
        <w:rPr>
          <w:rFonts w:hint="eastAsia" w:ascii="宋体" w:hAnsi="宋体" w:eastAsia="宋体" w:cs="宋体"/>
          <w:color w:val="auto"/>
          <w:highlight w:val="none"/>
          <w:lang w:val="zh-CN"/>
        </w:rPr>
      </w:pPr>
    </w:p>
    <w:p w14:paraId="2792FE41">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64F013A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25A2BD0B">
      <w:pPr>
        <w:rPr>
          <w:rFonts w:hint="eastAsia" w:ascii="宋体" w:hAnsi="宋体" w:eastAsia="宋体" w:cs="宋体"/>
          <w:b/>
          <w:color w:val="auto"/>
          <w:sz w:val="32"/>
          <w:szCs w:val="32"/>
          <w:highlight w:val="none"/>
        </w:rPr>
      </w:pPr>
      <w:bookmarkStart w:id="931" w:name="_Toc486167714"/>
      <w:bookmarkStart w:id="932" w:name="_Toc142508374"/>
      <w:bookmarkStart w:id="933" w:name="_Toc1977731"/>
      <w:bookmarkStart w:id="934" w:name="_Toc104991881"/>
      <w:bookmarkStart w:id="935" w:name="_Toc140596934"/>
      <w:bookmarkStart w:id="936" w:name="_Toc533708126"/>
      <w:bookmarkStart w:id="937" w:name="_Toc94107215"/>
      <w:bookmarkStart w:id="938" w:name="_Toc11148"/>
      <w:bookmarkStart w:id="939" w:name="_Toc102860423"/>
      <w:bookmarkStart w:id="940" w:name="_Toc102860079"/>
      <w:bookmarkStart w:id="941" w:name="_Toc13237"/>
      <w:bookmarkStart w:id="942" w:name="_Toc2031_WPSOffice_Level2"/>
      <w:r>
        <w:rPr>
          <w:rFonts w:hint="eastAsia" w:ascii="宋体" w:hAnsi="宋体" w:eastAsia="宋体" w:cs="宋体"/>
          <w:b/>
          <w:color w:val="auto"/>
          <w:sz w:val="32"/>
          <w:szCs w:val="32"/>
          <w:highlight w:val="none"/>
        </w:rPr>
        <w:br w:type="page"/>
      </w:r>
    </w:p>
    <w:p w14:paraId="5D9B9F5C">
      <w:pPr>
        <w:pStyle w:val="3"/>
        <w:rPr>
          <w:rFonts w:hint="eastAsia" w:ascii="宋体" w:hAnsi="宋体" w:eastAsia="宋体" w:cs="宋体"/>
          <w:color w:val="auto"/>
          <w:sz w:val="28"/>
          <w:szCs w:val="36"/>
          <w:highlight w:val="none"/>
        </w:rPr>
      </w:pPr>
      <w:bookmarkStart w:id="943" w:name="_Toc32064"/>
      <w:bookmarkStart w:id="944" w:name="_Toc21521"/>
      <w:bookmarkStart w:id="945" w:name="_Toc9076"/>
      <w:bookmarkStart w:id="946" w:name="_Toc14001"/>
      <w:bookmarkStart w:id="947" w:name="_Toc17543"/>
      <w:bookmarkStart w:id="948" w:name="_Toc30193"/>
      <w:bookmarkStart w:id="949" w:name="_Toc15649"/>
      <w:r>
        <w:rPr>
          <w:rFonts w:hint="eastAsia" w:ascii="宋体" w:hAnsi="宋体" w:eastAsia="宋体" w:cs="宋体"/>
          <w:color w:val="auto"/>
          <w:sz w:val="28"/>
          <w:szCs w:val="36"/>
          <w:highlight w:val="none"/>
        </w:rPr>
        <w:t>六、投标人基本情况一览表</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39E567D6">
      <w:pPr>
        <w:jc w:val="center"/>
        <w:rPr>
          <w:rFonts w:hint="eastAsia" w:ascii="宋体" w:hAnsi="宋体" w:eastAsia="宋体" w:cs="宋体"/>
          <w:b/>
          <w:bCs/>
          <w:color w:val="auto"/>
          <w:sz w:val="28"/>
          <w:szCs w:val="32"/>
          <w:highlight w:val="none"/>
        </w:rPr>
      </w:pPr>
      <w:bookmarkStart w:id="950" w:name="_Toc2773_WPSOffice_Level3"/>
      <w:r>
        <w:rPr>
          <w:rFonts w:hint="eastAsia" w:ascii="宋体" w:hAnsi="宋体" w:eastAsia="宋体" w:cs="宋体"/>
          <w:b/>
          <w:bCs/>
          <w:color w:val="auto"/>
          <w:sz w:val="28"/>
          <w:szCs w:val="32"/>
          <w:highlight w:val="none"/>
          <w:lang w:val="zh-CN"/>
        </w:rPr>
        <w:t>投标人基本情况一览表</w:t>
      </w:r>
      <w:bookmarkEnd w:id="950"/>
    </w:p>
    <w:p w14:paraId="37E0D256">
      <w:pPr>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名称及概况：</w:t>
      </w:r>
    </w:p>
    <w:p w14:paraId="075DAFE9">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w:t>
      </w:r>
    </w:p>
    <w:p w14:paraId="2E2AA6C8">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w:t>
      </w:r>
    </w:p>
    <w:p w14:paraId="41CB75F0">
      <w:pPr>
        <w:ind w:left="1365" w:leftChars="6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邮政编码：_________________________________________</w:t>
      </w:r>
    </w:p>
    <w:p w14:paraId="094E3896">
      <w:pPr>
        <w:ind w:left="1365" w:leftChars="6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电话号码：_________________________________________</w:t>
      </w:r>
    </w:p>
    <w:p w14:paraId="2B558AE5">
      <w:pPr>
        <w:ind w:left="1365" w:leftChars="6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传真号码：_________________________________________</w:t>
      </w:r>
    </w:p>
    <w:p w14:paraId="1CD65BF3">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w:t>
      </w:r>
    </w:p>
    <w:p w14:paraId="4DF70525">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w:t>
      </w:r>
    </w:p>
    <w:p w14:paraId="04E88F3B">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w:t>
      </w:r>
    </w:p>
    <w:p w14:paraId="19A03A8C">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w:t>
      </w:r>
    </w:p>
    <w:p w14:paraId="58B2C79C">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w:t>
      </w:r>
    </w:p>
    <w:p w14:paraId="69E14430">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w:t>
      </w:r>
    </w:p>
    <w:p w14:paraId="5EB08265">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（9）项目主要联系人（姓名、职务、通讯）：________________</w:t>
      </w:r>
    </w:p>
    <w:p w14:paraId="2B8A59DB">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w:t>
      </w:r>
    </w:p>
    <w:p w14:paraId="16455B95">
      <w:pPr>
        <w:ind w:left="420" w:left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供征询之银行的名称和地址：________________________________</w:t>
      </w:r>
    </w:p>
    <w:p w14:paraId="1E1AB6FB">
      <w:pPr>
        <w:ind w:left="42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3</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公司所隶属之国际集团名称（如果是）________________________</w:t>
      </w:r>
    </w:p>
    <w:p w14:paraId="4EED21DF">
      <w:pPr>
        <w:ind w:left="42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提交资料（包括但不限于组织架构、公司简介等）：</w:t>
      </w:r>
    </w:p>
    <w:p w14:paraId="054593DD">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B2F75FC">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A7348C7">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5225816">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__________________________________________________</w:t>
      </w:r>
    </w:p>
    <w:p w14:paraId="709EB5F3">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81B8F1B">
      <w:pPr>
        <w:ind w:left="420" w:leftChars="20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兹证明上述说明是真实、正确的，并提供了全部能提供的资料和数据，我们同意遵照贵方要求出示有关证明文件。</w:t>
      </w:r>
    </w:p>
    <w:p w14:paraId="370A2A5D">
      <w:pPr>
        <w:rPr>
          <w:rFonts w:hint="eastAsia" w:ascii="宋体" w:hAnsi="宋体" w:eastAsia="宋体" w:cs="宋体"/>
          <w:color w:val="auto"/>
          <w:highlight w:val="none"/>
        </w:rPr>
      </w:pPr>
    </w:p>
    <w:p w14:paraId="1A47E936">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D2C01E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  期：　年  月  日</w:t>
      </w:r>
    </w:p>
    <w:p w14:paraId="083DD5B1">
      <w:pPr>
        <w:rPr>
          <w:rFonts w:hint="eastAsia" w:ascii="宋体" w:hAnsi="宋体" w:eastAsia="宋体" w:cs="宋体"/>
          <w:b/>
          <w:color w:val="auto"/>
          <w:sz w:val="32"/>
          <w:szCs w:val="32"/>
          <w:highlight w:val="none"/>
        </w:rPr>
      </w:pPr>
      <w:bookmarkStart w:id="951" w:name="_Toc142508375"/>
      <w:bookmarkStart w:id="952" w:name="_Toc102860424"/>
      <w:bookmarkStart w:id="953" w:name="_Toc4495"/>
      <w:bookmarkStart w:id="954" w:name="_Toc3711"/>
      <w:bookmarkStart w:id="955" w:name="_Toc102860080"/>
      <w:bookmarkStart w:id="956" w:name="_Toc94107216"/>
      <w:bookmarkStart w:id="957" w:name="_Toc140596935"/>
      <w:bookmarkStart w:id="958" w:name="_Toc104991882"/>
      <w:bookmarkStart w:id="959" w:name="_Toc533708128"/>
      <w:bookmarkStart w:id="960" w:name="_Toc1977733"/>
      <w:bookmarkStart w:id="961" w:name="_Toc486167715"/>
      <w:bookmarkStart w:id="962" w:name="_Toc9051_WPSOffice_Level2"/>
      <w:r>
        <w:rPr>
          <w:rFonts w:hint="eastAsia" w:ascii="宋体" w:hAnsi="宋体" w:eastAsia="宋体" w:cs="宋体"/>
          <w:b/>
          <w:color w:val="auto"/>
          <w:sz w:val="32"/>
          <w:szCs w:val="32"/>
          <w:highlight w:val="none"/>
        </w:rPr>
        <w:br w:type="page"/>
      </w:r>
    </w:p>
    <w:p w14:paraId="0FF1003D">
      <w:pPr>
        <w:pStyle w:val="3"/>
        <w:rPr>
          <w:rFonts w:hint="eastAsia" w:ascii="宋体" w:hAnsi="宋体" w:eastAsia="宋体" w:cs="宋体"/>
          <w:color w:val="auto"/>
          <w:sz w:val="28"/>
          <w:szCs w:val="36"/>
          <w:highlight w:val="none"/>
        </w:rPr>
      </w:pPr>
      <w:bookmarkStart w:id="963" w:name="_Toc10548"/>
      <w:bookmarkStart w:id="964" w:name="_Toc5019"/>
      <w:bookmarkStart w:id="965" w:name="_Toc29862"/>
      <w:bookmarkStart w:id="966" w:name="_Toc27338"/>
      <w:bookmarkStart w:id="967" w:name="_Toc27515"/>
      <w:bookmarkStart w:id="968" w:name="_Toc19416"/>
      <w:bookmarkStart w:id="969" w:name="_Toc8308"/>
      <w:r>
        <w:rPr>
          <w:rFonts w:hint="eastAsia" w:ascii="宋体" w:hAnsi="宋体" w:eastAsia="宋体" w:cs="宋体"/>
          <w:color w:val="auto"/>
          <w:sz w:val="28"/>
          <w:szCs w:val="36"/>
          <w:highlight w:val="none"/>
        </w:rPr>
        <w:t>七</w:t>
      </w:r>
      <w:r>
        <w:rPr>
          <w:rFonts w:hint="eastAsia" w:ascii="宋体" w:hAnsi="宋体" w:eastAsia="宋体" w:cs="宋体"/>
          <w:color w:val="auto"/>
          <w:sz w:val="28"/>
          <w:szCs w:val="36"/>
          <w:highlight w:val="none"/>
          <w:lang w:val="zh-CN"/>
        </w:rPr>
        <w:t>、投标人财务状况表格式</w:t>
      </w:r>
      <w:bookmarkEnd w:id="951"/>
      <w:bookmarkEnd w:id="952"/>
      <w:bookmarkEnd w:id="953"/>
      <w:bookmarkEnd w:id="954"/>
      <w:bookmarkEnd w:id="955"/>
      <w:bookmarkEnd w:id="956"/>
      <w:bookmarkEnd w:id="957"/>
      <w:bookmarkEnd w:id="958"/>
      <w:bookmarkEnd w:id="963"/>
      <w:bookmarkEnd w:id="964"/>
      <w:bookmarkEnd w:id="965"/>
      <w:bookmarkEnd w:id="966"/>
      <w:bookmarkEnd w:id="967"/>
      <w:bookmarkEnd w:id="968"/>
      <w:bookmarkEnd w:id="969"/>
    </w:p>
    <w:p w14:paraId="64C78AFE">
      <w:pPr>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投标人财务状况表</w:t>
      </w:r>
    </w:p>
    <w:p w14:paraId="548DB2CD">
      <w:pPr>
        <w:jc w:val="right"/>
        <w:rPr>
          <w:rFonts w:hint="eastAsia" w:ascii="宋体" w:hAnsi="宋体" w:eastAsia="宋体" w:cs="宋体"/>
          <w:color w:val="auto"/>
          <w:highlight w:val="none"/>
        </w:rPr>
      </w:pPr>
      <w:r>
        <w:rPr>
          <w:rFonts w:hint="eastAsia" w:ascii="宋体" w:hAnsi="宋体" w:eastAsia="宋体" w:cs="宋体"/>
          <w:color w:val="auto"/>
          <w:highlight w:val="none"/>
        </w:rPr>
        <w:t>[价格单位：（人民币）元]</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5CA5D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14B68EDB">
            <w:pPr>
              <w:jc w:val="center"/>
              <w:rPr>
                <w:rFonts w:hint="eastAsia" w:ascii="宋体" w:hAnsi="宋体" w:eastAsia="宋体" w:cs="宋体"/>
                <w:color w:val="auto"/>
                <w:highlight w:val="none"/>
              </w:rPr>
            </w:pPr>
            <w:r>
              <w:rPr>
                <w:rFonts w:hint="eastAsia" w:ascii="宋体" w:hAnsi="宋体" w:eastAsia="宋体" w:cs="宋体"/>
                <w:color w:val="auto"/>
                <w:highlight w:val="none"/>
              </w:rPr>
              <w:t>年  度</w:t>
            </w:r>
          </w:p>
        </w:tc>
        <w:tc>
          <w:tcPr>
            <w:tcW w:w="989" w:type="pct"/>
            <w:vAlign w:val="center"/>
          </w:tcPr>
          <w:p w14:paraId="6EA157C1">
            <w:pPr>
              <w:jc w:val="center"/>
              <w:rPr>
                <w:rFonts w:hint="eastAsia" w:ascii="宋体" w:hAnsi="宋体" w:eastAsia="宋体" w:cs="宋体"/>
                <w:color w:val="auto"/>
                <w:highlight w:val="none"/>
              </w:rPr>
            </w:pPr>
            <w:r>
              <w:rPr>
                <w:rFonts w:hint="eastAsia" w:ascii="宋体" w:hAnsi="宋体" w:eastAsia="宋体" w:cs="宋体"/>
                <w:color w:val="auto"/>
                <w:highlight w:val="none"/>
              </w:rPr>
              <w:t>总资产（元）</w:t>
            </w:r>
          </w:p>
        </w:tc>
        <w:tc>
          <w:tcPr>
            <w:tcW w:w="989" w:type="pct"/>
            <w:vAlign w:val="center"/>
          </w:tcPr>
          <w:p w14:paraId="4851B524">
            <w:pPr>
              <w:jc w:val="center"/>
              <w:rPr>
                <w:rFonts w:hint="eastAsia" w:ascii="宋体" w:hAnsi="宋体" w:eastAsia="宋体" w:cs="宋体"/>
                <w:color w:val="auto"/>
                <w:highlight w:val="none"/>
              </w:rPr>
            </w:pPr>
            <w:r>
              <w:rPr>
                <w:rFonts w:hint="eastAsia" w:ascii="宋体" w:hAnsi="宋体" w:eastAsia="宋体" w:cs="宋体"/>
                <w:color w:val="auto"/>
                <w:highlight w:val="none"/>
              </w:rPr>
              <w:t>净资产（元）</w:t>
            </w:r>
          </w:p>
        </w:tc>
        <w:tc>
          <w:tcPr>
            <w:tcW w:w="1380" w:type="pct"/>
            <w:vAlign w:val="center"/>
          </w:tcPr>
          <w:p w14:paraId="3AA737DB">
            <w:pPr>
              <w:jc w:val="center"/>
              <w:rPr>
                <w:rFonts w:hint="eastAsia" w:ascii="宋体" w:hAnsi="宋体" w:eastAsia="宋体" w:cs="宋体"/>
                <w:color w:val="auto"/>
                <w:highlight w:val="none"/>
              </w:rPr>
            </w:pPr>
            <w:r>
              <w:rPr>
                <w:rFonts w:hint="eastAsia" w:ascii="宋体" w:hAnsi="宋体" w:eastAsia="宋体" w:cs="宋体"/>
                <w:color w:val="auto"/>
                <w:highlight w:val="none"/>
              </w:rPr>
              <w:t>年营业额（元）</w:t>
            </w:r>
          </w:p>
        </w:tc>
        <w:tc>
          <w:tcPr>
            <w:tcW w:w="1047" w:type="pct"/>
            <w:vAlign w:val="center"/>
          </w:tcPr>
          <w:p w14:paraId="1B02E9EF">
            <w:pPr>
              <w:jc w:val="center"/>
              <w:rPr>
                <w:rFonts w:hint="eastAsia" w:ascii="宋体" w:hAnsi="宋体" w:eastAsia="宋体" w:cs="宋体"/>
                <w:color w:val="auto"/>
                <w:highlight w:val="none"/>
              </w:rPr>
            </w:pPr>
            <w:r>
              <w:rPr>
                <w:rFonts w:hint="eastAsia" w:ascii="宋体" w:hAnsi="宋体" w:eastAsia="宋体" w:cs="宋体"/>
                <w:color w:val="auto"/>
                <w:highlight w:val="none"/>
              </w:rPr>
              <w:t>年净利润（元）</w:t>
            </w:r>
          </w:p>
        </w:tc>
      </w:tr>
      <w:tr w14:paraId="6E437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21" w:type="dxa"/>
            <w:vAlign w:val="center"/>
          </w:tcPr>
          <w:p w14:paraId="2C56D886">
            <w:pPr>
              <w:autoSpaceDE w:val="0"/>
              <w:autoSpaceDN w:val="0"/>
              <w:adjustRightInd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2022</w:t>
            </w:r>
          </w:p>
        </w:tc>
        <w:tc>
          <w:tcPr>
            <w:tcW w:w="989" w:type="pct"/>
            <w:vAlign w:val="center"/>
          </w:tcPr>
          <w:p w14:paraId="4532AA36">
            <w:pPr>
              <w:jc w:val="center"/>
              <w:rPr>
                <w:rFonts w:hint="eastAsia" w:ascii="宋体" w:hAnsi="宋体" w:eastAsia="宋体" w:cs="宋体"/>
                <w:color w:val="auto"/>
                <w:highlight w:val="none"/>
              </w:rPr>
            </w:pPr>
          </w:p>
        </w:tc>
        <w:tc>
          <w:tcPr>
            <w:tcW w:w="989" w:type="pct"/>
            <w:vAlign w:val="center"/>
          </w:tcPr>
          <w:p w14:paraId="72EC9327">
            <w:pPr>
              <w:jc w:val="center"/>
              <w:rPr>
                <w:rFonts w:hint="eastAsia" w:ascii="宋体" w:hAnsi="宋体" w:eastAsia="宋体" w:cs="宋体"/>
                <w:color w:val="auto"/>
                <w:highlight w:val="none"/>
              </w:rPr>
            </w:pPr>
          </w:p>
        </w:tc>
        <w:tc>
          <w:tcPr>
            <w:tcW w:w="1380" w:type="pct"/>
            <w:vAlign w:val="center"/>
          </w:tcPr>
          <w:p w14:paraId="738C2A77">
            <w:pPr>
              <w:jc w:val="center"/>
              <w:rPr>
                <w:rFonts w:hint="eastAsia" w:ascii="宋体" w:hAnsi="宋体" w:eastAsia="宋体" w:cs="宋体"/>
                <w:color w:val="auto"/>
                <w:highlight w:val="none"/>
              </w:rPr>
            </w:pPr>
          </w:p>
        </w:tc>
        <w:tc>
          <w:tcPr>
            <w:tcW w:w="1047" w:type="pct"/>
            <w:vAlign w:val="center"/>
          </w:tcPr>
          <w:p w14:paraId="2F8996E9">
            <w:pPr>
              <w:jc w:val="center"/>
              <w:rPr>
                <w:rFonts w:hint="eastAsia" w:ascii="宋体" w:hAnsi="宋体" w:eastAsia="宋体" w:cs="宋体"/>
                <w:color w:val="auto"/>
                <w:highlight w:val="none"/>
              </w:rPr>
            </w:pPr>
          </w:p>
        </w:tc>
      </w:tr>
      <w:tr w14:paraId="2163E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1048F9A2">
            <w:pPr>
              <w:autoSpaceDE w:val="0"/>
              <w:autoSpaceDN w:val="0"/>
              <w:adjustRightInd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2023</w:t>
            </w:r>
          </w:p>
        </w:tc>
        <w:tc>
          <w:tcPr>
            <w:tcW w:w="989" w:type="pct"/>
            <w:vAlign w:val="center"/>
          </w:tcPr>
          <w:p w14:paraId="6D321301">
            <w:pPr>
              <w:jc w:val="center"/>
              <w:rPr>
                <w:rFonts w:hint="eastAsia" w:ascii="宋体" w:hAnsi="宋体" w:eastAsia="宋体" w:cs="宋体"/>
                <w:color w:val="auto"/>
                <w:highlight w:val="none"/>
              </w:rPr>
            </w:pPr>
          </w:p>
        </w:tc>
        <w:tc>
          <w:tcPr>
            <w:tcW w:w="989" w:type="pct"/>
            <w:vAlign w:val="center"/>
          </w:tcPr>
          <w:p w14:paraId="4F11F92C">
            <w:pPr>
              <w:jc w:val="center"/>
              <w:rPr>
                <w:rFonts w:hint="eastAsia" w:ascii="宋体" w:hAnsi="宋体" w:eastAsia="宋体" w:cs="宋体"/>
                <w:color w:val="auto"/>
                <w:highlight w:val="none"/>
              </w:rPr>
            </w:pPr>
          </w:p>
        </w:tc>
        <w:tc>
          <w:tcPr>
            <w:tcW w:w="1380" w:type="pct"/>
          </w:tcPr>
          <w:p w14:paraId="07C9D7EE">
            <w:pPr>
              <w:jc w:val="center"/>
              <w:rPr>
                <w:rFonts w:hint="eastAsia" w:ascii="宋体" w:hAnsi="宋体" w:eastAsia="宋体" w:cs="宋体"/>
                <w:color w:val="auto"/>
                <w:highlight w:val="none"/>
              </w:rPr>
            </w:pPr>
          </w:p>
        </w:tc>
        <w:tc>
          <w:tcPr>
            <w:tcW w:w="1047" w:type="pct"/>
            <w:vAlign w:val="center"/>
          </w:tcPr>
          <w:p w14:paraId="0ECF5BE4">
            <w:pPr>
              <w:jc w:val="center"/>
              <w:rPr>
                <w:rFonts w:hint="eastAsia" w:ascii="宋体" w:hAnsi="宋体" w:eastAsia="宋体" w:cs="宋体"/>
                <w:color w:val="auto"/>
                <w:highlight w:val="none"/>
              </w:rPr>
            </w:pPr>
          </w:p>
        </w:tc>
      </w:tr>
      <w:tr w14:paraId="289FD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FBEAC1B">
            <w:pPr>
              <w:autoSpaceDE w:val="0"/>
              <w:autoSpaceDN w:val="0"/>
              <w:adjustRightInd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2024</w:t>
            </w:r>
          </w:p>
        </w:tc>
        <w:tc>
          <w:tcPr>
            <w:tcW w:w="989" w:type="pct"/>
            <w:vAlign w:val="center"/>
          </w:tcPr>
          <w:p w14:paraId="49B8B79A">
            <w:pPr>
              <w:jc w:val="center"/>
              <w:rPr>
                <w:rFonts w:hint="eastAsia" w:ascii="宋体" w:hAnsi="宋体" w:eastAsia="宋体" w:cs="宋体"/>
                <w:color w:val="auto"/>
                <w:highlight w:val="none"/>
              </w:rPr>
            </w:pPr>
          </w:p>
        </w:tc>
        <w:tc>
          <w:tcPr>
            <w:tcW w:w="989" w:type="pct"/>
            <w:vAlign w:val="center"/>
          </w:tcPr>
          <w:p w14:paraId="235547FB">
            <w:pPr>
              <w:jc w:val="center"/>
              <w:rPr>
                <w:rFonts w:hint="eastAsia" w:ascii="宋体" w:hAnsi="宋体" w:eastAsia="宋体" w:cs="宋体"/>
                <w:color w:val="auto"/>
                <w:highlight w:val="none"/>
              </w:rPr>
            </w:pPr>
          </w:p>
        </w:tc>
        <w:tc>
          <w:tcPr>
            <w:tcW w:w="1380" w:type="pct"/>
          </w:tcPr>
          <w:p w14:paraId="229672D7">
            <w:pPr>
              <w:jc w:val="center"/>
              <w:rPr>
                <w:rFonts w:hint="eastAsia" w:ascii="宋体" w:hAnsi="宋体" w:eastAsia="宋体" w:cs="宋体"/>
                <w:color w:val="auto"/>
                <w:highlight w:val="none"/>
              </w:rPr>
            </w:pPr>
          </w:p>
        </w:tc>
        <w:tc>
          <w:tcPr>
            <w:tcW w:w="1047" w:type="pct"/>
            <w:vAlign w:val="center"/>
          </w:tcPr>
          <w:p w14:paraId="5ED8F6AB">
            <w:pPr>
              <w:jc w:val="center"/>
              <w:rPr>
                <w:rFonts w:hint="eastAsia" w:ascii="宋体" w:hAnsi="宋体" w:eastAsia="宋体" w:cs="宋体"/>
                <w:color w:val="auto"/>
                <w:highlight w:val="none"/>
              </w:rPr>
            </w:pPr>
          </w:p>
        </w:tc>
      </w:tr>
      <w:tr w14:paraId="17FFA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7F423FF5">
            <w:pPr>
              <w:jc w:val="center"/>
              <w:rPr>
                <w:rFonts w:hint="eastAsia" w:ascii="宋体" w:hAnsi="宋体" w:eastAsia="宋体" w:cs="宋体"/>
                <w:color w:val="auto"/>
                <w:highlight w:val="none"/>
              </w:rPr>
            </w:pPr>
            <w:r>
              <w:rPr>
                <w:rFonts w:hint="eastAsia" w:ascii="宋体" w:hAnsi="宋体" w:eastAsia="宋体" w:cs="宋体"/>
                <w:color w:val="auto"/>
                <w:highlight w:val="none"/>
              </w:rPr>
              <w:t>总计</w:t>
            </w:r>
          </w:p>
        </w:tc>
        <w:tc>
          <w:tcPr>
            <w:tcW w:w="1380" w:type="pct"/>
          </w:tcPr>
          <w:p w14:paraId="68E56A6D">
            <w:pPr>
              <w:jc w:val="center"/>
              <w:rPr>
                <w:rFonts w:hint="eastAsia" w:ascii="宋体" w:hAnsi="宋体" w:eastAsia="宋体" w:cs="宋体"/>
                <w:color w:val="auto"/>
                <w:highlight w:val="none"/>
              </w:rPr>
            </w:pPr>
          </w:p>
        </w:tc>
        <w:tc>
          <w:tcPr>
            <w:tcW w:w="1047" w:type="pct"/>
            <w:vAlign w:val="center"/>
          </w:tcPr>
          <w:p w14:paraId="637A29DB">
            <w:pPr>
              <w:jc w:val="center"/>
              <w:rPr>
                <w:rFonts w:hint="eastAsia" w:ascii="宋体" w:hAnsi="宋体" w:eastAsia="宋体" w:cs="宋体"/>
                <w:color w:val="auto"/>
                <w:highlight w:val="none"/>
              </w:rPr>
            </w:pPr>
          </w:p>
        </w:tc>
      </w:tr>
    </w:tbl>
    <w:p w14:paraId="12D15D0A">
      <w:pPr>
        <w:rPr>
          <w:rFonts w:hint="eastAsia" w:ascii="宋体" w:hAnsi="宋体" w:eastAsia="宋体" w:cs="宋体"/>
          <w:color w:val="auto"/>
          <w:highlight w:val="none"/>
        </w:rPr>
      </w:pPr>
      <w:r>
        <w:rPr>
          <w:rFonts w:hint="eastAsia" w:ascii="宋体" w:hAnsi="宋体" w:eastAsia="宋体" w:cs="宋体"/>
          <w:color w:val="auto"/>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2D44F33">
      <w:pPr>
        <w:rPr>
          <w:rFonts w:hint="eastAsia" w:ascii="宋体" w:hAnsi="宋体" w:eastAsia="宋体" w:cs="宋体"/>
          <w:color w:val="auto"/>
          <w:highlight w:val="none"/>
          <w:lang w:val="zh-CN"/>
        </w:rPr>
      </w:pPr>
    </w:p>
    <w:p w14:paraId="180874E4">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630AD0D9">
      <w:pPr>
        <w:ind w:left="4620" w:leftChars="2200"/>
        <w:rPr>
          <w:rFonts w:hint="eastAsia" w:ascii="宋体" w:hAnsi="宋体" w:eastAsia="宋体" w:cs="宋体"/>
          <w:color w:val="auto"/>
          <w:highlight w:val="none"/>
        </w:rPr>
      </w:pPr>
      <w:r>
        <w:rPr>
          <w:rFonts w:hint="eastAsia" w:ascii="宋体" w:hAnsi="宋体" w:eastAsia="宋体" w:cs="宋体"/>
          <w:color w:val="auto"/>
          <w:szCs w:val="21"/>
          <w:highlight w:val="none"/>
          <w:lang w:val="zh-CN"/>
        </w:rPr>
        <w:t>日  期：　年  月  日</w:t>
      </w:r>
      <w:bookmarkEnd w:id="959"/>
      <w:bookmarkEnd w:id="960"/>
      <w:bookmarkEnd w:id="961"/>
      <w:bookmarkEnd w:id="962"/>
      <w:bookmarkStart w:id="970" w:name="_Toc94107217"/>
      <w:bookmarkStart w:id="971" w:name="_Toc15551"/>
      <w:bookmarkStart w:id="972" w:name="_Toc104991883"/>
      <w:bookmarkStart w:id="973" w:name="_Toc1977736"/>
      <w:bookmarkStart w:id="974" w:name="_Toc142508376"/>
      <w:bookmarkStart w:id="975" w:name="_Toc102860425"/>
      <w:bookmarkStart w:id="976" w:name="_Toc140596936"/>
      <w:bookmarkStart w:id="977" w:name="_Toc102860081"/>
      <w:bookmarkStart w:id="978" w:name="_Toc533708130"/>
      <w:bookmarkStart w:id="979" w:name="_Toc20034"/>
      <w:bookmarkStart w:id="980" w:name="_Toc739_WPSOffice_Level2"/>
      <w:bookmarkStart w:id="981" w:name="_Toc486167716"/>
    </w:p>
    <w:p w14:paraId="7CC2D2B3">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DF50372">
      <w:pPr>
        <w:pStyle w:val="3"/>
        <w:rPr>
          <w:rFonts w:hint="eastAsia" w:ascii="宋体" w:hAnsi="宋体" w:eastAsia="宋体" w:cs="宋体"/>
          <w:color w:val="auto"/>
          <w:sz w:val="28"/>
          <w:szCs w:val="36"/>
          <w:highlight w:val="none"/>
          <w:lang w:val="zh-CN"/>
        </w:rPr>
      </w:pPr>
      <w:bookmarkStart w:id="982" w:name="_Toc9052"/>
      <w:bookmarkStart w:id="983" w:name="_Toc28770"/>
      <w:bookmarkStart w:id="984" w:name="_Toc31083"/>
      <w:bookmarkStart w:id="985" w:name="_Toc27643"/>
      <w:bookmarkStart w:id="986" w:name="_Toc25181"/>
      <w:bookmarkStart w:id="987" w:name="_Toc27697"/>
      <w:bookmarkStart w:id="988" w:name="_Toc22070"/>
      <w:r>
        <w:rPr>
          <w:rFonts w:hint="eastAsia" w:ascii="宋体" w:hAnsi="宋体" w:eastAsia="宋体" w:cs="宋体"/>
          <w:color w:val="auto"/>
          <w:sz w:val="28"/>
          <w:szCs w:val="36"/>
          <w:highlight w:val="none"/>
        </w:rPr>
        <w:t>八</w:t>
      </w:r>
      <w:r>
        <w:rPr>
          <w:rFonts w:hint="eastAsia" w:ascii="宋体" w:hAnsi="宋体" w:eastAsia="宋体" w:cs="宋体"/>
          <w:color w:val="auto"/>
          <w:sz w:val="28"/>
          <w:szCs w:val="36"/>
          <w:highlight w:val="none"/>
          <w:lang w:val="zh-CN"/>
        </w:rPr>
        <w:t>、合同条款偏离表格式</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15265D58">
      <w:pPr>
        <w:jc w:val="center"/>
        <w:rPr>
          <w:rFonts w:hint="eastAsia" w:ascii="宋体" w:hAnsi="宋体" w:eastAsia="宋体" w:cs="宋体"/>
          <w:b/>
          <w:bCs/>
          <w:color w:val="auto"/>
          <w:sz w:val="28"/>
          <w:szCs w:val="32"/>
          <w:highlight w:val="none"/>
          <w:lang w:val="zh-CN"/>
        </w:rPr>
      </w:pPr>
      <w:bookmarkStart w:id="989" w:name="_Toc26412_WPSOffice_Level3"/>
      <w:r>
        <w:rPr>
          <w:rFonts w:hint="eastAsia" w:ascii="宋体" w:hAnsi="宋体" w:eastAsia="宋体" w:cs="宋体"/>
          <w:b/>
          <w:bCs/>
          <w:color w:val="auto"/>
          <w:kern w:val="2"/>
          <w:sz w:val="28"/>
          <w:szCs w:val="32"/>
          <w:highlight w:val="none"/>
          <w:lang w:val="zh-CN" w:eastAsia="zh-CN" w:bidi="ar-SA"/>
        </w:rPr>
        <w:t>东莞市碧水信息科技有限公司2025年度球墨铸铁阀门采购项目</w:t>
      </w:r>
      <w:r>
        <w:rPr>
          <w:rFonts w:hint="eastAsia" w:ascii="宋体" w:hAnsi="宋体" w:eastAsia="宋体" w:cs="宋体"/>
          <w:b/>
          <w:bCs/>
          <w:color w:val="auto"/>
          <w:sz w:val="28"/>
          <w:szCs w:val="32"/>
          <w:highlight w:val="none"/>
          <w:lang w:val="zh-CN"/>
        </w:rPr>
        <w:t>合同条款偏离表</w:t>
      </w:r>
      <w:bookmarkEnd w:id="989"/>
    </w:p>
    <w:tbl>
      <w:tblPr>
        <w:tblStyle w:val="20"/>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DA0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75BB57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EF661B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16F4D2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AD9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20D18E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1425" w:type="dxa"/>
            <w:vAlign w:val="center"/>
          </w:tcPr>
          <w:p w14:paraId="20CE935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41D595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2C0130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FFDC48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F3D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0EC37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1724EDC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05B0D3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供货资格及范围</w:t>
            </w:r>
          </w:p>
        </w:tc>
        <w:tc>
          <w:tcPr>
            <w:tcW w:w="1346" w:type="dxa"/>
            <w:vAlign w:val="center"/>
          </w:tcPr>
          <w:p w14:paraId="6ADE9B7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530044C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22E9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23F2941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0D0238B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0C0C6F1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合同供货期</w:t>
            </w:r>
          </w:p>
        </w:tc>
        <w:tc>
          <w:tcPr>
            <w:tcW w:w="1346" w:type="dxa"/>
            <w:vAlign w:val="center"/>
          </w:tcPr>
          <w:p w14:paraId="09AA03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5AB8ED8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5E91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A78B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EA86CD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1735158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w:t>
            </w:r>
            <w:r>
              <w:rPr>
                <w:rFonts w:hint="eastAsia" w:ascii="宋体" w:hAnsi="宋体" w:eastAsia="宋体" w:cs="宋体"/>
                <w:color w:val="auto"/>
                <w:kern w:val="0"/>
                <w:szCs w:val="21"/>
                <w:highlight w:val="none"/>
                <w:lang w:eastAsia="zh-CN"/>
              </w:rPr>
              <w:t>参数</w:t>
            </w:r>
            <w:r>
              <w:rPr>
                <w:rFonts w:hint="eastAsia" w:ascii="宋体" w:hAnsi="宋体" w:eastAsia="宋体" w:cs="宋体"/>
                <w:color w:val="auto"/>
                <w:kern w:val="0"/>
                <w:szCs w:val="21"/>
                <w:highlight w:val="none"/>
              </w:rPr>
              <w:t>要求</w:t>
            </w:r>
          </w:p>
        </w:tc>
        <w:tc>
          <w:tcPr>
            <w:tcW w:w="1346" w:type="dxa"/>
            <w:vAlign w:val="center"/>
          </w:tcPr>
          <w:p w14:paraId="27DEAF2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4F321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2434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76CB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4AF7F5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46B1AB3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其他要求</w:t>
            </w:r>
          </w:p>
        </w:tc>
        <w:tc>
          <w:tcPr>
            <w:tcW w:w="1346" w:type="dxa"/>
            <w:vAlign w:val="center"/>
          </w:tcPr>
          <w:p w14:paraId="20C733B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C721CC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1C1E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E5EF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8049AC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6F73ED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交货要求</w:t>
            </w:r>
          </w:p>
        </w:tc>
        <w:tc>
          <w:tcPr>
            <w:tcW w:w="1346" w:type="dxa"/>
            <w:vAlign w:val="center"/>
          </w:tcPr>
          <w:p w14:paraId="641765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261C4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5641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1F4AD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623A84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0E5DACB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验收</w:t>
            </w:r>
            <w:r>
              <w:rPr>
                <w:rFonts w:hint="eastAsia" w:ascii="宋体" w:hAnsi="宋体" w:eastAsia="宋体" w:cs="宋体"/>
                <w:color w:val="auto"/>
                <w:kern w:val="0"/>
                <w:szCs w:val="21"/>
                <w:highlight w:val="none"/>
                <w:lang w:val="en-US" w:eastAsia="zh-CN"/>
              </w:rPr>
              <w:t>与检测</w:t>
            </w:r>
            <w:r>
              <w:rPr>
                <w:rFonts w:hint="eastAsia" w:ascii="宋体" w:hAnsi="宋体" w:eastAsia="宋体" w:cs="宋体"/>
                <w:color w:val="auto"/>
                <w:kern w:val="0"/>
                <w:szCs w:val="21"/>
                <w:highlight w:val="none"/>
                <w:lang w:eastAsia="zh-CN"/>
              </w:rPr>
              <w:t>及质保期要求</w:t>
            </w:r>
          </w:p>
        </w:tc>
        <w:tc>
          <w:tcPr>
            <w:tcW w:w="1346" w:type="dxa"/>
            <w:vAlign w:val="center"/>
          </w:tcPr>
          <w:p w14:paraId="69DFBDD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29C4280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05E8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6DAB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0919F9E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3EDEDD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综合单价、暂定合同价及付款方式</w:t>
            </w:r>
          </w:p>
        </w:tc>
        <w:tc>
          <w:tcPr>
            <w:tcW w:w="1346" w:type="dxa"/>
            <w:vAlign w:val="center"/>
          </w:tcPr>
          <w:p w14:paraId="5AB685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3AE29F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2E02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ECBE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94E49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341AED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50E7E7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5387E83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3D7C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6A0C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2306BA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6400F6C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3F99E70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5B3D4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0285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4A2E2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23888F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2AE07E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1551C5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B938C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04B4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3A8A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B94C6B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vAlign w:val="center"/>
          </w:tcPr>
          <w:p w14:paraId="0B0D71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承诺与保证</w:t>
            </w:r>
          </w:p>
        </w:tc>
        <w:tc>
          <w:tcPr>
            <w:tcW w:w="1346" w:type="dxa"/>
            <w:vAlign w:val="center"/>
          </w:tcPr>
          <w:p w14:paraId="008411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5ED461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328F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4332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3EC0B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vAlign w:val="center"/>
          </w:tcPr>
          <w:p w14:paraId="2273EC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合同争议的解决办法</w:t>
            </w:r>
          </w:p>
        </w:tc>
        <w:tc>
          <w:tcPr>
            <w:tcW w:w="1346" w:type="dxa"/>
            <w:vAlign w:val="center"/>
          </w:tcPr>
          <w:p w14:paraId="7CD1E5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6EEF9A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4A5E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43FB9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2D3CF3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vAlign w:val="center"/>
          </w:tcPr>
          <w:p w14:paraId="769CA7B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364A5A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66A646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5265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E4D78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364B0F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63C77E3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东莞市碧水信息科技有限公司</w:t>
            </w:r>
            <w:r>
              <w:rPr>
                <w:rFonts w:hint="eastAsia" w:ascii="宋体" w:hAnsi="宋体" w:eastAsia="宋体" w:cs="宋体"/>
                <w:color w:val="auto"/>
                <w:kern w:val="0"/>
                <w:szCs w:val="21"/>
                <w:highlight w:val="none"/>
              </w:rPr>
              <w:t>货物到货验收表</w:t>
            </w:r>
          </w:p>
        </w:tc>
        <w:tc>
          <w:tcPr>
            <w:tcW w:w="1346" w:type="dxa"/>
            <w:vAlign w:val="center"/>
          </w:tcPr>
          <w:p w14:paraId="397F9D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1838D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1D77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9AA7B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14:paraId="58423CE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14:paraId="423301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送货清单</w:t>
            </w:r>
          </w:p>
        </w:tc>
        <w:tc>
          <w:tcPr>
            <w:tcW w:w="1346" w:type="dxa"/>
            <w:vAlign w:val="center"/>
          </w:tcPr>
          <w:p w14:paraId="1CB5E3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1F73E3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1334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0B8ED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16</w:t>
            </w:r>
          </w:p>
        </w:tc>
        <w:tc>
          <w:tcPr>
            <w:tcW w:w="1425" w:type="dxa"/>
            <w:vAlign w:val="center"/>
          </w:tcPr>
          <w:p w14:paraId="6E7D99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附件3</w:t>
            </w:r>
          </w:p>
        </w:tc>
        <w:tc>
          <w:tcPr>
            <w:tcW w:w="3055" w:type="dxa"/>
            <w:vAlign w:val="center"/>
          </w:tcPr>
          <w:p w14:paraId="6F8FDB1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东莞市碧水信息科技有限公司2025年度阀门采购清单及价格表</w:t>
            </w:r>
          </w:p>
        </w:tc>
        <w:tc>
          <w:tcPr>
            <w:tcW w:w="1346" w:type="dxa"/>
            <w:vAlign w:val="center"/>
          </w:tcPr>
          <w:p w14:paraId="40FDFA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27BA9D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4C56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EC5BE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17</w:t>
            </w:r>
          </w:p>
        </w:tc>
        <w:tc>
          <w:tcPr>
            <w:tcW w:w="1425" w:type="dxa"/>
            <w:shd w:val="clear" w:color="auto" w:fill="auto"/>
            <w:vAlign w:val="center"/>
          </w:tcPr>
          <w:p w14:paraId="68CA59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附件4</w:t>
            </w:r>
          </w:p>
        </w:tc>
        <w:tc>
          <w:tcPr>
            <w:tcW w:w="3055" w:type="dxa"/>
            <w:shd w:val="clear" w:color="auto" w:fill="auto"/>
            <w:vAlign w:val="center"/>
          </w:tcPr>
          <w:p w14:paraId="1CA070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7B4AEF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67458D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0546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CA78A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18</w:t>
            </w:r>
          </w:p>
        </w:tc>
        <w:tc>
          <w:tcPr>
            <w:tcW w:w="1425" w:type="dxa"/>
            <w:shd w:val="clear" w:color="auto" w:fill="auto"/>
            <w:vAlign w:val="center"/>
          </w:tcPr>
          <w:p w14:paraId="0EA0658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一</w:t>
            </w:r>
          </w:p>
        </w:tc>
        <w:tc>
          <w:tcPr>
            <w:tcW w:w="3055" w:type="dxa"/>
            <w:shd w:val="clear" w:color="auto" w:fill="auto"/>
            <w:vAlign w:val="center"/>
          </w:tcPr>
          <w:p w14:paraId="4C32AA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14:paraId="0AA8EC8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12CD98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7687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4B1B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19</w:t>
            </w:r>
          </w:p>
        </w:tc>
        <w:tc>
          <w:tcPr>
            <w:tcW w:w="1425" w:type="dxa"/>
            <w:shd w:val="clear" w:color="auto" w:fill="auto"/>
            <w:vAlign w:val="center"/>
          </w:tcPr>
          <w:p w14:paraId="6A97CE7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二</w:t>
            </w:r>
          </w:p>
        </w:tc>
        <w:tc>
          <w:tcPr>
            <w:tcW w:w="3055" w:type="dxa"/>
            <w:shd w:val="clear" w:color="auto" w:fill="auto"/>
            <w:vAlign w:val="center"/>
          </w:tcPr>
          <w:p w14:paraId="2E794FB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14:paraId="7E8481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3BCD746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558F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BAA2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20</w:t>
            </w:r>
          </w:p>
        </w:tc>
        <w:tc>
          <w:tcPr>
            <w:tcW w:w="1425" w:type="dxa"/>
            <w:shd w:val="clear" w:color="auto" w:fill="auto"/>
            <w:vAlign w:val="center"/>
          </w:tcPr>
          <w:p w14:paraId="75CE643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三</w:t>
            </w:r>
          </w:p>
        </w:tc>
        <w:tc>
          <w:tcPr>
            <w:tcW w:w="3055" w:type="dxa"/>
            <w:shd w:val="clear" w:color="auto" w:fill="auto"/>
            <w:vAlign w:val="center"/>
          </w:tcPr>
          <w:p w14:paraId="4DB4258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14:paraId="59C15EC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6D8249D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bl>
    <w:p w14:paraId="73330546">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备注：</w:t>
      </w:r>
    </w:p>
    <w:p w14:paraId="6B50CAD2">
      <w:pPr>
        <w:ind w:left="525" w:hanging="525" w:hangingChars="250"/>
        <w:rPr>
          <w:rFonts w:hint="eastAsia" w:ascii="宋体" w:hAnsi="宋体" w:eastAsia="宋体" w:cs="宋体"/>
          <w:b/>
          <w:bCs/>
          <w:color w:val="auto"/>
          <w:highlight w:val="none"/>
          <w:u w:val="single"/>
        </w:rPr>
      </w:pPr>
      <w:r>
        <w:rPr>
          <w:rFonts w:hint="eastAsia" w:ascii="宋体" w:hAnsi="宋体" w:eastAsia="宋体" w:cs="宋体"/>
          <w:color w:val="auto"/>
          <w:highlight w:val="none"/>
        </w:rPr>
        <w:t>（1）</w:t>
      </w:r>
      <w:r>
        <w:rPr>
          <w:rFonts w:hint="eastAsia" w:ascii="宋体" w:hAnsi="宋体" w:eastAsia="宋体" w:cs="宋体"/>
          <w:b/>
          <w:bCs/>
          <w:color w:val="auto"/>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342F3630">
      <w:pPr>
        <w:ind w:left="525" w:hanging="525" w:hangingChars="250"/>
        <w:rPr>
          <w:rFonts w:hint="eastAsia" w:ascii="宋体" w:hAnsi="宋体" w:eastAsia="宋体" w:cs="宋体"/>
          <w:b w:val="0"/>
          <w:bCs w:val="0"/>
          <w:color w:val="auto"/>
          <w:highlight w:val="none"/>
          <w:u w:val="none"/>
        </w:rPr>
      </w:pPr>
      <w:r>
        <w:rPr>
          <w:rFonts w:hint="eastAsia" w:ascii="宋体" w:hAnsi="宋体" w:eastAsia="宋体" w:cs="宋体"/>
          <w:b w:val="0"/>
          <w:bCs w:val="0"/>
          <w:color w:val="auto"/>
          <w:highlight w:val="none"/>
          <w:u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230EB0FA">
      <w:pPr>
        <w:ind w:left="525" w:hanging="525" w:hangingChars="250"/>
        <w:rPr>
          <w:rFonts w:hint="eastAsia" w:ascii="宋体" w:hAnsi="宋体" w:eastAsia="宋体" w:cs="宋体"/>
          <w:b w:val="0"/>
          <w:bCs w:val="0"/>
          <w:color w:val="auto"/>
          <w:highlight w:val="none"/>
          <w:u w:val="none"/>
        </w:rPr>
      </w:pPr>
      <w:r>
        <w:rPr>
          <w:rFonts w:hint="eastAsia" w:ascii="宋体" w:hAnsi="宋体" w:eastAsia="宋体" w:cs="宋体"/>
          <w:b w:val="0"/>
          <w:bCs w:val="0"/>
          <w:color w:val="auto"/>
          <w:highlight w:val="none"/>
          <w:u w:val="none"/>
        </w:rPr>
        <w:t>（3）招标文件“第五篇 相关保函格式”作为重要的商务条款，投标人的响应情况列入本合同条款偏离表。</w:t>
      </w:r>
    </w:p>
    <w:p w14:paraId="4DB52C34">
      <w:pPr>
        <w:ind w:left="525" w:hanging="525" w:hangingChars="250"/>
        <w:rPr>
          <w:rFonts w:hint="eastAsia" w:ascii="宋体" w:hAnsi="宋体" w:eastAsia="宋体" w:cs="宋体"/>
          <w:b w:val="0"/>
          <w:bCs w:val="0"/>
          <w:color w:val="auto"/>
          <w:highlight w:val="none"/>
          <w:u w:val="none"/>
        </w:rPr>
      </w:pPr>
      <w:r>
        <w:rPr>
          <w:rFonts w:hint="eastAsia" w:ascii="宋体" w:hAnsi="宋体" w:eastAsia="宋体" w:cs="宋体"/>
          <w:b w:val="0"/>
          <w:bCs w:val="0"/>
          <w:color w:val="auto"/>
          <w:highlight w:val="none"/>
          <w:u w:val="none"/>
        </w:rPr>
        <w:t>（4）如投标人差异内容较多可另附页说明，并在本偏离表“具体偏离内容”项注明其在投标文件中的具体页码。</w:t>
      </w:r>
    </w:p>
    <w:p w14:paraId="7F2BDAC8">
      <w:pPr>
        <w:ind w:left="357" w:leftChars="-100" w:hanging="567" w:hangingChars="270"/>
        <w:rPr>
          <w:rFonts w:hint="eastAsia" w:ascii="宋体" w:hAnsi="宋体" w:eastAsia="宋体" w:cs="宋体"/>
          <w:color w:val="auto"/>
          <w:szCs w:val="21"/>
          <w:highlight w:val="none"/>
        </w:rPr>
      </w:pPr>
    </w:p>
    <w:p w14:paraId="541B92E0">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5A49ACF2">
      <w:pPr>
        <w:ind w:left="4620" w:leftChars="2200"/>
        <w:rPr>
          <w:rFonts w:hint="eastAsia" w:ascii="宋体" w:hAnsi="宋体" w:eastAsia="宋体" w:cs="宋体"/>
          <w:color w:val="auto"/>
          <w:highlight w:val="none"/>
        </w:rPr>
      </w:pPr>
      <w:r>
        <w:rPr>
          <w:rFonts w:hint="eastAsia" w:ascii="宋体" w:hAnsi="宋体" w:eastAsia="宋体" w:cs="宋体"/>
          <w:color w:val="auto"/>
          <w:szCs w:val="21"/>
          <w:highlight w:val="none"/>
          <w:lang w:val="zh-CN"/>
        </w:rPr>
        <w:t>日  期：　年  月  日</w:t>
      </w:r>
    </w:p>
    <w:p w14:paraId="68AF5246">
      <w:pPr>
        <w:rPr>
          <w:rFonts w:hint="eastAsia" w:ascii="宋体" w:hAnsi="宋体" w:eastAsia="宋体" w:cs="宋体"/>
          <w:color w:val="auto"/>
          <w:sz w:val="28"/>
          <w:szCs w:val="36"/>
          <w:highlight w:val="none"/>
        </w:rPr>
      </w:pPr>
      <w:bookmarkStart w:id="990" w:name="_Toc94107218"/>
      <w:bookmarkStart w:id="991" w:name="_Toc102860426"/>
      <w:bookmarkStart w:id="992" w:name="_Toc140596937"/>
      <w:bookmarkStart w:id="993" w:name="_Toc10265"/>
      <w:bookmarkStart w:id="994" w:name="_Toc15833"/>
      <w:bookmarkStart w:id="995" w:name="_Toc16820"/>
      <w:bookmarkStart w:id="996" w:name="_Toc176627934"/>
      <w:bookmarkStart w:id="997" w:name="_Toc26972"/>
      <w:bookmarkStart w:id="998" w:name="_Toc20306"/>
      <w:bookmarkStart w:id="999" w:name="_Toc178076613"/>
      <w:bookmarkStart w:id="1000" w:name="_Toc13348"/>
      <w:bookmarkStart w:id="1001" w:name="_Toc28473"/>
      <w:bookmarkStart w:id="1002" w:name="_Toc142508377"/>
      <w:bookmarkStart w:id="1003" w:name="_Toc2075"/>
      <w:bookmarkStart w:id="1004" w:name="_Toc1223"/>
      <w:bookmarkStart w:id="1005" w:name="_Toc104991884"/>
      <w:bookmarkStart w:id="1006" w:name="_Toc102860082"/>
      <w:bookmarkStart w:id="1007" w:name="_Toc271"/>
      <w:bookmarkStart w:id="1008" w:name="_Toc27980_WPSOffice_Level2"/>
      <w:bookmarkStart w:id="1009" w:name="_Toc486167717"/>
      <w:r>
        <w:rPr>
          <w:rFonts w:hint="eastAsia" w:ascii="宋体" w:hAnsi="宋体" w:eastAsia="宋体" w:cs="宋体"/>
          <w:color w:val="auto"/>
          <w:sz w:val="28"/>
          <w:szCs w:val="36"/>
          <w:highlight w:val="none"/>
        </w:rPr>
        <w:br w:type="page"/>
      </w:r>
    </w:p>
    <w:p w14:paraId="310CB88A">
      <w:pPr>
        <w:pStyle w:val="3"/>
        <w:rPr>
          <w:rFonts w:hint="eastAsia" w:ascii="宋体" w:hAnsi="宋体" w:eastAsia="宋体" w:cs="宋体"/>
          <w:color w:val="auto"/>
          <w:sz w:val="28"/>
          <w:szCs w:val="36"/>
          <w:highlight w:val="none"/>
        </w:rPr>
      </w:pPr>
      <w:bookmarkStart w:id="1010" w:name="_Toc14291"/>
      <w:bookmarkStart w:id="1011" w:name="_Toc23787"/>
      <w:bookmarkStart w:id="1012" w:name="_Toc487"/>
      <w:bookmarkStart w:id="1013" w:name="_Toc8593"/>
      <w:bookmarkStart w:id="1014" w:name="_Toc22349"/>
      <w:bookmarkStart w:id="1015" w:name="_Toc32069"/>
      <w:bookmarkStart w:id="1016" w:name="_Toc17140"/>
      <w:r>
        <w:rPr>
          <w:rFonts w:hint="eastAsia" w:ascii="宋体" w:hAnsi="宋体" w:eastAsia="宋体" w:cs="宋体"/>
          <w:color w:val="auto"/>
          <w:sz w:val="28"/>
          <w:szCs w:val="36"/>
          <w:highlight w:val="none"/>
        </w:rPr>
        <w:t>九、业绩表格式</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10"/>
      <w:bookmarkEnd w:id="1011"/>
      <w:bookmarkEnd w:id="1012"/>
      <w:bookmarkEnd w:id="1013"/>
      <w:bookmarkEnd w:id="1014"/>
      <w:bookmarkEnd w:id="1015"/>
      <w:bookmarkEnd w:id="1016"/>
    </w:p>
    <w:p w14:paraId="14C5CA75">
      <w:pPr>
        <w:jc w:val="cente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zh-CN"/>
        </w:rPr>
        <w:t>投标人2022年1月1日以来（业绩的时间以合同签订的日期为准）承接的投标品牌</w:t>
      </w:r>
      <w:r>
        <w:rPr>
          <w:rFonts w:hint="eastAsia" w:ascii="宋体" w:hAnsi="宋体" w:eastAsia="宋体" w:cs="宋体"/>
          <w:b/>
          <w:bCs/>
          <w:color w:val="auto"/>
          <w:kern w:val="2"/>
          <w:sz w:val="28"/>
          <w:szCs w:val="32"/>
          <w:highlight w:val="none"/>
          <w:lang w:val="zh-CN" w:eastAsia="zh-CN" w:bidi="ar-SA"/>
        </w:rPr>
        <w:t>球墨铸铁阀门</w:t>
      </w:r>
      <w:r>
        <w:rPr>
          <w:rFonts w:hint="eastAsia" w:ascii="宋体" w:hAnsi="宋体" w:eastAsia="宋体" w:cs="宋体"/>
          <w:b/>
          <w:bCs/>
          <w:color w:val="auto"/>
          <w:sz w:val="28"/>
          <w:szCs w:val="32"/>
          <w:highlight w:val="none"/>
          <w:lang w:val="zh-CN"/>
        </w:rPr>
        <w:t>在国内的销售业绩</w:t>
      </w:r>
    </w:p>
    <w:tbl>
      <w:tblPr>
        <w:tblStyle w:val="20"/>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4"/>
        <w:gridCol w:w="1247"/>
        <w:gridCol w:w="1249"/>
        <w:gridCol w:w="1185"/>
        <w:gridCol w:w="1067"/>
        <w:gridCol w:w="1815"/>
        <w:gridCol w:w="1426"/>
      </w:tblGrid>
      <w:tr w14:paraId="5F6EA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5E00D9F">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399DC826">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项目</w:t>
            </w:r>
          </w:p>
          <w:p w14:paraId="1F4B6580">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名称</w:t>
            </w:r>
          </w:p>
        </w:tc>
        <w:tc>
          <w:tcPr>
            <w:tcW w:w="1247" w:type="dxa"/>
            <w:tcBorders>
              <w:top w:val="single" w:color="auto" w:sz="4" w:space="0"/>
              <w:left w:val="single" w:color="auto" w:sz="4" w:space="0"/>
              <w:bottom w:val="single" w:color="auto" w:sz="4" w:space="0"/>
              <w:right w:val="single" w:color="auto" w:sz="4" w:space="0"/>
            </w:tcBorders>
            <w:vAlign w:val="center"/>
          </w:tcPr>
          <w:p w14:paraId="352D7A74">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单项合同</w:t>
            </w:r>
          </w:p>
          <w:p w14:paraId="1BC7ECB8">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金额（单位：万元）</w:t>
            </w:r>
          </w:p>
        </w:tc>
        <w:tc>
          <w:tcPr>
            <w:tcW w:w="1249" w:type="dxa"/>
            <w:tcBorders>
              <w:top w:val="single" w:color="auto" w:sz="4" w:space="0"/>
              <w:left w:val="single" w:color="auto" w:sz="4" w:space="0"/>
              <w:bottom w:val="single" w:color="auto" w:sz="4" w:space="0"/>
              <w:right w:val="single" w:color="auto" w:sz="4" w:space="0"/>
            </w:tcBorders>
            <w:vAlign w:val="center"/>
          </w:tcPr>
          <w:p w14:paraId="77C276AD">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798E3497">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签约</w:t>
            </w:r>
          </w:p>
          <w:p w14:paraId="755FB4E6">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w:t>
            </w:r>
          </w:p>
        </w:tc>
        <w:tc>
          <w:tcPr>
            <w:tcW w:w="1067" w:type="dxa"/>
            <w:tcBorders>
              <w:top w:val="single" w:color="auto" w:sz="4" w:space="0"/>
              <w:left w:val="single" w:color="auto" w:sz="4" w:space="0"/>
              <w:bottom w:val="single" w:color="auto" w:sz="4" w:space="0"/>
              <w:right w:val="single" w:color="auto" w:sz="4" w:space="0"/>
            </w:tcBorders>
            <w:vAlign w:val="center"/>
          </w:tcPr>
          <w:p w14:paraId="3960FEFD">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完成</w:t>
            </w:r>
          </w:p>
          <w:p w14:paraId="626FB404">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情况</w:t>
            </w:r>
          </w:p>
        </w:tc>
        <w:tc>
          <w:tcPr>
            <w:tcW w:w="1815" w:type="dxa"/>
            <w:tcBorders>
              <w:top w:val="single" w:color="auto" w:sz="4" w:space="0"/>
              <w:left w:val="single" w:color="auto" w:sz="4" w:space="0"/>
              <w:bottom w:val="single" w:color="auto" w:sz="4" w:space="0"/>
              <w:right w:val="single" w:color="auto" w:sz="4" w:space="0"/>
            </w:tcBorders>
            <w:vAlign w:val="center"/>
          </w:tcPr>
          <w:p w14:paraId="6F86BD04">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62EDA369">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备注</w:t>
            </w:r>
          </w:p>
        </w:tc>
      </w:tr>
      <w:tr w14:paraId="237DA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79749C0">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793" w:type="pct"/>
            <w:tcBorders>
              <w:top w:val="single" w:color="auto" w:sz="4" w:space="0"/>
              <w:left w:val="single" w:color="auto" w:sz="4" w:space="0"/>
              <w:bottom w:val="single" w:color="auto" w:sz="4" w:space="0"/>
              <w:right w:val="single" w:color="auto" w:sz="4" w:space="0"/>
            </w:tcBorders>
            <w:vAlign w:val="center"/>
          </w:tcPr>
          <w:p w14:paraId="4ECC9BBD">
            <w:pPr>
              <w:jc w:val="center"/>
              <w:rPr>
                <w:rFonts w:hint="eastAsia" w:ascii="宋体" w:hAnsi="宋体" w:eastAsia="宋体" w:cs="宋体"/>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3745A37A">
            <w:pPr>
              <w:jc w:val="center"/>
              <w:rPr>
                <w:rFonts w:hint="eastAsia" w:ascii="宋体" w:hAnsi="宋体" w:eastAsia="宋体" w:cs="宋体"/>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19CA1662">
            <w:pPr>
              <w:jc w:val="center"/>
              <w:rPr>
                <w:rFonts w:hint="eastAsia" w:ascii="宋体" w:hAnsi="宋体" w:eastAsia="宋体" w:cs="宋体"/>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2025790A">
            <w:pPr>
              <w:jc w:val="center"/>
              <w:rPr>
                <w:rFonts w:hint="eastAsia" w:ascii="宋体" w:hAnsi="宋体" w:eastAsia="宋体" w:cs="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3A1E7CA1">
            <w:pPr>
              <w:jc w:val="center"/>
              <w:rPr>
                <w:rFonts w:hint="eastAsia" w:ascii="宋体" w:hAnsi="宋体" w:eastAsia="宋体" w:cs="宋体"/>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61CDB6FD">
            <w:pPr>
              <w:jc w:val="center"/>
              <w:rPr>
                <w:rFonts w:hint="eastAsia" w:ascii="宋体" w:hAnsi="宋体" w:eastAsia="宋体" w:cs="宋体"/>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5C6185E0">
            <w:pPr>
              <w:jc w:val="center"/>
              <w:rPr>
                <w:rFonts w:hint="eastAsia" w:ascii="宋体" w:hAnsi="宋体" w:eastAsia="宋体" w:cs="宋体"/>
                <w:color w:val="auto"/>
                <w:szCs w:val="21"/>
                <w:highlight w:val="none"/>
              </w:rPr>
            </w:pPr>
          </w:p>
        </w:tc>
      </w:tr>
      <w:tr w14:paraId="51484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E644A24">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793" w:type="pct"/>
            <w:tcBorders>
              <w:top w:val="single" w:color="auto" w:sz="4" w:space="0"/>
              <w:left w:val="single" w:color="auto" w:sz="4" w:space="0"/>
              <w:bottom w:val="single" w:color="auto" w:sz="4" w:space="0"/>
              <w:right w:val="single" w:color="auto" w:sz="4" w:space="0"/>
            </w:tcBorders>
            <w:vAlign w:val="center"/>
          </w:tcPr>
          <w:p w14:paraId="29A23A5B">
            <w:pPr>
              <w:jc w:val="center"/>
              <w:rPr>
                <w:rFonts w:hint="eastAsia" w:ascii="宋体" w:hAnsi="宋体" w:eastAsia="宋体" w:cs="宋体"/>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2366B9B4">
            <w:pPr>
              <w:jc w:val="center"/>
              <w:rPr>
                <w:rFonts w:hint="eastAsia" w:ascii="宋体" w:hAnsi="宋体" w:eastAsia="宋体" w:cs="宋体"/>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30AF32D3">
            <w:pPr>
              <w:jc w:val="center"/>
              <w:rPr>
                <w:rFonts w:hint="eastAsia" w:ascii="宋体" w:hAnsi="宋体" w:eastAsia="宋体" w:cs="宋体"/>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550A139A">
            <w:pPr>
              <w:jc w:val="center"/>
              <w:rPr>
                <w:rFonts w:hint="eastAsia" w:ascii="宋体" w:hAnsi="宋体" w:eastAsia="宋体" w:cs="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4A07CABA">
            <w:pPr>
              <w:jc w:val="center"/>
              <w:rPr>
                <w:rFonts w:hint="eastAsia" w:ascii="宋体" w:hAnsi="宋体" w:eastAsia="宋体" w:cs="宋体"/>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3DD18B5B">
            <w:pPr>
              <w:jc w:val="center"/>
              <w:rPr>
                <w:rFonts w:hint="eastAsia" w:ascii="宋体" w:hAnsi="宋体" w:eastAsia="宋体" w:cs="宋体"/>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250B90D8">
            <w:pPr>
              <w:jc w:val="center"/>
              <w:rPr>
                <w:rFonts w:hint="eastAsia" w:ascii="宋体" w:hAnsi="宋体" w:eastAsia="宋体" w:cs="宋体"/>
                <w:color w:val="auto"/>
                <w:szCs w:val="21"/>
                <w:highlight w:val="none"/>
              </w:rPr>
            </w:pPr>
          </w:p>
        </w:tc>
      </w:tr>
      <w:tr w14:paraId="1D5A7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E9F1451">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793" w:type="pct"/>
            <w:tcBorders>
              <w:top w:val="single" w:color="auto" w:sz="4" w:space="0"/>
              <w:left w:val="single" w:color="auto" w:sz="4" w:space="0"/>
              <w:bottom w:val="single" w:color="auto" w:sz="4" w:space="0"/>
              <w:right w:val="single" w:color="auto" w:sz="4" w:space="0"/>
            </w:tcBorders>
            <w:vAlign w:val="center"/>
          </w:tcPr>
          <w:p w14:paraId="7B6E14FE">
            <w:pPr>
              <w:jc w:val="center"/>
              <w:rPr>
                <w:rFonts w:hint="eastAsia" w:ascii="宋体" w:hAnsi="宋体" w:eastAsia="宋体" w:cs="宋体"/>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15DC12C7">
            <w:pPr>
              <w:jc w:val="center"/>
              <w:rPr>
                <w:rFonts w:hint="eastAsia" w:ascii="宋体" w:hAnsi="宋体" w:eastAsia="宋体" w:cs="宋体"/>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20525CF9">
            <w:pPr>
              <w:jc w:val="center"/>
              <w:rPr>
                <w:rFonts w:hint="eastAsia" w:ascii="宋体" w:hAnsi="宋体" w:eastAsia="宋体" w:cs="宋体"/>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12433DCB">
            <w:pPr>
              <w:jc w:val="center"/>
              <w:rPr>
                <w:rFonts w:hint="eastAsia" w:ascii="宋体" w:hAnsi="宋体" w:eastAsia="宋体" w:cs="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3221AE1E">
            <w:pPr>
              <w:jc w:val="center"/>
              <w:rPr>
                <w:rFonts w:hint="eastAsia" w:ascii="宋体" w:hAnsi="宋体" w:eastAsia="宋体" w:cs="宋体"/>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6DBE6950">
            <w:pPr>
              <w:jc w:val="center"/>
              <w:rPr>
                <w:rFonts w:hint="eastAsia" w:ascii="宋体" w:hAnsi="宋体" w:eastAsia="宋体" w:cs="宋体"/>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0D617537">
            <w:pPr>
              <w:jc w:val="center"/>
              <w:rPr>
                <w:rFonts w:hint="eastAsia" w:ascii="宋体" w:hAnsi="宋体" w:eastAsia="宋体" w:cs="宋体"/>
                <w:color w:val="auto"/>
                <w:szCs w:val="21"/>
                <w:highlight w:val="none"/>
              </w:rPr>
            </w:pPr>
          </w:p>
        </w:tc>
      </w:tr>
      <w:tr w14:paraId="3BFFB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42E412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3" w:type="pct"/>
            <w:tcBorders>
              <w:top w:val="single" w:color="auto" w:sz="4" w:space="0"/>
              <w:left w:val="single" w:color="auto" w:sz="4" w:space="0"/>
              <w:bottom w:val="single" w:color="auto" w:sz="4" w:space="0"/>
              <w:right w:val="single" w:color="auto" w:sz="4" w:space="0"/>
            </w:tcBorders>
            <w:vAlign w:val="center"/>
          </w:tcPr>
          <w:p w14:paraId="0D72263C">
            <w:pPr>
              <w:jc w:val="center"/>
              <w:rPr>
                <w:rFonts w:hint="eastAsia" w:ascii="宋体" w:hAnsi="宋体" w:eastAsia="宋体" w:cs="宋体"/>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24BF9656">
            <w:pPr>
              <w:jc w:val="center"/>
              <w:rPr>
                <w:rFonts w:hint="eastAsia" w:ascii="宋体" w:hAnsi="宋体" w:eastAsia="宋体" w:cs="宋体"/>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67132887">
            <w:pPr>
              <w:jc w:val="center"/>
              <w:rPr>
                <w:rFonts w:hint="eastAsia" w:ascii="宋体" w:hAnsi="宋体" w:eastAsia="宋体" w:cs="宋体"/>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7606D0A4">
            <w:pPr>
              <w:jc w:val="center"/>
              <w:rPr>
                <w:rFonts w:hint="eastAsia" w:ascii="宋体" w:hAnsi="宋体" w:eastAsia="宋体" w:cs="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4179B4F1">
            <w:pPr>
              <w:jc w:val="center"/>
              <w:rPr>
                <w:rFonts w:hint="eastAsia" w:ascii="宋体" w:hAnsi="宋体" w:eastAsia="宋体" w:cs="宋体"/>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3C2C139C">
            <w:pPr>
              <w:jc w:val="center"/>
              <w:rPr>
                <w:rFonts w:hint="eastAsia" w:ascii="宋体" w:hAnsi="宋体" w:eastAsia="宋体" w:cs="宋体"/>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37C6467C">
            <w:pPr>
              <w:jc w:val="center"/>
              <w:rPr>
                <w:rFonts w:hint="eastAsia" w:ascii="宋体" w:hAnsi="宋体" w:eastAsia="宋体" w:cs="宋体"/>
                <w:color w:val="auto"/>
                <w:szCs w:val="21"/>
                <w:highlight w:val="none"/>
              </w:rPr>
            </w:pPr>
          </w:p>
        </w:tc>
      </w:tr>
    </w:tbl>
    <w:p w14:paraId="77E8A761">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备注： </w:t>
      </w:r>
    </w:p>
    <w:p w14:paraId="34C3611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（1）业绩按单项合同采购金额从高到低的方式排列；</w:t>
      </w:r>
      <w:r>
        <w:rPr>
          <w:rFonts w:hint="eastAsia" w:ascii="宋体" w:hAnsi="宋体" w:eastAsia="宋体" w:cs="宋体"/>
          <w:b/>
          <w:bCs/>
          <w:color w:val="auto"/>
          <w:highlight w:val="none"/>
          <w:lang w:val="zh-CN"/>
        </w:rPr>
        <w:t>同一个单项合同的业绩可以同时在资格业绩和评分业绩重复放置；</w:t>
      </w:r>
    </w:p>
    <w:p w14:paraId="52566D1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（2）业绩须同时提供：投标品牌</w:t>
      </w:r>
      <w:r>
        <w:rPr>
          <w:rFonts w:hint="eastAsia" w:ascii="宋体" w:hAnsi="宋体" w:eastAsia="宋体" w:cs="宋体"/>
          <w:color w:val="auto"/>
          <w:kern w:val="2"/>
          <w:sz w:val="21"/>
          <w:szCs w:val="22"/>
          <w:highlight w:val="none"/>
          <w:lang w:val="zh-CN" w:eastAsia="zh-CN" w:bidi="ar-SA"/>
        </w:rPr>
        <w:t>球墨铸铁阀门</w:t>
      </w:r>
      <w:r>
        <w:rPr>
          <w:rFonts w:hint="eastAsia" w:ascii="宋体" w:hAnsi="宋体" w:eastAsia="宋体" w:cs="宋体"/>
          <w:color w:val="auto"/>
          <w:highlight w:val="none"/>
          <w:lang w:val="zh-CN"/>
        </w:rPr>
        <w:t>销售合同复印件以及已供货产品任意一张发票复印件（发票开具日期须在本项目招标公告发布之日前），否则不得分；</w:t>
      </w:r>
    </w:p>
    <w:p w14:paraId="112F3CB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（3）若合同无法反映评分条件（合同签订日期为2022年1月1日或以后、合同标的必须包含投标品牌</w:t>
      </w:r>
      <w:r>
        <w:rPr>
          <w:rFonts w:hint="eastAsia" w:ascii="宋体" w:hAnsi="宋体" w:eastAsia="宋体" w:cs="宋体"/>
          <w:color w:val="auto"/>
          <w:kern w:val="2"/>
          <w:sz w:val="21"/>
          <w:szCs w:val="22"/>
          <w:highlight w:val="none"/>
          <w:lang w:val="zh-CN" w:eastAsia="zh-CN" w:bidi="ar-SA"/>
        </w:rPr>
        <w:t>球墨铸铁阀门</w:t>
      </w:r>
      <w:r>
        <w:rPr>
          <w:rFonts w:hint="eastAsia" w:ascii="宋体" w:hAnsi="宋体" w:eastAsia="宋体" w:cs="宋体"/>
          <w:color w:val="auto"/>
          <w:highlight w:val="none"/>
          <w:lang w:val="zh-CN"/>
        </w:rPr>
        <w:t>、合同金额）的，还需提供产品购买方出具的书面补充说明文件复印件作为辅助证明（需显示购买方公章），否则不得分；</w:t>
      </w:r>
    </w:p>
    <w:p w14:paraId="108682A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（4）若业绩为框架式协议或资格入围无明确金额的合同，必须同时提供合同期限内已供货发票金额统计表和发票复印件；</w:t>
      </w:r>
    </w:p>
    <w:p w14:paraId="0BBE059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（5）未按上述要求在此格式下提供证明材料的业绩，或在此格式下所附材料无法证明填报项目符合本项评分要求的业绩，在评标时将不予考虑</w:t>
      </w:r>
      <w:r>
        <w:rPr>
          <w:rFonts w:hint="eastAsia" w:ascii="宋体" w:hAnsi="宋体" w:eastAsia="宋体" w:cs="宋体"/>
          <w:b/>
          <w:bCs/>
          <w:color w:val="auto"/>
          <w:highlight w:val="none"/>
          <w:lang w:val="zh-CN"/>
        </w:rPr>
        <w:t>。</w:t>
      </w:r>
    </w:p>
    <w:p w14:paraId="0414416C">
      <w:pPr>
        <w:ind w:firstLine="5040" w:firstLineChars="2400"/>
        <w:jc w:val="left"/>
        <w:rPr>
          <w:rFonts w:hint="eastAsia" w:ascii="宋体" w:hAnsi="宋体" w:eastAsia="宋体" w:cs="宋体"/>
          <w:color w:val="auto"/>
          <w:szCs w:val="24"/>
          <w:highlight w:val="none"/>
          <w:lang w:val="zh-CN"/>
        </w:rPr>
      </w:pPr>
    </w:p>
    <w:p w14:paraId="2E2B570E">
      <w:pPr>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7F1F6045">
      <w:pPr>
        <w:ind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659D116F">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74400824">
      <w:pPr>
        <w:pageBreakBefore/>
        <w:widowControl/>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附表：已供货产品发票金额统计表</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83"/>
        <w:gridCol w:w="1674"/>
        <w:gridCol w:w="1345"/>
        <w:gridCol w:w="1643"/>
        <w:gridCol w:w="1310"/>
        <w:gridCol w:w="14"/>
      </w:tblGrid>
      <w:tr w14:paraId="640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6B948ED0">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6A55AB5B">
            <w:pPr>
              <w:snapToGrid w:val="0"/>
              <w:spacing w:line="360" w:lineRule="auto"/>
              <w:ind w:left="0" w:leftChars="0"/>
              <w:jc w:val="center"/>
              <w:rPr>
                <w:rFonts w:hint="eastAsia" w:ascii="宋体" w:hAnsi="宋体" w:eastAsia="宋体" w:cs="宋体"/>
                <w:color w:val="auto"/>
                <w:sz w:val="21"/>
                <w:szCs w:val="21"/>
                <w:highlight w:val="none"/>
              </w:rPr>
            </w:pPr>
          </w:p>
        </w:tc>
      </w:tr>
      <w:tr w14:paraId="6808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19B9829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418BFD63">
            <w:pPr>
              <w:snapToGrid w:val="0"/>
              <w:spacing w:line="360" w:lineRule="auto"/>
              <w:ind w:left="0" w:leftChars="0"/>
              <w:jc w:val="center"/>
              <w:rPr>
                <w:rFonts w:hint="eastAsia" w:ascii="宋体" w:hAnsi="宋体" w:eastAsia="宋体" w:cs="宋体"/>
                <w:color w:val="auto"/>
                <w:sz w:val="21"/>
                <w:szCs w:val="21"/>
                <w:highlight w:val="none"/>
              </w:rPr>
            </w:pPr>
          </w:p>
        </w:tc>
      </w:tr>
      <w:tr w14:paraId="52C5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5BCD926D">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516BF25B">
            <w:pPr>
              <w:snapToGrid w:val="0"/>
              <w:spacing w:line="360" w:lineRule="auto"/>
              <w:ind w:left="0" w:leftChars="0"/>
              <w:jc w:val="center"/>
              <w:rPr>
                <w:rFonts w:hint="eastAsia" w:ascii="宋体" w:hAnsi="宋体" w:eastAsia="宋体" w:cs="宋体"/>
                <w:color w:val="auto"/>
                <w:sz w:val="21"/>
                <w:szCs w:val="21"/>
                <w:highlight w:val="none"/>
              </w:rPr>
            </w:pPr>
          </w:p>
        </w:tc>
      </w:tr>
      <w:tr w14:paraId="55FC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16D611FA">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42" w:type="pct"/>
            <w:tcBorders>
              <w:top w:val="single" w:color="auto" w:sz="4" w:space="0"/>
              <w:left w:val="single" w:color="auto" w:sz="4" w:space="0"/>
              <w:bottom w:val="single" w:color="auto" w:sz="4" w:space="0"/>
              <w:right w:val="single" w:color="auto" w:sz="4" w:space="0"/>
            </w:tcBorders>
            <w:vAlign w:val="center"/>
          </w:tcPr>
          <w:p w14:paraId="2DC7E01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813" w:type="pct"/>
            <w:tcBorders>
              <w:top w:val="single" w:color="auto" w:sz="4" w:space="0"/>
              <w:left w:val="single" w:color="auto" w:sz="4" w:space="0"/>
              <w:bottom w:val="single" w:color="auto" w:sz="4" w:space="0"/>
              <w:right w:val="single" w:color="auto" w:sz="4" w:space="0"/>
            </w:tcBorders>
            <w:vAlign w:val="center"/>
          </w:tcPr>
          <w:p w14:paraId="72E7E22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653" w:type="pct"/>
            <w:tcBorders>
              <w:top w:val="single" w:color="auto" w:sz="4" w:space="0"/>
              <w:left w:val="single" w:color="auto" w:sz="4" w:space="0"/>
              <w:bottom w:val="single" w:color="auto" w:sz="4" w:space="0"/>
              <w:right w:val="single" w:color="auto" w:sz="4" w:space="0"/>
            </w:tcBorders>
            <w:vAlign w:val="center"/>
          </w:tcPr>
          <w:p w14:paraId="31AC562C">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798" w:type="pct"/>
            <w:tcBorders>
              <w:top w:val="single" w:color="auto" w:sz="4" w:space="0"/>
              <w:left w:val="single" w:color="auto" w:sz="4" w:space="0"/>
              <w:bottom w:val="single" w:color="auto" w:sz="4" w:space="0"/>
              <w:right w:val="single" w:color="auto" w:sz="4" w:space="0"/>
            </w:tcBorders>
            <w:vAlign w:val="center"/>
          </w:tcPr>
          <w:p w14:paraId="6EDF5B9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636" w:type="pct"/>
            <w:tcBorders>
              <w:top w:val="single" w:color="auto" w:sz="4" w:space="0"/>
              <w:left w:val="single" w:color="auto" w:sz="4" w:space="0"/>
              <w:bottom w:val="single" w:color="auto" w:sz="4" w:space="0"/>
              <w:right w:val="single" w:color="auto" w:sz="4" w:space="0"/>
            </w:tcBorders>
            <w:vAlign w:val="center"/>
          </w:tcPr>
          <w:p w14:paraId="1B84410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37E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0C6C2D2B">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2" w:type="pct"/>
            <w:tcBorders>
              <w:top w:val="single" w:color="auto" w:sz="4" w:space="0"/>
              <w:left w:val="single" w:color="auto" w:sz="4" w:space="0"/>
              <w:bottom w:val="single" w:color="auto" w:sz="4" w:space="0"/>
              <w:right w:val="single" w:color="auto" w:sz="4" w:space="0"/>
            </w:tcBorders>
            <w:vAlign w:val="center"/>
          </w:tcPr>
          <w:p w14:paraId="6C60C099">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1055E35E">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10298E2">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55E265BA">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7F1EB540">
            <w:pPr>
              <w:snapToGrid w:val="0"/>
              <w:spacing w:line="360" w:lineRule="auto"/>
              <w:ind w:left="0" w:leftChars="0"/>
              <w:jc w:val="center"/>
              <w:rPr>
                <w:rFonts w:hint="eastAsia" w:ascii="宋体" w:hAnsi="宋体" w:eastAsia="宋体" w:cs="宋体"/>
                <w:color w:val="auto"/>
                <w:sz w:val="21"/>
                <w:szCs w:val="21"/>
                <w:highlight w:val="none"/>
              </w:rPr>
            </w:pPr>
          </w:p>
        </w:tc>
      </w:tr>
      <w:tr w14:paraId="6CD1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3DDCA576">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2" w:type="pct"/>
            <w:tcBorders>
              <w:top w:val="single" w:color="auto" w:sz="4" w:space="0"/>
              <w:left w:val="single" w:color="auto" w:sz="4" w:space="0"/>
              <w:bottom w:val="single" w:color="auto" w:sz="4" w:space="0"/>
              <w:right w:val="single" w:color="auto" w:sz="4" w:space="0"/>
            </w:tcBorders>
            <w:vAlign w:val="center"/>
          </w:tcPr>
          <w:p w14:paraId="65CC862F">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02545112">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515EFE49">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0D650602">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6A0E37DE">
            <w:pPr>
              <w:snapToGrid w:val="0"/>
              <w:spacing w:line="360" w:lineRule="auto"/>
              <w:ind w:left="0" w:leftChars="0"/>
              <w:jc w:val="center"/>
              <w:rPr>
                <w:rFonts w:hint="eastAsia" w:ascii="宋体" w:hAnsi="宋体" w:eastAsia="宋体" w:cs="宋体"/>
                <w:color w:val="auto"/>
                <w:sz w:val="21"/>
                <w:szCs w:val="21"/>
                <w:highlight w:val="none"/>
              </w:rPr>
            </w:pPr>
          </w:p>
        </w:tc>
      </w:tr>
      <w:tr w14:paraId="7CA3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61310086">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2" w:type="pct"/>
            <w:tcBorders>
              <w:top w:val="single" w:color="auto" w:sz="4" w:space="0"/>
              <w:left w:val="single" w:color="auto" w:sz="4" w:space="0"/>
              <w:bottom w:val="single" w:color="auto" w:sz="4" w:space="0"/>
              <w:right w:val="single" w:color="auto" w:sz="4" w:space="0"/>
            </w:tcBorders>
            <w:vAlign w:val="center"/>
          </w:tcPr>
          <w:p w14:paraId="5E4F5BCA">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E21F667">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1E80EEAD">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92B7E34">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465BA929">
            <w:pPr>
              <w:snapToGrid w:val="0"/>
              <w:spacing w:line="360" w:lineRule="auto"/>
              <w:ind w:left="0" w:leftChars="0"/>
              <w:jc w:val="center"/>
              <w:rPr>
                <w:rFonts w:hint="eastAsia" w:ascii="宋体" w:hAnsi="宋体" w:eastAsia="宋体" w:cs="宋体"/>
                <w:color w:val="auto"/>
                <w:sz w:val="21"/>
                <w:szCs w:val="21"/>
                <w:highlight w:val="none"/>
              </w:rPr>
            </w:pPr>
          </w:p>
        </w:tc>
      </w:tr>
      <w:tr w14:paraId="428B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0557CB79">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2" w:type="pct"/>
            <w:tcBorders>
              <w:top w:val="single" w:color="auto" w:sz="4" w:space="0"/>
              <w:left w:val="single" w:color="auto" w:sz="4" w:space="0"/>
              <w:bottom w:val="single" w:color="auto" w:sz="4" w:space="0"/>
              <w:right w:val="single" w:color="auto" w:sz="4" w:space="0"/>
            </w:tcBorders>
            <w:vAlign w:val="center"/>
          </w:tcPr>
          <w:p w14:paraId="2D233F34">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2EEB95F">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422C589C">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45448C14">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2E223E46">
            <w:pPr>
              <w:snapToGrid w:val="0"/>
              <w:spacing w:line="360" w:lineRule="auto"/>
              <w:ind w:left="0" w:leftChars="0"/>
              <w:jc w:val="center"/>
              <w:rPr>
                <w:rFonts w:hint="eastAsia" w:ascii="宋体" w:hAnsi="宋体" w:eastAsia="宋体" w:cs="宋体"/>
                <w:color w:val="auto"/>
                <w:sz w:val="21"/>
                <w:szCs w:val="21"/>
                <w:highlight w:val="none"/>
              </w:rPr>
            </w:pPr>
          </w:p>
        </w:tc>
      </w:tr>
      <w:tr w14:paraId="4503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565BF5F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813" w:type="pct"/>
            <w:tcBorders>
              <w:top w:val="single" w:color="auto" w:sz="4" w:space="0"/>
              <w:left w:val="single" w:color="auto" w:sz="4" w:space="0"/>
              <w:bottom w:val="single" w:color="auto" w:sz="4" w:space="0"/>
              <w:right w:val="single" w:color="auto" w:sz="4" w:space="0"/>
            </w:tcBorders>
            <w:vAlign w:val="center"/>
          </w:tcPr>
          <w:p w14:paraId="0C0886ED">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488F489C">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6426A473">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2A20B92C">
            <w:pPr>
              <w:snapToGrid w:val="0"/>
              <w:spacing w:line="360" w:lineRule="auto"/>
              <w:ind w:left="0" w:leftChars="0"/>
              <w:jc w:val="center"/>
              <w:rPr>
                <w:rFonts w:hint="eastAsia" w:ascii="宋体" w:hAnsi="宋体" w:eastAsia="宋体" w:cs="宋体"/>
                <w:color w:val="auto"/>
                <w:sz w:val="21"/>
                <w:szCs w:val="21"/>
                <w:highlight w:val="none"/>
              </w:rPr>
            </w:pPr>
          </w:p>
        </w:tc>
      </w:tr>
    </w:tbl>
    <w:p w14:paraId="3C3BD59C">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备注：</w:t>
      </w:r>
    </w:p>
    <w:p w14:paraId="03BEC5E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（1）投标人提供框架式协议或资格入围无明确金额的合同时，须同时提供本统计表及供货发票复印件，本统计表及供货发票复印件应后附于合同复印件；</w:t>
      </w:r>
    </w:p>
    <w:p w14:paraId="6EEC162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（2）发票抬头应为合同买方，收款人应为投标人，且发票名目、所属时期应与合同约定内容一致，否则不计分；</w:t>
      </w:r>
    </w:p>
    <w:p w14:paraId="2D6CE9D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（3）发票合计金额视为投标人所提供该项供货业绩的供货金额，并按此金额进行评审。</w:t>
      </w:r>
    </w:p>
    <w:p w14:paraId="3406FDF6">
      <w:pPr>
        <w:rPr>
          <w:rFonts w:hint="eastAsia" w:ascii="宋体" w:hAnsi="宋体" w:eastAsia="宋体" w:cs="宋体"/>
          <w:color w:val="auto"/>
          <w:highlight w:val="none"/>
          <w:lang w:val="zh-CN"/>
        </w:rPr>
      </w:pPr>
      <w:bookmarkStart w:id="1017" w:name="_Toc533708132"/>
      <w:bookmarkStart w:id="1018" w:name="_Toc11745"/>
      <w:bookmarkStart w:id="1019" w:name="_Toc1977737"/>
      <w:bookmarkStart w:id="1020" w:name="_Toc102860427"/>
      <w:bookmarkStart w:id="1021" w:name="_Toc13822"/>
      <w:bookmarkStart w:id="1022" w:name="_Toc102860083"/>
      <w:bookmarkStart w:id="1023" w:name="_Toc140596938"/>
      <w:bookmarkStart w:id="1024" w:name="_Toc104991885"/>
      <w:bookmarkStart w:id="1025" w:name="_Toc94107220"/>
      <w:bookmarkStart w:id="1026" w:name="_Toc169169447"/>
      <w:bookmarkStart w:id="1027" w:name="_Toc486167719"/>
      <w:bookmarkStart w:id="1028" w:name="_Toc18175_WPSOffice_Level2"/>
      <w:bookmarkStart w:id="1029" w:name="_Toc142508378"/>
    </w:p>
    <w:p w14:paraId="66DE0C3C">
      <w:pPr>
        <w:rPr>
          <w:rFonts w:hint="eastAsia" w:ascii="宋体" w:hAnsi="宋体" w:eastAsia="宋体" w:cs="宋体"/>
          <w:color w:val="auto"/>
          <w:sz w:val="28"/>
          <w:szCs w:val="36"/>
          <w:highlight w:val="none"/>
          <w:lang w:val="zh-CN"/>
        </w:rPr>
      </w:pPr>
      <w:bookmarkStart w:id="1030" w:name="_Toc7278"/>
      <w:bookmarkStart w:id="1031" w:name="_Toc31553"/>
      <w:r>
        <w:rPr>
          <w:rFonts w:hint="eastAsia" w:ascii="宋体" w:hAnsi="宋体" w:eastAsia="宋体" w:cs="宋体"/>
          <w:color w:val="auto"/>
          <w:sz w:val="28"/>
          <w:szCs w:val="36"/>
          <w:highlight w:val="none"/>
          <w:lang w:val="zh-CN"/>
        </w:rPr>
        <w:br w:type="page"/>
      </w:r>
    </w:p>
    <w:p w14:paraId="4B599F82">
      <w:pPr>
        <w:pStyle w:val="3"/>
        <w:rPr>
          <w:rFonts w:hint="eastAsia" w:ascii="宋体" w:hAnsi="宋体" w:eastAsia="宋体" w:cs="宋体"/>
          <w:color w:val="auto"/>
          <w:sz w:val="28"/>
          <w:szCs w:val="36"/>
          <w:highlight w:val="none"/>
          <w:lang w:val="zh-CN"/>
        </w:rPr>
      </w:pPr>
      <w:bookmarkStart w:id="1032" w:name="_Toc3737"/>
      <w:bookmarkStart w:id="1033" w:name="_Toc20957"/>
      <w:bookmarkStart w:id="1034" w:name="_Toc32380"/>
      <w:bookmarkStart w:id="1035" w:name="_Toc10297"/>
      <w:bookmarkStart w:id="1036" w:name="_Toc18984"/>
      <w:r>
        <w:rPr>
          <w:rFonts w:hint="eastAsia" w:ascii="宋体" w:hAnsi="宋体" w:eastAsia="宋体" w:cs="宋体"/>
          <w:color w:val="auto"/>
          <w:sz w:val="28"/>
          <w:szCs w:val="36"/>
          <w:highlight w:val="none"/>
          <w:lang w:val="zh-CN"/>
        </w:rPr>
        <w:t>十、中标服务费承诺书</w:t>
      </w:r>
    </w:p>
    <w:p w14:paraId="72BFC89D">
      <w:pPr>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中标服务费承诺书</w:t>
      </w:r>
    </w:p>
    <w:p w14:paraId="65746C64">
      <w:pPr>
        <w:spacing w:line="360" w:lineRule="auto"/>
        <w:jc w:val="both"/>
        <w:outlineLvl w:val="9"/>
        <w:rPr>
          <w:rFonts w:hint="eastAsia" w:ascii="宋体" w:hAnsi="宋体" w:eastAsia="宋体" w:cs="宋体"/>
          <w:b/>
          <w:bCs/>
          <w:color w:val="auto"/>
          <w:kern w:val="2"/>
          <w:highlight w:val="none"/>
          <w:lang w:val="zh-CN"/>
        </w:rPr>
      </w:pPr>
    </w:p>
    <w:p w14:paraId="76484A54">
      <w:pPr>
        <w:spacing w:line="360" w:lineRule="auto"/>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致：广东有德招标采购有限公司</w:t>
      </w:r>
    </w:p>
    <w:p w14:paraId="6D1BB849">
      <w:pPr>
        <w:spacing w:line="360" w:lineRule="auto"/>
        <w:ind w:right="893"/>
        <w:jc w:val="both"/>
        <w:outlineLvl w:val="9"/>
        <w:rPr>
          <w:rFonts w:hint="eastAsia" w:ascii="宋体" w:hAnsi="宋体" w:eastAsia="宋体" w:cs="宋体"/>
          <w:color w:val="auto"/>
          <w:kern w:val="2"/>
          <w:sz w:val="21"/>
          <w:szCs w:val="21"/>
          <w:highlight w:val="none"/>
          <w:lang w:val="zh-CN"/>
        </w:rPr>
      </w:pPr>
    </w:p>
    <w:p w14:paraId="07DB85D5">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在贵司代理的</w:t>
      </w:r>
      <w:r>
        <w:rPr>
          <w:rFonts w:hint="eastAsia" w:ascii="宋体" w:hAnsi="宋体" w:eastAsia="宋体" w:cs="宋体"/>
          <w:b w:val="0"/>
          <w:bCs w:val="0"/>
          <w:color w:val="auto"/>
          <w:kern w:val="2"/>
          <w:sz w:val="21"/>
          <w:szCs w:val="22"/>
          <w:highlight w:val="none"/>
          <w:lang w:val="zh-CN"/>
        </w:rPr>
        <w:t>东莞市碧水信息科技有限公司2025年度球墨铸铁阀门采购项目</w:t>
      </w:r>
      <w:r>
        <w:rPr>
          <w:rFonts w:hint="eastAsia" w:ascii="宋体" w:hAnsi="宋体" w:eastAsia="宋体" w:cs="宋体"/>
          <w:color w:val="auto"/>
          <w:kern w:val="2"/>
          <w:sz w:val="21"/>
          <w:szCs w:val="21"/>
          <w:highlight w:val="none"/>
          <w:lang w:val="zh-CN"/>
        </w:rPr>
        <w:t>（招标编号：</w:t>
      </w:r>
      <w:r>
        <w:rPr>
          <w:rFonts w:hint="eastAsia" w:ascii="宋体" w:hAnsi="宋体" w:eastAsia="宋体" w:cs="宋体"/>
          <w:color w:val="auto"/>
          <w:szCs w:val="21"/>
          <w:highlight w:val="none"/>
          <w:lang w:val="en-US" w:eastAsia="zh-CN"/>
        </w:rPr>
        <w:t>YDZB25DGQY0149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招标中，我司如获中标，保证在领取中标通知书原件之</w:t>
      </w:r>
      <w:r>
        <w:rPr>
          <w:rFonts w:hint="eastAsia" w:ascii="宋体" w:hAnsi="宋体" w:eastAsia="宋体" w:cs="宋体"/>
          <w:color w:val="auto"/>
          <w:kern w:val="2"/>
          <w:sz w:val="21"/>
          <w:highlight w:val="none"/>
        </w:rPr>
        <w:t>前</w:t>
      </w:r>
      <w:r>
        <w:rPr>
          <w:rFonts w:hint="eastAsia" w:ascii="宋体" w:hAnsi="宋体" w:eastAsia="宋体" w:cs="宋体"/>
          <w:color w:val="auto"/>
          <w:kern w:val="2"/>
          <w:sz w:val="21"/>
          <w:highlight w:val="none"/>
          <w:lang w:val="zh-CN"/>
        </w:rPr>
        <w:t>按招标文件的规定向贵</w:t>
      </w:r>
      <w:r>
        <w:rPr>
          <w:rFonts w:hint="eastAsia" w:ascii="宋体" w:hAnsi="宋体" w:eastAsia="宋体" w:cs="宋体"/>
          <w:color w:val="auto"/>
          <w:kern w:val="2"/>
          <w:sz w:val="21"/>
          <w:szCs w:val="21"/>
          <w:highlight w:val="none"/>
          <w:lang w:val="zh-CN"/>
        </w:rPr>
        <w:t>司即广东有德招标采购有限公司指定的银行账号，一次性交纳中标服务费</w:t>
      </w:r>
      <w:r>
        <w:rPr>
          <w:rFonts w:hint="eastAsia" w:ascii="宋体" w:hAnsi="宋体" w:eastAsia="宋体" w:cs="宋体"/>
          <w:color w:val="auto"/>
          <w:kern w:val="2"/>
          <w:sz w:val="21"/>
          <w:highlight w:val="none"/>
          <w:lang w:val="zh-CN"/>
        </w:rPr>
        <w:t>。</w:t>
      </w:r>
    </w:p>
    <w:p w14:paraId="65736625">
      <w:pPr>
        <w:spacing w:line="360" w:lineRule="auto"/>
        <w:ind w:right="893"/>
        <w:jc w:val="both"/>
        <w:outlineLvl w:val="9"/>
        <w:rPr>
          <w:rFonts w:hint="eastAsia" w:ascii="宋体" w:hAnsi="宋体" w:eastAsia="宋体" w:cs="宋体"/>
          <w:color w:val="auto"/>
          <w:kern w:val="2"/>
          <w:sz w:val="21"/>
          <w:szCs w:val="21"/>
          <w:highlight w:val="none"/>
          <w:lang w:val="zh-CN"/>
        </w:rPr>
      </w:pPr>
    </w:p>
    <w:p w14:paraId="07D57B0F">
      <w:pPr>
        <w:spacing w:line="360" w:lineRule="auto"/>
        <w:ind w:right="893" w:firstLine="480"/>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特此承诺。</w:t>
      </w:r>
    </w:p>
    <w:p w14:paraId="44499F98">
      <w:pPr>
        <w:spacing w:line="360" w:lineRule="auto"/>
        <w:ind w:right="893"/>
        <w:jc w:val="both"/>
        <w:outlineLvl w:val="9"/>
        <w:rPr>
          <w:rFonts w:hint="eastAsia" w:ascii="宋体" w:hAnsi="宋体" w:eastAsia="宋体" w:cs="宋体"/>
          <w:color w:val="auto"/>
          <w:kern w:val="2"/>
          <w:sz w:val="21"/>
          <w:highlight w:val="none"/>
          <w:lang w:val="zh-CN"/>
        </w:rPr>
      </w:pPr>
    </w:p>
    <w:p w14:paraId="5B5A9F03">
      <w:pPr>
        <w:spacing w:line="360" w:lineRule="auto"/>
        <w:ind w:right="893"/>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地址：</w:t>
      </w:r>
      <w:r>
        <w:rPr>
          <w:rFonts w:hint="eastAsia" w:ascii="宋体" w:hAnsi="宋体" w:eastAsia="宋体" w:cs="宋体"/>
          <w:color w:val="auto"/>
          <w:kern w:val="2"/>
          <w:sz w:val="21"/>
          <w:highlight w:val="none"/>
          <w:u w:val="single"/>
          <w:lang w:val="zh-CN"/>
        </w:rPr>
        <w:t xml:space="preserve">                       </w:t>
      </w:r>
    </w:p>
    <w:p w14:paraId="4911EEA2">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电话：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传真： </w:t>
      </w:r>
      <w:r>
        <w:rPr>
          <w:rFonts w:hint="eastAsia" w:ascii="宋体" w:hAnsi="宋体" w:eastAsia="宋体" w:cs="宋体"/>
          <w:color w:val="auto"/>
          <w:kern w:val="2"/>
          <w:sz w:val="21"/>
          <w:highlight w:val="none"/>
          <w:u w:val="single"/>
          <w:lang w:val="zh-CN"/>
        </w:rPr>
        <w:t xml:space="preserve">                  </w:t>
      </w:r>
    </w:p>
    <w:p w14:paraId="2878B867">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邮箱：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邮编： </w:t>
      </w:r>
      <w:r>
        <w:rPr>
          <w:rFonts w:hint="eastAsia" w:ascii="宋体" w:hAnsi="宋体" w:eastAsia="宋体" w:cs="宋体"/>
          <w:color w:val="auto"/>
          <w:kern w:val="2"/>
          <w:sz w:val="21"/>
          <w:highlight w:val="none"/>
          <w:u w:val="single"/>
          <w:lang w:val="zh-CN"/>
        </w:rPr>
        <w:t xml:space="preserve">                  </w:t>
      </w:r>
    </w:p>
    <w:p w14:paraId="4C3FF985">
      <w:pPr>
        <w:spacing w:line="360" w:lineRule="auto"/>
        <w:ind w:right="893"/>
        <w:jc w:val="both"/>
        <w:outlineLvl w:val="9"/>
        <w:rPr>
          <w:rFonts w:hint="eastAsia" w:ascii="宋体" w:hAnsi="宋体" w:eastAsia="宋体" w:cs="宋体"/>
          <w:color w:val="auto"/>
          <w:kern w:val="2"/>
          <w:sz w:val="21"/>
          <w:highlight w:val="none"/>
          <w:lang w:val="zh-CN"/>
        </w:rPr>
      </w:pPr>
    </w:p>
    <w:p w14:paraId="61AB271F">
      <w:pPr>
        <w:spacing w:line="360" w:lineRule="auto"/>
        <w:ind w:firstLine="5040" w:firstLineChars="2400"/>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投标人：（加盖投标人法人公章）</w:t>
      </w:r>
    </w:p>
    <w:p w14:paraId="46BFE95F">
      <w:pPr>
        <w:spacing w:line="360" w:lineRule="auto"/>
        <w:ind w:firstLine="5040" w:firstLineChars="2400"/>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65868A3E">
      <w:pPr>
        <w:rPr>
          <w:rFonts w:hint="eastAsia" w:ascii="宋体" w:hAnsi="宋体" w:eastAsia="宋体" w:cs="宋体"/>
          <w:color w:val="auto"/>
          <w:highlight w:val="none"/>
          <w:lang w:val="zh-CN"/>
        </w:rPr>
      </w:pPr>
    </w:p>
    <w:p w14:paraId="694CD5C7">
      <w:pPr>
        <w:rPr>
          <w:rFonts w:hint="eastAsia" w:ascii="宋体" w:hAnsi="宋体" w:eastAsia="宋体" w:cs="宋体"/>
          <w:color w:val="auto"/>
          <w:sz w:val="28"/>
          <w:szCs w:val="36"/>
          <w:highlight w:val="none"/>
          <w:lang w:val="zh-CN"/>
        </w:rPr>
      </w:pPr>
      <w:r>
        <w:rPr>
          <w:rFonts w:hint="eastAsia" w:ascii="宋体" w:hAnsi="宋体" w:eastAsia="宋体" w:cs="宋体"/>
          <w:color w:val="auto"/>
          <w:sz w:val="28"/>
          <w:szCs w:val="36"/>
          <w:highlight w:val="none"/>
          <w:lang w:val="zh-CN"/>
        </w:rPr>
        <w:br w:type="page"/>
      </w:r>
    </w:p>
    <w:p w14:paraId="52E7F5E8">
      <w:pPr>
        <w:pStyle w:val="3"/>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十一、</w:t>
      </w:r>
      <w:r>
        <w:rPr>
          <w:rFonts w:hint="eastAsia" w:ascii="宋体" w:hAnsi="宋体" w:eastAsia="宋体" w:cs="宋体"/>
          <w:color w:val="auto"/>
          <w:sz w:val="28"/>
          <w:szCs w:val="36"/>
          <w:highlight w:val="none"/>
          <w:lang w:val="zh-CN"/>
        </w:rPr>
        <w:t>投标保证金汇入情况说明</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7BDBD4DB">
      <w:pPr>
        <w:jc w:val="center"/>
        <w:rPr>
          <w:rFonts w:hint="eastAsia" w:ascii="宋体" w:hAnsi="宋体" w:eastAsia="宋体" w:cs="宋体"/>
          <w:color w:val="auto"/>
          <w:highlight w:val="none"/>
        </w:rPr>
      </w:pPr>
      <w:bookmarkStart w:id="1037" w:name="_Toc31832_WPSOffice_Level3"/>
      <w:r>
        <w:rPr>
          <w:rFonts w:hint="eastAsia" w:ascii="宋体" w:hAnsi="宋体" w:eastAsia="宋体" w:cs="宋体"/>
          <w:b/>
          <w:bCs/>
          <w:color w:val="auto"/>
          <w:sz w:val="28"/>
          <w:szCs w:val="32"/>
          <w:highlight w:val="none"/>
        </w:rPr>
        <w:t>投标保证金汇入情况说明</w:t>
      </w:r>
      <w:bookmarkEnd w:id="1037"/>
    </w:p>
    <w:p w14:paraId="00716CE1">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东莞市碧水信息科技有限公司</w:t>
      </w:r>
    </w:p>
    <w:p w14:paraId="194E186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2"/>
          <w:sz w:val="21"/>
          <w:szCs w:val="21"/>
          <w:highlight w:val="none"/>
          <w:u w:val="single"/>
          <w:lang w:val="zh-CN" w:eastAsia="zh-CN" w:bidi="ar-SA"/>
        </w:rPr>
        <w:t>东莞市碧水信息科技有限公司2025年度球墨铸铁阀门采购项目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val="en-US" w:eastAsia="zh-CN"/>
        </w:rPr>
        <w:t>YDZB25DGQY0149</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D0B100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4333CF9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B757F5C">
      <w:pPr>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1F868EB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43B960F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1D166B8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19C3610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B2055B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47FCF293">
      <w:pPr>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ED7ED6C">
      <w:pPr>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656CCD61">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单位名称：</w:t>
      </w:r>
    </w:p>
    <w:p w14:paraId="51AA9D0D">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单位地址：</w:t>
      </w:r>
    </w:p>
    <w:p w14:paraId="3A9728CE">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联系人：</w:t>
      </w:r>
    </w:p>
    <w:p w14:paraId="15F1C986">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单位电话：</w:t>
      </w:r>
    </w:p>
    <w:p w14:paraId="5FF44C0E">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联系人手机：</w:t>
      </w:r>
      <w:bookmarkStart w:id="1038" w:name="_Toc26208_WPSOffice_Level3"/>
    </w:p>
    <w:p w14:paraId="619E1C86">
      <w:pPr>
        <w:ind w:left="420" w:leftChars="200"/>
        <w:rPr>
          <w:rFonts w:hint="eastAsia" w:ascii="宋体" w:hAnsi="宋体" w:eastAsia="宋体" w:cs="宋体"/>
          <w:color w:val="auto"/>
          <w:highlight w:val="none"/>
        </w:rPr>
      </w:pPr>
    </w:p>
    <w:p w14:paraId="46828FA8">
      <w:pPr>
        <w:ind w:left="420" w:leftChars="200"/>
        <w:rPr>
          <w:rFonts w:hint="eastAsia" w:ascii="宋体" w:hAnsi="宋体" w:eastAsia="宋体" w:cs="宋体"/>
          <w:b/>
          <w:bCs/>
          <w:color w:val="auto"/>
          <w:highlight w:val="none"/>
        </w:rPr>
      </w:pPr>
      <w:r>
        <w:rPr>
          <w:rFonts w:hint="eastAsia" w:ascii="宋体" w:hAnsi="宋体" w:eastAsia="宋体" w:cs="宋体"/>
          <w:b/>
          <w:bCs/>
          <w:color w:val="auto"/>
          <w:highlight w:val="none"/>
        </w:rPr>
        <w:t>附：1.我方投标保证金汇款凭证（复印件）</w:t>
      </w:r>
      <w:bookmarkEnd w:id="1038"/>
    </w:p>
    <w:p w14:paraId="4D9E1B77">
      <w:pPr>
        <w:ind w:left="420" w:leftChars="200" w:firstLine="422" w:firstLineChars="200"/>
        <w:rPr>
          <w:rFonts w:hint="eastAsia" w:ascii="宋体" w:hAnsi="宋体" w:eastAsia="宋体" w:cs="宋体"/>
          <w:b/>
          <w:bCs/>
          <w:color w:val="auto"/>
          <w:highlight w:val="none"/>
        </w:rPr>
      </w:pPr>
      <w:bookmarkStart w:id="1039" w:name="_Toc12992_WPSOffice_Level3"/>
      <w:r>
        <w:rPr>
          <w:rFonts w:hint="eastAsia" w:ascii="宋体" w:hAnsi="宋体" w:eastAsia="宋体" w:cs="宋体"/>
          <w:b/>
          <w:bCs/>
          <w:color w:val="auto"/>
          <w:highlight w:val="none"/>
        </w:rPr>
        <w:t>2.我方基本账户开户许可证（复印件）</w:t>
      </w:r>
      <w:bookmarkEnd w:id="1039"/>
    </w:p>
    <w:p w14:paraId="33C7FF46">
      <w:pPr>
        <w:ind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注：本情况说明手写无效。</w:t>
      </w:r>
    </w:p>
    <w:p w14:paraId="267C6B74">
      <w:pPr>
        <w:ind w:firstLine="5145" w:firstLineChars="2450"/>
        <w:rPr>
          <w:rFonts w:hint="eastAsia" w:ascii="宋体" w:hAnsi="宋体" w:eastAsia="宋体" w:cs="宋体"/>
          <w:color w:val="auto"/>
          <w:szCs w:val="24"/>
          <w:highlight w:val="none"/>
          <w:lang w:val="zh-CN"/>
        </w:rPr>
      </w:pPr>
    </w:p>
    <w:p w14:paraId="363ED7FD">
      <w:pPr>
        <w:ind w:firstLine="424" w:firstLineChars="202"/>
        <w:rPr>
          <w:rFonts w:hint="eastAsia" w:ascii="宋体" w:hAnsi="宋体" w:eastAsia="宋体" w:cs="宋体"/>
          <w:color w:val="auto"/>
          <w:szCs w:val="24"/>
          <w:highlight w:val="none"/>
        </w:rPr>
      </w:pPr>
    </w:p>
    <w:p w14:paraId="22D87F94">
      <w:pPr>
        <w:jc w:val="left"/>
        <w:rPr>
          <w:rFonts w:hint="eastAsia" w:ascii="宋体" w:hAnsi="宋体" w:eastAsia="宋体" w:cs="宋体"/>
          <w:color w:val="auto"/>
          <w:szCs w:val="24"/>
          <w:highlight w:val="none"/>
          <w:lang w:val="zh-CN"/>
        </w:rPr>
      </w:pPr>
    </w:p>
    <w:p w14:paraId="2C2864AF">
      <w:pPr>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bookmarkEnd w:id="1008"/>
    <w:bookmarkEnd w:id="1009"/>
    <w:p w14:paraId="1CF45DDA">
      <w:pPr>
        <w:pStyle w:val="3"/>
        <w:rPr>
          <w:rFonts w:hint="eastAsia" w:ascii="宋体" w:hAnsi="宋体" w:eastAsia="宋体" w:cs="宋体"/>
          <w:color w:val="auto"/>
          <w:sz w:val="28"/>
          <w:szCs w:val="36"/>
          <w:highlight w:val="none"/>
          <w:lang w:val="zh-CN"/>
        </w:rPr>
      </w:pPr>
      <w:bookmarkStart w:id="1040" w:name="_Toc8384"/>
      <w:bookmarkStart w:id="1041" w:name="_Toc18032"/>
      <w:bookmarkStart w:id="1042" w:name="_Toc19932"/>
      <w:bookmarkStart w:id="1043" w:name="_Toc4608"/>
      <w:bookmarkStart w:id="1044" w:name="_Toc104991886"/>
      <w:bookmarkStart w:id="1045" w:name="_Toc21263"/>
      <w:bookmarkStart w:id="1046" w:name="_Toc11140"/>
      <w:bookmarkStart w:id="1047" w:name="_Toc140596939"/>
      <w:bookmarkStart w:id="1048" w:name="_Toc1977738"/>
      <w:bookmarkStart w:id="1049" w:name="_Toc14728"/>
      <w:bookmarkStart w:id="1050" w:name="_Toc30893"/>
      <w:bookmarkStart w:id="1051" w:name="_Toc178076617"/>
      <w:bookmarkStart w:id="1052" w:name="_Toc176627935"/>
      <w:bookmarkStart w:id="1053" w:name="_Toc31498"/>
      <w:bookmarkStart w:id="1054" w:name="_Toc7072"/>
      <w:bookmarkStart w:id="1055" w:name="_Toc4583"/>
      <w:bookmarkStart w:id="1056" w:name="_Toc102860084"/>
      <w:bookmarkStart w:id="1057" w:name="_Toc142508379"/>
      <w:bookmarkStart w:id="1058" w:name="_Toc16292"/>
      <w:bookmarkStart w:id="1059" w:name="_Toc94107221"/>
      <w:bookmarkStart w:id="1060" w:name="_Toc5424"/>
      <w:bookmarkStart w:id="1061" w:name="_Toc102860428"/>
      <w:bookmarkStart w:id="1062" w:name="_Toc2167"/>
      <w:bookmarkStart w:id="1063" w:name="_Toc534"/>
      <w:bookmarkStart w:id="1064" w:name="_Toc4997"/>
      <w:bookmarkStart w:id="1065" w:name="_Toc22151"/>
      <w:bookmarkStart w:id="1066" w:name="_Toc486167721"/>
      <w:bookmarkStart w:id="1067" w:name="_Toc533708134"/>
      <w:r>
        <w:rPr>
          <w:rFonts w:hint="eastAsia" w:ascii="宋体" w:hAnsi="宋体" w:eastAsia="宋体" w:cs="宋体"/>
          <w:color w:val="auto"/>
          <w:sz w:val="28"/>
          <w:szCs w:val="36"/>
          <w:highlight w:val="none"/>
          <w:lang w:val="en-US" w:eastAsia="zh-CN"/>
        </w:rPr>
        <w:t>十二</w:t>
      </w:r>
      <w:r>
        <w:rPr>
          <w:rFonts w:hint="eastAsia" w:ascii="宋体" w:hAnsi="宋体" w:eastAsia="宋体" w:cs="宋体"/>
          <w:color w:val="auto"/>
          <w:sz w:val="28"/>
          <w:szCs w:val="36"/>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 w:val="28"/>
          <w:szCs w:val="36"/>
          <w:highlight w:val="none"/>
        </w:rPr>
        <w:t>及有关</w:t>
      </w:r>
      <w:r>
        <w:rPr>
          <w:rFonts w:hint="eastAsia" w:ascii="宋体" w:hAnsi="宋体" w:eastAsia="宋体" w:cs="宋体"/>
          <w:color w:val="auto"/>
          <w:sz w:val="28"/>
          <w:szCs w:val="36"/>
          <w:highlight w:val="none"/>
          <w:lang w:val="zh-CN"/>
        </w:rPr>
        <w:t>服务能力的有关其它商务文件（</w:t>
      </w:r>
      <w:r>
        <w:rPr>
          <w:rFonts w:hint="eastAsia" w:ascii="宋体" w:hAnsi="宋体" w:eastAsia="宋体" w:cs="宋体"/>
          <w:color w:val="auto"/>
          <w:sz w:val="28"/>
          <w:szCs w:val="36"/>
          <w:highlight w:val="none"/>
          <w:lang w:val="en-US" w:eastAsia="zh-CN"/>
        </w:rPr>
        <w:t>不作</w:t>
      </w:r>
      <w:r>
        <w:rPr>
          <w:rFonts w:hint="eastAsia" w:ascii="宋体" w:hAnsi="宋体" w:eastAsia="宋体" w:cs="宋体"/>
          <w:color w:val="auto"/>
          <w:sz w:val="28"/>
          <w:szCs w:val="36"/>
          <w:highlight w:val="none"/>
          <w:lang w:val="zh-CN"/>
        </w:rPr>
        <w:t>强制要求）</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Start w:id="1068" w:name="_Toc15051"/>
      <w:bookmarkStart w:id="1069" w:name="_Toc94107222"/>
      <w:bookmarkStart w:id="1070" w:name="_Toc14341"/>
      <w:bookmarkStart w:id="1071" w:name="_Toc2619"/>
      <w:bookmarkStart w:id="1072" w:name="_Toc8193"/>
      <w:bookmarkStart w:id="1073" w:name="_Toc140596940"/>
      <w:bookmarkStart w:id="1074" w:name="_Toc178076618"/>
      <w:bookmarkStart w:id="1075" w:name="_Toc1977739"/>
      <w:bookmarkStart w:id="1076" w:name="_Toc561"/>
      <w:bookmarkStart w:id="1077" w:name="_Toc11934"/>
      <w:bookmarkStart w:id="1078" w:name="_Toc142508380"/>
      <w:bookmarkStart w:id="1079" w:name="_Toc104991887"/>
      <w:bookmarkStart w:id="1080" w:name="_Toc102860429"/>
      <w:bookmarkStart w:id="1081" w:name="_Toc16307"/>
      <w:bookmarkStart w:id="1082" w:name="_Toc102860085"/>
      <w:bookmarkStart w:id="1083" w:name="_Toc2706"/>
      <w:bookmarkStart w:id="1084" w:name="_Toc22079"/>
      <w:bookmarkStart w:id="1085" w:name="_Toc3192"/>
      <w:bookmarkStart w:id="1086" w:name="_Toc176627936"/>
    </w:p>
    <w:p w14:paraId="22B12FEB">
      <w:pPr>
        <w:rPr>
          <w:rFonts w:hint="eastAsia" w:ascii="宋体" w:hAnsi="宋体" w:eastAsia="宋体" w:cs="宋体"/>
          <w:color w:val="auto"/>
          <w:highlight w:val="none"/>
        </w:rPr>
      </w:pPr>
    </w:p>
    <w:p w14:paraId="13D3A29B">
      <w:pP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br w:type="page"/>
      </w:r>
    </w:p>
    <w:p w14:paraId="50FEE560">
      <w:pPr>
        <w:pStyle w:val="3"/>
        <w:rPr>
          <w:rFonts w:hint="eastAsia" w:ascii="宋体" w:hAnsi="宋体" w:eastAsia="宋体" w:cs="宋体"/>
          <w:b/>
          <w:color w:val="auto"/>
          <w:kern w:val="0"/>
          <w:sz w:val="32"/>
          <w:szCs w:val="32"/>
          <w:highlight w:val="none"/>
        </w:rPr>
      </w:pPr>
      <w:bookmarkStart w:id="1087" w:name="_Toc32518"/>
      <w:bookmarkStart w:id="1088" w:name="_Toc10137"/>
      <w:bookmarkStart w:id="1089" w:name="_Toc9447"/>
      <w:bookmarkStart w:id="1090" w:name="_Toc2276"/>
      <w:bookmarkStart w:id="1091" w:name="_Toc8115"/>
      <w:bookmarkStart w:id="1092" w:name="_Toc26447"/>
      <w:bookmarkStart w:id="1093" w:name="_Toc27158"/>
      <w:bookmarkStart w:id="1094" w:name="_Toc19943"/>
      <w:bookmarkStart w:id="1095" w:name="_Toc25168"/>
      <w:bookmarkStart w:id="1096" w:name="_Toc2503"/>
      <w:bookmarkStart w:id="1097" w:name="_Toc29418"/>
      <w:r>
        <w:rPr>
          <w:rFonts w:hint="eastAsia" w:ascii="宋体" w:hAnsi="宋体" w:eastAsia="宋体" w:cs="宋体"/>
          <w:b/>
          <w:color w:val="auto"/>
          <w:kern w:val="0"/>
          <w:sz w:val="32"/>
          <w:szCs w:val="32"/>
          <w:highlight w:val="none"/>
          <w:lang w:val="en-US" w:eastAsia="zh-CN"/>
        </w:rPr>
        <w:t>十三</w:t>
      </w:r>
      <w:r>
        <w:rPr>
          <w:rFonts w:hint="eastAsia" w:ascii="宋体" w:hAnsi="宋体" w:eastAsia="宋体" w:cs="宋体"/>
          <w:b/>
          <w:color w:val="auto"/>
          <w:kern w:val="0"/>
          <w:sz w:val="32"/>
          <w:szCs w:val="32"/>
          <w:highlight w:val="none"/>
        </w:rPr>
        <w:t>、技术响应文件格式</w:t>
      </w:r>
      <w:bookmarkEnd w:id="1087"/>
      <w:bookmarkEnd w:id="1088"/>
      <w:bookmarkEnd w:id="1089"/>
      <w:bookmarkEnd w:id="1090"/>
    </w:p>
    <w:p w14:paraId="7C0916CD">
      <w:pPr>
        <w:tabs>
          <w:tab w:val="left" w:pos="8640"/>
        </w:tabs>
        <w:autoSpaceDE/>
        <w:autoSpaceDN/>
        <w:adjustRightInd/>
        <w:snapToGrid/>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9CE3FE6">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.1用户需求偏离表格式）；</w:t>
      </w:r>
    </w:p>
    <w:p w14:paraId="20054DA0">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w:t>
      </w:r>
    </w:p>
    <w:p w14:paraId="56748E69">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3、所投货物性能质量；</w:t>
      </w:r>
    </w:p>
    <w:p w14:paraId="62D4F6B1">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4、货物质量保障能力；</w:t>
      </w:r>
    </w:p>
    <w:p w14:paraId="598F2895">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highlight w:val="none"/>
        </w:rPr>
        <w:t>阀门结构及性能</w:t>
      </w:r>
      <w:r>
        <w:rPr>
          <w:rFonts w:hint="eastAsia" w:ascii="宋体" w:hAnsi="宋体" w:eastAsia="宋体" w:cs="宋体"/>
          <w:color w:val="auto"/>
          <w:highlight w:val="none"/>
          <w:lang w:eastAsia="zh-CN"/>
        </w:rPr>
        <w:t>；</w:t>
      </w:r>
    </w:p>
    <w:p w14:paraId="2048FD19">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highlight w:val="none"/>
          <w:lang w:eastAsia="zh-CN"/>
        </w:rPr>
        <w:t>质量检测能力；</w:t>
      </w:r>
    </w:p>
    <w:p w14:paraId="6383A11F">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售后服务响应、紧急供货时间承诺</w:t>
      </w:r>
      <w:r>
        <w:rPr>
          <w:rFonts w:hint="eastAsia" w:ascii="宋体" w:hAnsi="宋体" w:eastAsia="宋体" w:cs="宋体"/>
          <w:color w:val="auto"/>
          <w:kern w:val="0"/>
          <w:szCs w:val="21"/>
          <w:highlight w:val="none"/>
        </w:rPr>
        <w:t>；</w:t>
      </w:r>
    </w:p>
    <w:p w14:paraId="1F3608A1">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w:t>
      </w:r>
      <w:r>
        <w:rPr>
          <w:rFonts w:hint="eastAsia" w:ascii="宋体" w:hAnsi="宋体" w:eastAsia="宋体" w:cs="宋体"/>
          <w:color w:val="auto"/>
          <w:kern w:val="0"/>
          <w:szCs w:val="21"/>
          <w:highlight w:val="none"/>
          <w:lang w:val="en-US"/>
        </w:rPr>
        <w:t>其它</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14:paraId="5FDD09AF">
      <w:pPr>
        <w:autoSpaceDE/>
        <w:autoSpaceDN/>
        <w:adjustRightInd/>
        <w:snapToGrid/>
        <w:spacing w:line="24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5D19906D">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47A43CEC">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585A965E">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投 标 文 件</w:t>
      </w:r>
    </w:p>
    <w:p w14:paraId="10284EE7">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6208E1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4EB27C5B">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F2039F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D584B28">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6521EA3">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4F8E2B68">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招标编号：</w:t>
      </w:r>
      <w:r>
        <w:rPr>
          <w:rFonts w:hint="eastAsia" w:ascii="宋体" w:hAnsi="宋体" w:eastAsia="宋体" w:cs="宋体"/>
          <w:color w:val="auto"/>
          <w:kern w:val="2"/>
          <w:sz w:val="30"/>
          <w:szCs w:val="20"/>
          <w:highlight w:val="none"/>
          <w:u w:val="single"/>
          <w:lang w:val="en-US" w:eastAsia="zh-CN" w:bidi="ar-SA"/>
        </w:rPr>
        <w:t xml:space="preserve">                      </w:t>
      </w:r>
    </w:p>
    <w:p w14:paraId="5BF4B7B1">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74DC95B5">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投标文件内容：</w:t>
      </w:r>
      <w:r>
        <w:rPr>
          <w:rFonts w:hint="eastAsia" w:ascii="宋体" w:hAnsi="宋体" w:eastAsia="宋体" w:cs="宋体"/>
          <w:color w:val="auto"/>
          <w:kern w:val="2"/>
          <w:sz w:val="30"/>
          <w:szCs w:val="20"/>
          <w:highlight w:val="none"/>
          <w:u w:val="single"/>
          <w:lang w:val="en-US" w:eastAsia="zh-CN" w:bidi="ar-SA"/>
        </w:rPr>
        <w:t xml:space="preserve"> 投标文件技术部分 </w:t>
      </w:r>
    </w:p>
    <w:p w14:paraId="64511A2D">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招标人：</w:t>
      </w:r>
      <w:r>
        <w:rPr>
          <w:rFonts w:hint="eastAsia" w:ascii="宋体" w:hAnsi="宋体" w:eastAsia="宋体" w:cs="宋体"/>
          <w:color w:val="auto"/>
          <w:kern w:val="2"/>
          <w:sz w:val="30"/>
          <w:szCs w:val="20"/>
          <w:highlight w:val="none"/>
          <w:u w:val="single"/>
          <w:lang w:val="en-US" w:eastAsia="zh-CN" w:bidi="ar-SA"/>
        </w:rPr>
        <w:t xml:space="preserve">                        </w:t>
      </w:r>
    </w:p>
    <w:p w14:paraId="658D9CC4">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投标人：</w:t>
      </w:r>
      <w:r>
        <w:rPr>
          <w:rFonts w:hint="eastAsia" w:ascii="宋体" w:hAnsi="宋体" w:eastAsia="宋体" w:cs="宋体"/>
          <w:color w:val="auto"/>
          <w:kern w:val="2"/>
          <w:sz w:val="30"/>
          <w:szCs w:val="20"/>
          <w:highlight w:val="none"/>
          <w:u w:val="single"/>
          <w:lang w:val="en-US" w:eastAsia="zh-CN" w:bidi="ar-SA"/>
        </w:rPr>
        <w:t xml:space="preserve">                        </w:t>
      </w:r>
    </w:p>
    <w:p w14:paraId="66490EDB">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6488A240">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66387437">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1B8E9C29">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019CDFCF">
      <w:pPr>
        <w:pBdr>
          <w:bottom w:val="single" w:color="auto" w:sz="6" w:space="0"/>
        </w:pBdr>
        <w:autoSpaceDE/>
        <w:autoSpaceDN/>
        <w:adjustRightInd/>
        <w:snapToGrid/>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20"/>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9"/>
        <w:gridCol w:w="2753"/>
        <w:gridCol w:w="1773"/>
        <w:gridCol w:w="4399"/>
      </w:tblGrid>
      <w:tr w14:paraId="05BB8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EED426F">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B7C8653">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2B6A59C">
            <w:pPr>
              <w:autoSpaceDE/>
              <w:autoSpaceDN/>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0E1B784F">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E38F2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742A939">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E9A2545">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0DB41A41">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227D724">
            <w:pPr>
              <w:autoSpaceDE/>
              <w:autoSpaceDN/>
              <w:adjustRightInd w:val="0"/>
              <w:snapToGrid w:val="0"/>
              <w:spacing w:line="360" w:lineRule="auto"/>
              <w:rPr>
                <w:rFonts w:hint="eastAsia" w:ascii="宋体" w:hAnsi="宋体" w:eastAsia="宋体" w:cs="宋体"/>
                <w:bCs/>
                <w:color w:val="auto"/>
                <w:szCs w:val="21"/>
                <w:highlight w:val="none"/>
              </w:rPr>
            </w:pPr>
          </w:p>
        </w:tc>
      </w:tr>
      <w:tr w14:paraId="614713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F29E4FB">
            <w:pPr>
              <w:autoSpaceDE/>
              <w:autoSpaceDN/>
              <w:adjustRightInd/>
              <w:snapToGrid/>
              <w:spacing w:line="240" w:lineRule="auto"/>
              <w:rPr>
                <w:rFonts w:hint="eastAsia" w:ascii="宋体" w:hAnsi="宋体" w:eastAsia="宋体" w:cs="宋体"/>
                <w:bCs/>
                <w:color w:val="auto"/>
                <w:szCs w:val="21"/>
                <w:highlight w:val="none"/>
              </w:rPr>
            </w:pPr>
          </w:p>
        </w:tc>
        <w:tc>
          <w:tcPr>
            <w:tcW w:w="1337" w:type="pct"/>
            <w:vAlign w:val="center"/>
          </w:tcPr>
          <w:p w14:paraId="42A31385">
            <w:pPr>
              <w:autoSpaceDE/>
              <w:autoSpaceDN/>
              <w:adjustRightInd/>
              <w:snapToGrid/>
              <w:spacing w:line="240" w:lineRule="auto"/>
              <w:rPr>
                <w:rFonts w:hint="eastAsia" w:ascii="宋体" w:hAnsi="宋体" w:eastAsia="宋体" w:cs="宋体"/>
                <w:bCs/>
                <w:color w:val="auto"/>
                <w:szCs w:val="21"/>
                <w:highlight w:val="none"/>
              </w:rPr>
            </w:pPr>
          </w:p>
        </w:tc>
        <w:tc>
          <w:tcPr>
            <w:tcW w:w="861" w:type="pct"/>
            <w:vAlign w:val="center"/>
          </w:tcPr>
          <w:p w14:paraId="1DA73349">
            <w:pPr>
              <w:autoSpaceDE/>
              <w:autoSpaceDN/>
              <w:adjustRightInd/>
              <w:snapToGrid/>
              <w:spacing w:line="240" w:lineRule="auto"/>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43ED2A6">
            <w:pPr>
              <w:autoSpaceDE/>
              <w:autoSpaceDN/>
              <w:adjustRightInd w:val="0"/>
              <w:snapToGrid w:val="0"/>
              <w:spacing w:line="360" w:lineRule="auto"/>
              <w:ind w:firstLine="105" w:firstLineChars="50"/>
              <w:rPr>
                <w:rFonts w:hint="eastAsia" w:ascii="宋体" w:hAnsi="宋体" w:eastAsia="宋体" w:cs="宋体"/>
                <w:bCs/>
                <w:color w:val="auto"/>
                <w:szCs w:val="21"/>
                <w:highlight w:val="none"/>
              </w:rPr>
            </w:pPr>
          </w:p>
        </w:tc>
      </w:tr>
      <w:tr w14:paraId="624E1F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9F74CC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1042B25">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78D24FE">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E2B27C7">
            <w:pPr>
              <w:autoSpaceDE/>
              <w:autoSpaceDN/>
              <w:adjustRightInd/>
              <w:snapToGrid/>
              <w:spacing w:line="360" w:lineRule="auto"/>
              <w:ind w:firstLine="8" w:firstLineChars="4"/>
              <w:rPr>
                <w:rFonts w:hint="eastAsia" w:ascii="宋体" w:hAnsi="宋体" w:eastAsia="宋体" w:cs="宋体"/>
                <w:bCs/>
                <w:color w:val="auto"/>
                <w:szCs w:val="21"/>
                <w:highlight w:val="none"/>
              </w:rPr>
            </w:pPr>
          </w:p>
        </w:tc>
      </w:tr>
      <w:tr w14:paraId="59C65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490FA5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9862997">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BAF6DB0">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E51890F">
            <w:pPr>
              <w:autoSpaceDE/>
              <w:autoSpaceDN/>
              <w:adjustRightInd w:val="0"/>
              <w:snapToGrid w:val="0"/>
              <w:spacing w:line="360" w:lineRule="auto"/>
              <w:rPr>
                <w:rFonts w:hint="eastAsia" w:ascii="宋体" w:hAnsi="宋体" w:eastAsia="宋体" w:cs="宋体"/>
                <w:bCs/>
                <w:color w:val="auto"/>
                <w:szCs w:val="21"/>
                <w:highlight w:val="none"/>
              </w:rPr>
            </w:pPr>
          </w:p>
        </w:tc>
      </w:tr>
      <w:tr w14:paraId="418FA9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C3541D5">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AB9AB29">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238CD84">
            <w:pPr>
              <w:autoSpaceDE/>
              <w:autoSpaceDN/>
              <w:adjustRightInd/>
              <w:snapToGrid/>
              <w:spacing w:line="360" w:lineRule="auto"/>
              <w:jc w:val="center"/>
              <w:rPr>
                <w:rFonts w:hint="eastAsia" w:ascii="宋体" w:hAnsi="宋体" w:eastAsia="宋体" w:cs="宋体"/>
                <w:bCs/>
                <w:color w:val="auto"/>
                <w:szCs w:val="21"/>
                <w:highlight w:val="none"/>
              </w:rPr>
            </w:pPr>
          </w:p>
        </w:tc>
      </w:tr>
    </w:tbl>
    <w:p w14:paraId="49BB63BD">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Start w:id="1098" w:name="_Toc12047"/>
      <w:bookmarkStart w:id="1099" w:name="_Toc30209"/>
      <w:bookmarkStart w:id="1100" w:name="_Toc21035"/>
      <w:bookmarkStart w:id="1101" w:name="_Toc8397"/>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.1 用户需求偏离表格式</w:t>
      </w:r>
      <w:bookmarkEnd w:id="1098"/>
      <w:bookmarkEnd w:id="1099"/>
      <w:bookmarkEnd w:id="1100"/>
      <w:bookmarkEnd w:id="1101"/>
    </w:p>
    <w:p w14:paraId="659C27DF">
      <w:pPr>
        <w:autoSpaceDE/>
        <w:autoSpaceDN/>
        <w:adjustRightInd/>
        <w:snapToGrid/>
        <w:spacing w:before="120" w:after="120" w:line="360" w:lineRule="auto"/>
        <w:jc w:val="center"/>
        <w:rPr>
          <w:rFonts w:hint="eastAsia" w:ascii="宋体" w:hAnsi="宋体" w:eastAsia="宋体" w:cs="宋体"/>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91"/>
        <w:gridCol w:w="3832"/>
        <w:gridCol w:w="1254"/>
        <w:gridCol w:w="2810"/>
        <w:gridCol w:w="1010"/>
      </w:tblGrid>
      <w:tr w14:paraId="532E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restart"/>
            <w:vAlign w:val="center"/>
          </w:tcPr>
          <w:p w14:paraId="269E38D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245" w:type="pct"/>
            <w:gridSpan w:val="2"/>
            <w:vAlign w:val="center"/>
          </w:tcPr>
          <w:p w14:paraId="0A09676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64" w:type="pct"/>
            <w:gridSpan w:val="3"/>
            <w:vAlign w:val="center"/>
          </w:tcPr>
          <w:p w14:paraId="1539376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0BBE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continue"/>
            <w:vAlign w:val="center"/>
          </w:tcPr>
          <w:p w14:paraId="03EEDAEB">
            <w:pPr>
              <w:keepNext/>
              <w:keepLines/>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auto"/>
                <w:kern w:val="0"/>
                <w:sz w:val="18"/>
                <w:szCs w:val="18"/>
                <w:highlight w:val="none"/>
              </w:rPr>
            </w:pPr>
          </w:p>
        </w:tc>
        <w:tc>
          <w:tcPr>
            <w:tcW w:w="384" w:type="pct"/>
            <w:vAlign w:val="center"/>
          </w:tcPr>
          <w:p w14:paraId="05C6F8F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1860" w:type="pct"/>
            <w:vAlign w:val="center"/>
          </w:tcPr>
          <w:p w14:paraId="6564817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608" w:type="pct"/>
            <w:vAlign w:val="center"/>
          </w:tcPr>
          <w:p w14:paraId="6D93E4E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4" w:type="pct"/>
            <w:vAlign w:val="center"/>
          </w:tcPr>
          <w:p w14:paraId="06880A2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90" w:type="pct"/>
            <w:vAlign w:val="center"/>
          </w:tcPr>
          <w:p w14:paraId="1983017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055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47338E0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384" w:type="pct"/>
            <w:vAlign w:val="center"/>
          </w:tcPr>
          <w:p w14:paraId="0DA2C0A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一</w:t>
            </w:r>
          </w:p>
        </w:tc>
        <w:tc>
          <w:tcPr>
            <w:tcW w:w="1860" w:type="pct"/>
            <w:vAlign w:val="center"/>
          </w:tcPr>
          <w:p w14:paraId="390B345D">
            <w:pPr>
              <w:pageBreakBefore w:val="0"/>
              <w:widowControl w:val="0"/>
              <w:kinsoku/>
              <w:wordWrap/>
              <w:overflowPunct/>
              <w:topLinePunct w:val="0"/>
              <w:autoSpaceDE/>
              <w:autoSpaceDN/>
              <w:bidi w:val="0"/>
              <w:adjustRightInd w:val="0"/>
              <w:snapToGrid/>
              <w:spacing w:line="40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项目信息</w:t>
            </w:r>
          </w:p>
        </w:tc>
        <w:tc>
          <w:tcPr>
            <w:tcW w:w="608" w:type="pct"/>
            <w:vAlign w:val="center"/>
          </w:tcPr>
          <w:p w14:paraId="0E86602A">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1364" w:type="pct"/>
            <w:vAlign w:val="center"/>
          </w:tcPr>
          <w:p w14:paraId="2055C170">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490" w:type="pct"/>
            <w:vAlign w:val="center"/>
          </w:tcPr>
          <w:p w14:paraId="267955CE">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647F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C0643D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384" w:type="pct"/>
            <w:vAlign w:val="center"/>
          </w:tcPr>
          <w:p w14:paraId="49BE0AF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二</w:t>
            </w:r>
          </w:p>
        </w:tc>
        <w:tc>
          <w:tcPr>
            <w:tcW w:w="1860" w:type="pct"/>
            <w:vAlign w:val="center"/>
          </w:tcPr>
          <w:p w14:paraId="4374D08C">
            <w:pPr>
              <w:pageBreakBefore w:val="0"/>
              <w:widowControl w:val="0"/>
              <w:kinsoku/>
              <w:wordWrap/>
              <w:overflowPunct/>
              <w:topLinePunct w:val="0"/>
              <w:autoSpaceDE/>
              <w:autoSpaceDN/>
              <w:bidi w:val="0"/>
              <w:adjustRightInd w:val="0"/>
              <w:snapToGrid/>
              <w:spacing w:line="40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货物采购需求</w:t>
            </w:r>
          </w:p>
        </w:tc>
        <w:tc>
          <w:tcPr>
            <w:tcW w:w="608" w:type="pct"/>
            <w:vAlign w:val="center"/>
          </w:tcPr>
          <w:p w14:paraId="7159FA37">
            <w:pPr>
              <w:pageBreakBefore w:val="0"/>
              <w:widowControl w:val="0"/>
              <w:kinsoku/>
              <w:wordWrap/>
              <w:overflowPunct/>
              <w:topLinePunct w:val="0"/>
              <w:autoSpaceDE/>
              <w:autoSpaceDN/>
              <w:bidi w:val="0"/>
              <w:adjustRightInd w:val="0"/>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c>
          <w:tcPr>
            <w:tcW w:w="1364" w:type="pct"/>
            <w:vAlign w:val="center"/>
          </w:tcPr>
          <w:p w14:paraId="41FB2C9E">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490" w:type="pct"/>
            <w:vAlign w:val="center"/>
          </w:tcPr>
          <w:p w14:paraId="465518B6">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682A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3CB9285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384" w:type="pct"/>
            <w:vAlign w:val="center"/>
          </w:tcPr>
          <w:p w14:paraId="26FD480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三</w:t>
            </w:r>
          </w:p>
        </w:tc>
        <w:tc>
          <w:tcPr>
            <w:tcW w:w="1860" w:type="pct"/>
            <w:vAlign w:val="center"/>
          </w:tcPr>
          <w:p w14:paraId="28A4C571">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val="en-US" w:eastAsia="zh-CN"/>
              </w:rPr>
              <w:t>交货要求</w:t>
            </w:r>
          </w:p>
        </w:tc>
        <w:tc>
          <w:tcPr>
            <w:tcW w:w="608" w:type="pct"/>
            <w:vAlign w:val="center"/>
          </w:tcPr>
          <w:p w14:paraId="296DDD32">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1364" w:type="pct"/>
            <w:vAlign w:val="center"/>
          </w:tcPr>
          <w:p w14:paraId="401F9CDA">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c>
          <w:tcPr>
            <w:tcW w:w="490" w:type="pct"/>
            <w:vAlign w:val="center"/>
          </w:tcPr>
          <w:p w14:paraId="0D9E59B7">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710D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56016EB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384" w:type="pct"/>
            <w:vAlign w:val="center"/>
          </w:tcPr>
          <w:p w14:paraId="6ECE7A2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四</w:t>
            </w:r>
          </w:p>
        </w:tc>
        <w:tc>
          <w:tcPr>
            <w:tcW w:w="1860" w:type="pct"/>
            <w:vAlign w:val="center"/>
          </w:tcPr>
          <w:p w14:paraId="3BDD6686">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技术参数要求</w:t>
            </w:r>
          </w:p>
        </w:tc>
        <w:tc>
          <w:tcPr>
            <w:tcW w:w="608" w:type="pct"/>
            <w:vAlign w:val="center"/>
          </w:tcPr>
          <w:p w14:paraId="68DB0259">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1364" w:type="pct"/>
            <w:vAlign w:val="center"/>
          </w:tcPr>
          <w:p w14:paraId="792562BC">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490" w:type="pct"/>
            <w:vAlign w:val="center"/>
          </w:tcPr>
          <w:p w14:paraId="6C4A319F">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r>
      <w:tr w14:paraId="00B5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1752EB1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384" w:type="pct"/>
            <w:vAlign w:val="center"/>
          </w:tcPr>
          <w:p w14:paraId="3028C4B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五</w:t>
            </w:r>
          </w:p>
        </w:tc>
        <w:tc>
          <w:tcPr>
            <w:tcW w:w="1860" w:type="pct"/>
            <w:vAlign w:val="center"/>
          </w:tcPr>
          <w:p w14:paraId="36A40F7D">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验收</w:t>
            </w:r>
            <w:r>
              <w:rPr>
                <w:rFonts w:hint="eastAsia" w:ascii="宋体" w:hAnsi="宋体" w:eastAsia="宋体" w:cs="宋体"/>
                <w:b w:val="0"/>
                <w:bCs/>
                <w:color w:val="auto"/>
                <w:sz w:val="18"/>
                <w:szCs w:val="18"/>
                <w:highlight w:val="none"/>
                <w:lang w:val="en-US" w:eastAsia="zh-CN"/>
              </w:rPr>
              <w:t>与检测</w:t>
            </w:r>
          </w:p>
        </w:tc>
        <w:tc>
          <w:tcPr>
            <w:tcW w:w="608" w:type="pct"/>
            <w:vAlign w:val="center"/>
          </w:tcPr>
          <w:p w14:paraId="7623BF72">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1364" w:type="pct"/>
            <w:vAlign w:val="center"/>
          </w:tcPr>
          <w:p w14:paraId="36D4CA08">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c>
          <w:tcPr>
            <w:tcW w:w="490" w:type="pct"/>
            <w:vAlign w:val="center"/>
          </w:tcPr>
          <w:p w14:paraId="32C77FD9">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5FF5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F08503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384" w:type="pct"/>
            <w:vAlign w:val="center"/>
          </w:tcPr>
          <w:p w14:paraId="5C3020D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六</w:t>
            </w:r>
          </w:p>
        </w:tc>
        <w:tc>
          <w:tcPr>
            <w:tcW w:w="1860" w:type="pct"/>
            <w:vAlign w:val="top"/>
          </w:tcPr>
          <w:p w14:paraId="0223331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质保期要求</w:t>
            </w:r>
          </w:p>
        </w:tc>
        <w:tc>
          <w:tcPr>
            <w:tcW w:w="608" w:type="pct"/>
            <w:vAlign w:val="center"/>
          </w:tcPr>
          <w:p w14:paraId="19A362DC">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1364" w:type="pct"/>
            <w:vAlign w:val="center"/>
          </w:tcPr>
          <w:p w14:paraId="3EBF61EE">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c>
          <w:tcPr>
            <w:tcW w:w="490" w:type="pct"/>
            <w:vAlign w:val="center"/>
          </w:tcPr>
          <w:p w14:paraId="710118BC">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1B97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0917E3D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384" w:type="pct"/>
            <w:vAlign w:val="center"/>
          </w:tcPr>
          <w:p w14:paraId="031C0FF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七</w:t>
            </w:r>
          </w:p>
        </w:tc>
        <w:tc>
          <w:tcPr>
            <w:tcW w:w="1860" w:type="pct"/>
            <w:vAlign w:val="center"/>
          </w:tcPr>
          <w:p w14:paraId="46A7696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报价及款项支付</w:t>
            </w:r>
          </w:p>
        </w:tc>
        <w:tc>
          <w:tcPr>
            <w:tcW w:w="608" w:type="pct"/>
            <w:vAlign w:val="center"/>
          </w:tcPr>
          <w:p w14:paraId="042E2EC0">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1364" w:type="pct"/>
            <w:vAlign w:val="center"/>
          </w:tcPr>
          <w:p w14:paraId="115A4178">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490" w:type="pct"/>
            <w:vAlign w:val="center"/>
          </w:tcPr>
          <w:p w14:paraId="67D4D427">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0F84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0BC2668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384" w:type="pct"/>
            <w:vAlign w:val="center"/>
          </w:tcPr>
          <w:p w14:paraId="6946CD8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八</w:t>
            </w:r>
          </w:p>
        </w:tc>
        <w:tc>
          <w:tcPr>
            <w:tcW w:w="1860" w:type="pct"/>
            <w:vAlign w:val="center"/>
          </w:tcPr>
          <w:p w14:paraId="10273B7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其他要求</w:t>
            </w:r>
          </w:p>
        </w:tc>
        <w:tc>
          <w:tcPr>
            <w:tcW w:w="608" w:type="pct"/>
            <w:vAlign w:val="center"/>
          </w:tcPr>
          <w:p w14:paraId="4C0246C1">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1364" w:type="pct"/>
            <w:vAlign w:val="center"/>
          </w:tcPr>
          <w:p w14:paraId="7863319B">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490" w:type="pct"/>
            <w:vAlign w:val="center"/>
          </w:tcPr>
          <w:p w14:paraId="4CD85B0A">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6BBF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9" w:type="dxa"/>
            <w:vAlign w:val="center"/>
          </w:tcPr>
          <w:p w14:paraId="39136F53">
            <w:pPr>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791" w:type="dxa"/>
            <w:vAlign w:val="center"/>
          </w:tcPr>
          <w:p w14:paraId="57FA56E0">
            <w:pPr>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附件一</w:t>
            </w:r>
          </w:p>
        </w:tc>
        <w:tc>
          <w:tcPr>
            <w:tcW w:w="3832" w:type="dxa"/>
            <w:vAlign w:val="center"/>
          </w:tcPr>
          <w:p w14:paraId="29F9FD1C">
            <w:pPr>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采购材料清单</w:t>
            </w:r>
          </w:p>
        </w:tc>
        <w:tc>
          <w:tcPr>
            <w:tcW w:w="1254" w:type="dxa"/>
            <w:vAlign w:val="center"/>
          </w:tcPr>
          <w:p w14:paraId="7C521285">
            <w:pPr>
              <w:keepNext/>
              <w:keepLines/>
              <w:pageBreakBefore w:val="0"/>
              <w:widowControl w:val="0"/>
              <w:kinsoku/>
              <w:wordWrap/>
              <w:overflowPunct/>
              <w:topLinePunct w:val="0"/>
              <w:autoSpaceDE/>
              <w:autoSpaceDN/>
              <w:bidi w:val="0"/>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2810" w:type="dxa"/>
            <w:vAlign w:val="center"/>
          </w:tcPr>
          <w:p w14:paraId="090EC955">
            <w:pPr>
              <w:keepNext/>
              <w:keepLines/>
              <w:pageBreakBefore w:val="0"/>
              <w:widowControl w:val="0"/>
              <w:kinsoku/>
              <w:wordWrap/>
              <w:overflowPunct/>
              <w:topLinePunct w:val="0"/>
              <w:autoSpaceDE/>
              <w:autoSpaceDN/>
              <w:bidi w:val="0"/>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1010" w:type="dxa"/>
            <w:vAlign w:val="center"/>
          </w:tcPr>
          <w:p w14:paraId="1AD1B41A">
            <w:pPr>
              <w:keepNext/>
              <w:keepLines/>
              <w:pageBreakBefore w:val="0"/>
              <w:widowControl w:val="0"/>
              <w:kinsoku/>
              <w:wordWrap/>
              <w:overflowPunct/>
              <w:topLinePunct w:val="0"/>
              <w:autoSpaceDE/>
              <w:autoSpaceDN/>
              <w:bidi w:val="0"/>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bl>
    <w:p w14:paraId="1CE9D955">
      <w:pPr>
        <w:autoSpaceDE/>
        <w:autoSpaceDN/>
        <w:adjustRightInd/>
        <w:snapToGrid/>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7909188">
      <w:pPr>
        <w:autoSpaceDE/>
        <w:autoSpaceDN/>
        <w:adjustRightInd/>
        <w:snapToGrid/>
        <w:spacing w:line="360" w:lineRule="auto"/>
        <w:ind w:left="605" w:leftChars="18" w:hanging="567" w:hangingChars="27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4857CCA7">
      <w:pPr>
        <w:autoSpaceDE/>
        <w:autoSpaceDN/>
        <w:adjustRightInd/>
        <w:snapToGrid/>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0EBC6FA">
      <w:pPr>
        <w:autoSpaceDE/>
        <w:autoSpaceDN/>
        <w:adjustRightInd/>
        <w:snapToGrid/>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23A644B">
      <w:pPr>
        <w:autoSpaceDE/>
        <w:autoSpaceDN/>
        <w:adjustRightInd/>
        <w:snapToGrid/>
        <w:spacing w:line="360" w:lineRule="auto"/>
        <w:ind w:left="607" w:leftChars="18" w:hanging="569" w:hangingChars="270"/>
        <w:rPr>
          <w:rFonts w:hint="eastAsia" w:ascii="宋体" w:hAnsi="宋体" w:eastAsia="宋体" w:cs="宋体"/>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highlight w:val="none"/>
          <w:u w:val="single"/>
          <w:lang w:val="zh-CN"/>
        </w:rPr>
        <w:t>。</w:t>
      </w:r>
    </w:p>
    <w:p w14:paraId="6CD173CF">
      <w:pPr>
        <w:autoSpaceDE/>
        <w:autoSpaceDN/>
        <w:adjustRightInd/>
        <w:snapToGrid/>
        <w:spacing w:line="360" w:lineRule="auto"/>
        <w:rPr>
          <w:rFonts w:hint="eastAsia" w:ascii="宋体" w:hAnsi="宋体" w:eastAsia="宋体" w:cs="宋体"/>
          <w:color w:val="auto"/>
          <w:szCs w:val="21"/>
          <w:highlight w:val="none"/>
        </w:rPr>
      </w:pPr>
    </w:p>
    <w:p w14:paraId="085D6B7D">
      <w:pPr>
        <w:autoSpaceDE w:val="0"/>
        <w:autoSpaceDN w:val="0"/>
        <w:adjustRightInd w:val="0"/>
        <w:snapToGrid/>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E01C05B">
      <w:pPr>
        <w:autoSpaceDE w:val="0"/>
        <w:autoSpaceDN w:val="0"/>
        <w:adjustRightInd w:val="0"/>
        <w:snapToGrid/>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p>
    <w:p w14:paraId="2B444088">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02" w:name="_Toc30876"/>
      <w:bookmarkStart w:id="1103" w:name="_Toc28875"/>
      <w:bookmarkStart w:id="1104" w:name="_Toc17811"/>
      <w:bookmarkStart w:id="1105" w:name="_Toc6926"/>
      <w:bookmarkStart w:id="1106" w:name="_Toc102860438"/>
      <w:bookmarkStart w:id="1107" w:name="_Toc102860094"/>
      <w:bookmarkStart w:id="1108" w:name="_Toc140596949"/>
      <w:bookmarkStart w:id="1109" w:name="_Toc104991896"/>
      <w:bookmarkStart w:id="1110" w:name="_Toc142508389"/>
      <w:r>
        <w:rPr>
          <w:rFonts w:hint="eastAsia" w:ascii="宋体" w:hAnsi="宋体" w:eastAsia="宋体" w:cs="宋体"/>
          <w:b/>
          <w:color w:val="auto"/>
          <w:kern w:val="0"/>
          <w:sz w:val="30"/>
          <w:szCs w:val="30"/>
          <w:highlight w:val="none"/>
          <w:lang w:val="en-US" w:eastAsia="zh-CN"/>
        </w:rPr>
        <w:t xml:space="preserve">13.2 </w:t>
      </w:r>
      <w:r>
        <w:rPr>
          <w:rFonts w:hint="eastAsia" w:ascii="宋体" w:hAnsi="宋体" w:eastAsia="宋体" w:cs="宋体"/>
          <w:b/>
          <w:color w:val="auto"/>
          <w:kern w:val="0"/>
          <w:sz w:val="30"/>
          <w:szCs w:val="30"/>
          <w:highlight w:val="none"/>
        </w:rPr>
        <w:t>供货货物清单表格式</w:t>
      </w:r>
      <w:bookmarkEnd w:id="1102"/>
      <w:bookmarkEnd w:id="1103"/>
      <w:bookmarkEnd w:id="1104"/>
    </w:p>
    <w:p w14:paraId="4CE867D7">
      <w:pPr>
        <w:keepNext w:val="0"/>
        <w:keepLines w:val="0"/>
        <w:pageBreakBefore w:val="0"/>
        <w:widowControl w:val="0"/>
        <w:kinsoku/>
        <w:wordWrap/>
        <w:overflowPunct/>
        <w:topLinePunct w:val="0"/>
        <w:autoSpaceDE w:val="0"/>
        <w:autoSpaceDN w:val="0"/>
        <w:bidi w:val="0"/>
        <w:adjustRightInd w:val="0"/>
        <w:snapToGrid/>
        <w:spacing w:line="240" w:lineRule="auto"/>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773C0718">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460"/>
        <w:gridCol w:w="1056"/>
        <w:gridCol w:w="993"/>
        <w:gridCol w:w="1464"/>
        <w:gridCol w:w="1056"/>
        <w:gridCol w:w="1056"/>
        <w:gridCol w:w="1056"/>
        <w:gridCol w:w="955"/>
        <w:gridCol w:w="547"/>
      </w:tblGrid>
      <w:tr w14:paraId="6F5D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0B04840">
            <w:pPr>
              <w:autoSpaceDE w:val="0"/>
              <w:autoSpaceDN w:val="0"/>
              <w:adjustRightInd w:val="0"/>
              <w:snapToGrid/>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53A2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7" w:type="pct"/>
            <w:tcBorders>
              <w:top w:val="single" w:color="auto" w:sz="4" w:space="0"/>
              <w:left w:val="single" w:color="auto" w:sz="4" w:space="0"/>
              <w:bottom w:val="single" w:color="auto" w:sz="4" w:space="0"/>
              <w:right w:val="single" w:color="auto" w:sz="4" w:space="0"/>
            </w:tcBorders>
            <w:vAlign w:val="center"/>
          </w:tcPr>
          <w:p w14:paraId="6517B5D7">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09" w:type="pct"/>
            <w:tcBorders>
              <w:top w:val="single" w:color="auto" w:sz="4" w:space="0"/>
              <w:left w:val="single" w:color="auto" w:sz="4" w:space="0"/>
              <w:bottom w:val="single" w:color="auto" w:sz="4" w:space="0"/>
              <w:right w:val="single" w:color="auto" w:sz="4" w:space="0"/>
            </w:tcBorders>
            <w:vAlign w:val="center"/>
          </w:tcPr>
          <w:p w14:paraId="0FFF309C">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513" w:type="pct"/>
            <w:tcBorders>
              <w:top w:val="single" w:color="auto" w:sz="4" w:space="0"/>
              <w:left w:val="single" w:color="auto" w:sz="4" w:space="0"/>
              <w:bottom w:val="single" w:color="auto" w:sz="4" w:space="0"/>
              <w:right w:val="single" w:color="auto" w:sz="4" w:space="0"/>
            </w:tcBorders>
            <w:vAlign w:val="center"/>
          </w:tcPr>
          <w:p w14:paraId="0E8411BC">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482" w:type="pct"/>
            <w:tcBorders>
              <w:top w:val="single" w:color="auto" w:sz="4" w:space="0"/>
              <w:left w:val="single" w:color="auto" w:sz="4" w:space="0"/>
              <w:bottom w:val="single" w:color="auto" w:sz="4" w:space="0"/>
              <w:right w:val="single" w:color="auto" w:sz="4" w:space="0"/>
            </w:tcBorders>
            <w:vAlign w:val="center"/>
          </w:tcPr>
          <w:p w14:paraId="5B520F30">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711" w:type="pct"/>
            <w:tcBorders>
              <w:top w:val="single" w:color="auto" w:sz="4" w:space="0"/>
              <w:left w:val="single" w:color="auto" w:sz="4" w:space="0"/>
              <w:bottom w:val="single" w:color="auto" w:sz="4" w:space="0"/>
              <w:right w:val="single" w:color="auto" w:sz="4" w:space="0"/>
            </w:tcBorders>
            <w:vAlign w:val="center"/>
          </w:tcPr>
          <w:p w14:paraId="7D93D995">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13" w:type="pct"/>
            <w:tcBorders>
              <w:top w:val="single" w:color="auto" w:sz="4" w:space="0"/>
              <w:left w:val="single" w:color="auto" w:sz="4" w:space="0"/>
              <w:bottom w:val="single" w:color="auto" w:sz="4" w:space="0"/>
              <w:right w:val="single" w:color="auto" w:sz="4" w:space="0"/>
            </w:tcBorders>
            <w:vAlign w:val="center"/>
          </w:tcPr>
          <w:p w14:paraId="5EF5458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13" w:type="pct"/>
            <w:tcBorders>
              <w:top w:val="single" w:color="auto" w:sz="4" w:space="0"/>
              <w:left w:val="single" w:color="auto" w:sz="4" w:space="0"/>
              <w:bottom w:val="single" w:color="auto" w:sz="4" w:space="0"/>
              <w:right w:val="single" w:color="auto" w:sz="4" w:space="0"/>
            </w:tcBorders>
            <w:vAlign w:val="center"/>
          </w:tcPr>
          <w:p w14:paraId="5196C0C6">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预计用量</w:t>
            </w:r>
          </w:p>
        </w:tc>
        <w:tc>
          <w:tcPr>
            <w:tcW w:w="513" w:type="pct"/>
            <w:tcBorders>
              <w:top w:val="single" w:color="auto" w:sz="4" w:space="0"/>
              <w:left w:val="single" w:color="auto" w:sz="4" w:space="0"/>
              <w:bottom w:val="single" w:color="auto" w:sz="4" w:space="0"/>
              <w:right w:val="single" w:color="auto" w:sz="4" w:space="0"/>
            </w:tcBorders>
            <w:vAlign w:val="center"/>
          </w:tcPr>
          <w:p w14:paraId="6BE929C3">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464" w:type="pct"/>
            <w:tcBorders>
              <w:top w:val="single" w:color="auto" w:sz="4" w:space="0"/>
              <w:left w:val="single" w:color="auto" w:sz="4" w:space="0"/>
              <w:bottom w:val="single" w:color="auto" w:sz="4" w:space="0"/>
              <w:right w:val="single" w:color="auto" w:sz="4" w:space="0"/>
            </w:tcBorders>
            <w:vAlign w:val="center"/>
          </w:tcPr>
          <w:p w14:paraId="0370E68A">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61" w:type="pct"/>
            <w:tcBorders>
              <w:top w:val="single" w:color="auto" w:sz="4" w:space="0"/>
              <w:left w:val="single" w:color="auto" w:sz="4" w:space="0"/>
              <w:bottom w:val="single" w:color="auto" w:sz="4" w:space="0"/>
              <w:right w:val="single" w:color="auto" w:sz="4" w:space="0"/>
            </w:tcBorders>
            <w:vAlign w:val="center"/>
          </w:tcPr>
          <w:p w14:paraId="62381FD2">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551A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7" w:type="pct"/>
            <w:tcBorders>
              <w:top w:val="single" w:color="auto" w:sz="4" w:space="0"/>
              <w:left w:val="single" w:color="auto" w:sz="4" w:space="0"/>
              <w:bottom w:val="single" w:color="auto" w:sz="4" w:space="0"/>
              <w:right w:val="single" w:color="auto" w:sz="4" w:space="0"/>
            </w:tcBorders>
            <w:vAlign w:val="center"/>
          </w:tcPr>
          <w:p w14:paraId="2AC1A42D">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4D108243">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7BD63C8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4A9806B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026C82FA">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0D57E732">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4A385DCC">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467EE2C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6156B13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F335B1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FCD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118C6E25">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00F4798F">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6EC09BA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096D0A5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4D37F5DA">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1A6DB103">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177B36FF">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2F3446D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0A2CC1F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F6241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FC4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0557F239">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709" w:type="pct"/>
            <w:tcBorders>
              <w:top w:val="single" w:color="auto" w:sz="4" w:space="0"/>
              <w:left w:val="single" w:color="auto" w:sz="4" w:space="0"/>
              <w:bottom w:val="single" w:color="auto" w:sz="4" w:space="0"/>
              <w:right w:val="single" w:color="auto" w:sz="4" w:space="0"/>
            </w:tcBorders>
            <w:vAlign w:val="center"/>
          </w:tcPr>
          <w:p w14:paraId="1D78FBF4">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0B9D85F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5E593C4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1AEEC6B6">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79544A65">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vAlign w:val="center"/>
          </w:tcPr>
          <w:p w14:paraId="3E89C6EA">
            <w:pPr>
              <w:keepNext w:val="0"/>
              <w:keepLines w:val="0"/>
              <w:widowControl/>
              <w:suppressLineNumbers w:val="0"/>
              <w:autoSpaceDE/>
              <w:autoSpaceDN/>
              <w:adjustRightInd/>
              <w:snapToGrid/>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513" w:type="pct"/>
            <w:tcBorders>
              <w:top w:val="single" w:color="auto" w:sz="4" w:space="0"/>
              <w:left w:val="single" w:color="auto" w:sz="4" w:space="0"/>
              <w:bottom w:val="single" w:color="auto" w:sz="4" w:space="0"/>
              <w:right w:val="single" w:color="auto" w:sz="4" w:space="0"/>
            </w:tcBorders>
          </w:tcPr>
          <w:p w14:paraId="00840A0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7E36342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83A148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B0B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7" w:type="pct"/>
            <w:tcBorders>
              <w:top w:val="single" w:color="auto" w:sz="4" w:space="0"/>
              <w:left w:val="single" w:color="auto" w:sz="4" w:space="0"/>
              <w:bottom w:val="single" w:color="auto" w:sz="4" w:space="0"/>
              <w:right w:val="single" w:color="auto" w:sz="4" w:space="0"/>
            </w:tcBorders>
            <w:vAlign w:val="center"/>
          </w:tcPr>
          <w:p w14:paraId="6FEA499E">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09" w:type="pct"/>
            <w:tcBorders>
              <w:top w:val="single" w:color="auto" w:sz="4" w:space="0"/>
              <w:left w:val="single" w:color="auto" w:sz="4" w:space="0"/>
              <w:bottom w:val="single" w:color="auto" w:sz="4" w:space="0"/>
              <w:right w:val="single" w:color="auto" w:sz="4" w:space="0"/>
            </w:tcBorders>
            <w:vAlign w:val="center"/>
          </w:tcPr>
          <w:p w14:paraId="4BB4AA19">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4FB6774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82" w:type="pct"/>
            <w:tcBorders>
              <w:top w:val="single" w:color="auto" w:sz="4" w:space="0"/>
              <w:left w:val="single" w:color="auto" w:sz="4" w:space="0"/>
              <w:bottom w:val="single" w:color="auto" w:sz="4" w:space="0"/>
              <w:right w:val="single" w:color="auto" w:sz="4" w:space="0"/>
            </w:tcBorders>
            <w:vAlign w:val="center"/>
          </w:tcPr>
          <w:p w14:paraId="6538411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711" w:type="pct"/>
            <w:tcBorders>
              <w:top w:val="single" w:color="auto" w:sz="4" w:space="0"/>
              <w:left w:val="single" w:color="auto" w:sz="4" w:space="0"/>
              <w:bottom w:val="single" w:color="auto" w:sz="4" w:space="0"/>
              <w:right w:val="single" w:color="auto" w:sz="4" w:space="0"/>
            </w:tcBorders>
            <w:vAlign w:val="center"/>
          </w:tcPr>
          <w:p w14:paraId="67E177E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7205943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14BDDA1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tcPr>
          <w:p w14:paraId="4768A0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02B4955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38A8035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bl>
    <w:p w14:paraId="5F9369E8">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3D8295DE">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32D3C78">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0E62AE91">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14:paraId="2885AAD4">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3"/>
          <w:szCs w:val="21"/>
          <w:highlight w:val="none"/>
        </w:rPr>
      </w:pPr>
    </w:p>
    <w:p w14:paraId="5C010F50">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259A4671">
      <w:pPr>
        <w:autoSpaceDE w:val="0"/>
        <w:autoSpaceDN w:val="0"/>
        <w:adjustRightInd w:val="0"/>
        <w:snapToGrid/>
        <w:spacing w:line="360" w:lineRule="auto"/>
        <w:ind w:firstLine="4200" w:firstLineChars="200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3"/>
          <w:szCs w:val="21"/>
          <w:highlight w:val="none"/>
        </w:rPr>
        <w:t>日  期</w:t>
      </w:r>
      <w:r>
        <w:rPr>
          <w:rFonts w:hint="eastAsia" w:ascii="宋体" w:hAnsi="宋体" w:eastAsia="宋体" w:cs="宋体"/>
          <w:color w:val="auto"/>
          <w:kern w:val="0"/>
          <w:szCs w:val="21"/>
          <w:highlight w:val="none"/>
        </w:rPr>
        <w:t>：        年     月     日</w:t>
      </w:r>
      <w:r>
        <w:rPr>
          <w:rFonts w:hint="eastAsia" w:ascii="宋体" w:hAnsi="宋体" w:eastAsia="宋体" w:cs="宋体"/>
          <w:b/>
          <w:color w:val="auto"/>
          <w:kern w:val="0"/>
          <w:sz w:val="30"/>
          <w:szCs w:val="30"/>
          <w:highlight w:val="none"/>
          <w:lang w:val="en-US" w:eastAsia="zh-CN"/>
        </w:rPr>
        <w:br w:type="page"/>
      </w:r>
    </w:p>
    <w:p w14:paraId="64A5B04C">
      <w:pPr>
        <w:autoSpaceDE/>
        <w:autoSpaceDN/>
        <w:adjustRightInd/>
        <w:snapToGrid/>
        <w:spacing w:line="240" w:lineRule="auto"/>
        <w:outlineLvl w:val="2"/>
        <w:rPr>
          <w:rFonts w:hint="eastAsia" w:ascii="宋体" w:hAnsi="宋体" w:eastAsia="宋体" w:cs="宋体"/>
          <w:b/>
          <w:color w:val="auto"/>
          <w:kern w:val="0"/>
          <w:sz w:val="30"/>
          <w:szCs w:val="30"/>
          <w:highlight w:val="none"/>
          <w:lang w:val="en-US" w:eastAsia="zh-CN"/>
        </w:rPr>
      </w:pPr>
      <w:bookmarkStart w:id="1111" w:name="_Toc15749"/>
      <w:bookmarkStart w:id="1112" w:name="_Toc11902"/>
      <w:bookmarkStart w:id="1113" w:name="_Toc2575"/>
      <w:r>
        <w:rPr>
          <w:rFonts w:hint="eastAsia" w:ascii="宋体" w:hAnsi="宋体" w:eastAsia="宋体" w:cs="宋体"/>
          <w:b/>
          <w:color w:val="auto"/>
          <w:kern w:val="0"/>
          <w:sz w:val="30"/>
          <w:szCs w:val="30"/>
          <w:highlight w:val="none"/>
          <w:lang w:val="en-US" w:eastAsia="zh-CN"/>
        </w:rPr>
        <w:t>13.3 所投货物性能质量</w:t>
      </w:r>
    </w:p>
    <w:p w14:paraId="3E1197B7">
      <w:pPr>
        <w:autoSpaceDE/>
        <w:autoSpaceDN/>
        <w:adjustRightInd/>
        <w:snapToGrid/>
        <w:spacing w:line="360" w:lineRule="auto"/>
        <w:rPr>
          <w:rFonts w:hint="eastAsia" w:ascii="宋体" w:hAnsi="宋体" w:eastAsia="宋体" w:cs="宋体"/>
          <w:b w:val="0"/>
          <w:bCs/>
          <w:color w:val="auto"/>
          <w:szCs w:val="21"/>
          <w:highlight w:val="none"/>
          <w:lang w:val="en-US" w:eastAsia="zh-CN"/>
        </w:rPr>
      </w:pPr>
    </w:p>
    <w:bookmarkEnd w:id="1111"/>
    <w:bookmarkEnd w:id="1112"/>
    <w:bookmarkEnd w:id="1113"/>
    <w:p w14:paraId="1F38F86E">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r>
        <w:rPr>
          <w:rFonts w:hint="eastAsia" w:ascii="宋体" w:hAnsi="宋体" w:eastAsia="宋体" w:cs="宋体"/>
          <w:b/>
          <w:color w:val="auto"/>
          <w:kern w:val="0"/>
          <w:sz w:val="21"/>
          <w:szCs w:val="21"/>
          <w:highlight w:val="none"/>
          <w:lang w:val="en-US" w:eastAsia="zh-CN"/>
        </w:rPr>
        <w:t>第三方检测报告要求：投标人须提供可反映所投</w:t>
      </w:r>
      <w:r>
        <w:rPr>
          <w:rFonts w:hint="eastAsia" w:ascii="宋体" w:hAnsi="宋体" w:eastAsia="宋体" w:cs="宋体"/>
          <w:b/>
          <w:bCs w:val="0"/>
          <w:color w:val="auto"/>
          <w:kern w:val="2"/>
          <w:sz w:val="21"/>
          <w:szCs w:val="21"/>
          <w:highlight w:val="none"/>
          <w:lang w:val="en-US" w:eastAsia="zh-CN" w:bidi="ar-SA"/>
        </w:rPr>
        <w:t>球墨铸铁软密封法兰闸阀或球墨铸铁双偏心软密封双法兰蝶阀</w:t>
      </w:r>
      <w:r>
        <w:rPr>
          <w:rFonts w:hint="eastAsia" w:ascii="宋体" w:hAnsi="宋体" w:eastAsia="宋体" w:cs="宋体"/>
          <w:b/>
          <w:color w:val="auto"/>
          <w:kern w:val="0"/>
          <w:sz w:val="21"/>
          <w:szCs w:val="21"/>
          <w:highlight w:val="none"/>
          <w:lang w:val="en-US" w:eastAsia="zh-CN"/>
        </w:rPr>
        <w:t>上述参数的检测报告，报告须由具备资质的第三方检测机构出具并加盖实验室资质认定（CMA）章；报告日期应为2022年1月1日及以后；报告上需体现委托单位，且委托单位应为所投阀门的生产厂家或投标人（若为生产厂家，需与投标人《供货货物清单表》填报的生产厂家一致）。未按上述要求提供的，本项所有性能参数不得分。</w:t>
      </w:r>
    </w:p>
    <w:p w14:paraId="37D1AA12">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6B5E5518">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6D7AF748">
      <w:pPr>
        <w:autoSpaceDE/>
        <w:autoSpaceDN/>
        <w:adjustRightInd/>
        <w:snapToGrid/>
        <w:spacing w:line="240" w:lineRule="auto"/>
        <w:rPr>
          <w:rFonts w:hint="eastAsia" w:ascii="宋体" w:hAnsi="宋体" w:eastAsia="宋体" w:cs="宋体"/>
          <w:b w:val="0"/>
          <w:bCs/>
          <w:color w:val="auto"/>
          <w:kern w:val="2"/>
          <w:sz w:val="21"/>
          <w:szCs w:val="21"/>
          <w:highlight w:val="none"/>
          <w:lang w:val="en-US" w:eastAsia="zh-CN"/>
        </w:rPr>
      </w:pPr>
    </w:p>
    <w:p w14:paraId="718DE2E7">
      <w:pPr>
        <w:autoSpaceDE w:val="0"/>
        <w:autoSpaceDN w:val="0"/>
        <w:adjustRightInd w:val="0"/>
        <w:snapToGrid/>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2FE29D5">
      <w:pPr>
        <w:autoSpaceDE/>
        <w:autoSpaceDN/>
        <w:adjustRightInd/>
        <w:snapToGrid/>
        <w:spacing w:line="240" w:lineRule="auto"/>
        <w:outlineLvl w:val="2"/>
        <w:rPr>
          <w:rFonts w:hint="eastAsia" w:ascii="宋体" w:hAnsi="宋体" w:eastAsia="宋体" w:cs="宋体"/>
          <w:b/>
          <w:color w:val="auto"/>
          <w:kern w:val="0"/>
          <w:sz w:val="30"/>
          <w:szCs w:val="30"/>
          <w:highlight w:val="none"/>
        </w:rPr>
      </w:pPr>
      <w:bookmarkStart w:id="1114" w:name="_Toc30429"/>
      <w:bookmarkStart w:id="1115" w:name="_Toc31899"/>
      <w:bookmarkStart w:id="1116" w:name="_Toc4675"/>
      <w:r>
        <w:rPr>
          <w:rFonts w:hint="eastAsia" w:ascii="宋体" w:hAnsi="宋体" w:eastAsia="宋体" w:cs="宋体"/>
          <w:b/>
          <w:color w:val="auto"/>
          <w:kern w:val="0"/>
          <w:sz w:val="30"/>
          <w:szCs w:val="30"/>
          <w:highlight w:val="none"/>
          <w:lang w:val="en-US" w:eastAsia="zh-CN"/>
        </w:rPr>
        <w:t>13.4 货物质量保障能力</w:t>
      </w:r>
      <w:bookmarkEnd w:id="1114"/>
      <w:bookmarkEnd w:id="1115"/>
      <w:bookmarkEnd w:id="1116"/>
    </w:p>
    <w:p w14:paraId="71CA9AA9">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7158492D">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6B58325A">
      <w:pPr>
        <w:autoSpaceDE/>
        <w:autoSpaceDN/>
        <w:adjustRightInd/>
        <w:snapToGrid/>
        <w:spacing w:line="240" w:lineRule="auto"/>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1105"/>
    <w:p w14:paraId="355F3E41">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bookmarkStart w:id="1117" w:name="_Toc11584"/>
      <w:bookmarkStart w:id="1118" w:name="_Toc9532"/>
      <w:bookmarkStart w:id="1119" w:name="_Toc15048"/>
      <w:bookmarkStart w:id="1120" w:name="_Toc1222"/>
      <w:bookmarkStart w:id="1121" w:name="_Toc770"/>
      <w:r>
        <w:rPr>
          <w:rFonts w:hint="eastAsia" w:ascii="宋体" w:hAnsi="宋体" w:eastAsia="宋体" w:cs="宋体"/>
          <w:b/>
          <w:color w:val="auto"/>
          <w:kern w:val="0"/>
          <w:sz w:val="30"/>
          <w:szCs w:val="30"/>
          <w:highlight w:val="none"/>
          <w:lang w:val="en-US" w:eastAsia="zh-CN"/>
        </w:rPr>
        <w:t>13.5 阀门结构及性能</w:t>
      </w:r>
      <w:r>
        <w:rPr>
          <w:rFonts w:hint="eastAsia" w:ascii="宋体" w:hAnsi="宋体" w:eastAsia="宋体" w:cs="宋体"/>
          <w:b/>
          <w:color w:val="auto"/>
          <w:kern w:val="0"/>
          <w:sz w:val="30"/>
          <w:szCs w:val="30"/>
          <w:highlight w:val="none"/>
          <w:lang w:val="en-US" w:eastAsia="zh-CN"/>
        </w:rPr>
        <w:br w:type="page"/>
      </w:r>
    </w:p>
    <w:p w14:paraId="21C6FD36">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13.6 质量检测能力</w:t>
      </w:r>
      <w:r>
        <w:rPr>
          <w:rFonts w:hint="eastAsia" w:ascii="宋体" w:hAnsi="宋体" w:eastAsia="宋体" w:cs="宋体"/>
          <w:b/>
          <w:color w:val="auto"/>
          <w:kern w:val="0"/>
          <w:sz w:val="30"/>
          <w:szCs w:val="30"/>
          <w:highlight w:val="none"/>
          <w:lang w:val="en-US" w:eastAsia="zh-CN"/>
        </w:rPr>
        <w:br w:type="page"/>
      </w:r>
    </w:p>
    <w:p w14:paraId="25A096DA">
      <w:pPr>
        <w:autoSpaceDE/>
        <w:autoSpaceDN/>
        <w:adjustRightInd/>
        <w:snapToGrid/>
        <w:spacing w:line="24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13.7 售后服务响应、紧急供货时间承诺</w:t>
      </w:r>
      <w:bookmarkEnd w:id="1117"/>
      <w:bookmarkEnd w:id="1118"/>
      <w:bookmarkEnd w:id="1119"/>
    </w:p>
    <w:p w14:paraId="41B90D5D">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7D3D10A8">
      <w:pPr>
        <w:autoSpaceDE w:val="0"/>
        <w:autoSpaceDN w:val="0"/>
        <w:adjustRightInd w:val="0"/>
        <w:snapToGrid/>
        <w:spacing w:line="360" w:lineRule="auto"/>
        <w:jc w:val="center"/>
        <w:outlineLvl w:val="9"/>
        <w:rPr>
          <w:rFonts w:hint="eastAsia" w:ascii="宋体" w:hAnsi="宋体" w:eastAsia="宋体" w:cs="宋体"/>
          <w:b/>
          <w:color w:val="auto"/>
          <w:kern w:val="0"/>
          <w:sz w:val="24"/>
          <w:szCs w:val="24"/>
          <w:highlight w:val="none"/>
          <w:lang w:val="en-US" w:eastAsia="zh-CN"/>
        </w:rPr>
      </w:pPr>
    </w:p>
    <w:p w14:paraId="6C482991">
      <w:pPr>
        <w:autoSpaceDE w:val="0"/>
        <w:autoSpaceDN w:val="0"/>
        <w:adjustRightInd w:val="0"/>
        <w:snapToGrid/>
        <w:spacing w:line="360" w:lineRule="auto"/>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售后服务响应、紧急供货时间承诺表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0C8F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12F46A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1395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0FE762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14:paraId="2219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C47499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val="en-US" w:eastAsia="zh-CN" w:bidi="ar"/>
              </w:rPr>
              <w:t>日</w:t>
            </w:r>
            <w:r>
              <w:rPr>
                <w:rFonts w:hint="eastAsia" w:ascii="宋体" w:hAnsi="宋体" w:eastAsia="宋体" w:cs="宋体"/>
                <w:color w:val="auto"/>
                <w:sz w:val="21"/>
                <w:szCs w:val="21"/>
                <w:highlight w:val="none"/>
                <w:shd w:val="clear" w:color="auto" w:fill="FFFFFF"/>
                <w:lang w:bidi="ar"/>
              </w:rPr>
              <w:t>内将货物送达指定地点</w:t>
            </w:r>
            <w:r>
              <w:rPr>
                <w:rFonts w:hint="eastAsia" w:ascii="宋体" w:hAnsi="宋体" w:eastAsia="宋体" w:cs="宋体"/>
                <w:color w:val="auto"/>
                <w:sz w:val="21"/>
                <w:szCs w:val="21"/>
                <w:highlight w:val="none"/>
                <w:shd w:val="clear" w:color="auto" w:fill="FFFFFF"/>
                <w:lang w:eastAsia="zh-CN" w:bidi="ar"/>
              </w:rPr>
              <w:t>。</w:t>
            </w:r>
          </w:p>
        </w:tc>
      </w:tr>
    </w:tbl>
    <w:p w14:paraId="690279AC">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27DB4115">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30753F33">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595D3CD0">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624CEA63">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6ACEF28">
      <w:pPr>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22" w:name="_Toc21098"/>
      <w:bookmarkStart w:id="1123" w:name="_Toc28906"/>
      <w:bookmarkStart w:id="1124" w:name="_Toc29719"/>
      <w:bookmarkStart w:id="1125" w:name="_Toc25017"/>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w:t>
      </w:r>
      <w:r>
        <w:rPr>
          <w:rFonts w:hint="eastAsia" w:ascii="宋体" w:hAnsi="宋体" w:eastAsia="宋体" w:cs="宋体"/>
          <w:b/>
          <w:color w:val="auto"/>
          <w:kern w:val="0"/>
          <w:sz w:val="30"/>
          <w:szCs w:val="30"/>
          <w:highlight w:val="none"/>
          <w:lang w:val="en-US" w:eastAsia="zh-CN"/>
        </w:rPr>
        <w:t>他</w:t>
      </w:r>
      <w:r>
        <w:rPr>
          <w:rFonts w:hint="eastAsia" w:ascii="宋体" w:hAnsi="宋体" w:eastAsia="宋体" w:cs="宋体"/>
          <w:b/>
          <w:color w:val="auto"/>
          <w:kern w:val="0"/>
          <w:sz w:val="30"/>
          <w:szCs w:val="30"/>
          <w:highlight w:val="none"/>
        </w:rPr>
        <w:t>材料（不</w:t>
      </w:r>
      <w:r>
        <w:rPr>
          <w:rFonts w:hint="eastAsia" w:ascii="宋体" w:hAnsi="宋体" w:eastAsia="宋体" w:cs="宋体"/>
          <w:b/>
          <w:color w:val="auto"/>
          <w:kern w:val="0"/>
          <w:sz w:val="30"/>
          <w:szCs w:val="30"/>
          <w:highlight w:val="none"/>
          <w:lang w:val="en-US" w:eastAsia="zh-CN"/>
        </w:rPr>
        <w:t>作</w:t>
      </w:r>
      <w:r>
        <w:rPr>
          <w:rFonts w:hint="eastAsia" w:ascii="宋体" w:hAnsi="宋体" w:eastAsia="宋体" w:cs="宋体"/>
          <w:b/>
          <w:color w:val="auto"/>
          <w:kern w:val="0"/>
          <w:sz w:val="30"/>
          <w:szCs w:val="30"/>
          <w:highlight w:val="none"/>
        </w:rPr>
        <w:t>强制要求）</w:t>
      </w:r>
      <w:bookmarkEnd w:id="1106"/>
      <w:bookmarkEnd w:id="1107"/>
      <w:bookmarkEnd w:id="1108"/>
      <w:bookmarkEnd w:id="1109"/>
      <w:bookmarkEnd w:id="1110"/>
      <w:bookmarkEnd w:id="1120"/>
      <w:bookmarkEnd w:id="1121"/>
      <w:bookmarkEnd w:id="1122"/>
      <w:bookmarkEnd w:id="1123"/>
      <w:bookmarkEnd w:id="1124"/>
      <w:bookmarkEnd w:id="1125"/>
    </w:p>
    <w:p w14:paraId="1D36CFF7">
      <w:pPr>
        <w:autoSpaceDE w:val="0"/>
        <w:autoSpaceDN w:val="0"/>
        <w:adjustRightInd w:val="0"/>
        <w:snapToGrid/>
        <w:spacing w:line="240" w:lineRule="auto"/>
        <w:jc w:val="left"/>
        <w:rPr>
          <w:rFonts w:hint="eastAsia" w:ascii="宋体" w:hAnsi="宋体" w:eastAsia="宋体" w:cs="宋体"/>
          <w:color w:val="auto"/>
          <w:kern w:val="0"/>
          <w:sz w:val="24"/>
          <w:szCs w:val="24"/>
          <w:highlight w:val="none"/>
        </w:rPr>
      </w:pPr>
    </w:p>
    <w:p w14:paraId="540B8C1C">
      <w:pPr>
        <w:autoSpaceDE w:val="0"/>
        <w:autoSpaceDN w:val="0"/>
        <w:adjustRightInd w:val="0"/>
        <w:snapToGrid/>
        <w:spacing w:line="240" w:lineRule="auto"/>
        <w:jc w:val="left"/>
        <w:rPr>
          <w:rFonts w:hint="eastAsia" w:ascii="宋体" w:hAnsi="宋体" w:eastAsia="宋体" w:cs="宋体"/>
          <w:color w:val="auto"/>
          <w:kern w:val="0"/>
          <w:sz w:val="24"/>
          <w:szCs w:val="24"/>
          <w:highlight w:val="none"/>
        </w:rPr>
      </w:pPr>
    </w:p>
    <w:p w14:paraId="773236E1">
      <w:pPr>
        <w:autoSpaceDE w:val="0"/>
        <w:autoSpaceDN w:val="0"/>
        <w:adjustRightInd w:val="0"/>
        <w:snapToGrid/>
        <w:spacing w:line="240" w:lineRule="auto"/>
        <w:jc w:val="left"/>
        <w:rPr>
          <w:rFonts w:hint="eastAsia" w:ascii="宋体" w:hAnsi="宋体" w:eastAsia="宋体" w:cs="宋体"/>
          <w:color w:val="auto"/>
          <w:kern w:val="0"/>
          <w:sz w:val="24"/>
          <w:szCs w:val="24"/>
          <w:highlight w:val="none"/>
        </w:rPr>
      </w:pPr>
    </w:p>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91"/>
    <w:bookmarkEnd w:id="1092"/>
    <w:bookmarkEnd w:id="1093"/>
    <w:bookmarkEnd w:id="1094"/>
    <w:bookmarkEnd w:id="1095"/>
    <w:bookmarkEnd w:id="1096"/>
    <w:bookmarkEnd w:id="1097"/>
    <w:p w14:paraId="641853F2">
      <w:pPr>
        <w:rPr>
          <w:rFonts w:hint="eastAsia" w:ascii="宋体" w:hAnsi="宋体" w:eastAsia="宋体" w:cs="宋体"/>
          <w:b/>
          <w:bCs/>
          <w:color w:val="auto"/>
          <w:kern w:val="44"/>
          <w:sz w:val="32"/>
          <w:szCs w:val="32"/>
          <w:highlight w:val="none"/>
          <w:lang w:val="zh-CN"/>
        </w:rPr>
      </w:pPr>
      <w:bookmarkStart w:id="1126" w:name="_Toc176627945"/>
      <w:bookmarkStart w:id="1127" w:name="_Toc24401"/>
      <w:bookmarkStart w:id="1128" w:name="_Toc31767"/>
      <w:bookmarkStart w:id="1129" w:name="_Toc19253"/>
      <w:bookmarkStart w:id="1130" w:name="_Toc172552216"/>
      <w:bookmarkStart w:id="1131" w:name="_Toc10160"/>
      <w:bookmarkStart w:id="1132" w:name="_Toc21036"/>
      <w:bookmarkStart w:id="1133" w:name="_Toc142508390"/>
      <w:bookmarkStart w:id="1134" w:name="_Toc28845"/>
      <w:bookmarkStart w:id="1135" w:name="_Toc762"/>
      <w:bookmarkStart w:id="1136" w:name="_Toc178076634"/>
      <w:bookmarkStart w:id="1137" w:name="_Toc22601_WPSOffice_Level1"/>
      <w:bookmarkStart w:id="1138" w:name="_Toc521918141"/>
      <w:bookmarkStart w:id="1139" w:name="_Toc533708139"/>
      <w:bookmarkStart w:id="1140" w:name="_Toc522047402"/>
      <w:r>
        <w:rPr>
          <w:rFonts w:hint="eastAsia" w:ascii="宋体" w:hAnsi="宋体" w:eastAsia="宋体" w:cs="宋体"/>
          <w:b/>
          <w:bCs/>
          <w:color w:val="auto"/>
          <w:kern w:val="44"/>
          <w:sz w:val="32"/>
          <w:szCs w:val="32"/>
          <w:highlight w:val="none"/>
          <w:lang w:val="zh-CN"/>
        </w:rPr>
        <w:br w:type="page"/>
      </w:r>
    </w:p>
    <w:p w14:paraId="50BDB844">
      <w:pPr>
        <w:pStyle w:val="2"/>
        <w:jc w:val="left"/>
        <w:rPr>
          <w:rFonts w:hint="eastAsia" w:ascii="宋体" w:hAnsi="宋体" w:eastAsia="宋体" w:cs="宋体"/>
          <w:color w:val="auto"/>
          <w:highlight w:val="none"/>
          <w:lang w:val="zh-CN"/>
        </w:rPr>
      </w:pPr>
      <w:bookmarkStart w:id="1141" w:name="_Toc212"/>
      <w:bookmarkStart w:id="1142" w:name="_Toc21269"/>
      <w:r>
        <w:rPr>
          <w:rFonts w:hint="eastAsia" w:ascii="宋体" w:hAnsi="宋体" w:eastAsia="宋体" w:cs="宋体"/>
          <w:color w:val="auto"/>
          <w:highlight w:val="none"/>
          <w:lang w:val="zh-CN"/>
        </w:rPr>
        <w:t>附件一：评标工作大纲</w:t>
      </w:r>
      <w:bookmarkEnd w:id="1126"/>
      <w:bookmarkEnd w:id="1127"/>
      <w:bookmarkEnd w:id="1128"/>
      <w:bookmarkEnd w:id="1129"/>
      <w:bookmarkEnd w:id="1130"/>
      <w:bookmarkEnd w:id="1131"/>
      <w:bookmarkEnd w:id="1132"/>
      <w:bookmarkEnd w:id="1133"/>
      <w:bookmarkEnd w:id="1134"/>
      <w:bookmarkEnd w:id="1135"/>
      <w:bookmarkEnd w:id="1136"/>
      <w:bookmarkEnd w:id="1141"/>
      <w:bookmarkEnd w:id="1142"/>
    </w:p>
    <w:p w14:paraId="535DAF68">
      <w:pPr>
        <w:rPr>
          <w:rFonts w:hint="eastAsia" w:ascii="宋体" w:hAnsi="宋体" w:eastAsia="宋体" w:cs="宋体"/>
          <w:color w:val="auto"/>
          <w:highlight w:val="none"/>
        </w:rPr>
      </w:pPr>
    </w:p>
    <w:p w14:paraId="70335B64">
      <w:pPr>
        <w:rPr>
          <w:rFonts w:hint="eastAsia" w:ascii="宋体" w:hAnsi="宋体" w:eastAsia="宋体" w:cs="宋体"/>
          <w:color w:val="auto"/>
          <w:highlight w:val="none"/>
        </w:rPr>
      </w:pPr>
    </w:p>
    <w:p w14:paraId="5BFDDC96">
      <w:pPr>
        <w:rPr>
          <w:rFonts w:hint="eastAsia" w:ascii="宋体" w:hAnsi="宋体" w:eastAsia="宋体" w:cs="宋体"/>
          <w:color w:val="auto"/>
          <w:highlight w:val="none"/>
        </w:rPr>
      </w:pPr>
    </w:p>
    <w:p w14:paraId="131E0651">
      <w:pPr>
        <w:rPr>
          <w:rFonts w:hint="eastAsia" w:ascii="宋体" w:hAnsi="宋体" w:eastAsia="宋体" w:cs="宋体"/>
          <w:color w:val="auto"/>
          <w:highlight w:val="none"/>
        </w:rPr>
      </w:pPr>
    </w:p>
    <w:p w14:paraId="327DFA45">
      <w:pPr>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eastAsia="zh-CN"/>
        </w:rPr>
        <w:t>东莞市碧水信息科技有限公司2025年度球墨铸铁阀门采购项目</w:t>
      </w:r>
    </w:p>
    <w:p w14:paraId="1E886768">
      <w:pPr>
        <w:jc w:val="center"/>
        <w:rPr>
          <w:rFonts w:hint="eastAsia" w:ascii="宋体" w:hAnsi="宋体" w:eastAsia="宋体" w:cs="宋体"/>
          <w:b/>
          <w:bCs/>
          <w:color w:val="auto"/>
          <w:sz w:val="36"/>
          <w:szCs w:val="36"/>
          <w:highlight w:val="none"/>
        </w:rPr>
      </w:pPr>
      <w:bookmarkStart w:id="1143"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kern w:val="2"/>
          <w:sz w:val="36"/>
          <w:szCs w:val="36"/>
          <w:highlight w:val="none"/>
          <w:lang w:val="en-US" w:eastAsia="zh-CN" w:bidi="ar-SA"/>
        </w:rPr>
        <w:t>YDZB25DGQY0149</w:t>
      </w:r>
      <w:r>
        <w:rPr>
          <w:rFonts w:hint="eastAsia" w:ascii="宋体" w:hAnsi="宋体" w:eastAsia="宋体" w:cs="宋体"/>
          <w:b/>
          <w:bCs/>
          <w:color w:val="auto"/>
          <w:sz w:val="36"/>
          <w:szCs w:val="36"/>
          <w:highlight w:val="none"/>
          <w:lang w:val="zh-CN"/>
        </w:rPr>
        <w:t>）</w:t>
      </w:r>
      <w:bookmarkEnd w:id="1143"/>
    </w:p>
    <w:p w14:paraId="407A815B">
      <w:pPr>
        <w:rPr>
          <w:rFonts w:hint="eastAsia" w:ascii="宋体" w:hAnsi="宋体" w:eastAsia="宋体" w:cs="宋体"/>
          <w:color w:val="auto"/>
          <w:highlight w:val="none"/>
        </w:rPr>
      </w:pPr>
    </w:p>
    <w:p w14:paraId="412C2222">
      <w:pPr>
        <w:rPr>
          <w:rFonts w:hint="eastAsia" w:ascii="宋体" w:hAnsi="宋体" w:eastAsia="宋体" w:cs="宋体"/>
          <w:color w:val="auto"/>
          <w:highlight w:val="none"/>
        </w:rPr>
      </w:pPr>
    </w:p>
    <w:p w14:paraId="4ED13274">
      <w:pPr>
        <w:rPr>
          <w:rFonts w:hint="eastAsia" w:ascii="宋体" w:hAnsi="宋体" w:eastAsia="宋体" w:cs="宋体"/>
          <w:color w:val="auto"/>
          <w:highlight w:val="none"/>
        </w:rPr>
      </w:pPr>
    </w:p>
    <w:p w14:paraId="06572095">
      <w:pPr>
        <w:rPr>
          <w:rFonts w:hint="eastAsia" w:ascii="宋体" w:hAnsi="宋体" w:eastAsia="宋体" w:cs="宋体"/>
          <w:color w:val="auto"/>
          <w:highlight w:val="none"/>
        </w:rPr>
      </w:pPr>
    </w:p>
    <w:p w14:paraId="2DC8B5E2">
      <w:pPr>
        <w:rPr>
          <w:rFonts w:hint="eastAsia" w:ascii="宋体" w:hAnsi="宋体" w:eastAsia="宋体" w:cs="宋体"/>
          <w:color w:val="auto"/>
          <w:highlight w:val="none"/>
        </w:rPr>
      </w:pPr>
    </w:p>
    <w:p w14:paraId="25F51B04">
      <w:pPr>
        <w:rPr>
          <w:rFonts w:hint="eastAsia" w:ascii="宋体" w:hAnsi="宋体" w:eastAsia="宋体" w:cs="宋体"/>
          <w:color w:val="auto"/>
          <w:highlight w:val="none"/>
        </w:rPr>
      </w:pPr>
    </w:p>
    <w:p w14:paraId="14816E76">
      <w:pPr>
        <w:rPr>
          <w:rFonts w:hint="eastAsia" w:ascii="宋体" w:hAnsi="宋体" w:eastAsia="宋体" w:cs="宋体"/>
          <w:color w:val="auto"/>
          <w:highlight w:val="none"/>
        </w:rPr>
      </w:pPr>
    </w:p>
    <w:p w14:paraId="3DB64993">
      <w:pPr>
        <w:spacing w:line="400" w:lineRule="atLeast"/>
        <w:jc w:val="center"/>
        <w:rPr>
          <w:rFonts w:hint="eastAsia" w:ascii="宋体" w:hAnsi="宋体" w:eastAsia="宋体" w:cs="宋体"/>
          <w:b/>
          <w:bCs/>
          <w:color w:val="auto"/>
          <w:sz w:val="72"/>
          <w:szCs w:val="72"/>
          <w:highlight w:val="none"/>
          <w:lang w:val="zh-CN"/>
        </w:rPr>
      </w:pPr>
      <w:bookmarkStart w:id="1144" w:name="_Toc18947_WPSOffice_Level2"/>
      <w:r>
        <w:rPr>
          <w:rFonts w:hint="eastAsia" w:ascii="宋体" w:hAnsi="宋体" w:eastAsia="宋体" w:cs="宋体"/>
          <w:b/>
          <w:bCs/>
          <w:color w:val="auto"/>
          <w:sz w:val="72"/>
          <w:szCs w:val="72"/>
          <w:highlight w:val="none"/>
          <w:lang w:val="zh-CN"/>
        </w:rPr>
        <w:t>评标工作大纲</w:t>
      </w:r>
      <w:bookmarkEnd w:id="1144"/>
    </w:p>
    <w:p w14:paraId="2B47D1F3">
      <w:pPr>
        <w:rPr>
          <w:rFonts w:hint="eastAsia" w:ascii="宋体" w:hAnsi="宋体" w:eastAsia="宋体" w:cs="宋体"/>
          <w:color w:val="auto"/>
          <w:highlight w:val="none"/>
        </w:rPr>
      </w:pPr>
    </w:p>
    <w:p w14:paraId="026CE099">
      <w:pPr>
        <w:rPr>
          <w:rFonts w:hint="eastAsia" w:ascii="宋体" w:hAnsi="宋体" w:eastAsia="宋体" w:cs="宋体"/>
          <w:color w:val="auto"/>
          <w:highlight w:val="none"/>
        </w:rPr>
      </w:pPr>
    </w:p>
    <w:p w14:paraId="22B805EB">
      <w:pPr>
        <w:rPr>
          <w:rFonts w:hint="eastAsia" w:ascii="宋体" w:hAnsi="宋体" w:eastAsia="宋体" w:cs="宋体"/>
          <w:color w:val="auto"/>
          <w:highlight w:val="none"/>
        </w:rPr>
      </w:pPr>
    </w:p>
    <w:p w14:paraId="7DEE96A2">
      <w:pPr>
        <w:rPr>
          <w:rFonts w:hint="eastAsia" w:ascii="宋体" w:hAnsi="宋体" w:eastAsia="宋体" w:cs="宋体"/>
          <w:color w:val="auto"/>
          <w:highlight w:val="none"/>
        </w:rPr>
      </w:pPr>
    </w:p>
    <w:p w14:paraId="5CFDE3D8">
      <w:pPr>
        <w:rPr>
          <w:rFonts w:hint="eastAsia" w:ascii="宋体" w:hAnsi="宋体" w:eastAsia="宋体" w:cs="宋体"/>
          <w:color w:val="auto"/>
          <w:highlight w:val="none"/>
        </w:rPr>
      </w:pPr>
    </w:p>
    <w:p w14:paraId="13746FF1">
      <w:pPr>
        <w:rPr>
          <w:rFonts w:hint="eastAsia" w:ascii="宋体" w:hAnsi="宋体" w:eastAsia="宋体" w:cs="宋体"/>
          <w:color w:val="auto"/>
          <w:highlight w:val="none"/>
        </w:rPr>
      </w:pPr>
    </w:p>
    <w:p w14:paraId="4C9098F6">
      <w:pPr>
        <w:rPr>
          <w:rFonts w:hint="eastAsia" w:ascii="宋体" w:hAnsi="宋体" w:eastAsia="宋体" w:cs="宋体"/>
          <w:color w:val="auto"/>
          <w:highlight w:val="none"/>
        </w:rPr>
      </w:pPr>
    </w:p>
    <w:p w14:paraId="45951D31">
      <w:pPr>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23475D62">
      <w:pPr>
        <w:rPr>
          <w:rFonts w:hint="eastAsia" w:ascii="宋体" w:hAnsi="宋体" w:eastAsia="宋体" w:cs="宋体"/>
          <w:color w:val="auto"/>
          <w:highlight w:val="none"/>
        </w:rPr>
      </w:pPr>
    </w:p>
    <w:p w14:paraId="5975CF48">
      <w:pPr>
        <w:rPr>
          <w:rFonts w:hint="eastAsia" w:ascii="宋体" w:hAnsi="宋体" w:eastAsia="宋体" w:cs="宋体"/>
          <w:b/>
          <w:bCs/>
          <w:color w:val="auto"/>
          <w:szCs w:val="36"/>
          <w:highlight w:val="none"/>
          <w:lang w:val="zh-CN"/>
        </w:rPr>
      </w:pPr>
      <w:bookmarkStart w:id="1145" w:name="_Toc32395_WPSOffice_Level1"/>
      <w:r>
        <w:rPr>
          <w:rFonts w:hint="eastAsia" w:ascii="宋体" w:hAnsi="宋体" w:eastAsia="宋体" w:cs="宋体"/>
          <w:b/>
          <w:bCs/>
          <w:color w:val="auto"/>
          <w:szCs w:val="36"/>
          <w:highlight w:val="none"/>
          <w:lang w:val="zh-CN"/>
        </w:rPr>
        <w:br w:type="page"/>
      </w:r>
    </w:p>
    <w:p w14:paraId="0932B49F">
      <w:pPr>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lang w:val="zh-CN"/>
        </w:rPr>
        <w:t>目录</w:t>
      </w:r>
      <w:bookmarkEnd w:id="1145"/>
    </w:p>
    <w:p w14:paraId="15D4BE2A">
      <w:pPr>
        <w:rPr>
          <w:rFonts w:hint="eastAsia" w:ascii="宋体" w:hAnsi="宋体" w:eastAsia="宋体" w:cs="宋体"/>
          <w:color w:val="auto"/>
          <w:highlight w:val="none"/>
        </w:rPr>
      </w:pPr>
    </w:p>
    <w:p w14:paraId="04335D58">
      <w:pPr>
        <w:spacing w:line="480" w:lineRule="auto"/>
        <w:ind w:left="420" w:leftChars="200"/>
        <w:rPr>
          <w:rFonts w:hint="eastAsia" w:ascii="宋体" w:hAnsi="宋体" w:eastAsia="宋体" w:cs="宋体"/>
          <w:color w:val="auto"/>
          <w:highlight w:val="none"/>
        </w:rPr>
      </w:pPr>
      <w:bookmarkStart w:id="1146" w:name="_Toc21604_WPSOffice_Level1"/>
      <w:r>
        <w:rPr>
          <w:rFonts w:hint="eastAsia" w:ascii="宋体" w:hAnsi="宋体" w:eastAsia="宋体" w:cs="宋体"/>
          <w:color w:val="auto"/>
          <w:highlight w:val="none"/>
          <w:lang w:val="zh-CN"/>
        </w:rPr>
        <w:t>一、总则</w:t>
      </w:r>
      <w:bookmarkEnd w:id="1146"/>
    </w:p>
    <w:p w14:paraId="4291079B">
      <w:pPr>
        <w:spacing w:line="480" w:lineRule="auto"/>
        <w:ind w:left="420" w:leftChars="200"/>
        <w:rPr>
          <w:rFonts w:hint="eastAsia" w:ascii="宋体" w:hAnsi="宋体" w:eastAsia="宋体" w:cs="宋体"/>
          <w:color w:val="auto"/>
          <w:highlight w:val="none"/>
        </w:rPr>
      </w:pPr>
      <w:bookmarkStart w:id="1147" w:name="_Toc1387_WPSOffice_Level1"/>
      <w:r>
        <w:rPr>
          <w:rFonts w:hint="eastAsia" w:ascii="宋体" w:hAnsi="宋体" w:eastAsia="宋体" w:cs="宋体"/>
          <w:color w:val="auto"/>
          <w:highlight w:val="none"/>
          <w:lang w:val="zh-CN"/>
        </w:rPr>
        <w:t>二、投标文件的初审</w:t>
      </w:r>
      <w:bookmarkEnd w:id="1147"/>
    </w:p>
    <w:p w14:paraId="210A7666">
      <w:pPr>
        <w:spacing w:line="480" w:lineRule="auto"/>
        <w:ind w:left="420" w:leftChars="200"/>
        <w:rPr>
          <w:rFonts w:hint="eastAsia" w:ascii="宋体" w:hAnsi="宋体" w:eastAsia="宋体" w:cs="宋体"/>
          <w:color w:val="auto"/>
          <w:highlight w:val="none"/>
        </w:rPr>
      </w:pPr>
      <w:bookmarkStart w:id="1148" w:name="_Toc30284_WPSOffice_Level1"/>
      <w:r>
        <w:rPr>
          <w:rFonts w:hint="eastAsia" w:ascii="宋体" w:hAnsi="宋体" w:eastAsia="宋体" w:cs="宋体"/>
          <w:color w:val="auto"/>
          <w:highlight w:val="none"/>
          <w:lang w:val="zh-CN"/>
        </w:rPr>
        <w:t>三、澄清有关问题</w:t>
      </w:r>
      <w:bookmarkEnd w:id="1148"/>
    </w:p>
    <w:p w14:paraId="3BF7D0AB">
      <w:pPr>
        <w:spacing w:line="480" w:lineRule="auto"/>
        <w:ind w:left="420" w:leftChars="200"/>
        <w:rPr>
          <w:rFonts w:hint="eastAsia" w:ascii="宋体" w:hAnsi="宋体" w:eastAsia="宋体" w:cs="宋体"/>
          <w:color w:val="auto"/>
          <w:highlight w:val="none"/>
        </w:rPr>
      </w:pPr>
      <w:bookmarkStart w:id="1149" w:name="_Toc1206_WPSOffice_Level1"/>
      <w:r>
        <w:rPr>
          <w:rFonts w:hint="eastAsia" w:ascii="宋体" w:hAnsi="宋体" w:eastAsia="宋体" w:cs="宋体"/>
          <w:color w:val="auto"/>
          <w:highlight w:val="none"/>
        </w:rPr>
        <w:t>四、比较和评价</w:t>
      </w:r>
      <w:bookmarkEnd w:id="1149"/>
    </w:p>
    <w:p w14:paraId="4B4A5A14">
      <w:pPr>
        <w:spacing w:line="480" w:lineRule="auto"/>
        <w:ind w:left="420" w:leftChars="200"/>
        <w:rPr>
          <w:rFonts w:hint="eastAsia" w:ascii="宋体" w:hAnsi="宋体" w:eastAsia="宋体" w:cs="宋体"/>
          <w:color w:val="auto"/>
          <w:highlight w:val="none"/>
        </w:rPr>
      </w:pPr>
      <w:bookmarkStart w:id="1150" w:name="_Toc12163_WPSOffice_Level1"/>
      <w:r>
        <w:rPr>
          <w:rFonts w:hint="eastAsia" w:ascii="宋体" w:hAnsi="宋体" w:eastAsia="宋体" w:cs="宋体"/>
          <w:color w:val="auto"/>
          <w:highlight w:val="none"/>
          <w:lang w:val="zh-CN"/>
        </w:rPr>
        <w:t>五、推荐中标候选人名单</w:t>
      </w:r>
      <w:bookmarkEnd w:id="1150"/>
    </w:p>
    <w:p w14:paraId="48117E6F">
      <w:pPr>
        <w:spacing w:line="480" w:lineRule="auto"/>
        <w:ind w:left="420" w:leftChars="200"/>
        <w:rPr>
          <w:rFonts w:hint="eastAsia" w:ascii="宋体" w:hAnsi="宋体" w:eastAsia="宋体" w:cs="宋体"/>
          <w:color w:val="auto"/>
          <w:highlight w:val="none"/>
        </w:rPr>
      </w:pPr>
      <w:bookmarkStart w:id="1151" w:name="_Toc366_WPSOffice_Level1"/>
      <w:r>
        <w:rPr>
          <w:rFonts w:hint="eastAsia" w:ascii="宋体" w:hAnsi="宋体" w:eastAsia="宋体" w:cs="宋体"/>
          <w:color w:val="auto"/>
          <w:highlight w:val="none"/>
          <w:lang w:val="zh-CN"/>
        </w:rPr>
        <w:t>六、编写评标报告</w:t>
      </w:r>
      <w:bookmarkEnd w:id="1151"/>
    </w:p>
    <w:p w14:paraId="2B5A05BF">
      <w:pPr>
        <w:spacing w:line="480" w:lineRule="auto"/>
        <w:ind w:left="420" w:leftChars="200"/>
        <w:rPr>
          <w:rFonts w:hint="eastAsia" w:ascii="宋体" w:hAnsi="宋体" w:eastAsia="宋体" w:cs="宋体"/>
          <w:color w:val="auto"/>
          <w:highlight w:val="none"/>
          <w:lang w:val="zh-CN"/>
        </w:rPr>
      </w:pPr>
      <w:bookmarkStart w:id="1152" w:name="_Toc22378_WPSOffice_Level1"/>
      <w:r>
        <w:rPr>
          <w:rFonts w:hint="eastAsia" w:ascii="宋体" w:hAnsi="宋体" w:eastAsia="宋体" w:cs="宋体"/>
          <w:color w:val="auto"/>
          <w:highlight w:val="none"/>
          <w:lang w:val="zh-CN"/>
        </w:rPr>
        <w:t>七、注意事项</w:t>
      </w:r>
      <w:bookmarkEnd w:id="1152"/>
      <w:bookmarkStart w:id="1153" w:name="_Toc27181_WPSOffice_Level1"/>
    </w:p>
    <w:p w14:paraId="73A713B5">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zh-CN"/>
        </w:rPr>
        <w:br w:type="page"/>
      </w:r>
    </w:p>
    <w:p w14:paraId="1BCEF8C3">
      <w:pPr>
        <w:spacing w:line="480" w:lineRule="auto"/>
        <w:jc w:val="center"/>
        <w:rPr>
          <w:rFonts w:hint="eastAsia" w:ascii="宋体" w:hAnsi="宋体" w:eastAsia="宋体" w:cs="宋体"/>
          <w:b/>
          <w:bCs/>
          <w:color w:val="auto"/>
          <w:szCs w:val="28"/>
          <w:highlight w:val="none"/>
        </w:rPr>
      </w:pPr>
      <w:r>
        <w:rPr>
          <w:rFonts w:hint="eastAsia" w:ascii="宋体" w:hAnsi="宋体" w:eastAsia="宋体" w:cs="宋体"/>
          <w:b/>
          <w:bCs/>
          <w:color w:val="auto"/>
          <w:sz w:val="28"/>
          <w:szCs w:val="32"/>
          <w:highlight w:val="none"/>
          <w:lang w:val="zh-CN"/>
        </w:rPr>
        <w:t>一、总则</w:t>
      </w:r>
      <w:bookmarkEnd w:id="1153"/>
    </w:p>
    <w:p w14:paraId="0548F80B">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一般规定</w:t>
      </w:r>
    </w:p>
    <w:p w14:paraId="78153887">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1.1</w:t>
      </w:r>
      <w:r>
        <w:rPr>
          <w:rFonts w:hint="eastAsia" w:ascii="宋体" w:hAnsi="宋体" w:eastAsia="宋体" w:cs="宋体"/>
          <w:color w:val="auto"/>
          <w:highlight w:val="none"/>
          <w:lang w:val="zh-CN"/>
        </w:rPr>
        <w:tab/>
      </w:r>
      <w:r>
        <w:rPr>
          <w:rFonts w:hint="eastAsia" w:ascii="宋体" w:hAnsi="宋体" w:eastAsia="宋体" w:cs="宋体"/>
          <w:color w:val="auto"/>
          <w:kern w:val="2"/>
          <w:sz w:val="21"/>
          <w:szCs w:val="22"/>
          <w:highlight w:val="none"/>
          <w:lang w:val="zh-CN" w:eastAsia="zh-CN" w:bidi="ar-SA"/>
        </w:rPr>
        <w:t>东莞市碧水信息科技有限公司2025年度球墨铸铁阀门采购项目</w:t>
      </w:r>
      <w:r>
        <w:rPr>
          <w:rFonts w:hint="eastAsia" w:ascii="宋体" w:hAnsi="宋体" w:eastAsia="宋体" w:cs="宋体"/>
          <w:color w:val="auto"/>
          <w:highlight w:val="none"/>
          <w:lang w:val="zh-CN"/>
        </w:rPr>
        <w:t>(招标编号：</w:t>
      </w:r>
      <w:r>
        <w:rPr>
          <w:rFonts w:hint="eastAsia" w:ascii="宋体" w:hAnsi="宋体" w:eastAsia="宋体" w:cs="宋体"/>
          <w:color w:val="auto"/>
          <w:highlight w:val="none"/>
          <w:lang w:val="en-US" w:eastAsia="zh-CN"/>
        </w:rPr>
        <w:t>YDZB25DGQY0149</w:t>
      </w:r>
      <w:r>
        <w:rPr>
          <w:rFonts w:hint="eastAsia" w:ascii="宋体" w:hAnsi="宋体" w:eastAsia="宋体" w:cs="宋体"/>
          <w:color w:val="auto"/>
          <w:highlight w:val="none"/>
        </w:rPr>
        <w:t>)的</w:t>
      </w:r>
      <w:r>
        <w:rPr>
          <w:rFonts w:hint="eastAsia" w:ascii="宋体" w:hAnsi="宋体" w:eastAsia="宋体" w:cs="宋体"/>
          <w:color w:val="auto"/>
          <w:highlight w:val="none"/>
          <w:lang w:val="zh-CN"/>
        </w:rPr>
        <w:t>招标</w:t>
      </w:r>
      <w:r>
        <w:rPr>
          <w:rFonts w:hint="eastAsia" w:ascii="宋体" w:hAnsi="宋体" w:eastAsia="宋体" w:cs="宋体"/>
          <w:color w:val="auto"/>
          <w:highlight w:val="none"/>
        </w:rPr>
        <w:t>按照《中华人民共和国招标投标法》等有关规定进行。</w:t>
      </w:r>
    </w:p>
    <w:p w14:paraId="0FC8824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评标必须遵循公平、公正、诚实信用的原则。</w:t>
      </w:r>
    </w:p>
    <w:p w14:paraId="21133268">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w:t>
      </w:r>
      <w:r>
        <w:rPr>
          <w:rFonts w:hint="eastAsia" w:ascii="宋体" w:hAnsi="宋体" w:eastAsia="宋体" w:cs="宋体"/>
          <w:color w:val="auto"/>
          <w:highlight w:val="none"/>
        </w:rPr>
        <w:t>(</w:t>
      </w:r>
      <w:r>
        <w:rPr>
          <w:rFonts w:hint="eastAsia" w:ascii="宋体" w:hAnsi="宋体" w:eastAsia="宋体" w:cs="宋体"/>
          <w:color w:val="auto"/>
          <w:kern w:val="2"/>
          <w:sz w:val="21"/>
          <w:szCs w:val="22"/>
          <w:highlight w:val="none"/>
          <w:lang w:val="zh-CN" w:eastAsia="zh-CN" w:bidi="ar-SA"/>
        </w:rPr>
        <w:t>广东有德招标采购有限公司</w:t>
      </w:r>
      <w:r>
        <w:rPr>
          <w:rFonts w:hint="eastAsia" w:ascii="宋体" w:hAnsi="宋体" w:eastAsia="宋体" w:cs="宋体"/>
          <w:color w:val="auto"/>
          <w:highlight w:val="none"/>
        </w:rPr>
        <w:t>）组</w:t>
      </w:r>
      <w:r>
        <w:rPr>
          <w:rFonts w:hint="eastAsia" w:ascii="宋体" w:hAnsi="宋体" w:eastAsia="宋体" w:cs="宋体"/>
          <w:color w:val="auto"/>
          <w:highlight w:val="none"/>
          <w:lang w:val="zh-CN"/>
        </w:rPr>
        <w:t>织评标工作，全过程接受招标人及相关部门的监督、管理和指导。</w:t>
      </w:r>
    </w:p>
    <w:p w14:paraId="6776AF1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评标按照招标文件规定的内容进行，采取综合评分</w:t>
      </w:r>
      <w:r>
        <w:rPr>
          <w:rFonts w:hint="eastAsia" w:ascii="宋体" w:hAnsi="宋体" w:eastAsia="宋体" w:cs="宋体"/>
          <w:color w:val="auto"/>
          <w:highlight w:val="none"/>
        </w:rPr>
        <w:t>法进行评审</w:t>
      </w:r>
      <w:r>
        <w:rPr>
          <w:rFonts w:hint="eastAsia" w:ascii="宋体" w:hAnsi="宋体" w:eastAsia="宋体" w:cs="宋体"/>
          <w:color w:val="auto"/>
          <w:highlight w:val="none"/>
          <w:lang w:val="zh-CN"/>
        </w:rPr>
        <w:t>。</w:t>
      </w:r>
    </w:p>
    <w:p w14:paraId="64491E7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1.5</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本办法的评审对象是指投标人按照招标文件要求提供的有效投标文件，包括投标人应评标委员会要求对原投标文件作出的正式书面澄清文件。</w:t>
      </w:r>
    </w:p>
    <w:p w14:paraId="4A572DC7">
      <w:pPr>
        <w:ind w:left="525" w:hanging="525" w:hangingChars="250"/>
        <w:rPr>
          <w:rFonts w:hint="eastAsia" w:ascii="宋体" w:hAnsi="宋体" w:eastAsia="宋体" w:cs="宋体"/>
          <w:color w:val="auto"/>
          <w:highlight w:val="none"/>
          <w:lang w:val="zh-CN"/>
        </w:rPr>
      </w:pPr>
    </w:p>
    <w:p w14:paraId="1ABC2346">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评标组织机构的组成</w:t>
      </w:r>
    </w:p>
    <w:p w14:paraId="38E895E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w:t>
      </w:r>
      <w:r>
        <w:rPr>
          <w:rFonts w:hint="eastAsia" w:ascii="宋体" w:hAnsi="宋体" w:eastAsia="宋体" w:cs="宋体"/>
          <w:color w:val="auto"/>
          <w:highlight w:val="none"/>
        </w:rPr>
        <w:t>由招标人和技术、经济等方面的专家组成，成员为</w:t>
      </w:r>
      <w:r>
        <w:rPr>
          <w:rFonts w:hint="eastAsia" w:ascii="宋体" w:hAnsi="宋体" w:eastAsia="宋体" w:cs="宋体"/>
          <w:b/>
          <w:bCs/>
          <w:color w:val="auto"/>
          <w:highlight w:val="none"/>
        </w:rPr>
        <w:t>5人以上（含5人）单数</w:t>
      </w:r>
      <w:r>
        <w:rPr>
          <w:rFonts w:hint="eastAsia" w:ascii="宋体" w:hAnsi="宋体" w:eastAsia="宋体" w:cs="宋体"/>
          <w:color w:val="auto"/>
          <w:highlight w:val="none"/>
        </w:rPr>
        <w:t>，其中技术、经济等方面的专家不少于成员总数的三分之二。</w:t>
      </w:r>
      <w:r>
        <w:rPr>
          <w:rFonts w:hint="eastAsia" w:ascii="宋体" w:hAnsi="宋体" w:eastAsia="宋体" w:cs="宋体"/>
          <w:color w:val="auto"/>
          <w:highlight w:val="none"/>
          <w:lang w:val="zh-CN"/>
        </w:rPr>
        <w:t>专家依法从</w:t>
      </w:r>
      <w:r>
        <w:rPr>
          <w:rFonts w:hint="eastAsia" w:ascii="宋体" w:hAnsi="宋体" w:eastAsia="宋体" w:cs="宋体"/>
          <w:color w:val="auto"/>
          <w:highlight w:val="none"/>
        </w:rPr>
        <w:t>专家库中随机抽取产生。</w:t>
      </w:r>
    </w:p>
    <w:p w14:paraId="2397902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评标工作组由招标人、招标代理机构及有关专家组成，由评标委员会确认，并接受其领导。</w:t>
      </w:r>
    </w:p>
    <w:p w14:paraId="38132FD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评标工作组分成评标委员会、秘书组。</w:t>
      </w:r>
    </w:p>
    <w:p w14:paraId="5965776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83614B6">
      <w:pPr>
        <w:ind w:left="525" w:hanging="525" w:hangingChars="250"/>
        <w:rPr>
          <w:rFonts w:hint="eastAsia" w:ascii="宋体" w:hAnsi="宋体" w:eastAsia="宋体" w:cs="宋体"/>
          <w:color w:val="auto"/>
          <w:highlight w:val="none"/>
          <w:lang w:val="zh-CN"/>
        </w:rPr>
      </w:pPr>
    </w:p>
    <w:p w14:paraId="7D39FD81">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3</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评标委员会职责</w:t>
      </w:r>
    </w:p>
    <w:p w14:paraId="64C1911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3.1  审查投标文件是否符合招标文件要求，并作出评价；</w:t>
      </w:r>
    </w:p>
    <w:p w14:paraId="318B143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3.2  要求投标人对投标文件有关事项作出解释或者澄清；</w:t>
      </w:r>
    </w:p>
    <w:p w14:paraId="38FA782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推荐中标候选人名单及排序；</w:t>
      </w:r>
    </w:p>
    <w:p w14:paraId="4C7F4CA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向招标人、招标代理机构或者有关部门报告非法干预评标工作的行为。</w:t>
      </w:r>
    </w:p>
    <w:p w14:paraId="57B0FCB4">
      <w:pPr>
        <w:ind w:left="525" w:hanging="525" w:hangingChars="250"/>
        <w:rPr>
          <w:rFonts w:hint="eastAsia" w:ascii="宋体" w:hAnsi="宋体" w:eastAsia="宋体" w:cs="宋体"/>
          <w:color w:val="auto"/>
          <w:highlight w:val="none"/>
          <w:lang w:val="zh-CN"/>
        </w:rPr>
      </w:pPr>
    </w:p>
    <w:p w14:paraId="6620B7EA">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4</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评标委员会义务</w:t>
      </w:r>
    </w:p>
    <w:p w14:paraId="2150390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4.1  遵纪守法，客观、公正、廉洁地履行职责；</w:t>
      </w:r>
    </w:p>
    <w:p w14:paraId="21DD46F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4.2  按照招标文件规定的评标方法和评标标准进行评审，对评审意见承担个人责任；</w:t>
      </w:r>
    </w:p>
    <w:p w14:paraId="7866A2C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4.3  对评标过程和结果，以及投标人的商业秘密保密；</w:t>
      </w:r>
    </w:p>
    <w:p w14:paraId="16C4E90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4.4  参与评标报告的起草；</w:t>
      </w:r>
    </w:p>
    <w:p w14:paraId="0E6C548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4.5  配合有关部门的投诉处理工作；</w:t>
      </w:r>
    </w:p>
    <w:p w14:paraId="2633888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4.6  配合招标人、招标代理机构答复投标人提出的质疑、异议。</w:t>
      </w:r>
    </w:p>
    <w:p w14:paraId="0DFAFE76">
      <w:pPr>
        <w:ind w:left="525" w:hanging="525" w:hangingChars="250"/>
        <w:rPr>
          <w:rFonts w:hint="eastAsia" w:ascii="宋体" w:hAnsi="宋体" w:eastAsia="宋体" w:cs="宋体"/>
          <w:color w:val="auto"/>
          <w:highlight w:val="none"/>
          <w:lang w:val="zh-CN"/>
        </w:rPr>
      </w:pPr>
    </w:p>
    <w:p w14:paraId="3040E506">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5</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评审程序</w:t>
      </w:r>
    </w:p>
    <w:p w14:paraId="0FECB4DA">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公开招标：</w:t>
      </w:r>
    </w:p>
    <w:p w14:paraId="1B75DFA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5.1  评审首先由评标委员会对投标人的投标文件做初审，对未能通过初审的投标文件不再进入下一阶段评审。</w:t>
      </w:r>
    </w:p>
    <w:p w14:paraId="7C6AC58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2</w:t>
      </w:r>
      <w:r>
        <w:rPr>
          <w:rFonts w:hint="eastAsia" w:ascii="宋体" w:hAnsi="宋体" w:eastAsia="宋体" w:cs="宋体"/>
          <w:color w:val="auto"/>
          <w:highlight w:val="none"/>
          <w:lang w:val="zh-CN"/>
        </w:rPr>
        <w:t xml:space="preserve">  评标委员会对通过初审的投标人的投标文件进行详细的比较和评价。如需要，进行必要的澄清工作。</w:t>
      </w:r>
    </w:p>
    <w:p w14:paraId="6D9F05B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3</w:t>
      </w:r>
      <w:r>
        <w:rPr>
          <w:rFonts w:hint="eastAsia" w:ascii="宋体" w:hAnsi="宋体" w:eastAsia="宋体" w:cs="宋体"/>
          <w:color w:val="auto"/>
          <w:highlight w:val="none"/>
          <w:lang w:val="zh-CN"/>
        </w:rPr>
        <w:t xml:space="preserve">  依据评分标准以及各项权重，各位评标委员会成员单独就每个投标人的商务状况、技术状况进行比较和评价，分别评出其商务得分和技术得分。</w:t>
      </w:r>
    </w:p>
    <w:p w14:paraId="799145A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4</w:t>
      </w:r>
      <w:r>
        <w:rPr>
          <w:rFonts w:hint="eastAsia" w:ascii="宋体" w:hAnsi="宋体" w:eastAsia="宋体" w:cs="宋体"/>
          <w:color w:val="auto"/>
          <w:highlight w:val="none"/>
          <w:lang w:val="zh-CN"/>
        </w:rPr>
        <w:t xml:space="preserve">  对有效投标人的投标报价进行审查和价格评分。</w:t>
      </w:r>
    </w:p>
    <w:p w14:paraId="1F8D027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5</w:t>
      </w:r>
      <w:r>
        <w:rPr>
          <w:rFonts w:hint="eastAsia" w:ascii="宋体" w:hAnsi="宋体" w:eastAsia="宋体" w:cs="宋体"/>
          <w:color w:val="auto"/>
          <w:highlight w:val="none"/>
          <w:lang w:val="zh-CN"/>
        </w:rPr>
        <w:t xml:space="preserve">  将各评委对投标人的技术打分的最终综合得分、商务打分的算术平均值和价格得分相加得出投标人的总分。</w:t>
      </w:r>
    </w:p>
    <w:p w14:paraId="399DA6C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5.6</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评标委员会将向招标人推荐评标最后综合得分最高的前二名投标人为中标候选人，并标明排列顺序。</w:t>
      </w:r>
    </w:p>
    <w:p w14:paraId="07AE9AE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7</w:t>
      </w:r>
      <w:r>
        <w:rPr>
          <w:rFonts w:hint="eastAsia" w:ascii="宋体" w:hAnsi="宋体" w:eastAsia="宋体" w:cs="宋体"/>
          <w:color w:val="auto"/>
          <w:highlight w:val="none"/>
          <w:lang w:val="zh-CN"/>
        </w:rPr>
        <w:t xml:space="preserve">  评标委员会根据评审结果编写评标报告。</w:t>
      </w:r>
    </w:p>
    <w:p w14:paraId="3E711B1D">
      <w:pPr>
        <w:rPr>
          <w:rFonts w:hint="eastAsia" w:ascii="宋体" w:hAnsi="宋体" w:eastAsia="宋体" w:cs="宋体"/>
          <w:color w:val="auto"/>
          <w:highlight w:val="none"/>
          <w:lang w:val="zh-CN"/>
        </w:rPr>
      </w:pPr>
    </w:p>
    <w:p w14:paraId="0BC568D7">
      <w:pPr>
        <w:jc w:val="center"/>
        <w:rPr>
          <w:rFonts w:hint="eastAsia" w:ascii="宋体" w:hAnsi="宋体" w:eastAsia="宋体" w:cs="宋体"/>
          <w:b/>
          <w:bCs/>
          <w:color w:val="auto"/>
          <w:sz w:val="28"/>
          <w:szCs w:val="32"/>
          <w:highlight w:val="none"/>
        </w:rPr>
      </w:pPr>
      <w:bookmarkStart w:id="1154" w:name="_Toc19435_WPSOffice_Level1"/>
      <w:r>
        <w:rPr>
          <w:rFonts w:hint="eastAsia" w:ascii="宋体" w:hAnsi="宋体" w:eastAsia="宋体" w:cs="宋体"/>
          <w:b/>
          <w:bCs/>
          <w:color w:val="auto"/>
          <w:sz w:val="28"/>
          <w:szCs w:val="32"/>
          <w:highlight w:val="none"/>
          <w:lang w:val="zh-CN"/>
        </w:rPr>
        <w:t>二、投标文件的初审</w:t>
      </w:r>
      <w:bookmarkEnd w:id="1154"/>
    </w:p>
    <w:p w14:paraId="5938374B">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投标文件的初审分为资格性检查和符合性检查</w:t>
      </w:r>
    </w:p>
    <w:p w14:paraId="5EAD06B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BF6589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6.2  符合性检查是指评标委员会依据招标文件规定，从投标文件的有效性、完整性和对招标文件的响应程度进行审查，以确定是否对招标文件的实质性要求作出响应。</w:t>
      </w:r>
    </w:p>
    <w:p w14:paraId="05345A08">
      <w:pPr>
        <w:ind w:left="525" w:leftChars="25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highlight w:val="none"/>
        </w:rPr>
        <w:t>供货及</w:t>
      </w:r>
      <w:r>
        <w:rPr>
          <w:rFonts w:hint="eastAsia" w:ascii="宋体" w:hAnsi="宋体" w:eastAsia="宋体" w:cs="宋体"/>
          <w:color w:val="auto"/>
          <w:highlight w:val="none"/>
          <w:lang w:val="zh-CN"/>
        </w:rPr>
        <w:t>服务范围、质量</w:t>
      </w:r>
      <w:r>
        <w:rPr>
          <w:rFonts w:hint="eastAsia" w:ascii="宋体" w:hAnsi="宋体" w:eastAsia="宋体" w:cs="宋体"/>
          <w:color w:val="auto"/>
          <w:highlight w:val="none"/>
        </w:rPr>
        <w:t>和性能</w:t>
      </w:r>
      <w:r>
        <w:rPr>
          <w:rFonts w:hint="eastAsia" w:ascii="宋体" w:hAnsi="宋体" w:eastAsia="宋体" w:cs="宋体"/>
          <w:color w:val="auto"/>
          <w:highlight w:val="none"/>
          <w:lang w:val="zh-CN"/>
        </w:rPr>
        <w:t>，或指与招标文件有实质不一致，限制了合同项下委托人的权利和承包人的义务, 或对该重大偏离的修改对提交实质性响应投标的其他投标人将不公平。</w:t>
      </w:r>
    </w:p>
    <w:p w14:paraId="44F86D89">
      <w:pPr>
        <w:ind w:left="525" w:leftChars="25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评标委员会决定投标文件的响应性是基于投标文件的内容本身而不靠外部的证据。</w:t>
      </w:r>
    </w:p>
    <w:p w14:paraId="7B0EBD0B">
      <w:pPr>
        <w:ind w:left="525" w:leftChars="250" w:firstLine="422" w:firstLineChars="200"/>
        <w:rPr>
          <w:rFonts w:hint="eastAsia" w:ascii="宋体" w:hAnsi="宋体" w:eastAsia="宋体" w:cs="宋体"/>
          <w:b/>
          <w:bCs/>
          <w:color w:val="auto"/>
          <w:szCs w:val="24"/>
          <w:highlight w:val="none"/>
          <w:lang w:val="zh-CN"/>
        </w:rPr>
      </w:pPr>
      <w:r>
        <w:rPr>
          <w:rFonts w:hint="eastAsia" w:ascii="宋体" w:hAnsi="宋体" w:eastAsia="宋体" w:cs="宋体"/>
          <w:b/>
          <w:bCs/>
          <w:color w:val="auto"/>
          <w:highlight w:val="none"/>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5A7B9764">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7</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投标文件出现下列情况之一的，被认定为无效投标：</w:t>
      </w:r>
    </w:p>
    <w:p w14:paraId="55825A6F">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 xml:space="preserve">7.1  </w:t>
      </w:r>
      <w:r>
        <w:rPr>
          <w:rFonts w:hint="eastAsia" w:ascii="宋体" w:hAnsi="宋体" w:eastAsia="宋体" w:cs="宋体"/>
          <w:b/>
          <w:bCs/>
          <w:color w:val="auto"/>
          <w:highlight w:val="none"/>
        </w:rPr>
        <w:t>投标人未按招标文件要求交纳投标保证金的；</w:t>
      </w:r>
    </w:p>
    <w:p w14:paraId="77DD8BE4">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7.2  投标文件中的投标报价未按照招标文件要求进行折扣系数报价的；</w:t>
      </w:r>
    </w:p>
    <w:p w14:paraId="43E9DE84">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7.3  投标人以低于企业成本价报价，且投标人不能合理说明或不能提供相关证明材料；</w:t>
      </w:r>
    </w:p>
    <w:p w14:paraId="2DCAEC24">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7.4  投标人递交两份或多份内容不同的投标文件，或在一份投标文件中报有两个或多个报价，且未书面声明哪一个有效；</w:t>
      </w:r>
    </w:p>
    <w:p w14:paraId="4143E4EE">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1AD097F8">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7.6  存在投标产品制造商及其就本项目独家授权销售的经销商同时参与本项目的投标；</w:t>
      </w:r>
    </w:p>
    <w:p w14:paraId="0463EFD7">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7.7  投标文件未按照招标文件规定要求密封；投标文件无法定代表人或其授权代表签字（或盖私章），或签字人无法定代表人有效授权的；签字盖章不符合招标文件要求的； </w:t>
      </w:r>
    </w:p>
    <w:p w14:paraId="270C0632">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7.8  投标有效期限不符合要求；</w:t>
      </w:r>
    </w:p>
    <w:p w14:paraId="7E4EEE73">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7.9  投标文件未对招标范围内的全部内容进行投标报价或投标方案不是唯一；</w:t>
      </w:r>
    </w:p>
    <w:p w14:paraId="615D35E2">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7.10  未提供或虚假填写《合同条款偏离表》，或对《合同条款偏离表》有负偏离的；</w:t>
      </w:r>
    </w:p>
    <w:p w14:paraId="2951CE2F">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7.11  未填写或虚假填写《用户需求偏离表》的；</w:t>
      </w:r>
    </w:p>
    <w:p w14:paraId="347BDC25">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7.12</w:t>
      </w:r>
      <w:r>
        <w:rPr>
          <w:rFonts w:hint="eastAsia" w:ascii="宋体" w:hAnsi="宋体" w:eastAsia="宋体" w:cs="宋体"/>
          <w:b/>
          <w:bCs/>
          <w:color w:val="auto"/>
          <w:highlight w:val="none"/>
        </w:rPr>
        <w:t xml:space="preserve">  未响应招标文件提出的实质性要求和条件（标注★的条款）。</w:t>
      </w:r>
    </w:p>
    <w:p w14:paraId="5111F403">
      <w:pPr>
        <w:ind w:left="210" w:hanging="210" w:hanging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w:t>
      </w:r>
      <w:r>
        <w:rPr>
          <w:rFonts w:hint="eastAsia" w:ascii="宋体" w:hAnsi="宋体" w:eastAsia="宋体" w:cs="宋体"/>
          <w:color w:val="auto"/>
          <w:highlight w:val="none"/>
        </w:rPr>
        <w:t>.</w:t>
      </w:r>
      <w:r>
        <w:rPr>
          <w:rFonts w:hint="eastAsia" w:ascii="宋体" w:hAnsi="宋体" w:eastAsia="宋体" w:cs="宋体"/>
          <w:color w:val="auto"/>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6961436">
      <w:pPr>
        <w:rPr>
          <w:rFonts w:hint="eastAsia" w:ascii="宋体" w:hAnsi="宋体" w:eastAsia="宋体" w:cs="宋体"/>
          <w:color w:val="auto"/>
          <w:highlight w:val="none"/>
        </w:rPr>
      </w:pPr>
    </w:p>
    <w:p w14:paraId="1294B99C">
      <w:pPr>
        <w:jc w:val="center"/>
        <w:rPr>
          <w:rFonts w:hint="eastAsia" w:ascii="宋体" w:hAnsi="宋体" w:eastAsia="宋体" w:cs="宋体"/>
          <w:b/>
          <w:bCs/>
          <w:color w:val="auto"/>
          <w:sz w:val="28"/>
          <w:szCs w:val="32"/>
          <w:highlight w:val="none"/>
        </w:rPr>
      </w:pPr>
      <w:bookmarkStart w:id="1155" w:name="_Toc4109_WPSOffice_Level1"/>
      <w:r>
        <w:rPr>
          <w:rFonts w:hint="eastAsia" w:ascii="宋体" w:hAnsi="宋体" w:eastAsia="宋体" w:cs="宋体"/>
          <w:b/>
          <w:bCs/>
          <w:color w:val="auto"/>
          <w:sz w:val="28"/>
          <w:szCs w:val="32"/>
          <w:highlight w:val="none"/>
          <w:lang w:val="zh-CN"/>
        </w:rPr>
        <w:t>三、澄清有关问题</w:t>
      </w:r>
      <w:bookmarkEnd w:id="1155"/>
    </w:p>
    <w:p w14:paraId="2FC68886">
      <w:pPr>
        <w:ind w:left="210" w:hanging="210" w:hanging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w:t>
      </w:r>
      <w:r>
        <w:rPr>
          <w:rFonts w:hint="eastAsia" w:ascii="宋体" w:hAnsi="宋体" w:eastAsia="宋体" w:cs="宋体"/>
          <w:color w:val="auto"/>
          <w:highlight w:val="none"/>
        </w:rPr>
        <w:t>.</w:t>
      </w:r>
      <w:r>
        <w:rPr>
          <w:rFonts w:hint="eastAsia" w:ascii="宋体" w:hAnsi="宋体" w:eastAsia="宋体" w:cs="宋体"/>
          <w:color w:val="auto"/>
          <w:highlight w:val="none"/>
          <w:lang w:val="zh-CN"/>
        </w:rPr>
        <w:t>在投标文件的商务、技术资格性检查及符合性检查过程中，投标人可应评标委员会要求对投标文件中有关问题进行书面澄清。该书面澄清作为其投标文件的一部分。</w:t>
      </w:r>
    </w:p>
    <w:p w14:paraId="2966E99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9.1  对投标文件中含义不明确、同类问题表述不一致或者有明显文字和计算错误的内容，评标委员会可以书面形式（由评标委员会专家签字）要求投标人作出必要的澄清、说明或者纠正。</w:t>
      </w:r>
    </w:p>
    <w:p w14:paraId="1D0AE608">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9DF928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6F03D95">
      <w:pPr>
        <w:ind w:left="525" w:hanging="525" w:hangingChars="250"/>
        <w:rPr>
          <w:rFonts w:hint="eastAsia" w:ascii="宋体" w:hAnsi="宋体" w:eastAsia="宋体" w:cs="宋体"/>
          <w:color w:val="auto"/>
          <w:kern w:val="0"/>
          <w:szCs w:val="21"/>
          <w:highlight w:val="none"/>
        </w:rPr>
      </w:pPr>
      <w:r>
        <w:rPr>
          <w:rFonts w:hint="eastAsia" w:ascii="宋体" w:hAnsi="宋体" w:eastAsia="宋体" w:cs="宋体"/>
          <w:color w:val="auto"/>
          <w:highlight w:val="none"/>
        </w:rPr>
        <w:t>9.4  投标文件报价计算错误的修正</w:t>
      </w:r>
    </w:p>
    <w:p w14:paraId="174F62DD">
      <w:pPr>
        <w:ind w:left="945" w:leftChars="200"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（1）评标委员会将对确定为实质上响应招标文件要求的投标文件进行校核，看其是否有计算或表达上的错误，修正错误的原则为：</w:t>
      </w:r>
    </w:p>
    <w:p w14:paraId="5EC56114">
      <w:pPr>
        <w:ind w:left="840" w:leftChars="400"/>
        <w:rPr>
          <w:rFonts w:hint="eastAsia" w:ascii="宋体" w:hAnsi="宋体" w:eastAsia="宋体" w:cs="宋体"/>
          <w:color w:val="auto"/>
          <w:highlight w:val="none"/>
        </w:rPr>
      </w:pPr>
      <w:r>
        <w:rPr>
          <w:rFonts w:hint="eastAsia" w:ascii="宋体" w:hAnsi="宋体" w:eastAsia="宋体" w:cs="宋体"/>
          <w:color w:val="auto"/>
          <w:highlight w:val="none"/>
        </w:rPr>
        <w:t>当以数字表示的报价系数与以文字表示的报价系数不一致时，以文字表示的报价系数为准。经双方确认后，作为投标人的投标报价</w:t>
      </w:r>
      <w:r>
        <w:rPr>
          <w:rFonts w:hint="eastAsia" w:ascii="宋体" w:hAnsi="宋体" w:eastAsia="宋体" w:cs="宋体"/>
          <w:color w:val="auto"/>
          <w:highlight w:val="none"/>
          <w:lang w:val="zh-CN"/>
        </w:rPr>
        <w:t>。</w:t>
      </w:r>
    </w:p>
    <w:p w14:paraId="3D46DAB7">
      <w:pPr>
        <w:ind w:left="945" w:leftChars="200"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b/>
          <w:bCs/>
          <w:color w:val="auto"/>
          <w:highlight w:val="none"/>
          <w:lang w:val="zh-CN"/>
        </w:rPr>
        <w:t>按上述修正错误的原则及方法调整或修正投标文件的报价系数，调整后的报价系数对投标人起约束作用。如果投标人不接受修正后的报价系数，则其投标将被拒绝，作为无效投标处理。</w:t>
      </w:r>
    </w:p>
    <w:p w14:paraId="1E3DC961">
      <w:pPr>
        <w:ind w:left="525"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highlight w:val="none"/>
          <w:lang w:val="zh-CN"/>
        </w:rPr>
        <w:t>.5  若投标人出现超低报价，有可能影响服务质量和不能诚信履约的，评标委员会将要求该投标人作出书面说明并提供相关证明材料，以确定投标人是否以低于企业成本价报价。</w:t>
      </w:r>
      <w:r>
        <w:rPr>
          <w:rFonts w:hint="eastAsia" w:ascii="宋体" w:hAnsi="宋体" w:eastAsia="宋体" w:cs="宋体"/>
          <w:b/>
          <w:bCs/>
          <w:color w:val="auto"/>
          <w:highlight w:val="none"/>
          <w:lang w:val="zh-CN"/>
        </w:rPr>
        <w:t>若投标人不能合理说明或不能提供相关证明材料的，评标委员会将认定其投标报价低于成本，同时否决其投标。</w:t>
      </w:r>
    </w:p>
    <w:p w14:paraId="16A071C9">
      <w:pPr>
        <w:rPr>
          <w:rFonts w:hint="eastAsia" w:ascii="宋体" w:hAnsi="宋体" w:eastAsia="宋体" w:cs="宋体"/>
          <w:color w:val="auto"/>
          <w:highlight w:val="none"/>
          <w:lang w:val="zh-CN"/>
        </w:rPr>
      </w:pPr>
      <w:bookmarkStart w:id="1156" w:name="_Toc8518_WPSOffice_Level1"/>
    </w:p>
    <w:p w14:paraId="31AE6FE6">
      <w:pPr>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lang w:val="zh-CN"/>
        </w:rPr>
        <w:t>四、比较和评价</w:t>
      </w:r>
      <w:bookmarkEnd w:id="1156"/>
    </w:p>
    <w:p w14:paraId="65D89264">
      <w:pPr>
        <w:ind w:left="315" w:hanging="315" w:hanging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r>
        <w:rPr>
          <w:rFonts w:hint="eastAsia" w:ascii="宋体" w:hAnsi="宋体" w:eastAsia="宋体" w:cs="宋体"/>
          <w:color w:val="auto"/>
          <w:highlight w:val="none"/>
        </w:rPr>
        <w:t>.</w:t>
      </w:r>
      <w:r>
        <w:rPr>
          <w:rFonts w:hint="eastAsia" w:ascii="宋体" w:hAnsi="宋体" w:eastAsia="宋体" w:cs="宋体"/>
          <w:color w:val="auto"/>
          <w:highlight w:val="none"/>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2C8CBE2">
      <w:pPr>
        <w:ind w:left="422" w:leftChars="1" w:hanging="420" w:hangingChars="200"/>
        <w:rPr>
          <w:rFonts w:hint="eastAsia" w:ascii="宋体" w:hAnsi="宋体" w:eastAsia="宋体" w:cs="宋体"/>
          <w:color w:val="auto"/>
          <w:szCs w:val="24"/>
          <w:highlight w:val="none"/>
          <w:lang w:val="zh-CN"/>
        </w:rPr>
      </w:pPr>
    </w:p>
    <w:p w14:paraId="6F3CC232">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11</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评委打分办法</w:t>
      </w:r>
    </w:p>
    <w:p w14:paraId="4A0D685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11.1 参加评分的评委应尽力体现客观、实事求是，避免学派偏见和个人偏好。</w:t>
      </w:r>
    </w:p>
    <w:p w14:paraId="597022C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11.2 衡量、对比的依据，应以招标文件、投标文件、提供的正式试验数据、开标澄清中的文字为准，口头回答和收集的资料只作为参考。</w:t>
      </w:r>
    </w:p>
    <w:p w14:paraId="422FEBE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11.3 评分主要是为比较各投标人的商务、技术</w:t>
      </w:r>
      <w:r>
        <w:rPr>
          <w:rFonts w:hint="eastAsia" w:ascii="宋体" w:hAnsi="宋体" w:eastAsia="宋体" w:cs="宋体"/>
          <w:color w:val="auto"/>
          <w:highlight w:val="none"/>
        </w:rPr>
        <w:t>和</w:t>
      </w:r>
      <w:r>
        <w:rPr>
          <w:rFonts w:hint="eastAsia" w:ascii="宋体" w:hAnsi="宋体" w:eastAsia="宋体" w:cs="宋体"/>
          <w:color w:val="auto"/>
          <w:highlight w:val="none"/>
          <w:lang w:val="zh-CN"/>
        </w:rPr>
        <w:t>价格综合排序。</w:t>
      </w:r>
      <w:r>
        <w:rPr>
          <w:rFonts w:hint="eastAsia" w:ascii="宋体" w:hAnsi="宋体" w:eastAsia="宋体" w:cs="宋体"/>
          <w:color w:val="auto"/>
          <w:highlight w:val="none"/>
        </w:rPr>
        <w:t>评标委员会专家组的每一位评委根据招标文件评分标准对投标文件分别评审，对有效投标人投标文件的商务、技术、报价分别评分。</w:t>
      </w:r>
    </w:p>
    <w:p w14:paraId="717BCBB3">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（1）评标委员会首先对商务标进行评审，按评标标准打分后，取所有评委评分的平均值得出该投标人的商务评分；</w:t>
      </w:r>
    </w:p>
    <w:p w14:paraId="3B4487C9">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2385A10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（3）最后评标委员会对报价进行评审，按评标标准计算得出该投标人的报价评分。</w:t>
      </w:r>
    </w:p>
    <w:p w14:paraId="3F88503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11.4 评标委员会打分采取记名形式。</w:t>
      </w:r>
    </w:p>
    <w:p w14:paraId="6D54918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11.5 各评委根据秘书组提供的打分表严格按照评标大纲内的评分标准独立自主打分，任何人不得要求评委统一打分或统一确定等次顺序。</w:t>
      </w:r>
    </w:p>
    <w:p w14:paraId="6404A74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11.6 对打分表中的每项条款，各评委应根据投标文件、澄清材料、招标文件要求，按满足的程度给投标人打分。</w:t>
      </w:r>
    </w:p>
    <w:p w14:paraId="19F038E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11.7 评分程序</w:t>
      </w:r>
    </w:p>
    <w:p w14:paraId="77C61F3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（1）就投标人的投标文件对照整理出商务、技术评标因素对比表、偏差表，并在经过校核的基础上逐项打分。</w:t>
      </w:r>
    </w:p>
    <w:p w14:paraId="745CB9A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（2）各评委独立完成打分后，将统计好的评分表交给招标代理机构秘书组复核。</w:t>
      </w:r>
    </w:p>
    <w:p w14:paraId="5956D1F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（3）评分统计表中各投标人技术得分应为最终综合得分，商务和价格得分应为评委打分的算术平均值。</w:t>
      </w:r>
    </w:p>
    <w:p w14:paraId="69831F92">
      <w:pPr>
        <w:rPr>
          <w:rFonts w:hint="eastAsia" w:ascii="宋体" w:hAnsi="宋体" w:eastAsia="宋体" w:cs="宋体"/>
          <w:color w:val="auto"/>
          <w:highlight w:val="none"/>
          <w:lang w:val="zh-CN"/>
        </w:rPr>
      </w:pPr>
    </w:p>
    <w:p w14:paraId="276C6321">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12</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评分因素及分值</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18570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7281DB2F">
            <w:pPr>
              <w:jc w:val="center"/>
              <w:rPr>
                <w:rFonts w:hint="eastAsia" w:ascii="宋体" w:hAnsi="宋体" w:eastAsia="宋体" w:cs="宋体"/>
                <w:b/>
                <w:bCs/>
                <w:color w:val="auto"/>
                <w:highlight w:val="none"/>
                <w:lang w:val="zh-CN"/>
              </w:rPr>
            </w:pPr>
            <w:bookmarkStart w:id="1157" w:name="_Toc18349_WPSOffice_Level2"/>
            <w:r>
              <w:rPr>
                <w:rFonts w:hint="eastAsia" w:ascii="宋体" w:hAnsi="宋体" w:eastAsia="宋体" w:cs="宋体"/>
                <w:b/>
                <w:bCs/>
                <w:color w:val="auto"/>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99D0FC4">
            <w:pPr>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分值</w:t>
            </w:r>
          </w:p>
        </w:tc>
      </w:tr>
      <w:tr w14:paraId="088D4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5A6CE01">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w:t>
            </w:r>
            <w:r>
              <w:rPr>
                <w:rFonts w:hint="eastAsia" w:ascii="宋体" w:hAnsi="宋体" w:eastAsia="宋体" w:cs="宋体"/>
                <w:color w:val="auto"/>
                <w:highlight w:val="none"/>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64845162">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w:t>
            </w:r>
            <w:r>
              <w:rPr>
                <w:rFonts w:hint="eastAsia" w:ascii="宋体" w:hAnsi="宋体" w:eastAsia="宋体" w:cs="宋体"/>
                <w:color w:val="auto"/>
                <w:highlight w:val="none"/>
                <w:lang w:val="zh-CN"/>
              </w:rPr>
              <w:t>分</w:t>
            </w:r>
          </w:p>
        </w:tc>
      </w:tr>
      <w:tr w14:paraId="30ABF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BF38ADA">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w:t>
            </w:r>
            <w:r>
              <w:rPr>
                <w:rFonts w:hint="eastAsia" w:ascii="宋体" w:hAnsi="宋体" w:eastAsia="宋体" w:cs="宋体"/>
                <w:color w:val="auto"/>
                <w:highlight w:val="none"/>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72B4B2F7">
            <w:pPr>
              <w:jc w:val="center"/>
              <w:rPr>
                <w:rFonts w:hint="eastAsia" w:ascii="宋体" w:hAnsi="宋体" w:eastAsia="宋体" w:cs="宋体"/>
                <w:color w:val="auto"/>
                <w:highlight w:val="none"/>
                <w:lang w:val="zh-CN"/>
              </w:rPr>
            </w:pPr>
            <w:r>
              <w:rPr>
                <w:rFonts w:hint="eastAsia" w:cs="宋体"/>
                <w:color w:val="auto"/>
                <w:highlight w:val="none"/>
                <w:lang w:val="en-US" w:eastAsia="zh-CN"/>
              </w:rPr>
              <w:t>40</w:t>
            </w:r>
            <w:r>
              <w:rPr>
                <w:rFonts w:hint="eastAsia" w:ascii="宋体" w:hAnsi="宋体" w:eastAsia="宋体" w:cs="宋体"/>
                <w:color w:val="auto"/>
                <w:highlight w:val="none"/>
                <w:lang w:val="zh-CN"/>
              </w:rPr>
              <w:t>分</w:t>
            </w:r>
          </w:p>
        </w:tc>
      </w:tr>
      <w:tr w14:paraId="62EC5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86B879F">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w:t>
            </w:r>
            <w:r>
              <w:rPr>
                <w:rFonts w:hint="eastAsia" w:ascii="宋体" w:hAnsi="宋体" w:eastAsia="宋体" w:cs="宋体"/>
                <w:color w:val="auto"/>
                <w:highlight w:val="none"/>
              </w:rPr>
              <w:t>.</w:t>
            </w:r>
            <w:r>
              <w:rPr>
                <w:rFonts w:hint="eastAsia" w:ascii="宋体" w:hAnsi="宋体" w:eastAsia="宋体" w:cs="宋体"/>
                <w:color w:val="auto"/>
                <w:highlight w:val="none"/>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1F31CA7B">
            <w:pPr>
              <w:jc w:val="center"/>
              <w:rPr>
                <w:rFonts w:hint="eastAsia" w:ascii="宋体" w:hAnsi="宋体" w:eastAsia="宋体" w:cs="宋体"/>
                <w:color w:val="auto"/>
                <w:highlight w:val="none"/>
                <w:lang w:val="zh-CN"/>
              </w:rPr>
            </w:pPr>
            <w:r>
              <w:rPr>
                <w:rFonts w:hint="eastAsia" w:cs="宋体"/>
                <w:color w:val="auto"/>
                <w:highlight w:val="none"/>
                <w:lang w:val="en-US" w:eastAsia="zh-CN"/>
              </w:rPr>
              <w:t>40</w:t>
            </w:r>
            <w:r>
              <w:rPr>
                <w:rFonts w:hint="eastAsia" w:ascii="宋体" w:hAnsi="宋体" w:eastAsia="宋体" w:cs="宋体"/>
                <w:color w:val="auto"/>
                <w:highlight w:val="none"/>
                <w:lang w:val="zh-CN"/>
              </w:rPr>
              <w:t>分</w:t>
            </w:r>
          </w:p>
        </w:tc>
      </w:tr>
    </w:tbl>
    <w:p w14:paraId="476B0560">
      <w:pPr>
        <w:tabs>
          <w:tab w:val="left" w:pos="585"/>
        </w:tabs>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0</w:t>
      </w:r>
      <w:r>
        <w:rPr>
          <w:rFonts w:hint="eastAsia" w:ascii="宋体" w:hAnsi="宋体" w:eastAsia="宋体" w:cs="宋体"/>
          <w:b/>
          <w:color w:val="auto"/>
          <w:szCs w:val="21"/>
          <w:highlight w:val="none"/>
          <w:lang w:val="zh-CN"/>
        </w:rPr>
        <w:t>分</w:t>
      </w:r>
      <w:bookmarkEnd w:id="1157"/>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6"/>
        <w:gridCol w:w="7590"/>
        <w:gridCol w:w="887"/>
      </w:tblGrid>
      <w:tr w14:paraId="79DA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266BAC3B">
            <w:pPr>
              <w:jc w:val="center"/>
              <w:rPr>
                <w:rFonts w:hint="eastAsia" w:ascii="宋体" w:hAnsi="宋体" w:eastAsia="宋体" w:cs="宋体"/>
                <w:b/>
                <w:bCs/>
                <w:color w:val="auto"/>
                <w:szCs w:val="21"/>
                <w:highlight w:val="none"/>
              </w:rPr>
            </w:pPr>
            <w:bookmarkStart w:id="1158" w:name="_Toc11639_WPSOffice_Level2"/>
            <w:r>
              <w:rPr>
                <w:rFonts w:hint="eastAsia" w:ascii="宋体" w:hAnsi="宋体" w:eastAsia="宋体" w:cs="宋体"/>
                <w:b/>
                <w:bCs/>
                <w:color w:val="auto"/>
                <w:szCs w:val="21"/>
                <w:highlight w:val="none"/>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05BBDEAA">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45824AB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2868689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满分值</w:t>
            </w:r>
          </w:p>
        </w:tc>
      </w:tr>
      <w:tr w14:paraId="4741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6A0482A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61" w:type="pct"/>
            <w:tcBorders>
              <w:top w:val="single" w:color="auto" w:sz="4" w:space="0"/>
              <w:left w:val="single" w:color="auto" w:sz="4" w:space="0"/>
              <w:bottom w:val="single" w:color="auto" w:sz="4" w:space="0"/>
              <w:right w:val="single" w:color="auto" w:sz="4" w:space="0"/>
            </w:tcBorders>
            <w:vAlign w:val="center"/>
          </w:tcPr>
          <w:p w14:paraId="454478BE">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0CCDC968">
            <w:pPr>
              <w:bidi w:val="0"/>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lang w:val="en-US" w:eastAsia="zh-CN"/>
              </w:rPr>
              <w:t>2022</w:t>
            </w:r>
            <w:r>
              <w:rPr>
                <w:rFonts w:hint="eastAsia" w:ascii="宋体" w:hAnsi="宋体" w:eastAsia="宋体" w:cs="宋体"/>
                <w:color w:val="auto"/>
                <w:highlight w:val="none"/>
              </w:rPr>
              <w:t>年-202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年三个年度，每具有1个年度</w:t>
            </w:r>
            <w:r>
              <w:rPr>
                <w:rFonts w:hint="eastAsia" w:ascii="宋体" w:hAnsi="宋体" w:eastAsia="宋体" w:cs="宋体"/>
                <w:color w:val="auto"/>
                <w:highlight w:val="none"/>
                <w:lang w:val="en-US" w:eastAsia="zh-CN"/>
              </w:rPr>
              <w:t>盈利</w:t>
            </w:r>
            <w:r>
              <w:rPr>
                <w:rFonts w:hint="eastAsia" w:ascii="宋体" w:hAnsi="宋体" w:eastAsia="宋体" w:cs="宋体"/>
                <w:color w:val="auto"/>
                <w:highlight w:val="none"/>
              </w:rPr>
              <w:t>的得1分，满分3分。</w:t>
            </w:r>
          </w:p>
          <w:p w14:paraId="033FB474">
            <w:pPr>
              <w:bidi w:val="0"/>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备注：盈利指净利润为正数（非零、非负数），投标人应提供202</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val="zh-CN"/>
              </w:rPr>
              <w:t>年、202</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val="zh-CN"/>
              </w:rPr>
              <w:t>年、202</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B7B54A6">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tc>
      </w:tr>
      <w:tr w14:paraId="7CEE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129B37F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61" w:type="pct"/>
            <w:tcBorders>
              <w:top w:val="single" w:color="auto" w:sz="4" w:space="0"/>
              <w:left w:val="single" w:color="auto" w:sz="4" w:space="0"/>
              <w:right w:val="single" w:color="auto" w:sz="4" w:space="0"/>
            </w:tcBorders>
            <w:vAlign w:val="center"/>
          </w:tcPr>
          <w:p w14:paraId="20D1E2B3">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rPr>
              <w:t>业绩</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1CA38D3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宋体"/>
                <w:color w:val="auto"/>
                <w:szCs w:val="24"/>
                <w:highlight w:val="none"/>
                <w:lang w:val="en-US" w:eastAsia="zh-CN"/>
              </w:rPr>
              <w:t>投标品牌球墨铸铁阀门</w:t>
            </w:r>
            <w:r>
              <w:rPr>
                <w:rFonts w:hint="eastAsia" w:ascii="宋体" w:hAnsi="宋体" w:eastAsia="宋体" w:cs="宋体"/>
                <w:color w:val="auto"/>
                <w:sz w:val="21"/>
                <w:szCs w:val="21"/>
                <w:highlight w:val="none"/>
              </w:rPr>
              <w:t>在国内的销售业绩，按下列情况评分，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1DB4A5C7">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cs="宋体"/>
                <w:color w:val="auto"/>
                <w:sz w:val="21"/>
                <w:szCs w:val="21"/>
                <w:highlight w:val="none"/>
                <w:lang w:val="en-US" w:eastAsia="zh-CN"/>
              </w:rPr>
              <w:t>180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086D5A9">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120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180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F53C6A0">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80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120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5446DC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9C131BE">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①业绩须同时提供</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Cs w:val="21"/>
                <w:highlight w:val="none"/>
                <w:lang w:val="en-US" w:eastAsia="zh-CN"/>
              </w:rPr>
              <w:t>投标品牌球墨铸铁阀门</w:t>
            </w:r>
            <w:r>
              <w:rPr>
                <w:rFonts w:hint="eastAsia" w:ascii="宋体" w:hAnsi="宋体" w:eastAsia="宋体" w:cs="宋体"/>
                <w:b/>
                <w:color w:val="auto"/>
                <w:sz w:val="21"/>
                <w:szCs w:val="21"/>
                <w:highlight w:val="none"/>
              </w:rPr>
              <w:t>销售合同复印件</w:t>
            </w:r>
            <w:r>
              <w:rPr>
                <w:rFonts w:hint="eastAsia" w:ascii="宋体" w:hAnsi="宋体" w:eastAsia="宋体" w:cs="宋体"/>
                <w:b/>
                <w:color w:val="auto"/>
                <w:sz w:val="21"/>
                <w:szCs w:val="21"/>
                <w:highlight w:val="none"/>
                <w:lang w:val="en-US" w:eastAsia="zh-CN"/>
              </w:rPr>
              <w:t>以及</w:t>
            </w:r>
            <w:r>
              <w:rPr>
                <w:rFonts w:hint="eastAsia" w:ascii="宋体" w:hAnsi="宋体" w:eastAsia="宋体" w:cs="宋体"/>
                <w:b/>
                <w:color w:val="auto"/>
                <w:sz w:val="21"/>
                <w:szCs w:val="21"/>
                <w:highlight w:val="none"/>
                <w:lang w:eastAsia="zh-CN"/>
              </w:rPr>
              <w:t>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454964BC">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合同标的必须包含</w:t>
            </w:r>
            <w:r>
              <w:rPr>
                <w:rFonts w:hint="eastAsia" w:ascii="宋体" w:hAnsi="宋体" w:eastAsia="宋体" w:cs="宋体"/>
                <w:b/>
                <w:color w:val="auto"/>
                <w:sz w:val="21"/>
                <w:szCs w:val="21"/>
                <w:highlight w:val="none"/>
                <w:lang w:val="en-US" w:eastAsia="zh-CN"/>
              </w:rPr>
              <w:t>投标品牌球墨铸铁阀门</w:t>
            </w:r>
            <w:r>
              <w:rPr>
                <w:rFonts w:hint="eastAsia" w:ascii="宋体" w:hAnsi="宋体" w:eastAsia="宋体" w:cs="宋体"/>
                <w:b/>
                <w:color w:val="auto"/>
                <w:sz w:val="21"/>
                <w:szCs w:val="21"/>
                <w:highlight w:val="none"/>
              </w:rPr>
              <w:t>、合同金额）的，还需提供产品购买方出具的书面补充说明文件复印件作为辅助证明（需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14:paraId="500FB431">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p w14:paraId="029ABE98">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④未按上述要求提供证明材料的业绩，或所附材料无法证明填报项目符合本项评分要求的业绩，在评标时将不予考虑。</w:t>
            </w:r>
          </w:p>
        </w:tc>
        <w:tc>
          <w:tcPr>
            <w:tcW w:w="430" w:type="pct"/>
            <w:tcBorders>
              <w:top w:val="single" w:color="auto" w:sz="4" w:space="0"/>
              <w:left w:val="single" w:color="auto" w:sz="4" w:space="0"/>
              <w:right w:val="single" w:color="auto" w:sz="4" w:space="0"/>
            </w:tcBorders>
            <w:shd w:val="clear" w:color="auto" w:fill="auto"/>
            <w:vAlign w:val="center"/>
          </w:tcPr>
          <w:p w14:paraId="09375F25">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分</w:t>
            </w:r>
          </w:p>
        </w:tc>
      </w:tr>
      <w:tr w14:paraId="2C47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0D3A0E40">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4F762901">
            <w:pPr>
              <w:bidi w:val="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0分</w:t>
            </w:r>
          </w:p>
        </w:tc>
      </w:tr>
    </w:tbl>
    <w:p w14:paraId="71F4729E">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rPr>
        <w:t>2）</w:t>
      </w:r>
      <w:r>
        <w:rPr>
          <w:rFonts w:hint="eastAsia" w:ascii="宋体" w:hAnsi="宋体" w:eastAsia="宋体" w:cs="宋体"/>
          <w:b/>
          <w:bCs/>
          <w:color w:val="auto"/>
          <w:highlight w:val="none"/>
          <w:lang w:val="zh-CN"/>
        </w:rPr>
        <w:t>技术：总分</w:t>
      </w:r>
      <w:r>
        <w:rPr>
          <w:rFonts w:hint="eastAsia" w:cs="宋体"/>
          <w:b/>
          <w:bCs/>
          <w:color w:val="auto"/>
          <w:highlight w:val="none"/>
          <w:lang w:val="en-US" w:eastAsia="zh-CN"/>
        </w:rPr>
        <w:t>40</w:t>
      </w:r>
      <w:r>
        <w:rPr>
          <w:rFonts w:hint="eastAsia" w:ascii="宋体" w:hAnsi="宋体" w:eastAsia="宋体" w:cs="宋体"/>
          <w:b/>
          <w:bCs/>
          <w:color w:val="auto"/>
          <w:highlight w:val="none"/>
          <w:lang w:val="zh-CN"/>
        </w:rPr>
        <w:t>分</w:t>
      </w:r>
      <w:bookmarkEnd w:id="1158"/>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25"/>
        <w:gridCol w:w="7627"/>
        <w:gridCol w:w="900"/>
      </w:tblGrid>
      <w:tr w14:paraId="0ABD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63DA137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Cs w:val="21"/>
                <w:highlight w:val="none"/>
              </w:rPr>
            </w:pPr>
            <w:bookmarkStart w:id="1159"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41A858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2" w:type="pct"/>
            <w:tcBorders>
              <w:top w:val="single" w:color="auto" w:sz="4" w:space="0"/>
              <w:left w:val="single" w:color="auto" w:sz="4" w:space="0"/>
              <w:bottom w:val="single" w:color="auto" w:sz="4" w:space="0"/>
              <w:right w:val="single" w:color="auto" w:sz="4" w:space="0"/>
            </w:tcBorders>
            <w:vAlign w:val="center"/>
          </w:tcPr>
          <w:p w14:paraId="7C9D41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054E73C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403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386C2FD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566646E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702" w:type="pct"/>
            <w:tcBorders>
              <w:top w:val="single" w:color="auto" w:sz="4" w:space="0"/>
              <w:left w:val="single" w:color="auto" w:sz="4" w:space="0"/>
              <w:bottom w:val="single" w:color="auto" w:sz="4" w:space="0"/>
              <w:right w:val="single" w:color="auto" w:sz="4" w:space="0"/>
            </w:tcBorders>
            <w:vAlign w:val="center"/>
          </w:tcPr>
          <w:p w14:paraId="2802A4E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1C71D1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分</w:t>
            </w:r>
          </w:p>
        </w:tc>
      </w:tr>
      <w:tr w14:paraId="2761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313" w:type="pct"/>
            <w:vMerge w:val="restart"/>
            <w:tcBorders>
              <w:top w:val="single" w:color="auto" w:sz="4" w:space="0"/>
              <w:left w:val="single" w:color="auto" w:sz="4" w:space="0"/>
              <w:right w:val="single" w:color="auto" w:sz="4" w:space="0"/>
            </w:tcBorders>
            <w:vAlign w:val="center"/>
          </w:tcPr>
          <w:p w14:paraId="54B766B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3A81047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货物性能质量</w:t>
            </w:r>
          </w:p>
        </w:tc>
        <w:tc>
          <w:tcPr>
            <w:tcW w:w="3702" w:type="pct"/>
            <w:tcBorders>
              <w:top w:val="single" w:color="auto" w:sz="4" w:space="0"/>
              <w:left w:val="single" w:color="auto" w:sz="4" w:space="0"/>
              <w:right w:val="single" w:color="auto" w:sz="4" w:space="0"/>
            </w:tcBorders>
            <w:shd w:val="clear" w:color="auto" w:fill="auto"/>
            <w:vAlign w:val="center"/>
          </w:tcPr>
          <w:p w14:paraId="6A7E01E0">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评标委员会对</w:t>
            </w:r>
            <w:r>
              <w:rPr>
                <w:rFonts w:hint="eastAsia" w:ascii="宋体" w:hAnsi="宋体" w:eastAsia="宋体" w:cs="宋体"/>
                <w:b/>
                <w:bCs w:val="0"/>
                <w:color w:val="auto"/>
                <w:szCs w:val="21"/>
                <w:highlight w:val="none"/>
                <w:lang w:val="en-US" w:eastAsia="zh-CN"/>
              </w:rPr>
              <w:t>投标人所投</w:t>
            </w:r>
            <w:r>
              <w:rPr>
                <w:rFonts w:hint="eastAsia" w:ascii="宋体" w:hAnsi="宋体" w:eastAsia="宋体" w:cs="宋体"/>
                <w:b/>
                <w:bCs w:val="0"/>
                <w:color w:val="auto"/>
                <w:kern w:val="2"/>
                <w:sz w:val="21"/>
                <w:szCs w:val="21"/>
                <w:highlight w:val="none"/>
                <w:lang w:val="en-US" w:eastAsia="zh-CN" w:bidi="ar-SA"/>
              </w:rPr>
              <w:t>球墨铸铁软密封法兰闸阀或球墨铸铁双偏心软密封双法兰蝶阀</w:t>
            </w:r>
            <w:r>
              <w:rPr>
                <w:rFonts w:hint="eastAsia" w:ascii="宋体" w:hAnsi="宋体" w:eastAsia="宋体" w:cs="宋体"/>
                <w:b/>
                <w:bCs w:val="0"/>
                <w:color w:val="auto"/>
                <w:szCs w:val="21"/>
                <w:highlight w:val="none"/>
                <w:lang w:val="en-US" w:eastAsia="zh-CN"/>
              </w:rPr>
              <w:t>以下的3项性</w:t>
            </w:r>
            <w:r>
              <w:rPr>
                <w:rFonts w:hint="eastAsia" w:ascii="宋体" w:hAnsi="宋体" w:eastAsia="宋体" w:cs="宋体"/>
                <w:b/>
                <w:color w:val="auto"/>
                <w:szCs w:val="21"/>
                <w:highlight w:val="none"/>
                <w:lang w:val="en-US" w:eastAsia="zh-CN"/>
              </w:rPr>
              <w:t>能参数进行评审，在符合用户需求书要求的前提下对每项性能参数进行排名并打分：</w:t>
            </w:r>
          </w:p>
          <w:p w14:paraId="10736A09">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（1）阀体球化率（排名规则：数值越大排名越前，不在性能参数范围内的不得分，本小项满分</w:t>
            </w:r>
            <w:r>
              <w:rPr>
                <w:rFonts w:hint="eastAsia" w:cs="宋体"/>
                <w:b/>
                <w:color w:val="auto"/>
                <w:szCs w:val="21"/>
                <w:highlight w:val="none"/>
                <w:lang w:val="en-US" w:eastAsia="zh-CN"/>
              </w:rPr>
              <w:t>5</w:t>
            </w:r>
            <w:r>
              <w:rPr>
                <w:rFonts w:hint="eastAsia" w:ascii="宋体" w:hAnsi="宋体" w:eastAsia="宋体" w:cs="宋体"/>
                <w:b/>
                <w:color w:val="auto"/>
                <w:szCs w:val="21"/>
                <w:highlight w:val="none"/>
                <w:lang w:val="en-US" w:eastAsia="zh-CN"/>
              </w:rPr>
              <w:t>分）：</w:t>
            </w:r>
          </w:p>
          <w:p w14:paraId="4B572350">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对球化率参数＞80%的阀体进行排名，排名第一得</w:t>
            </w:r>
            <w:r>
              <w:rPr>
                <w:rFonts w:hint="eastAsia"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分，排名第二得</w:t>
            </w:r>
            <w:r>
              <w:rPr>
                <w:rFonts w:hint="eastAsia"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分，排名第三得1分，其他名次不得分。</w:t>
            </w:r>
          </w:p>
          <w:p w14:paraId="0331580D">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（2）阀体抗拉强度（排名规则：数值越大排名越前，不在性能参数范围内的不得分，本小项满分</w:t>
            </w:r>
            <w:r>
              <w:rPr>
                <w:rFonts w:hint="eastAsia" w:cs="宋体"/>
                <w:b/>
                <w:color w:val="auto"/>
                <w:szCs w:val="21"/>
                <w:highlight w:val="none"/>
                <w:lang w:val="en-US" w:eastAsia="zh-CN"/>
              </w:rPr>
              <w:t>5</w:t>
            </w:r>
            <w:r>
              <w:rPr>
                <w:rFonts w:hint="eastAsia" w:ascii="宋体" w:hAnsi="宋体" w:eastAsia="宋体" w:cs="宋体"/>
                <w:b/>
                <w:color w:val="auto"/>
                <w:szCs w:val="21"/>
                <w:highlight w:val="none"/>
                <w:lang w:val="en-US" w:eastAsia="zh-CN"/>
              </w:rPr>
              <w:t>分）：</w:t>
            </w:r>
          </w:p>
          <w:p w14:paraId="6EF454A8">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对抗拉强度参数＞450MPa的阀体进行排名，排名第一得</w:t>
            </w:r>
            <w:r>
              <w:rPr>
                <w:rFonts w:hint="eastAsia"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分，排名第二得</w:t>
            </w:r>
            <w:r>
              <w:rPr>
                <w:rFonts w:hint="eastAsia"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分，排名第三得1分，其他名次不得分。</w:t>
            </w:r>
          </w:p>
          <w:p w14:paraId="5F0C32A6">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（3）阀体屈服强度（排名规则：数值越大排名越前，不在性能参数范围内的不得分，本小项满分</w:t>
            </w:r>
            <w:r>
              <w:rPr>
                <w:rFonts w:hint="eastAsia" w:cs="宋体"/>
                <w:b/>
                <w:color w:val="auto"/>
                <w:szCs w:val="21"/>
                <w:highlight w:val="none"/>
                <w:lang w:val="en-US" w:eastAsia="zh-CN"/>
              </w:rPr>
              <w:t>5</w:t>
            </w:r>
            <w:r>
              <w:rPr>
                <w:rFonts w:hint="eastAsia" w:ascii="宋体" w:hAnsi="宋体" w:eastAsia="宋体" w:cs="宋体"/>
                <w:b/>
                <w:color w:val="auto"/>
                <w:szCs w:val="21"/>
                <w:highlight w:val="none"/>
                <w:lang w:val="en-US" w:eastAsia="zh-CN"/>
              </w:rPr>
              <w:t>分）：</w:t>
            </w:r>
          </w:p>
          <w:p w14:paraId="05E53396">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对屈服强度参数＞310MPa的阀体进行排名，排名第一得</w:t>
            </w:r>
            <w:r>
              <w:rPr>
                <w:rFonts w:hint="eastAsia"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分，排名第二得</w:t>
            </w:r>
            <w:r>
              <w:rPr>
                <w:rFonts w:hint="eastAsia"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分，排名第三得1分，其他名次不得分。</w:t>
            </w:r>
          </w:p>
          <w:p w14:paraId="2525823F">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备注：①第三方检测报告要求：投标人须提供可反映所投</w:t>
            </w:r>
            <w:r>
              <w:rPr>
                <w:rFonts w:hint="eastAsia" w:ascii="宋体" w:hAnsi="宋体" w:eastAsia="宋体" w:cs="宋体"/>
                <w:b/>
                <w:bCs w:val="0"/>
                <w:color w:val="auto"/>
                <w:kern w:val="2"/>
                <w:sz w:val="21"/>
                <w:szCs w:val="21"/>
                <w:highlight w:val="none"/>
                <w:lang w:val="en-US" w:eastAsia="zh-CN" w:bidi="ar-SA"/>
              </w:rPr>
              <w:t>球墨铸铁软密封法兰闸阀或球墨铸铁双偏心软密封双法兰蝶阀</w:t>
            </w:r>
            <w:r>
              <w:rPr>
                <w:rFonts w:hint="eastAsia" w:ascii="宋体" w:hAnsi="宋体" w:eastAsia="宋体" w:cs="宋体"/>
                <w:b/>
                <w:color w:val="auto"/>
                <w:szCs w:val="21"/>
                <w:highlight w:val="none"/>
                <w:lang w:val="en-US" w:eastAsia="zh-CN"/>
              </w:rPr>
              <w:t>上述参数的检测报告，报告须由具备资质的第三方检测机构出具并加盖实验室资质认定（CMA）章；报告日期应为2022年1月1日及以后；报告上需体现委托单位，且委托单位应为所投阀门的生产厂家或投标人（若为生产厂家，需与投标人《供货货物清单表》填报的生产厂家一致）。未按上述要求提供的，本项所有性能参数不得分。</w:t>
            </w:r>
          </w:p>
          <w:p w14:paraId="0E3D3528">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②若投标人提供的同材质不同型号阀体的检测报告同一性能参数检测结果不一致或多个数值时，以该性能参数对应的最劣检测结果参与排名。</w:t>
            </w:r>
          </w:p>
          <w:p w14:paraId="099B6AE8">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③若投标人提供的多个检测报告中，上述同一性能参数在多份检测报告中的结果不一致时，以该性能参数对应的最劣检测结果参与排名。</w:t>
            </w:r>
          </w:p>
          <w:p w14:paraId="3DB4FFE0">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④若投标人提供的同材质同型号阀体的检测报告同一性能参数检测结果多个数值时，以该性能参数对应的最劣检测结果参与排名。</w:t>
            </w:r>
          </w:p>
          <w:p w14:paraId="68CA0E35">
            <w:pPr>
              <w:widowControl w:val="0"/>
              <w:autoSpaceDE w:val="0"/>
              <w:autoSpaceDN w:val="0"/>
              <w:adjustRightInd w:val="0"/>
              <w:spacing w:line="360" w:lineRule="auto"/>
              <w:jc w:val="left"/>
              <w:outlineLvl w:val="2"/>
              <w:rPr>
                <w:rFonts w:hint="eastAsia" w:ascii="宋体" w:hAnsi="宋体" w:eastAsia="宋体" w:cs="宋体"/>
                <w:b/>
                <w:color w:val="auto"/>
                <w:kern w:val="0"/>
                <w:sz w:val="24"/>
                <w:szCs w:val="21"/>
                <w:highlight w:val="none"/>
                <w:lang w:val="en-US" w:eastAsia="zh-CN" w:bidi="ar-SA"/>
              </w:rPr>
            </w:pPr>
            <w:r>
              <w:rPr>
                <w:rFonts w:hint="eastAsia" w:ascii="宋体" w:hAnsi="宋体" w:eastAsia="宋体" w:cs="宋体"/>
                <w:b/>
                <w:color w:val="auto"/>
                <w:szCs w:val="21"/>
                <w:highlight w:val="none"/>
                <w:lang w:val="en-US" w:eastAsia="zh-CN"/>
              </w:rPr>
              <w:t>⑤当不同投标人上述同一项性能参数参与排名的检测结果一致时，可并列同一名次且不占用后续名次名额（示例：A=B＞C＞D，排名则是A、B并列第一名，C第二名，D第三名）。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732E602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分</w:t>
            </w:r>
          </w:p>
        </w:tc>
      </w:tr>
      <w:tr w14:paraId="2C4F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7664BFC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752F1A4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货物质量保障能力</w:t>
            </w:r>
          </w:p>
        </w:tc>
        <w:tc>
          <w:tcPr>
            <w:tcW w:w="3702" w:type="pct"/>
            <w:tcBorders>
              <w:top w:val="single" w:color="auto" w:sz="4" w:space="0"/>
              <w:left w:val="single" w:color="auto" w:sz="4" w:space="0"/>
              <w:bottom w:val="single" w:color="auto" w:sz="4" w:space="0"/>
              <w:right w:val="single" w:color="auto" w:sz="4" w:space="0"/>
            </w:tcBorders>
            <w:vAlign w:val="center"/>
          </w:tcPr>
          <w:p w14:paraId="7D6E89B2">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根据供应商实力或所投产品制造商企业实力（包括但不限于生产投标货物的主要设备、生产设施及有关情况、制造商专利情况、供应商或制造商资质证书情况、供应商或制造商专业人员情况、供应商或制造商获奖情况)等情况进行评审：</w:t>
            </w:r>
          </w:p>
          <w:p w14:paraId="1B6CE3BF">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优：生产投标货物的主要设备种类齐全、数量较多、技术先进，制造商获得过多种专利；供应商或制造商有完整多种资质证书及相关的奖项，专业技术人员种类数量多分工合理，得(</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]分；</w:t>
            </w:r>
          </w:p>
          <w:p w14:paraId="4C2F9465">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良：生产投标货物的主要设备种类及数量满足项目需求，生产设施比较先进齐全，制造商获得较多种专利；供应商或制造商有比较完整较多的资质证书及相关的奖项，专业技术人员种类数量较多分工较合理，得(</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]分；</w:t>
            </w:r>
          </w:p>
          <w:p w14:paraId="536C6E47">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中：生产投标货物的主要设备种类及数量基本满足项目需求，生产设施较齐全，制造商获得过较少专利；供应商或制造商有基本完整的资质证书及少数奖项，专业技术人员种类数量满足项目需求，分工合理，得(</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]分；</w:t>
            </w:r>
          </w:p>
          <w:p w14:paraId="100F11B3">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差：生产投标货物的主要设备种类及数量满足项目需求，生产设施基本齐全，制造商未获得过专利；供应商或制造商没有资质证书且没有奖项，专业技术人员种类数量满足项目基本需求，分工基本合理，得(0-</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]分。</w:t>
            </w:r>
          </w:p>
          <w:p w14:paraId="5CFF66B7">
            <w:pPr>
              <w:autoSpaceDE/>
              <w:autoSpaceDN/>
              <w:adjustRightInd/>
              <w:snapToGrid/>
              <w:spacing w:line="360" w:lineRule="auto"/>
              <w:ind w:right="-28"/>
              <w:jc w:val="left"/>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1"/>
                <w:szCs w:val="22"/>
                <w:highlight w:val="none"/>
                <w:lang w:val="en-US"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343D51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01DB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2C6A8E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25" w:type="dxa"/>
            <w:tcBorders>
              <w:top w:val="single" w:color="auto" w:sz="4" w:space="0"/>
              <w:left w:val="single" w:color="auto" w:sz="4" w:space="0"/>
              <w:bottom w:val="single" w:color="auto" w:sz="4" w:space="0"/>
              <w:right w:val="single" w:color="auto" w:sz="4" w:space="0"/>
            </w:tcBorders>
            <w:vAlign w:val="center"/>
          </w:tcPr>
          <w:p w14:paraId="013C85C3">
            <w:pPr>
              <w:bidi w:val="0"/>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阀门结构及性能</w:t>
            </w:r>
          </w:p>
        </w:tc>
        <w:tc>
          <w:tcPr>
            <w:tcW w:w="7627" w:type="dxa"/>
            <w:tcBorders>
              <w:top w:val="single" w:color="auto" w:sz="4" w:space="0"/>
              <w:left w:val="single" w:color="auto" w:sz="4" w:space="0"/>
              <w:bottom w:val="single" w:color="auto" w:sz="4" w:space="0"/>
              <w:right w:val="single" w:color="auto" w:sz="4" w:space="0"/>
            </w:tcBorders>
            <w:vAlign w:val="center"/>
          </w:tcPr>
          <w:p w14:paraId="4870E9FF">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对所投阀门结构设计的合理性、密封性、涂层防腐性能、流通性能、使用寿命，以及各部件的材质和制造工艺、标准，操作轻便灵活性进行评审：</w:t>
            </w:r>
          </w:p>
          <w:p w14:paraId="172C241C">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优：结构设计合理先进，密封性极佳，涂层防腐性能优异，流通阻力小，使用寿命长，各部件材质优质、制造工艺精湛且符合高标准，操作轻便灵活性高，得(</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]分；</w:t>
            </w:r>
          </w:p>
          <w:p w14:paraId="54A1109A">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良：结构设计较合理，密封性良好，涂层防腐性能较好，流通阻力较小，使用寿命较长，各部件材质良好、制造工艺规范且符合标准，操作轻便灵活性较高，得(</w:t>
            </w:r>
            <w:r>
              <w:rPr>
                <w:rFonts w:hint="eastAsia" w:cs="宋体"/>
                <w:color w:val="auto"/>
                <w:kern w:val="2"/>
                <w:sz w:val="21"/>
                <w:szCs w:val="22"/>
                <w:highlight w:val="none"/>
                <w:lang w:val="en-US" w:eastAsia="zh-CN"/>
              </w:rPr>
              <w:t>2-3</w:t>
            </w:r>
            <w:r>
              <w:rPr>
                <w:rFonts w:hint="eastAsia" w:ascii="宋体" w:hAnsi="宋体" w:eastAsia="宋体" w:cs="宋体"/>
                <w:color w:val="auto"/>
                <w:kern w:val="2"/>
                <w:sz w:val="21"/>
                <w:szCs w:val="22"/>
                <w:highlight w:val="none"/>
                <w:lang w:val="en-US" w:eastAsia="zh-CN"/>
              </w:rPr>
              <w:t>]分；</w:t>
            </w:r>
          </w:p>
          <w:p w14:paraId="0C7D6565">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中：结构设计合理，密封性满足要求，涂层防腐性能基本达标，流通阻力适中，使用寿命一般，各部件材质及制造工艺基本符合标准，操作轻便灵活性一般，得(</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]分；</w:t>
            </w:r>
          </w:p>
          <w:p w14:paraId="42B63C26">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差：结构设计基本合理，密封性一般，涂层防腐性能一般，流通阻力一般，使用寿命基本满足需求，各部件材质及制造工艺勉强符合标准，操作轻便灵活性基本满足需求，得(0-</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]分。</w:t>
            </w:r>
          </w:p>
          <w:p w14:paraId="5EACC5B8">
            <w:pPr>
              <w:pStyle w:val="4"/>
              <w:bidi w:val="0"/>
              <w:spacing w:line="360" w:lineRule="auto"/>
              <w:rPr>
                <w:rFonts w:hint="eastAsia" w:ascii="宋体" w:hAnsi="宋体" w:eastAsia="宋体" w:cs="宋体"/>
                <w:bCs/>
                <w:color w:val="auto"/>
                <w:kern w:val="2"/>
                <w:szCs w:val="21"/>
                <w:highlight w:val="none"/>
                <w:lang w:val="zh-CN" w:eastAsia="zh-CN"/>
              </w:rPr>
            </w:pPr>
            <w:r>
              <w:rPr>
                <w:rFonts w:hint="eastAsia" w:ascii="宋体" w:hAnsi="宋体" w:eastAsia="宋体" w:cs="宋体"/>
                <w:b/>
                <w:bCs/>
                <w:color w:val="auto"/>
                <w:kern w:val="2"/>
                <w:sz w:val="21"/>
                <w:szCs w:val="22"/>
                <w:highlight w:val="none"/>
                <w:lang w:val="en-US" w:eastAsia="zh-CN"/>
              </w:rPr>
              <w:t>备注：投标人须提供投标产品性能说明书或其他能体现投标产品性能的证明材料，以投标人提供的上述资料作为依据进行评审，未按要求提供上述资料的本项不得分。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0E88575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6EF7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598E651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125" w:type="dxa"/>
            <w:tcBorders>
              <w:top w:val="single" w:color="auto" w:sz="4" w:space="0"/>
              <w:left w:val="single" w:color="auto" w:sz="4" w:space="0"/>
              <w:bottom w:val="single" w:color="auto" w:sz="4" w:space="0"/>
              <w:right w:val="single" w:color="auto" w:sz="4" w:space="0"/>
            </w:tcBorders>
            <w:vAlign w:val="center"/>
          </w:tcPr>
          <w:p w14:paraId="770AB08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质量检测能力</w:t>
            </w:r>
          </w:p>
        </w:tc>
        <w:tc>
          <w:tcPr>
            <w:tcW w:w="7627" w:type="dxa"/>
            <w:tcBorders>
              <w:top w:val="single" w:color="auto" w:sz="4" w:space="0"/>
              <w:left w:val="single" w:color="auto" w:sz="4" w:space="0"/>
              <w:bottom w:val="single" w:color="auto" w:sz="4" w:space="0"/>
              <w:right w:val="single" w:color="auto" w:sz="4" w:space="0"/>
            </w:tcBorders>
            <w:vAlign w:val="center"/>
          </w:tcPr>
          <w:p w14:paraId="630319D8">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根据制造商的质量检测方案及检测设备（包括但不限于冲击试验机、超声波探伤仪、超声测厚仪、光谱仪、流阻测试管线等设备）进行进行评审：</w:t>
            </w:r>
          </w:p>
          <w:p w14:paraId="5C4F2AC9">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优：质检检测方案十分完善，检测设备种类齐全且先进，检测流程规范严谨，得</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6</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8</w:t>
            </w:r>
            <w:r>
              <w:rPr>
                <w:rFonts w:hint="eastAsia" w:ascii="宋体" w:hAnsi="宋体" w:eastAsia="宋体" w:cs="宋体"/>
                <w:color w:val="auto"/>
                <w:kern w:val="2"/>
                <w:sz w:val="21"/>
                <w:szCs w:val="22"/>
                <w:highlight w:val="none"/>
                <w:lang w:val="en-US" w:eastAsia="zh-CN"/>
              </w:rPr>
              <w:t>]</w:t>
            </w:r>
            <w:r>
              <w:rPr>
                <w:rFonts w:hint="eastAsia" w:ascii="宋体" w:hAnsi="宋体" w:eastAsia="宋体" w:cs="宋体"/>
                <w:color w:val="auto"/>
                <w:sz w:val="21"/>
                <w:szCs w:val="21"/>
                <w:highlight w:val="none"/>
                <w:lang w:val="en-US" w:eastAsia="zh-CN"/>
              </w:rPr>
              <w:t>分；</w:t>
            </w:r>
          </w:p>
          <w:p w14:paraId="398CB6C0">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良：质检检测方案较为完善，检测设备种类较齐全且先进，检测流程较规范，得</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6</w:t>
            </w:r>
            <w:r>
              <w:rPr>
                <w:rFonts w:hint="eastAsia" w:ascii="宋体" w:hAnsi="宋体" w:eastAsia="宋体" w:cs="宋体"/>
                <w:color w:val="auto"/>
                <w:kern w:val="2"/>
                <w:sz w:val="21"/>
                <w:szCs w:val="22"/>
                <w:highlight w:val="none"/>
                <w:lang w:val="en-US" w:eastAsia="zh-CN"/>
              </w:rPr>
              <w:t>]</w:t>
            </w:r>
            <w:r>
              <w:rPr>
                <w:rFonts w:hint="eastAsia" w:ascii="宋体" w:hAnsi="宋体" w:eastAsia="宋体" w:cs="宋体"/>
                <w:color w:val="auto"/>
                <w:sz w:val="21"/>
                <w:szCs w:val="21"/>
                <w:highlight w:val="none"/>
                <w:lang w:val="en-US" w:eastAsia="zh-CN"/>
              </w:rPr>
              <w:t>分；</w:t>
            </w:r>
          </w:p>
          <w:p w14:paraId="0EE74724">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中：质检检测方案一般，检测设备种类齐全，检测流程规范一般，得</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w:t>
            </w:r>
            <w:r>
              <w:rPr>
                <w:rFonts w:hint="eastAsia" w:ascii="宋体" w:hAnsi="宋体" w:eastAsia="宋体" w:cs="宋体"/>
                <w:color w:val="auto"/>
                <w:sz w:val="21"/>
                <w:szCs w:val="21"/>
                <w:highlight w:val="none"/>
                <w:lang w:val="en-US" w:eastAsia="zh-CN"/>
              </w:rPr>
              <w:t>分；</w:t>
            </w:r>
          </w:p>
          <w:p w14:paraId="7187B6B3">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差：质检检测方案简单，检测设备种类基本满足需求，检测流程基本规范，得</w:t>
            </w:r>
            <w:r>
              <w:rPr>
                <w:rFonts w:hint="eastAsia" w:ascii="宋体" w:hAnsi="宋体" w:eastAsia="宋体" w:cs="宋体"/>
                <w:color w:val="auto"/>
                <w:kern w:val="2"/>
                <w:sz w:val="21"/>
                <w:szCs w:val="22"/>
                <w:highlight w:val="none"/>
                <w:lang w:val="en-US" w:eastAsia="zh-CN"/>
              </w:rPr>
              <w:t>(0-</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w:t>
            </w:r>
            <w:r>
              <w:rPr>
                <w:rFonts w:hint="eastAsia" w:ascii="宋体" w:hAnsi="宋体" w:eastAsia="宋体" w:cs="宋体"/>
                <w:color w:val="auto"/>
                <w:sz w:val="21"/>
                <w:szCs w:val="21"/>
                <w:highlight w:val="none"/>
                <w:lang w:val="en-US" w:eastAsia="zh-CN"/>
              </w:rPr>
              <w:t>分。</w:t>
            </w:r>
          </w:p>
          <w:p w14:paraId="50E3E14B">
            <w:pPr>
              <w:pStyle w:val="4"/>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投标人须提供2025年1月1日或以后拍摄的质检设备设施的照片或图片打印件（照片或图片须清晰反映拍摄时间，否则评标时将不予考虑），以及质检设备设施清单和（付款单位或购买方为制造商）采购合同及购置发票原件复印件等证明材料，以投标人提供的上述资料作为评审依据，未按要求提供上述资料的不得分。</w:t>
            </w:r>
          </w:p>
          <w:p w14:paraId="67D35A75">
            <w:pPr>
              <w:pStyle w:val="4"/>
              <w:spacing w:line="360" w:lineRule="auto"/>
              <w:rPr>
                <w:rFonts w:hint="eastAsia" w:ascii="宋体" w:hAnsi="宋体" w:eastAsia="宋体" w:cs="宋体"/>
                <w:bCs/>
                <w:color w:val="auto"/>
                <w:kern w:val="2"/>
                <w:szCs w:val="21"/>
                <w:highlight w:val="none"/>
                <w:lang w:val="zh-CN" w:eastAsia="zh-CN"/>
              </w:rPr>
            </w:pPr>
            <w:r>
              <w:rPr>
                <w:rFonts w:hint="eastAsia" w:ascii="宋体" w:hAnsi="宋体" w:eastAsia="宋体" w:cs="宋体"/>
                <w:b/>
                <w:bCs/>
                <w:color w:val="auto"/>
                <w:sz w:val="21"/>
                <w:szCs w:val="21"/>
                <w:highlight w:val="none"/>
                <w:lang w:val="en-US" w:eastAsia="zh-CN"/>
              </w:rPr>
              <w:t>未提供质量检测方案及相关证明材料的，不得分。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74E5AF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分</w:t>
            </w:r>
          </w:p>
        </w:tc>
      </w:tr>
      <w:tr w14:paraId="6895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508E217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0ED4E22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售后服务响应、紧急供货时间承诺</w:t>
            </w:r>
          </w:p>
        </w:tc>
        <w:tc>
          <w:tcPr>
            <w:tcW w:w="3702" w:type="pct"/>
            <w:tcBorders>
              <w:top w:val="single" w:color="auto" w:sz="4" w:space="0"/>
              <w:left w:val="single" w:color="auto" w:sz="4" w:space="0"/>
              <w:bottom w:val="single" w:color="auto" w:sz="4" w:space="0"/>
              <w:right w:val="single" w:color="auto" w:sz="4" w:space="0"/>
            </w:tcBorders>
            <w:vAlign w:val="center"/>
          </w:tcPr>
          <w:p w14:paraId="53B37038">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zh-CN" w:eastAsia="zh-CN"/>
              </w:rPr>
            </w:pPr>
            <w:r>
              <w:rPr>
                <w:rFonts w:hint="eastAsia" w:ascii="宋体" w:hAnsi="宋体" w:eastAsia="宋体" w:cs="宋体"/>
                <w:color w:val="auto"/>
                <w:kern w:val="2"/>
                <w:sz w:val="21"/>
                <w:szCs w:val="22"/>
                <w:highlight w:val="none"/>
                <w:lang w:val="zh-CN" w:eastAsia="zh-CN"/>
              </w:rPr>
              <w:t>根据投标人承诺的售后服务响应时间及应急供货时间进行评审:</w:t>
            </w:r>
          </w:p>
          <w:p w14:paraId="20DF2E1F">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①承诺接到招标人的售后服务通知后响应时间为：2小时＜响应时间＜4小时的，承诺接到招标人紧急送货通知后将货物送达指定地点的送达时间为：4日＜送达时间＜5日的，得</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分；</w:t>
            </w:r>
          </w:p>
          <w:p w14:paraId="3B8AA0B7">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②承诺接到招标人的售后服务通知后响应时间为：响应时间≤2小时的，承诺接到招标人紧急送货通知后将货物送达指定地点的送达时间为：送达时间≤4日的，得</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分。</w:t>
            </w:r>
          </w:p>
          <w:p w14:paraId="4C91659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1"/>
                <w:szCs w:val="22"/>
                <w:highlight w:val="none"/>
                <w:lang w:val="en-US" w:eastAsia="zh-CN"/>
              </w:rPr>
              <w:t>备注：根据《售后服务响应、紧急供货时间承诺表》进行评审。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059D10A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分</w:t>
            </w:r>
          </w:p>
        </w:tc>
      </w:tr>
      <w:tr w14:paraId="3F36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5DD6ED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726A43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40</w:t>
            </w:r>
            <w:r>
              <w:rPr>
                <w:rFonts w:hint="eastAsia" w:ascii="宋体" w:hAnsi="宋体" w:eastAsia="宋体" w:cs="宋体"/>
                <w:b/>
                <w:bCs/>
                <w:color w:val="auto"/>
                <w:kern w:val="0"/>
                <w:sz w:val="21"/>
                <w:szCs w:val="21"/>
                <w:highlight w:val="none"/>
                <w:lang w:val="en-US" w:eastAsia="zh-CN"/>
              </w:rPr>
              <w:t>分</w:t>
            </w:r>
          </w:p>
        </w:tc>
      </w:tr>
      <w:bookmarkEnd w:id="1159"/>
    </w:tbl>
    <w:p w14:paraId="6AB9AF14">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p>
    <w:p w14:paraId="5B87A8D4">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备注：</w:t>
      </w:r>
    </w:p>
    <w:p w14:paraId="6991064B">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7AFA2476">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hint="eastAsia" w:ascii="宋体" w:hAnsi="宋体" w:eastAsia="宋体" w:cs="宋体"/>
          <w:color w:val="auto"/>
          <w:szCs w:val="24"/>
          <w:highlight w:val="none"/>
          <w:lang w:val="zh-CN"/>
        </w:rPr>
        <w:t>分数出现小数点，保留小数点后2位，从小数点后第3位四舍五入。</w:t>
      </w:r>
    </w:p>
    <w:p w14:paraId="67602E46">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14:paraId="3B65D27A">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56C631C">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（3）价格评分方法</w:t>
      </w:r>
    </w:p>
    <w:p w14:paraId="255F9C7F">
      <w:pPr>
        <w:ind w:firstLine="422" w:firstLineChars="200"/>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1）经济文件的符合性审查</w:t>
      </w:r>
    </w:p>
    <w:p w14:paraId="475E0522">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bCs/>
          <w:color w:val="auto"/>
          <w:highlight w:val="none"/>
          <w:u w:val="single"/>
          <w:lang w:val="zh-CN"/>
        </w:rPr>
        <w:t>如果投标人不接受修正后的报价，则其投标将被拒绝，作为无效投标处理。</w:t>
      </w:r>
    </w:p>
    <w:p w14:paraId="418D17E1">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若投标人出现超低报价，</w:t>
      </w:r>
      <w:r>
        <w:rPr>
          <w:rFonts w:hint="eastAsia" w:ascii="宋体" w:hAnsi="宋体" w:eastAsia="宋体" w:cs="宋体"/>
          <w:color w:val="auto"/>
          <w:highlight w:val="none"/>
        </w:rPr>
        <w:t>有可能影响服务质量和不能诚信履约的，</w:t>
      </w:r>
      <w:r>
        <w:rPr>
          <w:rFonts w:hint="eastAsia" w:ascii="宋体" w:hAnsi="宋体" w:eastAsia="宋体" w:cs="宋体"/>
          <w:color w:val="auto"/>
          <w:highlight w:val="none"/>
          <w:lang w:val="zh-CN"/>
        </w:rPr>
        <w:t>评标委员会将要求该投标人作出书面说明并提供相关证明材料，以确定投标人是否以低于企业成本价报价。</w:t>
      </w:r>
      <w:r>
        <w:rPr>
          <w:rFonts w:hint="eastAsia" w:ascii="宋体" w:hAnsi="宋体" w:eastAsia="宋体" w:cs="宋体"/>
          <w:b/>
          <w:bCs/>
          <w:color w:val="auto"/>
          <w:highlight w:val="none"/>
          <w:u w:val="single"/>
          <w:lang w:val="zh-CN"/>
        </w:rPr>
        <w:t>若投标人不能合理说明或不能提供相关证明材料的，评标委员会将认定其投标报价低于成本，同时否决其投标。</w:t>
      </w:r>
    </w:p>
    <w:p w14:paraId="5DBAD135">
      <w:pPr>
        <w:ind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对是否低于企业成本价报价的事宜有争议的投标文件,评标委员会成员将以记名方式表决,根据少数服</w:t>
      </w:r>
      <w:r>
        <w:rPr>
          <w:rFonts w:hint="eastAsia" w:ascii="宋体" w:hAnsi="宋体" w:eastAsia="宋体" w:cs="宋体"/>
          <w:b/>
          <w:bCs/>
          <w:color w:val="auto"/>
          <w:highlight w:val="none"/>
        </w:rPr>
        <w:t>从</w:t>
      </w:r>
      <w:r>
        <w:rPr>
          <w:rFonts w:hint="eastAsia" w:ascii="宋体" w:hAnsi="宋体" w:eastAsia="宋体" w:cs="宋体"/>
          <w:b/>
          <w:bCs/>
          <w:color w:val="auto"/>
          <w:highlight w:val="none"/>
          <w:lang w:val="zh-CN"/>
        </w:rPr>
        <w:t>多数的原则，获多数表决通过的投标人才有资格进入下一阶段的评审,否则将按无效投标处理。</w:t>
      </w:r>
    </w:p>
    <w:p w14:paraId="60F35C7E">
      <w:pPr>
        <w:ind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2）价格评分：总分</w:t>
      </w:r>
      <w:r>
        <w:rPr>
          <w:rFonts w:hint="eastAsia" w:cs="宋体"/>
          <w:b/>
          <w:bCs/>
          <w:color w:val="auto"/>
          <w:highlight w:val="none"/>
          <w:lang w:val="en-US" w:eastAsia="zh-CN"/>
        </w:rPr>
        <w:t>40</w:t>
      </w:r>
      <w:r>
        <w:rPr>
          <w:rFonts w:hint="eastAsia" w:ascii="宋体" w:hAnsi="宋体" w:eastAsia="宋体" w:cs="宋体"/>
          <w:b/>
          <w:bCs/>
          <w:color w:val="auto"/>
          <w:highlight w:val="none"/>
          <w:lang w:val="zh-CN"/>
        </w:rPr>
        <w:t>分</w:t>
      </w:r>
    </w:p>
    <w:p w14:paraId="566D1760">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A</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zh-CN"/>
        </w:rPr>
        <w:t>根据有效投标人的投标“折扣系数”，最低投标“折扣系数”作为基准系数（Y）。投标人投标“折扣系数”（X）等于基准系数的得满分</w:t>
      </w:r>
      <w:r>
        <w:rPr>
          <w:rFonts w:hint="eastAsia" w:cs="宋体"/>
          <w:color w:val="auto"/>
          <w:highlight w:val="none"/>
          <w:lang w:val="en-US" w:eastAsia="zh-CN"/>
        </w:rPr>
        <w:t>40</w:t>
      </w:r>
      <w:r>
        <w:rPr>
          <w:rFonts w:hint="eastAsia" w:ascii="宋体" w:hAnsi="宋体" w:eastAsia="宋体" w:cs="宋体"/>
          <w:color w:val="auto"/>
          <w:highlight w:val="none"/>
          <w:lang w:val="zh-CN"/>
        </w:rPr>
        <w:t>分，其他投标人的价格得分统一按照下列公式计算：</w:t>
      </w:r>
    </w:p>
    <w:p w14:paraId="64CCAB52">
      <w:pPr>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 xml:space="preserve">    价格得分=(基准系数／投标“折扣系数”)×</w:t>
      </w:r>
      <w:r>
        <w:rPr>
          <w:rFonts w:hint="eastAsia" w:cs="宋体"/>
          <w:color w:val="auto"/>
          <w:highlight w:val="none"/>
          <w:lang w:val="en-US" w:eastAsia="zh-CN"/>
        </w:rPr>
        <w:t>40</w:t>
      </w:r>
    </w:p>
    <w:p w14:paraId="069BF0E3">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B</w:t>
      </w:r>
      <w:r>
        <w:rPr>
          <w:rFonts w:hint="eastAsia" w:ascii="宋体" w:hAnsi="宋体" w:eastAsia="宋体" w:cs="宋体"/>
          <w:color w:val="auto"/>
          <w:highlight w:val="none"/>
        </w:rPr>
        <w:t>.</w:t>
      </w:r>
      <w:r>
        <w:rPr>
          <w:rFonts w:hint="eastAsia" w:ascii="宋体" w:hAnsi="宋体" w:eastAsia="宋体" w:cs="宋体"/>
          <w:color w:val="auto"/>
          <w:highlight w:val="none"/>
          <w:lang w:val="zh-CN"/>
        </w:rPr>
        <w:t>分数出现小数点，保留小数点后2位，从小数点后第3位四舍五入。</w:t>
      </w:r>
    </w:p>
    <w:p w14:paraId="31FA0EC8">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（4）综合得分</w:t>
      </w:r>
    </w:p>
    <w:p w14:paraId="59B22554">
      <w:pPr>
        <w:ind w:firstLine="420" w:firstLineChars="200"/>
        <w:rPr>
          <w:rFonts w:hint="eastAsia" w:ascii="宋体" w:hAnsi="宋体" w:eastAsia="宋体" w:cs="宋体"/>
          <w:color w:val="auto"/>
          <w:highlight w:val="none"/>
          <w:lang w:val="zh-CN"/>
        </w:rPr>
      </w:pPr>
      <w:bookmarkStart w:id="1160" w:name="_Toc31624_WPSOffice_Level2"/>
      <w:r>
        <w:rPr>
          <w:rFonts w:hint="eastAsia" w:ascii="宋体" w:hAnsi="宋体" w:eastAsia="宋体" w:cs="宋体"/>
          <w:color w:val="auto"/>
          <w:highlight w:val="none"/>
          <w:lang w:val="zh-CN"/>
        </w:rPr>
        <w:t>评标总得分=F1＋F2＋……+Fn</w:t>
      </w:r>
      <w:bookmarkEnd w:id="1160"/>
    </w:p>
    <w:p w14:paraId="10AB3D13">
      <w:pPr>
        <w:ind w:firstLine="420" w:firstLineChars="200"/>
        <w:rPr>
          <w:rFonts w:hint="eastAsia" w:ascii="宋体" w:hAnsi="宋体" w:eastAsia="宋体" w:cs="宋体"/>
          <w:color w:val="auto"/>
          <w:highlight w:val="none"/>
          <w:lang w:val="zh-CN"/>
        </w:rPr>
      </w:pPr>
      <w:bookmarkStart w:id="1161" w:name="_Toc13236_WPSOffice_Level2"/>
      <w:r>
        <w:rPr>
          <w:rFonts w:hint="eastAsia" w:ascii="宋体" w:hAnsi="宋体" w:eastAsia="宋体" w:cs="宋体"/>
          <w:color w:val="auto"/>
          <w:highlight w:val="none"/>
          <w:lang w:val="zh-CN"/>
        </w:rPr>
        <w:t>F1、F2、……Fn分别为各项评分因素的得分</w:t>
      </w:r>
      <w:bookmarkEnd w:id="1161"/>
      <w:r>
        <w:rPr>
          <w:rFonts w:hint="eastAsia" w:ascii="宋体" w:hAnsi="宋体" w:eastAsia="宋体" w:cs="宋体"/>
          <w:color w:val="auto"/>
          <w:highlight w:val="none"/>
          <w:lang w:val="zh-CN"/>
        </w:rPr>
        <w:t>。</w:t>
      </w:r>
    </w:p>
    <w:p w14:paraId="470C3B9A">
      <w:pPr>
        <w:rPr>
          <w:rFonts w:hint="eastAsia" w:ascii="宋体" w:hAnsi="宋体" w:eastAsia="宋体" w:cs="宋体"/>
          <w:color w:val="auto"/>
          <w:highlight w:val="none"/>
        </w:rPr>
      </w:pPr>
    </w:p>
    <w:p w14:paraId="7691E29D">
      <w:pPr>
        <w:jc w:val="center"/>
        <w:rPr>
          <w:rFonts w:hint="eastAsia" w:ascii="宋体" w:hAnsi="宋体" w:eastAsia="宋体" w:cs="宋体"/>
          <w:b/>
          <w:bCs/>
          <w:color w:val="auto"/>
          <w:sz w:val="28"/>
          <w:szCs w:val="32"/>
          <w:highlight w:val="none"/>
        </w:rPr>
      </w:pPr>
      <w:bookmarkStart w:id="1162" w:name="_Toc518_WPSOffice_Level1"/>
      <w:r>
        <w:rPr>
          <w:rFonts w:hint="eastAsia" w:ascii="宋体" w:hAnsi="宋体" w:eastAsia="宋体" w:cs="宋体"/>
          <w:b/>
          <w:bCs/>
          <w:color w:val="auto"/>
          <w:sz w:val="28"/>
          <w:szCs w:val="32"/>
          <w:highlight w:val="none"/>
          <w:lang w:val="zh-CN"/>
        </w:rPr>
        <w:t>五、推荐中标人</w:t>
      </w:r>
      <w:bookmarkEnd w:id="1162"/>
    </w:p>
    <w:p w14:paraId="0D21A8B2">
      <w:pPr>
        <w:ind w:left="315"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lang w:val="zh-CN"/>
        </w:rPr>
        <w:t>评标委员会按评审后得分由高到低顺序排列</w:t>
      </w:r>
      <w:r>
        <w:rPr>
          <w:rFonts w:hint="eastAsia" w:ascii="宋体" w:hAnsi="宋体" w:eastAsia="宋体" w:cs="宋体"/>
          <w:color w:val="auto"/>
          <w:highlight w:val="none"/>
        </w:rPr>
        <w:t>，并向招标人推荐最后综合得分最高的前二名投标人为中标候选人（最后综合得分排名第一、第二的投标人分别为第一、第二中标候选人），招标人将确定第一中标候选人为中标人。</w:t>
      </w:r>
    </w:p>
    <w:p w14:paraId="44B48D77">
      <w:pPr>
        <w:ind w:left="315" w:leftChars="15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如果有两个或以上的投标人的最后综合得分相同，则在最后综合得分相同的投标人中按投标报价</w:t>
      </w:r>
      <w:r>
        <w:rPr>
          <w:rFonts w:hint="eastAsia" w:ascii="宋体" w:hAnsi="宋体" w:eastAsia="宋体" w:cs="宋体"/>
          <w:color w:val="auto"/>
          <w:highlight w:val="none"/>
          <w:lang w:val="zh-CN"/>
        </w:rPr>
        <w:t>由低到高顺序排出次序，报价低的排前，报价高的排后。</w:t>
      </w:r>
      <w:r>
        <w:rPr>
          <w:rFonts w:hint="eastAsia" w:ascii="宋体" w:hAnsi="宋体" w:eastAsia="宋体" w:cs="宋体"/>
          <w:color w:val="auto"/>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81F7031">
      <w:pPr>
        <w:rPr>
          <w:rFonts w:hint="eastAsia" w:ascii="宋体" w:hAnsi="宋体" w:eastAsia="宋体" w:cs="宋体"/>
          <w:color w:val="auto"/>
          <w:highlight w:val="none"/>
        </w:rPr>
      </w:pPr>
    </w:p>
    <w:p w14:paraId="6876A31A">
      <w:pPr>
        <w:jc w:val="center"/>
        <w:rPr>
          <w:rFonts w:hint="eastAsia" w:ascii="宋体" w:hAnsi="宋体" w:eastAsia="宋体" w:cs="宋体"/>
          <w:b/>
          <w:bCs/>
          <w:color w:val="auto"/>
          <w:sz w:val="28"/>
          <w:szCs w:val="32"/>
          <w:highlight w:val="none"/>
          <w:lang w:val="zh-CN"/>
        </w:rPr>
      </w:pPr>
      <w:bookmarkStart w:id="1163" w:name="_Toc22724_WPSOffice_Level1"/>
      <w:r>
        <w:rPr>
          <w:rFonts w:hint="eastAsia" w:ascii="宋体" w:hAnsi="宋体" w:eastAsia="宋体" w:cs="宋体"/>
          <w:b/>
          <w:bCs/>
          <w:color w:val="auto"/>
          <w:sz w:val="28"/>
          <w:szCs w:val="32"/>
          <w:highlight w:val="none"/>
          <w:lang w:val="zh-CN"/>
        </w:rPr>
        <w:t>六、编写评标报告</w:t>
      </w:r>
      <w:bookmarkEnd w:id="1163"/>
    </w:p>
    <w:p w14:paraId="15377635">
      <w:pPr>
        <w:ind w:left="315" w:hanging="315" w:hanging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w:t>
      </w:r>
      <w:r>
        <w:rPr>
          <w:rFonts w:hint="eastAsia" w:ascii="宋体" w:hAnsi="宋体" w:eastAsia="宋体" w:cs="宋体"/>
          <w:color w:val="auto"/>
          <w:highlight w:val="none"/>
        </w:rPr>
        <w:t>.</w:t>
      </w:r>
      <w:r>
        <w:rPr>
          <w:rFonts w:hint="eastAsia" w:ascii="宋体" w:hAnsi="宋体" w:eastAsia="宋体" w:cs="宋体"/>
          <w:color w:val="auto"/>
          <w:highlight w:val="none"/>
          <w:lang w:val="zh-CN"/>
        </w:rPr>
        <w:t>评标委员会根据评审结果撰写评标报告。评标报告是评标委员会根据全体评标委员会成员签字的原始评审记录和评审结果编写的报告，其主要内容包括：</w:t>
      </w:r>
    </w:p>
    <w:p w14:paraId="49708CDD">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（1）开标邀请时间、开标日期和地点；</w:t>
      </w:r>
    </w:p>
    <w:p w14:paraId="55FEF77F">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（2）投标人名单和评标委员会成员名单；</w:t>
      </w:r>
    </w:p>
    <w:p w14:paraId="37C9945F">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（3）开标评审方法和标准；</w:t>
      </w:r>
    </w:p>
    <w:p w14:paraId="71D0D547">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（4）开标评审记录和评审情况及说明，包括投标无效投标人名单及原因；</w:t>
      </w:r>
    </w:p>
    <w:p w14:paraId="60458162">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（5）评审结果和中标候选投标人排序表；</w:t>
      </w:r>
    </w:p>
    <w:p w14:paraId="2CC689C2">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（6）评标委员会的推荐建议。</w:t>
      </w:r>
    </w:p>
    <w:p w14:paraId="1C56E158">
      <w:pPr>
        <w:rPr>
          <w:rFonts w:hint="eastAsia" w:ascii="宋体" w:hAnsi="宋体" w:eastAsia="宋体" w:cs="宋体"/>
          <w:color w:val="auto"/>
          <w:highlight w:val="none"/>
          <w:lang w:val="zh-CN"/>
        </w:rPr>
      </w:pPr>
    </w:p>
    <w:p w14:paraId="6C96586A">
      <w:pPr>
        <w:jc w:val="center"/>
        <w:rPr>
          <w:rFonts w:hint="eastAsia" w:ascii="宋体" w:hAnsi="宋体" w:eastAsia="宋体" w:cs="宋体"/>
          <w:b/>
          <w:bCs/>
          <w:color w:val="auto"/>
          <w:sz w:val="28"/>
          <w:szCs w:val="32"/>
          <w:highlight w:val="none"/>
          <w:lang w:val="zh-CN"/>
        </w:rPr>
      </w:pPr>
      <w:bookmarkStart w:id="1164" w:name="_Toc23773_WPSOffice_Level1"/>
      <w:r>
        <w:rPr>
          <w:rFonts w:hint="eastAsia" w:ascii="宋体" w:hAnsi="宋体" w:eastAsia="宋体" w:cs="宋体"/>
          <w:b/>
          <w:bCs/>
          <w:color w:val="auto"/>
          <w:sz w:val="28"/>
          <w:szCs w:val="32"/>
          <w:highlight w:val="none"/>
          <w:lang w:val="zh-CN"/>
        </w:rPr>
        <w:t>七、注意事项</w:t>
      </w:r>
      <w:bookmarkEnd w:id="1164"/>
    </w:p>
    <w:p w14:paraId="1889CC6C">
      <w:pPr>
        <w:ind w:left="315" w:hanging="315" w:hanging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15</w:t>
      </w:r>
      <w:r>
        <w:rPr>
          <w:rFonts w:hint="eastAsia" w:ascii="宋体" w:hAnsi="宋体" w:eastAsia="宋体" w:cs="宋体"/>
          <w:color w:val="auto"/>
          <w:highlight w:val="none"/>
        </w:rPr>
        <w:t>.</w:t>
      </w:r>
      <w:r>
        <w:rPr>
          <w:rFonts w:hint="eastAsia" w:ascii="宋体" w:hAnsi="宋体" w:eastAsia="宋体" w:cs="宋体"/>
          <w:color w:val="auto"/>
          <w:highlight w:val="none"/>
          <w:lang w:val="zh-CN"/>
        </w:rPr>
        <w:t>为确保评审工作的顺利进行，防止因泄密或其它意外而造成的不良后果及影响，凡参加评审工作的人员都必须认真执行本规定：</w:t>
      </w:r>
    </w:p>
    <w:p w14:paraId="52B41C4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（1）在评审工作期间，所有分发的投标文件、资料等仅限于在评审场所中使用，不得带往其它地方，所有的招标文件、投标文件、资料等一律编号登记；</w:t>
      </w:r>
    </w:p>
    <w:p w14:paraId="5112FF3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（2）评审人员及工作人员不得在公共场合谈论有关评审内容；</w:t>
      </w:r>
    </w:p>
    <w:p w14:paraId="5DEF07C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8B3472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w:t>
      </w:r>
      <w:r>
        <w:rPr>
          <w:rFonts w:hint="eastAsia" w:ascii="宋体" w:hAnsi="宋体" w:eastAsia="宋体" w:cs="宋体"/>
          <w:color w:val="auto"/>
          <w:highlight w:val="none"/>
        </w:rPr>
        <w:t>如有需要举行</w:t>
      </w:r>
      <w:r>
        <w:rPr>
          <w:rFonts w:hint="eastAsia" w:ascii="宋体" w:hAnsi="宋体" w:eastAsia="宋体" w:cs="宋体"/>
          <w:color w:val="auto"/>
          <w:highlight w:val="none"/>
          <w:lang w:val="zh-CN"/>
        </w:rPr>
        <w:t>澄清会</w:t>
      </w:r>
      <w:r>
        <w:rPr>
          <w:rFonts w:hint="eastAsia" w:ascii="宋体" w:hAnsi="宋体" w:eastAsia="宋体" w:cs="宋体"/>
          <w:color w:val="auto"/>
          <w:highlight w:val="none"/>
        </w:rPr>
        <w:t>，</w:t>
      </w:r>
      <w:r>
        <w:rPr>
          <w:rFonts w:hint="eastAsia" w:ascii="宋体" w:hAnsi="宋体" w:eastAsia="宋体" w:cs="宋体"/>
          <w:color w:val="auto"/>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6ED09D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（5）任何评审人员和工作人员不得对外公布评审的一切内容。</w:t>
      </w:r>
      <w:bookmarkEnd w:id="1137"/>
      <w:bookmarkEnd w:id="1138"/>
      <w:bookmarkEnd w:id="1139"/>
      <w:bookmarkEnd w:id="1140"/>
    </w:p>
    <w:sectPr>
      <w:headerReference r:id="rId6" w:type="first"/>
      <w:footerReference r:id="rId8" w:type="first"/>
      <w:headerReference r:id="rId5" w:type="default"/>
      <w:footerReference r:id="rId7"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C06EC">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20653">
                          <w:pPr>
                            <w:pStyle w:val="1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4020653">
                    <w:pPr>
                      <w:pStyle w:val="1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DBBD">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9786D">
                          <w:pPr>
                            <w:pStyle w:val="15"/>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529786D">
                    <w:pPr>
                      <w:pStyle w:val="15"/>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55F4">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A872D">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YzQ2ZDI2MzQ4ODAwMjU3ZGQ0ZWFmNGI3ZDhjYjg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F3D92"/>
    <w:rsid w:val="011E2A15"/>
    <w:rsid w:val="0124687C"/>
    <w:rsid w:val="013E3EBF"/>
    <w:rsid w:val="015B75DE"/>
    <w:rsid w:val="016E1C33"/>
    <w:rsid w:val="01A52CC1"/>
    <w:rsid w:val="01AD2CFE"/>
    <w:rsid w:val="02334B34"/>
    <w:rsid w:val="026E13C2"/>
    <w:rsid w:val="028700C3"/>
    <w:rsid w:val="02874EB6"/>
    <w:rsid w:val="029A335C"/>
    <w:rsid w:val="02A6194E"/>
    <w:rsid w:val="02DD63FD"/>
    <w:rsid w:val="02E82049"/>
    <w:rsid w:val="03576152"/>
    <w:rsid w:val="03C72C05"/>
    <w:rsid w:val="03CB3B6A"/>
    <w:rsid w:val="03D666F8"/>
    <w:rsid w:val="03EF1A15"/>
    <w:rsid w:val="03F82FC0"/>
    <w:rsid w:val="044F0764"/>
    <w:rsid w:val="047E62BE"/>
    <w:rsid w:val="04AA104C"/>
    <w:rsid w:val="04BF7BFE"/>
    <w:rsid w:val="04CE3550"/>
    <w:rsid w:val="051929A0"/>
    <w:rsid w:val="053B0381"/>
    <w:rsid w:val="05580779"/>
    <w:rsid w:val="05837F1D"/>
    <w:rsid w:val="05884D86"/>
    <w:rsid w:val="0596213E"/>
    <w:rsid w:val="05A31AC1"/>
    <w:rsid w:val="05FC32CE"/>
    <w:rsid w:val="067B61FC"/>
    <w:rsid w:val="06880188"/>
    <w:rsid w:val="06D93B05"/>
    <w:rsid w:val="071E3C0C"/>
    <w:rsid w:val="0762732D"/>
    <w:rsid w:val="0775005F"/>
    <w:rsid w:val="07C84A57"/>
    <w:rsid w:val="07EB249B"/>
    <w:rsid w:val="081449CC"/>
    <w:rsid w:val="08B50B49"/>
    <w:rsid w:val="08CC6D82"/>
    <w:rsid w:val="08F81717"/>
    <w:rsid w:val="09337CF0"/>
    <w:rsid w:val="09611A4A"/>
    <w:rsid w:val="09B13A0A"/>
    <w:rsid w:val="09D917DB"/>
    <w:rsid w:val="09E265F1"/>
    <w:rsid w:val="09FD1E6C"/>
    <w:rsid w:val="0A40746F"/>
    <w:rsid w:val="0A940DEC"/>
    <w:rsid w:val="0AD142A1"/>
    <w:rsid w:val="0AE461EA"/>
    <w:rsid w:val="0AEE40C4"/>
    <w:rsid w:val="0B136D34"/>
    <w:rsid w:val="0B1C3A38"/>
    <w:rsid w:val="0B8D66E4"/>
    <w:rsid w:val="0BD95AF9"/>
    <w:rsid w:val="0CBB2901"/>
    <w:rsid w:val="0CC26BA3"/>
    <w:rsid w:val="0CF71CCD"/>
    <w:rsid w:val="0D1F0425"/>
    <w:rsid w:val="0D2E7A52"/>
    <w:rsid w:val="0D3161A1"/>
    <w:rsid w:val="0D8077B6"/>
    <w:rsid w:val="0D991370"/>
    <w:rsid w:val="0D9A0C44"/>
    <w:rsid w:val="0E08298E"/>
    <w:rsid w:val="0E082CB6"/>
    <w:rsid w:val="0E140CE4"/>
    <w:rsid w:val="0E4E1FFD"/>
    <w:rsid w:val="0E55673B"/>
    <w:rsid w:val="0EA36653"/>
    <w:rsid w:val="0EC20452"/>
    <w:rsid w:val="0ED47966"/>
    <w:rsid w:val="0F005A9F"/>
    <w:rsid w:val="0F035DA3"/>
    <w:rsid w:val="0F7D2A54"/>
    <w:rsid w:val="0F8055FE"/>
    <w:rsid w:val="0FB64345"/>
    <w:rsid w:val="0FD259E1"/>
    <w:rsid w:val="0FE968C3"/>
    <w:rsid w:val="100C3027"/>
    <w:rsid w:val="101767CC"/>
    <w:rsid w:val="106240D1"/>
    <w:rsid w:val="10F00C38"/>
    <w:rsid w:val="112112E0"/>
    <w:rsid w:val="112268FE"/>
    <w:rsid w:val="11427629"/>
    <w:rsid w:val="11496C09"/>
    <w:rsid w:val="11800B85"/>
    <w:rsid w:val="11EB4164"/>
    <w:rsid w:val="120D5D82"/>
    <w:rsid w:val="12415B32"/>
    <w:rsid w:val="12483481"/>
    <w:rsid w:val="126006AE"/>
    <w:rsid w:val="12BB06BA"/>
    <w:rsid w:val="12E8799F"/>
    <w:rsid w:val="130E3C80"/>
    <w:rsid w:val="133631BD"/>
    <w:rsid w:val="136B0817"/>
    <w:rsid w:val="139B74C4"/>
    <w:rsid w:val="13BC2C0C"/>
    <w:rsid w:val="13EE3A98"/>
    <w:rsid w:val="13F653D3"/>
    <w:rsid w:val="1420308A"/>
    <w:rsid w:val="143E73BA"/>
    <w:rsid w:val="14AF4812"/>
    <w:rsid w:val="14F82910"/>
    <w:rsid w:val="1511631C"/>
    <w:rsid w:val="15146C09"/>
    <w:rsid w:val="15155054"/>
    <w:rsid w:val="154D47EE"/>
    <w:rsid w:val="15695CAA"/>
    <w:rsid w:val="158F3130"/>
    <w:rsid w:val="15C6681E"/>
    <w:rsid w:val="16022748"/>
    <w:rsid w:val="16302145"/>
    <w:rsid w:val="165006DF"/>
    <w:rsid w:val="165B222C"/>
    <w:rsid w:val="173936C4"/>
    <w:rsid w:val="1745691D"/>
    <w:rsid w:val="17481711"/>
    <w:rsid w:val="177A32CC"/>
    <w:rsid w:val="177E515D"/>
    <w:rsid w:val="17967B20"/>
    <w:rsid w:val="17D31922"/>
    <w:rsid w:val="17D4047C"/>
    <w:rsid w:val="17E466BE"/>
    <w:rsid w:val="18167A61"/>
    <w:rsid w:val="18300B23"/>
    <w:rsid w:val="18365F2B"/>
    <w:rsid w:val="183B17B4"/>
    <w:rsid w:val="184256D6"/>
    <w:rsid w:val="18506ACF"/>
    <w:rsid w:val="18626802"/>
    <w:rsid w:val="1897193F"/>
    <w:rsid w:val="189F012D"/>
    <w:rsid w:val="18AD4266"/>
    <w:rsid w:val="18B90246"/>
    <w:rsid w:val="18D47700"/>
    <w:rsid w:val="18E910F1"/>
    <w:rsid w:val="19020270"/>
    <w:rsid w:val="19194EFF"/>
    <w:rsid w:val="19DF1C83"/>
    <w:rsid w:val="1A480A89"/>
    <w:rsid w:val="1A8F1FDF"/>
    <w:rsid w:val="1A91092D"/>
    <w:rsid w:val="1A9D4711"/>
    <w:rsid w:val="1ADD7698"/>
    <w:rsid w:val="1AF44089"/>
    <w:rsid w:val="1B0E3929"/>
    <w:rsid w:val="1B5C7FD2"/>
    <w:rsid w:val="1B965141"/>
    <w:rsid w:val="1BC25F36"/>
    <w:rsid w:val="1BE0016A"/>
    <w:rsid w:val="1BF87D6F"/>
    <w:rsid w:val="1C3744D6"/>
    <w:rsid w:val="1C841C44"/>
    <w:rsid w:val="1C913B5A"/>
    <w:rsid w:val="1C9B4E75"/>
    <w:rsid w:val="1CEF4698"/>
    <w:rsid w:val="1D2502C4"/>
    <w:rsid w:val="1D3C3473"/>
    <w:rsid w:val="1D3F2601"/>
    <w:rsid w:val="1DB55626"/>
    <w:rsid w:val="1DCA10D2"/>
    <w:rsid w:val="1DD020E8"/>
    <w:rsid w:val="1E7238AA"/>
    <w:rsid w:val="1EA062D6"/>
    <w:rsid w:val="1EC625B7"/>
    <w:rsid w:val="1EF67CA4"/>
    <w:rsid w:val="1F1B770B"/>
    <w:rsid w:val="1F393723"/>
    <w:rsid w:val="1FA13B21"/>
    <w:rsid w:val="1FB54AC2"/>
    <w:rsid w:val="1FC14756"/>
    <w:rsid w:val="1FCD1704"/>
    <w:rsid w:val="201E2585"/>
    <w:rsid w:val="2036103D"/>
    <w:rsid w:val="20971684"/>
    <w:rsid w:val="20E93F65"/>
    <w:rsid w:val="211B0BF1"/>
    <w:rsid w:val="21240AF9"/>
    <w:rsid w:val="21287A47"/>
    <w:rsid w:val="214B7A58"/>
    <w:rsid w:val="215C170D"/>
    <w:rsid w:val="21747CD2"/>
    <w:rsid w:val="217A0F23"/>
    <w:rsid w:val="21D40771"/>
    <w:rsid w:val="21E9348A"/>
    <w:rsid w:val="22230121"/>
    <w:rsid w:val="2239569D"/>
    <w:rsid w:val="225A2921"/>
    <w:rsid w:val="22662DD0"/>
    <w:rsid w:val="22BA5BB9"/>
    <w:rsid w:val="22BD7457"/>
    <w:rsid w:val="22D1766D"/>
    <w:rsid w:val="22FE5B53"/>
    <w:rsid w:val="23220B0D"/>
    <w:rsid w:val="23281071"/>
    <w:rsid w:val="232C7C9D"/>
    <w:rsid w:val="235229D8"/>
    <w:rsid w:val="23DE44EE"/>
    <w:rsid w:val="23DF22F3"/>
    <w:rsid w:val="23ED2C95"/>
    <w:rsid w:val="23ED3C99"/>
    <w:rsid w:val="24123A6E"/>
    <w:rsid w:val="242D7C36"/>
    <w:rsid w:val="24B2092B"/>
    <w:rsid w:val="25304004"/>
    <w:rsid w:val="25327B2B"/>
    <w:rsid w:val="253C7672"/>
    <w:rsid w:val="25B97521"/>
    <w:rsid w:val="25F463D3"/>
    <w:rsid w:val="26211FF3"/>
    <w:rsid w:val="26446854"/>
    <w:rsid w:val="2645048E"/>
    <w:rsid w:val="26484C80"/>
    <w:rsid w:val="26674BEA"/>
    <w:rsid w:val="26782D8B"/>
    <w:rsid w:val="268268EB"/>
    <w:rsid w:val="26834AC8"/>
    <w:rsid w:val="269100D3"/>
    <w:rsid w:val="26A50CD6"/>
    <w:rsid w:val="26D52B04"/>
    <w:rsid w:val="270C51C5"/>
    <w:rsid w:val="274441DE"/>
    <w:rsid w:val="2752677F"/>
    <w:rsid w:val="276E7A17"/>
    <w:rsid w:val="278A75DF"/>
    <w:rsid w:val="27C24197"/>
    <w:rsid w:val="27E232A4"/>
    <w:rsid w:val="28537EBF"/>
    <w:rsid w:val="289A7F4A"/>
    <w:rsid w:val="28B36086"/>
    <w:rsid w:val="28D42E04"/>
    <w:rsid w:val="29A5267F"/>
    <w:rsid w:val="2A1E1CDB"/>
    <w:rsid w:val="2A411D9F"/>
    <w:rsid w:val="2A82573B"/>
    <w:rsid w:val="2AD27853"/>
    <w:rsid w:val="2AD90BA6"/>
    <w:rsid w:val="2AF95CF5"/>
    <w:rsid w:val="2B033E75"/>
    <w:rsid w:val="2B0439D3"/>
    <w:rsid w:val="2B147E30"/>
    <w:rsid w:val="2B314330"/>
    <w:rsid w:val="2B401557"/>
    <w:rsid w:val="2B61460A"/>
    <w:rsid w:val="2B7A35A5"/>
    <w:rsid w:val="2BA86521"/>
    <w:rsid w:val="2BBD3B95"/>
    <w:rsid w:val="2BC74EA2"/>
    <w:rsid w:val="2BDB639C"/>
    <w:rsid w:val="2C011C03"/>
    <w:rsid w:val="2C68486B"/>
    <w:rsid w:val="2C8D134E"/>
    <w:rsid w:val="2C9A764E"/>
    <w:rsid w:val="2CBE503B"/>
    <w:rsid w:val="2CD1099B"/>
    <w:rsid w:val="2CD755B9"/>
    <w:rsid w:val="2CE77BE1"/>
    <w:rsid w:val="2D0524B8"/>
    <w:rsid w:val="2D107BD6"/>
    <w:rsid w:val="2D5F12F3"/>
    <w:rsid w:val="2D840FA5"/>
    <w:rsid w:val="2DF07E90"/>
    <w:rsid w:val="2DF857E7"/>
    <w:rsid w:val="2E190FA2"/>
    <w:rsid w:val="2EBA0D8A"/>
    <w:rsid w:val="2EE24E4E"/>
    <w:rsid w:val="2F3967F7"/>
    <w:rsid w:val="2F4316F0"/>
    <w:rsid w:val="2F4341ED"/>
    <w:rsid w:val="2FC80E32"/>
    <w:rsid w:val="2FC92F3E"/>
    <w:rsid w:val="302575CB"/>
    <w:rsid w:val="303C1F33"/>
    <w:rsid w:val="30694209"/>
    <w:rsid w:val="30696528"/>
    <w:rsid w:val="306C7DC6"/>
    <w:rsid w:val="30B13928"/>
    <w:rsid w:val="30BC667B"/>
    <w:rsid w:val="30C13527"/>
    <w:rsid w:val="312C5B2F"/>
    <w:rsid w:val="31BD0FE7"/>
    <w:rsid w:val="31DB5EC0"/>
    <w:rsid w:val="31E367AE"/>
    <w:rsid w:val="320325B1"/>
    <w:rsid w:val="325D7451"/>
    <w:rsid w:val="32A163CB"/>
    <w:rsid w:val="32B72826"/>
    <w:rsid w:val="32FD3242"/>
    <w:rsid w:val="33174961"/>
    <w:rsid w:val="33470C3B"/>
    <w:rsid w:val="337D0143"/>
    <w:rsid w:val="33AD555A"/>
    <w:rsid w:val="33E53138"/>
    <w:rsid w:val="34044EE1"/>
    <w:rsid w:val="342C1A8C"/>
    <w:rsid w:val="34425619"/>
    <w:rsid w:val="34A56968"/>
    <w:rsid w:val="34D463BA"/>
    <w:rsid w:val="35303D7D"/>
    <w:rsid w:val="353A20B2"/>
    <w:rsid w:val="35614878"/>
    <w:rsid w:val="357D18F2"/>
    <w:rsid w:val="358418E4"/>
    <w:rsid w:val="358A766C"/>
    <w:rsid w:val="35FD01EF"/>
    <w:rsid w:val="36383CA0"/>
    <w:rsid w:val="364918FD"/>
    <w:rsid w:val="36655284"/>
    <w:rsid w:val="36951585"/>
    <w:rsid w:val="37024EF4"/>
    <w:rsid w:val="376C5840"/>
    <w:rsid w:val="37702DCA"/>
    <w:rsid w:val="37905B38"/>
    <w:rsid w:val="37AE5A9A"/>
    <w:rsid w:val="38321D7F"/>
    <w:rsid w:val="385F7C43"/>
    <w:rsid w:val="389B25CD"/>
    <w:rsid w:val="38A32434"/>
    <w:rsid w:val="3928606C"/>
    <w:rsid w:val="394C0D62"/>
    <w:rsid w:val="394F430B"/>
    <w:rsid w:val="397A3EE2"/>
    <w:rsid w:val="3A0379ED"/>
    <w:rsid w:val="3A2D0A2B"/>
    <w:rsid w:val="3A42476C"/>
    <w:rsid w:val="3A4D6EBA"/>
    <w:rsid w:val="3AAC09B4"/>
    <w:rsid w:val="3ACB48D2"/>
    <w:rsid w:val="3AE24BAA"/>
    <w:rsid w:val="3B2456B8"/>
    <w:rsid w:val="3B2C087E"/>
    <w:rsid w:val="3B2D45F6"/>
    <w:rsid w:val="3B344720"/>
    <w:rsid w:val="3B506366"/>
    <w:rsid w:val="3B820471"/>
    <w:rsid w:val="3BA5255C"/>
    <w:rsid w:val="3BE253E0"/>
    <w:rsid w:val="3C280083"/>
    <w:rsid w:val="3C5C2972"/>
    <w:rsid w:val="3C661245"/>
    <w:rsid w:val="3C971EA0"/>
    <w:rsid w:val="3CB22461"/>
    <w:rsid w:val="3CB76CDD"/>
    <w:rsid w:val="3D853A17"/>
    <w:rsid w:val="3DA62599"/>
    <w:rsid w:val="3DB70915"/>
    <w:rsid w:val="3E066515"/>
    <w:rsid w:val="3E497999"/>
    <w:rsid w:val="3E740EBA"/>
    <w:rsid w:val="3E860AB5"/>
    <w:rsid w:val="3EA21734"/>
    <w:rsid w:val="3EA572C5"/>
    <w:rsid w:val="3EBB7E34"/>
    <w:rsid w:val="3EDC25BB"/>
    <w:rsid w:val="3EE37DED"/>
    <w:rsid w:val="3F0479F2"/>
    <w:rsid w:val="3F197408"/>
    <w:rsid w:val="3F400570"/>
    <w:rsid w:val="3FD20CE1"/>
    <w:rsid w:val="3FF34CD9"/>
    <w:rsid w:val="402B25A9"/>
    <w:rsid w:val="40307062"/>
    <w:rsid w:val="404011E3"/>
    <w:rsid w:val="404651C2"/>
    <w:rsid w:val="405F34A4"/>
    <w:rsid w:val="406F1943"/>
    <w:rsid w:val="408347E6"/>
    <w:rsid w:val="409C456C"/>
    <w:rsid w:val="40C616FE"/>
    <w:rsid w:val="40ED716C"/>
    <w:rsid w:val="41231F74"/>
    <w:rsid w:val="41382B15"/>
    <w:rsid w:val="4155752F"/>
    <w:rsid w:val="41676AB4"/>
    <w:rsid w:val="417C2042"/>
    <w:rsid w:val="41BF1AB4"/>
    <w:rsid w:val="41DF5E8B"/>
    <w:rsid w:val="42254FE2"/>
    <w:rsid w:val="422E5823"/>
    <w:rsid w:val="424B207F"/>
    <w:rsid w:val="42894808"/>
    <w:rsid w:val="42A05B31"/>
    <w:rsid w:val="42B565A2"/>
    <w:rsid w:val="435450D8"/>
    <w:rsid w:val="43737A00"/>
    <w:rsid w:val="43912997"/>
    <w:rsid w:val="43C96F90"/>
    <w:rsid w:val="43D64FF6"/>
    <w:rsid w:val="442B3881"/>
    <w:rsid w:val="443A504F"/>
    <w:rsid w:val="443E4864"/>
    <w:rsid w:val="44426C22"/>
    <w:rsid w:val="444662BE"/>
    <w:rsid w:val="45624364"/>
    <w:rsid w:val="45722C35"/>
    <w:rsid w:val="459D036F"/>
    <w:rsid w:val="45AF072F"/>
    <w:rsid w:val="45DE0715"/>
    <w:rsid w:val="46024FFD"/>
    <w:rsid w:val="462C1D34"/>
    <w:rsid w:val="46D64008"/>
    <w:rsid w:val="46E2756D"/>
    <w:rsid w:val="47793279"/>
    <w:rsid w:val="47A66D56"/>
    <w:rsid w:val="47D92A25"/>
    <w:rsid w:val="47EA7AF7"/>
    <w:rsid w:val="47EB5F1A"/>
    <w:rsid w:val="48463477"/>
    <w:rsid w:val="487C1EC4"/>
    <w:rsid w:val="48963714"/>
    <w:rsid w:val="48DC3376"/>
    <w:rsid w:val="48E019BA"/>
    <w:rsid w:val="490258FE"/>
    <w:rsid w:val="49261E81"/>
    <w:rsid w:val="49384FE0"/>
    <w:rsid w:val="495D3907"/>
    <w:rsid w:val="4997184B"/>
    <w:rsid w:val="4999650B"/>
    <w:rsid w:val="49B029DB"/>
    <w:rsid w:val="49DB35B4"/>
    <w:rsid w:val="4A460B73"/>
    <w:rsid w:val="4A9262AC"/>
    <w:rsid w:val="4AA33811"/>
    <w:rsid w:val="4AAE5753"/>
    <w:rsid w:val="4ABF49AF"/>
    <w:rsid w:val="4AC36825"/>
    <w:rsid w:val="4B122F01"/>
    <w:rsid w:val="4B1C149D"/>
    <w:rsid w:val="4B5464E4"/>
    <w:rsid w:val="4B6B0F4E"/>
    <w:rsid w:val="4B8E7A8E"/>
    <w:rsid w:val="4B9F6E4A"/>
    <w:rsid w:val="4BE34E14"/>
    <w:rsid w:val="4C157818"/>
    <w:rsid w:val="4C251A45"/>
    <w:rsid w:val="4C4C5224"/>
    <w:rsid w:val="4C5D5627"/>
    <w:rsid w:val="4CB35560"/>
    <w:rsid w:val="4CC17D09"/>
    <w:rsid w:val="4CEA0599"/>
    <w:rsid w:val="4D2849D3"/>
    <w:rsid w:val="4DB1323F"/>
    <w:rsid w:val="4DB633E3"/>
    <w:rsid w:val="4E2E11A8"/>
    <w:rsid w:val="4E9640F3"/>
    <w:rsid w:val="4EA80EE9"/>
    <w:rsid w:val="4EAC185D"/>
    <w:rsid w:val="4EB404A6"/>
    <w:rsid w:val="4ECD3DA2"/>
    <w:rsid w:val="4F03389A"/>
    <w:rsid w:val="4F4328D6"/>
    <w:rsid w:val="50094C93"/>
    <w:rsid w:val="500E53BA"/>
    <w:rsid w:val="501E16DB"/>
    <w:rsid w:val="504A4631"/>
    <w:rsid w:val="508166BD"/>
    <w:rsid w:val="50AF7B2F"/>
    <w:rsid w:val="50BF708E"/>
    <w:rsid w:val="50F121D0"/>
    <w:rsid w:val="50FD38FE"/>
    <w:rsid w:val="5101065B"/>
    <w:rsid w:val="5114215E"/>
    <w:rsid w:val="512D60C4"/>
    <w:rsid w:val="51A41A56"/>
    <w:rsid w:val="51BF0246"/>
    <w:rsid w:val="51D63772"/>
    <w:rsid w:val="51EA3278"/>
    <w:rsid w:val="521E0702"/>
    <w:rsid w:val="52362352"/>
    <w:rsid w:val="526B3A44"/>
    <w:rsid w:val="52844E0B"/>
    <w:rsid w:val="52B103B0"/>
    <w:rsid w:val="52C57971"/>
    <w:rsid w:val="52F0394A"/>
    <w:rsid w:val="533833F2"/>
    <w:rsid w:val="533D2F4E"/>
    <w:rsid w:val="53766DD1"/>
    <w:rsid w:val="541B526D"/>
    <w:rsid w:val="54857525"/>
    <w:rsid w:val="54A95905"/>
    <w:rsid w:val="552075CD"/>
    <w:rsid w:val="55580A51"/>
    <w:rsid w:val="557A30A8"/>
    <w:rsid w:val="55B65AE3"/>
    <w:rsid w:val="55E50D92"/>
    <w:rsid w:val="56465FAC"/>
    <w:rsid w:val="56574EF1"/>
    <w:rsid w:val="56717635"/>
    <w:rsid w:val="56DF15AE"/>
    <w:rsid w:val="57193F55"/>
    <w:rsid w:val="5786241A"/>
    <w:rsid w:val="57935974"/>
    <w:rsid w:val="57F21B5A"/>
    <w:rsid w:val="5807444D"/>
    <w:rsid w:val="585B5F86"/>
    <w:rsid w:val="587442AD"/>
    <w:rsid w:val="587D0513"/>
    <w:rsid w:val="58E0346C"/>
    <w:rsid w:val="59174845"/>
    <w:rsid w:val="59232E69"/>
    <w:rsid w:val="593756E0"/>
    <w:rsid w:val="59380051"/>
    <w:rsid w:val="596274D2"/>
    <w:rsid w:val="59670247"/>
    <w:rsid w:val="599F2853"/>
    <w:rsid w:val="59A1611D"/>
    <w:rsid w:val="59B166C6"/>
    <w:rsid w:val="59F475D1"/>
    <w:rsid w:val="5A2C48CC"/>
    <w:rsid w:val="5A4D52DA"/>
    <w:rsid w:val="5A5A6003"/>
    <w:rsid w:val="5A9378D7"/>
    <w:rsid w:val="5AAC7035"/>
    <w:rsid w:val="5AB93BC9"/>
    <w:rsid w:val="5B0D365F"/>
    <w:rsid w:val="5B127639"/>
    <w:rsid w:val="5B39291B"/>
    <w:rsid w:val="5B5639C9"/>
    <w:rsid w:val="5B5B0FE0"/>
    <w:rsid w:val="5B60340D"/>
    <w:rsid w:val="5B6431F1"/>
    <w:rsid w:val="5B9A1948"/>
    <w:rsid w:val="5BC70423"/>
    <w:rsid w:val="5BF013D1"/>
    <w:rsid w:val="5C2E7207"/>
    <w:rsid w:val="5CAD614F"/>
    <w:rsid w:val="5CB244F5"/>
    <w:rsid w:val="5CD94447"/>
    <w:rsid w:val="5CF51FF8"/>
    <w:rsid w:val="5D6A375C"/>
    <w:rsid w:val="5D910E46"/>
    <w:rsid w:val="5D9211FA"/>
    <w:rsid w:val="5DB0462E"/>
    <w:rsid w:val="5DD72473"/>
    <w:rsid w:val="5DFE4C7B"/>
    <w:rsid w:val="5E14772C"/>
    <w:rsid w:val="5E1B3BBB"/>
    <w:rsid w:val="5E1C44E0"/>
    <w:rsid w:val="5E2F17F0"/>
    <w:rsid w:val="5E8F2D4E"/>
    <w:rsid w:val="5EDF7832"/>
    <w:rsid w:val="5F08322C"/>
    <w:rsid w:val="5F7A1C50"/>
    <w:rsid w:val="5FA016B7"/>
    <w:rsid w:val="5FA532D7"/>
    <w:rsid w:val="5FDE07E7"/>
    <w:rsid w:val="60B70017"/>
    <w:rsid w:val="60E25CA8"/>
    <w:rsid w:val="617630CA"/>
    <w:rsid w:val="6183303E"/>
    <w:rsid w:val="61940191"/>
    <w:rsid w:val="61BE0BAD"/>
    <w:rsid w:val="6203206D"/>
    <w:rsid w:val="620440FF"/>
    <w:rsid w:val="624C78D4"/>
    <w:rsid w:val="62E82F0B"/>
    <w:rsid w:val="63324C0A"/>
    <w:rsid w:val="634B4B90"/>
    <w:rsid w:val="63825358"/>
    <w:rsid w:val="63870498"/>
    <w:rsid w:val="638E5BFC"/>
    <w:rsid w:val="6397247E"/>
    <w:rsid w:val="639B1317"/>
    <w:rsid w:val="639B550B"/>
    <w:rsid w:val="640A6CEE"/>
    <w:rsid w:val="64A85D79"/>
    <w:rsid w:val="64C01EB3"/>
    <w:rsid w:val="65581FBD"/>
    <w:rsid w:val="65916111"/>
    <w:rsid w:val="65921444"/>
    <w:rsid w:val="65A901B4"/>
    <w:rsid w:val="65C41412"/>
    <w:rsid w:val="65C8296F"/>
    <w:rsid w:val="65F242EE"/>
    <w:rsid w:val="6637231A"/>
    <w:rsid w:val="66380F1F"/>
    <w:rsid w:val="67355410"/>
    <w:rsid w:val="674974BA"/>
    <w:rsid w:val="674A2385"/>
    <w:rsid w:val="67664529"/>
    <w:rsid w:val="678310A2"/>
    <w:rsid w:val="67EE0585"/>
    <w:rsid w:val="67EE70F0"/>
    <w:rsid w:val="683010FE"/>
    <w:rsid w:val="68EB6E00"/>
    <w:rsid w:val="68FD6F24"/>
    <w:rsid w:val="69054245"/>
    <w:rsid w:val="69771A6E"/>
    <w:rsid w:val="69A066F7"/>
    <w:rsid w:val="69AD00DC"/>
    <w:rsid w:val="69AE24B5"/>
    <w:rsid w:val="69B05857"/>
    <w:rsid w:val="69B22DB2"/>
    <w:rsid w:val="69B6118A"/>
    <w:rsid w:val="69B8584F"/>
    <w:rsid w:val="69D23634"/>
    <w:rsid w:val="69D92FBF"/>
    <w:rsid w:val="69DD3EE4"/>
    <w:rsid w:val="6A060B03"/>
    <w:rsid w:val="6A281164"/>
    <w:rsid w:val="6B1070BB"/>
    <w:rsid w:val="6B3479EF"/>
    <w:rsid w:val="6B3D71D1"/>
    <w:rsid w:val="6B3E732D"/>
    <w:rsid w:val="6B4D2364"/>
    <w:rsid w:val="6B513865"/>
    <w:rsid w:val="6B7F1541"/>
    <w:rsid w:val="6C1128DB"/>
    <w:rsid w:val="6C3B63BA"/>
    <w:rsid w:val="6C4E249B"/>
    <w:rsid w:val="6CAB0871"/>
    <w:rsid w:val="6CAE4CE7"/>
    <w:rsid w:val="6CCD4886"/>
    <w:rsid w:val="6D084C95"/>
    <w:rsid w:val="6D35525A"/>
    <w:rsid w:val="6D3D11D7"/>
    <w:rsid w:val="6D404A05"/>
    <w:rsid w:val="6D7A1728"/>
    <w:rsid w:val="6D7E771B"/>
    <w:rsid w:val="6D8F44C4"/>
    <w:rsid w:val="6DB82591"/>
    <w:rsid w:val="6DB904CC"/>
    <w:rsid w:val="6E0C3960"/>
    <w:rsid w:val="6E0F17B6"/>
    <w:rsid w:val="6E593E30"/>
    <w:rsid w:val="6E8B1784"/>
    <w:rsid w:val="6E9851EC"/>
    <w:rsid w:val="6EDC1099"/>
    <w:rsid w:val="6EFC5E95"/>
    <w:rsid w:val="6F5222A2"/>
    <w:rsid w:val="6F5D05AB"/>
    <w:rsid w:val="6F5D4433"/>
    <w:rsid w:val="6F614B28"/>
    <w:rsid w:val="6F704724"/>
    <w:rsid w:val="6F7B5F45"/>
    <w:rsid w:val="6F885CC3"/>
    <w:rsid w:val="6F92269E"/>
    <w:rsid w:val="6F9B1F31"/>
    <w:rsid w:val="6F9D07A9"/>
    <w:rsid w:val="6FBD3AD2"/>
    <w:rsid w:val="6FCB2EA1"/>
    <w:rsid w:val="6FFA70E5"/>
    <w:rsid w:val="6FFD3FBC"/>
    <w:rsid w:val="702C4355"/>
    <w:rsid w:val="70317E10"/>
    <w:rsid w:val="7032070A"/>
    <w:rsid w:val="7093364A"/>
    <w:rsid w:val="70C459C8"/>
    <w:rsid w:val="70CF3DA0"/>
    <w:rsid w:val="71683EB5"/>
    <w:rsid w:val="7190249A"/>
    <w:rsid w:val="71A56D17"/>
    <w:rsid w:val="71AD0966"/>
    <w:rsid w:val="71B36DE8"/>
    <w:rsid w:val="725620A9"/>
    <w:rsid w:val="72596ECB"/>
    <w:rsid w:val="727732A3"/>
    <w:rsid w:val="727D22A9"/>
    <w:rsid w:val="728E3B77"/>
    <w:rsid w:val="72A84683"/>
    <w:rsid w:val="72C91D53"/>
    <w:rsid w:val="73067FFD"/>
    <w:rsid w:val="73263829"/>
    <w:rsid w:val="73950A4E"/>
    <w:rsid w:val="74027C9B"/>
    <w:rsid w:val="74380971"/>
    <w:rsid w:val="743E4472"/>
    <w:rsid w:val="74822A6C"/>
    <w:rsid w:val="74890514"/>
    <w:rsid w:val="74A40DE6"/>
    <w:rsid w:val="74D06143"/>
    <w:rsid w:val="74FE3782"/>
    <w:rsid w:val="752A44AF"/>
    <w:rsid w:val="7547391B"/>
    <w:rsid w:val="755A3E5F"/>
    <w:rsid w:val="75AB36C9"/>
    <w:rsid w:val="75CB690A"/>
    <w:rsid w:val="76511110"/>
    <w:rsid w:val="76991BA7"/>
    <w:rsid w:val="76E958E3"/>
    <w:rsid w:val="77176F12"/>
    <w:rsid w:val="776353A0"/>
    <w:rsid w:val="77DE2AA0"/>
    <w:rsid w:val="77ED75BA"/>
    <w:rsid w:val="78013412"/>
    <w:rsid w:val="78485B52"/>
    <w:rsid w:val="785754AB"/>
    <w:rsid w:val="78AE5E2B"/>
    <w:rsid w:val="78B74FC1"/>
    <w:rsid w:val="78DF0786"/>
    <w:rsid w:val="78ED1F61"/>
    <w:rsid w:val="7940345B"/>
    <w:rsid w:val="795A3AC4"/>
    <w:rsid w:val="797F60F9"/>
    <w:rsid w:val="79BE416D"/>
    <w:rsid w:val="7A1C062B"/>
    <w:rsid w:val="7A344F2F"/>
    <w:rsid w:val="7A65344B"/>
    <w:rsid w:val="7AB83E43"/>
    <w:rsid w:val="7AC53928"/>
    <w:rsid w:val="7AC94B56"/>
    <w:rsid w:val="7B0D40DD"/>
    <w:rsid w:val="7B0F21BC"/>
    <w:rsid w:val="7B195238"/>
    <w:rsid w:val="7B48542E"/>
    <w:rsid w:val="7B493DC5"/>
    <w:rsid w:val="7B65435E"/>
    <w:rsid w:val="7B687984"/>
    <w:rsid w:val="7B737828"/>
    <w:rsid w:val="7B8418CC"/>
    <w:rsid w:val="7BC9713C"/>
    <w:rsid w:val="7C286864"/>
    <w:rsid w:val="7C7B545A"/>
    <w:rsid w:val="7CBC0D5A"/>
    <w:rsid w:val="7CD02AEB"/>
    <w:rsid w:val="7CDE6F23"/>
    <w:rsid w:val="7CF21CDC"/>
    <w:rsid w:val="7CFA4897"/>
    <w:rsid w:val="7D293545"/>
    <w:rsid w:val="7D3354C1"/>
    <w:rsid w:val="7D8C21B9"/>
    <w:rsid w:val="7DCC76C3"/>
    <w:rsid w:val="7DCF3A7A"/>
    <w:rsid w:val="7DDD3F95"/>
    <w:rsid w:val="7DF12C86"/>
    <w:rsid w:val="7E0D5FD3"/>
    <w:rsid w:val="7E4035BE"/>
    <w:rsid w:val="7E645E76"/>
    <w:rsid w:val="7E895925"/>
    <w:rsid w:val="7E9755DB"/>
    <w:rsid w:val="7EBA4781"/>
    <w:rsid w:val="7ED226E4"/>
    <w:rsid w:val="7EF06419"/>
    <w:rsid w:val="7F3948E4"/>
    <w:rsid w:val="7F975B02"/>
    <w:rsid w:val="7FCF6FF7"/>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autoSpaceDN/>
      <w:adjustRightInd w:val="0"/>
      <w:snapToGrid w:val="0"/>
      <w:spacing w:line="360" w:lineRule="auto"/>
      <w:jc w:val="both"/>
    </w:pPr>
    <w:rPr>
      <w:rFonts w:ascii="宋体" w:hAnsi="宋体" w:eastAsia="宋体" w:cstheme="minorBidi"/>
      <w:kern w:val="2"/>
      <w:sz w:val="21"/>
      <w:szCs w:val="22"/>
      <w:lang w:val="en-US" w:eastAsia="zh-CN" w:bidi="ar-SA"/>
    </w:rPr>
  </w:style>
  <w:style w:type="paragraph" w:styleId="2">
    <w:name w:val="heading 1"/>
    <w:basedOn w:val="1"/>
    <w:next w:val="3"/>
    <w:link w:val="33"/>
    <w:autoRedefine/>
    <w:qFormat/>
    <w:uiPriority w:val="1"/>
    <w:pPr>
      <w:jc w:val="center"/>
      <w:outlineLvl w:val="0"/>
    </w:pPr>
    <w:rPr>
      <w:sz w:val="32"/>
    </w:rPr>
  </w:style>
  <w:style w:type="paragraph" w:styleId="3">
    <w:name w:val="heading 2"/>
    <w:basedOn w:val="1"/>
    <w:next w:val="4"/>
    <w:link w:val="24"/>
    <w:autoRedefine/>
    <w:qFormat/>
    <w:uiPriority w:val="0"/>
    <w:pPr>
      <w:jc w:val="left"/>
      <w:outlineLvl w:val="1"/>
    </w:pPr>
    <w:rPr>
      <w:rFonts w:cs="Times New Roman"/>
      <w:b/>
      <w:kern w:val="0"/>
      <w:szCs w:val="24"/>
    </w:rPr>
  </w:style>
  <w:style w:type="paragraph" w:styleId="4">
    <w:name w:val="heading 3"/>
    <w:basedOn w:val="1"/>
    <w:next w:val="1"/>
    <w:link w:val="32"/>
    <w:autoRedefine/>
    <w:qFormat/>
    <w:uiPriority w:val="0"/>
    <w:pPr>
      <w:jc w:val="left"/>
      <w:outlineLvl w:val="2"/>
    </w:pPr>
    <w:rPr>
      <w:rFonts w:cs="Times New Roman"/>
      <w:kern w:val="0"/>
      <w:szCs w:val="24"/>
    </w:rPr>
  </w:style>
  <w:style w:type="paragraph" w:styleId="5">
    <w:name w:val="heading 4"/>
    <w:basedOn w:val="1"/>
    <w:link w:val="25"/>
    <w:autoRedefine/>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link w:val="30"/>
    <w:autoRedefine/>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link w:val="31"/>
    <w:autoRedefine/>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link w:val="26"/>
    <w:autoRedefine/>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link w:val="27"/>
    <w:autoRedefine/>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link w:val="28"/>
    <w:autoRedefine/>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autoRedefine/>
    <w:qFormat/>
    <w:uiPriority w:val="0"/>
    <w:pPr>
      <w:jc w:val="left"/>
    </w:pPr>
  </w:style>
  <w:style w:type="paragraph" w:styleId="12">
    <w:name w:val="Body Text"/>
    <w:basedOn w:val="1"/>
    <w:next w:val="1"/>
    <w:autoRedefine/>
    <w:qFormat/>
    <w:uiPriority w:val="99"/>
    <w:pPr>
      <w:ind w:right="-26"/>
      <w:jc w:val="center"/>
    </w:pPr>
    <w:rPr>
      <w:b/>
      <w:bCs/>
      <w:sz w:val="84"/>
      <w:szCs w:val="84"/>
      <w:lang w:val="zh-CN"/>
    </w:rPr>
  </w:style>
  <w:style w:type="paragraph" w:styleId="13">
    <w:name w:val="Body Text Indent"/>
    <w:basedOn w:val="1"/>
    <w:next w:val="1"/>
    <w:autoRedefine/>
    <w:qFormat/>
    <w:uiPriority w:val="0"/>
    <w:pPr>
      <w:ind w:left="567" w:leftChars="270"/>
    </w:pPr>
    <w:rPr>
      <w:rFonts w:ascii="Times New Roman" w:hAnsi="Times New Roman" w:eastAsia="宋体" w:cs="Times New Roman"/>
      <w:szCs w:val="20"/>
    </w:rPr>
  </w:style>
  <w:style w:type="paragraph" w:styleId="14">
    <w:name w:val="toc 3"/>
    <w:basedOn w:val="1"/>
    <w:next w:val="1"/>
    <w:autoRedefine/>
    <w:qFormat/>
    <w:uiPriority w:val="0"/>
    <w:pPr>
      <w:ind w:left="840" w:leftChars="400"/>
    </w:pPr>
  </w:style>
  <w:style w:type="paragraph" w:styleId="15">
    <w:name w:val="footer"/>
    <w:basedOn w:val="1"/>
    <w:autoRedefine/>
    <w:qFormat/>
    <w:uiPriority w:val="0"/>
    <w:pPr>
      <w:tabs>
        <w:tab w:val="center" w:pos="4153"/>
        <w:tab w:val="right" w:pos="8306"/>
      </w:tabs>
      <w:jc w:val="left"/>
    </w:pPr>
    <w:rPr>
      <w:sz w:val="18"/>
    </w:rPr>
  </w:style>
  <w:style w:type="paragraph" w:styleId="16">
    <w:name w:val="toc 1"/>
    <w:basedOn w:val="1"/>
    <w:next w:val="1"/>
    <w:autoRedefine/>
    <w:qFormat/>
    <w:uiPriority w:val="0"/>
    <w:rPr>
      <w:b/>
    </w:rPr>
  </w:style>
  <w:style w:type="paragraph" w:styleId="17">
    <w:name w:val="toc 2"/>
    <w:basedOn w:val="1"/>
    <w:next w:val="1"/>
    <w:autoRedefine/>
    <w:qFormat/>
    <w:uiPriority w:val="0"/>
    <w:pPr>
      <w:ind w:left="420" w:leftChars="200"/>
    </w:pPr>
  </w:style>
  <w:style w:type="paragraph" w:styleId="18">
    <w:name w:val="Title"/>
    <w:basedOn w:val="1"/>
    <w:next w:val="1"/>
    <w:link w:val="29"/>
    <w:autoRedefine/>
    <w:qFormat/>
    <w:uiPriority w:val="10"/>
    <w:pPr>
      <w:spacing w:before="120" w:after="60" w:line="300" w:lineRule="auto"/>
      <w:jc w:val="left"/>
      <w:outlineLvl w:val="0"/>
    </w:pPr>
    <w:rPr>
      <w:rFonts w:ascii="等线 Light" w:hAnsi="等线 Light" w:eastAsia="仿宋"/>
      <w:b/>
      <w:bCs/>
      <w:sz w:val="28"/>
      <w:szCs w:val="32"/>
    </w:rPr>
  </w:style>
  <w:style w:type="paragraph" w:styleId="19">
    <w:name w:val="Body Text First Indent"/>
    <w:basedOn w:val="12"/>
    <w:autoRedefine/>
    <w:qFormat/>
    <w:uiPriority w:val="0"/>
    <w:pPr>
      <w:autoSpaceDE/>
      <w:autoSpaceDN/>
      <w:adjustRightInd/>
      <w:spacing w:after="120"/>
      <w:ind w:right="0" w:firstLine="420" w:firstLineChars="100"/>
      <w:jc w:val="both"/>
    </w:pPr>
    <w:rPr>
      <w:rFonts w:ascii="Times New Roman"/>
      <w:sz w:val="21"/>
      <w:szCs w:val="24"/>
    </w:rPr>
  </w:style>
  <w:style w:type="table" w:styleId="21">
    <w:name w:val="Table Grid"/>
    <w:basedOn w:val="20"/>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qFormat/>
    <w:uiPriority w:val="0"/>
    <w:rPr>
      <w:color w:val="0000FF"/>
      <w:u w:val="single"/>
    </w:rPr>
  </w:style>
  <w:style w:type="character" w:customStyle="1" w:styleId="24">
    <w:name w:val="标题 2 字符"/>
    <w:basedOn w:val="22"/>
    <w:link w:val="3"/>
    <w:autoRedefine/>
    <w:qFormat/>
    <w:uiPriority w:val="0"/>
    <w:rPr>
      <w:rFonts w:ascii="宋体" w:hAnsi="宋体" w:eastAsia="宋体" w:cs="Times New Roman"/>
      <w:b/>
      <w:kern w:val="0"/>
      <w:sz w:val="21"/>
      <w:szCs w:val="24"/>
    </w:rPr>
  </w:style>
  <w:style w:type="character" w:customStyle="1" w:styleId="25">
    <w:name w:val="标题 4 字符"/>
    <w:basedOn w:val="22"/>
    <w:link w:val="5"/>
    <w:autoRedefine/>
    <w:qFormat/>
    <w:uiPriority w:val="9"/>
    <w:rPr>
      <w:rFonts w:ascii="Arial" w:hAnsi="Arial" w:eastAsia="黑体" w:cs="Times New Roman"/>
      <w:b/>
      <w:bCs/>
      <w:kern w:val="0"/>
      <w:sz w:val="28"/>
      <w:szCs w:val="28"/>
    </w:rPr>
  </w:style>
  <w:style w:type="character" w:customStyle="1" w:styleId="26">
    <w:name w:val="标题 7 字符"/>
    <w:basedOn w:val="22"/>
    <w:link w:val="8"/>
    <w:autoRedefine/>
    <w:qFormat/>
    <w:uiPriority w:val="9"/>
    <w:rPr>
      <w:rFonts w:ascii="Times New Roman" w:hAnsi="Calibri" w:eastAsia="黑体" w:cs="Times New Roman"/>
      <w:b/>
      <w:bCs/>
      <w:kern w:val="0"/>
      <w:sz w:val="28"/>
      <w:szCs w:val="24"/>
    </w:rPr>
  </w:style>
  <w:style w:type="character" w:customStyle="1" w:styleId="27">
    <w:name w:val="标题 8 字符"/>
    <w:basedOn w:val="22"/>
    <w:link w:val="9"/>
    <w:autoRedefine/>
    <w:qFormat/>
    <w:uiPriority w:val="9"/>
    <w:rPr>
      <w:rFonts w:ascii="Times New Roman" w:hAnsi="Calibri" w:eastAsia="黑体" w:cs="Times New Roman"/>
      <w:b/>
      <w:kern w:val="0"/>
      <w:sz w:val="28"/>
      <w:szCs w:val="24"/>
    </w:rPr>
  </w:style>
  <w:style w:type="character" w:customStyle="1" w:styleId="28">
    <w:name w:val="标题 9 字符"/>
    <w:basedOn w:val="22"/>
    <w:link w:val="10"/>
    <w:autoRedefine/>
    <w:qFormat/>
    <w:uiPriority w:val="9"/>
    <w:rPr>
      <w:rFonts w:ascii="Times New Roman" w:hAnsi="Calibri" w:eastAsia="黑体" w:cs="Times New Roman"/>
      <w:b/>
      <w:kern w:val="0"/>
      <w:sz w:val="28"/>
      <w:szCs w:val="24"/>
    </w:rPr>
  </w:style>
  <w:style w:type="character" w:customStyle="1" w:styleId="29">
    <w:name w:val="标题 字符"/>
    <w:link w:val="18"/>
    <w:autoRedefine/>
    <w:qFormat/>
    <w:uiPriority w:val="10"/>
    <w:rPr>
      <w:rFonts w:ascii="等线 Light" w:hAnsi="等线 Light" w:eastAsia="仿宋"/>
      <w:b/>
      <w:bCs/>
      <w:sz w:val="28"/>
      <w:szCs w:val="32"/>
    </w:rPr>
  </w:style>
  <w:style w:type="character" w:customStyle="1" w:styleId="30">
    <w:name w:val="标题 5 字符"/>
    <w:link w:val="6"/>
    <w:autoRedefine/>
    <w:qFormat/>
    <w:uiPriority w:val="9"/>
    <w:rPr>
      <w:rFonts w:ascii="宋体" w:hAnsi="Calibri" w:eastAsia="宋体" w:cs="Times New Roman"/>
      <w:b/>
      <w:bCs/>
      <w:kern w:val="0"/>
      <w:sz w:val="28"/>
      <w:szCs w:val="28"/>
    </w:rPr>
  </w:style>
  <w:style w:type="character" w:customStyle="1" w:styleId="31">
    <w:name w:val="标题 6 字符"/>
    <w:link w:val="7"/>
    <w:autoRedefine/>
    <w:qFormat/>
    <w:uiPriority w:val="9"/>
    <w:rPr>
      <w:rFonts w:ascii="Times New Roman" w:hAnsi="Calibri" w:eastAsia="黑体" w:cs="Times New Roman"/>
      <w:b/>
      <w:bCs/>
      <w:kern w:val="0"/>
      <w:sz w:val="28"/>
      <w:szCs w:val="24"/>
    </w:rPr>
  </w:style>
  <w:style w:type="character" w:customStyle="1" w:styleId="32">
    <w:name w:val="标题 3 字符"/>
    <w:link w:val="4"/>
    <w:autoRedefine/>
    <w:qFormat/>
    <w:uiPriority w:val="0"/>
    <w:rPr>
      <w:rFonts w:ascii="宋体" w:hAnsi="宋体" w:eastAsia="宋体" w:cs="Times New Roman"/>
      <w:kern w:val="0"/>
      <w:sz w:val="21"/>
      <w:szCs w:val="24"/>
    </w:rPr>
  </w:style>
  <w:style w:type="character" w:customStyle="1" w:styleId="33">
    <w:name w:val="标题 1 字符"/>
    <w:link w:val="2"/>
    <w:autoRedefine/>
    <w:qFormat/>
    <w:uiPriority w:val="1"/>
    <w:rPr>
      <w:rFonts w:ascii="宋体" w:hAnsi="宋体" w:eastAsia="宋体" w:cs="Times New Roman"/>
      <w:b/>
      <w:kern w:val="0"/>
      <w:sz w:val="32"/>
      <w:szCs w:val="24"/>
    </w:rPr>
  </w:style>
  <w:style w:type="paragraph" w:customStyle="1" w:styleId="3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1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1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1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1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2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2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2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3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3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3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3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4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4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4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9">
    <w:name w:val="修订5"/>
    <w:next w:val="8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0">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81">
    <w:name w:val="网格型4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4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4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4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4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4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5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5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5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5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5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5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6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6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6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6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6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6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7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7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7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7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7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7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7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7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8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8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8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8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8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5">
    <w:name w:val="修订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6">
    <w:name w:val="修订1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7">
    <w:name w:val="修订1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8">
    <w:name w:val="修订1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9">
    <w:name w:val="null3"/>
    <w:autoRedefine/>
    <w:hidden/>
    <w:qFormat/>
    <w:uiPriority w:val="0"/>
    <w:rPr>
      <w:rFonts w:hint="eastAsia" w:asciiTheme="minorHAnsi" w:hAnsiTheme="minorHAnsi" w:eastAsiaTheme="minorEastAsia" w:cstheme="minorBidi"/>
      <w:lang w:val="en-US" w:eastAsia="zh-Hans" w:bidi="ar-SA"/>
    </w:rPr>
  </w:style>
  <w:style w:type="table" w:customStyle="1" w:styleId="130">
    <w:name w:val="Table Normal"/>
    <w:autoRedefine/>
    <w:semiHidden/>
    <w:unhideWhenUsed/>
    <w:qFormat/>
    <w:uiPriority w:val="0"/>
    <w:tblPr>
      <w:tblCellMar>
        <w:top w:w="0" w:type="dxa"/>
        <w:left w:w="0" w:type="dxa"/>
        <w:bottom w:w="0" w:type="dxa"/>
        <w:right w:w="0" w:type="dxa"/>
      </w:tblCellMar>
    </w:tblPr>
  </w:style>
  <w:style w:type="paragraph" w:customStyle="1" w:styleId="131">
    <w:name w:val="文档正文"/>
    <w:basedOn w:val="1"/>
    <w:autoRedefine/>
    <w:qFormat/>
    <w:uiPriority w:val="0"/>
    <w:pPr>
      <w:spacing w:line="360" w:lineRule="auto"/>
    </w:pPr>
    <w:rPr>
      <w:rFonts w:ascii="宋体" w:cs="Arial"/>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114</Pages>
  <Words>20038</Words>
  <Characters>21214</Characters>
  <Lines>820</Lines>
  <Paragraphs>231</Paragraphs>
  <TotalTime>0</TotalTime>
  <ScaleCrop>false</ScaleCrop>
  <LinksUpToDate>false</LinksUpToDate>
  <CharactersWithSpaces>21703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YD-ho</cp:lastModifiedBy>
  <cp:lastPrinted>2024-05-14T10:35:00Z</cp:lastPrinted>
  <dcterms:modified xsi:type="dcterms:W3CDTF">2025-12-09T05:04:31Z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5A60DDC04E1846839DDCFB28782075C6_13</vt:lpwstr>
  </property>
  <property fmtid="{D5CDD505-2E9C-101B-9397-08002B2CF9AE}" pid="4" name="KSOTemplateDocerSaveRecord">
    <vt:lpwstr>eyJoZGlkIjoiZGIwNDZhMTMxM2EyYzUxY2RmNGE4YzgzZTdiOWQwYWQiLCJ1c2VySWQiOiI0MTQ1MDg4MDkifQ==</vt:lpwstr>
  </property>
</Properties>
</file>